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jc w:val="center"/>
        <w:spacing w:line="360" w:lineRule="auto"/>
        <w:widowControl w:val="off"/>
        <w:rPr>
          <w:rFonts w:ascii="宋体" w:hAnsi="宋体" w:eastAsia="宋体" w:cs="宋体"/>
          <w:color w:val="000000"/>
          <w:sz w:val="84"/>
          <w:szCs w:val="84"/>
          <w:highlight w:val="none"/>
        </w:rPr>
      </w:pPr>
      <w:r>
        <w:rPr>
          <w:rFonts w:ascii="宋体" w:hAnsi="宋体" w:eastAsia="宋体" w:cs="宋体"/>
          <w:color w:val="000000"/>
          <w:sz w:val="84"/>
          <w:szCs w:val="84"/>
          <w:highlight w:val="none"/>
        </w:rPr>
        <w:t xml:space="preserve">苏州</w:t>
      </w:r>
      <w:r>
        <w:rPr>
          <w:rFonts w:hint="eastAsia" w:ascii="宋体" w:hAnsi="宋体" w:eastAsia="宋体" w:cs="宋体"/>
          <w:color w:val="000000"/>
          <w:sz w:val="84"/>
          <w:szCs w:val="84"/>
          <w:highlight w:val="none"/>
        </w:rPr>
        <w:t xml:space="preserve">高新</w:t>
      </w:r>
      <w:r>
        <w:rPr>
          <w:rFonts w:ascii="宋体" w:hAnsi="宋体" w:eastAsia="宋体" w:cs="宋体"/>
          <w:color w:val="000000"/>
          <w:sz w:val="84"/>
          <w:szCs w:val="84"/>
          <w:highlight w:val="none"/>
        </w:rPr>
        <w:t xml:space="preserve">区政府采购</w:t>
      </w:r>
      <w:r>
        <w:rPr>
          <w:rFonts w:ascii="宋体" w:hAnsi="宋体" w:eastAsia="宋体" w:cs="宋体"/>
          <w:color w:val="000000"/>
          <w:sz w:val="84"/>
          <w:szCs w:val="84"/>
          <w:highlight w:val="none"/>
        </w:rPr>
      </w:r>
      <w:r/>
    </w:p>
    <w:p>
      <w:pPr>
        <w:pStyle w:val="696"/>
        <w:jc w:val="center"/>
        <w:spacing w:line="360" w:lineRule="auto"/>
        <w:widowControl w:val="off"/>
        <w:rPr>
          <w:rFonts w:ascii="宋体" w:hAnsi="宋体" w:eastAsia="宋体" w:cs="宋体"/>
          <w:color w:val="000000"/>
          <w:sz w:val="84"/>
          <w:szCs w:val="84"/>
          <w:highlight w:val="none"/>
        </w:rPr>
      </w:pPr>
      <w:r>
        <w:rPr>
          <w:rFonts w:hint="eastAsia" w:ascii="宋体" w:hAnsi="宋体" w:eastAsia="宋体" w:cs="宋体"/>
          <w:color w:val="000000"/>
          <w:sz w:val="84"/>
          <w:szCs w:val="84"/>
          <w:highlight w:val="none"/>
        </w:rPr>
        <w:t xml:space="preserve">招标文件</w:t>
      </w:r>
      <w:r>
        <w:rPr>
          <w:rFonts w:ascii="宋体" w:hAnsi="宋体" w:eastAsia="宋体" w:cs="宋体"/>
          <w:color w:val="000000"/>
          <w:sz w:val="84"/>
          <w:szCs w:val="84"/>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700"/>
        <w:rPr>
          <w:rFonts w:ascii="宋体" w:hAnsi="宋体" w:eastAsia="宋体"/>
          <w:color w:val="000000"/>
          <w:highlight w:val="none"/>
        </w:rPr>
      </w:pPr>
      <w:r>
        <w:rPr>
          <w:rFonts w:ascii="宋体" w:hAnsi="宋体" w:eastAsia="宋体"/>
          <w:color w:val="000000"/>
          <w:highlight w:val="none"/>
        </w:rPr>
      </w:r>
      <w:r/>
    </w:p>
    <w:p>
      <w:pPr>
        <w:pStyle w:val="702"/>
        <w:rPr>
          <w:color w:val="000000"/>
          <w:highlight w:val="none"/>
        </w:rPr>
      </w:pPr>
      <w:r>
        <w:rPr>
          <w:color w:val="000000"/>
          <w:highlight w:val="none"/>
        </w:rPr>
      </w:r>
      <w:r/>
    </w:p>
    <w:p>
      <w:pPr>
        <w:pStyle w:val="696"/>
        <w:ind w:firstLine="964"/>
        <w:jc w:val="both"/>
        <w:spacing w:line="360" w:lineRule="auto"/>
        <w:widowControl w:val="off"/>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采购编号：</w:t>
      </w:r>
      <w:r>
        <w:rPr>
          <w:rFonts w:hint="eastAsia" w:ascii="宋体" w:hAnsi="宋体" w:eastAsia="宋体" w:cs="Times New Roman"/>
          <w:b/>
          <w:bCs/>
          <w:color w:val="000000"/>
          <w:sz w:val="32"/>
          <w:szCs w:val="32"/>
          <w:highlight w:val="none"/>
          <w:lang w:eastAsia="zh-CN"/>
        </w:rPr>
        <w:t xml:space="preserve">JSZC-320505-HXGW-G2024-0062</w:t>
      </w:r>
      <w:r>
        <w:rPr>
          <w:rFonts w:hint="eastAsia" w:ascii="宋体" w:hAnsi="宋体" w:eastAsia="宋体" w:cs="宋体"/>
          <w:b/>
          <w:bCs/>
          <w:color w:val="000000"/>
          <w:sz w:val="32"/>
          <w:szCs w:val="32"/>
          <w:highlight w:val="none"/>
          <w:lang w:eastAsia="zh-CN"/>
        </w:rPr>
      </w:r>
      <w:r/>
    </w:p>
    <w:p>
      <w:pPr>
        <w:pStyle w:val="696"/>
        <w:ind w:firstLine="964"/>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采购项目：</w:t>
      </w:r>
      <w:r>
        <w:rPr>
          <w:rFonts w:ascii="宋体" w:hAnsi="宋体" w:eastAsia="宋体" w:cs="宋体"/>
          <w:b/>
          <w:bCs/>
          <w:color w:val="000000"/>
          <w:sz w:val="32"/>
          <w:szCs w:val="32"/>
          <w:highlight w:val="none"/>
          <w:lang w:eastAsia="zh-CN"/>
        </w:rPr>
        <w:t xml:space="preserve">榆荫路东南、水城路西北地块（含苏州嘉丰肥业有限责任公司地块）生态环境治理项目</w:t>
      </w:r>
      <w:r>
        <w:rPr>
          <w:rFonts w:ascii="宋体" w:hAnsi="宋体" w:eastAsia="宋体" w:cs="宋体"/>
          <w:b/>
          <w:bCs/>
          <w:color w:val="000000"/>
          <w:sz w:val="32"/>
          <w:szCs w:val="32"/>
          <w:highlight w:val="none"/>
        </w:rPr>
      </w:r>
      <w:r/>
    </w:p>
    <w:p>
      <w:pPr>
        <w:pStyle w:val="696"/>
        <w:ind w:left="0" w:firstLine="900"/>
        <w:spacing w:line="360" w:lineRule="auto"/>
        <w:rPr>
          <w:rFonts w:hint="eastAsia" w:eastAsia="宋体" w:cs="宋体"/>
          <w:b/>
          <w:color w:val="000000"/>
          <w:sz w:val="30"/>
          <w:szCs w:val="30"/>
          <w:highlight w:val="none"/>
          <w:lang w:eastAsia="zh-CN"/>
        </w:rPr>
      </w:pPr>
      <w:r>
        <w:rPr>
          <w:rFonts w:hint="eastAsia" w:cs="宋体"/>
          <w:b/>
          <w:color w:val="000000"/>
          <w:sz w:val="30"/>
          <w:szCs w:val="30"/>
          <w:highlight w:val="none"/>
        </w:rPr>
        <w:t xml:space="preserve">采购</w:t>
      </w:r>
      <w:r>
        <w:rPr>
          <w:rFonts w:ascii="宋体" w:hAnsi="宋体" w:eastAsia="宋体" w:cs="宋体"/>
          <w:b/>
          <w:bCs/>
          <w:color w:val="000000"/>
          <w:sz w:val="32"/>
          <w:szCs w:val="32"/>
          <w:highlight w:val="none"/>
        </w:rPr>
        <w:t xml:space="preserve">类别：服务类</w:t>
      </w:r>
      <w:r>
        <w:rPr>
          <w:rFonts w:hint="eastAsia" w:cs="宋体"/>
          <w:b/>
          <w:color w:val="000000"/>
          <w:sz w:val="30"/>
          <w:szCs w:val="30"/>
          <w:highlight w:val="none"/>
          <w:lang w:eastAsia="zh-CN"/>
        </w:rPr>
        <w:t xml:space="preserve">（专门面向中小微企业采购）</w:t>
      </w:r>
      <w:r>
        <w:rPr>
          <w:rFonts w:hint="eastAsia" w:eastAsia="宋体" w:cs="宋体"/>
          <w:b/>
          <w:color w:val="000000"/>
          <w:sz w:val="30"/>
          <w:szCs w:val="30"/>
          <w:highlight w:val="none"/>
          <w:lang w:eastAsia="zh-CN"/>
        </w:rPr>
      </w:r>
      <w:r/>
    </w:p>
    <w:p>
      <w:pPr>
        <w:pStyle w:val="696"/>
        <w:ind w:left="0" w:firstLine="900"/>
        <w:spacing w:line="360" w:lineRule="auto"/>
        <w:rPr>
          <w:rFonts w:hint="eastAsia" w:ascii="宋体" w:hAnsi="宋体" w:eastAsia="Arial" w:cs="宋体"/>
          <w:b/>
          <w:bCs/>
          <w:color w:val="000000"/>
          <w:sz w:val="30"/>
          <w:highlight w:val="none"/>
        </w:rPr>
      </w:pPr>
      <w:r>
        <w:rPr>
          <w:rFonts w:hint="eastAsia" w:ascii="宋体" w:hAnsi="宋体" w:eastAsia="Arial" w:cs="宋体"/>
          <w:b/>
          <w:bCs/>
          <w:color w:val="000000"/>
          <w:sz w:val="30"/>
          <w:highlight w:val="none"/>
        </w:rPr>
        <w:t xml:space="preserve">标的所属行业：</w:t>
      </w:r>
      <w:r>
        <w:rPr>
          <w:rFonts w:hint="eastAsia" w:ascii="宋体" w:hAnsi="宋体" w:eastAsia="Arial" w:cs="宋体"/>
          <w:b/>
          <w:bCs/>
          <w:color w:val="000000"/>
          <w:sz w:val="30"/>
          <w:highlight w:val="none"/>
          <w:lang w:eastAsia="zh-CN"/>
        </w:rPr>
        <w:t xml:space="preserve">（十六）其他未列明行业</w:t>
      </w:r>
      <w:r>
        <w:rPr>
          <w:rFonts w:hint="eastAsia" w:ascii="宋体" w:hAnsi="宋体" w:eastAsia="Arial" w:cs="宋体"/>
          <w:b/>
          <w:bCs/>
          <w:color w:val="000000"/>
          <w:sz w:val="30"/>
          <w:highlight w:val="none"/>
        </w:rPr>
        <w:t xml:space="preserve">  </w:t>
      </w:r>
      <w:r>
        <w:rPr>
          <w:rFonts w:hint="eastAsia" w:ascii="宋体" w:hAnsi="宋体" w:eastAsia="Arial" w:cs="宋体"/>
          <w:b/>
          <w:bCs/>
          <w:color w:val="000000"/>
          <w:sz w:val="30"/>
          <w:highlight w:val="none"/>
        </w:rPr>
      </w:r>
      <w:r/>
    </w:p>
    <w:p>
      <w:pPr>
        <w:pStyle w:val="696"/>
        <w:ind w:firstLine="900"/>
        <w:jc w:val="left"/>
        <w:spacing w:line="360" w:lineRule="auto"/>
        <w:widowControl/>
        <w:rPr>
          <w:rFonts w:hint="eastAsia" w:ascii="宋体" w:hAnsi="宋体" w:eastAsia="Arial" w:cs="宋体"/>
          <w:b/>
          <w:bCs/>
          <w:color w:val="000000"/>
          <w:sz w:val="30"/>
          <w:szCs w:val="21"/>
          <w:highlight w:val="none"/>
          <w:lang w:eastAsia="zh-CN"/>
        </w:rPr>
      </w:pPr>
      <w:r>
        <w:rPr>
          <w:rFonts w:hint="eastAsia" w:ascii="宋体" w:hAnsi="宋体" w:eastAsia="Arial" w:cs="宋体"/>
          <w:b/>
          <w:bCs/>
          <w:color w:val="000000"/>
          <w:sz w:val="30"/>
          <w:szCs w:val="21"/>
          <w:highlight w:val="none"/>
          <w:lang w:eastAsia="zh-CN"/>
        </w:rPr>
        <w:t xml:space="preserve">采购人</w:t>
      </w:r>
      <w:r>
        <w:rPr>
          <w:rFonts w:hint="eastAsia" w:ascii="宋体" w:hAnsi="宋体" w:eastAsia="Arial" w:cs="宋体"/>
          <w:b/>
          <w:bCs/>
          <w:color w:val="000000"/>
          <w:sz w:val="30"/>
          <w:szCs w:val="21"/>
          <w:highlight w:val="none"/>
        </w:rPr>
        <w:t xml:space="preserve">：</w:t>
      </w:r>
      <w:r>
        <w:rPr>
          <w:rFonts w:hint="eastAsia" w:ascii="宋体" w:hAnsi="宋体" w:eastAsia="Arial" w:cs="宋体"/>
          <w:b/>
          <w:bCs/>
          <w:color w:val="000000"/>
          <w:sz w:val="30"/>
          <w:szCs w:val="21"/>
          <w:highlight w:val="none"/>
          <w:lang w:eastAsia="zh-CN"/>
        </w:rPr>
        <w:t xml:space="preserve">苏州浒墅关经济技术开发区管理委员会</w:t>
      </w:r>
      <w:r>
        <w:rPr>
          <w:rFonts w:hint="eastAsia" w:ascii="宋体" w:hAnsi="宋体" w:eastAsia="Arial" w:cs="宋体"/>
          <w:b/>
          <w:bCs/>
          <w:color w:val="000000"/>
          <w:sz w:val="30"/>
          <w:szCs w:val="21"/>
          <w:highlight w:val="none"/>
          <w:lang w:eastAsia="zh-CN"/>
        </w:rPr>
      </w:r>
      <w:r/>
    </w:p>
    <w:p>
      <w:pPr>
        <w:pStyle w:val="696"/>
        <w:ind w:firstLine="900"/>
        <w:jc w:val="left"/>
        <w:spacing w:line="360" w:lineRule="auto"/>
        <w:widowControl/>
        <w:rPr>
          <w:rFonts w:hint="eastAsia" w:ascii="宋体" w:hAnsi="宋体" w:eastAsia="Arial" w:cs="宋体"/>
          <w:b/>
          <w:bCs/>
          <w:color w:val="000000"/>
          <w:sz w:val="30"/>
          <w:highlight w:val="none"/>
          <w:lang w:val="en-US" w:eastAsia="zh-CN"/>
        </w:rPr>
      </w:pPr>
      <w:r>
        <w:rPr>
          <w:rFonts w:ascii="宋体" w:hAnsi="宋体" w:eastAsia="Arial" w:cs="宋体"/>
          <w:b/>
          <w:bCs/>
          <w:color w:val="000000"/>
          <w:sz w:val="30"/>
          <w:highlight w:val="none"/>
          <w:lang w:val="en-US" w:eastAsia="zh-CN"/>
        </w:rPr>
        <w:t xml:space="preserve">采购代理机构：</w:t>
      </w:r>
      <w:r>
        <w:rPr>
          <w:rFonts w:hint="eastAsia" w:ascii="宋体" w:hAnsi="宋体" w:eastAsia="Arial" w:cs="宋体"/>
          <w:b/>
          <w:bCs/>
          <w:color w:val="000000"/>
          <w:sz w:val="30"/>
          <w:szCs w:val="21"/>
          <w:highlight w:val="none"/>
        </w:rPr>
        <w:t xml:space="preserve">涵熙（苏州）工程顾问有限公司</w:t>
      </w:r>
      <w:r>
        <w:rPr>
          <w:rFonts w:hint="eastAsia" w:ascii="宋体" w:hAnsi="宋体" w:eastAsia="Arial" w:cs="宋体"/>
          <w:b/>
          <w:bCs/>
          <w:color w:val="000000"/>
          <w:sz w:val="30"/>
          <w:highlight w:val="none"/>
          <w:lang w:val="en-US" w:eastAsia="zh-CN"/>
        </w:rPr>
      </w:r>
      <w:r/>
    </w:p>
    <w:p>
      <w:pPr>
        <w:pStyle w:val="696"/>
        <w:ind w:firstLine="63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6"/>
        <w:ind w:firstLine="653"/>
        <w:jc w:val="center"/>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696"/>
        <w:ind w:firstLine="653"/>
        <w:jc w:val="center"/>
        <w:spacing w:line="360" w:lineRule="auto"/>
        <w:widowControl w:val="off"/>
        <w:rPr>
          <w:rFonts w:ascii="宋体" w:hAnsi="宋体" w:eastAsia="宋体" w:cs="宋体"/>
          <w:b/>
          <w:bCs/>
          <w:color w:val="000000"/>
          <w:sz w:val="30"/>
          <w:szCs w:val="30"/>
          <w:highlight w:val="none"/>
        </w:rPr>
      </w:pPr>
      <w:r>
        <w:rPr>
          <w:rFonts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rPr>
        <w:t xml:space="preserve">四</w:t>
      </w:r>
      <w:r>
        <w:rPr>
          <w:rFonts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七</w:t>
      </w:r>
      <w:r>
        <w:rPr>
          <w:rFonts w:ascii="宋体" w:hAnsi="宋体" w:eastAsia="宋体" w:cs="宋体"/>
          <w:b/>
          <w:bCs/>
          <w:color w:val="000000"/>
          <w:sz w:val="32"/>
          <w:szCs w:val="32"/>
          <w:highlight w:val="none"/>
        </w:rPr>
        <w:t xml:space="preserve">月</w:t>
      </w:r>
      <w:r>
        <w:rPr>
          <w:rFonts w:ascii="宋体" w:hAnsi="宋体" w:eastAsia="宋体" w:cs="宋体"/>
          <w:b/>
          <w:bCs/>
          <w:color w:val="000000"/>
          <w:sz w:val="30"/>
          <w:szCs w:val="30"/>
          <w:highlight w:val="none"/>
        </w:rPr>
      </w:r>
      <w:r/>
    </w:p>
    <w:p>
      <w:pPr>
        <w:pStyle w:val="700"/>
        <w:ind w:firstLine="480"/>
        <w:spacing w:after="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1020"/>
        <w:jc w:val="both"/>
        <w:spacing w:line="360" w:lineRule="auto"/>
        <w:widowControl w:val="off"/>
        <w:rPr>
          <w:rFonts w:ascii="宋体" w:hAnsi="宋体" w:eastAsia="宋体" w:cs="黑体"/>
          <w:color w:val="000000"/>
          <w:sz w:val="51"/>
          <w:szCs w:val="51"/>
          <w:highlight w:val="none"/>
        </w:rPr>
      </w:pPr>
      <w:r>
        <w:rPr>
          <w:rFonts w:ascii="宋体" w:hAnsi="宋体" w:eastAsia="宋体" w:cs="黑体"/>
          <w:color w:val="000000"/>
          <w:sz w:val="51"/>
          <w:szCs w:val="51"/>
          <w:highlight w:val="none"/>
        </w:rPr>
      </w:r>
      <w:r/>
    </w:p>
    <w:p>
      <w:pPr>
        <w:pStyle w:val="696"/>
        <w:ind w:firstLine="897"/>
        <w:jc w:val="center"/>
        <w:spacing w:line="360" w:lineRule="auto"/>
        <w:widowControl w:val="off"/>
        <w:rPr>
          <w:rFonts w:ascii="宋体" w:hAnsi="宋体" w:eastAsia="宋体" w:cs="黑体"/>
          <w:b/>
          <w:bCs/>
          <w:color w:val="000000"/>
          <w:sz w:val="44"/>
          <w:szCs w:val="44"/>
          <w:highlight w:val="none"/>
        </w:rPr>
      </w:pPr>
      <w:r>
        <w:rPr>
          <w:rFonts w:hint="eastAsia" w:ascii="宋体" w:hAnsi="宋体" w:eastAsia="宋体" w:cs="黑体"/>
          <w:b/>
          <w:bCs/>
          <w:color w:val="000000"/>
          <w:sz w:val="44"/>
          <w:szCs w:val="44"/>
          <w:highlight w:val="none"/>
        </w:rPr>
        <w:t xml:space="preserve">目   </w:t>
      </w:r>
      <w:r>
        <w:rPr>
          <w:rFonts w:ascii="宋体" w:hAnsi="宋体" w:eastAsia="宋体" w:cs="黑体"/>
          <w:b/>
          <w:bCs/>
          <w:color w:val="000000"/>
          <w:sz w:val="44"/>
          <w:szCs w:val="44"/>
          <w:highlight w:val="none"/>
        </w:rPr>
        <w:t xml:space="preserve">录</w:t>
      </w:r>
      <w:r>
        <w:rPr>
          <w:rFonts w:ascii="宋体" w:hAnsi="宋体" w:eastAsia="宋体" w:cs="黑体"/>
          <w:b/>
          <w:bCs/>
          <w:color w:val="000000"/>
          <w:sz w:val="44"/>
          <w:szCs w:val="44"/>
          <w:highlight w:val="none"/>
        </w:rPr>
      </w:r>
      <w:r/>
    </w:p>
    <w:p>
      <w:pPr>
        <w:pStyle w:val="696"/>
        <w:ind w:firstLine="653"/>
        <w:jc w:val="both"/>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6"/>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第一章投标邀请函</w:t>
      </w:r>
      <w:r>
        <w:rPr>
          <w:rFonts w:ascii="宋体" w:hAnsi="宋体" w:eastAsia="宋体" w:cs="黑体"/>
          <w:b/>
          <w:bCs/>
          <w:color w:val="000000"/>
          <w:sz w:val="32"/>
          <w:szCs w:val="32"/>
          <w:highlight w:val="none"/>
        </w:rPr>
      </w:r>
      <w:r/>
    </w:p>
    <w:p>
      <w:pPr>
        <w:pStyle w:val="696"/>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第二章投标人须知</w:t>
      </w:r>
      <w:r>
        <w:rPr>
          <w:rFonts w:ascii="宋体" w:hAnsi="宋体" w:eastAsia="宋体"/>
          <w:b/>
          <w:bCs/>
          <w:color w:val="000000"/>
          <w:sz w:val="32"/>
          <w:szCs w:val="32"/>
          <w:highlight w:val="none"/>
        </w:rPr>
      </w:r>
      <w:r/>
    </w:p>
    <w:p>
      <w:pPr>
        <w:pStyle w:val="696"/>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第三章投标文件格式</w:t>
      </w:r>
      <w:r>
        <w:rPr>
          <w:rFonts w:ascii="宋体" w:hAnsi="宋体" w:eastAsia="宋体"/>
          <w:b/>
          <w:bCs/>
          <w:color w:val="000000"/>
          <w:sz w:val="32"/>
          <w:szCs w:val="32"/>
          <w:highlight w:val="none"/>
        </w:rPr>
      </w:r>
      <w:r/>
    </w:p>
    <w:p>
      <w:pPr>
        <w:pStyle w:val="696"/>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招标书</w:t>
      </w:r>
      <w:r>
        <w:rPr>
          <w:rFonts w:ascii="宋体" w:hAnsi="宋体" w:eastAsia="宋体"/>
          <w:b/>
          <w:bCs/>
          <w:color w:val="000000"/>
          <w:sz w:val="32"/>
          <w:szCs w:val="32"/>
          <w:highlight w:val="none"/>
        </w:rPr>
      </w:r>
      <w:r/>
    </w:p>
    <w:p>
      <w:pPr>
        <w:pStyle w:val="696"/>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第五章合同主要条款</w:t>
      </w:r>
      <w:r>
        <w:rPr>
          <w:rFonts w:ascii="宋体" w:hAnsi="宋体" w:eastAsia="宋体" w:cs="黑体"/>
          <w:b/>
          <w:bCs/>
          <w:color w:val="000000"/>
          <w:sz w:val="32"/>
          <w:szCs w:val="32"/>
          <w:highlight w:val="none"/>
        </w:rPr>
      </w:r>
      <w:r/>
    </w:p>
    <w:p>
      <w:pPr>
        <w:pStyle w:val="696"/>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第六章评分标准</w:t>
      </w:r>
      <w:r>
        <w:rPr>
          <w:rFonts w:ascii="宋体" w:hAnsi="宋体" w:eastAsia="宋体" w:cs="黑体"/>
          <w:b/>
          <w:bCs/>
          <w:color w:val="000000"/>
          <w:sz w:val="32"/>
          <w:szCs w:val="32"/>
          <w:highlight w:val="none"/>
        </w:rPr>
      </w:r>
      <w:r/>
    </w:p>
    <w:p>
      <w:pPr>
        <w:pStyle w:val="696"/>
        <w:ind w:firstLine="48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96"/>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第一章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投标邀请函</w:t>
      </w:r>
      <w:r>
        <w:rPr>
          <w:rFonts w:ascii="宋体" w:hAnsi="宋体" w:eastAsia="宋体" w:cs="黑体"/>
          <w:b/>
          <w:bCs/>
          <w:color w:val="000000"/>
          <w:sz w:val="32"/>
          <w:szCs w:val="32"/>
          <w:highlight w:val="none"/>
        </w:rPr>
      </w:r>
      <w:r/>
    </w:p>
    <w:p>
      <w:pPr>
        <w:pStyle w:val="696"/>
        <w:ind w:firstLine="420"/>
        <w:jc w:val="center"/>
        <w:spacing w:line="360" w:lineRule="auto"/>
        <w:widowControl w:val="off"/>
        <w:rPr>
          <w:rFonts w:ascii="宋体" w:hAnsi="宋体" w:eastAsia="宋体"/>
          <w:color w:val="000000"/>
          <w:highlight w:val="none"/>
        </w:rPr>
      </w:pPr>
      <w:r>
        <w:rPr>
          <w:rFonts w:ascii="宋体" w:hAnsi="宋体" w:eastAsia="宋体"/>
          <w:color w:val="000000"/>
          <w:highlight w:val="none"/>
        </w:rPr>
      </w:r>
      <w:r/>
    </w:p>
    <w:tbl>
      <w:tblPr>
        <w:tblW w:w="9700" w:type="dxa"/>
        <w:tblInd w:w="-8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700"/>
      </w:tblGrid>
      <w:tr>
        <w:trPr>
          <w:trHeight w:val="1660"/>
        </w:trPr>
        <w:tc>
          <w:tcPr>
            <w:tcW w:w="9700" w:type="dxa"/>
            <w:vAlign w:val="center"/>
            <w:textDirection w:val="lrTb"/>
            <w:noWrap w:val="false"/>
          </w:tcPr>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榆荫路东南、水城路西北地块（含苏州嘉丰肥业有限责任公司地块）生态环境治理项目</w:t>
            </w:r>
            <w:r>
              <w:rPr>
                <w:rFonts w:hint="eastAsia" w:ascii="宋体" w:hAnsi="宋体" w:eastAsia="宋体" w:cs="宋体"/>
                <w:color w:val="000000"/>
                <w:szCs w:val="24"/>
                <w:highlight w:val="none"/>
                <w:lang w:eastAsia="zh-CN"/>
              </w:rPr>
              <w:t xml:space="preserve">JSZC-320505-HXGW-G2024-0062</w:t>
            </w:r>
            <w:r>
              <w:rPr>
                <w:rFonts w:hint="eastAsia" w:ascii="宋体" w:hAnsi="宋体" w:eastAsia="宋体" w:cs="宋体"/>
                <w:color w:val="000000"/>
                <w:szCs w:val="24"/>
                <w:highlight w:val="none"/>
              </w:rPr>
              <w:t xml:space="preserve">招标项目的潜在投标人应在“苏采云</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t xml:space="preserve">系统获取招标文件，并于2024-0</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22</w:t>
            </w:r>
            <w:r>
              <w:rPr>
                <w:rFonts w:hint="eastAsia" w:ascii="宋体" w:hAnsi="宋体" w:eastAsia="宋体" w:cs="宋体"/>
                <w:color w:val="000000"/>
                <w:szCs w:val="24"/>
                <w:highlight w:val="none"/>
              </w:rPr>
              <w:t xml:space="preserve"> 09:30（北京时间）前递交投标文件。</w:t>
            </w:r>
            <w:r>
              <w:rPr>
                <w:rFonts w:hint="eastAsia" w:ascii="宋体" w:hAnsi="宋体" w:eastAsia="宋体" w:cs="宋体"/>
                <w:color w:val="000000"/>
                <w:szCs w:val="24"/>
                <w:highlight w:val="none"/>
              </w:rPr>
            </w:r>
            <w:r/>
          </w:p>
        </w:tc>
      </w:tr>
    </w:tbl>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一、项目基本情况</w:t>
      </w:r>
      <w:r>
        <w:rPr>
          <w:rFonts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项目编号：</w:t>
      </w:r>
      <w:r>
        <w:rPr>
          <w:rFonts w:hint="eastAsia" w:ascii="宋体" w:hAnsi="宋体" w:eastAsia="宋体" w:cs="宋体"/>
          <w:color w:val="000000"/>
          <w:szCs w:val="24"/>
          <w:highlight w:val="none"/>
          <w:shd w:val="clear" w:color="auto" w:fill="ffffff"/>
          <w:lang w:eastAsia="zh-CN"/>
        </w:rPr>
        <w:t xml:space="preserve">JSZC-320505-HXGW-G2024-0062</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项目名称：</w:t>
      </w:r>
      <w:r>
        <w:rPr>
          <w:rFonts w:hint="eastAsia" w:ascii="宋体" w:hAnsi="宋体" w:eastAsia="宋体" w:cs="宋体"/>
          <w:color w:val="000000"/>
          <w:szCs w:val="24"/>
          <w:highlight w:val="none"/>
          <w:shd w:val="clear" w:color="auto" w:fill="ffffff"/>
          <w:lang w:eastAsia="zh-CN"/>
        </w:rPr>
        <w:t xml:space="preserve">榆荫路东南、水城路西北地块（含苏州嘉丰肥业有限责任公司地块）生态环境治理项目</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96"/>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预算金额：</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val="en-US" w:eastAsia="zh-CN"/>
        </w:rPr>
        <w:t xml:space="preserve">玖佰玖拾柒万叁仟肆佰伍拾壹元捌角捌分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9973451.88</w:t>
      </w:r>
      <w:r>
        <w:rPr>
          <w:rFonts w:hint="eastAsia" w:ascii="宋体" w:hAnsi="宋体" w:eastAsia="宋体" w:cs="宋体"/>
          <w:color w:val="000000"/>
          <w:sz w:val="24"/>
          <w:szCs w:val="24"/>
          <w:highlight w:val="none"/>
        </w:rPr>
        <w:t xml:space="preserve">），含税</w:t>
      </w:r>
      <w:r>
        <w:rPr>
          <w:rFonts w:hint="eastAsia" w:ascii="宋体" w:hAnsi="宋体" w:eastAsia="宋体"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最高限价（如有）：</w:t>
      </w:r>
      <w:r>
        <w:rPr>
          <w:rFonts w:hint="eastAsia" w:ascii="宋体" w:hAnsi="宋体" w:eastAsia="宋体" w:cs="宋体"/>
          <w:color w:val="000000"/>
          <w:szCs w:val="24"/>
          <w:highlight w:val="none"/>
        </w:rPr>
        <w:t xml:space="preserve">人民币</w:t>
      </w:r>
      <w:r>
        <w:rPr>
          <w:rFonts w:hint="eastAsia" w:ascii="宋体" w:hAnsi="宋体" w:eastAsia="宋体" w:cs="宋体"/>
          <w:color w:val="000000"/>
          <w:sz w:val="24"/>
          <w:szCs w:val="24"/>
          <w:highlight w:val="none"/>
          <w:lang w:val="en-US" w:eastAsia="zh-CN"/>
        </w:rPr>
        <w:t xml:space="preserve">玖佰玖拾柒万叁仟肆佰伍拾壹元捌角捌分</w:t>
      </w:r>
      <w:r>
        <w:rPr>
          <w:rFonts w:hint="eastAsia" w:ascii="宋体" w:hAnsi="宋体" w:eastAsia="宋体" w:cs="宋体"/>
          <w:color w:val="000000"/>
          <w:szCs w:val="24"/>
          <w:highlight w:val="none"/>
        </w:rPr>
        <w:t xml:space="preserve">（￥</w:t>
      </w:r>
      <w:r>
        <w:rPr>
          <w:rFonts w:hint="eastAsia" w:ascii="宋体" w:hAnsi="宋体" w:eastAsia="宋体" w:cs="宋体"/>
          <w:color w:val="000000"/>
          <w:sz w:val="24"/>
          <w:szCs w:val="24"/>
          <w:highlight w:val="none"/>
          <w:lang w:val="en-US" w:eastAsia="zh-CN"/>
        </w:rPr>
        <w:t xml:space="preserve">9973451.88</w:t>
      </w:r>
      <w:r>
        <w:rPr>
          <w:rFonts w:hint="eastAsia" w:ascii="宋体" w:hAnsi="宋体" w:eastAsia="宋体" w:cs="宋体"/>
          <w:color w:val="000000"/>
          <w:szCs w:val="24"/>
          <w:highlight w:val="none"/>
        </w:rPr>
        <w:t xml:space="preserve">），含税</w:t>
      </w:r>
      <w:r>
        <w:rPr>
          <w:rFonts w:hint="eastAsia" w:ascii="宋体" w:hAnsi="宋体" w:eastAsia="宋体" w:cs="宋体"/>
          <w:color w:val="000000"/>
          <w:szCs w:val="24"/>
          <w:highlight w:val="none"/>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采购需求</w:t>
      </w:r>
      <w:r>
        <w:rPr>
          <w:rFonts w:hint="eastAsia" w:ascii="宋体" w:hAnsi="宋体" w:eastAsia="宋体" w:cs="宋体"/>
          <w:color w:val="000000"/>
          <w:szCs w:val="24"/>
          <w:highlight w:val="none"/>
          <w:shd w:val="clear" w:color="auto" w:fill="ffffff"/>
          <w:lang w:eastAsia="zh-CN"/>
        </w:rPr>
        <w:t xml:space="preserve">（</w:t>
      </w:r>
      <w:r>
        <w:rPr>
          <w:rFonts w:hint="eastAsia" w:ascii="宋体" w:hAnsi="宋体" w:eastAsia="宋体" w:cs="宋体"/>
          <w:color w:val="000000"/>
          <w:szCs w:val="24"/>
          <w:highlight w:val="none"/>
          <w:shd w:val="clear" w:color="auto" w:fill="ffffff"/>
          <w:lang w:val="en-US" w:eastAsia="zh-CN"/>
        </w:rPr>
        <w:t xml:space="preserve">采购内容的简要概述</w:t>
      </w:r>
      <w:r>
        <w:rPr>
          <w:rFonts w:hint="eastAsia" w:ascii="宋体" w:hAnsi="宋体" w:eastAsia="宋体" w:cs="宋体"/>
          <w:color w:val="000000"/>
          <w:szCs w:val="24"/>
          <w:highlight w:val="none"/>
          <w:shd w:val="clear" w:color="auto" w:fill="ffffff"/>
          <w:lang w:eastAsia="zh-CN"/>
        </w:rPr>
        <w:t xml:space="preserve">）</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shd w:val="clear" w:color="auto" w:fill="ffffff"/>
        </w:rPr>
      </w:r>
      <w:r/>
    </w:p>
    <w:p>
      <w:pPr>
        <w:pStyle w:val="73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val="0"/>
          <w:color w:val="000000"/>
          <w:sz w:val="24"/>
          <w:szCs w:val="24"/>
          <w:highlight w:val="none"/>
          <w:lang w:val="en-US" w:eastAsia="zh-CN" w:bidi="ar"/>
        </w:rPr>
        <w:t xml:space="preserve">1、项目地点：</w:t>
      </w:r>
      <w:r>
        <w:rPr>
          <w:rFonts w:hint="eastAsia" w:ascii="宋体" w:hAnsi="宋体" w:eastAsia="宋体" w:cs="宋体"/>
          <w:color w:val="000000"/>
          <w:sz w:val="24"/>
          <w:szCs w:val="24"/>
          <w:highlight w:val="none"/>
          <w:lang w:val="en-US" w:eastAsia="zh-CN" w:bidi="ar"/>
        </w:rPr>
        <w:t xml:space="preserve">榆荫路东南、水城路西北地块(含苏州嘉丰肥业有限责任公司地块）位于苏州市高新区浒墅关镇惠丰社区，其中，榆荫路东南、水城路西北地块总占地面积约为19747.9㎡，合计约为</w:t>
      </w:r>
      <w:r>
        <w:rPr>
          <w:rFonts w:hint="eastAsia" w:ascii="宋体" w:hAnsi="宋体" w:eastAsia="宋体" w:cs="宋体"/>
          <w:color w:val="000000"/>
          <w:sz w:val="24"/>
          <w:szCs w:val="24"/>
          <w:highlight w:val="none"/>
          <w:lang w:val="en-US" w:eastAsia="zh-CN" w:bidi="ar"/>
        </w:rPr>
        <w:t xml:space="preserve">29.6218亩；苏州嘉丰肥业有限责任公司地块总占地面积约7500㎡，合计约11.25亩。苏州嘉丰肥业有限公司地块东北侧区域同时包含于榆荫路东南、水城路西北地块内，两地块存在公共重叠区域，重叠区域面积约2786㎡。根据根据苏州高新区浒墅关镇总体规划（2015-2030）文件显示，榆荫路东南、水城路西北地块未来规划为居住用地（R2），属于《土壤环境质量建设用地土壤污染风险管控标准(试行)》( GB36600-2018 )中的第一类用地；苏州嘉丰肥业有限公司地块调查地未来规划为居住用地（R2）、道路、公园绿地。</w:t>
      </w:r>
      <w:r>
        <w:rPr>
          <w:rFonts w:hint="eastAsia" w:ascii="宋体" w:hAnsi="宋体" w:eastAsia="宋体" w:cs="宋体"/>
          <w:bCs/>
          <w:color w:val="000000"/>
          <w:sz w:val="24"/>
          <w:szCs w:val="24"/>
          <w:highlight w:val="none"/>
        </w:rPr>
      </w:r>
      <w:r/>
    </w:p>
    <w:p>
      <w:pPr>
        <w:pStyle w:val="73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2、项目由来：根据土壤污染状况调查和风险评估结果，在第一类用地暴露情景下，</w:t>
      </w:r>
      <w:r>
        <w:rPr>
          <w:rFonts w:hint="eastAsia" w:ascii="宋体" w:hAnsi="宋体" w:eastAsia="宋体" w:cs="宋体"/>
          <w:color w:val="000000"/>
          <w:sz w:val="24"/>
          <w:szCs w:val="24"/>
          <w:highlight w:val="none"/>
          <w:lang w:val="en-US" w:eastAsia="zh-CN" w:bidi="ar"/>
        </w:rPr>
        <w:t xml:space="preserve">榆荫路东南、水城路西北地块（含苏州嘉丰肥业有限责任公司地块）</w:t>
      </w:r>
      <w:r>
        <w:rPr>
          <w:rFonts w:hint="eastAsia" w:ascii="宋体" w:hAnsi="宋体" w:eastAsia="宋体" w:cs="宋体"/>
          <w:bCs/>
          <w:color w:val="000000"/>
          <w:sz w:val="24"/>
          <w:szCs w:val="24"/>
          <w:highlight w:val="none"/>
          <w:lang w:val="en-US" w:eastAsia="zh-CN" w:bidi="ar"/>
        </w:rPr>
        <w:t xml:space="preserve">土壤关注污染物风险值超过可接受风险水平，</w:t>
      </w:r>
      <w:r>
        <w:rPr>
          <w:rFonts w:hint="eastAsia" w:ascii="宋体" w:hAnsi="宋体" w:eastAsia="宋体" w:cs="宋体"/>
          <w:color w:val="000000"/>
          <w:sz w:val="24"/>
          <w:szCs w:val="24"/>
          <w:highlight w:val="none"/>
          <w:lang w:val="en-US" w:eastAsia="zh-CN"/>
        </w:rPr>
        <w:t xml:space="preserve">地下水关注污染物风险值未超过可接受风险水平，但基于氨氮通过地下水入渗地下室模型计算转化为氨气过程，未来开发建设的地下室内空气中氨氮浓度将会超过室内空气氨浓度和氨气最敏感嗅阈值，不符合建设开发设计要求，未来居住人群将能闻到室内空气中有氨气气味，不可接受，需对地下水中氨氮进行修复。</w:t>
      </w:r>
      <w:r>
        <w:rPr>
          <w:rFonts w:hint="eastAsia" w:ascii="宋体" w:hAnsi="宋体" w:eastAsia="宋体" w:cs="宋体"/>
          <w:bCs/>
          <w:color w:val="000000"/>
          <w:sz w:val="24"/>
          <w:szCs w:val="24"/>
          <w:highlight w:val="none"/>
          <w:lang w:val="en-US" w:eastAsia="zh-CN" w:bidi="ar"/>
        </w:rPr>
        <w:t xml:space="preserve">居住用地类型下，土壤中砷、锑、铅、石油烃C10-C40、苯并a芘的修复目标建议值，分别为20mg/kg、20mg/kg、400mg/kg、826mg/kg、0.55mg/kg；地下水关注污染物</w:t>
      </w:r>
      <w:r>
        <w:rPr>
          <w:rFonts w:hint="eastAsia" w:ascii="宋体" w:hAnsi="宋体" w:eastAsia="宋体" w:cs="宋体"/>
          <w:color w:val="000000"/>
          <w:sz w:val="24"/>
          <w:szCs w:val="24"/>
          <w:highlight w:val="none"/>
          <w:lang w:val="en-US" w:eastAsia="zh-CN" w:bidi="ar"/>
        </w:rPr>
        <w:t xml:space="preserve">氨氮建议修复目标值为154.24mg/kg</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r>
      <w:r/>
    </w:p>
    <w:p>
      <w:pPr>
        <w:pStyle w:val="73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3、项目规模：在第一类用地方式下地块</w:t>
      </w:r>
      <w:r>
        <w:rPr>
          <w:rFonts w:hint="eastAsia" w:ascii="宋体" w:hAnsi="宋体" w:eastAsia="宋体" w:cs="宋体"/>
          <w:color w:val="000000"/>
          <w:sz w:val="24"/>
          <w:szCs w:val="24"/>
          <w:highlight w:val="none"/>
          <w:lang w:val="en-US" w:eastAsia="zh-CN"/>
        </w:rPr>
        <w:t xml:space="preserve">土壤修复面积为2238 平方米，修复土方量为 6794 立方米</w:t>
      </w:r>
      <w:r>
        <w:rPr>
          <w:rFonts w:hint="eastAsia" w:ascii="宋体" w:hAnsi="宋体" w:eastAsia="宋体" w:cs="宋体"/>
          <w:bCs/>
          <w:color w:val="000000"/>
          <w:sz w:val="24"/>
          <w:szCs w:val="24"/>
          <w:highlight w:val="none"/>
          <w:lang w:val="en-US" w:eastAsia="zh-CN" w:bidi="ar"/>
        </w:rPr>
        <w:t xml:space="preserve">。污染地下水建议修复区域，修复面积2546平方米</w:t>
      </w:r>
      <w:r>
        <w:rPr>
          <w:rFonts w:hint="eastAsia" w:ascii="宋体" w:hAnsi="宋体" w:eastAsia="宋体" w:cs="宋体"/>
          <w:color w:val="000000"/>
          <w:sz w:val="24"/>
          <w:szCs w:val="24"/>
          <w:highlight w:val="none"/>
          <w:lang w:val="en-US" w:eastAsia="zh-CN"/>
        </w:rPr>
        <w:t xml:space="preserve">，修复方量约为3375立方米</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实际修复范围和方量可能会随现场情况有所调整</w:t>
      </w:r>
      <w:r>
        <w:rPr>
          <w:rFonts w:hint="eastAsia" w:ascii="宋体" w:hAnsi="宋体" w:eastAsia="宋体" w:cs="宋体"/>
          <w:color w:val="000000"/>
          <w:sz w:val="24"/>
          <w:szCs w:val="24"/>
          <w:highlight w:val="none"/>
          <w:lang w:eastAsia="zh-CN"/>
        </w:rPr>
        <w:t xml:space="preserve">，实际修复过程中以实测值为准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69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4、处置方式：建议推荐的土壤修复技术为水泥窑协同处理技术，地下水处理技术为抽出处理技术。</w:t>
      </w:r>
      <w:r>
        <w:rPr>
          <w:rFonts w:hint="eastAsia" w:ascii="宋体" w:hAnsi="宋体" w:eastAsia="宋体" w:cs="宋体"/>
          <w:color w:val="000000"/>
          <w:sz w:val="24"/>
          <w:szCs w:val="24"/>
          <w:highlight w:val="none"/>
        </w:rPr>
      </w:r>
      <w:r/>
    </w:p>
    <w:p>
      <w:pPr>
        <w:pStyle w:val="696"/>
        <w:ind w:firstLine="480"/>
        <w:jc w:val="left"/>
        <w:spacing w:line="36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合同履行期限：</w:t>
      </w:r>
      <w:r>
        <w:rPr>
          <w:rFonts w:hint="eastAsia" w:ascii="宋体" w:hAnsi="宋体" w:eastAsia="宋体" w:cs="宋体"/>
          <w:bCs/>
          <w:color w:val="000000"/>
          <w:sz w:val="24"/>
          <w:szCs w:val="24"/>
          <w:highlight w:val="none"/>
          <w:lang w:val="en-US" w:bidi="ar"/>
        </w:rPr>
        <w:t xml:space="preserve">从治理项目实施开始至项目完成并通过</w:t>
      </w:r>
      <w:r>
        <w:rPr>
          <w:rFonts w:hint="eastAsia" w:ascii="宋体" w:hAnsi="宋体" w:eastAsia="宋体" w:cs="宋体"/>
          <w:bCs/>
          <w:color w:val="000000"/>
          <w:sz w:val="24"/>
          <w:szCs w:val="24"/>
          <w:highlight w:val="none"/>
          <w:lang w:val="en-US" w:eastAsia="zh-CN" w:bidi="ar"/>
        </w:rPr>
        <w:t xml:space="preserve">江苏省生态环境厅和江苏省自然资源厅</w:t>
      </w:r>
      <w:r>
        <w:rPr>
          <w:rFonts w:hint="eastAsia" w:ascii="宋体" w:hAnsi="宋体" w:eastAsia="宋体" w:cs="宋体"/>
          <w:bCs/>
          <w:color w:val="000000"/>
          <w:sz w:val="24"/>
          <w:szCs w:val="24"/>
          <w:highlight w:val="none"/>
          <w:lang w:val="en-US" w:bidi="ar"/>
        </w:rPr>
        <w:t xml:space="preserve">组织的效果评估为止</w:t>
      </w:r>
      <w:r>
        <w:rPr>
          <w:rFonts w:hint="eastAsia" w:ascii="宋体" w:hAnsi="宋体" w:eastAsia="宋体" w:cs="宋体"/>
          <w:bCs/>
          <w:color w:val="000000"/>
          <w:sz w:val="24"/>
          <w:szCs w:val="24"/>
          <w:highlight w:val="none"/>
          <w:lang w:val="en-US" w:eastAsia="zh-CN" w:bidi="ar"/>
        </w:rPr>
        <w:t xml:space="preserve">（其中准备工期30天，项目实施工期暂定180天，项目自检及效果评估期暂定810天，考虑到修复过程中可能存在特殊天气或不可抗因素，会延误工程工期，初步估算本项目总工期1080天）</w:t>
      </w:r>
      <w:r>
        <w:rPr>
          <w:rFonts w:hint="eastAsia" w:ascii="宋体" w:hAnsi="宋体" w:eastAsia="宋体" w:cs="宋体"/>
          <w:bCs/>
          <w:color w:val="000000"/>
          <w:sz w:val="24"/>
          <w:szCs w:val="24"/>
          <w:highlight w:val="none"/>
          <w:lang w:val="en-US" w:bidi="ar"/>
        </w:rPr>
        <w:t xml:space="preserve">。</w:t>
      </w:r>
      <w:r>
        <w:rPr>
          <w:rFonts w:hint="eastAsia" w:ascii="宋体" w:hAnsi="宋体" w:eastAsia="宋体" w:cs="宋体"/>
          <w:bCs/>
          <w:color w:val="000000"/>
          <w:sz w:val="24"/>
          <w:szCs w:val="24"/>
          <w:highlight w:val="none"/>
          <w:lang w:bidi="ar"/>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本项目（是/否）接受联合体投标：否</w:t>
      </w:r>
      <w:r/>
      <w:r>
        <w:rPr>
          <w:rFonts w:hint="eastAsia" w:ascii="宋体" w:hAnsi="宋体" w:eastAsia="宋体" w:cs="宋体"/>
          <w:color w:val="000000"/>
          <w:szCs w:val="24"/>
          <w:highlight w:val="none"/>
        </w:rP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二、申请人的资格要求：</w:t>
      </w:r>
      <w:r>
        <w:rPr>
          <w:rFonts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（一）满足《中华人民共和国政府采购法》第二十二条规定：</w:t>
      </w:r>
      <w:r>
        <w:rPr>
          <w:rFonts w:hint="eastAsia" w:ascii="宋体" w:hAnsi="宋体" w:eastAsia="宋体" w:cs="宋体"/>
          <w:color w:val="000000"/>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（二）落实政府采购政策需满足的资格要求：</w:t>
      </w:r>
      <w:r>
        <w:rPr>
          <w:rFonts w:hint="eastAsia" w:ascii="宋体" w:hAnsi="宋体" w:eastAsia="宋体" w:cs="宋体"/>
          <w:color w:val="000000"/>
          <w:sz w:val="24"/>
          <w:szCs w:val="24"/>
          <w:highlight w:val="none"/>
          <w:shd w:val="clear" w:color="auto" w:fill="ffffff"/>
        </w:rPr>
        <w:t xml:space="preserve">根据《政府采购促进中小企业发展管理办法》的相关规定，本项目专门面向中小企业采购，所属行业为其他未列明行业。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Cs w:val="24"/>
          <w:highlight w:val="none"/>
          <w:shd w:val="clear" w:color="auto" w:fill="ffffff"/>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（三）本项目的特定资格要求： </w:t>
      </w:r>
      <w:r>
        <w:rPr>
          <w:rFonts w:hint="eastAsia" w:ascii="宋体" w:hAnsi="宋体" w:eastAsia="宋体" w:cs="宋体"/>
          <w:color w:val="000000"/>
          <w:szCs w:val="24"/>
          <w:highlight w:val="none"/>
          <w:shd w:val="clear" w:color="auto" w:fill="ffffff"/>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1.未被“信用中国”网站（www.creditchina.gov.cn）列入失信被执行人、重大税收违法案件当事人名单、政府采购严重失信行为记录名单。</w:t>
      </w:r>
      <w:r/>
      <w:r>
        <w:rPr>
          <w:rFonts w:hint="eastAsia" w:ascii="宋体" w:hAnsi="宋体" w:eastAsia="宋体" w:cs="宋体"/>
          <w:color w:val="000000"/>
          <w:szCs w:val="24"/>
          <w:highlight w:val="none"/>
        </w:rP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三、获取招标文件</w:t>
      </w:r>
      <w:r>
        <w:rPr>
          <w:rFonts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时间：</w:t>
      </w:r>
      <w:r>
        <w:rPr>
          <w:rFonts w:hint="eastAsia" w:ascii="宋体" w:hAnsi="宋体" w:eastAsia="宋体" w:cs="宋体"/>
          <w:color w:val="000000"/>
          <w:szCs w:val="24"/>
          <w:highlight w:val="none"/>
          <w:shd w:val="clear" w:color="auto" w:fill="ffffff"/>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2024年0</w:t>
      </w:r>
      <w:r>
        <w:rPr>
          <w:rFonts w:hint="eastAsia" w:ascii="宋体" w:hAnsi="宋体" w:eastAsia="宋体" w:cs="宋体"/>
          <w:color w:val="000000"/>
          <w:szCs w:val="24"/>
          <w:highlight w:val="none"/>
          <w:shd w:val="clear" w:color="auto" w:fill="ffffff"/>
          <w:lang w:val="en-US" w:eastAsia="zh-CN"/>
        </w:rPr>
        <w:t xml:space="preserve">7</w:t>
      </w:r>
      <w:r>
        <w:rPr>
          <w:rFonts w:hint="eastAsia" w:ascii="宋体" w:hAnsi="宋体" w:eastAsia="宋体" w:cs="宋体"/>
          <w:color w:val="000000"/>
          <w:szCs w:val="24"/>
          <w:highlight w:val="none"/>
          <w:shd w:val="clear" w:color="auto" w:fill="ffffff"/>
        </w:rPr>
        <w:t xml:space="preserve">月</w:t>
      </w:r>
      <w:r>
        <w:rPr>
          <w:rFonts w:hint="eastAsia" w:ascii="宋体" w:hAnsi="宋体" w:eastAsia="宋体" w:cs="宋体"/>
          <w:color w:val="000000"/>
          <w:szCs w:val="24"/>
          <w:highlight w:val="none"/>
          <w:shd w:val="clear" w:color="auto" w:fill="ffffff"/>
          <w:lang w:val="en-US" w:eastAsia="zh-CN"/>
        </w:rPr>
        <w:t xml:space="preserve">30</w:t>
      </w:r>
      <w:r>
        <w:rPr>
          <w:rFonts w:hint="eastAsia" w:ascii="宋体" w:hAnsi="宋体" w:eastAsia="宋体" w:cs="宋体"/>
          <w:color w:val="000000"/>
          <w:szCs w:val="24"/>
          <w:highlight w:val="none"/>
          <w:shd w:val="clear" w:color="auto" w:fill="ffffff"/>
        </w:rPr>
        <w:t xml:space="preserve">日至2024年0</w:t>
      </w:r>
      <w:r>
        <w:rPr>
          <w:rFonts w:hint="eastAsia" w:ascii="宋体" w:hAnsi="宋体" w:eastAsia="宋体" w:cs="宋体"/>
          <w:color w:val="000000"/>
          <w:szCs w:val="24"/>
          <w:highlight w:val="none"/>
          <w:shd w:val="clear" w:color="auto" w:fill="ffffff"/>
          <w:lang w:val="en-US" w:eastAsia="zh-CN"/>
        </w:rPr>
        <w:t xml:space="preserve">8</w:t>
      </w:r>
      <w:r>
        <w:rPr>
          <w:rFonts w:hint="eastAsia" w:ascii="宋体" w:hAnsi="宋体" w:eastAsia="宋体" w:cs="宋体"/>
          <w:color w:val="000000"/>
          <w:szCs w:val="24"/>
          <w:highlight w:val="none"/>
          <w:shd w:val="clear" w:color="auto" w:fill="ffffff"/>
        </w:rPr>
        <w:t xml:space="preserve">月0</w:t>
      </w:r>
      <w:r>
        <w:rPr>
          <w:rFonts w:hint="eastAsia" w:ascii="宋体" w:hAnsi="宋体" w:eastAsia="宋体" w:cs="宋体"/>
          <w:color w:val="000000"/>
          <w:szCs w:val="24"/>
          <w:highlight w:val="none"/>
          <w:shd w:val="clear" w:color="auto" w:fill="ffffff"/>
          <w:lang w:val="en-US" w:eastAsia="zh-CN"/>
        </w:rPr>
        <w:t xml:space="preserve">6</w:t>
      </w:r>
      <w:r>
        <w:rPr>
          <w:rFonts w:hint="eastAsia" w:ascii="宋体" w:hAnsi="宋体" w:eastAsia="宋体" w:cs="宋体"/>
          <w:color w:val="000000"/>
          <w:szCs w:val="24"/>
          <w:highlight w:val="none"/>
          <w:shd w:val="clear" w:color="auto" w:fill="ffffff"/>
        </w:rPr>
        <w:t xml:space="preserve">日，每天上午00:00-12:00，下午12:00-23:59（北京时间，法定节假日除外）</w:t>
      </w:r>
      <w:r>
        <w:rPr>
          <w:rFonts w:hint="eastAsia" w:ascii="宋体" w:hAnsi="宋体" w:eastAsia="宋体" w:cs="宋体"/>
          <w:color w:val="000000"/>
          <w:szCs w:val="24"/>
          <w:highlight w:val="none"/>
          <w:shd w:val="clear" w:color="auto" w:fill="ffffff"/>
        </w:rPr>
      </w:r>
      <w:r/>
    </w:p>
    <w:p>
      <w:pPr>
        <w:pStyle w:val="734"/>
        <w:spacing w:beforeAutospacing="0" w:afterAutospacing="0" w:line="360" w:lineRule="auto"/>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地点：“苏采云”系统</w:t>
      </w:r>
      <w:r>
        <w:rPr>
          <w:rFonts w:hint="eastAsia" w:ascii="宋体" w:hAnsi="宋体" w:eastAsia="宋体" w:cs="宋体"/>
          <w:color w:val="000000"/>
          <w:szCs w:val="24"/>
          <w:highlight w:val="none"/>
          <w:shd w:val="clear" w:color="auto" w:fill="ffffff"/>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方式：网上获取 </w:t>
      </w:r>
      <w:r>
        <w:rPr>
          <w:rFonts w:hint="eastAsia" w:ascii="宋体" w:hAnsi="宋体" w:eastAsia="宋体" w:cs="宋体"/>
          <w:color w:val="000000"/>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售价：0.00元 </w:t>
      </w:r>
      <w:r/>
      <w:r>
        <w:rPr>
          <w:rFonts w:hint="eastAsia" w:ascii="宋体" w:hAnsi="宋体" w:eastAsia="宋体" w:cs="宋体"/>
          <w:color w:val="000000"/>
          <w:szCs w:val="24"/>
          <w:highlight w:val="none"/>
        </w:rP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四、提交投标文件截止时间、开标时间和地点</w:t>
      </w:r>
      <w:r>
        <w:rPr>
          <w:rFonts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2024-0</w:t>
      </w:r>
      <w:r>
        <w:rPr>
          <w:rFonts w:hint="eastAsia" w:ascii="宋体" w:hAnsi="宋体" w:eastAsia="宋体" w:cs="宋体"/>
          <w:color w:val="000000"/>
          <w:szCs w:val="24"/>
          <w:highlight w:val="none"/>
          <w:shd w:val="clear" w:color="auto" w:fill="ffffff"/>
          <w:lang w:val="en-US" w:eastAsia="zh-CN"/>
        </w:rPr>
        <w:t xml:space="preserve">8</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shd w:val="clear" w:color="auto" w:fill="ffffff"/>
          <w:lang w:val="en-US" w:eastAsia="zh-CN"/>
        </w:rPr>
        <w:t xml:space="preserve">22</w:t>
      </w:r>
      <w:r>
        <w:rPr>
          <w:rFonts w:hint="eastAsia" w:ascii="宋体" w:hAnsi="宋体" w:eastAsia="宋体" w:cs="宋体"/>
          <w:color w:val="000000"/>
          <w:szCs w:val="24"/>
          <w:highlight w:val="none"/>
          <w:shd w:val="clear" w:color="auto" w:fill="ffffff"/>
        </w:rPr>
        <w:t xml:space="preserve"> 0</w:t>
      </w:r>
      <w:r>
        <w:rPr>
          <w:rFonts w:hint="eastAsia" w:ascii="宋体" w:hAnsi="宋体" w:eastAsia="宋体" w:cs="宋体"/>
          <w:color w:val="000000"/>
          <w:szCs w:val="24"/>
          <w:highlight w:val="none"/>
          <w:shd w:val="clear" w:color="auto" w:fill="ffffff"/>
          <w:lang w:val="en-US" w:eastAsia="zh-CN"/>
        </w:rPr>
        <w:t xml:space="preserve">9</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shd w:val="clear" w:color="auto" w:fill="ffffff"/>
          <w:lang w:val="en-US" w:eastAsia="zh-CN"/>
        </w:rPr>
        <w:t xml:space="preserve">3</w:t>
      </w:r>
      <w:r>
        <w:rPr>
          <w:rFonts w:hint="eastAsia" w:ascii="宋体" w:hAnsi="宋体" w:eastAsia="宋体" w:cs="宋体"/>
          <w:color w:val="000000"/>
          <w:szCs w:val="24"/>
          <w:highlight w:val="none"/>
          <w:shd w:val="clear" w:color="auto" w:fill="ffffff"/>
        </w:rPr>
        <w:t xml:space="preserve">0 （北京时间）</w:t>
      </w:r>
      <w:r>
        <w:rPr>
          <w:rFonts w:hint="eastAsia" w:ascii="宋体" w:hAnsi="宋体" w:eastAsia="宋体" w:cs="宋体"/>
          <w:color w:val="000000"/>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地点：“苏采云”系统“开标大厅” </w:t>
      </w:r>
      <w:r/>
      <w:r>
        <w:rPr>
          <w:rFonts w:hint="eastAsia" w:ascii="宋体" w:hAnsi="宋体" w:eastAsia="宋体" w:cs="宋体"/>
          <w:color w:val="000000"/>
          <w:szCs w:val="24"/>
          <w:highlight w:val="none"/>
        </w:rP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五、公告期限</w:t>
      </w:r>
      <w:r>
        <w:rPr>
          <w:rFonts w:cs="宋体"/>
          <w:color w:val="000000"/>
          <w:sz w:val="24"/>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自本公告发布之日起5个工作日。</w:t>
      </w:r>
      <w:r/>
      <w:r>
        <w:rPr>
          <w:rFonts w:hint="eastAsia" w:ascii="宋体" w:hAnsi="宋体" w:eastAsia="宋体" w:cs="宋体"/>
          <w:color w:val="000000"/>
          <w:szCs w:val="24"/>
          <w:highlight w:val="none"/>
        </w:rP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六、其他补充事宜</w:t>
      </w:r>
      <w:r>
        <w:rPr>
          <w:rFonts w:cs="宋体"/>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1、CA证书办理</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w:t>
      </w:r>
      <w:r>
        <w:rPr>
          <w:rFonts w:hint="eastAsia" w:ascii="宋体" w:hAnsi="宋体" w:eastAsia="宋体" w:cs="宋体"/>
          <w:bCs/>
          <w:color w:val="000000"/>
          <w:sz w:val="24"/>
          <w:szCs w:val="24"/>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2、依法获取采购文件</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供应商插入CA证书登陆</w:t>
      </w:r>
      <w:r>
        <w:rPr>
          <w:rFonts w:hint="eastAsia" w:ascii="宋体" w:hAnsi="宋体" w:eastAsia="宋体" w:cs="宋体"/>
          <w:bCs/>
          <w:color w:val="000000"/>
          <w:sz w:val="24"/>
          <w:szCs w:val="24"/>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更正（补充）公告及附件的获取：项目的招标（采购）文件的更正、补充（澄清）通知作为招标（采购）文件的组成部分，对</w:t>
      </w:r>
      <w:r>
        <w:rPr>
          <w:rFonts w:hint="eastAsia" w:ascii="宋体" w:hAnsi="宋体" w:eastAsia="宋体" w:cs="宋体"/>
          <w:bCs/>
          <w:color w:val="000000"/>
          <w:sz w:val="24"/>
          <w:szCs w:val="24"/>
          <w:highlight w:val="none"/>
          <w:lang w:eastAsia="zh-CN" w:bidi="ar"/>
        </w:rPr>
        <w:t xml:space="preserve">投标人</w:t>
      </w:r>
      <w:r>
        <w:rPr>
          <w:rFonts w:hint="eastAsia" w:ascii="宋体" w:hAnsi="宋体" w:eastAsia="宋体" w:cs="宋体"/>
          <w:bCs/>
          <w:color w:val="000000"/>
          <w:sz w:val="24"/>
          <w:szCs w:val="24"/>
          <w:highlight w:val="none"/>
          <w:lang w:bidi="ar"/>
        </w:rPr>
        <w:t xml:space="preserve">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eastAsia="宋体" w:cs="宋体"/>
          <w:bCs/>
          <w:color w:val="000000"/>
          <w:sz w:val="24"/>
          <w:szCs w:val="24"/>
          <w:highlight w:val="none"/>
          <w:lang w:bidi="ar"/>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3、电子投标（响应）准备</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lang w:bidi="ar"/>
        </w:rPr>
      </w:r>
      <w:r/>
    </w:p>
    <w:p>
      <w:pPr>
        <w:pStyle w:val="696"/>
        <w:ind w:firstLine="480"/>
        <w:jc w:val="both"/>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eastAsia="宋体" w:cs="宋体"/>
          <w:color w:val="000000"/>
          <w:sz w:val="24"/>
          <w:szCs w:val="24"/>
          <w:highlight w:val="none"/>
          <w:lang w:bidi="ar"/>
        </w:rPr>
        <w:t xml:space="preserve">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highlight w:val="none"/>
          <w:lang w:bidi="ar"/>
        </w:rPr>
      </w:r>
      <w:r/>
    </w:p>
    <w:p>
      <w:pPr>
        <w:pStyle w:val="696"/>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4、在系统操作过程中如有疑问，请按以下方式联系：</w:t>
      </w:r>
      <w:r>
        <w:rPr>
          <w:rFonts w:hint="eastAsia" w:ascii="宋体" w:hAnsi="宋体" w:eastAsia="宋体" w:cs="宋体"/>
          <w:bCs/>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bidi="ar"/>
        </w:rPr>
        <w:t xml:space="preserve">本项目为不见面开标项目，开标阶段供应商在【供应商解密】环节必须使用 CA证书解密电子投标（响应）文件，如在系统规定的解密时间（投标/投标文件提交截止时间后30分钟）内未能完成解密的视为放弃投标。</w:t>
      </w:r>
      <w:r>
        <w:rPr>
          <w:rFonts w:hint="eastAsia" w:ascii="宋体" w:hAnsi="宋体" w:eastAsia="宋体" w:cs="宋体"/>
          <w:b/>
          <w:bCs/>
          <w:color w:val="000000"/>
          <w:sz w:val="24"/>
          <w:szCs w:val="24"/>
          <w:highlight w:val="none"/>
          <w:lang w:bidi="ar"/>
        </w:rPr>
      </w:r>
      <w:r/>
    </w:p>
    <w:p>
      <w:pPr>
        <w:pStyle w:val="696"/>
        <w:ind w:firstLine="480"/>
        <w:spacing w:line="360" w:lineRule="auto"/>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 w:val="24"/>
          <w:szCs w:val="24"/>
          <w:highlight w:val="none"/>
          <w:shd w:val="clear" w:color="auto" w:fill="ffffff"/>
          <w:lang w:bidi="ar"/>
        </w:rPr>
      </w:r>
      <w:r/>
    </w:p>
    <w:p>
      <w:pPr>
        <w:pStyle w:val="696"/>
        <w:ind w:firstLine="480"/>
        <w:jc w:val="both"/>
        <w:spacing w:line="360" w:lineRule="auto"/>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6、本项目获取招标（采购）文件截止日期之后下载的招标（采购）文件，视为非有效方式且不作为供应商权益受到损害的证明材料和依据。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696"/>
        <w:ind w:firstLine="480"/>
        <w:jc w:val="both"/>
        <w:spacing w:line="360" w:lineRule="auto"/>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bidi="ar"/>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szCs w:val="24"/>
          <w:highlight w:val="none"/>
        </w:rPr>
      </w:r>
      <w:r/>
    </w:p>
    <w:p>
      <w:pPr>
        <w:pStyle w:val="696"/>
        <w:ind w:firstLine="480"/>
        <w:jc w:val="both"/>
        <w:spacing w:line="360" w:lineRule="auto"/>
        <w:widowControl w:val="off"/>
        <w:tabs>
          <w:tab w:val="left" w:pos="148"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color w:val="000000"/>
          <w:sz w:val="24"/>
          <w:szCs w:val="24"/>
          <w:highlight w:val="none"/>
        </w:rPr>
      </w:r>
      <w:r/>
    </w:p>
    <w:p>
      <w:pPr>
        <w:pStyle w:val="696"/>
        <w:ind w:firstLine="482"/>
        <w:spacing w:line="360" w:lineRule="auto"/>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9、不同供应商投标文件的制作机器码一致，均视为无效响应。</w:t>
      </w:r>
      <w:r>
        <w:rPr>
          <w:rFonts w:hint="eastAsia" w:ascii="宋体" w:hAnsi="宋体" w:eastAsia="宋体" w:cs="宋体"/>
          <w:color w:val="000000"/>
          <w:sz w:val="24"/>
          <w:szCs w:val="24"/>
          <w:highlight w:val="none"/>
          <w:shd w:val="clear" w:color="auto" w:fill="ffffff"/>
          <w:lang w:bidi="ar"/>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10、本次招标投标保证金：本项目无须缴纳投标保证金。</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11、政府采购履约资金扶持政策：</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中标供应商可凭政府采购合同办理融资贷款，详情请见江苏政府采购网“政采贷”专栏。</w:t>
      </w:r>
      <w:r>
        <w:rPr>
          <w:rFonts w:hint="eastAsia" w:ascii="宋体" w:hAnsi="宋体" w:eastAsia="宋体" w:cs="宋体"/>
          <w:color w:val="000000"/>
          <w:sz w:val="24"/>
          <w:szCs w:val="24"/>
          <w:highlight w:val="none"/>
          <w:shd w:val="clear" w:color="auto" w:fill="ffffff"/>
          <w:lang w:bidi="ar"/>
        </w:rPr>
      </w:r>
      <w:r/>
    </w:p>
    <w:p>
      <w:pPr>
        <w:pStyle w:val="696"/>
        <w:ind w:firstLine="480"/>
        <w:jc w:val="both"/>
        <w:spacing w:line="360" w:lineRule="auto"/>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bidi="ar"/>
        </w:rPr>
        <w:t xml:space="preserve">本采购信息公告媒体：中国政府采购网、江苏省政府采购、苏州市政府采购。</w:t>
      </w:r>
      <w:r>
        <w:rPr>
          <w:rFonts w:hint="eastAsia" w:ascii="宋体" w:hAnsi="宋体" w:eastAsia="宋体" w:cs="宋体"/>
          <w:color w:val="000000"/>
          <w:sz w:val="24"/>
          <w:szCs w:val="24"/>
          <w:highlight w:val="none"/>
        </w:rPr>
      </w:r>
      <w:r/>
    </w:p>
    <w:p>
      <w:pPr>
        <w:pStyle w:val="696"/>
        <w:ind w:firstLine="480"/>
        <w:jc w:val="both"/>
        <w:spacing w:line="360" w:lineRule="auto"/>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13、苏州高新区政府采购管理监督电话：0512-68751335。</w:t>
      </w:r>
      <w:r>
        <w:rPr>
          <w:rFonts w:hint="eastAsia" w:ascii="宋体" w:hAnsi="宋体" w:eastAsia="宋体" w:cs="宋体"/>
          <w:color w:val="000000"/>
          <w:sz w:val="24"/>
          <w:szCs w:val="24"/>
          <w:highlight w:val="none"/>
        </w:rPr>
      </w:r>
      <w:r/>
    </w:p>
    <w:p>
      <w:pPr>
        <w:pStyle w:val="696"/>
        <w:spacing w:line="360" w:lineRule="auto"/>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r>
      <w:r/>
    </w:p>
    <w:p>
      <w:pPr>
        <w:pStyle w:val="697"/>
        <w:spacing w:before="0" w:beforeAutospacing="0" w:after="0" w:afterAutospacing="0" w:line="360" w:lineRule="auto"/>
        <w:rPr>
          <w:rFonts w:cs="宋体"/>
          <w:color w:val="000000"/>
          <w:sz w:val="24"/>
          <w:szCs w:val="24"/>
          <w:highlight w:val="none"/>
        </w:rPr>
      </w:pPr>
      <w:r>
        <w:rPr>
          <w:rStyle w:val="741"/>
          <w:rFonts w:cs="宋体"/>
          <w:color w:val="000000"/>
          <w:sz w:val="24"/>
          <w:szCs w:val="24"/>
          <w:highlight w:val="none"/>
          <w:shd w:val="clear" w:color="auto" w:fill="ffffff"/>
        </w:rPr>
        <w:t xml:space="preserve">七、对本次招标提出询问，请按以下方式联系。</w:t>
      </w:r>
      <w:r>
        <w:rPr>
          <w:rFonts w:cs="宋体"/>
          <w:color w:val="000000"/>
          <w:sz w:val="24"/>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1.采购人信息 </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lang w:eastAsia="zh-CN"/>
        </w:rPr>
        <w:t xml:space="preserve">苏州浒墅关经济技术开发区管理委员会</w:t>
      </w:r>
      <w:r>
        <w:rPr>
          <w:rFonts w:hint="eastAsia" w:ascii="宋体" w:hAnsi="宋体" w:eastAsia="宋体" w:cs="宋体"/>
          <w:color w:val="000000"/>
          <w:szCs w:val="24"/>
          <w:highlight w:val="none"/>
          <w:lang w:eastAsia="zh-CN"/>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苏州高新区大同路19号</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lang w:val="zh-CN"/>
        </w:rPr>
        <w:t xml:space="preserve">0512-</w:t>
      </w:r>
      <w:r>
        <w:rPr>
          <w:rFonts w:hint="eastAsia" w:ascii="宋体" w:hAnsi="宋体" w:eastAsia="宋体" w:cs="宋体"/>
          <w:color w:val="000000"/>
          <w:szCs w:val="24"/>
          <w:highlight w:val="none"/>
          <w:lang w:val="en-US" w:eastAsia="zh-CN"/>
        </w:rPr>
        <w:t xml:space="preserve">68016113</w:t>
      </w:r>
      <w:r>
        <w:rPr>
          <w:rFonts w:ascii="宋体" w:hAnsi="宋体" w:eastAsia="宋体" w:cs="宋体"/>
          <w:color w:val="000000"/>
          <w:szCs w:val="24"/>
          <w:highlight w:val="none"/>
          <w:lang w:val="en-US" w:eastAsia="zh-CN"/>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2.采购代理机构信息（如有）</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rPr>
        <w:t xml:space="preserve">涵熙（苏州）工程顾问有限公司</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苏州高新区汾湖路 99 号狮山总部经济中心7幢3-4层</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3.项目联系方式</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734"/>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734"/>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0"/>
        <w:jc w:val="right"/>
        <w:spacing w:line="360" w:lineRule="auto"/>
        <w:widowControl w:val="off"/>
        <w:tabs>
          <w:tab w:val="left" w:pos="148"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r>
      <w:r/>
    </w:p>
    <w:p>
      <w:pPr>
        <w:pStyle w:val="696"/>
        <w:ind w:firstLine="480"/>
        <w:jc w:val="right"/>
        <w:spacing w:line="360" w:lineRule="auto"/>
        <w:widowControl w:val="off"/>
        <w:tabs>
          <w:tab w:val="left" w:pos="148"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696"/>
        <w:ind w:firstLine="480"/>
        <w:jc w:val="center"/>
        <w:spacing w:line="360" w:lineRule="auto"/>
        <w:widowControl w:val="off"/>
        <w:tabs>
          <w:tab w:val="left" w:pos="148" w:leader="none"/>
        </w:tabs>
        <w:rPr>
          <w:rFonts w:ascii="宋体" w:hAnsi="宋体" w:eastAsia="宋体" w:cs="宋体"/>
          <w:b/>
          <w:bCs/>
          <w:color w:val="000000"/>
          <w:sz w:val="32"/>
          <w:szCs w:val="32"/>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32"/>
          <w:szCs w:val="32"/>
          <w:highlight w:val="none"/>
        </w:rPr>
        <w:t xml:space="preserve">第二章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投标人须知</w:t>
      </w:r>
      <w:r>
        <w:rPr>
          <w:rFonts w:ascii="宋体" w:hAnsi="宋体" w:eastAsia="宋体" w:cs="宋体"/>
          <w:b/>
          <w:bCs/>
          <w:color w:val="000000"/>
          <w:sz w:val="32"/>
          <w:szCs w:val="32"/>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一、说明和释义</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1、说明</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rPr>
        <w:t xml:space="preserve">招标文件仅适用于涵熙（苏州）工程顾问有限公司组织的采购活动。</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本次招标活动及因本次招标产生的合同受中国法律制约和保护。</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rPr>
        <w:t xml:space="preserve">招标文件的解释权属于涵熙（苏州）工程顾问有限公司。</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2、词语释义</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2.1采购人：指依法进行政府采购的国家机关、事业单位、团体组织。</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2.2采购代理机构：指依法接受采购人委托，从事货物、工程和服务等政府采购代理业务的社会中介机构。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2.3投标人：指响应招标、参加投标竞争的法人、其他组织或者自然人。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2.4响应：投标人根据采购人或采购代理机构发布的招标文件，编制投标文件并按规定投标的行为。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2.6甲方（采购人）：合同中明确规定的实际购买货物和服务的法人或其他组织和自然人。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2.7乙方（供应商）：合同中规定的向采购人提供货物和服务的法人或其他组织和自然人。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2.10知识产权：指专利权、商标权、著作权等无形财产专有权的统称。</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2.11天：日历日。</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2.12时间：除特别说明，均指北京时间。</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2.13交货地点：合同中明确约定的乙方提交的货物和服务最终到达地点。</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2.14合同价款：根据合同规定，乙方在正确地履行合同义务后甲方应支付乙方的价款。</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2.15产地：货物开采、生长、生产、最终制造、加工或提供服务的来源地。</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2.18进口产品：通过中国海关报关验放进入中国境内且产自关境外的产品。</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2.19书面形式：指书面文字、合同书、信件和传真等可以有形地表现所载内容的形式。</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2.20核心产品：根据本项目技术构成、产品价格比重等合理确定的产品。</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二、投标人</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3、投标人资格要求：详见本项目招标公告中的“申请人的资格要求”</w:t>
      </w:r>
      <w:r>
        <w:rPr>
          <w:rFonts w:hint="eastAsia"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4、投标人代表</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4.1指全权代表投标人参加投标活动并签署投标文件的人，如果投标人代表不是法定代表人，须持有《</w:t>
      </w:r>
      <w:r>
        <w:rPr>
          <w:rFonts w:hint="eastAsia" w:ascii="宋体" w:hAnsi="宋体" w:eastAsia="宋体" w:cs="宋体"/>
          <w:color w:val="000000"/>
          <w:sz w:val="24"/>
          <w:szCs w:val="24"/>
          <w:highlight w:val="none"/>
        </w:rPr>
        <w:t xml:space="preserve">法定代表人授权委托书》</w:t>
      </w:r>
      <w:r>
        <w:rPr>
          <w:rFonts w:ascii="宋体" w:hAnsi="宋体" w:eastAsia="宋体" w:cs="宋体"/>
          <w:color w:val="000000"/>
          <w:sz w:val="24"/>
          <w:szCs w:val="24"/>
          <w:highlight w:val="none"/>
        </w:rPr>
        <w:t xml:space="preserve">(详见统一格式)。</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5、投标费用</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5.1无论投标过程中的做法和结果如何，投标人自行承担所有与参加投标有关的全部费用。</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6、联合体投标</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本项目不接受联合体投标。</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三、招标文件的说明</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招标文件</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t xml:space="preserve">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lang w:bidi="ar"/>
        </w:rPr>
        <w:t xml:space="preserve">及其补充通知（包括更正公告）</w:t>
      </w:r>
      <w:r>
        <w:rPr>
          <w:rFonts w:hint="eastAsia" w:ascii="宋体" w:hAnsi="宋体" w:eastAsia="宋体" w:cs="宋体"/>
          <w:color w:val="000000"/>
          <w:sz w:val="24"/>
          <w:szCs w:val="24"/>
          <w:highlight w:val="none"/>
        </w:rPr>
        <w:t xml:space="preserve">未按本招标文件规定的方式获得的，采</w:t>
      </w:r>
      <w:r>
        <w:rPr>
          <w:rFonts w:hint="eastAsia" w:ascii="宋体" w:hAnsi="宋体" w:eastAsia="宋体" w:cs="宋体"/>
          <w:color w:val="000000"/>
          <w:sz w:val="24"/>
          <w:szCs w:val="24"/>
          <w:highlight w:val="none"/>
          <w:lang w:bidi="ar"/>
        </w:rPr>
        <w:t xml:space="preserve">购人或采购代理机构对招标文件及其补遗的真实性、完整性不承担任何责任。</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招标文件的询问与澄清</w:t>
      </w:r>
      <w:r>
        <w:rPr>
          <w:rFonts w:ascii="宋体" w:hAnsi="宋体" w:eastAsia="宋体" w:cs="宋体"/>
          <w:b/>
          <w:bCs/>
          <w:color w:val="000000"/>
          <w:sz w:val="24"/>
          <w:szCs w:val="24"/>
          <w:highlight w:val="none"/>
        </w:rPr>
        <w:t xml:space="preserve">(修改)</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2为保证投标人有足够时间修正投标文件，或出于其他合理原因，采购代理机构可依法顺延投标截止时间和开标时间。</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t xml:space="preserve">、质疑</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9.1供应商认为本</w:t>
      </w:r>
      <w:r>
        <w:rPr>
          <w:rFonts w:hint="eastAsia" w:ascii="宋体" w:hAnsi="宋体" w:eastAsia="宋体" w:cs="宋体"/>
          <w:color w:val="000000"/>
          <w:sz w:val="24"/>
          <w:szCs w:val="24"/>
          <w:highlight w:val="none"/>
        </w:rPr>
        <w:t xml:space="preserve">招标文件使自己的权益受到损害的，应在知道或者应知权益受到损害之日起七个工作日内，以书面形式向采购代理机构提出质疑。采购代理机构应当在收到投标人书面质疑后七个工作日内作出答复。</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9.2根据</w:t>
      </w:r>
      <w:r>
        <w:rPr>
          <w:rFonts w:hint="eastAsia" w:ascii="宋体" w:hAnsi="宋体" w:eastAsia="宋体" w:cs="宋体"/>
          <w:color w:val="000000"/>
          <w:sz w:val="24"/>
          <w:szCs w:val="24"/>
          <w:highlight w:val="none"/>
        </w:rPr>
        <w:t xml:space="preserve">《政府采购质疑和投诉办法》（</w:t>
      </w:r>
      <w:r>
        <w:rPr>
          <w:rFonts w:ascii="宋体" w:hAnsi="宋体" w:eastAsia="宋体" w:cs="宋体"/>
          <w:color w:val="000000"/>
          <w:sz w:val="24"/>
          <w:szCs w:val="24"/>
          <w:highlight w:val="none"/>
        </w:rPr>
        <w:t xml:space="preserve">财政部94号令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第十一条规定，提出质疑的供应商应当是参与所质疑项目采购活动的供应商。潜在供应商应当依法报名获取本</w:t>
      </w:r>
      <w:r>
        <w:rPr>
          <w:rFonts w:hint="eastAsia" w:ascii="宋体" w:hAnsi="宋体" w:eastAsia="宋体" w:cs="宋体"/>
          <w:color w:val="000000"/>
          <w:sz w:val="24"/>
          <w:szCs w:val="24"/>
          <w:highlight w:val="none"/>
        </w:rPr>
        <w:t xml:space="preserve">招标文件后可以依法进行质疑。</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9.3供应商如对本项目提出质疑须在法定质疑期内一次性提出针对同一采购程序环节的质疑。</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9.4接受质疑函的方式：当场送达或邮寄方式。</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9.5联系单位：涵熙（苏州）工程顾问有限公司</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9.6收件人：邹雅琴</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9.7联系电话：0512-69589240</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9.8通讯地址：</w:t>
      </w:r>
      <w:r>
        <w:rPr>
          <w:rFonts w:hint="eastAsia" w:ascii="宋体" w:hAnsi="宋体" w:eastAsia="宋体" w:cs="宋体"/>
          <w:color w:val="000000"/>
          <w:sz w:val="24"/>
          <w:szCs w:val="24"/>
          <w:highlight w:val="none"/>
        </w:rPr>
        <w:t xml:space="preserve">苏州高新区汾湖路 99 号狮山总部经济中心7幢3层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t xml:space="preserve">、勘查现场</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10.1根据自身投标需要，投标人对有关现场和周围环境进行勘查，以获取编制投标文件和签署合同所需的信息。勘查现场所发生的费用由投标人自己承担。</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10.3经采购人允许，投标人可为勘查目的进入采购人的项目现场，但投标人不得因此使采购人承担有关的责任和蒙受损失。投标人应承担勘查现场的责任和风险。</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四、投标文件说明</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11、提示与要求</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11.1投标人应仔细阅读</w:t>
      </w:r>
      <w:r>
        <w:rPr>
          <w:rFonts w:hint="eastAsia" w:ascii="宋体" w:hAnsi="宋体" w:eastAsia="宋体" w:cs="宋体"/>
          <w:color w:val="000000"/>
          <w:sz w:val="24"/>
          <w:szCs w:val="24"/>
          <w:highlight w:val="none"/>
        </w:rPr>
        <w:t xml:space="preserve">招标文件的所有内容，按招标文件的要求提供投标文件，并保证所提供的全部资料的真实性，以使其投标对招标文件做出实质性响应，否则，其投标可能被拒绝。</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11.2无论是否递交投标文件，投标人都应将</w:t>
      </w:r>
      <w:r>
        <w:rPr>
          <w:rFonts w:hint="eastAsia" w:ascii="宋体" w:hAnsi="宋体" w:eastAsia="宋体" w:cs="宋体"/>
          <w:color w:val="000000"/>
          <w:sz w:val="24"/>
          <w:szCs w:val="24"/>
          <w:highlight w:val="none"/>
        </w:rPr>
        <w:t xml:space="preserve">招标文件及以后的所有通知、文件等视为保密文件。</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12、投标文件计量单位和使用文字</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12.1投标文件中所使用的计量单位，除</w:t>
      </w:r>
      <w:r>
        <w:rPr>
          <w:rFonts w:hint="eastAsia" w:ascii="宋体" w:hAnsi="宋体" w:eastAsia="宋体" w:cs="宋体"/>
          <w:color w:val="000000"/>
          <w:sz w:val="24"/>
          <w:szCs w:val="24"/>
          <w:highlight w:val="none"/>
        </w:rPr>
        <w:t xml:space="preserve">招标文件中有特殊要求外，均应使用中华人民共和国法定计量单位。</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w:t>
      </w:r>
      <w:bookmarkStart w:id="0" w:name="_Hlk160095009"/>
      <w:r>
        <w:rPr>
          <w:rFonts w:ascii="宋体" w:hAnsi="宋体" w:eastAsia="宋体" w:cs="宋体"/>
          <w:b/>
          <w:bCs/>
          <w:color w:val="000000"/>
          <w:sz w:val="24"/>
          <w:szCs w:val="24"/>
          <w:highlight w:val="none"/>
        </w:rPr>
        <w:t xml:space="preserve">投标文件的组成</w:t>
      </w:r>
      <w:bookmarkEnd w:id="0"/>
      <w:r>
        <w:rPr>
          <w:rFonts w:hint="eastAsia" w:ascii="宋体" w:hAnsi="宋体" w:eastAsia="宋体" w:cs="宋体"/>
          <w:b/>
          <w:bCs/>
          <w:color w:val="000000"/>
          <w:sz w:val="24"/>
          <w:szCs w:val="24"/>
          <w:highlight w:val="none"/>
        </w:rPr>
        <w:t xml:space="preserve">（部分格式见第三章）</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bCs/>
          <w:color w:val="000000"/>
          <w:sz w:val="24"/>
          <w:szCs w:val="24"/>
          <w:highlight w:val="none"/>
        </w:rPr>
        <w:t xml:space="preserve">13.1</w:t>
      </w:r>
      <w:r>
        <w:rPr>
          <w:rFonts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t xml:space="preserve">，无格式，具体按照“苏采云”系统要求填报；</w:t>
      </w:r>
      <w:r>
        <w:rPr>
          <w:rFonts w:ascii="宋体" w:hAnsi="宋体" w:eastAsia="宋体" w:cs="宋体"/>
          <w:b/>
          <w:color w:val="000000"/>
          <w:sz w:val="24"/>
          <w:szCs w:val="24"/>
          <w:highlight w:val="none"/>
        </w:rPr>
      </w:r>
      <w:r/>
    </w:p>
    <w:p>
      <w:pPr>
        <w:pStyle w:val="696"/>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13.2投标分项报价明细表；</w:t>
      </w:r>
      <w:r>
        <w:rPr>
          <w:rFonts w:hint="eastAsia" w:ascii="宋体" w:hAnsi="宋体" w:eastAsia="宋体" w:cs="宋体"/>
          <w:b/>
          <w:color w:val="000000"/>
          <w:sz w:val="24"/>
          <w:szCs w:val="24"/>
          <w:highlight w:val="none"/>
        </w:rPr>
      </w:r>
      <w:r/>
    </w:p>
    <w:p>
      <w:pPr>
        <w:pStyle w:val="696"/>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资格</w:t>
      </w:r>
      <w:r>
        <w:rPr>
          <w:rFonts w:hint="eastAsia" w:ascii="宋体" w:hAnsi="宋体" w:eastAsia="宋体" w:cs="宋体"/>
          <w:b/>
          <w:color w:val="000000"/>
          <w:sz w:val="24"/>
          <w:szCs w:val="24"/>
          <w:highlight w:val="none"/>
        </w:rPr>
        <w:t xml:space="preserve">审查文件（资格条件要求提供的材料是作为对</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资格审查、质疑身份认定的依据。必须清晰可辨，</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必须提供并加盖电子签章。否则，投标文件将被认定为不符合资格审查要求。）：</w:t>
      </w:r>
      <w:r>
        <w:rPr>
          <w:rFonts w:ascii="宋体" w:hAnsi="宋体" w:eastAsia="宋体" w:cs="宋体"/>
          <w:b/>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1具有独立承担民事责任的能力证明。</w:t>
      </w:r>
      <w:r>
        <w:rPr>
          <w:rFonts w:hint="eastAsia" w:ascii="宋体" w:hAnsi="宋体" w:eastAsia="宋体" w:cs="宋体"/>
          <w:color w:val="000000"/>
          <w:sz w:val="24"/>
          <w:szCs w:val="24"/>
          <w:highlight w:val="none"/>
        </w:rPr>
        <w:t xml:space="preserve">需提供</w:t>
      </w:r>
      <w:r>
        <w:rPr>
          <w:rFonts w:ascii="宋体" w:hAnsi="宋体" w:eastAsia="宋体" w:cs="宋体"/>
          <w:color w:val="000000"/>
          <w:sz w:val="24"/>
          <w:szCs w:val="24"/>
          <w:highlight w:val="none"/>
        </w:rPr>
        <w:t xml:space="preserve">包括法人或者其他组织的营业执照等证明文件，自然人的身份证明；</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2具有良好的商业信誉和健全的财务会计制度证明。</w:t>
      </w:r>
      <w:r>
        <w:rPr>
          <w:rFonts w:hint="eastAsia" w:ascii="宋体" w:hAnsi="宋体" w:eastAsia="宋体" w:cs="宋体"/>
          <w:color w:val="000000"/>
          <w:sz w:val="24"/>
          <w:szCs w:val="24"/>
          <w:highlight w:val="none"/>
        </w:rPr>
        <w:t xml:space="preserve">需提供包括但不限于最近一年度经审计的财务报告，其他组织、自然人及成立未满一年的法人应提供银行出具的资信证明；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13.3.3具有履行合同所必备的设备和专业技术能力。需提供具有履行合同所必备的设备和专业技术能力的证明材料或承诺；</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13.3.4有依法缴纳税收和社会保</w:t>
      </w:r>
      <w:r>
        <w:rPr>
          <w:rFonts w:ascii="宋体" w:hAnsi="宋体" w:eastAsia="宋体" w:cs="宋体"/>
          <w:color w:val="000000"/>
          <w:sz w:val="24"/>
          <w:szCs w:val="24"/>
          <w:highlight w:val="none"/>
        </w:rPr>
        <w:t xml:space="preserve">障资金的良好记录。</w:t>
      </w:r>
      <w:r>
        <w:rPr>
          <w:rFonts w:hint="eastAsia" w:ascii="宋体" w:hAnsi="宋体" w:eastAsia="宋体" w:cs="宋体"/>
          <w:color w:val="000000"/>
          <w:sz w:val="24"/>
          <w:szCs w:val="24"/>
          <w:highlight w:val="none"/>
        </w:rPr>
        <w:t xml:space="preserve">需提供</w:t>
      </w:r>
      <w:r>
        <w:rPr>
          <w:rFonts w:hint="eastAsia" w:ascii="宋体" w:hAnsi="宋体" w:eastAsia="宋体" w:cs="宋体"/>
          <w:bCs/>
          <w:color w:val="000000"/>
          <w:sz w:val="24"/>
          <w:szCs w:val="24"/>
          <w:highlight w:val="none"/>
          <w:lang w:bidi="ar"/>
        </w:rPr>
        <w:t xml:space="preserve">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000000"/>
          <w:sz w:val="24"/>
          <w:szCs w:val="24"/>
          <w:highlight w:val="none"/>
          <w:lang w:bidi="ar"/>
        </w:rPr>
        <w:t xml:space="preserve">。注：依法免税或不需要缴纳社会保障资金的供应商，应提供相应证明资料证明其依法免税或不需要缴纳社会保障资金，否则不予认可；</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5参加政府采购活动前三年内在经营活动中没有重大违法记录的书面声明函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本项目专门面向中小企业采购。供应商应提供《中小企业声明函》或残疾人福利性单位声明函或省级以上监狱管理局、戒毒管理局（含新疆生产建设兵团）出具的属于监狱企业的证明文件；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本项目的其他特定资格要求：未被“信用中国”网站（www.creditchina.gov.cn）列入失信被执行人、重大税收违法案件当事人名单、政府采购严重失信行为记录名单。需提供“信用中国”网站下载的信用报告复印件。</w:t>
      </w:r>
      <w:r>
        <w:rPr>
          <w:rFonts w:hint="eastAsia" w:ascii="宋体" w:hAnsi="宋体" w:eastAsia="宋体" w:cs="宋体"/>
          <w:color w:val="000000"/>
          <w:sz w:val="24"/>
          <w:szCs w:val="24"/>
          <w:highlight w:val="none"/>
        </w:rPr>
      </w:r>
      <w:r/>
    </w:p>
    <w:p>
      <w:pPr>
        <w:pStyle w:val="696"/>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13.4符合性审查文件：</w:t>
      </w:r>
      <w:r>
        <w:rPr>
          <w:rFonts w:hint="eastAsia" w:ascii="宋体" w:hAnsi="宋体" w:eastAsia="宋体" w:cs="宋体"/>
          <w:b/>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4.1投标函；</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13.4.2关于资格文件的声明函；</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4.3投标人情况表；</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4投标（响应）保证承诺书；</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与其他单位存在控股、管理关系情况表；</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6偏离表（服务、商务）；</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法定代表人身份证复印件；</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8授权委托书、投标人授权代理人身份证复印件（</w:t>
      </w:r>
      <w:r>
        <w:rPr>
          <w:rFonts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13.4.9其他有关符合性证明的文件（如有）。</w:t>
      </w:r>
      <w:r>
        <w:rPr>
          <w:rFonts w:hint="eastAsia"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5综合评审文件（评分要点及技术要求）：</w:t>
      </w:r>
      <w:r>
        <w:rPr>
          <w:rFonts w:ascii="宋体" w:hAnsi="宋体" w:eastAsia="宋体" w:cs="宋体"/>
          <w:b/>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13.5.1</w:t>
      </w:r>
      <w:r>
        <w:rPr>
          <w:rFonts w:hint="eastAsia" w:ascii="宋体" w:hAnsi="宋体" w:eastAsia="宋体" w:cs="宋体"/>
          <w:color w:val="000000"/>
          <w:sz w:val="24"/>
          <w:szCs w:val="24"/>
          <w:highlight w:val="none"/>
        </w:rPr>
        <w:t xml:space="preserve">技术部分（评分要点及技术要求）；</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13.5.</w:t>
      </w:r>
      <w:r>
        <w:rPr>
          <w:rFonts w:hint="eastAsia" w:ascii="宋体" w:hAnsi="宋体" w:eastAsia="宋体" w:cs="宋体"/>
          <w:color w:val="000000"/>
          <w:sz w:val="24"/>
          <w:szCs w:val="24"/>
          <w:highlight w:val="none"/>
        </w:rPr>
        <w:t xml:space="preserve">2评分标准中所涉及到的其他材料等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96"/>
        <w:ind w:firstLine="482"/>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13.6企业报价折扣证明：本项目专门面向中小企业采购，供应商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：以上</w:t>
      </w:r>
      <w:r>
        <w:rPr>
          <w:rFonts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rPr>
        <w:t xml:space="preserve">3</w:t>
      </w:r>
      <w:r>
        <w:rPr>
          <w:rFonts w:hint="eastAsia" w:ascii="宋体" w:hAnsi="宋体" w:eastAsia="宋体" w:cs="宋体"/>
          <w:b/>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注2：</w:t>
      </w:r>
      <w:r>
        <w:rPr>
          <w:rFonts w:hint="eastAsia" w:ascii="宋体" w:hAnsi="宋体" w:eastAsia="宋体" w:cs="宋体"/>
          <w:b/>
          <w:color w:val="000000"/>
          <w:sz w:val="24"/>
          <w:szCs w:val="24"/>
          <w:highlight w:val="none"/>
        </w:rPr>
        <w:t xml:space="preserve">以上13.4为符合性审查须提供的资料，投标人必须提供并加盖电子公章。否则，投标文件将被认定为未实质性响应。</w:t>
      </w:r>
      <w:r>
        <w:rPr>
          <w:rFonts w:hint="eastAsia" w:ascii="宋体" w:hAnsi="宋体" w:eastAsia="宋体" w:cs="宋体"/>
          <w:b/>
          <w:color w:val="000000"/>
          <w:sz w:val="24"/>
          <w:szCs w:val="24"/>
          <w:highlight w:val="none"/>
        </w:rPr>
      </w:r>
      <w:r/>
    </w:p>
    <w:p>
      <w:pPr>
        <w:pStyle w:val="696"/>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注3：“13.3-13.6”中不得出现投标报价。投标人所提交的资料的完整与否，将直接影响投标人的评分。</w:t>
      </w:r>
      <w:r>
        <w:rPr>
          <w:rFonts w:hint="eastAsia" w:ascii="宋体" w:hAnsi="宋体" w:eastAsia="宋体" w:cs="宋体"/>
          <w:b/>
          <w:color w:val="000000"/>
          <w:sz w:val="24"/>
          <w:szCs w:val="24"/>
          <w:highlight w:val="none"/>
        </w:rPr>
      </w:r>
      <w:r/>
    </w:p>
    <w:p>
      <w:pPr>
        <w:pStyle w:val="696"/>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注4：</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注5：开评标过程中如有问题采购代理机构工作人员会及时通过《投标供应商确认函》留存的手机号与供应商联系。请供应商确保该手机号通讯畅通，否则导致的不利后果由供应商自行承担。</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rPr>
        <w:t xml:space="preserve">电子投标文件编制</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rPr>
        <w:t xml:space="preserve">投标文件按统一格式、顺序编写。</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14.4投标文件未按照招标文件要求加盖CA电子公章的，投标无效。</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14.5联合体投标（本项目不允许联合体，可以忽略）：如招标(采购)公告中允许联合体投标，联合体投标的投标(响应)文件制作上传操作如下：</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第一步：在投标(响应)文件中上传联合体投标协议书。</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14.6如投标（响应）文件制作机器码信息一致，视为不同投标供应商使用同一台电脑编制投标（响应）文件，投标（响应）无效。</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14.7技术支持</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rPr>
        <w:t xml:space="preserve">、投标报价</w:t>
      </w:r>
      <w:r>
        <w:rPr>
          <w:rFonts w:ascii="宋体" w:hAnsi="宋体" w:eastAsia="宋体" w:cs="宋体"/>
          <w:b/>
          <w:bCs/>
          <w:color w:val="000000"/>
          <w:sz w:val="24"/>
          <w:szCs w:val="24"/>
          <w:highlight w:val="none"/>
        </w:rPr>
        <w:t xml:space="preserve">(编制)要求的说明</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15.1除非合同中另有规定，</w:t>
      </w:r>
      <w:r>
        <w:rPr>
          <w:rFonts w:hint="eastAsia" w:ascii="宋体" w:hAnsi="宋体" w:eastAsia="宋体" w:cs="宋体"/>
          <w:color w:val="000000"/>
          <w:sz w:val="24"/>
          <w:szCs w:val="24"/>
          <w:highlight w:val="none"/>
        </w:rPr>
        <w:t xml:space="preserve">报价表中的全部货物和服务的报价应包括为完成本项目的全部费用，包含全部服务所需的人工费、通讯费、交通费、资料费、调查费、报告及编制费（含印刷费）、评审会务费（含专家费）、咨询费、后续服务费、维护费、保险费、</w:t>
      </w:r>
      <w:r>
        <w:rPr>
          <w:rFonts w:hint="eastAsia" w:ascii="宋体" w:hAnsi="宋体" w:eastAsia="宋体" w:cs="宋体"/>
          <w:color w:val="000000"/>
          <w:sz w:val="24"/>
          <w:szCs w:val="24"/>
          <w:highlight w:val="none"/>
          <w:lang w:eastAsia="zh-CN"/>
        </w:rPr>
        <w:t xml:space="preserve">中标服务费</w:t>
      </w:r>
      <w:r>
        <w:rPr>
          <w:rFonts w:hint="eastAsia" w:ascii="宋体" w:hAnsi="宋体" w:eastAsia="宋体" w:cs="宋体"/>
          <w:color w:val="000000"/>
          <w:sz w:val="24"/>
          <w:szCs w:val="24"/>
          <w:highlight w:val="none"/>
        </w:rPr>
        <w:t xml:space="preserve">、利润、税金、政策性文件规定及合同包含的所有风险、责任等完成本项目的各项应有费用。投标报价为最终报价，除非因特殊原因并经买卖三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15.2投标人应按采购要求中的全部货物和服务计算单价和总价。报价表中的每一单项均应计算并填写单价和总价。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15.3投标人应对</w:t>
      </w:r>
      <w:r>
        <w:rPr>
          <w:rFonts w:hint="eastAsia" w:ascii="宋体" w:hAnsi="宋体" w:eastAsia="宋体" w:cs="宋体"/>
          <w:color w:val="000000"/>
          <w:sz w:val="24"/>
          <w:szCs w:val="24"/>
          <w:highlight w:val="none"/>
        </w:rPr>
        <w:t xml:space="preserve">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15.4一项投标内容只允许一个报价，采购代理机构不接受任何有选择性的投标报价。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15.5投标文件报价中的单价和总价全部采用人民币表示，除非合同的特殊条款另有规定。</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16、投标文件的有效期</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16.1自</w:t>
      </w:r>
      <w:r>
        <w:rPr>
          <w:rFonts w:hint="eastAsia" w:ascii="宋体" w:hAnsi="宋体" w:eastAsia="宋体" w:cs="宋体"/>
          <w:color w:val="000000"/>
          <w:sz w:val="24"/>
          <w:szCs w:val="24"/>
          <w:highlight w:val="none"/>
        </w:rPr>
        <w:t xml:space="preserve">投标文件提交截止之日起</w:t>
      </w:r>
      <w:r>
        <w:rPr>
          <w:rFonts w:ascii="宋体" w:hAnsi="宋体" w:eastAsia="宋体" w:cs="宋体"/>
          <w:color w:val="000000"/>
          <w:sz w:val="24"/>
          <w:szCs w:val="24"/>
          <w:highlight w:val="none"/>
        </w:rPr>
        <w:t xml:space="preserve">90天内，投标书应保持有效。有效期短于这个规定期限的投标，将被拒绝。</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16.2在特殊情况下，</w:t>
      </w:r>
      <w:r>
        <w:rPr>
          <w:rFonts w:hint="eastAsia" w:ascii="宋体" w:hAnsi="宋体" w:eastAsia="宋体" w:cs="宋体"/>
          <w:color w:val="000000"/>
          <w:sz w:val="24"/>
          <w:szCs w:val="24"/>
          <w:highlight w:val="none"/>
        </w:rPr>
        <w:t xml:space="preserve">采购人或</w:t>
      </w:r>
      <w:r>
        <w:rPr>
          <w:rFonts w:ascii="宋体" w:hAnsi="宋体" w:eastAsia="宋体" w:cs="宋体"/>
          <w:color w:val="000000"/>
          <w:sz w:val="24"/>
          <w:szCs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rPr>
          <w:rFonts w:ascii="宋体" w:hAnsi="宋体" w:eastAsia="宋体" w:cs="宋体"/>
          <w:color w:val="000000"/>
          <w:sz w:val="24"/>
          <w:szCs w:val="24"/>
          <w:highlight w:val="none"/>
        </w:rPr>
      </w:r>
      <w:r/>
    </w:p>
    <w:p>
      <w:pPr>
        <w:pStyle w:val="696"/>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17、投标文件的签署和上传</w:t>
      </w:r>
      <w:r>
        <w:rPr>
          <w:rFonts w:hint="eastAsia" w:ascii="宋体" w:hAnsi="宋体" w:eastAsia="宋体" w:cs="宋体"/>
          <w:b/>
          <w:color w:val="000000"/>
          <w:sz w:val="24"/>
          <w:szCs w:val="24"/>
          <w:highlight w:val="none"/>
        </w:rPr>
      </w:r>
      <w:r/>
    </w:p>
    <w:p>
      <w:pPr>
        <w:pStyle w:val="696"/>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17.1本项目采用电子招投标形式，请供应商按照《苏采云系统供应商操作手册》进行制作、上传电子投标文件。</w:t>
      </w:r>
      <w:r>
        <w:rPr>
          <w:rFonts w:hint="eastAsia" w:ascii="宋体" w:hAnsi="宋体" w:eastAsia="宋体" w:cs="宋体"/>
          <w:color w:val="000000"/>
          <w:sz w:val="24"/>
          <w:szCs w:val="24"/>
          <w:highlight w:val="none"/>
        </w:rPr>
      </w:r>
      <w:r/>
    </w:p>
    <w:p>
      <w:pPr>
        <w:pStyle w:val="696"/>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17.2制作电子投标文件时，应按照招标文件要求加盖投标人电子公章。</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17.3</w:t>
      </w:r>
      <w:r>
        <w:rPr>
          <w:rFonts w:hint="eastAsia" w:ascii="宋体" w:hAnsi="宋体" w:eastAsia="宋体" w:cs="宋体"/>
          <w:b/>
          <w:color w:val="000000"/>
          <w:sz w:val="24"/>
          <w:szCs w:val="24"/>
          <w:highlight w:val="none"/>
        </w:rPr>
        <w:t xml:space="preserve">电子投标文件制作完成后请于投标文件网上提交截止时间前成功上传至</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苏采云</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系统，否则视为放弃参加该采购项目。</w:t>
      </w:r>
      <w:r>
        <w:rPr>
          <w:rFonts w:hint="eastAsia" w:ascii="宋体" w:hAnsi="宋体" w:eastAsia="宋体" w:cs="宋体"/>
          <w:color w:val="000000"/>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18、</w:t>
      </w:r>
      <w:r>
        <w:rPr>
          <w:rFonts w:hint="eastAsia" w:ascii="宋体" w:hAnsi="宋体" w:eastAsia="宋体" w:cs="宋体"/>
          <w:b/>
          <w:bCs/>
          <w:color w:val="000000"/>
          <w:sz w:val="24"/>
          <w:szCs w:val="24"/>
          <w:highlight w:val="none"/>
        </w:rPr>
        <w:t xml:space="preserve">投标截止时间</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18.1投标人应当在招标文件要求投标文件网上提交截止时间前，将投标文件完成提交（上传）。逾期提交（上传）的投标文件，采购人和采购代理机构拒绝接收。</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18.4采购人或采购代理机构推迟投标截止时间时，将按本须知规定的更正公告的方式对外发布。在这种情况下，采购人、采购代理机构和投标人的权利和义务将受到新的截止期的约束。</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18.5在投标截止时间止成功解密的投标文件少于三份，采购代理机构有权宣布本次招标失败。</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18.6投标人通过“苏采云”系统不见面开标大厅在线参与开标活动。（具体操作详见《苏采云系统供应商操作手册》，网址链接：</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https://czju.suzhou.gov.cn/zfcg/html/content/20231220161910031.shtml）。</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五、开标、评标说明</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rPr>
        <w:t xml:space="preserve">开标</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19.3资格审查</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19.3.1公开招标采购项目开标结束后，采购人应当依法对投标人的资格进行审查，未通过资格审查的视为无效投标。</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查询时间：投标文件递交截止时间。</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信用记录使用规则：</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对供应商进行资格性审查时，应根据查询结果对供应商的不良信用记录逐项甄别确认。</w:t>
      </w:r>
      <w:r>
        <w:rPr>
          <w:rFonts w:hint="eastAsia" w:ascii="宋体" w:hAnsi="宋体" w:eastAsia="宋体" w:cs="宋体"/>
          <w:color w:val="000000"/>
          <w:sz w:val="24"/>
          <w:szCs w:val="24"/>
          <w:highlight w:val="none"/>
          <w:lang w:bidi="ar"/>
        </w:rPr>
        <w:t xml:space="preserve">按照《中华人民共和国政府采购法》第二十二条规定，下列信用记录属于应依法拒绝供应商参加政府采购的失信信息，存在此类失信信息的供应商的投标文件按无效文件处理：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（一）政府采购严重违法记录，即供应商被全国各级财政部门列入“政府采购严重违法失信行为记录名单”，且在处罚有效期内的。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（二）财政部门与法院、工商、税务等部门联合惩戒的失信信息，包括：</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1）被列入失信被执行人名单；</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2）被列入重大税收违法案件当事人名单；</w:t>
      </w:r>
      <w:r>
        <w:rPr>
          <w:rFonts w:ascii="宋体" w:hAnsi="宋体" w:eastAsia="宋体" w:cs="宋体"/>
          <w:color w:val="000000"/>
          <w:sz w:val="24"/>
          <w:szCs w:val="24"/>
          <w:highlight w:val="none"/>
        </w:rPr>
      </w:r>
      <w:r/>
    </w:p>
    <w:p>
      <w:pPr>
        <w:pStyle w:val="696"/>
        <w:ind w:firstLine="48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20、</w:t>
      </w:r>
      <w:r>
        <w:rPr>
          <w:rFonts w:hint="eastAsia" w:ascii="宋体" w:hAnsi="宋体" w:eastAsia="宋体" w:cs="宋体"/>
          <w:b/>
          <w:bCs/>
          <w:color w:val="000000"/>
          <w:sz w:val="24"/>
          <w:szCs w:val="24"/>
          <w:highlight w:val="none"/>
        </w:rPr>
        <w:t xml:space="preserve">评标委员会或评标小组</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rPr>
        <w:t xml:space="preserve">评标委员会由采购人或采购代理机构依法组建。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 </w:t>
      </w:r>
      <w:r>
        <w:rPr>
          <w:rFonts w:hint="eastAsia" w:ascii="宋体" w:hAnsi="宋体" w:eastAsia="宋体" w:cs="宋体"/>
          <w:color w:val="000000"/>
          <w:sz w:val="24"/>
          <w:szCs w:val="24"/>
          <w:highlight w:val="none"/>
        </w:rPr>
        <w:t xml:space="preserve">评标委员会负责具体的评标事务，并独立履行以下职责：</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20.2.1 </w:t>
      </w:r>
      <w:r>
        <w:rPr>
          <w:rFonts w:hint="eastAsia" w:ascii="宋体" w:hAnsi="宋体" w:eastAsia="宋体" w:cs="宋体"/>
          <w:color w:val="000000"/>
          <w:sz w:val="24"/>
          <w:szCs w:val="24"/>
          <w:highlight w:val="none"/>
        </w:rPr>
        <w:t xml:space="preserve">审查、评价投标文件是否符合招标文件的商务、技术等实质性要求；</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20.2.2 </w:t>
      </w:r>
      <w:r>
        <w:rPr>
          <w:rFonts w:hint="eastAsia" w:ascii="宋体" w:hAnsi="宋体" w:eastAsia="宋体" w:cs="宋体"/>
          <w:color w:val="000000"/>
          <w:sz w:val="24"/>
          <w:szCs w:val="24"/>
          <w:highlight w:val="none"/>
        </w:rPr>
        <w:t xml:space="preserve">要求投标人对投标文件有关事项作出澄清或者说明；</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20.2.3 </w:t>
      </w:r>
      <w:r>
        <w:rPr>
          <w:rFonts w:hint="eastAsia" w:ascii="宋体" w:hAnsi="宋体" w:eastAsia="宋体" w:cs="宋体"/>
          <w:color w:val="000000"/>
          <w:sz w:val="24"/>
          <w:szCs w:val="24"/>
          <w:highlight w:val="none"/>
        </w:rPr>
        <w:t xml:space="preserve">对投标文件进行比较和评价；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 </w:t>
      </w:r>
      <w:r>
        <w:rPr>
          <w:rFonts w:hint="eastAsia" w:ascii="宋体" w:hAnsi="宋体" w:eastAsia="宋体" w:cs="宋体"/>
          <w:color w:val="000000"/>
          <w:sz w:val="24"/>
          <w:szCs w:val="24"/>
          <w:highlight w:val="none"/>
        </w:rPr>
        <w:t xml:space="preserve">按照评标办法和标准推荐不低于</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家中标候选人，并根据采购人的委托及评审结果直接确定中标人；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20.2.5 </w:t>
      </w:r>
      <w:r>
        <w:rPr>
          <w:rFonts w:hint="eastAsia" w:ascii="宋体" w:hAnsi="宋体" w:eastAsia="宋体" w:cs="宋体"/>
          <w:color w:val="000000"/>
          <w:sz w:val="24"/>
          <w:szCs w:val="24"/>
          <w:highlight w:val="none"/>
        </w:rPr>
        <w:t xml:space="preserve">向采购人、采购代理机构或者有关部门报告评标中发现的违法行为；</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 </w:t>
      </w:r>
      <w:r>
        <w:rPr>
          <w:rFonts w:hint="eastAsia" w:ascii="宋体" w:hAnsi="宋体" w:eastAsia="宋体" w:cs="宋体"/>
          <w:color w:val="000000"/>
          <w:sz w:val="24"/>
          <w:szCs w:val="24"/>
          <w:highlight w:val="none"/>
        </w:rPr>
        <w:t xml:space="preserve">评标委员会成员应当履行下列义务：</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20.3.1 </w:t>
      </w:r>
      <w:r>
        <w:rPr>
          <w:rFonts w:hint="eastAsia" w:ascii="宋体" w:hAnsi="宋体" w:eastAsia="宋体" w:cs="宋体"/>
          <w:color w:val="000000"/>
          <w:sz w:val="24"/>
          <w:szCs w:val="24"/>
          <w:highlight w:val="none"/>
        </w:rPr>
        <w:t xml:space="preserve">遵纪守法，客观、公正、廉洁地履行职责；</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20.3.2 </w:t>
      </w:r>
      <w:r>
        <w:rPr>
          <w:rFonts w:hint="eastAsia" w:ascii="宋体" w:hAnsi="宋体" w:eastAsia="宋体" w:cs="宋体"/>
          <w:color w:val="000000"/>
          <w:sz w:val="24"/>
          <w:szCs w:val="24"/>
          <w:highlight w:val="none"/>
        </w:rPr>
        <w:t xml:space="preserve">按照招标文件规定的评标办法和评标标准进行评标，对评审意见承担个人责任；</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20.3.3 </w:t>
      </w:r>
      <w:r>
        <w:rPr>
          <w:rFonts w:hint="eastAsia" w:ascii="宋体" w:hAnsi="宋体" w:eastAsia="宋体" w:cs="宋体"/>
          <w:color w:val="000000"/>
          <w:sz w:val="24"/>
          <w:szCs w:val="24"/>
          <w:highlight w:val="none"/>
        </w:rPr>
        <w:t xml:space="preserve">对评标过程和结果，以及投标人的商业秘密保密；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20.3.4 </w:t>
      </w:r>
      <w:r>
        <w:rPr>
          <w:rFonts w:hint="eastAsia" w:ascii="宋体" w:hAnsi="宋体" w:eastAsia="宋体" w:cs="宋体"/>
          <w:color w:val="000000"/>
          <w:sz w:val="24"/>
          <w:szCs w:val="24"/>
          <w:highlight w:val="none"/>
        </w:rPr>
        <w:t xml:space="preserve">参与评审报告的起草；</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20.3.5 </w:t>
      </w:r>
      <w:r>
        <w:rPr>
          <w:rFonts w:hint="eastAsia" w:ascii="宋体" w:hAnsi="宋体" w:eastAsia="宋体" w:cs="宋体"/>
          <w:color w:val="000000"/>
          <w:sz w:val="24"/>
          <w:szCs w:val="24"/>
          <w:highlight w:val="none"/>
        </w:rPr>
        <w:t xml:space="preserve">配合相关部门的投诉处理工作；</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20.3.6 </w:t>
      </w:r>
      <w:r>
        <w:rPr>
          <w:rFonts w:hint="eastAsia" w:ascii="宋体" w:hAnsi="宋体" w:eastAsia="宋体" w:cs="宋体"/>
          <w:color w:val="000000"/>
          <w:sz w:val="24"/>
          <w:szCs w:val="24"/>
          <w:highlight w:val="none"/>
        </w:rPr>
        <w:t xml:space="preserve">配合采购人或采购代理机构答复投标供应商提出的质疑。</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t xml:space="preserve">评标内容的保密</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21.1 </w:t>
      </w:r>
      <w:r>
        <w:rPr>
          <w:rFonts w:hint="eastAsia" w:ascii="宋体" w:hAnsi="宋体" w:eastAsia="宋体" w:cs="宋体"/>
          <w:color w:val="000000"/>
          <w:sz w:val="24"/>
          <w:szCs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21.2 </w:t>
      </w:r>
      <w:r>
        <w:rPr>
          <w:rFonts w:hint="eastAsia" w:ascii="宋体" w:hAnsi="宋体" w:eastAsia="宋体" w:cs="宋体"/>
          <w:color w:val="000000"/>
          <w:sz w:val="24"/>
          <w:szCs w:val="24"/>
          <w:highlight w:val="none"/>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21.3 </w:t>
      </w:r>
      <w:r>
        <w:rPr>
          <w:rFonts w:hint="eastAsia" w:ascii="宋体" w:hAnsi="宋体" w:eastAsia="宋体" w:cs="宋体"/>
          <w:color w:val="000000"/>
          <w:sz w:val="24"/>
          <w:szCs w:val="24"/>
          <w:highlight w:val="none"/>
        </w:rPr>
        <w:t xml:space="preserve">在评标期间，采购人或采购代理机构将通过指定联络人与投标人进行联系。</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t xml:space="preserve">对投标文件初审</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rPr>
        <w:t xml:space="preserve">开标结束后，采购人依法对投标人的资格进行审查。</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 </w:t>
      </w:r>
      <w:r>
        <w:rPr>
          <w:rFonts w:hint="eastAsia" w:ascii="宋体" w:hAnsi="宋体" w:eastAsia="宋体" w:cs="宋体"/>
          <w:color w:val="000000"/>
          <w:sz w:val="24"/>
          <w:szCs w:val="24"/>
          <w:highlight w:val="none"/>
        </w:rPr>
        <w:t xml:space="preserve">资格审查后，评标委员会在初审过程中有权拒绝有下列情况之一的投标文件：</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22.2.1 </w:t>
      </w:r>
      <w:r>
        <w:rPr>
          <w:rFonts w:hint="eastAsia" w:ascii="宋体" w:hAnsi="宋体" w:eastAsia="宋体" w:cs="宋体"/>
          <w:color w:val="000000"/>
          <w:sz w:val="24"/>
          <w:szCs w:val="24"/>
          <w:highlight w:val="none"/>
        </w:rPr>
        <w:t xml:space="preserve">投标人的投标文件未按照本须知规定制作的；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22.2.2 </w:t>
      </w:r>
      <w:r>
        <w:rPr>
          <w:rFonts w:hint="eastAsia" w:ascii="宋体" w:hAnsi="宋体" w:eastAsia="宋体" w:cs="宋体"/>
          <w:color w:val="000000"/>
          <w:sz w:val="24"/>
          <w:szCs w:val="24"/>
          <w:highlight w:val="none"/>
        </w:rPr>
        <w:t xml:space="preserve">与招标文件有重大偏离；</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22.2.3 </w:t>
      </w:r>
      <w:r>
        <w:rPr>
          <w:rFonts w:hint="eastAsia" w:ascii="宋体" w:hAnsi="宋体" w:eastAsia="宋体" w:cs="宋体"/>
          <w:color w:val="000000"/>
          <w:sz w:val="24"/>
          <w:szCs w:val="24"/>
          <w:highlight w:val="none"/>
        </w:rPr>
        <w:t xml:space="preserve">投标人拒绝修正错误；</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22.2.4 </w:t>
      </w:r>
      <w:r>
        <w:rPr>
          <w:rFonts w:hint="eastAsia" w:ascii="宋体" w:hAnsi="宋体" w:eastAsia="宋体" w:cs="宋体"/>
          <w:color w:val="000000"/>
          <w:sz w:val="24"/>
          <w:szCs w:val="24"/>
          <w:highlight w:val="none"/>
        </w:rPr>
        <w:t xml:space="preserve">投标人的报价是选择性的；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22.2.5 </w:t>
      </w:r>
      <w:r>
        <w:rPr>
          <w:rFonts w:hint="eastAsia" w:ascii="宋体" w:hAnsi="宋体" w:eastAsia="宋体" w:cs="宋体"/>
          <w:color w:val="000000"/>
          <w:sz w:val="24"/>
          <w:szCs w:val="24"/>
          <w:highlight w:val="none"/>
        </w:rPr>
        <w:t xml:space="preserve">投标人的报价只投了部分内容；</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22.2.6 </w:t>
      </w:r>
      <w:r>
        <w:rPr>
          <w:rFonts w:hint="eastAsia" w:ascii="宋体" w:hAnsi="宋体" w:eastAsia="宋体" w:cs="宋体"/>
          <w:color w:val="000000"/>
          <w:sz w:val="24"/>
          <w:szCs w:val="24"/>
          <w:highlight w:val="none"/>
        </w:rPr>
        <w:t xml:space="preserve">投标人的投标文件出现了评标委员会认为不应当雷同的情况；</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22.2..7 </w:t>
      </w:r>
      <w:r>
        <w:rPr>
          <w:rFonts w:hint="eastAsia" w:ascii="宋体" w:hAnsi="宋体" w:eastAsia="宋体" w:cs="宋体"/>
          <w:color w:val="000000"/>
          <w:sz w:val="24"/>
          <w:szCs w:val="24"/>
          <w:highlight w:val="none"/>
        </w:rPr>
        <w:t xml:space="preserve">其他被评标委员会认定无效的情况。</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22.3 </w:t>
      </w:r>
      <w:r>
        <w:rPr>
          <w:rFonts w:hint="eastAsia" w:ascii="宋体" w:hAnsi="宋体" w:eastAsia="宋体" w:cs="宋体"/>
          <w:color w:val="000000"/>
          <w:sz w:val="24"/>
          <w:szCs w:val="24"/>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22.4 </w:t>
      </w:r>
      <w:r>
        <w:rPr>
          <w:rFonts w:hint="eastAsia" w:ascii="宋体" w:hAnsi="宋体" w:eastAsia="宋体" w:cs="宋体"/>
          <w:color w:val="000000"/>
          <w:sz w:val="24"/>
          <w:szCs w:val="24"/>
          <w:highlight w:val="none"/>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22.5 </w:t>
      </w:r>
      <w:r>
        <w:rPr>
          <w:rFonts w:hint="eastAsia" w:ascii="宋体" w:hAnsi="宋体" w:eastAsia="宋体" w:cs="宋体"/>
          <w:color w:val="000000"/>
          <w:sz w:val="24"/>
          <w:szCs w:val="24"/>
          <w:highlight w:val="none"/>
        </w:rPr>
        <w:t xml:space="preserve">评标委员会将拒绝被确定为非实质性响应的投标，投标人不能通过修正或撤销不符之处而使其投标成为实质性响应的投标。</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22.6 </w:t>
      </w:r>
      <w:r>
        <w:rPr>
          <w:rFonts w:hint="eastAsia" w:ascii="宋体" w:hAnsi="宋体" w:eastAsia="宋体" w:cs="宋体"/>
          <w:color w:val="000000"/>
          <w:sz w:val="24"/>
          <w:szCs w:val="24"/>
          <w:highlight w:val="none"/>
        </w:rPr>
        <w:t xml:space="preserve">评标委员会将对确定为实质性响应的投标进行审核，看其是否有计算上或累加上的算术错误。投标文件报价出现前后不一致的，除招标文件另有规定外，按照下列规定修正：</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（一）投标文件中开标一览表（报价表）内容与投标文件中相应内容不一致的，以开标一览表（报价表）为准；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（二）大写金额和小写金额不一致的，以大写金额为准；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（四）总价金额与按单价汇总金额不一致的，以单价金额计算结果为准。同时出现两种以上不一致的，按照前款规定的顺序修正。修正后的报价按照本须知</w:t>
      </w:r>
      <w:r>
        <w:rPr>
          <w:rFonts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条的规定经投标人确认后产生约束力，投标人不确认的，其投标无效。</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22.7 </w:t>
      </w:r>
      <w:r>
        <w:rPr>
          <w:rFonts w:hint="eastAsia" w:ascii="宋体" w:hAnsi="宋体" w:eastAsia="宋体" w:cs="宋体"/>
          <w:color w:val="000000"/>
          <w:sz w:val="24"/>
          <w:szCs w:val="24"/>
          <w:highlight w:val="none"/>
        </w:rPr>
        <w:t xml:space="preserve">投标人不同意以上修正，则其投标将被拒绝。</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22.8 </w:t>
      </w:r>
      <w:r>
        <w:rPr>
          <w:rFonts w:hint="eastAsia" w:ascii="宋体" w:hAnsi="宋体" w:eastAsia="宋体" w:cs="宋体"/>
          <w:color w:val="000000"/>
          <w:sz w:val="24"/>
          <w:szCs w:val="24"/>
          <w:highlight w:val="none"/>
        </w:rPr>
        <w:t xml:space="preserve">评标委员会对投标文件的判定，只依据投标内容本身，不依靠开标后的任何外来证明。</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rPr>
        <w:t xml:space="preserve">投标的澄清</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23.3投标人对投标文件的澄清不得改变投标的价格（校核时发现的算术错误除外）及实质内容。</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t xml:space="preserve">废标</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 </w:t>
      </w:r>
      <w:r>
        <w:rPr>
          <w:rFonts w:hint="eastAsia" w:ascii="宋体" w:hAnsi="宋体" w:eastAsia="宋体" w:cs="宋体"/>
          <w:color w:val="000000"/>
          <w:sz w:val="24"/>
          <w:szCs w:val="24"/>
          <w:highlight w:val="none"/>
        </w:rPr>
        <w:t xml:space="preserve">在招标过程中，出现下列情况之一的，应予废标：</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24.1.1 </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24.1.2 </w:t>
      </w:r>
      <w:r>
        <w:rPr>
          <w:rFonts w:hint="eastAsia" w:ascii="宋体" w:hAnsi="宋体" w:eastAsia="宋体" w:cs="宋体"/>
          <w:color w:val="000000"/>
          <w:sz w:val="24"/>
          <w:szCs w:val="24"/>
          <w:highlight w:val="none"/>
        </w:rPr>
        <w:t xml:space="preserve">出现影响采购公正的违法、违规行为的；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24.1.3 </w:t>
      </w:r>
      <w:r>
        <w:rPr>
          <w:rFonts w:hint="eastAsia" w:ascii="宋体" w:hAnsi="宋体" w:eastAsia="宋体" w:cs="宋体"/>
          <w:color w:val="000000"/>
          <w:sz w:val="24"/>
          <w:szCs w:val="24"/>
          <w:highlight w:val="none"/>
        </w:rPr>
        <w:t xml:space="preserve">投标人的报价均超过了采购预算，采购人不能支付的；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24.1.4 </w:t>
      </w:r>
      <w:r>
        <w:rPr>
          <w:rFonts w:hint="eastAsia" w:ascii="宋体" w:hAnsi="宋体" w:eastAsia="宋体" w:cs="宋体"/>
          <w:color w:val="000000"/>
          <w:sz w:val="24"/>
          <w:szCs w:val="24"/>
          <w:highlight w:val="none"/>
        </w:rPr>
        <w:t xml:space="preserve">因重大变故，采购任务取消的；</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24.2 </w:t>
      </w:r>
      <w:r>
        <w:rPr>
          <w:rFonts w:hint="eastAsia" w:ascii="宋体" w:hAnsi="宋体" w:eastAsia="宋体" w:cs="宋体"/>
          <w:color w:val="000000"/>
          <w:sz w:val="24"/>
          <w:szCs w:val="24"/>
          <w:highlight w:val="none"/>
        </w:rPr>
        <w:t xml:space="preserve">废标后，采购代理机构将把废标的理由通知所有投标人。</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rPr>
        <w:t xml:space="preserve">投标文件的评价和比较</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rPr>
        <w:t xml:space="preserve">评标委员会应当严格按照招标文件的要求、条件、评分标准，对符合性审查合格的投标文件进行商务和技术评估，综合比较与评价。</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rPr>
        <w:t xml:space="preserve">本项目采用综合评分法，即指投标文件满足招标文件全部实质性要求，且按照评审因素的量化指标评审得分最高的投标人为排名第一的中标候选人的评标方法。</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25.3 </w:t>
      </w:r>
      <w:r>
        <w:rPr>
          <w:rFonts w:hint="eastAsia" w:ascii="宋体" w:hAnsi="宋体" w:eastAsia="宋体" w:cs="宋体"/>
          <w:color w:val="000000"/>
          <w:sz w:val="24"/>
          <w:szCs w:val="24"/>
          <w:highlight w:val="none"/>
        </w:rPr>
        <w:t xml:space="preserve">最低的投标报价或最高的</w:t>
      </w:r>
      <w:r>
        <w:rPr>
          <w:rFonts w:hint="eastAsia" w:ascii="宋体" w:hAnsi="宋体" w:eastAsia="宋体" w:cs="宋体"/>
          <w:b/>
          <w:bCs/>
          <w:color w:val="000000"/>
          <w:sz w:val="24"/>
          <w:szCs w:val="24"/>
          <w:highlight w:val="none"/>
        </w:rPr>
        <w:t xml:space="preserve">优惠</w:t>
      </w:r>
      <w:r>
        <w:rPr>
          <w:rFonts w:hint="eastAsia" w:ascii="宋体" w:hAnsi="宋体" w:eastAsia="宋体" w:cs="宋体"/>
          <w:color w:val="000000"/>
          <w:sz w:val="24"/>
          <w:szCs w:val="24"/>
          <w:highlight w:val="none"/>
        </w:rPr>
        <w:t xml:space="preserve">比例是中标的重要条件，但不是唯一条件。</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六、中标及合同说明</w:t>
      </w:r>
      <w:r>
        <w:rPr>
          <w:rFonts w:ascii="宋体" w:hAnsi="宋体" w:eastAsia="宋体" w:cs="宋体"/>
          <w:b/>
          <w:bCs/>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26、</w:t>
      </w:r>
      <w:r>
        <w:rPr>
          <w:rFonts w:hint="eastAsia" w:ascii="宋体" w:hAnsi="宋体" w:eastAsia="宋体" w:cs="宋体"/>
          <w:b/>
          <w:bCs/>
          <w:color w:val="000000"/>
          <w:sz w:val="24"/>
          <w:szCs w:val="24"/>
          <w:highlight w:val="none"/>
        </w:rPr>
        <w:t xml:space="preserve">中标单位的确认</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bidi="ar"/>
        </w:rPr>
        <w:t xml:space="preserve">评标结果按评审后得分由高到低顺序排列。得分相同的，按投标报价由低到高顺序排列。得分且投标报价相同的并列。中标候选人并列的，按照招标文件规定的方式确定中标人；招标文件未规定的，采取随机抽取的方式确定。</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26.2</w:t>
      </w:r>
      <w:r>
        <w:rPr>
          <w:rFonts w:hint="eastAsia" w:ascii="宋体" w:hAnsi="宋体" w:eastAsia="宋体" w:cs="宋体"/>
          <w:color w:val="000000"/>
          <w:sz w:val="24"/>
          <w:szCs w:val="24"/>
          <w:highlight w:val="none"/>
        </w:rPr>
        <w:t xml:space="preserve">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27、</w:t>
      </w:r>
      <w:r>
        <w:rPr>
          <w:rFonts w:hint="eastAsia" w:ascii="宋体" w:hAnsi="宋体" w:eastAsia="宋体" w:cs="宋体"/>
          <w:b/>
          <w:bCs/>
          <w:color w:val="000000"/>
          <w:sz w:val="24"/>
          <w:szCs w:val="24"/>
          <w:highlight w:val="none"/>
        </w:rPr>
        <w:t xml:space="preserve">合同授予标准</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27.1采购人将把合同授予其投标文件在实质上响应招标文件要求和按本须知规定评选出的投标人。确定为中标的投标人必须具有实施本合同的能力和资源。</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28、</w:t>
      </w:r>
      <w:r>
        <w:rPr>
          <w:rFonts w:hint="eastAsia" w:ascii="宋体" w:hAnsi="宋体" w:eastAsia="宋体" w:cs="宋体"/>
          <w:b/>
          <w:bCs/>
          <w:color w:val="000000"/>
          <w:sz w:val="24"/>
          <w:szCs w:val="24"/>
          <w:highlight w:val="none"/>
        </w:rPr>
        <w:t xml:space="preserve">中标通知书</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28.1中标通知书将成为合同的组成部分。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sz w:val="24"/>
          <w:szCs w:val="24"/>
          <w:highlight w:val="none"/>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t xml:space="preserve">3采购人或采购代理机构对未中标单位不承担解释未中标原因的义务。</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29、</w:t>
      </w:r>
      <w:r>
        <w:rPr>
          <w:rFonts w:hint="eastAsia" w:ascii="宋体" w:hAnsi="宋体" w:eastAsia="宋体" w:cs="宋体"/>
          <w:b/>
          <w:bCs/>
          <w:color w:val="000000"/>
          <w:sz w:val="24"/>
          <w:szCs w:val="24"/>
          <w:highlight w:val="none"/>
        </w:rPr>
        <w:t xml:space="preserve">合同的签订</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29.1</w:t>
      </w:r>
      <w:r>
        <w:rPr>
          <w:rFonts w:hint="eastAsia" w:ascii="宋体" w:hAnsi="宋体" w:eastAsia="宋体" w:cs="宋体"/>
          <w:color w:val="000000"/>
          <w:sz w:val="24"/>
          <w:szCs w:val="24"/>
          <w:highlight w:val="none"/>
        </w:rPr>
        <w:t xml:space="preserve">中标单位应按中标通知书中规定的时间和地点，由法定代表人或授权代理人与甲方代表签订合同。</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29.2 </w:t>
      </w:r>
      <w:r>
        <w:rPr>
          <w:rFonts w:hint="eastAsia" w:ascii="宋体" w:hAnsi="宋体" w:eastAsia="宋体" w:cs="宋体"/>
          <w:color w:val="000000"/>
          <w:sz w:val="24"/>
          <w:szCs w:val="24"/>
          <w:highlight w:val="none"/>
        </w:rPr>
        <w:t xml:space="preserve">签订合同及合同条款应以招标文件和中标单位的投标文件及其澄清文件为依据。</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29.3中标单位拒绝与采购人签订合同，采购人可以按照评审报告推荐的中标候选人名单排序，确定下一候选人为中标人或者重新开展政府采购活动。</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30、履约保证金</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本项目无需缴纳履约保证金。</w:t>
      </w:r>
      <w:r>
        <w:rPr>
          <w:rFonts w:ascii="宋体" w:hAnsi="宋体" w:eastAsia="宋体" w:cs="宋体"/>
          <w:color w:val="000000"/>
          <w:sz w:val="24"/>
          <w:szCs w:val="24"/>
          <w:highlight w:val="none"/>
        </w:rPr>
      </w:r>
      <w:r/>
    </w:p>
    <w:p>
      <w:pPr>
        <w:pStyle w:val="696"/>
        <w:ind w:firstLine="482"/>
        <w:jc w:val="both"/>
        <w:spacing w:line="360" w:lineRule="auto"/>
        <w:widowControl w:val="off"/>
        <w:rPr>
          <w:rFonts w:hint="eastAsia"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rPr>
        <w:t xml:space="preserve">31、</w:t>
      </w:r>
      <w:r>
        <w:rPr>
          <w:rFonts w:hint="eastAsia" w:ascii="宋体" w:hAnsi="宋体" w:eastAsia="宋体" w:cs="宋体"/>
          <w:b/>
          <w:bCs/>
          <w:color w:val="000000"/>
          <w:sz w:val="24"/>
          <w:szCs w:val="24"/>
          <w:highlight w:val="none"/>
          <w:lang w:eastAsia="zh-CN"/>
        </w:rPr>
        <w:t xml:space="preserve">中标服务费</w:t>
      </w:r>
      <w:r>
        <w:rPr>
          <w:rFonts w:hint="eastAsia" w:ascii="宋体" w:hAnsi="宋体" w:eastAsia="宋体" w:cs="宋体"/>
          <w:b/>
          <w:bCs/>
          <w:color w:val="000000"/>
          <w:sz w:val="24"/>
          <w:szCs w:val="24"/>
          <w:highlight w:val="none"/>
          <w:lang w:eastAsia="zh-CN"/>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31.1中标单位须按</w:t>
      </w:r>
      <w:r>
        <w:rPr>
          <w:rFonts w:hint="eastAsia" w:ascii="宋体" w:hAnsi="宋体" w:eastAsia="宋体" w:cs="宋体"/>
          <w:color w:val="000000"/>
          <w:sz w:val="24"/>
          <w:szCs w:val="24"/>
          <w:highlight w:val="none"/>
        </w:rPr>
        <w:t xml:space="preserve">以下</w:t>
      </w:r>
      <w:r>
        <w:rPr>
          <w:rFonts w:ascii="宋体" w:hAnsi="宋体" w:eastAsia="宋体" w:cs="宋体"/>
          <w:color w:val="000000"/>
          <w:sz w:val="24"/>
          <w:szCs w:val="24"/>
          <w:highlight w:val="none"/>
        </w:rPr>
        <w:t xml:space="preserve">规定计算并支付</w:t>
      </w:r>
      <w:r>
        <w:rPr>
          <w:rFonts w:hint="eastAsia" w:ascii="宋体" w:hAnsi="宋体" w:eastAsia="宋体" w:cs="宋体"/>
          <w:color w:val="000000"/>
          <w:sz w:val="24"/>
          <w:szCs w:val="24"/>
          <w:highlight w:val="none"/>
          <w:lang w:eastAsia="zh-CN"/>
        </w:rPr>
        <w:t xml:space="preserve">中标服务费</w:t>
      </w:r>
      <w:r>
        <w:rPr>
          <w:rFonts w:ascii="宋体" w:hAnsi="宋体" w:eastAsia="宋体" w:cs="宋体"/>
          <w:color w:val="000000"/>
          <w:sz w:val="24"/>
          <w:szCs w:val="24"/>
          <w:highlight w:val="none"/>
        </w:rPr>
        <w:t xml:space="preserve">，该费用应在领取合同前付清</w:t>
      </w:r>
      <w:r>
        <w:rPr>
          <w:rFonts w:hint="eastAsia" w:ascii="宋体" w:hAnsi="宋体" w:eastAsia="宋体" w:cs="宋体"/>
          <w:color w:val="000000"/>
          <w:sz w:val="24"/>
          <w:szCs w:val="24"/>
          <w:highlight w:val="none"/>
        </w:rPr>
        <w:t xml:space="preserve">，该费用包含在投标报价中。</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中标服务费</w:t>
      </w:r>
      <w:r>
        <w:rPr>
          <w:rFonts w:hint="eastAsia" w:ascii="宋体" w:hAnsi="宋体" w:eastAsia="宋体" w:cs="宋体"/>
          <w:color w:val="000000"/>
          <w:sz w:val="24"/>
          <w:szCs w:val="24"/>
          <w:highlight w:val="none"/>
        </w:rPr>
        <w:t xml:space="preserve">收费标准：</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预算金额100万元以下部分，费率为该部分预算金额的1.5%；</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预算金额100万元（含）－500万元部分，费率为该部分预算金额的1.1%；</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预算金额500万元（含）-1000万元部分，费率为该部分预算金额的0.8%；</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预算金额1000万元（含）-5000万元部分，费率为该部分预算金额的0.5%；</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预算金额5000万元（含）以上部分，费率为该部分预算金额的0.25%。</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lang w:eastAsia="zh-CN"/>
        </w:rPr>
        <w:t xml:space="preserve">中标服务费</w:t>
      </w:r>
      <w:r>
        <w:rPr>
          <w:rFonts w:hint="eastAsia" w:ascii="宋体" w:hAnsi="宋体" w:eastAsia="宋体" w:cs="宋体"/>
          <w:color w:val="000000"/>
          <w:sz w:val="24"/>
          <w:szCs w:val="24"/>
          <w:highlight w:val="none"/>
        </w:rPr>
        <w:t xml:space="preserve">以采购预算金额为基数依据，按以上规定的标准和差额定率累进法进行计算收取。</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中标人根据采购预算计算并支付中标服务费，领取中标通知书时中标人向采购代理机构一次性付清。</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则本项目成交服务费为人民币</w:t>
      </w:r>
      <w:r>
        <w:rPr>
          <w:rFonts w:hint="eastAsia" w:ascii="宋体" w:hAnsi="宋体" w:eastAsia="宋体" w:cs="宋体"/>
          <w:b/>
          <w:bCs/>
          <w:color w:val="000000"/>
          <w:sz w:val="24"/>
          <w:szCs w:val="24"/>
          <w:highlight w:val="none"/>
          <w:lang w:val="en-US" w:eastAsia="zh-CN"/>
        </w:rPr>
        <w:t xml:space="preserve">玖万捌仟柒佰捌拾捌</w:t>
      </w:r>
      <w:r>
        <w:rPr>
          <w:rFonts w:hint="eastAsia" w:ascii="宋体" w:hAnsi="宋体" w:eastAsia="宋体" w:cs="宋体"/>
          <w:b/>
          <w:bCs/>
          <w:color w:val="000000"/>
          <w:sz w:val="24"/>
          <w:szCs w:val="24"/>
          <w:highlight w:val="none"/>
        </w:rPr>
        <w:t xml:space="preserve">元整（￥</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en-US" w:eastAsia="zh-CN"/>
        </w:rPr>
        <w:t xml:space="preserve">8788</w:t>
      </w:r>
      <w:r>
        <w:rPr>
          <w:rFonts w:hint="eastAsia" w:ascii="宋体" w:hAnsi="宋体" w:eastAsia="宋体" w:cs="宋体"/>
          <w:b/>
          <w:bCs/>
          <w:color w:val="000000"/>
          <w:sz w:val="24"/>
          <w:szCs w:val="24"/>
          <w:highlight w:val="none"/>
        </w:rPr>
        <w:t xml:space="preserve">.00）。</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31.2中标单位如果未按规定缴纳</w:t>
      </w:r>
      <w:r>
        <w:rPr>
          <w:rFonts w:hint="eastAsia" w:ascii="宋体" w:hAnsi="宋体" w:eastAsia="宋体" w:cs="宋体"/>
          <w:color w:val="000000"/>
          <w:sz w:val="24"/>
          <w:szCs w:val="24"/>
          <w:highlight w:val="none"/>
          <w:lang w:eastAsia="zh-CN"/>
        </w:rPr>
        <w:t xml:space="preserve">中标服务费</w:t>
      </w:r>
      <w:r>
        <w:rPr>
          <w:rFonts w:ascii="宋体" w:hAnsi="宋体" w:eastAsia="宋体" w:cs="宋体"/>
          <w:color w:val="000000"/>
          <w:sz w:val="24"/>
          <w:szCs w:val="24"/>
          <w:highlight w:val="none"/>
        </w:rPr>
        <w:t xml:space="preserve">，采购代理机构将保留诉讼的权利。</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32、监督和公证</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32.1有关监督部门将对招投标全过程进行监督。</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32.2采购代理机构的招标过程将通过公证机关进行公证。</w:t>
      </w:r>
      <w:r>
        <w:rPr>
          <w:rFonts w:ascii="宋体" w:hAnsi="宋体" w:eastAsia="宋体" w:cs="宋体"/>
          <w:color w:val="000000"/>
          <w:sz w:val="24"/>
          <w:szCs w:val="24"/>
          <w:highlight w:val="none"/>
        </w:rPr>
      </w:r>
      <w:r/>
    </w:p>
    <w:p>
      <w:pPr>
        <w:pStyle w:val="696"/>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33、未尽事宜</w:t>
      </w:r>
      <w:r>
        <w:rPr>
          <w:rFonts w:ascii="宋体" w:hAnsi="宋体" w:eastAsia="宋体" w:cs="宋体"/>
          <w:b/>
          <w:bCs/>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未尽事宜应按《中华人民共和国民法典》、《中华人民共和国政府采购法》以及其它相关法律、法规之规定解释</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643"/>
        <w:jc w:val="center"/>
        <w:spacing w:line="360" w:lineRule="auto"/>
        <w:widowControl w:val="off"/>
        <w:rPr>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t xml:space="preserve">第三章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投标文件格式</w:t>
      </w:r>
      <w:r>
        <w:rPr>
          <w:rFonts w:ascii="宋体" w:hAnsi="宋体" w:eastAsia="宋体" w:cs="宋体"/>
          <w:b/>
          <w:bCs/>
          <w:color w:val="000000"/>
          <w:sz w:val="32"/>
          <w:szCs w:val="32"/>
          <w:highlight w:val="none"/>
        </w:rPr>
      </w:r>
      <w:r/>
    </w:p>
    <w:p>
      <w:pPr>
        <w:pStyle w:val="696"/>
        <w:ind w:firstLine="420"/>
        <w:jc w:val="both"/>
        <w:spacing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投标文件格式，除注明允许修改的文件外，投标人均应按照本章提供的格式填写，否则作为无效标。允许修改的文件，投标方可根据自身情况进行补充和修改，但补充和修改不得造成与原格式内容有实质性的违背 。</w:t>
      </w:r>
      <w:r>
        <w:rPr>
          <w:rFonts w:ascii="宋体" w:hAnsi="宋体" w:eastAsia="宋体" w:cs="宋体"/>
          <w:color w:val="000000"/>
          <w:sz w:val="24"/>
          <w:szCs w:val="24"/>
          <w:highlight w:val="none"/>
        </w:rPr>
      </w:r>
      <w:r/>
    </w:p>
    <w:p>
      <w:pPr>
        <w:pStyle w:val="696"/>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highlight w:val="none"/>
        </w:rPr>
        <w:br w:type="page" w:clear="all"/>
      </w:r>
      <w:r>
        <w:rPr>
          <w:rFonts w:ascii="宋体" w:hAnsi="宋体" w:eastAsia="宋体" w:cs="宋体"/>
          <w:b/>
          <w:bCs/>
          <w:color w:val="000000"/>
          <w:sz w:val="24"/>
          <w:szCs w:val="24"/>
          <w:highlight w:val="none"/>
        </w:rPr>
        <w:t xml:space="preserve">格式1、投标函</w:t>
      </w:r>
      <w:r>
        <w:rPr>
          <w:rFonts w:ascii="宋体" w:hAnsi="宋体" w:eastAsia="宋体" w:cs="宋体"/>
          <w:b/>
          <w:bCs/>
          <w:color w:val="000000"/>
          <w:sz w:val="24"/>
          <w:szCs w:val="24"/>
          <w:highlight w:val="none"/>
        </w:rPr>
      </w:r>
      <w:r/>
    </w:p>
    <w:p>
      <w:pPr>
        <w:pStyle w:val="696"/>
        <w:ind w:firstLine="489"/>
        <w:jc w:val="center"/>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投标函</w:t>
      </w:r>
      <w:r>
        <w:rPr>
          <w:rFonts w:ascii="宋体" w:hAnsi="宋体" w:eastAsia="宋体" w:cs="宋体"/>
          <w:b/>
          <w:bCs/>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我方收到贵公司</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号</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，经仔细阅读和研究，我方决定参加投标。并向贵公司承诺：</w:t>
      </w:r>
      <w:r>
        <w:rPr>
          <w:rFonts w:ascii="宋体" w:hAnsi="宋体" w:eastAsia="宋体" w:cs="宋体"/>
          <w:color w:val="000000"/>
          <w:sz w:val="24"/>
          <w:szCs w:val="24"/>
          <w:highlight w:val="none"/>
        </w:rPr>
      </w:r>
      <w:r/>
    </w:p>
    <w:p>
      <w:pPr>
        <w:pStyle w:val="696"/>
        <w:numPr>
          <w:ilvl w:val="0"/>
          <w:numId w:val="1"/>
        </w:numPr>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我方愿意按照</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的一切要求，提供本项目的所有内容，我方的投标报价</w:t>
      </w:r>
      <w:r>
        <w:rPr>
          <w:rFonts w:hint="eastAsia" w:ascii="宋体" w:hAnsi="宋体" w:eastAsia="宋体" w:cs="宋体"/>
          <w:color w:val="000000"/>
          <w:sz w:val="24"/>
          <w:szCs w:val="24"/>
          <w:highlight w:val="none"/>
        </w:rPr>
        <w:t xml:space="preserve">包含全部服务所需的人工费、通讯费、交通费、资料费、调查费、报告及编制费（含印刷费）、评审会务费（含专家费）、咨询费、后续服务费、</w:t>
      </w:r>
      <w:r>
        <w:rPr>
          <w:rFonts w:hint="eastAsia" w:ascii="宋体" w:hAnsi="宋体" w:eastAsia="宋体" w:cs="宋体"/>
          <w:color w:val="000000"/>
          <w:sz w:val="24"/>
          <w:szCs w:val="24"/>
          <w:highlight w:val="none"/>
          <w:lang w:val="en-US" w:eastAsia="zh-CN"/>
        </w:rPr>
        <w:t xml:space="preserve">维护费、保险费、</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color w:val="000000"/>
          <w:sz w:val="24"/>
          <w:szCs w:val="24"/>
          <w:highlight w:val="none"/>
          <w:lang w:eastAsia="zh-CN"/>
        </w:rPr>
        <w:t xml:space="preserve">标服务费</w:t>
      </w:r>
      <w:r>
        <w:rPr>
          <w:rFonts w:hint="eastAsia" w:ascii="宋体" w:hAnsi="宋体" w:eastAsia="宋体" w:cs="宋体"/>
          <w:color w:val="000000"/>
          <w:sz w:val="24"/>
          <w:szCs w:val="24"/>
          <w:highlight w:val="none"/>
        </w:rPr>
        <w:t xml:space="preserve">、利润、税金、政策性文件规定及合同包含的所有风险、责任等完成本项目的各项应有费用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我们接受，除非合同条款中另有规定，否则合同价格在合同实施期间不因市场因素、政策规定变更因素等任何因素调整，采购人不再支付任何其他费用。</w:t>
      </w:r>
      <w:r>
        <w:rPr>
          <w:rFonts w:hint="eastAsia"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、如果我方的投标书被接受，我方将严格履行</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中规定的每一项要求，严格履行合同的责任和义务，保证按期、按质</w:t>
      </w:r>
      <w:r>
        <w:rPr>
          <w:rFonts w:hint="eastAsia" w:ascii="宋体" w:hAnsi="宋体" w:eastAsia="宋体" w:cs="宋体"/>
          <w:color w:val="000000"/>
          <w:sz w:val="24"/>
          <w:szCs w:val="24"/>
          <w:highlight w:val="none"/>
        </w:rPr>
        <w:t xml:space="preserve">、按量</w:t>
      </w:r>
      <w:r>
        <w:rPr>
          <w:rFonts w:ascii="宋体" w:hAnsi="宋体" w:eastAsia="宋体" w:cs="宋体"/>
          <w:color w:val="000000"/>
          <w:sz w:val="24"/>
          <w:szCs w:val="24"/>
          <w:highlight w:val="none"/>
        </w:rPr>
        <w:t xml:space="preserve">履行合同，完成合同内容所规定的全部工作。</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招标文件的澄清和补充文件（更正公告）(如有)及有关附件。我们已完全理解招标文件并对招标文件不存在任何异议。我们完全理解并同意放弃对这方面内容要求采购人进行解释说明的权利。</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、我方同意按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中的规定，本投标书的有效期限为</w:t>
      </w:r>
      <w:bookmarkStart w:id="1" w:name="OLE_LINK1"/>
      <w:r/>
      <w:bookmarkStart w:id="2" w:name="OLE_LINK2"/>
      <w:r>
        <w:rPr>
          <w:rFonts w:hint="eastAsia" w:ascii="宋体" w:hAnsi="宋体" w:eastAsia="宋体" w:cs="宋体"/>
          <w:color w:val="000000"/>
          <w:sz w:val="24"/>
          <w:szCs w:val="24"/>
          <w:highlight w:val="none"/>
        </w:rPr>
        <w:t xml:space="preserve">投标文件提交截止之日起</w:t>
      </w:r>
      <w:bookmarkEnd w:id="1"/>
      <w:r/>
      <w:bookmarkEnd w:id="2"/>
      <w:r>
        <w:rPr>
          <w:rFonts w:hint="eastAsia" w:ascii="宋体" w:hAnsi="宋体" w:eastAsia="宋体" w:cs="宋体"/>
          <w:color w:val="000000"/>
          <w:sz w:val="24"/>
          <w:szCs w:val="24"/>
          <w:highlight w:val="none"/>
        </w:rPr>
        <w:t xml:space="preserve">90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、我方愿意提供</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中要求的所有资料，也同意向贵方提供贵方可能另外要求的与我方投标有关的任何证据或资料，并保证所提供的资料全部是真实的、</w:t>
      </w:r>
      <w:r>
        <w:rPr>
          <w:rFonts w:hint="eastAsia" w:ascii="宋体" w:hAnsi="宋体" w:eastAsia="宋体" w:cs="宋体"/>
          <w:color w:val="000000"/>
          <w:sz w:val="24"/>
          <w:szCs w:val="24"/>
          <w:highlight w:val="none"/>
        </w:rPr>
        <w:t xml:space="preserve">完整的、准确的、</w:t>
      </w:r>
      <w:r>
        <w:rPr>
          <w:rFonts w:ascii="宋体" w:hAnsi="宋体" w:eastAsia="宋体" w:cs="宋体"/>
          <w:color w:val="000000"/>
          <w:sz w:val="24"/>
          <w:szCs w:val="24"/>
          <w:highlight w:val="none"/>
        </w:rPr>
        <w:t xml:space="preserve">有效的，也愿意接受贵方对我方提供所有资料的核查。若有虚假，我方愿承担一切责任</w:t>
      </w:r>
      <w:r>
        <w:rPr>
          <w:rFonts w:hint="eastAsia" w:ascii="宋体" w:hAnsi="宋体" w:eastAsia="宋体" w:cs="宋体"/>
          <w:color w:val="000000"/>
          <w:sz w:val="24"/>
          <w:szCs w:val="24"/>
          <w:highlight w:val="none"/>
        </w:rPr>
        <w:t xml:space="preserve">，并赔偿由此而导致贵公司或采购方遭受的各项全部损失</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t xml:space="preserve">、我方认为贵方有权根据评标委员会的评审结果决定中标者，还认为贵方有权根据评标委员会的评审结果接受或拒绝所有的投标者。</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、我方愿意遵守</w:t>
      </w:r>
      <w:r>
        <w:rPr>
          <w:rFonts w:hint="eastAsia" w:ascii="宋体" w:hAnsi="宋体" w:eastAsia="宋体" w:cs="宋体"/>
          <w:color w:val="000000"/>
          <w:sz w:val="24"/>
          <w:szCs w:val="24"/>
          <w:highlight w:val="none"/>
        </w:rPr>
        <w:t xml:space="preserve">招标公告及招标文件</w:t>
      </w:r>
      <w:r>
        <w:rPr>
          <w:rFonts w:ascii="宋体" w:hAnsi="宋体" w:eastAsia="宋体" w:cs="宋体"/>
          <w:color w:val="000000"/>
          <w:sz w:val="24"/>
          <w:szCs w:val="24"/>
          <w:highlight w:val="none"/>
        </w:rPr>
        <w:t xml:space="preserve">中所列的收费标准。</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、我方同意</w:t>
      </w:r>
      <w:r>
        <w:rPr>
          <w:rFonts w:hint="eastAsia" w:ascii="宋体" w:hAnsi="宋体" w:eastAsia="宋体" w:cs="宋体"/>
          <w:color w:val="000000"/>
          <w:sz w:val="24"/>
          <w:szCs w:val="24"/>
          <w:highlight w:val="none"/>
        </w:rPr>
        <w:t xml:space="preserve">中标单位</w:t>
      </w:r>
      <w:r>
        <w:rPr>
          <w:rFonts w:ascii="宋体" w:hAnsi="宋体" w:eastAsia="宋体" w:cs="宋体"/>
          <w:color w:val="000000"/>
          <w:sz w:val="24"/>
          <w:szCs w:val="24"/>
          <w:highlight w:val="none"/>
        </w:rPr>
        <w:t xml:space="preserve">若无法按约定条款履行义务等行为，</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有权取消我方的中标资格。</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t xml:space="preserve">、如果我方中标，我方愿意在签订前按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规定支付中标服务费，逾期按中国人民银行公布的同期人民币贷款最高利率计付利息</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、我们承诺我公司符合招标文件中“申请人的资格要求”的要求，若与真实情况不符，本公司愿意承担由此而产生的一切后果。</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2、与本投标有关的通讯地址：</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邮政编码：</w:t>
      </w:r>
      <w:r>
        <w:rPr>
          <w:rFonts w:ascii="宋体" w:hAnsi="宋体" w:eastAsia="宋体" w:cs="宋体"/>
          <w:color w:val="000000"/>
          <w:sz w:val="24"/>
          <w:szCs w:val="24"/>
          <w:highlight w:val="none"/>
        </w:rPr>
      </w:r>
      <w:r/>
    </w:p>
    <w:p>
      <w:pPr>
        <w:pStyle w:val="696"/>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917"/>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917"/>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17"/>
        <w:ind w:firstLine="420"/>
        <w:spacing w:line="400" w:lineRule="exact"/>
        <w:rPr>
          <w:rFonts w:hint="eastAsia" w:hAnsi="宋体" w:eastAsia="宋体" w:cs="宋体"/>
          <w:b/>
          <w:bCs/>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4"/>
          <w:highlight w:val="none"/>
        </w:rPr>
        <w:t xml:space="preserve">格式2、(投标人)法定代表人授权委托书</w:t>
      </w:r>
      <w:r>
        <w:rPr>
          <w:rFonts w:hint="eastAsia" w:hAnsi="宋体" w:eastAsia="宋体" w:cs="宋体"/>
          <w:b/>
          <w:bCs/>
          <w:color w:val="000000"/>
          <w:sz w:val="24"/>
          <w:szCs w:val="24"/>
          <w:highlight w:val="none"/>
        </w:rPr>
      </w:r>
      <w:r/>
    </w:p>
    <w:p>
      <w:pPr>
        <w:pStyle w:val="696"/>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4"/>
        <w:ind w:firstLine="480"/>
        <w:jc w:val="center"/>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法定代表人授权委托书</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（姓名+手机号码）为我公司代理人，以本公司的名义参加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（采购人名称）组织实施的编号为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号的招标（采购）活动。代理人在投标、开标、评标、合同订立和履行过程中所签署的一切文件和处理与这有关的一切事务，我公司均予以承认并负全部责任。</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代理人在授权委托书有效期内签署的所有文件不因授权委托的撤销而失效，除非有撤销授权委托的书面通知，本授权委托书自投标开始至合同全部履行完毕止。</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代理人无转委托权。特此委托。</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 标 人（盖章）：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rPr>
      </w:r>
      <w:r/>
    </w:p>
    <w:p>
      <w:pPr>
        <w:pStyle w:val="696"/>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96"/>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3</w:t>
      </w:r>
      <w:r>
        <w:rPr>
          <w:rFonts w:ascii="宋体" w:hAnsi="宋体" w:eastAsia="宋体" w:cs="宋体"/>
          <w:b/>
          <w:bCs/>
          <w:color w:val="000000"/>
          <w:sz w:val="24"/>
          <w:szCs w:val="24"/>
          <w:highlight w:val="none"/>
        </w:rPr>
        <w:t xml:space="preserve">、开标一览表</w:t>
      </w:r>
      <w:r>
        <w:rPr>
          <w:rFonts w:ascii="宋体" w:hAnsi="宋体" w:eastAsia="宋体" w:cs="宋体"/>
          <w:b/>
          <w:bCs/>
          <w:color w:val="000000"/>
          <w:sz w:val="24"/>
          <w:szCs w:val="24"/>
          <w:highlight w:val="none"/>
        </w:rPr>
      </w:r>
      <w:r/>
    </w:p>
    <w:p>
      <w:pPr>
        <w:pStyle w:val="696"/>
        <w:jc w:val="both"/>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69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按照“苏采云”系统填报</w:t>
      </w:r>
      <w:bookmarkStart w:id="3" w:name="_GoBack"/>
      <w:r/>
      <w:bookmarkEnd w:id="3"/>
      <w:r>
        <w:rPr>
          <w:rFonts w:hint="eastAsia" w:ascii="宋体" w:hAnsi="宋体" w:eastAsia="宋体" w:cs="宋体"/>
          <w:b/>
          <w:bCs/>
          <w:color w:val="000000"/>
          <w:sz w:val="24"/>
          <w:szCs w:val="24"/>
          <w:highlight w:val="none"/>
        </w:rPr>
      </w:r>
      <w:r/>
    </w:p>
    <w:p>
      <w:pPr>
        <w:pStyle w:val="69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6"/>
        <w:rPr>
          <w:rFonts w:hint="eastAsia" w:ascii="宋体" w:hAnsi="宋体" w:eastAsia="宋体" w:cs="宋体"/>
          <w:b/>
          <w:bCs/>
          <w:color w:val="000000"/>
          <w:sz w:val="24"/>
          <w:szCs w:val="24"/>
          <w:highlight w:val="none"/>
        </w:rPr>
        <w:sectPr>
          <w:headerReference w:type="default" r:id="rId9"/>
          <w:footerReference w:type="default" r:id="rId10"/>
          <w:footnotePr/>
          <w:endnotePr/>
          <w:type w:val="nextPage"/>
          <w:pgSz w:w="11905" w:h="16839" w:orient="portrait"/>
          <w:pgMar w:top="1327" w:right="1140" w:bottom="1327" w:left="1140" w:header="850" w:footer="964" w:gutter="0"/>
          <w:cols w:num="1" w:sep="0" w:space="1701" w:equalWidth="1"/>
          <w:docGrid w:linePitch="360"/>
        </w:sectPr>
      </w:pPr>
      <w:r>
        <w:rPr>
          <w:rFonts w:hint="eastAsia" w:ascii="宋体" w:hAnsi="宋体" w:eastAsia="宋体" w:cs="宋体"/>
          <w:b/>
          <w:bCs/>
          <w:color w:val="000000"/>
          <w:sz w:val="24"/>
          <w:szCs w:val="24"/>
          <w:highlight w:val="none"/>
        </w:rPr>
      </w:r>
      <w:r/>
    </w:p>
    <w:p>
      <w:pPr>
        <w:pStyle w:val="696"/>
        <w:rPr>
          <w:rFonts w:hint="eastAsia" w:ascii="宋体" w:hAnsi="宋体" w:eastAsia="宋体" w:cs="宋体"/>
          <w:b/>
          <w:bCs/>
          <w:color w:val="000000"/>
          <w:sz w:val="24"/>
          <w:szCs w:val="24"/>
          <w:highlight w:val="none"/>
        </w:rPr>
      </w:pPr>
      <w:r/>
      <w:bookmarkStart w:id="4" w:name="_Toc71810483"/>
      <w:r>
        <w:rPr>
          <w:rFonts w:hint="eastAsia" w:ascii="宋体" w:hAnsi="宋体" w:eastAsia="宋体" w:cs="宋体"/>
          <w:b/>
          <w:bCs/>
          <w:color w:val="000000"/>
          <w:sz w:val="24"/>
          <w:szCs w:val="24"/>
          <w:highlight w:val="none"/>
        </w:rPr>
        <w:t xml:space="preserve">格式4、投标分项报价明细表</w:t>
      </w:r>
      <w:r>
        <w:rPr>
          <w:rFonts w:hint="eastAsia" w:ascii="宋体" w:hAnsi="宋体" w:eastAsia="宋体" w:cs="宋体"/>
          <w:b/>
          <w:bCs/>
          <w:color w:val="000000"/>
          <w:sz w:val="24"/>
          <w:szCs w:val="24"/>
          <w:highlight w:val="none"/>
        </w:rPr>
      </w:r>
      <w:r/>
    </w:p>
    <w:p>
      <w:pPr>
        <w:pStyle w:val="696"/>
        <w:jc w:val="center"/>
        <w:spacing w:line="4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投标分项报价明细表</w:t>
      </w:r>
      <w:r>
        <w:rPr>
          <w:rFonts w:hint="eastAsia" w:ascii="宋体" w:hAnsi="宋体" w:eastAsia="宋体" w:cs="宋体"/>
          <w:b/>
          <w:bCs/>
          <w:color w:val="000000"/>
          <w:sz w:val="24"/>
          <w:szCs w:val="24"/>
          <w:highlight w:val="none"/>
        </w:rPr>
      </w:r>
      <w:r/>
    </w:p>
    <w:p>
      <w:pPr>
        <w:pStyle w:val="696"/>
        <w:spacing w:line="400" w:lineRule="exact"/>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项目编号：</w:t>
      </w:r>
      <w:r>
        <w:rPr>
          <w:rFonts w:ascii="宋体" w:hAnsi="宋体" w:eastAsia="宋体" w:cs="宋体"/>
          <w:b/>
          <w:bCs/>
          <w:color w:val="000000"/>
          <w:sz w:val="24"/>
          <w:szCs w:val="24"/>
          <w:highlight w:val="none"/>
        </w:rPr>
      </w:r>
      <w:r/>
    </w:p>
    <w:tbl>
      <w:tblPr>
        <w:tblW w:w="1407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8"/>
        <w:gridCol w:w="2054"/>
        <w:gridCol w:w="7639"/>
        <w:gridCol w:w="802"/>
        <w:gridCol w:w="802"/>
        <w:gridCol w:w="996"/>
        <w:gridCol w:w="996"/>
      </w:tblGrid>
      <w:tr>
        <w:trPr>
          <w:trHeight w:val="440"/>
        </w:trPr>
        <w:tc>
          <w:tcPr>
            <w:tcW w:w="788"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054"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7639" w:type="dxa"/>
            <w:vAlign w:val="center"/>
            <w:vMerge w:val="restart"/>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t xml:space="preserve">项目描述</w:t>
            </w:r>
            <w:r>
              <w:rPr>
                <w:rFonts w:hint="eastAsia" w:ascii="宋体" w:hAnsi="宋体" w:eastAsia="宋体" w:cs="宋体"/>
                <w:b/>
                <w:bCs/>
                <w:i w:val="0"/>
                <w:iCs w:val="0"/>
                <w:color w:val="000000"/>
                <w:sz w:val="20"/>
                <w:szCs w:val="20"/>
                <w:highlight w:val="none"/>
                <w:u w:val="none"/>
              </w:rPr>
            </w:r>
            <w:r/>
          </w:p>
        </w:tc>
        <w:tc>
          <w:tcPr>
            <w:tcW w:w="802" w:type="dxa"/>
            <w:vAlign w:val="center"/>
            <w:vMerge w:val="restart"/>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t xml:space="preserve">单位</w:t>
            </w:r>
            <w:r>
              <w:rPr>
                <w:rFonts w:hint="eastAsia" w:ascii="宋体" w:hAnsi="宋体" w:eastAsia="宋体" w:cs="宋体"/>
                <w:b/>
                <w:bCs/>
                <w:i w:val="0"/>
                <w:iCs w:val="0"/>
                <w:color w:val="000000"/>
                <w:sz w:val="20"/>
                <w:szCs w:val="20"/>
                <w:highlight w:val="none"/>
                <w:u w:val="none"/>
              </w:rPr>
            </w:r>
            <w:r/>
          </w:p>
        </w:tc>
        <w:tc>
          <w:tcPr>
            <w:tcW w:w="802" w:type="dxa"/>
            <w:vAlign w:val="center"/>
            <w:vMerge w:val="restart"/>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t xml:space="preserve">项目量</w:t>
            </w:r>
            <w:r>
              <w:rPr>
                <w:rFonts w:hint="eastAsia" w:ascii="宋体" w:hAnsi="宋体" w:eastAsia="宋体" w:cs="宋体"/>
                <w:b/>
                <w:bCs/>
                <w:i w:val="0"/>
                <w:iCs w:val="0"/>
                <w:color w:val="000000"/>
                <w:sz w:val="20"/>
                <w:szCs w:val="20"/>
                <w:highlight w:val="none"/>
                <w:u w:val="none"/>
              </w:rPr>
            </w:r>
            <w:r/>
          </w:p>
        </w:tc>
        <w:tc>
          <w:tcPr>
            <w:gridSpan w:val="2"/>
            <w:tcW w:w="1992" w:type="dxa"/>
            <w:vAlign w:val="center"/>
            <w:textDirection w:val="lrTb"/>
            <w:noWrap w:val="false"/>
          </w:tcPr>
          <w:p>
            <w:pPr>
              <w:pStyle w:val="696"/>
              <w:jc w:val="center"/>
              <w:keepLines w:val="0"/>
              <w:keepNext w:val="0"/>
              <w:widowControl/>
              <w:rPr>
                <w:rFonts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单位：元</w:t>
            </w:r>
            <w:r>
              <w:rPr>
                <w:rFonts w:ascii="宋体" w:hAnsi="宋体" w:eastAsia="宋体" w:cs="宋体"/>
                <w:b/>
                <w:bCs/>
                <w:i w:val="0"/>
                <w:iCs w:val="0"/>
                <w:color w:val="000000"/>
                <w:sz w:val="20"/>
                <w:szCs w:val="20"/>
                <w:highlight w:val="none"/>
                <w:u w:val="none"/>
                <w:lang w:val="en-US" w:eastAsia="zh-CN" w:bidi="ar-SA"/>
              </w:rPr>
            </w:r>
            <w:r/>
          </w:p>
        </w:tc>
      </w:tr>
      <w:tr>
        <w:trPr>
          <w:trHeight w:val="440"/>
        </w:trPr>
        <w:tc>
          <w:tcPr>
            <w:tcW w:w="788" w:type="dxa"/>
            <w:vAlign w:val="center"/>
            <w:vMerge w:val="continue"/>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c>
          <w:tcPr>
            <w:tcW w:w="2054" w:type="dxa"/>
            <w:vAlign w:val="center"/>
            <w:vMerge w:val="continue"/>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c>
          <w:tcPr>
            <w:tcW w:w="7639" w:type="dxa"/>
            <w:vAlign w:val="center"/>
            <w:vMerge w:val="continue"/>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vMerge w:val="continue"/>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vMerge w:val="continue"/>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99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综合单价</w:t>
            </w:r>
            <w:r>
              <w:rPr>
                <w:rFonts w:hint="eastAsia" w:ascii="宋体" w:hAnsi="宋体" w:eastAsia="宋体" w:cs="宋体"/>
                <w:b/>
                <w:bCs/>
                <w:i w:val="0"/>
                <w:iCs w:val="0"/>
                <w:color w:val="000000"/>
                <w:sz w:val="20"/>
                <w:szCs w:val="20"/>
                <w:highlight w:val="none"/>
                <w:u w:val="none"/>
                <w:lang w:val="en-US" w:eastAsia="zh-CN" w:bidi="ar-SA"/>
              </w:rPr>
            </w:r>
            <w:r/>
          </w:p>
        </w:tc>
        <w:tc>
          <w:tcPr>
            <w:tcW w:w="99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w:t>
            </w:r>
            <w:r>
              <w:rPr>
                <w:rFonts w:hint="eastAsia" w:ascii="宋体" w:hAnsi="宋体" w:eastAsia="宋体" w:cs="宋体"/>
                <w:b/>
                <w:bCs/>
                <w:i w:val="0"/>
                <w:iCs w:val="0"/>
                <w:color w:val="000000"/>
                <w:sz w:val="20"/>
                <w:szCs w:val="20"/>
                <w:highlight w:val="none"/>
                <w:u w:val="none"/>
                <w:lang w:val="en-US" w:eastAsia="zh-CN" w:bidi="ar-SA"/>
              </w:rPr>
            </w:r>
            <w:r/>
          </w:p>
        </w:tc>
      </w:tr>
      <w:tr>
        <w:trPr>
          <w:trHeight w:val="440"/>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lang w:val="en-US" w:eastAsia="zh-CN" w:bidi="ar-SA"/>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SA"/>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分部分项项目</w:t>
            </w:r>
            <w:r>
              <w:rPr>
                <w:rFonts w:hint="eastAsia" w:ascii="宋体" w:hAnsi="宋体" w:eastAsia="宋体" w:cs="宋体"/>
                <w:b/>
                <w:bCs/>
                <w:i w:val="0"/>
                <w:iCs w:val="0"/>
                <w:color w:val="000000"/>
                <w:sz w:val="20"/>
                <w:szCs w:val="20"/>
                <w:highlight w:val="none"/>
                <w:u w:val="none"/>
                <w:lang w:val="en-US" w:eastAsia="zh-CN" w:bidi="ar-SA"/>
              </w:rPr>
            </w:r>
            <w:r/>
          </w:p>
        </w:tc>
        <w:tc>
          <w:tcPr>
            <w:tcW w:w="7639"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b/>
                <w:bCs/>
                <w:i w:val="0"/>
                <w:iCs w:val="0"/>
                <w:color w:val="000000"/>
                <w:sz w:val="20"/>
                <w:szCs w:val="20"/>
                <w:highlight w:val="none"/>
                <w:u w:val="none"/>
              </w:rPr>
            </w:pPr>
            <w:r>
              <w:rPr>
                <w:rFonts w:ascii="Times New Roman" w:hAnsi="Times New Roman" w:eastAsia="宋体" w:cs="Times New Roman"/>
                <w:b/>
                <w:bCs/>
                <w:i w:val="0"/>
                <w:iCs w:val="0"/>
                <w:color w:val="000000"/>
                <w:sz w:val="20"/>
                <w:szCs w:val="20"/>
                <w:highlight w:val="none"/>
                <w:u w:val="none"/>
              </w:rPr>
            </w:r>
            <w:r/>
          </w:p>
        </w:tc>
      </w:tr>
      <w:tr>
        <w:trPr>
          <w:trHeight w:val="499"/>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方案编制</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b/>
                <w:bCs/>
                <w:i w:val="0"/>
                <w:iCs w:val="0"/>
                <w:color w:val="000000"/>
                <w:sz w:val="20"/>
                <w:szCs w:val="20"/>
                <w:highlight w:val="none"/>
                <w:u w:val="none"/>
              </w:rPr>
            </w:pPr>
            <w:r>
              <w:rPr>
                <w:rFonts w:ascii="Times New Roman" w:hAnsi="Times New Roman" w:eastAsia="宋体" w:cs="Times New Roman"/>
                <w:b/>
                <w:bCs/>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施工组织设计方案</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包含1、施工组织设计方案编制及专家评审、备案；2、前期场地补充地质勘察；3、前期场地补充监测、污染范围确认；4、前期场地补充中试实验等</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18"/>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深基坑专项方案</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项目所用深基坑专项设计方案、监测方案、施工方案，编制及专家评审。</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60"/>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轨交专项方案</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轨交保护专项论证报告编制及专家评审</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40"/>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项目准备</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1195"/>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临时办公区及生活区建设</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临时用房采用集装箱，含办公室5间，门卫室1间，会议室2间，厕所1间（化粪池）；每间办公室配置空调、2桌2椅、1文件柜，会议室配置15人会议桌+椅，加投影仪及幕布，打印机，配置打印机，饮水机等，满足现场办公需求；2.配置大门、门禁、旗台、内部安全隔离围挡等相关设施。</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85"/>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水电接入</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含临时用水用电接驳开户手续办理，接驳施工，水费、电费、网费，满足现场办公要求。</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1089"/>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施工区临时围挡建设</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立柱式围挡，高度不得低于3m，采用双层夹芯彩钢板，2、沿周边围挡内侧每隔2米设置1个雾化喷头（雾化喷幅半径不小于1米），喷射水雾的方向应向项目内部并向上倾斜45度，出水口末端短管长度为0.2米，出水口高度与围挡顶部平齐</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21"/>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基坑软围挡建设</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采用DN48*3mm钢管，立管间距1.5m，计量按水平延长米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26"/>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临时道路；区域硬化修筑</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临时道路铺设，50cm建筑碎砖+5cm再生碎石+20cmC25混凝土面层，完工后拆除</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99"/>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临时污水收集池</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尺寸10m*10m*1.0m，PE材料的支架水池</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79"/>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纳管施工及排污许可</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纳管施工及纳管手续办理</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632"/>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洗车台及过磅台</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1、出入口设置车辆洗车台，规格3m*16m*1m；2.设置1台100t的电子地磅，磅体、接线盒、传感器、信号线等地磅装置，包括运入、安装调试、拆除；</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632"/>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 </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预处理大棚</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钢结构大棚，10*40m，配备照明系统、易燃易爆等安全检测系统、废气收集管路系统等；满足现场施工及安全要求；钢立柱及钢梁，彩钢板顶棚及四周围边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34"/>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危废暂存间</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集装箱(3m*6m)，底部+四周防渗(HDPE膜)，张贴危废标识牌，具体要求满足当地主管部门危废暂存间相关要求。</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 </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在开挖区、预处理区、过磅处、大门处、水处理区等关键区域安装监控设备，施工期全天24小时录像，数据保留移动硬盘中；10个监控摄像头</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01"/>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修复项目实施</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382"/>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3.1</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污染土壤修复</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1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上层清洁土和放坡土开挖及短驳</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上层清洁土及放坡土开挖；场内短驳至清洁土暂存区，并盖防尘网</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5488.4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616"/>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污染土壤开挖及短驳</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1、包括污染土及部分受到污染的原状土壤；2、场内短驳，运至场地内污染土壤暂存并盖防尘网；3、污染土装车</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73"/>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拉森钢板桩</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1、打、拔SP-IV拉森钢板桩；2、钢板桩租赁时间投标单位自行考虑，结算不调整；3、结算提供分批带参照物视频和照片，并经监理，跟审，采购单位现场确认数量；4、含设备进出场。</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856.125</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102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垂直阻隔</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垂直阻隔屏障的设计厚度为0.85米；2、深度初步确定为8m。三轴水泥土搅拌桩Ø850@600水泥剂量不低于20%，多出土方外运，运距及堆场投标单位自行考虑；3、结算提供水泥进场试验报告（检验批数量要满足要求，否则水泥剂量不予认可）；4、含设备进出场。</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1901.64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73"/>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污染土壤预处理</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包括加石灰（另计）、破碎、筛分等，将土体含水率控制在20%以内；</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73"/>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石灰</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生石灰采购，结算提供每车进出场过磅视频（视频中体现车牌号，重车重量，空车重量，相关见证人员）；</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543.52</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3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污染土转运</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1、污染土壤外运至水泥窑协同处置单位（必须采用符合环保要求的运输车辆，运输车辆必须密封严格、不晒不漏）运输至处置单位卸车，运距投标人自行考虑</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968"/>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水泥窑协同处置</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交由水泥窑协同处置单位处理；结算提供每车装车及进出场（含接收地址处）带水印过磅视频（视频中体现车牌号，重车重量，空车重量，相关见证人员）；</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10870.4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回填</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1、上层清洁土和放坡土经确认无污染后回填，剩余方量清洁土（甲供）；2、含短驳、挖、运、装车、卸、压实等，符合项目验收要求；</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12282.4</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3.2</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污染地下水修复</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831"/>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深井降水</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满足真空管井降水工艺要求，1、沿高浓度区域四周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按10m-15m网格布设降水井；2、DN300钢管；3、井深</w:t>
            </w:r>
            <w:r>
              <w:rPr>
                <w:rStyle w:val="946"/>
                <w:rFonts w:eastAsia="宋体"/>
                <w:color w:val="000000"/>
                <w:highlight w:val="none"/>
                <w:lang w:val="en-US" w:eastAsia="zh-CN" w:bidi="ar"/>
              </w:rPr>
              <w:t xml:space="preserve">6</w:t>
            </w:r>
            <w:r>
              <w:rPr>
                <w:rStyle w:val="947"/>
                <w:color w:val="000000"/>
                <w:highlight w:val="none"/>
                <w:lang w:val="en-US" w:eastAsia="zh-CN" w:bidi="ar"/>
              </w:rPr>
              <w:t xml:space="preserve">米；投标单位根据方案自行考虑井深，结算不调整）；</w:t>
            </w:r>
            <w:r>
              <w:rPr>
                <w:rStyle w:val="946"/>
                <w:rFonts w:eastAsia="宋体"/>
                <w:color w:val="000000"/>
                <w:highlight w:val="none"/>
                <w:lang w:val="en-US" w:eastAsia="zh-CN" w:bidi="ar"/>
              </w:rPr>
              <w:t xml:space="preserve"> 4</w:t>
            </w:r>
            <w:r>
              <w:rPr>
                <w:rStyle w:val="947"/>
                <w:color w:val="000000"/>
                <w:highlight w:val="none"/>
                <w:lang w:val="en-US" w:eastAsia="zh-CN" w:bidi="ar"/>
              </w:rPr>
              <w:t xml:space="preserve">、含拆除费用。</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深井降水井口端部密封</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满足真空管井降水工艺要求，</w:t>
            </w:r>
            <w:r>
              <w:rPr>
                <w:rStyle w:val="946"/>
                <w:rFonts w:eastAsia="宋体"/>
                <w:color w:val="000000"/>
                <w:highlight w:val="none"/>
                <w:lang w:val="en-US" w:eastAsia="zh-CN" w:bidi="ar"/>
              </w:rPr>
              <w:t xml:space="preserve"> </w:t>
            </w:r>
            <w:r>
              <w:rPr>
                <w:rStyle w:val="947"/>
                <w:color w:val="000000"/>
                <w:highlight w:val="none"/>
                <w:lang w:val="en-US" w:eastAsia="zh-CN" w:bidi="ar"/>
              </w:rPr>
              <w:t xml:space="preserve">保证降水井中形成真空状态</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843"/>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深井中水抽提（含基坑水降排水）</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1.深井中水抽出至污水处理系统；2.基坑中污水排降水至污水处理系统;3.含地面配套系统、人工、电费等</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34"/>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3.3</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污水处理</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32"/>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水处理设备租赁</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一台10吨/小时的水处理设备（包含进出场及安拆），180天的处置周期</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679"/>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污水处理</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包括药剂和人员等，4人*6个月，包括不限于管理人员、电工、运行工人等，满足24小时运行要求</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3375</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32"/>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支架出水池</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尺寸10m*10m*1.5m，PE材料的支架水池</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38"/>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纳管排放</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处理后达标水纳管排放</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3375</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3.4</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尾气处理</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预处理大棚配套的尾气处理系统的运行费用，包含人工费及活性炭费用</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3.5</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危废处置</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危废委外处理，包括尾气处理系统的废活性炭、水处理系统的污泥、个人防护用品等</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吨</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3.6</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建筑垃圾处理</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1、场内现有砖房和障碍物拆除及外运处置；2、场内施工道路、区域硬化等现场恢复拆除所产生的建筑垃圾外运处置</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01"/>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措施项目费</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53"/>
        </w:trPr>
        <w:tc>
          <w:tcPr>
            <w:tcW w:w="788"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1</w:t>
            </w:r>
            <w:r>
              <w:rPr>
                <w:rFonts w:ascii="Times New Roman" w:hAnsi="Times New Roman" w:eastAsia="宋体" w:cs="Times New Roman"/>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安全文明施工；劳动及保护用品</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安全施工、文明施工及环境保护,包括但不限于五牌一图、灭火器等；施工人员防护用品，包括但不限于口罩、防护服等若干；用于清洁土和水池底部防渗用的HDPE膜（含铺设、拆除等）；</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753"/>
        </w:trPr>
        <w:tc>
          <w:tcPr>
            <w:tcW w:w="788"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2</w:t>
            </w:r>
            <w:r>
              <w:rPr>
                <w:rFonts w:ascii="Times New Roman" w:hAnsi="Times New Roman" w:eastAsia="宋体" w:cs="Times New Roman"/>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二次污染防范措施</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雾炮、洒水车、防尘网等设施；需在开挖、暂存、装车、出场等区域设置雾炮设施（含气味抑制剂），满足扬尘、异味等管控要求；符合主管部门建设项目环境细则要求</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61"/>
        </w:trPr>
        <w:tc>
          <w:tcPr>
            <w:tcW w:w="788"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3</w:t>
            </w:r>
            <w:r>
              <w:rPr>
                <w:rFonts w:ascii="Times New Roman" w:hAnsi="Times New Roman" w:eastAsia="宋体" w:cs="Times New Roman"/>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质控检测</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施工期大气、噪声定期检测，废水处理排放前检测，基坑底面及侧壁清挖效果自检</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4</w:t>
            </w:r>
            <w:r>
              <w:rPr>
                <w:rFonts w:ascii="Times New Roman" w:hAnsi="Times New Roman" w:eastAsia="宋体" w:cs="Times New Roman"/>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地铁保护检测</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施工期相关检测：1、轨交结构道床沉降；2、轨交结构管片位移；3、轨交结构管片收敛等</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597"/>
        </w:trPr>
        <w:tc>
          <w:tcPr>
            <w:tcW w:w="788"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5</w:t>
            </w:r>
            <w:r>
              <w:rPr>
                <w:rFonts w:ascii="Times New Roman" w:hAnsi="Times New Roman" w:eastAsia="宋体" w:cs="Times New Roman"/>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二年维护期</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主体项目结束后，继续对地下水进行一年的监测期，达标后，再由验收单位介入，再进行一年的监测评估，含维护期的现场安保及管理人员人工、水电费用</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01"/>
        </w:trPr>
        <w:tc>
          <w:tcPr>
            <w:tcW w:w="788"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项目其他费</w:t>
            </w:r>
            <w:r>
              <w:rPr>
                <w:rFonts w:hint="eastAsia" w:ascii="宋体" w:hAnsi="宋体" w:eastAsia="宋体" w:cs="宋体"/>
                <w:b/>
                <w:bCs/>
                <w:i w:val="0"/>
                <w:iCs w:val="0"/>
                <w:color w:val="000000"/>
                <w:sz w:val="20"/>
                <w:szCs w:val="20"/>
                <w:highlight w:val="none"/>
                <w:u w:val="none"/>
              </w:rPr>
            </w:r>
            <w:r/>
          </w:p>
        </w:tc>
        <w:tc>
          <w:tcPr>
            <w:tcW w:w="7639"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r>
        <w:trPr>
          <w:trHeight w:val="470"/>
        </w:trPr>
        <w:tc>
          <w:tcPr>
            <w:tcW w:w="788"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054"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保险费</w:t>
            </w:r>
            <w:r>
              <w:rPr>
                <w:rFonts w:hint="eastAsia" w:ascii="宋体" w:hAnsi="宋体" w:eastAsia="宋体" w:cs="宋体"/>
                <w:i w:val="0"/>
                <w:iCs w:val="0"/>
                <w:color w:val="000000"/>
                <w:sz w:val="20"/>
                <w:szCs w:val="20"/>
                <w:highlight w:val="none"/>
                <w:u w:val="none"/>
              </w:rPr>
            </w:r>
            <w:r/>
          </w:p>
        </w:tc>
        <w:tc>
          <w:tcPr>
            <w:tcW w:w="7639"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一切险和第三方责任险；提供保单，按实结算，预算按（一~二）总价的千分之三点五</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96" w:type="dxa"/>
            <w:vAlign w:val="center"/>
            <w:textDirection w:val="lrTb"/>
            <w:noWrap w:val="false"/>
          </w:tcPr>
          <w:p>
            <w:pPr>
              <w:pStyle w:val="696"/>
              <w:jc w:val="center"/>
              <w:rPr>
                <w:rFonts w:ascii="Times New Roman" w:hAnsi="Times New Roman" w:eastAsia="宋体" w:cs="Times New Roman"/>
                <w:i w:val="0"/>
                <w:iCs w:val="0"/>
                <w:color w:val="000000"/>
                <w:sz w:val="20"/>
                <w:szCs w:val="20"/>
                <w:highlight w:val="none"/>
                <w:u w:val="none"/>
              </w:rPr>
            </w:pPr>
            <w:r>
              <w:rPr>
                <w:rFonts w:ascii="Times New Roman" w:hAnsi="Times New Roman" w:eastAsia="宋体" w:cs="Times New Roman"/>
                <w:i w:val="0"/>
                <w:iCs w:val="0"/>
                <w:color w:val="000000"/>
                <w:sz w:val="20"/>
                <w:szCs w:val="20"/>
                <w:highlight w:val="none"/>
                <w:u w:val="none"/>
              </w:rPr>
            </w:r>
            <w:r/>
          </w:p>
        </w:tc>
      </w:tr>
    </w:tbl>
    <w:p>
      <w:pPr>
        <w:pStyle w:val="6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注1、此表总价金额与开标一览表须保持一致，否则以开标一览表价格为准。</w:t>
      </w:r>
      <w:r>
        <w:rPr>
          <w:rFonts w:hint="eastAsia" w:ascii="宋体" w:hAnsi="宋体" w:eastAsia="宋体" w:cs="宋体"/>
          <w:color w:val="000000"/>
          <w:sz w:val="21"/>
          <w:szCs w:val="21"/>
          <w:highlight w:val="none"/>
        </w:rPr>
      </w:r>
      <w:r/>
    </w:p>
    <w:p>
      <w:pPr>
        <w:pStyle w:val="6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注2、单价、合价、总价均须以人民币元表示，各金额均须用小写填写，并精确到小数点后2位，第3位四舍五入。</w:t>
      </w:r>
      <w:r>
        <w:rPr>
          <w:rFonts w:hint="eastAsia" w:ascii="宋体" w:hAnsi="宋体" w:eastAsia="宋体" w:cs="宋体"/>
          <w:color w:val="000000"/>
          <w:sz w:val="21"/>
          <w:szCs w:val="21"/>
          <w:highlight w:val="none"/>
        </w:rPr>
      </w:r>
      <w:r/>
    </w:p>
    <w:p>
      <w:pPr>
        <w:pStyle w:val="6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注3、投标人须对全部采购内容进行报价。</w:t>
      </w:r>
      <w:r>
        <w:rPr>
          <w:rFonts w:hint="eastAsia" w:ascii="宋体" w:hAnsi="宋体" w:eastAsia="宋体" w:cs="宋体"/>
          <w:color w:val="000000"/>
          <w:sz w:val="21"/>
          <w:szCs w:val="21"/>
          <w:highlight w:val="none"/>
        </w:rPr>
      </w:r>
      <w:r/>
    </w:p>
    <w:p>
      <w:pPr>
        <w:pStyle w:val="6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注4、未按上述要求填报的均为无效投标。</w:t>
      </w:r>
      <w:r>
        <w:rPr>
          <w:rFonts w:hint="eastAsia" w:ascii="宋体" w:hAnsi="宋体" w:eastAsia="宋体" w:cs="宋体"/>
          <w:color w:val="000000"/>
          <w:sz w:val="21"/>
          <w:szCs w:val="21"/>
          <w:highlight w:val="none"/>
        </w:rPr>
      </w:r>
      <w:r/>
    </w:p>
    <w:p>
      <w:pPr>
        <w:pStyle w:val="929"/>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29"/>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29"/>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928"/>
        <w:ind w:left="0" w:firstLine="420"/>
        <w:spacing w:line="400" w:lineRule="exact"/>
        <w:rPr>
          <w:rFonts w:hint="eastAsia" w:ascii="宋体" w:hAnsi="宋体" w:cs="宋体"/>
          <w:color w:val="000000"/>
          <w:sz w:val="24"/>
          <w:szCs w:val="24"/>
          <w:highlight w:val="none"/>
        </w:rPr>
        <w:sectPr>
          <w:footnotePr/>
          <w:endnotePr/>
          <w:type w:val="nextPage"/>
          <w:pgSz w:w="16839" w:h="11905" w:orient="landscape"/>
          <w:pgMar w:top="1140" w:right="1327" w:bottom="1140" w:left="1327" w:header="850" w:footer="964" w:gutter="0"/>
          <w:cols w:num="1" w:sep="0" w:space="1701" w:equalWidth="1"/>
          <w:docGrid w:linePitch="360"/>
        </w:sect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6"/>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t xml:space="preserve">格式6、</w:t>
      </w:r>
      <w:r>
        <w:rPr>
          <w:rFonts w:hint="eastAsia" w:ascii="宋体" w:hAnsi="宋体" w:eastAsia="宋体" w:cs="宋体"/>
          <w:b/>
          <w:color w:val="000000"/>
          <w:sz w:val="24"/>
          <w:szCs w:val="24"/>
          <w:highlight w:val="none"/>
        </w:rPr>
        <w:t xml:space="preserve">项目组成员一览表</w:t>
      </w:r>
      <w:r>
        <w:rPr>
          <w:rFonts w:hint="eastAsia" w:ascii="宋体" w:hAnsi="宋体" w:eastAsia="宋体" w:cs="宋体"/>
          <w:b/>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项目组成员一览表</w:t>
      </w:r>
      <w:r>
        <w:rPr>
          <w:rFonts w:hint="eastAsia" w:ascii="宋体" w:hAnsi="宋体" w:eastAsia="宋体" w:cs="宋体"/>
          <w:b/>
          <w:color w:val="000000"/>
          <w:sz w:val="24"/>
          <w:szCs w:val="24"/>
          <w:highlight w:val="none"/>
        </w:rPr>
      </w:r>
      <w:r/>
    </w:p>
    <w:tbl>
      <w:tblPr>
        <w:tblW w:w="1009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881"/>
        <w:gridCol w:w="1429"/>
        <w:gridCol w:w="1909"/>
        <w:gridCol w:w="966"/>
        <w:gridCol w:w="943"/>
        <w:gridCol w:w="1010"/>
        <w:gridCol w:w="921"/>
        <w:gridCol w:w="943"/>
      </w:tblGrid>
      <w:tr>
        <w:trPr>
          <w:trHeight w:val="1594"/>
        </w:trPr>
        <w:tc>
          <w:tcPr>
            <w:tcW w:w="1095"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val="en-US" w:eastAsia="zh-CN" w:bidi="ar-SA"/>
              </w:rPr>
            </w:r>
            <w:r/>
          </w:p>
        </w:tc>
        <w:tc>
          <w:tcPr>
            <w:tcW w:w="881"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val="en-US" w:eastAsia="zh-CN" w:bidi="ar-SA"/>
              </w:rPr>
            </w:r>
            <w:r/>
          </w:p>
        </w:tc>
        <w:tc>
          <w:tcPr>
            <w:tcW w:w="1429"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lang w:val="en-US" w:eastAsia="zh-CN" w:bidi="ar-SA"/>
              </w:rPr>
            </w:r>
            <w:r/>
          </w:p>
        </w:tc>
        <w:tc>
          <w:tcPr>
            <w:tcW w:w="1909"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lang w:val="en-US" w:eastAsia="zh-CN" w:bidi="ar-SA"/>
              </w:rPr>
            </w:r>
            <w:r/>
          </w:p>
        </w:tc>
        <w:tc>
          <w:tcPr>
            <w:tcW w:w="966"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lang w:val="en-US" w:eastAsia="zh-CN" w:bidi="ar-SA"/>
              </w:rPr>
            </w:r>
            <w:r/>
          </w:p>
        </w:tc>
        <w:tc>
          <w:tcPr>
            <w:tcW w:w="943"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bidi="ar-SA"/>
              </w:rPr>
            </w:r>
            <w:r/>
          </w:p>
        </w:tc>
        <w:tc>
          <w:tcPr>
            <w:tcW w:w="1010"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资格证</w:t>
            </w:r>
            <w:r>
              <w:rPr>
                <w:rFonts w:hint="eastAsia" w:ascii="宋体" w:hAnsi="宋体" w:eastAsia="宋体" w:cs="宋体"/>
                <w:color w:val="000000"/>
                <w:sz w:val="24"/>
                <w:szCs w:val="24"/>
                <w:highlight w:val="none"/>
                <w:lang w:val="en-US" w:eastAsia="zh-CN" w:bidi="ar-SA"/>
              </w:rPr>
            </w:r>
            <w:r/>
          </w:p>
        </w:tc>
        <w:tc>
          <w:tcPr>
            <w:tcW w:w="943" w:type="dxa"/>
            <w:vAlign w:val="center"/>
            <w:textDirection w:val="lrTb"/>
            <w:noWrap w:val="false"/>
          </w:tcPr>
          <w:p>
            <w:pPr>
              <w:pStyle w:val="696"/>
              <w:ind w:firstLine="0"/>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在本项目拟任职务</w:t>
            </w:r>
            <w:r>
              <w:rPr>
                <w:rFonts w:hint="eastAsia" w:ascii="宋体" w:hAnsi="宋体" w:eastAsia="宋体" w:cs="宋体"/>
                <w:color w:val="000000"/>
                <w:sz w:val="24"/>
                <w:szCs w:val="24"/>
                <w:highlight w:val="none"/>
                <w:lang w:val="en-US" w:eastAsia="zh-CN" w:bidi="ar-SA"/>
              </w:rPr>
            </w:r>
            <w:r/>
          </w:p>
        </w:tc>
      </w:tr>
      <w:tr>
        <w:trPr>
          <w:trHeight w:val="1012"/>
        </w:trPr>
        <w:tc>
          <w:tcPr>
            <w:tcW w:w="1095"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98"/>
        </w:trPr>
        <w:tc>
          <w:tcPr>
            <w:tcW w:w="1095"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98"/>
        </w:trPr>
        <w:tc>
          <w:tcPr>
            <w:tcW w:w="1095"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0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5"/>
        </w:trPr>
        <w:tc>
          <w:tcPr>
            <w:tcW w:w="1095"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90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3"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6"/>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按第六章评分标准提供相关证明材料。</w:t>
      </w:r>
      <w:r>
        <w:rPr>
          <w:rFonts w:hint="eastAsia" w:ascii="宋体" w:hAnsi="宋体" w:eastAsia="宋体" w:cs="宋体"/>
          <w:color w:val="000000"/>
          <w:sz w:val="24"/>
          <w:szCs w:val="24"/>
          <w:highlight w:val="none"/>
          <w:u w:val="single"/>
        </w:rPr>
      </w:r>
      <w:r/>
    </w:p>
    <w:p>
      <w:pPr>
        <w:pStyle w:val="69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若投标单位</w:t>
      </w:r>
      <w:r>
        <w:rPr>
          <w:rFonts w:hint="eastAsia" w:ascii="宋体" w:hAnsi="宋体" w:eastAsia="宋体" w:cs="宋体"/>
          <w:color w:val="000000"/>
          <w:sz w:val="24"/>
          <w:szCs w:val="24"/>
          <w:highlight w:val="none"/>
          <w:lang w:eastAsia="zh-CN"/>
        </w:rPr>
        <w:t xml:space="preserve">中标后</w:t>
      </w:r>
      <w:r>
        <w:rPr>
          <w:rFonts w:hint="eastAsia" w:ascii="宋体" w:hAnsi="宋体" w:eastAsia="宋体" w:cs="宋体"/>
          <w:color w:val="000000"/>
          <w:sz w:val="24"/>
          <w:szCs w:val="24"/>
          <w:highlight w:val="none"/>
        </w:rPr>
        <w:t xml:space="preserve">,项目必须由本表成员完成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未经采购方事先书面同意，</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不得随意更换。</w:t>
      </w:r>
      <w:r>
        <w:rPr>
          <w:rFonts w:hint="eastAsia" w:ascii="宋体" w:hAnsi="宋体" w:eastAsia="宋体" w:cs="宋体"/>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9"/>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29"/>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928"/>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0"/>
        <w:jc w:val="both"/>
        <w:spacing w:line="400" w:lineRule="exact"/>
        <w:rPr>
          <w:rFonts w:hint="eastAsia" w:hAnsi="宋体" w:cs="宋体"/>
          <w:b/>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格式7、</w:t>
      </w:r>
      <w:r>
        <w:rPr>
          <w:rFonts w:hint="eastAsia" w:hAnsi="宋体" w:cs="宋体"/>
          <w:b/>
          <w:color w:val="000000"/>
          <w:sz w:val="24"/>
          <w:szCs w:val="24"/>
          <w:highlight w:val="none"/>
        </w:rPr>
        <w:t xml:space="preserve">类似业绩一览表</w:t>
      </w:r>
      <w:r>
        <w:rPr>
          <w:rFonts w:hint="eastAsia" w:hAnsi="宋体" w:cs="宋体"/>
          <w:b/>
          <w:color w:val="000000"/>
          <w:sz w:val="24"/>
          <w:szCs w:val="24"/>
          <w:highlight w:val="none"/>
        </w:rPr>
      </w:r>
      <w:r/>
    </w:p>
    <w:p>
      <w:pPr>
        <w:pStyle w:val="696"/>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6"/>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6"/>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625" w:type="dxa"/>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580"/>
        <w:gridCol w:w="2290"/>
        <w:gridCol w:w="1977"/>
        <w:gridCol w:w="1956"/>
        <w:gridCol w:w="2822"/>
      </w:tblGrid>
      <w:tr>
        <w:trPr>
          <w:cantSplit/>
          <w:trHeight w:val="1086" w:hRule="exact"/>
        </w:trPr>
        <w:tc>
          <w:tcPr>
            <w:tcW w:w="58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9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97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956"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282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58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31" w:hRule="exact"/>
        </w:trPr>
        <w:tc>
          <w:tcPr>
            <w:tcW w:w="58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0"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6"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22" w:type="dxa"/>
            <w:vAlign w:val="top"/>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6"/>
        <w:spacing w:line="400" w:lineRule="exact"/>
        <w:tabs>
          <w:tab w:val="left" w:pos="75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29"/>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29"/>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928"/>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4"/>
          <w:szCs w:val="24"/>
          <w:highlight w:val="none"/>
        </w:rPr>
      </w:pPr>
      <w:r>
        <w:rPr>
          <w:rFonts w:hint="eastAsia" w:hAnsi="宋体" w:cs="宋体"/>
          <w:color w:val="000000"/>
          <w:sz w:val="24"/>
          <w:szCs w:val="24"/>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930"/>
        <w:rPr>
          <w:rFonts w:hint="eastAsia" w:hAnsi="宋体" w:cs="宋体"/>
          <w:color w:val="000000"/>
          <w:sz w:val="21"/>
          <w:highlight w:val="none"/>
        </w:rPr>
      </w:pPr>
      <w:r>
        <w:rPr>
          <w:rFonts w:hint="eastAsia" w:hAnsi="宋体" w:cs="宋体"/>
          <w:color w:val="000000"/>
          <w:sz w:val="21"/>
          <w:highlight w:val="none"/>
        </w:rPr>
      </w:r>
      <w:r/>
    </w:p>
    <w:p>
      <w:pPr>
        <w:pStyle w:val="696"/>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格式8、</w:t>
      </w:r>
      <w:bookmarkEnd w:id="4"/>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96"/>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696"/>
        <w:ind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96"/>
        <w:ind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69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6"/>
        <w:rPr>
          <w:rFonts w:hint="eastAsia" w:ascii="宋体" w:hAnsi="宋体" w:cs="宋体"/>
          <w:b/>
          <w:color w:val="000000"/>
          <w:sz w:val="24"/>
          <w:szCs w:val="24"/>
          <w:highlight w:val="none"/>
        </w:rPr>
        <w:outlineLvl w:val="0"/>
      </w:pPr>
      <w:r>
        <w:rPr>
          <w:rFonts w:hint="eastAsia" w:ascii="宋体" w:hAnsi="宋体" w:cs="宋体"/>
          <w:color w:val="000000"/>
          <w:highlight w:val="none"/>
        </w:rPr>
        <w:br w:type="page" w:clear="all"/>
      </w:r>
      <w:bookmarkStart w:id="5" w:name="_Toc71810491"/>
      <w:r>
        <w:rPr>
          <w:rFonts w:hint="eastAsia" w:ascii="宋体" w:hAnsi="宋体" w:eastAsia="宋体" w:cs="宋体"/>
          <w:b/>
          <w:bCs/>
          <w:color w:val="000000"/>
          <w:sz w:val="24"/>
          <w:szCs w:val="24"/>
          <w:highlight w:val="none"/>
        </w:rPr>
        <w:t xml:space="preserve">格式9、</w:t>
      </w:r>
      <w:r>
        <w:rPr>
          <w:rFonts w:hint="eastAsia" w:ascii="宋体" w:hAnsi="宋体" w:cs="宋体"/>
          <w:b/>
          <w:color w:val="000000"/>
          <w:sz w:val="24"/>
          <w:szCs w:val="24"/>
          <w:highlight w:val="none"/>
        </w:rPr>
        <w:t xml:space="preserve">投标人基本情况表</w:t>
      </w:r>
      <w:bookmarkEnd w:id="5"/>
      <w:r>
        <w:rPr>
          <w:rFonts w:hint="eastAsia" w:ascii="宋体" w:hAnsi="宋体" w:cs="宋体"/>
          <w:b/>
          <w:color w:val="000000"/>
          <w:sz w:val="24"/>
          <w:szCs w:val="24"/>
          <w:highlight w:val="none"/>
        </w:rPr>
      </w:r>
      <w:r/>
    </w:p>
    <w:p>
      <w:pPr>
        <w:pStyle w:val="696"/>
        <w:jc w:val="center"/>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投标人基本情况表</w:t>
      </w:r>
      <w:r>
        <w:rPr>
          <w:rFonts w:hint="eastAsia" w:ascii="宋体" w:hAnsi="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注册资金</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6"/>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员工总人数</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96"/>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商业信誉和健全的财务会计制度介绍</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履行合同所必需的设备和专业技术能力情况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依法缴纳税收和社会保障资金情况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9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6"/>
        <w:ind w:firstLine="315"/>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注：若事项较多，投标人可根据投标内容的实际情况另纸说明。</w:t>
      </w:r>
      <w:r>
        <w:rPr>
          <w:rFonts w:hint="eastAsia" w:ascii="宋体" w:hAnsi="宋体" w:cs="宋体"/>
          <w:b/>
          <w:color w:val="000000"/>
          <w:sz w:val="24"/>
          <w:szCs w:val="24"/>
          <w:highlight w:val="none"/>
        </w:rPr>
      </w:r>
      <w:r/>
    </w:p>
    <w:p>
      <w:pPr>
        <w:pStyle w:val="696"/>
        <w:ind w:firstLine="36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28"/>
        <w:rPr>
          <w:rFonts w:hint="eastAsia"/>
          <w:color w:val="000000"/>
          <w:highlight w:val="none"/>
        </w:rPr>
      </w:pPr>
      <w:r>
        <w:rPr>
          <w:rFonts w:hint="eastAsia"/>
          <w:color w:val="000000"/>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696"/>
        <w:rPr>
          <w:rFonts w:hint="eastAsia" w:ascii="宋体" w:hAnsi="宋体" w:eastAsia="宋体" w:cs="宋体"/>
          <w:b/>
          <w:bCs/>
          <w:color w:val="000000"/>
          <w:sz w:val="24"/>
          <w:szCs w:val="24"/>
          <w:highlight w:val="none"/>
        </w:rPr>
        <w:outlineLvl w:val="0"/>
      </w:pPr>
      <w:r/>
      <w:bookmarkStart w:id="6" w:name="_Toc71810487"/>
      <w:r>
        <w:rPr>
          <w:rFonts w:hint="eastAsia" w:ascii="宋体" w:hAnsi="宋体" w:eastAsia="宋体" w:cs="宋体"/>
          <w:b/>
          <w:bCs/>
          <w:color w:val="000000"/>
          <w:sz w:val="24"/>
          <w:szCs w:val="24"/>
          <w:highlight w:val="none"/>
        </w:rPr>
        <w:t xml:space="preserve">格式10、</w:t>
      </w:r>
      <w:bookmarkEnd w:id="6"/>
      <w:r>
        <w:rPr>
          <w:rFonts w:hint="eastAsia" w:ascii="宋体" w:hAnsi="宋体" w:eastAsia="宋体" w:cs="宋体"/>
          <w:b/>
          <w:color w:val="000000"/>
          <w:sz w:val="24"/>
          <w:szCs w:val="24"/>
          <w:highlight w:val="none"/>
        </w:rPr>
        <w:t xml:space="preserve">偏离表（服务、商务）</w:t>
      </w:r>
      <w:r>
        <w:rPr>
          <w:rFonts w:hint="eastAsia" w:ascii="宋体" w:hAnsi="宋体" w:eastAsia="宋体" w:cs="宋体"/>
          <w:b/>
          <w:color w:val="000000"/>
          <w:sz w:val="24"/>
          <w:szCs w:val="24"/>
          <w:highlight w:val="none"/>
        </w:rPr>
      </w:r>
      <w:r/>
    </w:p>
    <w:p>
      <w:pPr>
        <w:pStyle w:val="696"/>
        <w:jc w:val="center"/>
        <w:spacing w:before="100" w:beforeAutospacing="1" w:after="100" w:afterAutospacing="1"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偏离表（服务、商务）</w:t>
      </w:r>
      <w:r>
        <w:rPr>
          <w:rFonts w:hint="eastAsia" w:ascii="宋体" w:hAnsi="宋体" w:eastAsia="宋体" w:cs="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6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28"/>
        <w:ind w:left="0"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注：投标人应在本表中对照招标文件服务要求有偏离的，应在此表中说明。未说明偏离的，将被认为响应招标文件的规定。但该表不作为供应商对所投标服务的详细描述和说明的替代。</w:t>
      </w:r>
      <w:r>
        <w:rPr>
          <w:rFonts w:hint="eastAsia" w:ascii="宋体" w:hAnsi="宋体" w:cs="宋体"/>
          <w:color w:val="000000"/>
          <w:sz w:val="24"/>
          <w:szCs w:val="24"/>
          <w:highlight w:val="none"/>
        </w:rPr>
      </w:r>
      <w:r/>
    </w:p>
    <w:p>
      <w:pPr>
        <w:pStyle w:val="69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以上表格内容不够的请自行添加。</w:t>
      </w:r>
      <w:r>
        <w:rPr>
          <w:rFonts w:hint="eastAsia" w:ascii="宋体" w:hAnsi="宋体" w:eastAsia="宋体" w:cs="宋体"/>
          <w:color w:val="000000"/>
          <w:sz w:val="24"/>
          <w:szCs w:val="24"/>
          <w:highlight w:val="none"/>
        </w:rPr>
      </w:r>
      <w:r/>
    </w:p>
    <w:p>
      <w:pPr>
        <w:pStyle w:val="696"/>
        <w:ind w:right="15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8"/>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6"/>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6"/>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6"/>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6"/>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6"/>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6"/>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br w:type="page" w:clear="all"/>
      </w:r>
      <w:r>
        <w:rPr>
          <w:rFonts w:ascii="宋体" w:hAnsi="宋体" w:eastAsia="宋体" w:cs="宋体"/>
          <w:b/>
          <w:bCs/>
          <w:color w:val="000000"/>
          <w:sz w:val="24"/>
          <w:szCs w:val="24"/>
          <w:highlight w:val="none"/>
        </w:rPr>
      </w:r>
      <w:r/>
    </w:p>
    <w:p>
      <w:pPr>
        <w:pStyle w:val="696"/>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11</w:t>
      </w:r>
      <w:r>
        <w:rPr>
          <w:rFonts w:ascii="宋体" w:hAnsi="宋体" w:eastAsia="宋体" w:cs="宋体"/>
          <w:b/>
          <w:bCs/>
          <w:color w:val="000000"/>
          <w:sz w:val="24"/>
          <w:szCs w:val="24"/>
          <w:highlight w:val="none"/>
        </w:rPr>
        <w:t xml:space="preserve">、中小企业声明函</w:t>
      </w:r>
      <w:r>
        <w:rPr>
          <w:rFonts w:ascii="宋体" w:hAnsi="宋体" w:eastAsia="宋体" w:cs="宋体"/>
          <w:b/>
          <w:bCs/>
          <w:color w:val="000000"/>
          <w:sz w:val="24"/>
          <w:szCs w:val="24"/>
          <w:highlight w:val="none"/>
        </w:rPr>
      </w:r>
      <w:r/>
    </w:p>
    <w:p>
      <w:pPr>
        <w:pStyle w:val="696"/>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rPr>
        <w:t xml:space="preserve">服务</w:t>
      </w:r>
      <w:r>
        <w:rPr>
          <w:rFonts w:ascii="宋体" w:hAnsi="宋体" w:eastAsia="宋体" w:cs="宋体"/>
          <w:b/>
          <w:bCs/>
          <w:color w:val="000000"/>
          <w:sz w:val="24"/>
          <w:szCs w:val="24"/>
          <w:highlight w:val="none"/>
        </w:rPr>
        <w:t xml:space="preserve">)</w:t>
      </w:r>
      <w:r>
        <w:rPr>
          <w:rFonts w:ascii="宋体" w:hAnsi="宋体" w:eastAsia="宋体" w:cs="宋体"/>
          <w:b/>
          <w:bCs/>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eastAsia="宋体" w:cs="宋体"/>
          <w:color w:val="000000"/>
          <w:sz w:val="24"/>
          <w:szCs w:val="24"/>
          <w:highlight w:val="none"/>
          <w:u w:val="single"/>
        </w:rPr>
        <w:t xml:space="preserve">(单位名称)</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(项目名称)</w:t>
      </w:r>
      <w:r>
        <w:rPr>
          <w:rFonts w:ascii="宋体" w:hAnsi="宋体" w:eastAsia="宋体" w:cs="宋体"/>
          <w:color w:val="000000"/>
          <w:sz w:val="24"/>
          <w:szCs w:val="24"/>
          <w:highlight w:val="none"/>
        </w:rPr>
        <w:t xml:space="preserve">采购活动，服务全部由符合政策要求的中小企业承接。相关企业的具体情况如下：</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(标的名称)</w:t>
      </w:r>
      <w:r>
        <w:rPr>
          <w:rFonts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ascii="宋体" w:hAnsi="宋体" w:eastAsia="宋体" w:cs="宋体"/>
          <w:color w:val="000000"/>
          <w:sz w:val="24"/>
          <w:szCs w:val="24"/>
          <w:highlight w:val="none"/>
        </w:rPr>
        <w:t xml:space="preserve">行业；承接企业为</w:t>
      </w:r>
      <w:r>
        <w:rPr>
          <w:rFonts w:ascii="宋体" w:hAnsi="宋体" w:eastAsia="宋体" w:cs="宋体"/>
          <w:color w:val="000000"/>
          <w:sz w:val="24"/>
          <w:szCs w:val="24"/>
          <w:highlight w:val="none"/>
          <w:u w:val="single"/>
        </w:rPr>
        <w:t xml:space="preserve">(企业名称)</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rPr>
        <w:t xml:space="preserve">为【】</w:t>
      </w:r>
      <w:r>
        <w:rPr>
          <w:rFonts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万元，资产总额为万元，属于</w:t>
      </w:r>
      <w:r>
        <w:rPr>
          <w:rFonts w:ascii="宋体" w:hAnsi="宋体" w:eastAsia="宋体" w:cs="宋体"/>
          <w:color w:val="000000"/>
          <w:sz w:val="24"/>
          <w:szCs w:val="24"/>
          <w:highlight w:val="none"/>
          <w:u w:val="single"/>
        </w:rPr>
        <w:t xml:space="preserve">(中型企业、小型企业、微型企业)</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(标的名称)</w:t>
      </w:r>
      <w:r>
        <w:rPr>
          <w:rFonts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其他未列明行业</w:t>
      </w:r>
      <w:r>
        <w:rPr>
          <w:rFonts w:ascii="宋体" w:hAnsi="宋体" w:eastAsia="宋体" w:cs="宋体"/>
          <w:color w:val="000000"/>
          <w:sz w:val="24"/>
          <w:szCs w:val="24"/>
          <w:highlight w:val="none"/>
        </w:rPr>
        <w:t xml:space="preserve">行业；承接企业为</w:t>
      </w:r>
      <w:r>
        <w:rPr>
          <w:rFonts w:ascii="宋体" w:hAnsi="宋体" w:eastAsia="宋体" w:cs="宋体"/>
          <w:color w:val="000000"/>
          <w:sz w:val="24"/>
          <w:szCs w:val="24"/>
          <w:highlight w:val="none"/>
          <w:u w:val="single"/>
        </w:rPr>
        <w:t xml:space="preserve">(企业名称)</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rPr>
        <w:t xml:space="preserve">为【】</w:t>
      </w:r>
      <w:r>
        <w:rPr>
          <w:rFonts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万元，资产总额为万元，属于</w:t>
      </w:r>
      <w:r>
        <w:rPr>
          <w:rFonts w:ascii="宋体" w:hAnsi="宋体" w:eastAsia="宋体" w:cs="宋体"/>
          <w:color w:val="000000"/>
          <w:sz w:val="24"/>
          <w:szCs w:val="24"/>
          <w:highlight w:val="none"/>
          <w:u w:val="single"/>
        </w:rPr>
        <w:t xml:space="preserve">(中型企业、小型企业、微型企业)</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本企业对上述声明内容的真实性负责。如有虚假，将依法承担相应责任。</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企业名称：(公章)：</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p>
      <w:pPr>
        <w:pStyle w:val="696"/>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1、从业人员、营业收入、资产总额填报上一年度数据，无上一年度数据的新成立企业可不填报。</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ascii="宋体" w:hAnsi="宋体" w:eastAsia="宋体" w:cs="宋体"/>
          <w:color w:val="000000"/>
          <w:sz w:val="24"/>
          <w:szCs w:val="24"/>
          <w:highlight w:val="none"/>
          <w:lang w:bidi="ar"/>
        </w:rPr>
        <w:t xml:space="preserve">、中小企业划分标准详见“工信部联企业〔2011〕300号通知中的《中小企业划型标准规定》”。</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ascii="宋体" w:hAnsi="宋体" w:eastAsia="宋体" w:cs="宋体"/>
          <w:color w:val="000000"/>
          <w:sz w:val="24"/>
          <w:szCs w:val="24"/>
          <w:highlight w:val="none"/>
          <w:lang w:bidi="ar"/>
        </w:rPr>
        <w:t xml:space="preserve">、《中小企业声明函》中所填的行业应与本采购标的对应的中小企业划分标准所属行业一致，不一致的不可享受相应政策优惠。</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ascii="宋体" w:hAnsi="宋体" w:eastAsia="宋体" w:cs="宋体"/>
          <w:color w:val="000000"/>
          <w:sz w:val="24"/>
          <w:szCs w:val="24"/>
          <w:highlight w:val="none"/>
          <w:lang w:bidi="ar"/>
        </w:rPr>
        <w:t xml:space="preserve">、如未对（中型企业、小型企业、微型企业）进行勾选，视同非中小微企业，不可享受相应扶持政策。</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中标单位</w:t>
      </w:r>
      <w:r>
        <w:rPr>
          <w:rFonts w:ascii="宋体" w:hAnsi="宋体" w:eastAsia="宋体" w:cs="宋体"/>
          <w:color w:val="000000"/>
          <w:sz w:val="24"/>
          <w:szCs w:val="24"/>
          <w:highlight w:val="none"/>
          <w:lang w:bidi="ar"/>
        </w:rPr>
        <w:t xml:space="preserve">为中小微企业的，《中小企业声明函》将随</w:t>
      </w:r>
      <w:r>
        <w:rPr>
          <w:rFonts w:hint="eastAsia" w:ascii="宋体" w:hAnsi="宋体" w:eastAsia="宋体" w:cs="宋体"/>
          <w:color w:val="000000"/>
          <w:sz w:val="24"/>
          <w:szCs w:val="24"/>
          <w:highlight w:val="none"/>
          <w:lang w:bidi="ar"/>
        </w:rPr>
        <w:t xml:space="preserve">中标</w:t>
      </w:r>
      <w:r>
        <w:rPr>
          <w:rFonts w:ascii="宋体" w:hAnsi="宋体" w:eastAsia="宋体" w:cs="宋体"/>
          <w:color w:val="000000"/>
          <w:sz w:val="24"/>
          <w:szCs w:val="24"/>
          <w:highlight w:val="none"/>
          <w:lang w:bidi="ar"/>
        </w:rPr>
        <w:t xml:space="preserve">结果同时公告。</w:t>
      </w:r>
      <w:r>
        <w:rPr>
          <w:rFonts w:ascii="宋体" w:hAnsi="宋体" w:eastAsia="宋体" w:cs="宋体"/>
          <w:color w:val="000000"/>
          <w:sz w:val="24"/>
          <w:szCs w:val="24"/>
          <w:highlight w:val="none"/>
        </w:rPr>
      </w:r>
      <w:r/>
    </w:p>
    <w:p>
      <w:pPr>
        <w:pStyle w:val="696"/>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ascii="宋体" w:hAnsi="宋体" w:eastAsia="宋体" w:cs="宋体"/>
          <w:color w:val="000000"/>
          <w:sz w:val="24"/>
          <w:szCs w:val="24"/>
          <w:highlight w:val="none"/>
          <w:lang w:bidi="ar"/>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rPr>
      </w:r>
      <w:r/>
    </w:p>
    <w:p>
      <w:pPr>
        <w:pStyle w:val="696"/>
        <w:spacing w:line="280" w:lineRule="exact"/>
        <w:rPr>
          <w:rFonts w:hint="eastAsia" w:ascii="宋体" w:hAnsi="宋体" w:cs="宋体"/>
          <w:b/>
          <w:color w:val="000000"/>
          <w:highlight w:val="none"/>
        </w:rPr>
      </w:pPr>
      <w:r>
        <w:rPr>
          <w:rFonts w:hint="eastAsia" w:ascii="宋体" w:hAnsi="宋体" w:cs="宋体"/>
          <w:b/>
          <w:color w:val="000000"/>
          <w:highlight w:val="none"/>
        </w:rPr>
        <w:t xml:space="preserve">附：中小企业划型标准规定</w:t>
      </w:r>
      <w:r>
        <w:rPr>
          <w:rFonts w:hint="eastAsia" w:ascii="宋体" w:hAnsi="宋体" w:cs="宋体"/>
          <w:b/>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（十二）</w:t>
      </w:r>
      <w:r>
        <w:rPr>
          <w:rFonts w:hint="eastAsia" w:ascii="宋体" w:hAnsi="宋体" w:eastAsia="宋体" w:cs="宋体"/>
          <w:b/>
          <w:color w:val="000000"/>
          <w:highlight w:val="none"/>
          <w:lang w:eastAsia="zh-CN"/>
        </w:rPr>
        <w:t xml:space="preserve">其他未列明行业</w:t>
      </w:r>
      <w:r>
        <w:rPr>
          <w:rFonts w:hint="eastAsia" w:ascii="宋体" w:hAnsi="宋体" w:cs="宋体"/>
          <w:b/>
          <w:color w:val="000000"/>
          <w:highlight w:val="none"/>
        </w:rPr>
        <w:t xml:space="preserve">。</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696"/>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696"/>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rPr>
        <w:t xml:space="preserve">2</w:t>
      </w: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6"/>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本单位对上述声明的真实性负责。如有虚假，将依法承担相应责任。</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bookmarkStart w:id="7" w:name="_Toc21574"/>
      <w:r/>
      <w:bookmarkStart w:id="8" w:name="_Toc19621"/>
      <w:r/>
      <w:bookmarkStart w:id="9" w:name="_Toc71810484"/>
      <w:r>
        <w:rPr>
          <w:rFonts w:hint="eastAsia" w:ascii="宋体" w:hAnsi="宋体" w:eastAsia="宋体" w:cs="宋体"/>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6"/>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格式13、</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p>
      <w:pPr>
        <w:pStyle w:val="696"/>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0"/>
        <w:gridCol w:w="4441"/>
      </w:tblGrid>
      <w:tr>
        <w:trPr>
          <w:trHeight w:val="637"/>
        </w:trPr>
        <w:tc>
          <w:tcPr>
            <w:tcW w:w="4928" w:type="dxa"/>
            <w:vAlign w:val="center"/>
            <w:textDirection w:val="lrTb"/>
            <w:noWrap w:val="false"/>
          </w:tcPr>
          <w:p>
            <w:pPr>
              <w:pStyle w:val="696"/>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存在控股、管理关系的单位名称</w:t>
            </w: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控股、管理关系情况说明</w:t>
            </w: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应当按实填写所有与之有控股、管理关系的情况</w:t>
      </w:r>
      <w:r>
        <w:rPr>
          <w:rFonts w:hint="eastAsia" w:ascii="宋体" w:hAnsi="宋体" w:eastAsia="宋体" w:cs="宋体"/>
          <w:color w:val="000000"/>
          <w:sz w:val="24"/>
          <w:szCs w:val="24"/>
          <w:highlight w:val="none"/>
        </w:rPr>
      </w:r>
      <w:r/>
    </w:p>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8"/>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8"/>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6"/>
        <w:spacing w:line="400" w:lineRule="exact"/>
        <w:rPr>
          <w:rFonts w:hint="eastAsia" w:ascii="宋体" w:hAnsi="宋体" w:eastAsia="宋体" w:cs="宋体"/>
          <w:color w:val="000000"/>
          <w:sz w:val="24"/>
          <w:szCs w:val="24"/>
          <w:highlight w:val="none"/>
          <w:lang w:val="zh-CN"/>
        </w:rPr>
      </w:pPr>
      <w:r/>
      <w:bookmarkEnd w:id="7"/>
      <w:r/>
      <w:bookmarkEnd w:id="8"/>
      <w:r/>
      <w:bookmarkEnd w:id="9"/>
      <w:r>
        <w:rPr>
          <w:rFonts w:hint="eastAsia" w:ascii="宋体" w:hAnsi="宋体" w:eastAsia="宋体" w:cs="宋体"/>
          <w:color w:val="000000"/>
          <w:sz w:val="24"/>
          <w:szCs w:val="24"/>
          <w:highlight w:val="none"/>
          <w:lang w:val="zh-CN"/>
        </w:rPr>
      </w:r>
      <w:r/>
    </w:p>
    <w:p>
      <w:pPr>
        <w:pStyle w:val="928"/>
        <w:ind w:left="0" w:firstLine="0"/>
        <w:spacing w:line="400" w:lineRule="exact"/>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格式14、</w:t>
      </w:r>
      <w:r>
        <w:rPr>
          <w:rFonts w:hint="eastAsia" w:ascii="宋体" w:hAnsi="宋体" w:cs="宋体"/>
          <w:b/>
          <w:color w:val="000000"/>
          <w:sz w:val="24"/>
          <w:szCs w:val="24"/>
          <w:highlight w:val="none"/>
        </w:rPr>
        <w:t xml:space="preserve">投标（响应）保证承诺书</w:t>
      </w:r>
      <w:r>
        <w:rPr>
          <w:rFonts w:hint="eastAsia" w:ascii="宋体" w:hAnsi="宋体" w:cs="宋体"/>
          <w:b/>
          <w:color w:val="000000"/>
          <w:sz w:val="24"/>
          <w:szCs w:val="24"/>
          <w:highlight w:val="none"/>
        </w:rPr>
      </w:r>
      <w:r/>
    </w:p>
    <w:p>
      <w:pPr>
        <w:pStyle w:val="696"/>
        <w:ind w:firstLine="422"/>
        <w:jc w:val="center"/>
        <w:spacing w:line="400" w:lineRule="exact"/>
        <w:tabs>
          <w:tab w:val="left" w:pos="8930" w:leader="none"/>
          <w:tab w:val="left" w:pos="930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b/>
          <w:bCs/>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cs/>
        </w:rPr>
        <w:t xml:space="preserve"> </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支付本招标文件公布的预算金额（或最高限价）的2%作为违约赔偿金（数量不确定的单价采购须约定具体金额）。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1、自投标（响应）截止时间至本项目发布中标（中标）公告为止，撤销投标（响应）；</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2、中标（中标）后不依法与采购人签订合同；</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3、中标（中标）后不按本招标文件规定向贵方缴纳采购代理费。</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6"/>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931"/>
        <w:spacing w:after="0"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jc w:val="both"/>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6"/>
        <w:jc w:val="center"/>
        <w:spacing w:line="480" w:lineRule="auto"/>
        <w:widowControl w:val="off"/>
        <w:rPr>
          <w:rFonts w:ascii="宋体" w:hAnsi="宋体" w:eastAsia="宋体" w:cs="宋体"/>
          <w:color w:val="000000"/>
          <w:highlight w:val="none"/>
        </w:rPr>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 招标书</w:t>
      </w:r>
      <w:r>
        <w:rPr>
          <w:rFonts w:ascii="宋体" w:hAnsi="宋体" w:eastAsia="宋体" w:cs="宋体"/>
          <w:color w:val="000000"/>
          <w:highlight w:val="none"/>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苏州浒墅关经济技术开发区管理委员会</w:t>
      </w:r>
      <w:r>
        <w:rPr>
          <w:rFonts w:hint="eastAsia" w:ascii="宋体" w:hAnsi="宋体" w:eastAsia="宋体" w:cs="宋体"/>
          <w:color w:val="000000"/>
          <w:sz w:val="24"/>
          <w:szCs w:val="24"/>
          <w:highlight w:val="none"/>
        </w:rPr>
        <w:t xml:space="preserve">委托，涵熙（苏州）工程顾问有限公司对其拟采购的</w:t>
      </w:r>
      <w:r>
        <w:rPr>
          <w:rFonts w:hint="eastAsia" w:ascii="宋体" w:hAnsi="宋体" w:eastAsia="宋体" w:cs="宋体"/>
          <w:color w:val="000000"/>
          <w:sz w:val="24"/>
          <w:szCs w:val="24"/>
          <w:highlight w:val="none"/>
          <w:lang w:eastAsia="zh-CN"/>
        </w:rPr>
        <w:t xml:space="preserve">榆荫路东南、水城路西北地块（含苏州嘉丰肥业有限责任公司地块）生态环境治理项目</w:t>
      </w:r>
      <w:r>
        <w:rPr>
          <w:rFonts w:hint="eastAsia" w:ascii="宋体" w:hAnsi="宋体" w:eastAsia="宋体" w:cs="宋体"/>
          <w:color w:val="000000"/>
          <w:sz w:val="24"/>
          <w:szCs w:val="24"/>
          <w:highlight w:val="none"/>
        </w:rPr>
        <w:t xml:space="preserve">在国内组织公开招标。欢迎符合招标公告投标资格条件的各供应商前来参加投标。</w:t>
      </w:r>
      <w:r>
        <w:rPr>
          <w:rFonts w:ascii="宋体" w:hAnsi="宋体" w:eastAsia="宋体" w:cs="宋体"/>
          <w:color w:val="000000"/>
          <w:sz w:val="24"/>
          <w:szCs w:val="24"/>
          <w:highlight w:val="none"/>
        </w:rPr>
      </w:r>
      <w:r/>
    </w:p>
    <w:p>
      <w:pPr>
        <w:pStyle w:val="906"/>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一、采购编号：</w:t>
      </w:r>
      <w:r>
        <w:rPr>
          <w:rFonts w:hint="eastAsia"/>
          <w:color w:val="000000"/>
          <w:sz w:val="24"/>
          <w:szCs w:val="24"/>
          <w:highlight w:val="none"/>
          <w:lang w:eastAsia="zh-CN"/>
        </w:rPr>
        <w:t xml:space="preserve">JSZC-320505-HXGW-G2024-0062</w:t>
      </w:r>
      <w:r>
        <w:rPr>
          <w:color w:val="000000"/>
          <w:sz w:val="24"/>
          <w:szCs w:val="24"/>
          <w:highlight w:val="none"/>
          <w:lang w:eastAsia="zh-CN"/>
        </w:rPr>
      </w:r>
      <w:r/>
    </w:p>
    <w:p>
      <w:pPr>
        <w:pStyle w:val="906"/>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二、采购项目名称：</w:t>
      </w:r>
      <w:r>
        <w:rPr>
          <w:rFonts w:hint="eastAsia"/>
          <w:color w:val="000000"/>
          <w:sz w:val="24"/>
          <w:szCs w:val="24"/>
          <w:highlight w:val="none"/>
          <w:lang w:eastAsia="zh-CN"/>
        </w:rPr>
        <w:t xml:space="preserve">榆荫路东南、水城路西北地块（含苏州嘉丰肥业有限责任公司地块）生态环境治理项目</w:t>
      </w:r>
      <w:r>
        <w:rPr>
          <w:color w:val="000000"/>
          <w:sz w:val="24"/>
          <w:szCs w:val="24"/>
          <w:highlight w:val="none"/>
          <w:lang w:eastAsia="zh-CN"/>
        </w:rPr>
      </w:r>
      <w:r/>
    </w:p>
    <w:p>
      <w:pPr>
        <w:pStyle w:val="696"/>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预算总金额：人民币玖佰玖拾柒万叁仟肆佰伍拾壹元捌角捌分（￥9973451.88）</w:t>
      </w:r>
      <w:r>
        <w:rPr>
          <w:rFonts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最高限价：人民币玖佰玖拾柒万叁仟肆佰伍拾壹元捌角捌分（￥9973451.88）</w:t>
      </w:r>
      <w:r>
        <w:rPr>
          <w:rFonts w:hint="eastAsia" w:ascii="宋体" w:hAnsi="宋体" w:eastAsia="宋体" w:cs="宋体"/>
          <w:color w:val="000000"/>
          <w:sz w:val="24"/>
          <w:szCs w:val="24"/>
          <w:highlight w:val="none"/>
        </w:rPr>
      </w:r>
      <w:r/>
    </w:p>
    <w:p>
      <w:pPr>
        <w:pStyle w:val="696"/>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val="en-US" w:bidi="ar"/>
        </w:rPr>
        <w:t xml:space="preserve">从治理项目实施开始至项目完成并通过</w:t>
      </w:r>
      <w:r>
        <w:rPr>
          <w:rFonts w:hint="eastAsia" w:ascii="宋体" w:hAnsi="宋体" w:eastAsia="宋体" w:cs="宋体"/>
          <w:bCs/>
          <w:color w:val="000000"/>
          <w:sz w:val="24"/>
          <w:szCs w:val="24"/>
          <w:highlight w:val="none"/>
          <w:lang w:val="en-US" w:eastAsia="zh-CN" w:bidi="ar"/>
        </w:rPr>
        <w:t xml:space="preserve">江苏省生态环境厅和江苏省自然资源厅</w:t>
      </w:r>
      <w:r>
        <w:rPr>
          <w:rFonts w:hint="eastAsia" w:ascii="宋体" w:hAnsi="宋体" w:eastAsia="宋体" w:cs="宋体"/>
          <w:bCs/>
          <w:color w:val="000000"/>
          <w:sz w:val="24"/>
          <w:szCs w:val="24"/>
          <w:highlight w:val="none"/>
          <w:lang w:val="en-US" w:bidi="ar"/>
        </w:rPr>
        <w:t xml:space="preserve">组织的效果评估为止</w:t>
      </w:r>
      <w:r>
        <w:rPr>
          <w:rFonts w:hint="eastAsia" w:ascii="宋体" w:hAnsi="宋体" w:eastAsia="宋体" w:cs="宋体"/>
          <w:bCs/>
          <w:color w:val="000000"/>
          <w:sz w:val="24"/>
          <w:szCs w:val="24"/>
          <w:highlight w:val="none"/>
          <w:lang w:val="en-US" w:eastAsia="zh-CN" w:bidi="ar"/>
        </w:rPr>
        <w:t xml:space="preserve">（其中准备工期30天，项目实施工期暂定180天，项目自检及效果评估期暂定810天，考虑到修复过程中可能存在特殊天气或不可抗因素，会延误工程工期，初步估算本项目总工期1080天）</w:t>
      </w:r>
      <w:r>
        <w:rPr>
          <w:rFonts w:hint="eastAsia" w:ascii="宋体" w:hAnsi="宋体" w:eastAsia="宋体" w:cs="宋体"/>
          <w:bCs/>
          <w:color w:val="000000"/>
          <w:sz w:val="24"/>
          <w:szCs w:val="24"/>
          <w:highlight w:val="none"/>
          <w:lang w:val="en-US" w:bidi="ar"/>
        </w:rPr>
        <w:t xml:space="preserve">。</w:t>
      </w:r>
      <w:r>
        <w:rPr>
          <w:rFonts w:hint="eastAsia" w:ascii="宋体" w:hAnsi="宋体" w:eastAsia="宋体" w:cs="宋体"/>
          <w:color w:val="000000"/>
          <w:sz w:val="24"/>
          <w:szCs w:val="24"/>
          <w:highlight w:val="none"/>
        </w:rPr>
      </w:r>
      <w:r/>
    </w:p>
    <w:p>
      <w:pPr>
        <w:pStyle w:val="696"/>
        <w:ind w:firstLine="480"/>
        <w:rPr>
          <w:rFonts w:hint="eastAsia"/>
          <w:b/>
          <w:bCs/>
          <w:color w:val="000000"/>
          <w:sz w:val="24"/>
          <w:szCs w:val="24"/>
          <w:highlight w:val="none"/>
        </w:rPr>
      </w:pPr>
      <w:r>
        <w:rPr>
          <w:rFonts w:hint="eastAsia" w:ascii="宋体" w:hAnsi="宋体" w:eastAsia="宋体" w:cs="宋体"/>
          <w:b/>
          <w:bCs/>
          <w:color w:val="000000"/>
          <w:sz w:val="24"/>
          <w:szCs w:val="24"/>
          <w:highlight w:val="none"/>
          <w:lang w:val="zh-TW" w:eastAsia="zh-TW" w:bidi="zh-TW"/>
        </w:rPr>
        <w:t xml:space="preserve">三、</w:t>
      </w:r>
      <w:r>
        <w:rPr>
          <w:rFonts w:hint="eastAsia"/>
          <w:b/>
          <w:bCs/>
          <w:color w:val="000000"/>
          <w:sz w:val="24"/>
          <w:szCs w:val="24"/>
          <w:highlight w:val="none"/>
        </w:rPr>
        <w:t xml:space="preserve">采购要求：</w:t>
      </w:r>
      <w:r>
        <w:rPr>
          <w:rFonts w:hint="eastAsia"/>
          <w:b/>
          <w:bCs/>
          <w:color w:val="000000"/>
          <w:sz w:val="24"/>
          <w:szCs w:val="24"/>
          <w:highlight w:val="none"/>
        </w:rPr>
      </w:r>
      <w:r/>
    </w:p>
    <w:p>
      <w:pPr>
        <w:pStyle w:val="734"/>
        <w:ind w:left="0" w:right="0" w:firstLine="482"/>
        <w:jc w:val="both"/>
        <w:keepLines w:val="0"/>
        <w:keepNext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SA"/>
        </w:rPr>
        <w:t xml:space="preserve">1.项目概况：</w:t>
      </w:r>
      <w:r>
        <w:rPr>
          <w:rFonts w:ascii="宋体" w:hAnsi="宋体" w:eastAsia="宋体" w:cs="宋体"/>
          <w:b/>
          <w:bCs/>
          <w:color w:val="000000"/>
          <w:sz w:val="24"/>
          <w:szCs w:val="24"/>
          <w:highlight w:val="none"/>
          <w:lang w:val="en-US" w:eastAsia="zh-CN" w:bidi="ar-SA"/>
        </w:rPr>
      </w:r>
      <w:r/>
    </w:p>
    <w:p>
      <w:pPr>
        <w:pStyle w:val="73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val="0"/>
          <w:color w:val="000000"/>
          <w:sz w:val="24"/>
          <w:szCs w:val="24"/>
          <w:highlight w:val="none"/>
          <w:lang w:val="en-US" w:eastAsia="zh-CN" w:bidi="ar"/>
        </w:rPr>
        <w:t xml:space="preserve">1.1项目地点：</w:t>
      </w:r>
      <w:r>
        <w:rPr>
          <w:rFonts w:hint="eastAsia" w:ascii="宋体" w:hAnsi="宋体" w:eastAsia="宋体" w:cs="宋体"/>
          <w:color w:val="000000"/>
          <w:sz w:val="24"/>
          <w:szCs w:val="24"/>
          <w:highlight w:val="none"/>
          <w:lang w:val="en-US" w:eastAsia="zh-CN" w:bidi="ar"/>
        </w:rPr>
        <w:t xml:space="preserve">榆荫路东南、水城路西北地块(含苏州嘉丰肥业有限责任公司地块）位于苏州市高新区浒墅关镇惠丰社区，其中，榆荫路东南、水城路西北地块总占地面积约为19747.9㎡，合计约为</w:t>
      </w:r>
      <w:r>
        <w:rPr>
          <w:rFonts w:hint="eastAsia" w:ascii="宋体" w:hAnsi="宋体" w:eastAsia="宋体" w:cs="宋体"/>
          <w:color w:val="000000"/>
          <w:sz w:val="24"/>
          <w:szCs w:val="24"/>
          <w:highlight w:val="none"/>
          <w:lang w:val="en-US" w:eastAsia="zh-CN" w:bidi="ar"/>
        </w:rPr>
        <w:t xml:space="preserve">29.6218亩；苏州嘉丰肥业有限责任公司地块总占地面积约7500㎡，合计约11.25亩。苏州嘉丰肥业有限公司地块东北侧区域同时包含于榆荫路东南、水城路西北地块内，两地块存在公共重叠区域，重叠区域面积约2786㎡。根据根据苏州高新区浒墅关镇总体规划（2015-2030）文件显示，榆荫路东南、水城路西北地块未来规划为居住用地（R2），属于《土壤环境质量建设用地土壤污染风险管控标准(试行)》( GB36600-2018 )中的第一类用地；苏州嘉丰肥业有限公司地块调查地未来规划为居住用地（R2）、道路、公园绿地。</w:t>
      </w:r>
      <w:r>
        <w:rPr>
          <w:rFonts w:hint="eastAsia" w:ascii="宋体" w:hAnsi="宋体" w:eastAsia="宋体" w:cs="宋体"/>
          <w:bCs/>
          <w:color w:val="000000"/>
          <w:sz w:val="24"/>
          <w:szCs w:val="24"/>
          <w:highlight w:val="none"/>
        </w:rPr>
      </w:r>
      <w:r/>
    </w:p>
    <w:p>
      <w:pPr>
        <w:pStyle w:val="73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1.2项目由来：根据土壤污染状况调查和风险评估结果，在第一类用地暴露情景下，</w:t>
      </w:r>
      <w:r>
        <w:rPr>
          <w:rFonts w:hint="eastAsia" w:ascii="宋体" w:hAnsi="宋体" w:eastAsia="宋体" w:cs="宋体"/>
          <w:color w:val="000000"/>
          <w:sz w:val="24"/>
          <w:szCs w:val="24"/>
          <w:highlight w:val="none"/>
          <w:lang w:val="en-US" w:eastAsia="zh-CN" w:bidi="ar"/>
        </w:rPr>
        <w:t xml:space="preserve">榆荫路东南、水城路西北地块（含苏州嘉丰肥业有限责任公司地块）</w:t>
      </w:r>
      <w:r>
        <w:rPr>
          <w:rFonts w:hint="eastAsia" w:ascii="宋体" w:hAnsi="宋体" w:eastAsia="宋体" w:cs="宋体"/>
          <w:bCs/>
          <w:color w:val="000000"/>
          <w:sz w:val="24"/>
          <w:szCs w:val="24"/>
          <w:highlight w:val="none"/>
          <w:lang w:val="en-US" w:eastAsia="zh-CN" w:bidi="ar"/>
        </w:rPr>
        <w:t xml:space="preserve">土壤关注污染物风险值超过可接受风险水平，</w:t>
      </w:r>
      <w:r>
        <w:rPr>
          <w:rFonts w:hint="eastAsia" w:ascii="宋体" w:hAnsi="宋体" w:eastAsia="宋体" w:cs="宋体"/>
          <w:color w:val="000000"/>
          <w:sz w:val="24"/>
          <w:szCs w:val="24"/>
          <w:highlight w:val="none"/>
          <w:lang w:val="en-US" w:eastAsia="zh-CN"/>
        </w:rPr>
        <w:t xml:space="preserve">地下水关注污染物风险值未超过可接受风险水平，但基于氨氮通过地下水入渗地下室模型计算转化为氨气过程，未来开发建设的地下室内空气中氨氮浓度将会超过室内空气氨浓度和氨气最敏感嗅阈值，不符合建设开发设计要求，未来居住人群将能闻到室内空气中有氨气气味，不可接受，需对地下水中氨氮进行修复。</w:t>
      </w:r>
      <w:r>
        <w:rPr>
          <w:rFonts w:hint="eastAsia" w:ascii="宋体" w:hAnsi="宋体" w:eastAsia="宋体" w:cs="宋体"/>
          <w:bCs/>
          <w:color w:val="000000"/>
          <w:sz w:val="24"/>
          <w:szCs w:val="24"/>
          <w:highlight w:val="none"/>
          <w:lang w:val="en-US" w:eastAsia="zh-CN" w:bidi="ar"/>
        </w:rPr>
        <w:t xml:space="preserve">居住用地类型下，土壤中砷、锑、铅、石油烃C10-C40、苯并a芘的修复目标建议值，分别为20mg/kg、20mg/kg、400mg/kg、826mg/kg、0.55mg/kg；地下水关注污染物</w:t>
      </w:r>
      <w:r>
        <w:rPr>
          <w:rFonts w:hint="eastAsia" w:ascii="宋体" w:hAnsi="宋体" w:eastAsia="宋体" w:cs="宋体"/>
          <w:color w:val="000000"/>
          <w:sz w:val="24"/>
          <w:szCs w:val="24"/>
          <w:highlight w:val="none"/>
          <w:lang w:val="en-US" w:eastAsia="zh-CN" w:bidi="ar"/>
        </w:rPr>
        <w:t xml:space="preserve">氨氮建议修复目标值为154.24mg/kg</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rPr>
      </w:r>
      <w:r/>
    </w:p>
    <w:p>
      <w:pPr>
        <w:pStyle w:val="69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1.3项目规模：在第一类用地方式下地块</w:t>
      </w:r>
      <w:r>
        <w:rPr>
          <w:rFonts w:hint="eastAsia" w:ascii="宋体" w:hAnsi="宋体" w:eastAsia="宋体" w:cs="宋体"/>
          <w:color w:val="000000"/>
          <w:sz w:val="24"/>
          <w:szCs w:val="24"/>
          <w:highlight w:val="none"/>
          <w:lang w:val="en-US" w:eastAsia="zh-CN"/>
        </w:rPr>
        <w:t xml:space="preserve">土壤修复面积为2238 平方米，修复土方量为 6794 立方米</w:t>
      </w:r>
      <w:r>
        <w:rPr>
          <w:rFonts w:hint="eastAsia" w:ascii="宋体" w:hAnsi="宋体" w:eastAsia="宋体" w:cs="宋体"/>
          <w:bCs/>
          <w:color w:val="000000"/>
          <w:sz w:val="24"/>
          <w:szCs w:val="24"/>
          <w:highlight w:val="none"/>
          <w:lang w:val="en-US" w:eastAsia="zh-CN" w:bidi="ar"/>
        </w:rPr>
        <w:t xml:space="preserve">。污染地下水建议修复区域，修复面积2546平方米</w:t>
      </w:r>
      <w:r>
        <w:rPr>
          <w:rFonts w:hint="eastAsia" w:ascii="宋体" w:hAnsi="宋体" w:eastAsia="宋体" w:cs="宋体"/>
          <w:color w:val="000000"/>
          <w:sz w:val="24"/>
          <w:szCs w:val="24"/>
          <w:highlight w:val="none"/>
          <w:lang w:val="en-US" w:eastAsia="zh-CN"/>
        </w:rPr>
        <w:t xml:space="preserve">，修复方量约为3375立方米</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实际修复范围和方量可能会随现场情况有所调整</w:t>
      </w:r>
      <w:r>
        <w:rPr>
          <w:rFonts w:hint="eastAsia" w:ascii="宋体" w:hAnsi="宋体" w:eastAsia="宋体" w:cs="宋体"/>
          <w:color w:val="000000"/>
          <w:sz w:val="24"/>
          <w:szCs w:val="24"/>
          <w:highlight w:val="none"/>
          <w:lang w:eastAsia="zh-CN"/>
        </w:rPr>
        <w:t xml:space="preserve">，实际修复过程中以实测值为准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7"/>
        <w:numPr>
          <w:ilvl w:val="0"/>
          <w:numId w:val="0"/>
        </w:numPr>
        <w:ind w:firstLine="482"/>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服务清单：</w:t>
      </w:r>
      <w:r>
        <w:rPr>
          <w:rFonts w:hint="eastAsia" w:ascii="宋体" w:hAnsi="宋体" w:eastAsia="宋体" w:cs="宋体"/>
          <w:color w:val="000000"/>
          <w:sz w:val="24"/>
          <w:szCs w:val="24"/>
          <w:highlight w:val="none"/>
          <w:lang w:val="en-US" w:eastAsia="zh-CN"/>
        </w:rPr>
      </w:r>
      <w:r/>
    </w:p>
    <w:tbl>
      <w:tblPr>
        <w:tblW w:w="959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565"/>
        <w:gridCol w:w="5778"/>
        <w:gridCol w:w="623"/>
        <w:gridCol w:w="916"/>
      </w:tblGrid>
      <w:tr>
        <w:trPr>
          <w:trHeight w:val="400"/>
        </w:trPr>
        <w:tc>
          <w:tcPr>
            <w:tcW w:w="626"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631"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rPr>
                <w:rFonts w:hint="eastAsia" w:ascii="宋体" w:hAnsi="宋体" w:eastAsia="宋体" w:cs="宋体"/>
                <w:b/>
                <w:bCs/>
                <w:i w:val="0"/>
                <w:iCs w:val="0"/>
                <w:color w:val="000000"/>
                <w:sz w:val="20"/>
                <w:szCs w:val="20"/>
                <w:highlight w:val="none"/>
                <w:u w:val="none"/>
              </w:rPr>
            </w:r>
            <w:r/>
          </w:p>
        </w:tc>
        <w:tc>
          <w:tcPr>
            <w:tcW w:w="6067"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项目描述</w:t>
            </w:r>
            <w:r>
              <w:rPr>
                <w:rFonts w:hint="eastAsia" w:ascii="宋体" w:hAnsi="宋体" w:eastAsia="宋体" w:cs="宋体"/>
                <w:b/>
                <w:bCs/>
                <w:i w:val="0"/>
                <w:iCs w:val="0"/>
                <w:color w:val="000000"/>
                <w:sz w:val="20"/>
                <w:szCs w:val="20"/>
                <w:highlight w:val="none"/>
                <w:u w:val="none"/>
              </w:rPr>
            </w:r>
            <w:r/>
          </w:p>
        </w:tc>
        <w:tc>
          <w:tcPr>
            <w:tcW w:w="637"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637" w:type="dxa"/>
            <w:vAlign w:val="center"/>
            <w:vMerge w:val="restart"/>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项目量</w:t>
            </w:r>
            <w:r>
              <w:rPr>
                <w:rFonts w:hint="eastAsia" w:ascii="宋体" w:hAnsi="宋体" w:eastAsia="宋体" w:cs="宋体"/>
                <w:b/>
                <w:bCs/>
                <w:i w:val="0"/>
                <w:iCs w:val="0"/>
                <w:color w:val="000000"/>
                <w:sz w:val="20"/>
                <w:szCs w:val="20"/>
                <w:highlight w:val="none"/>
                <w:u w:val="none"/>
              </w:rPr>
            </w:r>
            <w:r/>
          </w:p>
        </w:tc>
      </w:tr>
      <w:tr>
        <w:trPr>
          <w:trHeight w:val="439"/>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分部分项项目</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97"/>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方案编制</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施工组织设计方案</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包含1、施工组织设计方案编制及专家评审、备案；2、前期场地补充地质勘察；3、前期场地补充监测、污染范围确认；4、前期场地补充中试实验等</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17"/>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深基坑专项方案</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项目所用深基坑专项设计方案、监测方案、施工方案，编制及专家评审。</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58"/>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轨交专项方案</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轨交保护专项论证报告编制及专家评审</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39"/>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项目准备</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9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临时办公区及生活区建设</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临时用房采用集装箱，含办公室5间，门卫室1间，会议室2间，厕所1间（化粪池）；每间办公室配置空调、2桌2椅、1文件柜，会议室配置15人会议桌+椅，加投影仪及幕布，打印机，配置打印机，饮水机等，满足现场办公需求；2.配置大门、门禁、旗台、内部安全隔离围挡等相关设施。</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83"/>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水电接入</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含临时用水用电接驳开户手续办理，接驳施工，水费、电费、网费，满足现场办公要求。</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086"/>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施工区临时围挡建设</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立柱式围挡，高度不得低于3m，采用双层夹芯彩钢板，2、沿周边围挡内侧每隔2米设置1个雾化喷头（雾化喷幅半径不小于1米），喷射水雾的方向应向项目内部并向上倾斜45度，出水口末端短管长度为0.2米，出水口高度与围挡顶部平齐</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r>
      <w:tr>
        <w:trPr>
          <w:trHeight w:val="419"/>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基坑软围挡建设</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采用DN48*3mm钢管，立管间距1.5m，计量按水平延长米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r>
      <w:tr>
        <w:trPr>
          <w:trHeight w:val="52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临时道路；区域硬化修筑</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临时道路铺设，50cm建筑碎砖+5cm再生碎石+20cmC25混凝土面层，完工后拆除</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2100</w:t>
            </w:r>
            <w:r>
              <w:rPr>
                <w:rFonts w:hint="eastAsia" w:ascii="宋体" w:hAnsi="宋体" w:eastAsia="宋体" w:cs="宋体"/>
                <w:i w:val="0"/>
                <w:iCs w:val="0"/>
                <w:color w:val="000000"/>
                <w:sz w:val="20"/>
                <w:szCs w:val="20"/>
                <w:highlight w:val="none"/>
                <w:u w:val="none"/>
              </w:rPr>
            </w:r>
            <w:r/>
          </w:p>
        </w:tc>
      </w:tr>
      <w:tr>
        <w:trPr>
          <w:trHeight w:val="497"/>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临时污水收集池</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尺寸10m*10m*1.0m，PE材料的支架水池</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78"/>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纳管施工及排污许可</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纳管施工及纳管手续办理</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30"/>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洗车台及过磅台</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1、出入口设置车辆洗车台，规格3m*16m*1m；2.设置1台100t的电子地磅，磅体、接线盒、传感器、信号线等地磅装置，包括运入、安装调试、拆除；</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30"/>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 </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预处理大棚</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钢结构大棚，10*40m，配备照明系统、易燃易爆等安全检测系统、废气收集管路系统等；满足现场施工及安全要求；钢立柱及钢梁，彩钢板顶棚及四周围边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r>
      <w:tr>
        <w:trPr>
          <w:trHeight w:val="73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危废暂存间</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集装箱(3m*6m)，底部+四周防渗(HDPE膜)，张贴危废标识牌，具体要求满足当地主管部门危废暂存间相关要求。</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 </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在开挖区、预处理区、过磅处、大门处、水处理区等关键区域安装监控设备，施工期全天24小时录像，数据保留移动硬盘中；10个监控摄像头</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00"/>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修复项目实施</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80"/>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3.1</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污染土壤修复</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上层清洁土和放坡土开挖及短驳</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上层清洁土及放坡土开挖；场内短驳至清洁土暂存区，并盖防尘网</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5488.4</w:t>
            </w:r>
            <w:r>
              <w:rPr>
                <w:rFonts w:hint="eastAsia" w:ascii="宋体" w:hAnsi="宋体" w:eastAsia="宋体" w:cs="宋体"/>
                <w:i w:val="0"/>
                <w:iCs w:val="0"/>
                <w:color w:val="000000"/>
                <w:sz w:val="20"/>
                <w:szCs w:val="20"/>
                <w:highlight w:val="none"/>
                <w:u w:val="none"/>
              </w:rPr>
            </w:r>
            <w:r/>
          </w:p>
        </w:tc>
      </w:tr>
      <w:tr>
        <w:trPr>
          <w:trHeight w:val="614"/>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污染土壤开挖及短驳</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1、包括污染土及部分受到污染的原状土壤；2、场内短驳，运至场地内污染土壤暂存并盖防尘网；3、污染土装车</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r>
      <w:tr>
        <w:trPr>
          <w:trHeight w:val="770"/>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拉森钢板桩</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1、打、拔SP-IV拉森钢板桩；2、钢板桩租赁时间投标单位自行考虑，结算不调整；3、结算提供分批带参照物视频和照片，并经监理，跟审，采购单位现场确认数量；4、含设备进出场。</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856.125</w:t>
            </w:r>
            <w:r>
              <w:rPr>
                <w:rFonts w:hint="eastAsia" w:ascii="宋体" w:hAnsi="宋体" w:eastAsia="宋体" w:cs="宋体"/>
                <w:i w:val="0"/>
                <w:iCs w:val="0"/>
                <w:color w:val="000000"/>
                <w:sz w:val="20"/>
                <w:szCs w:val="20"/>
                <w:highlight w:val="none"/>
                <w:u w:val="none"/>
              </w:rPr>
            </w:r>
            <w:r/>
          </w:p>
        </w:tc>
      </w:tr>
      <w:tr>
        <w:trPr>
          <w:trHeight w:val="1023"/>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垂直阻隔</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垂直阻隔屏障的设计厚度为0.85米；2、深度初步确定为8m。三轴水泥土搅拌桩Ø850@600水泥剂量不低于20%，多出土方外运，运距及堆场投标单位自行考虑；3、结算提供水泥进场试验报告（检验批数量要满足要求，否则水泥剂量不予认可）；4、含设备进出场。</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1901.64</w:t>
            </w:r>
            <w:r>
              <w:rPr>
                <w:rFonts w:hint="eastAsia" w:ascii="宋体" w:hAnsi="宋体" w:eastAsia="宋体" w:cs="宋体"/>
                <w:i w:val="0"/>
                <w:iCs w:val="0"/>
                <w:color w:val="000000"/>
                <w:sz w:val="20"/>
                <w:szCs w:val="20"/>
                <w:highlight w:val="none"/>
                <w:u w:val="none"/>
              </w:rPr>
            </w:r>
            <w:r/>
          </w:p>
        </w:tc>
      </w:tr>
      <w:tr>
        <w:trPr>
          <w:trHeight w:val="57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污染土壤预处理</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包括加石灰（另计）、破碎、筛分等，将土体含水率控制在20%以内；</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r>
      <w:tr>
        <w:trPr>
          <w:trHeight w:val="57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石灰</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生石灰采购，结算提供每车进出场过磅视频（视频中体现车牌号，重车重量，空车重量，相关见证人员）；</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543.52</w:t>
            </w:r>
            <w:r>
              <w:rPr>
                <w:rFonts w:hint="eastAsia" w:ascii="宋体" w:hAnsi="宋体" w:eastAsia="宋体" w:cs="宋体"/>
                <w:i w:val="0"/>
                <w:iCs w:val="0"/>
                <w:color w:val="000000"/>
                <w:sz w:val="20"/>
                <w:szCs w:val="20"/>
                <w:highlight w:val="none"/>
                <w:u w:val="none"/>
              </w:rPr>
            </w:r>
            <w:r/>
          </w:p>
        </w:tc>
      </w:tr>
      <w:tr>
        <w:trPr>
          <w:trHeight w:val="73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污染土转运</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1、污染土壤外运至水泥窑协同处置单位（必须采用符合环保要求的运输车辆，运输车辆必须密封严格、不晒不漏）运输至处置单位卸车，运距投标人自行考虑</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6794</w:t>
            </w:r>
            <w:r>
              <w:rPr>
                <w:rFonts w:hint="eastAsia" w:ascii="宋体" w:hAnsi="宋体" w:eastAsia="宋体" w:cs="宋体"/>
                <w:i w:val="0"/>
                <w:iCs w:val="0"/>
                <w:color w:val="000000"/>
                <w:sz w:val="20"/>
                <w:szCs w:val="20"/>
                <w:highlight w:val="none"/>
                <w:u w:val="none"/>
              </w:rPr>
            </w:r>
            <w:r/>
          </w:p>
        </w:tc>
      </w:tr>
      <w:tr>
        <w:trPr>
          <w:trHeight w:val="96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水泥窑协同处置</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交由水泥窑协同处置单位处理；结算提供每车装车及进出场（含接收地址处）带水印过磅视频（视频中体现车牌号，重车重量，空车重量，相关见证人员）；</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10870.4</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回填</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1、上层清洁土和放坡土经确认无污染后回填，剩余方量清洁土（甲供）；2、含短驳、挖、运、装车、卸、压实等，符合项目验收要求；</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12282.4</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3.2</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污染地下水修复</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29"/>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深井降水</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满足真空管井降水工艺要求，1、沿高浓度区域四周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按10m-15m网格布设降水井；2、DN300钢管；3、井深</w:t>
            </w:r>
            <w:r>
              <w:rPr>
                <w:rFonts w:ascii="Times New Roman" w:hAnsi="Times New Roman" w:eastAsia="宋体" w:cs="Times New Roman"/>
                <w:i w:val="0"/>
                <w:iCs w:val="0"/>
                <w:color w:val="000000"/>
                <w:sz w:val="20"/>
                <w:szCs w:val="20"/>
                <w:highlight w:val="none"/>
                <w:u w:val="none"/>
                <w:lang w:val="en-US" w:eastAsia="zh-CN" w:bidi="ar"/>
              </w:rPr>
              <w:t xml:space="preserve">6</w:t>
            </w:r>
            <w:r>
              <w:rPr>
                <w:rStyle w:val="949"/>
                <w:color w:val="000000"/>
                <w:highlight w:val="none"/>
                <w:lang w:val="en-US" w:eastAsia="zh-CN" w:bidi="ar"/>
              </w:rPr>
              <w:t xml:space="preserve">米；投标单位根据方案自行考虑井深，结算不调整）；</w:t>
            </w:r>
            <w:r>
              <w:rPr>
                <w:rFonts w:ascii="Times New Roman" w:hAnsi="Times New Roman" w:eastAsia="宋体" w:cs="Times New Roman"/>
                <w:i w:val="0"/>
                <w:iCs w:val="0"/>
                <w:color w:val="000000"/>
                <w:sz w:val="20"/>
                <w:szCs w:val="20"/>
                <w:highlight w:val="none"/>
                <w:u w:val="none"/>
                <w:lang w:val="en-US" w:eastAsia="zh-CN" w:bidi="ar"/>
              </w:rPr>
              <w:t xml:space="preserve"> 4</w:t>
            </w:r>
            <w:r>
              <w:rPr>
                <w:rStyle w:val="949"/>
                <w:color w:val="000000"/>
                <w:highlight w:val="none"/>
                <w:lang w:val="en-US" w:eastAsia="zh-CN" w:bidi="ar"/>
              </w:rPr>
              <w:t xml:space="preserve">、含拆除费用。</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深井降水井口端部密封</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满足真空管井降水工艺要求，</w:t>
            </w:r>
            <w:r>
              <w:rPr>
                <w:rFonts w:ascii="Times New Roman" w:hAnsi="Times New Roman" w:eastAsia="宋体" w:cs="Times New Roman"/>
                <w:i w:val="0"/>
                <w:iCs w:val="0"/>
                <w:color w:val="000000"/>
                <w:sz w:val="20"/>
                <w:szCs w:val="20"/>
                <w:highlight w:val="none"/>
                <w:u w:val="none"/>
                <w:lang w:val="en-US" w:eastAsia="zh-CN" w:bidi="ar"/>
              </w:rPr>
              <w:t xml:space="preserve"> </w:t>
            </w:r>
            <w:r>
              <w:rPr>
                <w:rStyle w:val="949"/>
                <w:color w:val="000000"/>
                <w:highlight w:val="none"/>
                <w:lang w:val="en-US" w:eastAsia="zh-CN" w:bidi="ar"/>
              </w:rPr>
              <w:t xml:space="preserve">保证降水井中形成真空状态</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r>
      <w:tr>
        <w:trPr>
          <w:trHeight w:val="840"/>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深井中水抽提（含基坑水降排水）</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1.深井中水抽出至污水处理系统；2.基坑中污水排降水至污水处理系统;3.含地面配套系统、人工、电费等</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r>
      <w:tr>
        <w:trPr>
          <w:trHeight w:val="731"/>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3.3</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污水处理</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3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水处理设备租赁</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一台10吨/小时的水处理设备（包含进出场及安拆），180天的处置周期</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77"/>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污水处理</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包括药剂和人员等，4人*6个月，包括不限于管理人员、电工、运行工人等，满足24小时运行要求</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3375</w:t>
            </w:r>
            <w:r>
              <w:rPr>
                <w:rFonts w:hint="eastAsia" w:ascii="宋体" w:hAnsi="宋体" w:eastAsia="宋体" w:cs="宋体"/>
                <w:i w:val="0"/>
                <w:iCs w:val="0"/>
                <w:color w:val="000000"/>
                <w:sz w:val="20"/>
                <w:szCs w:val="20"/>
                <w:highlight w:val="none"/>
                <w:u w:val="none"/>
              </w:rPr>
            </w:r>
            <w:r/>
          </w:p>
        </w:tc>
      </w:tr>
      <w:tr>
        <w:trPr>
          <w:trHeight w:val="431"/>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支架出水池</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尺寸10m*10m*1.5m，PE材料的支架水池</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536"/>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纳管排放</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处理后达标水纳管排放</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m³</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3375</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3.4</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尾气处理</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预处理大棚配套的尾气处理系统的运行费用，包含人工费及活性炭费用</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3.5</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危废处置</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危废委外处理，包括尾气处理系统的废活性炭、水处理系统的污泥、个人防护用品等</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吨</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3.6</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建筑垃圾处理</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1、场内现有砖房和障碍物拆除及外运处置；2、场内施工道路、区域硬化等现场恢复拆除所产生的建筑垃圾外运处置</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00"/>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措施项目费</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51"/>
        </w:trPr>
        <w:tc>
          <w:tcPr>
            <w:tcW w:w="626"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1</w:t>
            </w:r>
            <w:r>
              <w:rPr>
                <w:rFonts w:ascii="Times New Roman" w:hAnsi="Times New Roman" w:eastAsia="宋体" w:cs="Times New Roman"/>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安全文明施工；劳动及保护用品</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安全施工、文明施工及环境保护,包括但不限于五牌一图、灭火器等；施工人员防护用品，包括但不限于口罩、防护服等若干；用于清洁土和水池底部防渗用的HDPE膜（含铺设、拆除等）；</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51"/>
        </w:trPr>
        <w:tc>
          <w:tcPr>
            <w:tcW w:w="626"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2</w:t>
            </w:r>
            <w:r>
              <w:rPr>
                <w:rFonts w:ascii="Times New Roman" w:hAnsi="Times New Roman" w:eastAsia="宋体" w:cs="Times New Roman"/>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二次污染防范措施</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雾炮、洒水车、防尘网等设施；需在开挖、暂存、装车、出场等区域设置雾炮设施（含气味抑制剂），满足扬尘、异味等管控要求；符合主管部门建设项目环境细则要求</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60"/>
        </w:trPr>
        <w:tc>
          <w:tcPr>
            <w:tcW w:w="626"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3</w:t>
            </w:r>
            <w:r>
              <w:rPr>
                <w:rFonts w:ascii="Times New Roman" w:hAnsi="Times New Roman" w:eastAsia="宋体" w:cs="Times New Roman"/>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质控检测</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施工期大气、噪声定期检测，废水处理排放前检测，基坑底面及侧壁清挖效果自检</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4</w:t>
            </w:r>
            <w:r>
              <w:rPr>
                <w:rFonts w:ascii="Times New Roman" w:hAnsi="Times New Roman" w:eastAsia="宋体" w:cs="Times New Roman"/>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地铁保护检测</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施工期相关检测：1、轨交结构道床沉降；2、轨交结构管片位移；3、轨交结构管片收敛等</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95"/>
        </w:trPr>
        <w:tc>
          <w:tcPr>
            <w:tcW w:w="626" w:type="dxa"/>
            <w:vAlign w:val="center"/>
            <w:textDirection w:val="lrTb"/>
            <w:noWrap w:val="false"/>
          </w:tcPr>
          <w:p>
            <w:pPr>
              <w:pStyle w:val="696"/>
              <w:jc w:val="center"/>
              <w:keepLines w:val="0"/>
              <w:keepNext w:val="0"/>
              <w:widowControl/>
              <w:rPr>
                <w:rFonts w:ascii="Times New Roman" w:hAnsi="Times New Roman" w:eastAsia="宋体" w:cs="Times New Roman"/>
                <w:i w:val="0"/>
                <w:iCs w:val="0"/>
                <w:color w:val="000000"/>
                <w:sz w:val="20"/>
                <w:szCs w:val="20"/>
                <w:highlight w:val="none"/>
                <w:u w:val="none"/>
              </w:rPr>
              <w:suppressLineNumbers w:val="0"/>
            </w:pPr>
            <w:r>
              <w:rPr>
                <w:rFonts w:ascii="Times New Roman" w:hAnsi="Times New Roman" w:eastAsia="宋体" w:cs="Times New Roman"/>
                <w:i w:val="0"/>
                <w:iCs w:val="0"/>
                <w:color w:val="000000"/>
                <w:sz w:val="20"/>
                <w:szCs w:val="20"/>
                <w:highlight w:val="none"/>
                <w:u w:val="none"/>
                <w:lang w:val="en-US" w:eastAsia="zh-CN" w:bidi="ar"/>
              </w:rPr>
              <w:t xml:space="preserve">5</w:t>
            </w:r>
            <w:r>
              <w:rPr>
                <w:rFonts w:ascii="Times New Roman" w:hAnsi="Times New Roman" w:eastAsia="宋体" w:cs="Times New Roman"/>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二年维护期</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主体项目结束后，继续对地下水进行一年的监测期，达标后，再由验收单位介入，再进行一年的监测评估，含维护期的现场安保及管理人员人工、水电费用</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00"/>
        </w:trPr>
        <w:tc>
          <w:tcPr>
            <w:tcW w:w="626"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项目其他费</w:t>
            </w:r>
            <w:r>
              <w:rPr>
                <w:rFonts w:hint="eastAsia" w:ascii="宋体" w:hAnsi="宋体" w:eastAsia="宋体" w:cs="宋体"/>
                <w:b/>
                <w:bCs/>
                <w:i w:val="0"/>
                <w:iCs w:val="0"/>
                <w:color w:val="000000"/>
                <w:sz w:val="20"/>
                <w:szCs w:val="20"/>
                <w:highlight w:val="none"/>
                <w:u w:val="none"/>
              </w:rPr>
            </w:r>
            <w:r/>
          </w:p>
        </w:tc>
        <w:tc>
          <w:tcPr>
            <w:tcW w:w="606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8"/>
        </w:trPr>
        <w:tc>
          <w:tcPr>
            <w:tcW w:w="626"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631"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保险费</w:t>
            </w:r>
            <w:r>
              <w:rPr>
                <w:rFonts w:hint="eastAsia" w:ascii="宋体" w:hAnsi="宋体" w:eastAsia="宋体" w:cs="宋体"/>
                <w:i w:val="0"/>
                <w:iCs w:val="0"/>
                <w:color w:val="000000"/>
                <w:sz w:val="20"/>
                <w:szCs w:val="20"/>
                <w:highlight w:val="none"/>
                <w:u w:val="none"/>
              </w:rPr>
            </w:r>
            <w:r/>
          </w:p>
        </w:tc>
        <w:tc>
          <w:tcPr>
            <w:tcW w:w="606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一切险和第三方责任险；提供保单，按实结算，预算按（一~二）总价的千分之三点五</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637" w:type="dxa"/>
            <w:vAlign w:val="center"/>
            <w:textDirection w:val="lrTb"/>
            <w:noWrap w:val="false"/>
          </w:tcPr>
          <w:p>
            <w:pPr>
              <w:pStyle w:val="69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r>
    </w:tbl>
    <w:p>
      <w:pPr>
        <w:pStyle w:val="696"/>
        <w:numPr>
          <w:ilvl w:val="0"/>
          <w:numId w:val="0"/>
        </w:numP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96"/>
        <w:ind w:firstLine="482"/>
        <w:jc w:val="left"/>
        <w:spacing w:line="360" w:lineRule="auto"/>
        <w:tabs>
          <w:tab w:val="left" w:pos="639" w:leader="none"/>
        </w:tabs>
        <w:rPr>
          <w:rFonts w:hint="eastAsia" w:ascii="宋体" w:hAnsi="宋体" w:eastAsia="宋体" w:cs="宋体"/>
          <w:b/>
          <w:bCs/>
          <w:color w:val="000000"/>
          <w:sz w:val="24"/>
          <w:szCs w:val="24"/>
          <w:highlight w:val="none"/>
          <w:lang w:val="zh-CN" w:bidi="zh-CN"/>
        </w:rPr>
        <w:outlineLvl w:val="1"/>
      </w:pPr>
      <w:r>
        <w:rPr>
          <w:rFonts w:hint="eastAsia" w:ascii="宋体" w:hAnsi="宋体" w:eastAsia="宋体" w:cs="宋体"/>
          <w:b/>
          <w:bCs/>
          <w:color w:val="000000"/>
          <w:sz w:val="24"/>
          <w:szCs w:val="24"/>
          <w:highlight w:val="none"/>
          <w:lang w:val="en-US" w:bidi="zh-CN"/>
        </w:rPr>
        <w:t xml:space="preserve">3</w:t>
      </w:r>
      <w:r>
        <w:rPr>
          <w:rFonts w:hint="eastAsia" w:ascii="宋体" w:hAnsi="宋体" w:eastAsia="宋体" w:cs="宋体"/>
          <w:b/>
          <w:bCs/>
          <w:color w:val="000000"/>
          <w:sz w:val="24"/>
          <w:szCs w:val="24"/>
          <w:highlight w:val="none"/>
          <w:lang w:val="zh-CN" w:bidi="zh-CN"/>
        </w:rPr>
        <w:t xml:space="preserve">.招标内容与基本要求</w:t>
      </w:r>
      <w:r>
        <w:rPr>
          <w:rFonts w:hint="eastAsia" w:ascii="宋体" w:hAnsi="宋体" w:eastAsia="宋体" w:cs="宋体"/>
          <w:b/>
          <w:bCs/>
          <w:color w:val="000000"/>
          <w:sz w:val="24"/>
          <w:szCs w:val="24"/>
          <w:highlight w:val="none"/>
          <w:lang w:val="zh-CN" w:bidi="zh-CN"/>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.1招标内容：榆荫路东南、水城路西北地块</w:t>
      </w:r>
      <w:r>
        <w:rPr>
          <w:rFonts w:hint="eastAsia" w:ascii="宋体" w:hAnsi="宋体" w:eastAsia="宋体" w:cs="宋体"/>
          <w:color w:val="000000"/>
          <w:sz w:val="24"/>
          <w:szCs w:val="24"/>
          <w:highlight w:val="none"/>
          <w:lang w:eastAsia="zh-CN"/>
        </w:rPr>
        <w:t xml:space="preserve">（含苏州嘉丰肥业有限责任公司地块）</w:t>
      </w:r>
      <w:r>
        <w:rPr>
          <w:rFonts w:hint="eastAsia" w:ascii="宋体" w:hAnsi="宋体" w:eastAsia="宋体" w:cs="宋体"/>
          <w:color w:val="000000"/>
          <w:sz w:val="24"/>
          <w:szCs w:val="24"/>
          <w:highlight w:val="none"/>
        </w:rPr>
        <w:t xml:space="preserve">生态环境治理。</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.2治理技术方案：土壤修复采用水泥窑协同处置技术，地下水采用地下水抽出-处理技术。</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3.3人员配备基</w:t>
      </w:r>
      <w:r>
        <w:rPr>
          <w:rFonts w:hint="eastAsia" w:ascii="宋体" w:hAnsi="宋体" w:eastAsia="宋体" w:cs="宋体"/>
          <w:color w:val="000000"/>
          <w:sz w:val="24"/>
          <w:szCs w:val="24"/>
          <w:highlight w:val="none"/>
          <w:lang w:val="en-US" w:eastAsia="zh-CN"/>
        </w:rPr>
        <w:t xml:space="preserve">本要求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本项目至少配备1名</w:t>
      </w:r>
      <w:r>
        <w:rPr>
          <w:rFonts w:hint="eastAsia" w:ascii="宋体" w:hAnsi="宋体" w:eastAsia="宋体" w:cs="宋体"/>
          <w:color w:val="000000"/>
          <w:sz w:val="24"/>
          <w:szCs w:val="24"/>
          <w:highlight w:val="none"/>
        </w:rPr>
        <w:t xml:space="preserve">总负责人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1名</w:t>
      </w: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1名</w:t>
      </w:r>
      <w:r>
        <w:rPr>
          <w:rFonts w:hint="eastAsia" w:ascii="宋体" w:hAnsi="宋体" w:eastAsia="宋体" w:cs="宋体"/>
          <w:color w:val="000000"/>
          <w:sz w:val="24"/>
          <w:szCs w:val="24"/>
          <w:highlight w:val="none"/>
        </w:rPr>
        <w:t xml:space="preserve">现场负责人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1名</w:t>
      </w:r>
      <w:r>
        <w:rPr>
          <w:rFonts w:hint="eastAsia" w:ascii="宋体" w:hAnsi="宋体" w:eastAsia="宋体" w:cs="宋体"/>
          <w:color w:val="000000"/>
          <w:sz w:val="24"/>
          <w:szCs w:val="24"/>
          <w:highlight w:val="none"/>
        </w:rPr>
        <w:t xml:space="preserve">安全负责人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具有技术职称。</w:t>
      </w:r>
      <w:r>
        <w:rPr>
          <w:rFonts w:hint="eastAsia" w:ascii="宋体" w:hAnsi="宋体" w:eastAsia="宋体" w:cs="宋体"/>
          <w:color w:val="000000"/>
          <w:sz w:val="24"/>
          <w:szCs w:val="24"/>
          <w:highlight w:val="none"/>
          <w:lang w:val="en-US" w:eastAsia="zh-CN"/>
        </w:rPr>
      </w:r>
      <w:r/>
    </w:p>
    <w:p>
      <w:pPr>
        <w:pStyle w:val="700"/>
        <w:ind w:firstLine="48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.4质量要求：达到本项目要求修复目标值，并通过</w:t>
      </w:r>
      <w:r>
        <w:rPr>
          <w:rFonts w:hint="eastAsia" w:ascii="宋体" w:hAnsi="宋体" w:eastAsia="宋体" w:cs="宋体"/>
          <w:color w:val="000000"/>
          <w:sz w:val="24"/>
          <w:szCs w:val="24"/>
          <w:highlight w:val="none"/>
          <w:lang w:val="en-US" w:eastAsia="zh-CN"/>
        </w:rPr>
        <w:t xml:space="preserve">市级和省级</w:t>
      </w:r>
      <w:r>
        <w:rPr>
          <w:rFonts w:hint="eastAsia" w:ascii="宋体" w:hAnsi="宋体" w:eastAsia="宋体" w:cs="宋体"/>
          <w:color w:val="000000"/>
          <w:sz w:val="24"/>
          <w:szCs w:val="24"/>
          <w:highlight w:val="none"/>
        </w:rPr>
        <w:t xml:space="preserve">生态环境主管部门组织的效果评估。</w:t>
      </w:r>
      <w:r>
        <w:rPr>
          <w:rFonts w:hint="eastAsia" w:ascii="宋体" w:hAnsi="宋体" w:eastAsia="宋体" w:cs="宋体"/>
          <w:color w:val="000000"/>
          <w:sz w:val="24"/>
          <w:szCs w:val="24"/>
          <w:highlight w:val="none"/>
        </w:rPr>
      </w:r>
      <w:r/>
    </w:p>
    <w:p>
      <w:pPr>
        <w:pStyle w:val="700"/>
        <w:ind w:firstLine="48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.5污染土壤运输必须符合所在地、外运沿线和接受地生态环境、城管、卫生防疫、交通运输等相关部门的要求，相关手续由中标人自行办理，费用由中标人自行支付。 </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 如中标单位中标后实际工作与投标文件、相关承诺内容、合同及附件不符，采购人有权取消其中标资格并终止合同，中标单位已缴纳</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服务费用不予退还。</w:t>
      </w:r>
      <w:r>
        <w:rPr>
          <w:rFonts w:hint="eastAsia" w:ascii="宋体" w:hAnsi="宋体" w:eastAsia="宋体" w:cs="宋体"/>
          <w:color w:val="000000"/>
          <w:sz w:val="24"/>
          <w:szCs w:val="24"/>
          <w:highlight w:val="none"/>
        </w:rPr>
      </w:r>
      <w:r/>
    </w:p>
    <w:p>
      <w:pPr>
        <w:pStyle w:val="700"/>
        <w:ind w:firstLine="482"/>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zh-CN"/>
        </w:rPr>
        <w:t xml:space="preserve">4</w:t>
      </w:r>
      <w:r>
        <w:rPr>
          <w:rFonts w:hint="eastAsia" w:ascii="宋体" w:hAnsi="宋体" w:eastAsia="宋体" w:cs="宋体"/>
          <w:b/>
          <w:bCs/>
          <w:color w:val="000000"/>
          <w:sz w:val="24"/>
          <w:szCs w:val="24"/>
          <w:highlight w:val="none"/>
          <w:lang w:val="zh-CN" w:bidi="zh-CN"/>
        </w:rPr>
        <w:t xml:space="preserve">.</w:t>
      </w:r>
      <w:r>
        <w:rPr>
          <w:rFonts w:hint="eastAsia" w:ascii="宋体" w:hAnsi="宋体" w:eastAsia="宋体" w:cs="宋体"/>
          <w:b/>
          <w:bCs/>
          <w:color w:val="000000"/>
          <w:sz w:val="24"/>
          <w:szCs w:val="24"/>
          <w:highlight w:val="none"/>
        </w:rPr>
        <w:t xml:space="preserve">施工现场要求</w:t>
      </w:r>
      <w:r>
        <w:rPr>
          <w:rFonts w:hint="eastAsia" w:ascii="宋体" w:hAnsi="宋体" w:eastAsia="宋体" w:cs="宋体"/>
          <w:b/>
          <w:bCs/>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.1可以在招标人指定区域搭设施工用临时设施，</w:t>
      </w:r>
      <w:r>
        <w:rPr>
          <w:rFonts w:hint="eastAsia" w:ascii="宋体" w:hAnsi="宋体" w:eastAsia="宋体" w:cs="宋体"/>
          <w:color w:val="000000"/>
          <w:sz w:val="24"/>
          <w:szCs w:val="24"/>
          <w:highlight w:val="none"/>
          <w:lang w:val="en-US" w:eastAsia="zh-CN"/>
        </w:rPr>
        <w:t xml:space="preserve">临时用地办理和临时设施搭设</w:t>
      </w:r>
      <w:r>
        <w:rPr>
          <w:rFonts w:hint="eastAsia" w:ascii="宋体" w:hAnsi="宋体" w:eastAsia="宋体" w:cs="宋体"/>
          <w:color w:val="000000"/>
          <w:sz w:val="24"/>
          <w:szCs w:val="24"/>
          <w:highlight w:val="none"/>
        </w:rPr>
        <w:t xml:space="preserve">费用在报价中考虑。现场临时设施在修复效果评估结束后 7 天内自行拆除，</w:t>
      </w:r>
      <w:r>
        <w:rPr>
          <w:rFonts w:hint="eastAsia" w:ascii="宋体" w:hAnsi="宋体" w:eastAsia="宋体" w:cs="宋体"/>
          <w:color w:val="000000"/>
          <w:sz w:val="24"/>
          <w:szCs w:val="24"/>
          <w:highlight w:val="none"/>
          <w:lang w:val="en-US" w:eastAsia="zh-CN"/>
        </w:rPr>
        <w:t xml:space="preserve">临时用地自行恢复，</w:t>
      </w:r>
      <w:r>
        <w:rPr>
          <w:rFonts w:hint="eastAsia" w:ascii="宋体" w:hAnsi="宋体" w:eastAsia="宋体" w:cs="宋体"/>
          <w:color w:val="000000"/>
          <w:sz w:val="24"/>
          <w:szCs w:val="24"/>
          <w:highlight w:val="none"/>
        </w:rPr>
        <w:t xml:space="preserve">费用在报价中考虑。</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.2招标人将协助中标人办理施工临时用水、临时用电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污水接管排放</w:t>
      </w:r>
      <w:r>
        <w:rPr>
          <w:rFonts w:hint="eastAsia" w:ascii="宋体" w:hAnsi="宋体" w:eastAsia="宋体" w:cs="宋体"/>
          <w:color w:val="000000"/>
          <w:sz w:val="24"/>
          <w:szCs w:val="24"/>
          <w:highlight w:val="none"/>
        </w:rPr>
        <w:t xml:space="preserve">。施工用水、用电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污水接管排放</w:t>
      </w:r>
      <w:r>
        <w:rPr>
          <w:rFonts w:hint="eastAsia" w:ascii="宋体" w:hAnsi="宋体" w:eastAsia="宋体" w:cs="宋体"/>
          <w:color w:val="000000"/>
          <w:sz w:val="24"/>
          <w:szCs w:val="24"/>
          <w:highlight w:val="none"/>
        </w:rPr>
        <w:t xml:space="preserve">所需费用由中标人自行承担且包含在投标报价中。</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现场施工过程中</w:t>
      </w:r>
      <w:r>
        <w:rPr>
          <w:rFonts w:hint="eastAsia" w:ascii="宋体" w:hAnsi="宋体" w:eastAsia="宋体" w:cs="宋体"/>
          <w:color w:val="000000"/>
          <w:sz w:val="24"/>
          <w:szCs w:val="24"/>
          <w:highlight w:val="none"/>
        </w:rPr>
        <w:t xml:space="preserve">应做好二次污染的防治措施，不允许在</w:t>
      </w:r>
      <w:r>
        <w:rPr>
          <w:rFonts w:hint="eastAsia" w:ascii="宋体" w:hAnsi="宋体" w:eastAsia="宋体" w:cs="宋体"/>
          <w:color w:val="000000"/>
          <w:sz w:val="24"/>
          <w:szCs w:val="24"/>
          <w:highlight w:val="none"/>
          <w:lang w:val="en-US" w:eastAsia="zh-CN"/>
        </w:rPr>
        <w:t xml:space="preserve">施工过程中</w:t>
      </w:r>
      <w:r>
        <w:rPr>
          <w:rFonts w:hint="eastAsia" w:ascii="宋体" w:hAnsi="宋体" w:eastAsia="宋体" w:cs="宋体"/>
          <w:color w:val="000000"/>
          <w:sz w:val="24"/>
          <w:szCs w:val="24"/>
          <w:highlight w:val="none"/>
        </w:rPr>
        <w:t xml:space="preserve">出现因污染物质、有害气体、扬尘以及地表水和基坑废水等对周围环境和居民造成影响的事情发生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各种污染物排放必须符合国家相关标准</w:t>
      </w:r>
      <w:r>
        <w:rPr>
          <w:rFonts w:hint="eastAsia" w:ascii="宋体" w:hAnsi="宋体" w:eastAsia="宋体" w:cs="宋体"/>
          <w:color w:val="000000"/>
          <w:sz w:val="24"/>
          <w:szCs w:val="24"/>
          <w:highlight w:val="none"/>
        </w:rPr>
        <w:t xml:space="preserve">。同时应对现场操作人员做好必要的防护措施，做到安全施工、文明施工，并能提供满足相关职能部门现场监督必备的安全防护装备。</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事故风险及应急预案</w:t>
      </w:r>
      <w:r>
        <w:rPr>
          <w:rFonts w:hint="eastAsia" w:ascii="宋体" w:hAnsi="宋体" w:eastAsia="宋体" w:cs="宋体"/>
          <w:bCs/>
          <w:color w:val="000000"/>
          <w:sz w:val="24"/>
          <w:szCs w:val="24"/>
          <w:highlight w:val="none"/>
        </w:rPr>
      </w:r>
      <w:r/>
    </w:p>
    <w:p>
      <w:pPr>
        <w:pStyle w:val="69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（1）制定事故风险防范措施，包括污染场地治理现场风险防范管理措施，水污染风险防范管理措施，大气污染事故风险防范措施，噪声事故风险防范措施，火灾和爆炸事故风险防范,疫情防控应急措施。</w:t>
      </w:r>
      <w:r>
        <w:rPr>
          <w:rFonts w:hint="eastAsia" w:ascii="宋体" w:hAnsi="宋体" w:eastAsia="宋体" w:cs="宋体"/>
          <w:bCs/>
          <w:color w:val="000000"/>
          <w:sz w:val="24"/>
          <w:szCs w:val="24"/>
          <w:highlight w:val="none"/>
        </w:rPr>
      </w:r>
      <w:r/>
    </w:p>
    <w:p>
      <w:pPr>
        <w:pStyle w:val="69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（2）做好工伤事故防范措施，包括现场安全布置措施，人员安全健康风险防范措施。</w:t>
      </w:r>
      <w:r>
        <w:rPr>
          <w:rFonts w:hint="eastAsia" w:ascii="宋体" w:hAnsi="宋体" w:eastAsia="宋体" w:cs="宋体"/>
          <w:bCs/>
          <w:color w:val="000000"/>
          <w:sz w:val="24"/>
          <w:szCs w:val="24"/>
          <w:highlight w:val="none"/>
        </w:rPr>
      </w:r>
      <w:r/>
    </w:p>
    <w:p>
      <w:pPr>
        <w:pStyle w:val="69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（3）做好群体事件风险防范措施。</w:t>
      </w:r>
      <w:r>
        <w:rPr>
          <w:rFonts w:hint="eastAsia" w:ascii="宋体" w:hAnsi="宋体" w:eastAsia="宋体" w:cs="宋体"/>
          <w:bCs/>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（4）做好事故发生后应急预案及措施，包括环境污染应急预案及措施，人员安全事故应急措施，群体事件应急措施。</w:t>
      </w:r>
      <w:r>
        <w:rPr>
          <w:rFonts w:hint="eastAsia" w:ascii="宋体" w:hAnsi="宋体" w:eastAsia="宋体" w:cs="宋体"/>
          <w:color w:val="000000"/>
          <w:sz w:val="24"/>
          <w:szCs w:val="24"/>
          <w:highlight w:val="none"/>
        </w:rPr>
      </w:r>
      <w:r/>
    </w:p>
    <w:p>
      <w:pPr>
        <w:pStyle w:val="700"/>
        <w:ind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4.5项目实施</w:t>
      </w:r>
      <w:r>
        <w:rPr>
          <w:rFonts w:hint="eastAsia" w:ascii="宋体" w:hAnsi="宋体" w:eastAsia="宋体" w:cs="宋体"/>
          <w:color w:val="000000"/>
          <w:sz w:val="24"/>
          <w:szCs w:val="24"/>
          <w:highlight w:val="none"/>
        </w:rPr>
        <w:t xml:space="preserve">应按修复方案进行，</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过程中监理也将按修复方案进行监理工作。地下是否存在地下管线、地下障碍物及疑似危险废物，均由中标人自行考虑，费用在报价中考虑。</w:t>
      </w:r>
      <w:r>
        <w:rPr>
          <w:rFonts w:hint="eastAsia" w:ascii="宋体" w:hAnsi="宋体" w:eastAsia="宋体" w:cs="宋体"/>
          <w:color w:val="000000"/>
          <w:sz w:val="24"/>
          <w:szCs w:val="24"/>
          <w:highlight w:val="none"/>
          <w:lang w:val="en-US" w:eastAsia="zh-CN"/>
        </w:rPr>
      </w:r>
      <w:r/>
    </w:p>
    <w:p>
      <w:pPr>
        <w:pStyle w:val="700"/>
        <w:ind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4.6项目场地临近地铁，需考虑项目实施过程中</w:t>
      </w:r>
      <w:r>
        <w:rPr>
          <w:rFonts w:hint="eastAsia" w:ascii="宋体" w:hAnsi="宋体" w:eastAsia="宋体" w:cs="宋体"/>
          <w:i w:val="0"/>
          <w:iCs w:val="0"/>
          <w:color w:val="000000"/>
          <w:sz w:val="24"/>
          <w:szCs w:val="24"/>
          <w:highlight w:val="none"/>
          <w:u w:val="none"/>
          <w:lang w:val="en-US" w:eastAsia="zh-CN" w:bidi="ar"/>
        </w:rPr>
        <w:t xml:space="preserve">涉及开挖和地下水抽出处理，地面沉降对轨交造成的影响，组织专项论证</w:t>
      </w:r>
      <w:r>
        <w:rPr>
          <w:rFonts w:hint="eastAsia" w:ascii="宋体" w:hAnsi="宋体" w:eastAsia="宋体" w:cs="宋体"/>
          <w:color w:val="000000"/>
          <w:sz w:val="24"/>
          <w:szCs w:val="24"/>
          <w:highlight w:val="none"/>
          <w:lang w:val="en-US" w:eastAsia="zh-CN"/>
        </w:rPr>
        <w:t xml:space="preserve">，并与轨道交通公司充分沟通。</w:t>
      </w:r>
      <w:r>
        <w:rPr>
          <w:rFonts w:hint="eastAsia" w:ascii="宋体" w:hAnsi="宋体" w:eastAsia="宋体" w:cs="宋体"/>
          <w:color w:val="000000"/>
          <w:sz w:val="24"/>
          <w:szCs w:val="24"/>
          <w:highlight w:val="none"/>
          <w:lang w:val="en-US" w:eastAsia="zh-CN"/>
        </w:rPr>
      </w:r>
      <w:r/>
    </w:p>
    <w:p>
      <w:pPr>
        <w:pStyle w:val="700"/>
        <w:ind w:firstLine="48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4.7考虑到降水开挖过程中可能造成地下水扰动，造成交叉污染，项目实施前须先对地下水污染区域进行阻隔后，方可展开其他区域的修复。实施前也需开展现场中试，以确定修复技术的具体参数。</w:t>
      </w:r>
      <w:r>
        <w:rPr>
          <w:rFonts w:hint="eastAsia" w:ascii="宋体" w:hAnsi="宋体" w:eastAsia="宋体" w:cs="宋体"/>
          <w:color w:val="000000"/>
          <w:sz w:val="24"/>
          <w:szCs w:val="24"/>
          <w:highlight w:val="none"/>
          <w:lang w:val="en-US" w:eastAsia="zh-CN"/>
        </w:rPr>
      </w:r>
      <w:r/>
    </w:p>
    <w:p>
      <w:pPr>
        <w:pStyle w:val="696"/>
        <w:ind w:firstLine="482"/>
        <w:jc w:val="both"/>
        <w:spacing w:line="360" w:lineRule="auto"/>
        <w:widowControl w:val="off"/>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bidi="zh-TW"/>
        </w:rPr>
        <w:t xml:space="preserve">四</w:t>
      </w:r>
      <w:r>
        <w:rPr>
          <w:rFonts w:hint="eastAsia" w:ascii="宋体" w:hAnsi="宋体" w:eastAsia="宋体" w:cs="宋体"/>
          <w:b/>
          <w:bCs/>
          <w:color w:val="000000"/>
          <w:sz w:val="24"/>
          <w:szCs w:val="24"/>
          <w:highlight w:val="none"/>
          <w:lang w:val="zh-TW" w:eastAsia="zh-TW" w:bidi="zh-TW"/>
        </w:rPr>
        <w:t xml:space="preserve">、综合说明及其它要求：</w:t>
      </w:r>
      <w:r>
        <w:rPr>
          <w:rFonts w:ascii="宋体" w:hAnsi="宋体" w:eastAsia="宋体" w:cs="宋体"/>
          <w:b/>
          <w:bCs/>
          <w:color w:val="000000"/>
          <w:sz w:val="24"/>
          <w:szCs w:val="24"/>
          <w:highlight w:val="none"/>
          <w:lang w:val="zh-TW" w:eastAsia="zh-TW" w:bidi="zh-TW"/>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1、中标人须按照本招标文件的要求对该招标项目进行服务工作。</w:t>
      </w:r>
      <w:r>
        <w:rPr>
          <w:rFonts w:hint="eastAsia" w:ascii="宋体" w:hAnsi="宋体" w:eastAsia="宋体" w:cs="宋体"/>
          <w:color w:val="000000"/>
          <w:sz w:val="24"/>
          <w:szCs w:val="24"/>
          <w:highlight w:val="none"/>
        </w:rPr>
        <w:t xml:space="preserve">必须接受社会监督。</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2、报价要求：投标报价一次报定，包含全部服务所需的人工费、通讯费、交通费、资料费、调查费、报告及编制费（含印刷费）、评审会务费（含专家费）、咨询费、后续服务费、</w:t>
      </w:r>
      <w:r>
        <w:rPr>
          <w:rFonts w:hint="eastAsia" w:ascii="宋体" w:hAnsi="宋体" w:eastAsia="宋体" w:cs="宋体"/>
          <w:color w:val="000000"/>
          <w:highlight w:val="none"/>
          <w:lang w:val="en-US" w:eastAsia="zh-CN"/>
        </w:rPr>
        <w:t xml:space="preserve">维护费、保险费、中标</w:t>
      </w:r>
      <w:r>
        <w:rPr>
          <w:rFonts w:hint="eastAsia" w:ascii="宋体" w:hAnsi="宋体" w:eastAsia="宋体" w:cs="宋体"/>
          <w:color w:val="000000"/>
          <w:highlight w:val="none"/>
        </w:rPr>
        <w:t xml:space="preserve">服务费、利润、税金、政策性文件规定及合同包含的所有风险、责任等完成本项目的各项应有费用。</w:t>
      </w:r>
      <w:r>
        <w:rPr>
          <w:rFonts w:hint="eastAsia" w:ascii="宋体" w:hAnsi="宋体" w:eastAsia="宋体" w:cs="宋体"/>
          <w:color w:val="000000"/>
          <w:sz w:val="24"/>
          <w:szCs w:val="24"/>
          <w:highlight w:val="none"/>
          <w:lang w:bidi="ar"/>
        </w:rPr>
        <w:t xml:space="preserve">投标报价为最终报价，除非因特殊原因并经双方协商同意，投标</w:t>
      </w:r>
      <w:r>
        <w:rPr>
          <w:rFonts w:hint="eastAsia" w:ascii="宋体" w:hAnsi="宋体" w:eastAsia="宋体" w:cs="宋体"/>
          <w:color w:val="000000"/>
          <w:highlight w:val="none"/>
          <w:lang w:bidi="ar"/>
        </w:rPr>
        <w:t xml:space="preserve">单位</w:t>
      </w:r>
      <w:r>
        <w:rPr>
          <w:rFonts w:hint="eastAsia" w:ascii="宋体" w:hAnsi="宋体" w:eastAsia="宋体" w:cs="宋体"/>
          <w:color w:val="000000"/>
          <w:sz w:val="24"/>
          <w:szCs w:val="24"/>
          <w:highlight w:val="none"/>
          <w:lang w:bidi="ar"/>
        </w:rPr>
        <w:t xml:space="preserve">不得再要求追加任何费用。同时，除非合同条款中另有规定，否则，投标报价在合同实施期间不因市场因素、政策规定因素等任何因素变更而变动。</w:t>
      </w:r>
      <w:r>
        <w:rPr>
          <w:rFonts w:hint="eastAsia" w:ascii="宋体" w:hAnsi="宋体" w:eastAsia="宋体" w:cs="宋体"/>
          <w:color w:val="000000"/>
          <w:highlight w:val="none"/>
        </w:rPr>
        <w:t xml:space="preserve">如无特别说明，每个项目只允许有一个报价，任何有选择的报价将不予接受。</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3、投标单位须具备独立完成本项目的能力。因此各投标单位可在投标前自行进行调研，了解项目情况及详细需求，但投标单位不得因此使</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承担有关的责任和蒙受损失。投标单位应承担前期调研的责任和风险。投标单位中标后，不得以不了解项目情况及详细需求为理由而向</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提出任何索赔的要求，对此</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不再承担任何责任。</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4、中标单位要保证最终服务成果的合法性，一切侵权行为带来的损失，均由中标单位承担。</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5、项目实施过程中，中标单位应以优良的服务态度，便利、快捷的方式在接到</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通知后即时响应到达指定现场并负责解决相关问题，保证全程伴随服务。</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6、投标人注意事项：</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 投标单位</w:t>
      </w:r>
      <w:r>
        <w:rPr>
          <w:rFonts w:hint="eastAsia" w:ascii="宋体" w:hAnsi="宋体" w:eastAsia="宋体" w:cs="宋体"/>
          <w:color w:val="000000"/>
          <w:highlight w:val="none"/>
          <w:lang w:bidi="ar"/>
        </w:rPr>
        <w:t xml:space="preserve">提供的投标文件内容须真实、准确、有效、完整，</w:t>
      </w:r>
      <w:r>
        <w:rPr>
          <w:rFonts w:hint="eastAsia" w:ascii="宋体" w:hAnsi="宋体" w:eastAsia="宋体" w:cs="宋体"/>
          <w:color w:val="000000"/>
          <w:highlight w:val="none"/>
        </w:rPr>
        <w:t xml:space="preserve">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任何单位和个人不得挪用或非法侵占、不当使用项目资金，违者依法追究相应责任。中标单位在项目实施过程中应主动接受财政、审计等部门的指导、检查和监督。</w:t>
      </w:r>
      <w:r>
        <w:rPr>
          <w:rFonts w:hint="eastAsia" w:ascii="宋体" w:hAnsi="宋体" w:eastAsia="宋体" w:cs="宋体"/>
          <w:color w:val="000000"/>
          <w:highlight w:val="none"/>
        </w:rPr>
      </w:r>
      <w:r/>
    </w:p>
    <w:p>
      <w:pPr>
        <w:pStyle w:val="91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中标单位因不可抗力因素不能继续履行项目的，应立即向</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提交书面说明及证明资料，由</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审定后报领导小组。中标单位因自身原因未能履约的，应依合同承担相应的违法责任。</w:t>
      </w:r>
      <w:r>
        <w:rPr>
          <w:rFonts w:hint="eastAsia" w:ascii="宋体" w:hAnsi="宋体" w:eastAsia="宋体" w:cs="宋体"/>
          <w:color w:val="000000"/>
          <w:highlight w:val="none"/>
        </w:rPr>
      </w:r>
      <w:r/>
    </w:p>
    <w:p>
      <w:pPr>
        <w:pStyle w:val="696"/>
        <w:ind w:firstLine="48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bCs/>
          <w:color w:val="000000"/>
          <w:sz w:val="24"/>
          <w:szCs w:val="24"/>
          <w:highlight w:val="none"/>
        </w:rPr>
        <w:t xml:space="preserve">若中标的投标单位在服务期间，违反下列规定将被解除服务合同。</w:t>
      </w:r>
      <w:r>
        <w:rPr>
          <w:rFonts w:hint="eastAsia" w:ascii="宋体" w:hAnsi="宋体" w:eastAsia="宋体" w:cs="宋体"/>
          <w:bCs/>
          <w:color w:val="000000"/>
          <w:sz w:val="24"/>
          <w:szCs w:val="24"/>
          <w:highlight w:val="none"/>
        </w:rPr>
      </w:r>
      <w:r/>
    </w:p>
    <w:p>
      <w:pPr>
        <w:pStyle w:val="696"/>
        <w:numPr>
          <w:ilvl w:val="0"/>
          <w:numId w:val="0"/>
        </w:numPr>
        <w:ind w:firstLine="48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、严禁将承包的服务转包他人；</w:t>
      </w:r>
      <w:r>
        <w:rPr>
          <w:rFonts w:hint="eastAsia" w:ascii="宋体" w:hAnsi="宋体" w:eastAsia="宋体" w:cs="宋体"/>
          <w:bCs/>
          <w:color w:val="000000"/>
          <w:sz w:val="24"/>
          <w:szCs w:val="24"/>
          <w:highlight w:val="none"/>
        </w:rPr>
      </w:r>
      <w:r/>
    </w:p>
    <w:p>
      <w:pPr>
        <w:pStyle w:val="696"/>
        <w:numPr>
          <w:ilvl w:val="0"/>
          <w:numId w:val="0"/>
        </w:numPr>
        <w:ind w:firstLine="48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、出现重大问题或重大事故造成严重影响的。</w:t>
      </w:r>
      <w:r>
        <w:rPr>
          <w:rFonts w:hint="eastAsia" w:ascii="宋体" w:hAnsi="宋体" w:eastAsia="宋体" w:cs="宋体"/>
          <w:bCs/>
          <w:color w:val="000000"/>
          <w:sz w:val="24"/>
          <w:szCs w:val="24"/>
          <w:highlight w:val="none"/>
        </w:rPr>
      </w:r>
      <w:r/>
    </w:p>
    <w:p>
      <w:pPr>
        <w:pStyle w:val="91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中标单位被解除服务合同后，招标人重新</w:t>
      </w:r>
      <w:r>
        <w:rPr>
          <w:rFonts w:hint="eastAsia" w:ascii="宋体" w:hAnsi="宋体" w:eastAsia="宋体" w:cs="宋体"/>
          <w:bCs/>
          <w:color w:val="000000"/>
          <w:sz w:val="24"/>
          <w:szCs w:val="24"/>
          <w:highlight w:val="none"/>
          <w:lang w:val="en-US" w:eastAsia="zh-CN"/>
        </w:rPr>
        <w:t xml:space="preserve">组织</w:t>
      </w:r>
      <w:r>
        <w:rPr>
          <w:rFonts w:hint="eastAsia" w:ascii="宋体" w:hAnsi="宋体" w:eastAsia="宋体" w:cs="宋体"/>
          <w:bCs/>
          <w:color w:val="000000"/>
          <w:sz w:val="24"/>
          <w:szCs w:val="24"/>
          <w:highlight w:val="none"/>
        </w:rPr>
        <w:t xml:space="preserve">招标。</w:t>
      </w:r>
      <w:r>
        <w:rPr>
          <w:rFonts w:hint="eastAsia" w:ascii="宋体" w:hAnsi="宋体" w:eastAsia="宋体" w:cs="宋体"/>
          <w:bCs/>
          <w:color w:val="000000"/>
          <w:sz w:val="24"/>
          <w:szCs w:val="24"/>
          <w:highlight w:val="none"/>
        </w:rPr>
      </w:r>
      <w:r/>
    </w:p>
    <w:p>
      <w:pPr>
        <w:pStyle w:val="913"/>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color w:val="000000"/>
          <w:sz w:val="24"/>
          <w:szCs w:val="24"/>
          <w:highlight w:val="none"/>
          <w:lang w:val="zh-CN"/>
        </w:rPr>
        <w:t xml:space="preserve">招标文件附件，投标人应充分研读并充分考虑风险因素，以决定是否投标，一旦投标，须无条件遵守相应要求。</w:t>
      </w:r>
      <w:r>
        <w:rPr>
          <w:rFonts w:hint="eastAsia" w:ascii="宋体" w:hAnsi="宋体" w:eastAsia="宋体" w:cs="宋体"/>
          <w:bCs/>
          <w:color w:val="000000"/>
          <w:sz w:val="24"/>
          <w:szCs w:val="24"/>
          <w:highlight w:val="none"/>
          <w:lang w:val="en-US" w:eastAsia="zh-CN"/>
        </w:rPr>
      </w:r>
      <w:r/>
    </w:p>
    <w:p>
      <w:pPr>
        <w:pStyle w:val="696"/>
        <w:ind w:firstLine="482"/>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五、政府采购政策：</w:t>
      </w:r>
      <w:r>
        <w:rPr>
          <w:rFonts w:hint="eastAsia" w:ascii="宋体" w:hAnsi="宋体" w:eastAsia="宋体" w:cs="宋体"/>
          <w:b/>
          <w:bCs/>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1.小、微企业</w:t>
      </w:r>
      <w:r>
        <w:rPr>
          <w:rFonts w:hint="eastAsia" w:ascii="宋体" w:hAnsi="宋体" w:eastAsia="宋体" w:cs="宋体"/>
          <w:color w:val="000000"/>
          <w:sz w:val="24"/>
          <w:szCs w:val="24"/>
          <w:highlight w:val="none"/>
        </w:rPr>
      </w:r>
      <w:r/>
    </w:p>
    <w:p>
      <w:pPr>
        <w:pStyle w:val="696"/>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96"/>
        <w:ind w:firstLine="480"/>
        <w:spacing w:line="360" w:lineRule="auto"/>
        <w:tabs>
          <w:tab w:val="left" w:pos="420" w:leader="none"/>
          <w:tab w:val="left" w:pos="1260" w:leader="none"/>
          <w:tab w:val="left" w:pos="14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4"/>
          <w:szCs w:val="24"/>
          <w:highlight w:val="none"/>
        </w:rPr>
        <w:t xml:space="preserve">本采购标的对应的中小企业划分标准所属行业为：</w:t>
      </w:r>
      <w:r>
        <w:rPr>
          <w:rFonts w:hint="eastAsia" w:ascii="宋体" w:hAnsi="宋体" w:eastAsia="宋体" w:cs="宋体"/>
          <w:b/>
          <w:color w:val="000000"/>
          <w:sz w:val="24"/>
          <w:szCs w:val="24"/>
          <w:highlight w:val="none"/>
          <w:lang w:eastAsia="zh-CN"/>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w:t>
      </w:r>
      <w:r>
        <w:rPr>
          <w:rFonts w:hint="eastAsia" w:ascii="宋体" w:hAnsi="宋体" w:eastAsia="宋体" w:cs="宋体"/>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w:t>
      </w:r>
      <w:r>
        <w:rPr>
          <w:rFonts w:hint="eastAsia" w:ascii="宋体" w:hAnsi="宋体" w:eastAsia="宋体" w:cs="宋体"/>
          <w:color w:val="000000"/>
          <w:sz w:val="24"/>
          <w:szCs w:val="24"/>
          <w:highlight w:val="none"/>
        </w:rPr>
      </w:r>
      <w:r/>
    </w:p>
    <w:p>
      <w:pPr>
        <w:pStyle w:val="696"/>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96"/>
        <w:ind w:firstLine="48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4.绿色采购</w:t>
      </w:r>
      <w:r>
        <w:rPr>
          <w:rFonts w:hint="eastAsia" w:ascii="宋体" w:hAnsi="宋体" w:eastAsia="宋体" w:cs="宋体"/>
          <w:color w:val="000000"/>
          <w:sz w:val="24"/>
          <w:szCs w:val="24"/>
          <w:highlight w:val="none"/>
        </w:rPr>
      </w:r>
      <w:r/>
    </w:p>
    <w:p>
      <w:pPr>
        <w:pStyle w:val="696"/>
        <w:ind w:firstLine="48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rPr>
      </w:r>
      <w:r/>
    </w:p>
    <w:p>
      <w:pPr>
        <w:pStyle w:val="696"/>
        <w:ind w:firstLine="420"/>
        <w:spacing w:line="360" w:lineRule="auto"/>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bidi="zh-TW"/>
        </w:rPr>
        <w:t xml:space="preserve">六、</w:t>
      </w:r>
      <w:r>
        <w:rPr>
          <w:rFonts w:hint="eastAsia" w:ascii="宋体" w:hAnsi="宋体" w:eastAsia="宋体" w:cs="宋体"/>
          <w:b/>
          <w:bCs/>
          <w:color w:val="000000"/>
          <w:sz w:val="24"/>
          <w:szCs w:val="24"/>
          <w:highlight w:val="none"/>
          <w:lang w:val="zh-TW" w:eastAsia="zh-TW" w:bidi="zh-TW"/>
        </w:rPr>
        <w:t xml:space="preserve">凡涉及</w:t>
      </w:r>
      <w:r>
        <w:rPr>
          <w:rFonts w:hint="eastAsia" w:ascii="宋体" w:hAnsi="宋体" w:eastAsia="宋体" w:cs="宋体"/>
          <w:b/>
          <w:bCs/>
          <w:color w:val="000000"/>
          <w:sz w:val="24"/>
          <w:szCs w:val="24"/>
          <w:highlight w:val="none"/>
          <w:lang w:val="zh-TW" w:bidi="zh-TW"/>
        </w:rPr>
        <w:t xml:space="preserve">招标文件</w:t>
      </w:r>
      <w:r>
        <w:rPr>
          <w:rFonts w:hint="eastAsia" w:ascii="宋体" w:hAnsi="宋体" w:eastAsia="宋体" w:cs="宋体"/>
          <w:b/>
          <w:bCs/>
          <w:color w:val="000000"/>
          <w:sz w:val="24"/>
          <w:szCs w:val="24"/>
          <w:highlight w:val="none"/>
          <w:lang w:val="zh-TW" w:eastAsia="zh-TW" w:bidi="zh-TW"/>
        </w:rPr>
        <w:t xml:space="preserve">的补充说明和修改，均以政府采购网发布的内容为准。</w:t>
      </w:r>
      <w:r>
        <w:rPr>
          <w:rFonts w:ascii="宋体" w:hAnsi="宋体" w:eastAsia="宋体" w:cs="宋体"/>
          <w:b/>
          <w:bCs/>
          <w:color w:val="000000"/>
          <w:sz w:val="24"/>
          <w:szCs w:val="24"/>
          <w:highlight w:val="none"/>
          <w:lang w:val="zh-TW" w:eastAsia="zh-TW" w:bidi="zh-TW"/>
        </w:rPr>
      </w:r>
      <w:r/>
    </w:p>
    <w:p>
      <w:pPr>
        <w:pStyle w:val="696"/>
        <w:ind w:firstLine="64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96"/>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第五章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合同主要条款</w:t>
      </w:r>
      <w:r>
        <w:rPr>
          <w:rFonts w:ascii="宋体" w:hAnsi="宋体" w:eastAsia="宋体" w:cs="黑体"/>
          <w:b/>
          <w:bCs/>
          <w:color w:val="000000"/>
          <w:sz w:val="32"/>
          <w:szCs w:val="32"/>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甲方（需方）：苏州浒墅关经济技术开发区管理委员会</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联系地址：苏州市高新区大同路19号 </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联系电话：0512-68016113</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代建方：苏州高新工程建设管理有限公司</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联系电话：0512-68558412</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联系地址：苏州市高新区马涧路2000号</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乙方（供方）：</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号政府采购</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文件及中标单位的投标文件和中标通知书，甲乙双方就此次中标的标的物的购销事宜，签订本合同书。</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一、下列文件为本合同不可分割部分</w:t>
      </w:r>
      <w:r>
        <w:rPr>
          <w:rFonts w:hint="eastAsia" w:ascii="宋体" w:hAnsi="宋体" w:eastAsia="宋体" w:cs="宋体"/>
          <w:color w:val="000000"/>
          <w:sz w:val="24"/>
          <w:szCs w:val="24"/>
          <w:highlight w:val="none"/>
          <w:lang w:val="zh-CN"/>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中标通知书；</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乙方的投标文件；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 乙方在招投标过程中所作的其它承诺、声明、书面澄清等；</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 招标文件及其附件；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 合同附件。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以上与本合同具有同等法律效力。</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二、合同的标的物</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甲方向乙方采购内容要求如下：</w:t>
      </w:r>
      <w:r>
        <w:rPr>
          <w:rFonts w:hint="eastAsia" w:ascii="宋体" w:hAnsi="宋体" w:eastAsia="宋体" w:cs="宋体"/>
          <w:color w:val="000000"/>
          <w:sz w:val="24"/>
          <w:szCs w:val="24"/>
          <w:highlight w:val="none"/>
          <w:u w:val="single"/>
        </w:rPr>
        <w:t xml:space="preserve">榆荫路东南、水城路西北地块</w:t>
      </w:r>
      <w:r>
        <w:rPr>
          <w:rFonts w:hint="eastAsia" w:ascii="宋体" w:hAnsi="宋体" w:eastAsia="宋体" w:cs="宋体"/>
          <w:color w:val="000000"/>
          <w:sz w:val="24"/>
          <w:szCs w:val="24"/>
          <w:highlight w:val="none"/>
          <w:u w:val="single"/>
          <w:lang w:eastAsia="zh-CN"/>
        </w:rPr>
        <w:t xml:space="preserve">（含苏州嘉丰肥业有限责任公司地块）</w:t>
      </w:r>
      <w:r>
        <w:rPr>
          <w:rFonts w:hint="eastAsia" w:ascii="宋体" w:hAnsi="宋体" w:eastAsia="宋体" w:cs="宋体"/>
          <w:color w:val="000000"/>
          <w:sz w:val="24"/>
          <w:szCs w:val="24"/>
          <w:highlight w:val="none"/>
          <w:u w:val="single"/>
        </w:rPr>
        <w:t xml:space="preserve">生态环境治理项目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、合同价格与支付</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本合同总金额为人民币大写_________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,该合同价包含了为完成</w:t>
      </w:r>
      <w:r>
        <w:rPr>
          <w:rFonts w:hint="eastAsia" w:ascii="宋体" w:hAnsi="宋体" w:eastAsia="宋体" w:cs="宋体"/>
          <w:color w:val="000000"/>
          <w:sz w:val="24"/>
          <w:szCs w:val="24"/>
          <w:highlight w:val="none"/>
          <w:u w:val="single"/>
        </w:rPr>
        <w:t xml:space="preserve">榆荫路东南、水城路西北地块</w:t>
      </w:r>
      <w:r>
        <w:rPr>
          <w:rFonts w:hint="eastAsia" w:ascii="宋体" w:hAnsi="宋体" w:eastAsia="宋体" w:cs="宋体"/>
          <w:color w:val="000000"/>
          <w:sz w:val="24"/>
          <w:szCs w:val="24"/>
          <w:highlight w:val="none"/>
          <w:u w:val="single"/>
          <w:lang w:eastAsia="zh-CN"/>
        </w:rPr>
        <w:t xml:space="preserve">（含苏州嘉丰肥业有限责任公司地块）</w:t>
      </w:r>
      <w:r>
        <w:rPr>
          <w:rFonts w:hint="eastAsia" w:ascii="宋体" w:hAnsi="宋体" w:eastAsia="宋体" w:cs="宋体"/>
          <w:color w:val="000000"/>
          <w:sz w:val="24"/>
          <w:szCs w:val="24"/>
          <w:highlight w:val="none"/>
          <w:u w:val="single"/>
        </w:rPr>
        <w:t xml:space="preserve">生态环境治理项目</w:t>
      </w:r>
      <w:r>
        <w:rPr>
          <w:rFonts w:hint="eastAsia" w:ascii="宋体" w:hAnsi="宋体" w:eastAsia="宋体" w:cs="宋体"/>
          <w:color w:val="000000"/>
          <w:sz w:val="24"/>
          <w:szCs w:val="24"/>
          <w:highlight w:val="none"/>
        </w:rPr>
        <w:t xml:space="preserve">全过程所可能发生的所有费用（包括风险费）。最终结算中标单价不变，量按实结算。</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.2在政府采购合同履行中，采购人需追加与合同标的相同服务的，在不改变合同其他条款的前提下，可以与供应商协商签订补充合同，但所有补充合同的采购金额不得超过原合同采购金额的百分之十。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实质性响应条款：</w:t>
      </w:r>
      <w:r>
        <w:rPr>
          <w:rFonts w:hint="eastAsia" w:ascii="宋体" w:hAnsi="宋体" w:eastAsia="宋体" w:cs="宋体"/>
          <w:color w:val="000000"/>
          <w:sz w:val="24"/>
          <w:szCs w:val="24"/>
          <w:highlight w:val="none"/>
        </w:rPr>
      </w:r>
      <w:r/>
    </w:p>
    <w:p>
      <w:pPr>
        <w:pStyle w:val="944"/>
        <w:numPr>
          <w:ilvl w:val="0"/>
          <w:numId w:val="0"/>
        </w:numPr>
        <w:ind w:firstLine="480"/>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追加费用不得超过原合同金额的10%。</w:t>
      </w:r>
      <w:r>
        <w:rPr>
          <w:rFonts w:hint="eastAsia" w:ascii="宋体" w:hAnsi="宋体" w:eastAsia="宋体" w:cs="宋体"/>
          <w:color w:val="000000"/>
          <w:sz w:val="24"/>
          <w:szCs w:val="24"/>
          <w:highlight w:val="none"/>
        </w:rPr>
      </w:r>
      <w:r/>
    </w:p>
    <w:p>
      <w:pPr>
        <w:pStyle w:val="944"/>
        <w:numPr>
          <w:ilvl w:val="0"/>
          <w:numId w:val="0"/>
        </w:numPr>
        <w:ind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（2）原合同金额10%以内的追加费用，限于原合同内清单数量调整增加的费用，原合同外内容不得计入。</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.3付款方式</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本合同签订后，甲方向乙方预付合同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款项，污染土壤挖掘、运输完成且自评估具备验收条件、材料齐全，经甲方确认后，甲方向乙方支付合同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0%款项；污染土壤处置完成，由处置单位出具有效接收、处置证明，经甲方确认后，甲方向乙方支付合同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0%款项；</w:t>
      </w:r>
      <w:r>
        <w:rPr>
          <w:rFonts w:hint="eastAsia" w:ascii="宋体" w:hAnsi="宋体" w:eastAsia="宋体" w:cs="宋体"/>
          <w:color w:val="000000"/>
          <w:sz w:val="24"/>
          <w:szCs w:val="24"/>
          <w:highlight w:val="none"/>
          <w:lang w:val="en-US" w:eastAsia="zh-CN"/>
        </w:rPr>
        <w:t xml:space="preserve">地下水修复完成达标初判（提供检测报告），经甲方确认后，甲方向乙方支付</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价款的10%；</w:t>
      </w:r>
      <w:r>
        <w:rPr>
          <w:rFonts w:hint="eastAsia" w:ascii="宋体" w:hAnsi="宋体" w:eastAsia="宋体" w:cs="宋体"/>
          <w:color w:val="000000"/>
          <w:sz w:val="24"/>
          <w:szCs w:val="24"/>
          <w:highlight w:val="none"/>
        </w:rPr>
        <w:t xml:space="preserve">项目通过苏州市生态环境局和苏州市自然资源和规划局组织的效果评估验收后，支付至合同价款的8</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项目通过</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生态环境</w:t>
      </w:r>
      <w:r>
        <w:rPr>
          <w:rFonts w:hint="eastAsia" w:ascii="宋体" w:hAnsi="宋体" w:eastAsia="宋体" w:cs="宋体"/>
          <w:color w:val="000000"/>
          <w:sz w:val="24"/>
          <w:szCs w:val="24"/>
          <w:highlight w:val="none"/>
          <w:lang w:val="en-US" w:eastAsia="zh-CN"/>
        </w:rPr>
        <w:t xml:space="preserve">厅和自然资源厅</w:t>
      </w:r>
      <w:r>
        <w:rPr>
          <w:rFonts w:hint="eastAsia" w:ascii="宋体" w:hAnsi="宋体" w:eastAsia="宋体" w:cs="宋体"/>
          <w:color w:val="000000"/>
          <w:sz w:val="24"/>
          <w:szCs w:val="24"/>
          <w:highlight w:val="none"/>
        </w:rPr>
        <w:t xml:space="preserve">组织的效果评估评审，并完成项目审计后，支付至审计金额的95%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余款审计满一年后付清。</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付款时，其余未列明材料按甲方要求提供。</w:t>
      </w:r>
      <w:r>
        <w:rPr>
          <w:rFonts w:hint="eastAsia" w:ascii="宋体" w:hAnsi="宋体" w:eastAsia="宋体" w:cs="宋体"/>
          <w:color w:val="000000"/>
          <w:sz w:val="24"/>
          <w:szCs w:val="24"/>
          <w:highlight w:val="none"/>
          <w:lang w:val="en-US" w:eastAsia="zh-CN"/>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甲方每次付款时，乙方应根据甲方确认的付款金额出具等额发票。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支付方式：银行汇票或转账支票。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.1项目治理总服务期为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日历天（从签订合同</w:t>
      </w:r>
      <w:r>
        <w:rPr>
          <w:rFonts w:hint="eastAsia" w:ascii="宋体" w:hAnsi="宋体" w:eastAsia="宋体" w:cs="宋体"/>
          <w:color w:val="000000"/>
          <w:sz w:val="24"/>
          <w:highlight w:val="none"/>
          <w:lang w:val="zh-CN"/>
        </w:rPr>
        <w:t xml:space="preserve">开始至项目完成并通过</w:t>
      </w:r>
      <w:r>
        <w:rPr>
          <w:rFonts w:hint="eastAsia" w:ascii="宋体" w:hAnsi="宋体" w:eastAsia="宋体" w:cs="宋体"/>
          <w:color w:val="000000"/>
          <w:sz w:val="24"/>
          <w:highlight w:val="none"/>
          <w:lang w:val="en-US" w:eastAsia="zh-CN"/>
        </w:rPr>
        <w:t xml:space="preserve">江苏省生态环境厅和江苏省自然资源厅</w:t>
      </w:r>
      <w:r>
        <w:rPr>
          <w:rFonts w:hint="eastAsia" w:ascii="宋体" w:hAnsi="宋体" w:eastAsia="宋体" w:cs="宋体"/>
          <w:color w:val="000000"/>
          <w:sz w:val="24"/>
          <w:highlight w:val="none"/>
          <w:lang w:val="zh-CN"/>
        </w:rPr>
        <w:t xml:space="preserve">组织的效果评估为止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.2因甲方原因未按计划开工日期开工的，甲方应按实际开工日期顺延竣工日期。因甲方原因或不可抗力等导致工期延误需要修订</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进度计划的，甲方应给予乙方修改</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进度计划的时间。</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苏州高新区浒墅关经开区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4"/>
        <w:ind w:firstLine="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、现场其他管理人员</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.1监理单位委派的工程师（若有）</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监理  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rPr>
        <w:t xml:space="preserve">环境监理  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a.监理工程师的职责：详见甲方与监理单位签订的工程监理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环境监理</w:t>
      </w:r>
      <w:r>
        <w:rPr>
          <w:rFonts w:hint="eastAsia" w:ascii="宋体" w:hAnsi="宋体" w:eastAsia="宋体" w:cs="宋体"/>
          <w:color w:val="000000"/>
          <w:sz w:val="24"/>
          <w:szCs w:val="24"/>
          <w:highlight w:val="none"/>
        </w:rPr>
        <w:t xml:space="preserve">委托合同。</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b.监理工程师需要取得甲方批准才能行使的职权：涉及设计变更、工期顺延、材料价格、停/复工令、项目索赔等可能影响项目价款或工期的签证需经甲方签证同意后，签证才有效。</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.2乙方符合招标要求的项目经理及其负责人</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.2.1乙方任命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为项目总负责人，任命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为</w:t>
      </w:r>
      <w:r>
        <w:rPr>
          <w:rFonts w:hint="eastAsia" w:hAnsi="宋体" w:eastAsia="宋体" w:cs="宋体"/>
          <w:color w:val="000000"/>
          <w:sz w:val="24"/>
          <w:szCs w:val="24"/>
          <w:highlight w:val="none"/>
          <w:lang w:val="en-US" w:eastAsia="zh-CN"/>
        </w:rPr>
        <w:t xml:space="preserve">技术负责人</w:t>
      </w:r>
      <w:r>
        <w:rPr>
          <w:rFonts w:hint="eastAsia" w:ascii="宋体" w:hAnsi="宋体" w:eastAsia="宋体" w:cs="宋体"/>
          <w:color w:val="000000"/>
          <w:sz w:val="24"/>
          <w:szCs w:val="24"/>
          <w:highlight w:val="none"/>
        </w:rPr>
        <w:t xml:space="preserve">，任命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w:t>
      </w:r>
      <w:r>
        <w:rPr>
          <w:rFonts w:hint="eastAsia"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现场负责人，任命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w:t>
      </w:r>
      <w:r>
        <w:rPr>
          <w:rFonts w:hint="eastAsia"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负责人。未经甲方同意，乙方不得擅自更换上述人员，乙方擅自更换的，除按合同要求派驻人员外，每变更一人次还需按合同总价的1‰-5‰向甲方支付违约金。如确需变更人员的，乙方需提出书面申请，经甲方同意后变更。</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.2.2乙方派驻施工现场人员有下列情形之一的，甲方有权提出更换，乙方须在甲方提出要求后24小时内用资格和经验可为甲方接受的人员代替，由此发生的一切费用由乙方承担：</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a.现场人员不胜任岗位的；</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b.不能积极配合监理人员及甲方的；</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c.违反甲方工地现场管理规定的；</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d.无证上岗的（适用于按规定必须有上岗证）；</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e.与本合同规定人员名称不符的；</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f.与本项目施工无关的人员；</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g.非乙方在职职工的（合同签订后应提供派驻施工现场人员与乙方单位签订的劳动合同和社保证明复印件）</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.2.3乙方驻现场负责人到岗率须达到80%以上，项目经理、技术负责人、安全专职人员等到岗率须达到70%以上。</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.2.4现场负责人、技术负责人必须参加每次项目例会，因故不能到工地或不能参加例会，应提前24小时向甲方请假并在获得批准后方可缺席。 </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.2.5乙方委派的上述人员均为乙方代表，按以下要求行使合同约定的权力，履行合同约定的职责：</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a．按经批准的处置技术方案、进度计划组织项目施工，对项目质量、安全、进度负责；</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b．乙方的要求、请求和通知，以书面形式由项目经理或驻施工现场代表签字后送交甲方代表，甲方在回执上签署姓名和收到时间。</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.2.6联系单、通知等签收代表</w:t>
      </w:r>
      <w:r>
        <w:rPr>
          <w:rFonts w:hint="eastAsia" w:ascii="宋体" w:hAnsi="宋体" w:eastAsia="宋体" w:cs="宋体"/>
          <w:color w:val="000000"/>
          <w:sz w:val="24"/>
          <w:szCs w:val="24"/>
          <w:highlight w:val="none"/>
        </w:rPr>
      </w:r>
      <w:r/>
    </w:p>
    <w:p>
      <w:pPr>
        <w:pStyle w:val="7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作为本项目中联系单、通知等材料的签收代表，未经甲方同意的，乙方不得变更。如确需变更的，乙方需提出书面申请，经甲方同意后才能变更。</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甲方工作</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甲方应按约定的时间和要求完成以下工作：</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甲方负责召集相关单位，协调清运现场相关单位的接水、接电、市政排水等事项。帮助乙方协调周边单位及居民关系，联系对接轨道交通监管部门。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.2甲方按合同约定支付乙方费用。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.3负责验收工作，审核乙方申报的本项目检测单位，及时与上级管理部门、审批部门沟通协调。</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.4如实施中涉及到</w:t>
      </w:r>
      <w:r>
        <w:rPr>
          <w:rFonts w:hint="eastAsia" w:ascii="宋体" w:hAnsi="宋体" w:eastAsia="宋体" w:cs="宋体"/>
          <w:color w:val="000000"/>
          <w:sz w:val="24"/>
          <w:szCs w:val="24"/>
          <w:highlight w:val="none"/>
          <w:lang w:val="en-US" w:eastAsia="zh-CN"/>
        </w:rPr>
        <w:t xml:space="preserve">临时用地办理、污水接管排放手续办理、土方运输车辆手续报备、</w:t>
      </w:r>
      <w:r>
        <w:rPr>
          <w:rFonts w:hint="eastAsia" w:ascii="宋体" w:hAnsi="宋体" w:eastAsia="宋体" w:cs="宋体"/>
          <w:color w:val="000000"/>
          <w:sz w:val="24"/>
          <w:szCs w:val="24"/>
          <w:highlight w:val="none"/>
        </w:rPr>
        <w:t xml:space="preserve">地下管线等障碍物，</w:t>
      </w:r>
      <w:r>
        <w:rPr>
          <w:rFonts w:hint="eastAsia" w:ascii="宋体" w:hAnsi="宋体" w:eastAsia="宋体" w:cs="宋体"/>
          <w:color w:val="000000"/>
          <w:sz w:val="24"/>
          <w:szCs w:val="24"/>
          <w:highlight w:val="none"/>
          <w:lang w:val="en-US" w:eastAsia="zh-CN"/>
        </w:rPr>
        <w:t xml:space="preserve">协调</w:t>
      </w:r>
      <w:r>
        <w:rPr>
          <w:rFonts w:hint="eastAsia" w:ascii="宋体" w:hAnsi="宋体" w:eastAsia="宋体" w:cs="宋体"/>
          <w:color w:val="000000"/>
          <w:sz w:val="24"/>
          <w:szCs w:val="24"/>
          <w:highlight w:val="none"/>
        </w:rPr>
        <w:t xml:space="preserve">到有关部门办理相关审批手续。</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.5负责办理现场技术变更及超出评估报告的</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量确认。</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、乙方工作</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.1严格按投标文件技术方案及相关管理部门要求开展</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.2乙方使用车辆装运污染土壤必须密闭装运，且沿途不得有洒落滴漏，杜绝二次污染。所有运输车辆需安装监控及GPS定位系统，双方随时可监控运输车辆的行驶路线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运输前所有运输车辆需至所在地综合行政执法部门办理车辆及运输线路报备手续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.3乙方深化的</w:t>
      </w:r>
      <w:r>
        <w:rPr>
          <w:rFonts w:hint="eastAsia" w:ascii="宋体" w:hAnsi="宋体" w:eastAsia="宋体" w:cs="宋体"/>
          <w:strike w:val="0"/>
          <w:color w:val="000000"/>
          <w:sz w:val="24"/>
          <w:szCs w:val="24"/>
          <w:highlight w:val="none"/>
        </w:rPr>
        <w:t xml:space="preserve">施工</w:t>
      </w:r>
      <w:r>
        <w:rPr>
          <w:rFonts w:hint="eastAsia" w:ascii="宋体" w:hAnsi="宋体" w:eastAsia="宋体" w:cs="宋体"/>
          <w:strike w:val="0"/>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设计方案，通过专家论证，并报环境监理同意后，方可</w:t>
      </w:r>
      <w:r>
        <w:rPr>
          <w:rFonts w:hint="eastAsia" w:ascii="宋体" w:hAnsi="宋体" w:eastAsia="宋体" w:cs="宋体"/>
          <w:color w:val="000000"/>
          <w:sz w:val="24"/>
          <w:szCs w:val="24"/>
          <w:highlight w:val="none"/>
          <w:lang w:val="en-US" w:eastAsia="zh-CN"/>
        </w:rPr>
        <w:t xml:space="preserve">进行服务工作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乙方应具备应付各类运输过程中突发情况的能力，建立各类应急预案，确保污染土壤能及时高效的处理。在处置企业出现处置能力下降时，乙方应采取有效措施，不得影响甲方污染土壤的清运处置。乙方采取各类应急预案所产生的费用由乙方承担。</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.5项目部管理人员须参加各类施工协调、配合会，服从甲方及监理人（如有）现场总协调做出的决定。</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.6乙方治理项目范围内的施工现场安全保卫工作由乙方负责，对已完项目被毁损，或滞留的家具、陈设等被盗或毁损的，由乙方承担责任。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.7乙方承包的项目完工交付甲方之前，乙方应做好已完项目保护工作，甲方对已完项目保护有特殊要求的，应按甲方要求采取相应保护措施。</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.8乙方没有按合同要求完成工作，造成</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延误的，责任由乙方负责。</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.9乙方负责污染土壤开挖现场、转运途中及处置场地的施工组织，安全防护和应急措施，严格遵守相关安全管理规定，落实安全措施，防止造成二次污染和扰民事件的发生。</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.10乙方应制定污染土壤运输专项措施，满足污染土壤运输要求。</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.11乙方负责协调相关管理部门对本项目实施的监督管理，完成本项目验收。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.12乙方负责处理污染土壤的清挖、预处理、外运、存放及异位处置过程中引起的外部因素干扰影响等，并自行承担因此产生的一切费用。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8.13基于现有水文地质资料，地下水修复区水文地质参数存在一定不确定性，乙方在现场施工前应进一步通过现场勘察确定地下水修复区水文地质条件，包括含水岩组类型、结构、空间延展形态，地下水的补径排条件等，以及抽出工程设计所需的水文地质参数包括地下水水位埋深、地下水流速、渗透系数、给水度、有效孔隙度、水力梯度等。</w:t>
      </w:r>
      <w:r>
        <w:rPr>
          <w:rFonts w:hint="eastAsia" w:ascii="宋体" w:hAnsi="宋体" w:eastAsia="宋体" w:cs="宋体"/>
          <w:color w:val="000000"/>
          <w:sz w:val="24"/>
          <w:szCs w:val="24"/>
          <w:highlight w:val="none"/>
          <w:lang w:val="en-US" w:eastAsia="zh-CN"/>
        </w:rPr>
      </w:r>
      <w:r/>
    </w:p>
    <w:p>
      <w:pPr>
        <w:pStyle w:val="9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8.14考虑到降水开挖过程中可能造成地下水扰动，造成交叉污染，项目实施前乙方需先对地下水污染区域进行阻隔后，方可展开其他区域的修复。实施前也需开展现场中试，以确定修复技术的具体参数。</w:t>
      </w:r>
      <w:r>
        <w:rPr>
          <w:rFonts w:hint="eastAsia" w:ascii="宋体" w:hAnsi="宋体" w:eastAsia="宋体" w:cs="宋体"/>
          <w:color w:val="000000"/>
          <w:sz w:val="24"/>
          <w:szCs w:val="24"/>
          <w:highlight w:val="none"/>
          <w:lang w:val="en-US" w:eastAsia="zh-CN"/>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自检合格的基础上，及时提出验收申请，申报的检测单位（必须具备检测资质）必须经甲方认可，若甲方不满意乙方申报的检测单位，甲方有权指定检测单位，乙方必须配合其开展检测工作，检测费用不得调整。</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指定的处置企业一旦出现不能接收乙方负责清运的污染土壤时，乙方应提前15天告知甲方，经甲方同意，方可运送至考察核实过的另一个处置企业进行规范处理。</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乙方应对本项目的安全负全责。</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禁止乙方在服务期限内向相关企业以各种理由乱收费用的，发现一次罚款10万元，发现二次的罚款20万元且甲方有权立即终止合同。</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、项目质量</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.1项目实施后，挖掘区域的土壤质量</w:t>
      </w:r>
      <w:r>
        <w:rPr>
          <w:rFonts w:hint="eastAsia" w:ascii="宋体" w:hAnsi="宋体" w:eastAsia="宋体" w:cs="宋体"/>
          <w:color w:val="000000"/>
          <w:sz w:val="24"/>
          <w:szCs w:val="24"/>
          <w:highlight w:val="none"/>
          <w:lang w:val="en-US" w:eastAsia="zh-CN"/>
        </w:rPr>
        <w:t xml:space="preserve">和地下水质量</w:t>
      </w:r>
      <w:r>
        <w:rPr>
          <w:rFonts w:hint="eastAsia" w:ascii="宋体" w:hAnsi="宋体" w:eastAsia="宋体" w:cs="宋体"/>
          <w:color w:val="000000"/>
          <w:sz w:val="24"/>
          <w:szCs w:val="24"/>
          <w:highlight w:val="none"/>
        </w:rPr>
        <w:t xml:space="preserve">标准符合技术规范要求。</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双方对项目质量有争议的，由双方同意的检测机构鉴定，所需费用及因此造成的损失，由责任方承担，双方都有责任由双方根据责任分别承担。双方对项目质量有争议，选择检测机构达不成一致意见的，甲方有单方选择检测机构的权利，检测结果对乙方有约束力。</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隐蔽工程验收前，承包人必须提交隐蔽工程验收的必要资料，经监理方、承包方共同现场验收后填写。对需验收而未验收就进入下一道工序的，承包方每次需向发包方支付违约金壹万元，且甲方有权要求乙方重新开挖检验，因此产生的费用由乙方承担。</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.1乙方由于违反安全操作规范，被政府有关部门处罚，如通报批评、警告和罚款等，乙方承担一切责任。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期间发生安全事故，导致人员伤亡或财产损失的，乙方承担一切责任。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.3乙方必须严格做好对周边环境的保护工作，设计方案中必须对环境保护提出要求及标准。</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十一</w:t>
      </w:r>
      <w:r>
        <w:rPr>
          <w:rFonts w:hint="eastAsia" w:ascii="宋体" w:hAnsi="宋体" w:eastAsia="宋体" w:cs="宋体"/>
          <w:color w:val="000000"/>
          <w:sz w:val="24"/>
          <w:szCs w:val="24"/>
          <w:highlight w:val="none"/>
        </w:rPr>
        <w:t xml:space="preserve">、治理场地验收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.1治理场地现场项目验收前</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乙方须将本项目范围内所有设施设备、设备基础、临时用房、硬化地坪、建筑垃圾、剩余建筑材料等全部拆除、清理出场，并撤出所有施工人员，费用由乙方自行承担，如乙方未在上述期限内及时清理的，甲方有权代为拆除、清理，所产生的费用及造成的损失由乙方承担。</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.2乙方完成承包范围内的全部项目后，</w:t>
      </w:r>
      <w:r>
        <w:rPr>
          <w:rFonts w:hint="eastAsia" w:ascii="宋体" w:hAnsi="宋体" w:eastAsia="宋体" w:cs="宋体"/>
          <w:color w:val="000000"/>
          <w:sz w:val="24"/>
          <w:szCs w:val="24"/>
          <w:highlight w:val="none"/>
        </w:rPr>
        <w:t xml:space="preserve">向甲方提交项目效果评估</w:t>
      </w:r>
      <w:r>
        <w:rPr>
          <w:rFonts w:hint="eastAsia" w:ascii="宋体" w:hAnsi="宋体" w:eastAsia="宋体" w:cs="宋体"/>
          <w:color w:val="000000"/>
          <w:sz w:val="24"/>
          <w:szCs w:val="24"/>
          <w:highlight w:val="none"/>
          <w:lang w:val="en-US" w:eastAsia="zh-CN"/>
        </w:rPr>
        <w:t xml:space="preserve">相关资料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同时根据国家与省、市相关效果评估管理规定及备案要求，配合甲方向苏州市、苏州高新区生态环境主管部门提交完整的效果评估验收资料，由市级生态环境和资规部门组织进行验收。</w:t>
      </w:r>
      <w:r>
        <w:rPr>
          <w:rFonts w:hint="eastAsia" w:ascii="宋体" w:hAnsi="宋体" w:eastAsia="宋体" w:cs="宋体"/>
          <w:color w:val="000000"/>
          <w:sz w:val="24"/>
          <w:szCs w:val="24"/>
          <w:highlight w:val="none"/>
          <w:lang w:val="en-US" w:eastAsia="zh-CN"/>
        </w:rPr>
        <w:t xml:space="preserve">通过市级主管部门效果评估验收后，乙方要继续配合</w:t>
      </w:r>
      <w:r>
        <w:rPr>
          <w:rFonts w:hint="eastAsia" w:ascii="宋体" w:hAnsi="宋体" w:eastAsia="宋体" w:cs="宋体"/>
          <w:color w:val="000000"/>
          <w:sz w:val="24"/>
          <w:szCs w:val="24"/>
          <w:highlight w:val="none"/>
        </w:rPr>
        <w:t xml:space="preserve">甲方向</w:t>
      </w:r>
      <w:r>
        <w:rPr>
          <w:rFonts w:hint="eastAsia" w:ascii="宋体" w:hAnsi="宋体" w:eastAsia="宋体" w:cs="宋体"/>
          <w:color w:val="000000"/>
          <w:sz w:val="24"/>
          <w:szCs w:val="24"/>
          <w:highlight w:val="none"/>
          <w:lang w:val="en-US" w:eastAsia="zh-CN"/>
        </w:rPr>
        <w:t xml:space="preserve">省</w:t>
      </w:r>
      <w:r>
        <w:rPr>
          <w:rFonts w:hint="eastAsia" w:ascii="宋体" w:hAnsi="宋体" w:eastAsia="宋体" w:cs="宋体"/>
          <w:color w:val="000000"/>
          <w:sz w:val="24"/>
          <w:szCs w:val="24"/>
          <w:highlight w:val="none"/>
        </w:rPr>
        <w:t xml:space="preserve">生态环境和资规部门提交完整的效果评估验收资料，由</w:t>
      </w:r>
      <w:r>
        <w:rPr>
          <w:rFonts w:hint="eastAsia" w:ascii="宋体" w:hAnsi="宋体" w:eastAsia="宋体" w:cs="宋体"/>
          <w:color w:val="000000"/>
          <w:sz w:val="24"/>
          <w:szCs w:val="24"/>
          <w:highlight w:val="none"/>
          <w:lang w:val="en-US" w:eastAsia="zh-CN"/>
        </w:rPr>
        <w:t xml:space="preserve">省</w:t>
      </w:r>
      <w:r>
        <w:rPr>
          <w:rFonts w:hint="eastAsia" w:ascii="宋体" w:hAnsi="宋体" w:eastAsia="宋体" w:cs="宋体"/>
          <w:color w:val="000000"/>
          <w:sz w:val="24"/>
          <w:szCs w:val="24"/>
          <w:highlight w:val="none"/>
        </w:rPr>
        <w:t xml:space="preserve">级生态环境和资规部门组织进行验收。</w:t>
      </w:r>
      <w:r>
        <w:rPr>
          <w:rFonts w:hint="eastAsia" w:ascii="宋体" w:hAnsi="宋体" w:eastAsia="宋体" w:cs="宋体"/>
          <w:color w:val="000000"/>
          <w:sz w:val="24"/>
          <w:szCs w:val="24"/>
          <w:highlight w:val="none"/>
          <w:lang w:val="en-US" w:eastAsia="zh-CN"/>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甲方收到乙方提交的效果评估相关资料后，认为项目（包括项目节点）尚不具备竣工验收条件或乙方提交的验收资料不完整的，有权不提交验收申请，直至项目符合效果评估验收条件或验收资料完整。若项目效果评估验收时，验收资料尚不完整，或不完全符合主管部门要求的，项目验收通过后，乙方仍应按要求提交完整的符合要求的全套资料。</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.4项目效果评估验收通过的，以实际通过验收之日为项目实际竣工日期，项目经整改后验收通过的，以整改后通过验收之日为项目实际竣工日期。</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.5项目验收通过后</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日内，乙方须向甲方移交全部项目，逾期移交的，每逾期一日，按合同总价的</w:t>
      </w:r>
      <w:r>
        <w:rPr>
          <w:rFonts w:hint="eastAsia" w:ascii="宋体" w:hAnsi="宋体" w:eastAsia="宋体" w:cs="宋体"/>
          <w:color w:val="000000"/>
          <w:sz w:val="24"/>
          <w:szCs w:val="24"/>
          <w:highlight w:val="none"/>
          <w:u w:val="single"/>
        </w:rPr>
        <w:t xml:space="preserve">  万分之五  </w:t>
      </w:r>
      <w:r>
        <w:rPr>
          <w:rFonts w:hint="eastAsia" w:ascii="宋体" w:hAnsi="宋体" w:eastAsia="宋体" w:cs="宋体"/>
          <w:color w:val="000000"/>
          <w:sz w:val="24"/>
          <w:szCs w:val="24"/>
          <w:highlight w:val="none"/>
        </w:rPr>
        <w:t xml:space="preserve">向甲方支付违约金。因逾期交付项目给甲方造成经济损失的，赔偿损失。同时，乙方移交所有竣工工程之前，甲方有权拒绝结算、支付合同价款。</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.6项目验收通过后</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日内，乙方向甲方移交尚未提交完毕的项目资料，乙方未移交的，甲方有权拒绝支付合同价款，且乙方每逾期移交一日，按合同总价的</w:t>
      </w:r>
      <w:r>
        <w:rPr>
          <w:rFonts w:hint="eastAsia" w:ascii="宋体" w:hAnsi="宋体" w:eastAsia="宋体" w:cs="宋体"/>
          <w:color w:val="000000"/>
          <w:sz w:val="24"/>
          <w:szCs w:val="24"/>
          <w:highlight w:val="none"/>
          <w:u w:val="single"/>
        </w:rPr>
        <w:t xml:space="preserve"> 万分之五  </w:t>
      </w:r>
      <w:r>
        <w:rPr>
          <w:rFonts w:hint="eastAsia" w:ascii="宋体" w:hAnsi="宋体" w:eastAsia="宋体" w:cs="宋体"/>
          <w:color w:val="000000"/>
          <w:sz w:val="24"/>
          <w:szCs w:val="24"/>
          <w:highlight w:val="none"/>
        </w:rPr>
        <w:t xml:space="preserve">向甲方支付违约金。</w:t>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、项目质量验收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乙方污染土壤处置完成、处置单位出具有效接收、处置证明，</w:t>
      </w:r>
      <w:r>
        <w:rPr>
          <w:rFonts w:hint="eastAsia" w:ascii="宋体" w:hAnsi="宋体" w:eastAsia="宋体" w:cs="宋体"/>
          <w:color w:val="000000"/>
          <w:sz w:val="24"/>
          <w:szCs w:val="24"/>
          <w:highlight w:val="none"/>
          <w:lang w:val="en-US" w:eastAsia="zh-CN"/>
        </w:rPr>
        <w:t xml:space="preserve">地下水抽出处置</w:t>
      </w:r>
      <w:r>
        <w:rPr>
          <w:rFonts w:hint="eastAsia" w:ascii="宋体" w:hAnsi="宋体" w:eastAsia="宋体" w:cs="宋体"/>
          <w:color w:val="000000"/>
          <w:sz w:val="24"/>
          <w:szCs w:val="24"/>
          <w:highlight w:val="none"/>
        </w:rPr>
        <w:t xml:space="preserve">达到项目要求修复目标值，乙方向甲方提交项目效果评估验收</w:t>
      </w:r>
      <w:r>
        <w:rPr>
          <w:rFonts w:hint="eastAsia" w:ascii="宋体" w:hAnsi="宋体" w:eastAsia="宋体" w:cs="宋体"/>
          <w:color w:val="000000"/>
          <w:sz w:val="24"/>
          <w:szCs w:val="24"/>
          <w:highlight w:val="none"/>
          <w:lang w:val="en-US" w:eastAsia="zh-CN"/>
        </w:rPr>
        <w:t xml:space="preserve">相关资料</w:t>
      </w:r>
      <w:r>
        <w:rPr>
          <w:rFonts w:hint="eastAsia" w:ascii="宋体" w:hAnsi="宋体" w:eastAsia="宋体" w:cs="宋体"/>
          <w:color w:val="000000"/>
          <w:sz w:val="24"/>
          <w:szCs w:val="24"/>
          <w:highlight w:val="none"/>
        </w:rPr>
        <w:t xml:space="preserve">，由市级</w:t>
      </w:r>
      <w:r>
        <w:rPr>
          <w:rFonts w:hint="eastAsia" w:ascii="宋体" w:hAnsi="宋体" w:eastAsia="宋体" w:cs="宋体"/>
          <w:color w:val="000000"/>
          <w:sz w:val="24"/>
          <w:szCs w:val="24"/>
          <w:highlight w:val="none"/>
          <w:lang w:val="en-US" w:eastAsia="zh-CN"/>
        </w:rPr>
        <w:t xml:space="preserve">及省级</w:t>
      </w:r>
      <w:r>
        <w:rPr>
          <w:rFonts w:hint="eastAsia" w:ascii="宋体" w:hAnsi="宋体" w:eastAsia="宋体" w:cs="宋体"/>
          <w:color w:val="000000"/>
          <w:sz w:val="24"/>
          <w:szCs w:val="24"/>
          <w:highlight w:val="none"/>
        </w:rPr>
        <w:t xml:space="preserve">生态环境部门</w:t>
      </w:r>
      <w:r>
        <w:rPr>
          <w:rFonts w:hint="eastAsia" w:ascii="宋体" w:hAnsi="宋体" w:eastAsia="宋体" w:cs="宋体"/>
          <w:color w:val="000000"/>
          <w:sz w:val="24"/>
          <w:szCs w:val="24"/>
          <w:highlight w:val="none"/>
          <w:lang w:val="en-US" w:eastAsia="zh-CN"/>
        </w:rPr>
        <w:t xml:space="preserve">和资规部门</w:t>
      </w:r>
      <w:r>
        <w:rPr>
          <w:rFonts w:hint="eastAsia" w:ascii="宋体" w:hAnsi="宋体" w:eastAsia="宋体" w:cs="宋体"/>
          <w:color w:val="000000"/>
          <w:sz w:val="24"/>
          <w:szCs w:val="24"/>
          <w:highlight w:val="none"/>
        </w:rPr>
        <w:t xml:space="preserve">组织验收。</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按照下列要求审查治理项目报告和环境监理报告：</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.1施工单位是否按技术方案施工，污染土壤挖掘、运输与处置、</w:t>
      </w:r>
      <w:r>
        <w:rPr>
          <w:rFonts w:hint="eastAsia" w:ascii="宋体" w:hAnsi="宋体" w:eastAsia="宋体" w:cs="宋体"/>
          <w:color w:val="000000"/>
          <w:sz w:val="24"/>
          <w:szCs w:val="24"/>
          <w:highlight w:val="none"/>
          <w:lang w:val="en-US" w:eastAsia="zh-CN"/>
        </w:rPr>
        <w:t xml:space="preserve">地下水抽出处理、</w:t>
      </w:r>
      <w:r>
        <w:rPr>
          <w:rFonts w:hint="eastAsia" w:ascii="宋体" w:hAnsi="宋体" w:eastAsia="宋体" w:cs="宋体"/>
          <w:color w:val="000000"/>
          <w:sz w:val="24"/>
          <w:szCs w:val="24"/>
          <w:highlight w:val="none"/>
        </w:rPr>
        <w:t xml:space="preserve">污水处理排放、处置过程中的二次污染防控情况等。</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.2污染土壤开挖、清运</w:t>
      </w:r>
      <w:r>
        <w:rPr>
          <w:rFonts w:hint="eastAsia" w:ascii="宋体" w:hAnsi="宋体" w:eastAsia="宋体" w:cs="宋体"/>
          <w:color w:val="000000"/>
          <w:sz w:val="24"/>
          <w:szCs w:val="24"/>
          <w:highlight w:val="none"/>
          <w:lang w:val="en-US" w:eastAsia="zh-CN"/>
        </w:rPr>
        <w:t xml:space="preserve">及地下水抽出处理、污水排放等</w:t>
      </w:r>
      <w:r>
        <w:rPr>
          <w:rFonts w:hint="eastAsia" w:ascii="宋体" w:hAnsi="宋体" w:eastAsia="宋体" w:cs="宋体"/>
          <w:color w:val="000000"/>
          <w:sz w:val="24"/>
          <w:szCs w:val="24"/>
          <w:highlight w:val="none"/>
        </w:rPr>
        <w:t xml:space="preserve">是否建立台账管理制度，查看相关手续完整性。相关记录清单原件需完整保存，便于验收抽检。</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本项目质量标准约定为不低于招标文件规定的技术标准。</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.1甲方违约责任及违约金支付：在合同生效后，甲方无正当理由要求取消服务的，应向乙方赔付合同总价款的违约金双方协商确认。</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乙方违约责任及违约金支付：在合同生效后，乙方无正当理由要求取消服务的，应向甲方赔付合同总价款的5%作为违约金。如乙方延期完成项目任务，除不可抗拒的因素外，乙方应向甲方就延期偿还违约金，具体按合同的总价款每日0.2%支付，延期时间超过2周，甲方有权终止合同履行，并保留进一步追诉权利。</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.3乙方应妥善保护甲方提供的设备及现场堆放的成品（若有），如造成损失，赔偿损失。</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.4施工中未经甲方同意或有关部门批准，乙方不得随意拆改原建筑物结构及各种设备管线，乙方擅自拆改原建筑物结构或设备管线，由此发生的损失或事故（包括罚款），由乙方负责并赔偿损失。</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5施工中未经甲方同意</w:t>
      </w:r>
      <w:r>
        <w:rPr>
          <w:rFonts w:hint="eastAsia" w:ascii="宋体" w:hAnsi="宋体" w:eastAsia="宋体" w:cs="宋体"/>
          <w:color w:val="000000"/>
          <w:sz w:val="24"/>
          <w:szCs w:val="24"/>
          <w:highlight w:val="none"/>
        </w:rPr>
        <w:t xml:space="preserve">或有关部门批准，乙方不得随意更换中转场地或处置</w:t>
      </w:r>
      <w:r>
        <w:rPr>
          <w:rFonts w:hint="eastAsia" w:ascii="宋体" w:hAnsi="宋体" w:eastAsia="宋体" w:cs="宋体"/>
          <w:color w:val="000000"/>
          <w:sz w:val="24"/>
          <w:szCs w:val="24"/>
          <w:highlight w:val="none"/>
          <w:lang w:val="en-US" w:eastAsia="zh-CN"/>
        </w:rPr>
        <w:t xml:space="preserve">终端</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乙方擅自</w:t>
      </w:r>
      <w:r>
        <w:rPr>
          <w:rFonts w:hint="eastAsia" w:ascii="宋体" w:hAnsi="宋体" w:eastAsia="宋体" w:cs="宋体"/>
          <w:color w:val="000000"/>
          <w:sz w:val="24"/>
          <w:szCs w:val="24"/>
          <w:highlight w:val="none"/>
          <w:lang w:val="en-US" w:eastAsia="zh-CN"/>
        </w:rPr>
        <w:t xml:space="preserve">变更</w:t>
      </w:r>
      <w:r>
        <w:rPr>
          <w:rFonts w:hint="eastAsia" w:ascii="宋体" w:hAnsi="宋体" w:eastAsia="宋体" w:cs="宋体"/>
          <w:color w:val="000000"/>
          <w:sz w:val="24"/>
          <w:szCs w:val="24"/>
          <w:highlight w:val="none"/>
        </w:rPr>
        <w:t xml:space="preserve">中转场地或</w:t>
      </w:r>
      <w:r>
        <w:rPr>
          <w:rFonts w:hint="eastAsia" w:ascii="宋体" w:hAnsi="宋体" w:eastAsia="宋体" w:cs="宋体"/>
          <w:color w:val="000000"/>
          <w:sz w:val="24"/>
          <w:szCs w:val="24"/>
          <w:highlight w:val="none"/>
          <w:lang w:val="en-US" w:eastAsia="zh-CN"/>
        </w:rPr>
        <w:t xml:space="preserve">终端处置企业，</w:t>
      </w:r>
      <w:r>
        <w:rPr>
          <w:rFonts w:hint="eastAsia" w:ascii="宋体" w:hAnsi="宋体" w:eastAsia="宋体" w:cs="宋体"/>
          <w:color w:val="000000"/>
          <w:sz w:val="24"/>
          <w:szCs w:val="24"/>
          <w:highlight w:val="none"/>
        </w:rPr>
        <w:t xml:space="preserve">由此发生的损失或事故（包括罚款），由乙方负责并赔偿损失。甲方有权拒绝支付剩余款项，并终止合同，同时保留追究其违约责任的权利。</w:t>
      </w:r>
      <w:r>
        <w:rPr>
          <w:rFonts w:hint="eastAsia" w:ascii="宋体" w:hAnsi="宋体" w:eastAsia="宋体" w:cs="宋体"/>
          <w:color w:val="000000"/>
          <w:sz w:val="24"/>
          <w:szCs w:val="24"/>
          <w:highlight w:val="none"/>
          <w:lang w:val="en-US" w:eastAsia="zh-CN"/>
        </w:rPr>
      </w:r>
      <w:r/>
    </w:p>
    <w:p>
      <w:pPr>
        <w:pStyle w:val="944"/>
        <w:ind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乙方原因导致甲方提前终止合同的，乙方须在甲方终止合同之日起10日内撤出施工现场的所有机械、材料、人员，并向甲方移交施工资料。因此给甲方造成损失的，赔偿损失，该损失包括但不限于乙方的行为给甲方造成的直接损失，甲方另行发包增加的费用及成本等。乙方未按约定撤出施工现场的，甲方有权将机械、材料清理出施工现场，由此产生的费用、造成的损失由乙方承担，且甲方有权拒绝支付乙方已完项目的项目款。</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乙方依约应承担的违约金和损失，甲方有权在合同价款中直接扣除。</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因乙方原因导致未通过项目验收，</w:t>
      </w:r>
      <w:r>
        <w:rPr>
          <w:rFonts w:hint="eastAsia" w:ascii="宋体" w:hAnsi="宋体" w:eastAsia="宋体" w:cs="宋体"/>
          <w:color w:val="000000"/>
          <w:sz w:val="24"/>
          <w:szCs w:val="24"/>
          <w:highlight w:val="none"/>
        </w:rPr>
        <w:t xml:space="preserve">乙方应根据甲方要求限期整改，费用由乙方承担，并自乙方投标文件承诺的竣工日期次日起，每逾期一日，乙方按合同总造价的万分之五向甲方支付违约金，若乙方未完成限期整改或未通过甲方组织的第二次验收，甲方有权拒绝支付剩余款项，并终止合同，同时保留追究其违约责任的权利。乙方须承担未通过验收项目的治理费用。</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、不可抗力</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、索赔</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甲方有权根据当地权威检测检验机构或其他有权部门出具的检验检测结果意见证书向乙方提出索赔。</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在本合同规定的检验期限和质量保证期内，如果乙方对甲方提出的索赔或差异有责任，则乙方应按甲方同意的方式解决索赔事宜。</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扣回索赔金额，如果这些金额不足以补偿索赔金额，甲方有权向乙方提出对不足部分的补偿。</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、合同的解除和转让</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.1合同的解除：甲方和乙方协商一致，可以解除合同；因不可抗力致使合同目的不能实现的，双方协商处理。</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.2合同的转让：合同的部分和全部都不得转让。</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.3出现以下情况甲方有权解除合同，乙方需按相关规定赔付甲方造成的损失。</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①运输途中偷倒或加装不属于本项目范围内的垃圾。</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②擅自清运各类易燃易爆或有毒有害等垃圾情况。</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③过磅数据造假。</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④未经甲方同意私自更换中转场地或处置</w:t>
      </w:r>
      <w:r>
        <w:rPr>
          <w:rFonts w:hint="eastAsia" w:ascii="宋体" w:hAnsi="宋体" w:eastAsia="宋体" w:cs="宋体"/>
          <w:color w:val="000000"/>
          <w:sz w:val="24"/>
          <w:szCs w:val="24"/>
          <w:highlight w:val="none"/>
          <w:lang w:val="en-US" w:eastAsia="zh-CN"/>
        </w:rPr>
        <w:t xml:space="preserve">终端</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⑤履行合同过程中发生重大安全作业事故、媒体连续二次曝光、拖欠员工资等重大违规现象。</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⑥将承包的服务转包他人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、合同的生效</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w:t>
      </w:r>
      <w:r>
        <w:rPr>
          <w:rFonts w:hint="eastAsia" w:ascii="宋体" w:hAnsi="宋体" w:eastAsia="宋体" w:cs="宋体"/>
          <w:color w:val="000000"/>
          <w:sz w:val="24"/>
          <w:szCs w:val="24"/>
          <w:highlight w:val="none"/>
          <w:lang w:val="en-US" w:eastAsia="zh-CN"/>
        </w:rPr>
        <w:t xml:space="preserve">甲、乙方及代建方</w:t>
      </w:r>
      <w:r>
        <w:rPr>
          <w:rFonts w:hint="eastAsia" w:ascii="宋体" w:hAnsi="宋体" w:eastAsia="宋体" w:cs="宋体"/>
          <w:color w:val="000000"/>
          <w:sz w:val="24"/>
          <w:szCs w:val="24"/>
          <w:highlight w:val="none"/>
        </w:rPr>
        <w:t xml:space="preserve">签字盖章后生效。</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、争议的解决</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甲乙双方因合同发生争议，应在招标机构的主持下进行调解，协商不成，任何一方可以向甲方所在地人民法院起诉。</w:t>
      </w: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、附则</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合同份数：本合同一式</w:t>
      </w:r>
      <w:r>
        <w:rPr>
          <w:rFonts w:hint="eastAsia" w:ascii="宋体" w:hAnsi="宋体" w:eastAsia="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bidi="ar"/>
        </w:rPr>
        <w:t xml:space="preserve">代建单位壹份，</w:t>
      </w: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 本合同文件使用中文书写、解释和说明。</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 本合同履行过程中产生的纪要、协议以及中标通知书、投标文件和招标文件为本合同的附件，与合同具有同等效力。</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 未尽事宜</w:t>
      </w:r>
      <w:r>
        <w:rPr>
          <w:rFonts w:hint="eastAsia" w:ascii="宋体" w:hAnsi="宋体" w:eastAsia="宋体" w:cs="宋体"/>
          <w:color w:val="000000"/>
          <w:sz w:val="24"/>
          <w:szCs w:val="24"/>
          <w:highlight w:val="none"/>
        </w:rPr>
      </w:r>
      <w:r/>
    </w:p>
    <w:p>
      <w:pPr>
        <w:pStyle w:val="94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本合同未尽事宜应按照《中华人民共和国民法典》、《中华人民共和国政府采购法》等相关法律法规之规定解释。</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甲方：                   </w:t>
      </w:r>
      <w:r>
        <w:rPr>
          <w:rFonts w:hint="eastAsia" w:ascii="宋体" w:hAnsi="宋体" w:eastAsia="宋体" w:cs="宋体"/>
          <w:color w:val="000000"/>
          <w:sz w:val="24"/>
          <w:szCs w:val="24"/>
          <w:highlight w:val="none"/>
          <w:lang w:val="en-US" w:eastAsia="zh-CN"/>
        </w:rPr>
        <w:t xml:space="preserve"> 代建方：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乙方：</w:t>
      </w:r>
      <w:r>
        <w:rPr>
          <w:rFonts w:hint="eastAsia" w:ascii="宋体" w:hAnsi="宋体" w:eastAsia="宋体" w:cs="宋体"/>
          <w:color w:val="000000"/>
          <w:sz w:val="24"/>
          <w:szCs w:val="24"/>
          <w:highlight w:val="none"/>
          <w:lang w:val="en-US" w:eastAsia="zh-CN"/>
        </w:rPr>
      </w:r>
      <w:r/>
    </w:p>
    <w:p>
      <w:pPr>
        <w:pStyle w:val="944"/>
        <w:ind w:firstLine="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（公章或合同专用章）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（公章或合同专用章）    （公章或合同专用章）</w:t>
      </w:r>
      <w:r>
        <w:rPr>
          <w:rFonts w:hint="eastAsia" w:ascii="宋体" w:hAnsi="宋体" w:eastAsia="宋体" w:cs="宋体"/>
          <w:color w:val="000000"/>
          <w:sz w:val="24"/>
          <w:szCs w:val="24"/>
          <w:highlight w:val="none"/>
          <w:lang w:val="zh-CN"/>
        </w:rPr>
      </w:r>
      <w:r/>
    </w:p>
    <w:p>
      <w:pPr>
        <w:pStyle w:val="944"/>
        <w:ind w:firstLine="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法定代表人（授权代表）： 法定代表人（授权代表）：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r>
      <w:r/>
    </w:p>
    <w:p>
      <w:pPr>
        <w:pStyle w:val="944"/>
        <w:ind w:firstLine="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签约日期：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签约日期：               签约日期：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r>
      <w:r/>
    </w:p>
    <w:p>
      <w:pPr>
        <w:pStyle w:val="69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政府采购合同信用融资政策告知函</w:t>
      </w:r>
      <w:r>
        <w:rPr>
          <w:rFonts w:hint="eastAsia" w:ascii="宋体" w:hAnsi="宋体" w:eastAsia="宋体" w:cs="宋体"/>
          <w:b/>
          <w:bCs/>
          <w:color w:val="000000"/>
          <w:sz w:val="24"/>
          <w:szCs w:val="24"/>
          <w:highlight w:val="none"/>
        </w:rPr>
      </w:r>
      <w:r/>
    </w:p>
    <w:p>
      <w:pPr>
        <w:pStyle w:val="6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各政府采购供应商：</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欢迎贵公司参加苏州市政府采购活动！</w:t>
      </w:r>
      <w:r>
        <w:rPr>
          <w:rFonts w:hint="eastAsia" w:ascii="宋体" w:hAnsi="宋体" w:eastAsia="宋体" w:cs="宋体"/>
          <w:color w:val="000000"/>
          <w:sz w:val="24"/>
          <w:szCs w:val="24"/>
          <w:highlight w:val="none"/>
        </w:rPr>
      </w:r>
      <w:r/>
    </w:p>
    <w:p>
      <w:pPr>
        <w:pStyle w:val="6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rPr>
      </w:r>
      <w:r/>
    </w:p>
    <w:p>
      <w:pPr>
        <w:pStyle w:val="696"/>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6"/>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第六章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评标方法、评分标准</w:t>
      </w:r>
      <w:r>
        <w:rPr>
          <w:rFonts w:ascii="宋体" w:hAnsi="宋体" w:eastAsia="宋体" w:cs="黑体"/>
          <w:b/>
          <w:bCs/>
          <w:color w:val="000000"/>
          <w:sz w:val="32"/>
          <w:szCs w:val="32"/>
          <w:highlight w:val="none"/>
        </w:rPr>
      </w:r>
      <w:r/>
    </w:p>
    <w:p>
      <w:pPr>
        <w:pStyle w:val="696"/>
        <w:ind w:firstLine="480"/>
        <w:jc w:val="both"/>
        <w:spacing w:line="400" w:lineRule="exact"/>
        <w:widowControl w:val="off"/>
        <w:rPr>
          <w:rFonts w:ascii="宋体" w:hAnsi="宋体" w:eastAsia="宋体" w:cs="宋体"/>
          <w:b/>
          <w:color w:val="000000"/>
          <w:sz w:val="24"/>
          <w:szCs w:val="24"/>
          <w:highlight w:val="none"/>
        </w:rPr>
      </w:pPr>
      <w:r>
        <w:rPr>
          <w:rFonts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评标办法：</w:t>
      </w:r>
      <w:r>
        <w:rPr>
          <w:rFonts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rPr>
          <w:rFonts w:hint="eastAsia" w:ascii="宋体" w:hAnsi="宋体" w:eastAsia="宋体" w:cs="宋体"/>
          <w:color w:val="000000"/>
          <w:sz w:val="24"/>
          <w:szCs w:val="24"/>
          <w:highlight w:val="none"/>
        </w:rPr>
      </w:r>
      <w:r/>
    </w:p>
    <w:p>
      <w:pPr>
        <w:pStyle w:val="696"/>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hint="eastAsia"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3.如投标人存在“苏财购字（2017）11号”文件中所列的失信或不良行为，按照文件规定执行。</w:t>
      </w:r>
      <w:r>
        <w:rPr>
          <w:rFonts w:hint="eastAsia"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4.针对中小型企业、残疾人福利企业和监狱企业的评审：</w:t>
      </w:r>
      <w:r>
        <w:rPr>
          <w:rFonts w:hint="eastAsia" w:ascii="宋体" w:hAnsi="宋体" w:eastAsia="宋体" w:cs="宋体"/>
          <w:color w:val="000000"/>
          <w:sz w:val="24"/>
          <w:szCs w:val="24"/>
          <w:highlight w:val="none"/>
        </w:rPr>
      </w:r>
      <w:r/>
    </w:p>
    <w:p>
      <w:pPr>
        <w:pStyle w:val="907"/>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bCs/>
          <w:color w:val="000000"/>
          <w:szCs w:val="24"/>
          <w:highlight w:val="none"/>
        </w:rPr>
        <w:t xml:space="preserve">20%</w:t>
      </w:r>
      <w:r>
        <w:rPr>
          <w:rFonts w:hint="eastAsia" w:ascii="宋体" w:hAnsi="宋体" w:cs="宋体"/>
          <w:color w:val="000000"/>
          <w:szCs w:val="24"/>
          <w:highlight w:val="none"/>
        </w:rPr>
        <w:t xml:space="preserve">的扣除，用扣除后的价格参与评审。</w:t>
      </w:r>
      <w:r>
        <w:rPr>
          <w:rFonts w:hint="eastAsia" w:ascii="宋体" w:hAnsi="宋体" w:cs="宋体"/>
          <w:color w:val="000000"/>
          <w:szCs w:val="24"/>
          <w:highlight w:val="none"/>
        </w:rPr>
      </w:r>
      <w:r/>
    </w:p>
    <w:p>
      <w:pPr>
        <w:pStyle w:val="907"/>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（2）若</w:t>
      </w:r>
      <w:r>
        <w:rPr>
          <w:rFonts w:ascii="宋体" w:hAnsi="宋体" w:cs="宋体"/>
          <w:color w:val="000000"/>
          <w:szCs w:val="24"/>
          <w:highlight w:val="none"/>
        </w:rPr>
        <w:t xml:space="preserve">大中型企业与小微企业组成联合体，对于联合协议约定小微企业的合同份额占到合同总金额30%以上的，采购人、采购代理机构应当对联合体的报价给予</w:t>
      </w:r>
      <w:r>
        <w:rPr>
          <w:rFonts w:hint="eastAsia" w:ascii="宋体" w:hAnsi="宋体" w:cs="宋体"/>
          <w:color w:val="000000"/>
          <w:szCs w:val="24"/>
          <w:highlight w:val="none"/>
        </w:rPr>
        <w:t xml:space="preserve">6</w:t>
      </w:r>
      <w:r>
        <w:rPr>
          <w:rFonts w:ascii="宋体" w:hAnsi="宋体" w:cs="宋体"/>
          <w:color w:val="000000"/>
          <w:szCs w:val="24"/>
          <w:highlight w:val="none"/>
        </w:rPr>
        <w:t xml:space="preserve">%的扣除，用扣除后的价格参加评审。</w:t>
      </w:r>
      <w:r>
        <w:rPr>
          <w:rFonts w:ascii="宋体" w:hAnsi="宋体" w:cs="宋体"/>
          <w:color w:val="000000"/>
          <w:szCs w:val="24"/>
          <w:highlight w:val="none"/>
        </w:rPr>
      </w:r>
      <w:r/>
    </w:p>
    <w:p>
      <w:pPr>
        <w:pStyle w:val="907"/>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（3）如扣除后的价格为最低价的，则作为评标基准价，中标金额则以实际投标报价为准。</w:t>
      </w:r>
      <w:r>
        <w:rPr>
          <w:rFonts w:hint="eastAsia" w:ascii="宋体" w:hAnsi="宋体" w:cs="宋体"/>
          <w:color w:val="000000"/>
          <w:szCs w:val="24"/>
          <w:highlight w:val="none"/>
        </w:rPr>
      </w:r>
      <w:r/>
    </w:p>
    <w:p>
      <w:pPr>
        <w:pStyle w:val="907"/>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（4）残疾人福利企业和监狱企业属于小型、微型企业的，不重复享受政策。</w:t>
      </w:r>
      <w:r>
        <w:rPr>
          <w:rFonts w:ascii="宋体" w:hAnsi="宋体" w:cs="宋体"/>
          <w:color w:val="000000"/>
          <w:szCs w:val="24"/>
          <w:highlight w:val="none"/>
        </w:rPr>
      </w:r>
      <w:r/>
    </w:p>
    <w:p>
      <w:pPr>
        <w:pStyle w:val="907"/>
        <w:ind w:firstLine="420"/>
        <w:rPr>
          <w:rFonts w:hint="eastAsia" w:ascii="宋体" w:hAnsi="宋体" w:eastAsia="宋体" w:cs="宋体"/>
          <w:b w:val="0"/>
          <w:color w:val="000000"/>
          <w:sz w:val="24"/>
          <w:szCs w:val="24"/>
          <w:highlight w:val="none"/>
        </w:rPr>
      </w:pPr>
      <w:r>
        <w:rPr>
          <w:rFonts w:hint="eastAsia" w:ascii="宋体" w:hAnsi="宋体" w:eastAsia="宋体" w:cs="宋体"/>
          <w:bCs w:val="0"/>
          <w:color w:val="000000"/>
          <w:sz w:val="24"/>
          <w:szCs w:val="24"/>
          <w:highlight w:val="none"/>
        </w:rPr>
        <w:t xml:space="preserve">（5）小微企业提供《中小企业声明函》；监狱企业提供由省级以上监狱管理局、戒毒管理局（含新疆生产建</w:t>
      </w:r>
      <w:r>
        <w:rPr>
          <w:rFonts w:hint="eastAsia" w:ascii="宋体" w:hAnsi="宋体" w:eastAsia="宋体" w:cs="宋体"/>
          <w:color w:val="000000"/>
          <w:sz w:val="24"/>
          <w:szCs w:val="24"/>
          <w:highlight w:val="none"/>
        </w:rPr>
        <w:t xml:space="preserve">设兵团）出具的属于监狱企业的证明文件；残疾人福利性单位提供《残疾人福利性单位声明函》。</w:t>
      </w:r>
      <w:r>
        <w:rPr>
          <w:rFonts w:hint="eastAsia" w:ascii="宋体" w:hAnsi="宋体" w:eastAsia="宋体" w:cs="宋体"/>
          <w:b w:val="0"/>
          <w:color w:val="000000"/>
          <w:sz w:val="24"/>
          <w:szCs w:val="24"/>
          <w:highlight w:val="none"/>
        </w:rPr>
      </w:r>
      <w:r/>
    </w:p>
    <w:p>
      <w:pPr>
        <w:pStyle w:val="696"/>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b/>
          <w:color w:val="000000"/>
          <w:sz w:val="24"/>
          <w:szCs w:val="24"/>
          <w:highlight w:val="none"/>
        </w:rPr>
      </w:r>
      <w:r/>
    </w:p>
    <w:p>
      <w:pPr>
        <w:pStyle w:val="696"/>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w:t>
      </w:r>
      <w:r>
        <w:rPr>
          <w:rFonts w:ascii="宋体" w:hAnsi="宋体" w:eastAsia="宋体" w:cs="宋体"/>
          <w:color w:val="000000"/>
          <w:sz w:val="24"/>
          <w:szCs w:val="24"/>
          <w:highlight w:val="none"/>
        </w:rPr>
        <w:t xml:space="preserve">关于印发中小企业划型标准规定的通知</w:t>
      </w:r>
      <w:r>
        <w:rPr>
          <w:rFonts w:hint="eastAsia" w:ascii="宋体" w:hAnsi="宋体" w:eastAsia="宋体" w:cs="宋体"/>
          <w:color w:val="000000"/>
          <w:sz w:val="24"/>
          <w:szCs w:val="24"/>
          <w:highlight w:val="none"/>
        </w:rPr>
        <w:t xml:space="preserve">》（工信部联企业〔2011〕300号）进行。</w:t>
      </w:r>
      <w:r>
        <w:rPr>
          <w:rFonts w:ascii="宋体" w:hAnsi="宋体" w:eastAsia="宋体" w:cs="宋体"/>
          <w:b/>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rPr>
          <w:rFonts w:ascii="宋体" w:hAnsi="宋体" w:eastAsia="宋体" w:cs="宋体"/>
          <w:color w:val="000000"/>
          <w:sz w:val="24"/>
          <w:szCs w:val="24"/>
          <w:highlight w:val="none"/>
        </w:rPr>
      </w:r>
      <w:r/>
    </w:p>
    <w:p>
      <w:pPr>
        <w:pStyle w:val="696"/>
        <w:ind w:firstLine="482"/>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③若为专门面向中小企业采购的项目或者采购包，不再执行价格评审优惠的扶持政策。</w:t>
      </w:r>
      <w:r>
        <w:rPr>
          <w:rFonts w:ascii="宋体" w:hAnsi="宋体" w:eastAsia="宋体" w:cs="宋体"/>
          <w:color w:val="000000"/>
          <w:sz w:val="24"/>
          <w:szCs w:val="24"/>
          <w:highlight w:val="none"/>
        </w:rPr>
      </w:r>
      <w:r/>
    </w:p>
    <w:p>
      <w:pPr>
        <w:pStyle w:val="696"/>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④中小企业依据预留项目和价格扣除等优惠政策获取政府采购合同后，小型、微型企业不得分包或转包给大型、中型企业，中型企业不得分包或转包给大型企业。</w:t>
      </w:r>
      <w:r>
        <w:rPr>
          <w:rFonts w:ascii="宋体" w:hAnsi="宋体" w:eastAsia="宋体" w:cs="宋体"/>
          <w:b/>
          <w:bCs/>
          <w:color w:val="000000"/>
          <w:sz w:val="24"/>
          <w:szCs w:val="24"/>
          <w:highlight w:val="none"/>
        </w:rPr>
      </w:r>
      <w:r/>
    </w:p>
    <w:p>
      <w:pPr>
        <w:pStyle w:val="696"/>
        <w:contextualSpacing/>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r>
        <w:rPr>
          <w:rFonts w:hint="eastAsia" w:ascii="宋体" w:hAnsi="宋体" w:eastAsia="宋体" w:cs="宋体"/>
          <w:b/>
          <w:bCs/>
          <w:color w:val="000000"/>
          <w:sz w:val="24"/>
          <w:szCs w:val="24"/>
          <w:highlight w:val="none"/>
        </w:rPr>
      </w:r>
      <w:r/>
    </w:p>
    <w:p>
      <w:pPr>
        <w:pStyle w:val="696"/>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(一）价格分 (10分)</w:t>
      </w:r>
      <w:r>
        <w:rPr>
          <w:rFonts w:hint="eastAsia"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第一步：投标报价不高于采购预算或最高限价的，为有效投标报价。超财政预算的投标报价的为无效投标报价，</w:t>
      </w:r>
      <w:r>
        <w:rPr>
          <w:rFonts w:hint="eastAsia" w:ascii="宋体" w:hAnsi="宋体" w:eastAsia="宋体" w:cs="宋体"/>
          <w:color w:val="000000"/>
          <w:sz w:val="24"/>
          <w:szCs w:val="24"/>
          <w:highlight w:val="none"/>
          <w:lang w:val="zh-CN"/>
        </w:rPr>
        <w:t xml:space="preserve">其</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文件不进行评审，也不得标。</w:t>
      </w:r>
      <w:r>
        <w:rPr>
          <w:rFonts w:hint="eastAsia"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第二步：在所有有效投标报价中满足招标文件要求，且投标价格最低的投标报价为评标基准价，</w:t>
      </w:r>
      <w:r>
        <w:rPr>
          <w:rFonts w:hint="eastAsia" w:ascii="宋体" w:hAnsi="宋体" w:eastAsia="宋体" w:cs="宋体"/>
          <w:color w:val="000000"/>
          <w:sz w:val="24"/>
          <w:szCs w:val="24"/>
          <w:highlight w:val="none"/>
          <w:lang w:val="zh-CN"/>
        </w:rPr>
        <w:t xml:space="preserve">其价格分为满分，</w:t>
      </w:r>
      <w:r>
        <w:rPr>
          <w:rFonts w:hint="eastAsia" w:ascii="宋体" w:hAnsi="宋体" w:eastAsia="宋体" w:cs="宋体"/>
          <w:color w:val="000000"/>
          <w:sz w:val="24"/>
          <w:szCs w:val="24"/>
          <w:highlight w:val="none"/>
        </w:rPr>
        <w:t xml:space="preserve">其他投标人的价格分</w:t>
      </w:r>
      <w:r>
        <w:rPr>
          <w:rFonts w:hint="eastAsia" w:ascii="宋体" w:hAnsi="宋体" w:eastAsia="宋体" w:cs="宋体"/>
          <w:color w:val="000000"/>
          <w:sz w:val="24"/>
          <w:szCs w:val="24"/>
          <w:highlight w:val="none"/>
          <w:lang w:val="zh-CN"/>
        </w:rPr>
        <w:t xml:space="preserve">统一</w:t>
      </w:r>
      <w:r>
        <w:rPr>
          <w:rFonts w:hint="eastAsia" w:ascii="宋体" w:hAnsi="宋体" w:eastAsia="宋体" w:cs="宋体"/>
          <w:color w:val="000000"/>
          <w:sz w:val="24"/>
          <w:szCs w:val="24"/>
          <w:highlight w:val="none"/>
        </w:rPr>
        <w:t xml:space="preserve">按照下列公式计算（计算结果四舍五入保留两位小数）。</w:t>
      </w:r>
      <w:r>
        <w:rPr>
          <w:rFonts w:hint="eastAsia" w:ascii="宋体" w:hAnsi="宋体" w:eastAsia="宋体" w:cs="宋体"/>
          <w:b/>
          <w:color w:val="000000"/>
          <w:sz w:val="24"/>
          <w:szCs w:val="24"/>
          <w:highlight w:val="none"/>
        </w:rPr>
      </w:r>
      <w:r/>
    </w:p>
    <w:p>
      <w:pPr>
        <w:pStyle w:val="696"/>
        <w:ind w:firstLine="480"/>
        <w:spacing w:line="40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z w:val="24"/>
          <w:szCs w:val="24"/>
          <w:highlight w:val="none"/>
        </w:rPr>
        <w:t xml:space="preserve">投标报价得分＝（评标基准价/有效投标报价）×10％×100</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pacing w:val="2"/>
          <w:sz w:val="24"/>
          <w:szCs w:val="24"/>
          <w:highlight w:val="none"/>
        </w:rPr>
      </w:r>
      <w:r/>
    </w:p>
    <w:p>
      <w:pPr>
        <w:pStyle w:val="696"/>
        <w:ind w:firstLine="482"/>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（二）技术部分（</w:t>
      </w:r>
      <w:r>
        <w:rPr>
          <w:rFonts w:hint="eastAsia" w:ascii="宋体" w:hAnsi="宋体" w:eastAsia="宋体" w:cs="宋体"/>
          <w:b/>
          <w:bCs/>
          <w:color w:val="000000"/>
          <w:sz w:val="24"/>
          <w:szCs w:val="24"/>
          <w:highlight w:val="none"/>
          <w:lang w:val="en-US" w:eastAsia="zh-CN"/>
        </w:rPr>
        <w:t xml:space="preserve">49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5298" w:type="pct"/>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728"/>
        <w:gridCol w:w="5828"/>
        <w:gridCol w:w="1169"/>
      </w:tblGrid>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项目总体概述</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项目概况描述清楚准确，项目部组织机构布局合理，施工步骤、部署科学合理，服务体系完善，得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分；项目概况描述清楚，项目部组织机构布局较为合理，施工步骤、部署较为合理，服务体系较为完善，得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分；项目概况描述含糊，项目部组织机构布局不清晰，施工步骤、部署、服务体系不完善，得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分；内容不完善，不得分。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修复方案细化</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工作内容、工艺流程、技术参数、污染土壤清运处置安排等合理、完整、可实施性强， 细节完善，针对性强，具有系统性、可操作性，得6分；细节较完善，针对性较强，具有可操作性，得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分；细节基本完善，具有可操作性，得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分；内容不完善，不得分。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项目进度安排</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进度安排合理有效，计划开、竣工日期、施工进度计划横道图或网络图、工期保证、等措施完善，得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分；进度安排较为合理，具有计划开、竣工日期、施工进度计划横道图或网络图、工期保证等措施，得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进度安排基本满足要求，具有计划开、竣工日期、施工进度计划横道图或网络图、工期保证等措施，得1分；进度安排不清晰，计划开、竣工日期、施工进度计划横道图或网络图、工期保证等措施缺乏，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项目现场总平面布置</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可操作性强，内容描述详细，得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分；内容描述</w:t>
            </w:r>
            <w:r>
              <w:rPr>
                <w:rFonts w:hint="eastAsia" w:ascii="宋体" w:hAnsi="宋体" w:eastAsia="宋体" w:cs="宋体"/>
                <w:color w:val="000000"/>
                <w:sz w:val="24"/>
                <w:szCs w:val="24"/>
                <w:highlight w:val="none"/>
                <w:lang w:val="en-US" w:eastAsia="zh-CN"/>
              </w:rPr>
              <w:t xml:space="preserve">较合理，得3分；内容描述</w:t>
            </w:r>
            <w:r>
              <w:rPr>
                <w:rFonts w:hint="eastAsia" w:ascii="宋体" w:hAnsi="宋体" w:eastAsia="宋体" w:cs="宋体"/>
                <w:color w:val="000000"/>
                <w:sz w:val="24"/>
                <w:szCs w:val="24"/>
                <w:highlight w:val="none"/>
              </w:rPr>
              <w:t xml:space="preserve">较简单，得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分；不合理或不满足要求，不得分。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5分</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主要工作实施方法、主要实施工艺等及水泥窑协同处置单位对本项目污染土壤的存储和安全处置方案及可行性论证</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可操作性强，内容描述详细，得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分；内容描述</w:t>
            </w:r>
            <w:r>
              <w:rPr>
                <w:rFonts w:hint="eastAsia" w:ascii="宋体" w:hAnsi="宋体" w:eastAsia="宋体" w:cs="宋体"/>
                <w:color w:val="000000"/>
                <w:sz w:val="24"/>
                <w:szCs w:val="24"/>
                <w:highlight w:val="none"/>
                <w:lang w:val="en-US" w:eastAsia="zh-CN"/>
              </w:rPr>
              <w:t xml:space="preserve">较合理，得3分；内容描述</w:t>
            </w:r>
            <w:r>
              <w:rPr>
                <w:rFonts w:hint="eastAsia" w:ascii="宋体" w:hAnsi="宋体" w:eastAsia="宋体" w:cs="宋体"/>
                <w:color w:val="000000"/>
                <w:sz w:val="24"/>
                <w:szCs w:val="24"/>
                <w:highlight w:val="none"/>
              </w:rPr>
              <w:t xml:space="preserve">较简单，得 1 分；不合理或不满足要求，不得分。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现场污染土壤开挖、基坑采样检测、基坑废水治理及达标排放、项目移交等方案</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numPr>
                <w:ilvl w:val="0"/>
                <w:numId w:val="0"/>
              </w:numPr>
              <w:contextualSpacing/>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可操作性强，内容描述详细，得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分；内容描述</w:t>
            </w:r>
            <w:r>
              <w:rPr>
                <w:rFonts w:hint="eastAsia" w:ascii="宋体" w:hAnsi="宋体" w:eastAsia="宋体" w:cs="宋体"/>
                <w:color w:val="000000"/>
                <w:sz w:val="24"/>
                <w:szCs w:val="24"/>
                <w:highlight w:val="none"/>
                <w:lang w:val="en-US" w:eastAsia="zh-CN"/>
              </w:rPr>
              <w:t xml:space="preserve">较合理，得3分；内容描述</w:t>
            </w:r>
            <w:r>
              <w:rPr>
                <w:rFonts w:hint="eastAsia" w:ascii="宋体" w:hAnsi="宋体" w:eastAsia="宋体" w:cs="宋体"/>
                <w:color w:val="000000"/>
                <w:sz w:val="24"/>
                <w:szCs w:val="24"/>
                <w:highlight w:val="none"/>
              </w:rPr>
              <w:t xml:space="preserve">较简单，得 1 分；不合理或不满足要求，不得分。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运输方案、运输线路计划</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运输方案完善合理，运输路线明确，可实施性强，得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分；运输方案较完善，运输路线较明确，可操作，得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分；运输方案基本合理，运输路线基本明确，可实施，得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分；不合理或不满足要求，不得分。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现场二次污染防治措施和环境监测方案,运输过程中的二次污染防治措施</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可操作性强，内容描述详细，得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分；内容描述较简单，得2分；满足要求，得1分；不清晰，不得分。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质量保证措施、风险防范措施：修复质量的保证措施、安全事故风险防范措施</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质量保证措施、风险防范措施：修复质量的保证措施、安全事故风险防范措施等完善合理，得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分；修复质量的保证措施、安全事故风险防范措施等基本合理，得2分；修复质量的保证措施、风险防范措施基本满足要求，得1分；修复质量的保证措施、风险防范措施不合理，不得分。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现场安全、文明措施（包括雨季、地块降排水、安全防护等）</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可操作性强，内容描述详细，得3分；内容描述较简单，得2分；满足要求，得1分；不清晰，不得分。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ind w:firstLine="22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30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项目实施重难点分析</w:t>
            </w:r>
            <w:r>
              <w:rPr>
                <w:rFonts w:hint="eastAsia" w:ascii="宋体" w:hAnsi="宋体" w:eastAsia="宋体" w:cs="宋体"/>
                <w:color w:val="000000"/>
                <w:sz w:val="24"/>
                <w:szCs w:val="24"/>
                <w:highlight w:val="none"/>
              </w:rPr>
            </w:r>
            <w:r/>
          </w:p>
        </w:tc>
        <w:tc>
          <w:tcPr>
            <w:tcW w:w="2794" w:type="dxa"/>
            <w:vAlign w:val="center"/>
            <w:textDirection w:val="lrTb"/>
            <w:noWrap w:val="false"/>
          </w:tcPr>
          <w:p>
            <w:pPr>
              <w:pStyle w:val="696"/>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重点、难点分析全面准确合理，有突出性、针对性，解决方案科学合理、操作性强、考虑周全的，得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分；重点、难点分析基本符合实际，解决方案基本合理、操作性基本满足要求的得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分；重点、难点分析含糊不清，解决方案可行性不强的，得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不清晰</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tc>
        <w:tc>
          <w:tcPr>
            <w:tcW w:w="560"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r>
            <w:r/>
          </w:p>
        </w:tc>
      </w:tr>
    </w:tbl>
    <w:p>
      <w:pPr>
        <w:pStyle w:val="696"/>
        <w:ind w:firstLine="482"/>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（三）商务部分（</w:t>
      </w:r>
      <w:r>
        <w:rPr>
          <w:rFonts w:hint="eastAsia" w:ascii="宋体" w:hAnsi="宋体" w:eastAsia="宋体" w:cs="宋体"/>
          <w:b/>
          <w:bCs/>
          <w:color w:val="000000"/>
          <w:sz w:val="24"/>
          <w:szCs w:val="24"/>
          <w:highlight w:val="none"/>
          <w:lang w:val="en-US" w:eastAsia="zh-CN"/>
        </w:rPr>
        <w:t xml:space="preserve">41</w:t>
      </w:r>
      <w:r>
        <w:rPr>
          <w:rFonts w:hint="eastAsia" w:ascii="宋体" w:hAnsi="宋体" w:eastAsia="宋体" w:cs="宋体"/>
          <w:b/>
          <w:bCs/>
          <w:color w:val="000000"/>
          <w:sz w:val="24"/>
          <w:szCs w:val="24"/>
          <w:highlight w:val="none"/>
        </w:rPr>
        <w:t xml:space="preserve">分） </w:t>
      </w:r>
      <w:r>
        <w:rPr>
          <w:rFonts w:hint="eastAsia" w:ascii="宋体" w:hAnsi="宋体" w:eastAsia="宋体" w:cs="宋体"/>
          <w:b/>
          <w:bCs/>
          <w:color w:val="000000"/>
          <w:sz w:val="24"/>
          <w:szCs w:val="24"/>
          <w:highlight w:val="none"/>
        </w:rPr>
      </w:r>
      <w:r/>
    </w:p>
    <w:tbl>
      <w:tblPr>
        <w:tblW w:w="5298" w:type="pct"/>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36"/>
        <w:gridCol w:w="6644"/>
        <w:gridCol w:w="1145"/>
      </w:tblGrid>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项目总负责人（限定 1 人）</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7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拟选派项目总负责人具有环境保护相关专业副高及以上专业技术职称，得2分；具备注册环保工程师资格，得2分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具有环保专业硕士（或以上）学位，得2分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05"/>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【投标文件中需提供项目总负责人相关证书复印件以及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技术负责人（限定 1 人）</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numPr>
                <w:ilvl w:val="0"/>
                <w:numId w:val="0"/>
              </w:numPr>
              <w:contextualSpacing/>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拟选派技术负责人具有环境保护相关专业副高级以上技术职称，得2分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具备环境影响评价工程师资格，得2分；具有环保专业硕士（或以上）学位，得2分。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【投标文件中需提供技术负责人相关证书复印件以及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rPr>
              <w:t xml:space="preserve">负责人（限定1人）</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拟选派</w:t>
            </w: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lang w:val="en-US" w:eastAsia="zh-CN"/>
              </w:rPr>
              <w:t xml:space="preserve">具备副高级以上技术职称，得2分；</w:t>
            </w:r>
            <w:r>
              <w:rPr>
                <w:rFonts w:hint="eastAsia" w:ascii="宋体" w:hAnsi="宋体" w:eastAsia="宋体" w:cs="宋体"/>
                <w:color w:val="000000"/>
                <w:sz w:val="24"/>
                <w:szCs w:val="24"/>
                <w:highlight w:val="none"/>
              </w:rPr>
              <w:t xml:space="preserve">具备国家一级注册建造师（市政公用工程专业），同时具有安全生产考核合格证书 B 证执业资格，得2分；具备国家二级注册建造师（市政公用工程专业），同时具有安全生产考核合格证书 B 证执业资格，得1分；其他不得分。本项最高得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6"/>
              <w:numPr>
                <w:ilvl w:val="0"/>
                <w:numId w:val="0"/>
              </w:numPr>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w:t>
            </w:r>
            <w:r>
              <w:rPr>
                <w:rFonts w:hint="eastAsia" w:ascii="宋体" w:hAnsi="宋体" w:eastAsia="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rPr>
              <w:t xml:space="preserve">负责人相关证书复印件以及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安全负责人（限定1人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3185"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拟选派安全负责人</w:t>
            </w:r>
            <w:r>
              <w:rPr>
                <w:rFonts w:hint="eastAsia" w:ascii="宋体" w:hAnsi="宋体" w:eastAsia="宋体" w:cs="宋体"/>
                <w:color w:val="000000"/>
                <w:sz w:val="24"/>
                <w:szCs w:val="24"/>
                <w:highlight w:val="none"/>
                <w:lang w:val="en-US" w:eastAsia="zh-CN"/>
              </w:rPr>
              <w:t xml:space="preserve">具有环保专业硕士（或以上）学位，得2分；同时</w:t>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环保专业</w:t>
            </w:r>
            <w:r>
              <w:rPr>
                <w:rFonts w:hint="eastAsia" w:ascii="宋体" w:hAnsi="宋体" w:eastAsia="宋体" w:cs="宋体"/>
                <w:color w:val="000000"/>
                <w:sz w:val="24"/>
                <w:szCs w:val="24"/>
                <w:highlight w:val="none"/>
              </w:rPr>
              <w:t xml:space="preserve">安全生产考核合格证（C）类证件且在有效期内，得2分。本项最高得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6"/>
              <w:numPr>
                <w:ilvl w:val="0"/>
                <w:numId w:val="0"/>
              </w:numPr>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【投标文件中需提供安全负责人相关证书复印件以及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b/>
                <w:bCs/>
                <w:color w:val="000000"/>
                <w:sz w:val="24"/>
                <w:szCs w:val="24"/>
                <w:highlight w:val="none"/>
              </w:rPr>
              <w:t xml:space="preserve">（不含项目负责人、技术负责人、</w:t>
            </w:r>
            <w:r>
              <w:rPr>
                <w:rFonts w:hint="eastAsia" w:ascii="宋体" w:hAnsi="宋体" w:eastAsia="宋体" w:cs="宋体"/>
                <w:b/>
                <w:bCs/>
                <w:color w:val="000000"/>
                <w:sz w:val="24"/>
                <w:szCs w:val="24"/>
                <w:highlight w:val="none"/>
                <w:lang w:val="en-US" w:eastAsia="zh-CN"/>
              </w:rPr>
              <w:t xml:space="preserve">现场</w:t>
            </w:r>
            <w:r>
              <w:rPr>
                <w:rFonts w:hint="eastAsia" w:ascii="宋体" w:hAnsi="宋体" w:eastAsia="宋体" w:cs="宋体"/>
                <w:b/>
                <w:bCs/>
                <w:color w:val="000000"/>
                <w:sz w:val="24"/>
                <w:szCs w:val="24"/>
                <w:highlight w:val="none"/>
              </w:rPr>
              <w:t xml:space="preserve">负责人、安全负责人）</w:t>
            </w:r>
            <w:r>
              <w:rPr>
                <w:rFonts w:hint="eastAsia" w:ascii="宋体" w:hAnsi="宋体" w:eastAsia="宋体" w:cs="宋体"/>
                <w:color w:val="000000"/>
                <w:sz w:val="24"/>
                <w:szCs w:val="24"/>
                <w:highlight w:val="none"/>
              </w:rPr>
              <w:t xml:space="preserve">（限定1人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具有环境保护相关专业副高级以上</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职称职得2分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具有环境影响评价工程师资格</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分。【投标文件中需提供项目组成员相关证书复印件以及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b/>
                <w:bCs/>
                <w:color w:val="000000"/>
                <w:sz w:val="24"/>
                <w:szCs w:val="24"/>
                <w:highlight w:val="none"/>
              </w:rPr>
              <w:t xml:space="preserve">（不含项目负责人、技术负责人、</w:t>
            </w:r>
            <w:r>
              <w:rPr>
                <w:rFonts w:hint="eastAsia" w:ascii="宋体" w:hAnsi="宋体" w:eastAsia="宋体" w:cs="宋体"/>
                <w:b/>
                <w:bCs/>
                <w:color w:val="000000"/>
                <w:sz w:val="24"/>
                <w:szCs w:val="24"/>
                <w:highlight w:val="none"/>
                <w:lang w:val="en-US" w:eastAsia="zh-CN"/>
              </w:rPr>
              <w:t xml:space="preserve">现场</w:t>
            </w:r>
            <w:r>
              <w:rPr>
                <w:rFonts w:hint="eastAsia" w:ascii="宋体" w:hAnsi="宋体" w:eastAsia="宋体" w:cs="宋体"/>
                <w:b/>
                <w:bCs/>
                <w:color w:val="000000"/>
                <w:sz w:val="24"/>
                <w:szCs w:val="24"/>
                <w:highlight w:val="none"/>
              </w:rPr>
              <w:t xml:space="preserve">负责人、安全负责人）</w:t>
            </w:r>
            <w:r>
              <w:rPr>
                <w:rFonts w:hint="eastAsia" w:ascii="宋体" w:hAnsi="宋体" w:eastAsia="宋体" w:cs="宋体"/>
                <w:color w:val="000000"/>
                <w:sz w:val="24"/>
                <w:szCs w:val="24"/>
                <w:highlight w:val="none"/>
              </w:rPr>
              <w:t xml:space="preserve">（限定1人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具有一级注册造价工程师资格（</w:t>
            </w:r>
            <w:r>
              <w:rPr>
                <w:rFonts w:hint="eastAsia" w:ascii="宋体" w:hAnsi="宋体" w:eastAsia="宋体" w:cs="宋体"/>
                <w:color w:val="000000"/>
                <w:sz w:val="24"/>
                <w:szCs w:val="24"/>
                <w:highlight w:val="none"/>
                <w:lang w:val="en-US" w:eastAsia="zh-CN"/>
              </w:rPr>
              <w:t xml:space="preserve">土木建筑</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级注册造价工程师资格（</w:t>
            </w:r>
            <w:r>
              <w:rPr>
                <w:rFonts w:hint="eastAsia" w:ascii="宋体" w:hAnsi="宋体" w:eastAsia="宋体" w:cs="宋体"/>
                <w:color w:val="000000"/>
                <w:sz w:val="24"/>
                <w:szCs w:val="24"/>
                <w:highlight w:val="none"/>
                <w:lang w:val="en-US" w:eastAsia="zh-CN"/>
              </w:rPr>
              <w:t xml:space="preserve">土木建筑</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得1分；同时具有一级注册建造师（建筑工程专业）得2分，具有二级注册建造师（建筑工程专业），得1分。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6"/>
              <w:numPr>
                <w:ilvl w:val="0"/>
                <w:numId w:val="0"/>
              </w:numPr>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【投标文件中需提供项目组成员相关证书复印件以及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b/>
                <w:bCs/>
                <w:color w:val="000000"/>
                <w:sz w:val="24"/>
                <w:szCs w:val="24"/>
                <w:highlight w:val="none"/>
              </w:rPr>
              <w:t xml:space="preserve">（不含项目负责人、技术负责人、</w:t>
            </w:r>
            <w:r>
              <w:rPr>
                <w:rFonts w:hint="eastAsia" w:ascii="宋体" w:hAnsi="宋体" w:eastAsia="宋体" w:cs="宋体"/>
                <w:b/>
                <w:bCs/>
                <w:color w:val="000000"/>
                <w:sz w:val="24"/>
                <w:szCs w:val="24"/>
                <w:highlight w:val="none"/>
                <w:lang w:val="en-US" w:eastAsia="zh-CN"/>
              </w:rPr>
              <w:t xml:space="preserve">现场</w:t>
            </w:r>
            <w:r>
              <w:rPr>
                <w:rFonts w:hint="eastAsia" w:ascii="宋体" w:hAnsi="宋体" w:eastAsia="宋体" w:cs="宋体"/>
                <w:b/>
                <w:bCs/>
                <w:color w:val="000000"/>
                <w:sz w:val="24"/>
                <w:szCs w:val="24"/>
                <w:highlight w:val="none"/>
              </w:rPr>
              <w:t xml:space="preserve">负责人、安全负责人）</w:t>
            </w:r>
            <w:r>
              <w:rPr>
                <w:rFonts w:hint="eastAsia" w:ascii="宋体" w:hAnsi="宋体" w:eastAsia="宋体" w:cs="宋体"/>
                <w:color w:val="000000"/>
                <w:sz w:val="24"/>
                <w:szCs w:val="24"/>
                <w:highlight w:val="none"/>
              </w:rPr>
              <w:t xml:space="preserve">（限定1人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国家一级注册建造师（市政公用工程专业）得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国家</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级注册建造师（市政公用工程专业）得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本项最高得2分。</w:t>
            </w:r>
            <w:r>
              <w:rPr>
                <w:rFonts w:hint="eastAsia" w:ascii="宋体" w:hAnsi="宋体" w:eastAsia="宋体" w:cs="宋体"/>
                <w:color w:val="000000"/>
                <w:sz w:val="24"/>
                <w:szCs w:val="24"/>
                <w:highlight w:val="none"/>
              </w:rPr>
            </w:r>
            <w:r/>
          </w:p>
          <w:p>
            <w:pPr>
              <w:pStyle w:val="696"/>
              <w:numPr>
                <w:ilvl w:val="0"/>
                <w:numId w:val="0"/>
              </w:numPr>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【投标文件中需提供项目组成员相关证书复印件以及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w:t>
            </w:r>
            <w:r>
              <w:rPr>
                <w:rFonts w:hint="eastAsia" w:ascii="宋体" w:hAnsi="宋体" w:eastAsia="宋体" w:cs="宋体"/>
                <w:b/>
                <w:bCs/>
                <w:color w:val="000000"/>
                <w:sz w:val="24"/>
                <w:szCs w:val="24"/>
                <w:highlight w:val="none"/>
              </w:rPr>
              <w:t xml:space="preserve">（不含项目负责人、技术负责人、</w:t>
            </w:r>
            <w:r>
              <w:rPr>
                <w:rFonts w:hint="eastAsia" w:ascii="宋体" w:hAnsi="宋体" w:eastAsia="宋体" w:cs="宋体"/>
                <w:b/>
                <w:bCs/>
                <w:color w:val="000000"/>
                <w:sz w:val="24"/>
                <w:szCs w:val="24"/>
                <w:highlight w:val="none"/>
                <w:lang w:val="en-US" w:eastAsia="zh-CN"/>
              </w:rPr>
              <w:t xml:space="preserve">现场</w:t>
            </w:r>
            <w:r>
              <w:rPr>
                <w:rFonts w:hint="eastAsia" w:ascii="宋体" w:hAnsi="宋体" w:eastAsia="宋体" w:cs="宋体"/>
                <w:b/>
                <w:bCs/>
                <w:color w:val="000000"/>
                <w:sz w:val="24"/>
                <w:szCs w:val="24"/>
                <w:highlight w:val="none"/>
              </w:rPr>
              <w:t xml:space="preserve">负责人、安全负责人）</w:t>
            </w:r>
            <w:r>
              <w:rPr>
                <w:rFonts w:hint="eastAsia" w:ascii="宋体" w:hAnsi="宋体" w:eastAsia="宋体" w:cs="宋体"/>
                <w:color w:val="000000"/>
                <w:sz w:val="24"/>
                <w:szCs w:val="24"/>
                <w:highlight w:val="none"/>
              </w:rPr>
              <w:t xml:space="preserve">（限定1人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numPr>
                <w:ilvl w:val="0"/>
                <w:numId w:val="0"/>
              </w:numPr>
              <w:contextualSpacing/>
              <w:ind w:firstLine="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有全日制环境污染控制或土壤污染防治相关专业博士研究生毕业证书和博士学位证书，</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有全日制环境污染控制或土壤污染防治相关专业硕士研究生毕业证书和硕士学位证书，</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本项最高得2分。</w:t>
            </w:r>
            <w:r>
              <w:rPr>
                <w:rFonts w:hint="eastAsia" w:ascii="宋体" w:hAnsi="宋体" w:eastAsia="宋体" w:cs="宋体"/>
                <w:color w:val="000000"/>
                <w:sz w:val="24"/>
                <w:szCs w:val="24"/>
                <w:highlight w:val="none"/>
                <w:lang w:eastAsia="zh-CN"/>
              </w:rPr>
            </w:r>
            <w:r/>
          </w:p>
          <w:p>
            <w:pPr>
              <w:pStyle w:val="696"/>
              <w:numPr>
                <w:ilvl w:val="0"/>
                <w:numId w:val="0"/>
              </w:numPr>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【投标文件中需提供项目组成员</w:t>
            </w:r>
            <w:r>
              <w:rPr>
                <w:rFonts w:hint="eastAsia" w:ascii="宋体" w:hAnsi="宋体" w:eastAsia="宋体" w:cs="宋体"/>
                <w:color w:val="000000"/>
                <w:sz w:val="24"/>
                <w:szCs w:val="24"/>
                <w:highlight w:val="none"/>
                <w:lang w:val="en-US" w:eastAsia="zh-CN"/>
              </w:rPr>
              <w:t xml:space="preserve">证书复印件或</w:t>
            </w:r>
            <w:r>
              <w:rPr>
                <w:rFonts w:hint="eastAsia" w:ascii="宋体" w:hAnsi="宋体" w:eastAsia="宋体" w:cs="宋体"/>
                <w:color w:val="000000"/>
                <w:sz w:val="24"/>
                <w:szCs w:val="24"/>
                <w:highlight w:val="none"/>
                <w:lang w:val="en-US" w:eastAsia="zh-CN"/>
              </w:rPr>
              <w:t xml:space="preserve">学信网截图证明</w:t>
            </w:r>
            <w:r>
              <w:rPr>
                <w:rFonts w:hint="eastAsia" w:ascii="宋体" w:hAnsi="宋体" w:eastAsia="宋体" w:cs="宋体"/>
                <w:color w:val="000000"/>
                <w:sz w:val="24"/>
                <w:szCs w:val="24"/>
                <w:highlight w:val="none"/>
              </w:rPr>
              <w:t xml:space="preserve">以及</w:t>
            </w:r>
            <w:r>
              <w:rPr>
                <w:rFonts w:hint="eastAsia" w:eastAsia="宋体"/>
                <w:color w:val="000000"/>
                <w:sz w:val="24"/>
                <w:szCs w:val="24"/>
                <w:highlight w:val="none"/>
                <w:lang w:val="en-US" w:eastAsia="zh-CN"/>
              </w:rPr>
              <w:t xml:space="preserve">投标人为其缴纳的</w:t>
            </w:r>
            <w:r>
              <w:rPr>
                <w:rFonts w:hint="eastAsia" w:ascii="宋体" w:hAnsi="宋体" w:eastAsia="宋体" w:cs="宋体"/>
                <w:color w:val="000000"/>
                <w:sz w:val="24"/>
                <w:szCs w:val="24"/>
                <w:highlight w:val="none"/>
              </w:rPr>
              <w:t xml:space="preserve">近3个月连续社保缴纳证明。】</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体系认证证书</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contextualSpacing/>
              <w:ind w:firstLine="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投标人具有认证范围为环境保护相关的质量管理体系认证证书、环境管理体系认证证书、职业健康安全管理体系认证证书的，每有一项得1分，最高得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6"/>
              <w:contextualSpacing/>
              <w:ind w:firstLine="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【投标文件中需提供相关认证证书复印件及该证书在中国国家认证认可监督管理委员会网站http://www.cnca.gov.cn/上查询的页面截图，上述要求提供的证明材料未提供或提供不完整的不得分。】</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96"/>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类似项目业绩</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6"/>
              <w:ind w:firstLine="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投标人近</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合同签订时间为</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至今</w:t>
            </w:r>
            <w:r>
              <w:rPr>
                <w:rFonts w:hint="eastAsia" w:ascii="宋体" w:hAnsi="宋体" w:eastAsia="宋体" w:cs="宋体"/>
                <w:color w:val="000000"/>
                <w:sz w:val="24"/>
                <w:szCs w:val="24"/>
                <w:highlight w:val="none"/>
              </w:rPr>
              <w:t xml:space="preserve">）承担过类似项目，每具备1项得2分，最高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6"/>
              <w:ind w:firstLine="0"/>
              <w:jc w:val="both"/>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投标文件中</w:t>
            </w:r>
            <w:r>
              <w:rPr>
                <w:rFonts w:hint="eastAsia" w:ascii="宋体" w:hAnsi="宋体" w:eastAsia="宋体" w:cs="宋体"/>
                <w:b w:val="0"/>
                <w:bCs w:val="0"/>
                <w:color w:val="000000"/>
                <w:sz w:val="24"/>
                <w:szCs w:val="24"/>
                <w:highlight w:val="none"/>
              </w:rPr>
              <w:t xml:space="preserve">需提供合同</w:t>
            </w:r>
            <w:r>
              <w:rPr>
                <w:rFonts w:hint="eastAsia" w:ascii="宋体" w:hAnsi="宋体" w:eastAsia="宋体" w:cs="宋体"/>
                <w:b w:val="0"/>
                <w:bCs w:val="0"/>
                <w:color w:val="000000"/>
                <w:sz w:val="24"/>
                <w:szCs w:val="24"/>
                <w:highlight w:val="none"/>
                <w:lang w:val="en-US" w:eastAsia="zh-CN"/>
              </w:rPr>
              <w:t xml:space="preserve">复印件，否则不得分。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96"/>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：类似项目业绩是指土壤</w:t>
            </w:r>
            <w:r>
              <w:rPr>
                <w:rFonts w:hint="eastAsia" w:ascii="宋体" w:hAnsi="宋体" w:eastAsia="宋体" w:cs="宋体"/>
                <w:color w:val="000000"/>
                <w:sz w:val="24"/>
                <w:szCs w:val="24"/>
                <w:highlight w:val="none"/>
                <w:lang w:val="en-US" w:eastAsia="zh-CN"/>
              </w:rPr>
              <w:t xml:space="preserve">和地下水</w:t>
            </w:r>
            <w:r>
              <w:rPr>
                <w:rFonts w:hint="eastAsia" w:ascii="宋体" w:hAnsi="宋体" w:eastAsia="宋体" w:cs="宋体"/>
                <w:color w:val="000000"/>
                <w:sz w:val="24"/>
                <w:szCs w:val="24"/>
                <w:highlight w:val="none"/>
              </w:rPr>
              <w:t xml:space="preserve">修复项目。矿山修复、固体废物处理处置、生活垃圾处理处置、水体修复、生态修复、底泥治理、农田治理修复业绩不作为类似项目业绩。</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69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7"/>
        <w:ind w:firstLine="480"/>
        <w:jc w:val="both"/>
        <w:spacing w:line="40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注：1、针对评分标准中评分的每一条，投标人均应提供相关资料并作出相应说明供评委评判，不提供相关资料的视为不具备该项得分的条件。</w:t>
      </w:r>
      <w:r>
        <w:rPr>
          <w:rFonts w:ascii="宋体" w:hAnsi="宋体" w:eastAsia="宋体" w:cs="宋体"/>
          <w:color w:val="000000"/>
          <w:sz w:val="24"/>
          <w:szCs w:val="24"/>
          <w:highlight w:val="none"/>
        </w:rPr>
      </w:r>
      <w:r/>
    </w:p>
    <w:p>
      <w:pPr>
        <w:pStyle w:val="696"/>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2、评标委员会可以书面方式要求投标人对投标文件中含义不明、对同类问题表述不一致或有明显文字及计算错误的内容作必要澄清、说明和补正。如投标人拒绝上述请求，评标委员会有权拒绝其响应。</w:t>
      </w:r>
      <w:r>
        <w:rPr>
          <w:rFonts w:ascii="宋体" w:hAnsi="宋体" w:eastAsia="宋体" w:cs="宋体"/>
          <w:color w:val="000000"/>
          <w:sz w:val="24"/>
          <w:szCs w:val="24"/>
          <w:highlight w:val="none"/>
        </w:rPr>
      </w:r>
      <w:r/>
    </w:p>
    <w:p>
      <w:pPr>
        <w:pStyle w:val="696"/>
        <w:ind w:firstLine="482"/>
        <w:jc w:val="right"/>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（全文完）</w:t>
      </w:r>
      <w:r/>
    </w:p>
    <w:sectPr>
      <w:footnotePr/>
      <w:endnotePr/>
      <w:type w:val="nextPage"/>
      <w:pgSz w:w="11905" w:h="16839" w:orient="portrait"/>
      <w:pgMar w:top="1327" w:right="1140" w:bottom="1327" w:left="1140"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fldChar w:fldCharType="begin"/>
    </w:r>
    <w:r>
      <w:instrText xml:space="preserve">PAGE \* MERGEFORMAT</w:instrText>
    </w:r>
    <w:r>
      <w:fldChar w:fldCharType="separate"/>
    </w:r>
    <w:r>
      <w:t xml:space="preserve">19</w:t>
    </w:r>
    <w:r>
      <w:fldChar w:fldCharType="end"/>
    </w:r>
    <w:r/>
  </w:p>
  <w:p>
    <w:pPr>
      <w:pStyle w:val="9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List Paragraph"/>
    <w:basedOn w:val="696"/>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696"/>
    <w:next w:val="696"/>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696"/>
    <w:next w:val="696"/>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696"/>
    <w:next w:val="696"/>
    <w:link w:val="671"/>
    <w:uiPriority w:val="29"/>
    <w:qFormat/>
    <w:pPr>
      <w:ind w:left="720" w:right="720"/>
    </w:pPr>
    <w:rPr>
      <w:i/>
    </w:rPr>
  </w:style>
  <w:style w:type="character" w:styleId="671">
    <w:name w:val="Quote Char"/>
    <w:link w:val="670"/>
    <w:uiPriority w:val="29"/>
    <w:rPr>
      <w:i/>
    </w:rPr>
  </w:style>
  <w:style w:type="paragraph" w:styleId="672">
    <w:name w:val="Intense Quote"/>
    <w:basedOn w:val="696"/>
    <w:next w:val="696"/>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696"/>
    <w:link w:val="768"/>
    <w:uiPriority w:val="99"/>
    <w:unhideWhenUsed/>
    <w:pPr>
      <w:spacing w:after="0" w:line="240" w:lineRule="auto"/>
      <w:tabs>
        <w:tab w:val="center" w:pos="7143" w:leader="none"/>
        <w:tab w:val="right" w:pos="14287" w:leader="none"/>
      </w:tabs>
    </w:pPr>
  </w:style>
  <w:style w:type="paragraph" w:styleId="675">
    <w:name w:val="Footer"/>
    <w:basedOn w:val="696"/>
    <w:link w:val="771"/>
    <w:uiPriority w:val="99"/>
    <w:unhideWhenUsed/>
    <w:pPr>
      <w:spacing w:after="0" w:line="240" w:lineRule="auto"/>
      <w:tabs>
        <w:tab w:val="center" w:pos="7143" w:leader="none"/>
        <w:tab w:val="right" w:pos="14287" w:leader="none"/>
      </w:tabs>
    </w:pPr>
  </w:style>
  <w:style w:type="paragraph" w:styleId="676">
    <w:name w:val="Caption"/>
    <w:basedOn w:val="696"/>
    <w:next w:val="696"/>
    <w:uiPriority w:val="35"/>
    <w:semiHidden/>
    <w:unhideWhenUsed/>
    <w:qFormat/>
    <w:pPr>
      <w:spacing w:line="276" w:lineRule="auto"/>
    </w:pPr>
    <w:rPr>
      <w:b/>
      <w:bCs/>
      <w:color w:val="4f81bd" w:themeColor="accent1"/>
      <w:sz w:val="18"/>
      <w:szCs w:val="18"/>
    </w:rPr>
  </w:style>
  <w:style w:type="table" w:styleId="6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Hyperlink"/>
    <w:uiPriority w:val="99"/>
    <w:unhideWhenUsed/>
    <w:rPr>
      <w:color w:val="0000ff" w:themeColor="hyperlink"/>
      <w:u w:val="single"/>
    </w:rPr>
  </w:style>
  <w:style w:type="paragraph" w:styleId="679">
    <w:name w:val="footnote text"/>
    <w:basedOn w:val="696"/>
    <w:link w:val="680"/>
    <w:uiPriority w:val="99"/>
    <w:semiHidden/>
    <w:unhideWhenUsed/>
    <w:pPr>
      <w:spacing w:after="40" w:line="240" w:lineRule="auto"/>
    </w:pPr>
    <w:rPr>
      <w:sz w:val="18"/>
    </w:rPr>
  </w:style>
  <w:style w:type="character" w:styleId="680">
    <w:name w:val="Footnote Text Char"/>
    <w:link w:val="679"/>
    <w:uiPriority w:val="99"/>
    <w:rPr>
      <w:sz w:val="18"/>
    </w:rPr>
  </w:style>
  <w:style w:type="character" w:styleId="681">
    <w:name w:val="footnote reference"/>
    <w:uiPriority w:val="99"/>
    <w:unhideWhenUsed/>
    <w:rPr>
      <w:vertAlign w:val="superscript"/>
    </w:rPr>
  </w:style>
  <w:style w:type="paragraph" w:styleId="682">
    <w:name w:val="endnote text"/>
    <w:basedOn w:val="696"/>
    <w:link w:val="683"/>
    <w:uiPriority w:val="99"/>
    <w:semiHidden/>
    <w:unhideWhenUsed/>
    <w:pPr>
      <w:spacing w:after="0" w:line="240" w:lineRule="auto"/>
    </w:pPr>
    <w:rPr>
      <w:sz w:val="20"/>
    </w:rPr>
  </w:style>
  <w:style w:type="character" w:styleId="683">
    <w:name w:val="Endnote Text Char"/>
    <w:link w:val="682"/>
    <w:uiPriority w:val="99"/>
    <w:rPr>
      <w:sz w:val="20"/>
    </w:rPr>
  </w:style>
  <w:style w:type="character" w:styleId="684">
    <w:name w:val="endnote reference"/>
    <w:uiPriority w:val="99"/>
    <w:semiHidden/>
    <w:unhideWhenUsed/>
    <w:rPr>
      <w:vertAlign w:val="superscript"/>
    </w:rPr>
  </w:style>
  <w:style w:type="paragraph" w:styleId="685">
    <w:name w:val="toc 1"/>
    <w:basedOn w:val="696"/>
    <w:next w:val="696"/>
    <w:uiPriority w:val="39"/>
    <w:unhideWhenUsed/>
    <w:pPr>
      <w:ind w:left="0" w:right="0" w:firstLine="0"/>
      <w:spacing w:after="57"/>
    </w:pPr>
  </w:style>
  <w:style w:type="paragraph" w:styleId="686">
    <w:name w:val="toc 2"/>
    <w:basedOn w:val="696"/>
    <w:next w:val="696"/>
    <w:uiPriority w:val="39"/>
    <w:unhideWhenUsed/>
    <w:pPr>
      <w:ind w:left="283" w:right="0" w:firstLine="0"/>
      <w:spacing w:after="57"/>
    </w:pPr>
  </w:style>
  <w:style w:type="paragraph" w:styleId="687">
    <w:name w:val="toc 3"/>
    <w:basedOn w:val="696"/>
    <w:next w:val="696"/>
    <w:uiPriority w:val="39"/>
    <w:unhideWhenUsed/>
    <w:pPr>
      <w:ind w:left="567" w:right="0" w:firstLine="0"/>
      <w:spacing w:after="57"/>
    </w:pPr>
  </w:style>
  <w:style w:type="paragraph" w:styleId="688">
    <w:name w:val="toc 4"/>
    <w:basedOn w:val="696"/>
    <w:next w:val="696"/>
    <w:uiPriority w:val="39"/>
    <w:unhideWhenUsed/>
    <w:pPr>
      <w:ind w:left="850" w:right="0" w:firstLine="0"/>
      <w:spacing w:after="57"/>
    </w:pPr>
  </w:style>
  <w:style w:type="paragraph" w:styleId="689">
    <w:name w:val="toc 5"/>
    <w:basedOn w:val="696"/>
    <w:next w:val="696"/>
    <w:uiPriority w:val="39"/>
    <w:unhideWhenUsed/>
    <w:pPr>
      <w:ind w:left="1134" w:right="0" w:firstLine="0"/>
      <w:spacing w:after="57"/>
    </w:pPr>
  </w:style>
  <w:style w:type="paragraph" w:styleId="690">
    <w:name w:val="toc 6"/>
    <w:basedOn w:val="696"/>
    <w:next w:val="696"/>
    <w:uiPriority w:val="39"/>
    <w:unhideWhenUsed/>
    <w:pPr>
      <w:ind w:left="1417" w:right="0" w:firstLine="0"/>
      <w:spacing w:after="57"/>
    </w:pPr>
  </w:style>
  <w:style w:type="paragraph" w:styleId="691">
    <w:name w:val="toc 7"/>
    <w:basedOn w:val="696"/>
    <w:next w:val="696"/>
    <w:uiPriority w:val="39"/>
    <w:unhideWhenUsed/>
    <w:pPr>
      <w:ind w:left="1701" w:right="0" w:firstLine="0"/>
      <w:spacing w:after="57"/>
    </w:pPr>
  </w:style>
  <w:style w:type="paragraph" w:styleId="692">
    <w:name w:val="toc 8"/>
    <w:basedOn w:val="696"/>
    <w:next w:val="696"/>
    <w:uiPriority w:val="39"/>
    <w:unhideWhenUsed/>
    <w:pPr>
      <w:ind w:left="1984" w:right="0" w:firstLine="0"/>
      <w:spacing w:after="57"/>
    </w:pPr>
  </w:style>
  <w:style w:type="paragraph" w:styleId="693">
    <w:name w:val="toc 9"/>
    <w:basedOn w:val="696"/>
    <w:next w:val="696"/>
    <w:uiPriority w:val="39"/>
    <w:unhideWhenUsed/>
    <w:pPr>
      <w:ind w:left="2268" w:right="0" w:firstLine="0"/>
      <w:spacing w:after="57"/>
    </w:pPr>
  </w:style>
  <w:style w:type="paragraph" w:styleId="694">
    <w:name w:val="TOC Heading"/>
    <w:uiPriority w:val="39"/>
    <w:unhideWhenUsed/>
  </w:style>
  <w:style w:type="paragraph" w:styleId="695">
    <w:name w:val="table of figures"/>
    <w:basedOn w:val="696"/>
    <w:next w:val="696"/>
    <w:uiPriority w:val="99"/>
    <w:unhideWhenUsed/>
    <w:pPr>
      <w:spacing w:after="0" w:afterAutospacing="0"/>
    </w:pPr>
  </w:style>
  <w:style w:type="paragraph" w:styleId="696" w:default="1">
    <w:name w:val="Normal"/>
    <w:next w:val="700"/>
    <w:link w:val="696"/>
    <w:qFormat/>
    <w:rPr>
      <w:rFonts w:ascii="Arial" w:hAnsi="Arial" w:eastAsia="Arial" w:cs="Arial"/>
      <w:color w:val="000000"/>
      <w:sz w:val="21"/>
      <w:szCs w:val="21"/>
      <w:lang w:val="en-US" w:eastAsia="zh-CN" w:bidi="ar-SA"/>
    </w:rPr>
  </w:style>
  <w:style w:type="paragraph" w:styleId="697">
    <w:name w:val="标题 2"/>
    <w:basedOn w:val="696"/>
    <w:next w:val="696"/>
    <w:link w:val="696"/>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698">
    <w:name w:val="默认段落字体"/>
    <w:next w:val="698"/>
    <w:link w:val="696"/>
    <w:uiPriority w:val="1"/>
    <w:unhideWhenUsed/>
    <w:qFormat/>
  </w:style>
  <w:style w:type="table" w:styleId="699">
    <w:name w:val="普通表格"/>
    <w:next w:val="699"/>
    <w:link w:val="696"/>
    <w:uiPriority w:val="99"/>
    <w:unhideWhenUsed/>
    <w:qFormat/>
    <w:tblPr/>
  </w:style>
  <w:style w:type="paragraph" w:styleId="700">
    <w:name w:val="正文文本"/>
    <w:basedOn w:val="696"/>
    <w:next w:val="702"/>
    <w:link w:val="701"/>
    <w:qFormat/>
    <w:pPr>
      <w:spacing w:after="120"/>
    </w:pPr>
  </w:style>
  <w:style w:type="character" w:styleId="701">
    <w:name w:val="正文文本 Char"/>
    <w:basedOn w:val="698"/>
    <w:next w:val="701"/>
    <w:link w:val="700"/>
    <w:qFormat/>
    <w:rPr>
      <w:rFonts w:hint="eastAsia" w:ascii="楷体_GB2312" w:eastAsia="楷体_GB2312" w:cs="楷体_GB2312"/>
      <w:sz w:val="26"/>
    </w:rPr>
  </w:style>
  <w:style w:type="paragraph" w:styleId="702">
    <w:name w:val="正文缩进"/>
    <w:basedOn w:val="696"/>
    <w:next w:val="696"/>
    <w:link w:val="696"/>
    <w:uiPriority w:val="99"/>
    <w:qFormat/>
    <w:pPr>
      <w:ind w:firstLine="420"/>
    </w:pPr>
    <w:rPr>
      <w:sz w:val="24"/>
    </w:rPr>
  </w:style>
  <w:style w:type="paragraph" w:styleId="703">
    <w:name w:val="目录 7"/>
    <w:basedOn w:val="696"/>
    <w:next w:val="696"/>
    <w:link w:val="696"/>
    <w:uiPriority w:val="39"/>
    <w:unhideWhenUsed/>
    <w:pPr>
      <w:ind w:left="1701" w:right="0" w:firstLine="0"/>
      <w:spacing w:after="57"/>
    </w:pPr>
  </w:style>
  <w:style w:type="paragraph" w:styleId="704">
    <w:name w:val="引文目录"/>
    <w:basedOn w:val="696"/>
    <w:next w:val="696"/>
    <w:link w:val="696"/>
    <w:qFormat/>
    <w:pPr>
      <w:ind w:left="420"/>
    </w:pPr>
    <w:rPr>
      <w:rFonts w:ascii="Calibri" w:hAnsi="Calibri" w:cs="Times New Roman"/>
      <w:sz w:val="21"/>
      <w:szCs w:val="24"/>
    </w:rPr>
  </w:style>
  <w:style w:type="paragraph" w:styleId="705">
    <w:name w:val="批注文字"/>
    <w:basedOn w:val="696"/>
    <w:next w:val="707"/>
    <w:link w:val="706"/>
    <w:qFormat/>
  </w:style>
  <w:style w:type="character" w:styleId="706">
    <w:name w:val="批注文字 Char"/>
    <w:basedOn w:val="698"/>
    <w:next w:val="706"/>
    <w:link w:val="705"/>
    <w:qFormat/>
    <w:rPr>
      <w:rFonts w:ascii="Arial" w:hAnsi="Arial" w:eastAsia="Arial" w:cs="Arial"/>
      <w:color w:val="000000"/>
      <w:sz w:val="21"/>
      <w:szCs w:val="21"/>
    </w:rPr>
  </w:style>
  <w:style w:type="paragraph" w:styleId="707">
    <w:name w:val="目录 21"/>
    <w:next w:val="696"/>
    <w:link w:val="696"/>
    <w:qFormat/>
    <w:pPr>
      <w:jc w:val="both"/>
    </w:pPr>
    <w:rPr>
      <w:rFonts w:ascii="Times New Roman" w:hAnsi="Times New Roman" w:eastAsia="宋体" w:cs="Times New Roman"/>
      <w:sz w:val="21"/>
      <w:lang w:val="en-US" w:eastAsia="zh-CN" w:bidi="ar-SA"/>
    </w:rPr>
  </w:style>
  <w:style w:type="paragraph" w:styleId="708">
    <w:name w:val="正文文本缩进"/>
    <w:basedOn w:val="696"/>
    <w:next w:val="710"/>
    <w:link w:val="709"/>
    <w:qFormat/>
    <w:pPr>
      <w:ind w:left="420" w:firstLine="1188"/>
      <w:spacing w:line="360" w:lineRule="exact"/>
    </w:pPr>
    <w:rPr>
      <w:rFonts w:ascii="Times New Roman" w:hAnsi="Times New Roman" w:cs="Times New Roman"/>
    </w:rPr>
  </w:style>
  <w:style w:type="character" w:styleId="709">
    <w:name w:val="正文文本缩进 Char"/>
    <w:basedOn w:val="698"/>
    <w:next w:val="709"/>
    <w:link w:val="708"/>
    <w:qFormat/>
    <w:rPr>
      <w:sz w:val="21"/>
      <w:szCs w:val="24"/>
    </w:rPr>
  </w:style>
  <w:style w:type="paragraph" w:styleId="710">
    <w:name w:val="目录 51"/>
    <w:next w:val="696"/>
    <w:link w:val="696"/>
    <w:qFormat/>
    <w:pPr>
      <w:ind w:left="1275"/>
      <w:jc w:val="both"/>
    </w:pPr>
    <w:rPr>
      <w:sz w:val="21"/>
      <w:lang w:val="en-US" w:eastAsia="zh-CN" w:bidi="ar-SA"/>
    </w:rPr>
  </w:style>
  <w:style w:type="paragraph" w:styleId="711">
    <w:name w:val="文本块"/>
    <w:basedOn w:val="696"/>
    <w:next w:val="711"/>
    <w:link w:val="696"/>
    <w:qFormat/>
    <w:pPr>
      <w:ind w:left="630" w:right="-609" w:firstLine="420"/>
      <w:spacing w:line="360" w:lineRule="auto"/>
    </w:pPr>
    <w:rPr>
      <w:rFonts w:hint="eastAsia" w:ascii="仿宋_GB2312" w:eastAsia="仿宋_GB2312"/>
      <w:szCs w:val="20"/>
    </w:rPr>
  </w:style>
  <w:style w:type="paragraph" w:styleId="712">
    <w:name w:val="目录 5"/>
    <w:basedOn w:val="696"/>
    <w:next w:val="696"/>
    <w:link w:val="696"/>
    <w:uiPriority w:val="39"/>
    <w:unhideWhenUsed/>
    <w:pPr>
      <w:ind w:left="1134" w:right="0" w:firstLine="0"/>
      <w:spacing w:after="57"/>
    </w:pPr>
  </w:style>
  <w:style w:type="paragraph" w:styleId="713">
    <w:name w:val="目录 3"/>
    <w:basedOn w:val="696"/>
    <w:next w:val="696"/>
    <w:link w:val="696"/>
    <w:uiPriority w:val="39"/>
    <w:unhideWhenUsed/>
    <w:pPr>
      <w:ind w:left="567" w:right="0" w:firstLine="0"/>
      <w:spacing w:after="57"/>
    </w:pPr>
  </w:style>
  <w:style w:type="paragraph" w:styleId="714">
    <w:name w:val="纯文本"/>
    <w:basedOn w:val="696"/>
    <w:next w:val="714"/>
    <w:link w:val="696"/>
    <w:qFormat/>
    <w:rPr>
      <w:rFonts w:ascii="宋体" w:hAnsi="Courier New"/>
    </w:rPr>
  </w:style>
  <w:style w:type="paragraph" w:styleId="715">
    <w:name w:val="目录 8"/>
    <w:basedOn w:val="696"/>
    <w:next w:val="696"/>
    <w:link w:val="696"/>
    <w:uiPriority w:val="39"/>
    <w:unhideWhenUsed/>
    <w:pPr>
      <w:ind w:left="1984" w:right="0" w:firstLine="0"/>
      <w:spacing w:after="57"/>
    </w:pPr>
  </w:style>
  <w:style w:type="paragraph" w:styleId="716">
    <w:name w:val="尾注文本"/>
    <w:basedOn w:val="696"/>
    <w:next w:val="716"/>
    <w:link w:val="717"/>
    <w:uiPriority w:val="99"/>
    <w:unhideWhenUsed/>
    <w:pPr>
      <w:spacing w:after="0" w:line="240" w:lineRule="auto"/>
    </w:pPr>
    <w:rPr>
      <w:rFonts w:ascii="Times New Roman" w:hAnsi="Times New Roman" w:eastAsia="宋体" w:cs="Times New Roman"/>
      <w:color w:val="000000"/>
      <w:sz w:val="20"/>
      <w:szCs w:val="20"/>
    </w:rPr>
  </w:style>
  <w:style w:type="character" w:styleId="717">
    <w:name w:val="尾注文本 Char"/>
    <w:next w:val="717"/>
    <w:link w:val="716"/>
    <w:uiPriority w:val="99"/>
    <w:rPr>
      <w:sz w:val="20"/>
    </w:rPr>
  </w:style>
  <w:style w:type="paragraph" w:styleId="718">
    <w:name w:val="批注框文本"/>
    <w:basedOn w:val="696"/>
    <w:next w:val="718"/>
    <w:link w:val="719"/>
    <w:qFormat/>
    <w:rPr>
      <w:sz w:val="18"/>
      <w:szCs w:val="18"/>
    </w:rPr>
  </w:style>
  <w:style w:type="character" w:styleId="719">
    <w:name w:val="批注框文本 Char"/>
    <w:basedOn w:val="698"/>
    <w:next w:val="719"/>
    <w:link w:val="718"/>
    <w:qFormat/>
    <w:rPr>
      <w:rFonts w:eastAsia="Arial"/>
      <w:color w:val="000000"/>
      <w:sz w:val="18"/>
      <w:szCs w:val="18"/>
    </w:rPr>
  </w:style>
  <w:style w:type="paragraph" w:styleId="720">
    <w:name w:val="页脚"/>
    <w:basedOn w:val="696"/>
    <w:next w:val="720"/>
    <w:link w:val="696"/>
    <w:qFormat/>
    <w:pPr>
      <w:jc w:val="left"/>
      <w:tabs>
        <w:tab w:val="center" w:pos="4153" w:leader="none"/>
        <w:tab w:val="right" w:pos="8306" w:leader="none"/>
      </w:tabs>
    </w:pPr>
    <w:rPr>
      <w:sz w:val="18"/>
    </w:rPr>
  </w:style>
  <w:style w:type="paragraph" w:styleId="721">
    <w:name w:val="寄信人地址"/>
    <w:basedOn w:val="696"/>
    <w:next w:val="721"/>
    <w:link w:val="696"/>
    <w:qFormat/>
    <w:pPr>
      <w:widowControl w:val="off"/>
    </w:pPr>
    <w:rPr>
      <w:rFonts w:eastAsia="宋体" w:cs="Times New Roman"/>
      <w:sz w:val="26"/>
      <w:szCs w:val="24"/>
    </w:rPr>
  </w:style>
  <w:style w:type="paragraph" w:styleId="722">
    <w:name w:val="页眉"/>
    <w:basedOn w:val="696"/>
    <w:next w:val="722"/>
    <w:link w:val="696"/>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23">
    <w:name w:val="目录 1"/>
    <w:basedOn w:val="696"/>
    <w:next w:val="696"/>
    <w:link w:val="696"/>
    <w:qFormat/>
    <w:rPr>
      <w:rFonts w:eastAsia="楷体_GB2312"/>
      <w:szCs w:val="20"/>
    </w:rPr>
  </w:style>
  <w:style w:type="paragraph" w:styleId="724">
    <w:name w:val="目录 4"/>
    <w:basedOn w:val="696"/>
    <w:next w:val="696"/>
    <w:link w:val="696"/>
    <w:uiPriority w:val="39"/>
    <w:unhideWhenUsed/>
    <w:pPr>
      <w:ind w:left="850" w:right="0" w:firstLine="0"/>
      <w:spacing w:after="57"/>
    </w:pPr>
  </w:style>
  <w:style w:type="paragraph" w:styleId="725">
    <w:name w:val="副标题"/>
    <w:basedOn w:val="696"/>
    <w:next w:val="696"/>
    <w:link w:val="726"/>
    <w:uiPriority w:val="11"/>
    <w:qFormat/>
    <w:pPr>
      <w:spacing w:before="200" w:after="200"/>
    </w:pPr>
    <w:rPr>
      <w:sz w:val="24"/>
      <w:szCs w:val="24"/>
    </w:rPr>
  </w:style>
  <w:style w:type="character" w:styleId="726">
    <w:name w:val="副标题 Char"/>
    <w:basedOn w:val="698"/>
    <w:next w:val="726"/>
    <w:link w:val="725"/>
    <w:uiPriority w:val="11"/>
    <w:rPr>
      <w:sz w:val="24"/>
      <w:szCs w:val="24"/>
    </w:rPr>
  </w:style>
  <w:style w:type="paragraph" w:styleId="727">
    <w:name w:val="脚注文本"/>
    <w:basedOn w:val="696"/>
    <w:next w:val="727"/>
    <w:link w:val="728"/>
    <w:uiPriority w:val="99"/>
    <w:unhideWhenUsed/>
    <w:pPr>
      <w:spacing w:after="40" w:line="240" w:lineRule="auto"/>
    </w:pPr>
    <w:rPr>
      <w:rFonts w:ascii="Times New Roman" w:hAnsi="Times New Roman" w:eastAsia="宋体" w:cs="Times New Roman"/>
      <w:color w:val="000000"/>
      <w:sz w:val="18"/>
      <w:szCs w:val="20"/>
    </w:rPr>
  </w:style>
  <w:style w:type="character" w:styleId="728">
    <w:name w:val="脚注文本 Char"/>
    <w:next w:val="728"/>
    <w:link w:val="727"/>
    <w:uiPriority w:val="99"/>
    <w:rPr>
      <w:sz w:val="18"/>
    </w:rPr>
  </w:style>
  <w:style w:type="paragraph" w:styleId="729">
    <w:name w:val="目录 6"/>
    <w:basedOn w:val="696"/>
    <w:next w:val="696"/>
    <w:link w:val="696"/>
    <w:uiPriority w:val="39"/>
    <w:unhideWhenUsed/>
    <w:pPr>
      <w:ind w:left="1417" w:right="0" w:firstLine="0"/>
      <w:spacing w:after="57"/>
    </w:pPr>
  </w:style>
  <w:style w:type="paragraph" w:styleId="730">
    <w:name w:val="正文文本缩进 3"/>
    <w:basedOn w:val="696"/>
    <w:next w:val="730"/>
    <w:link w:val="696"/>
    <w:qFormat/>
    <w:pPr>
      <w:ind w:firstLine="492"/>
      <w:spacing w:line="360" w:lineRule="auto"/>
    </w:pPr>
    <w:rPr>
      <w:rFonts w:eastAsia="宋体"/>
      <w:sz w:val="24"/>
    </w:rPr>
  </w:style>
  <w:style w:type="paragraph" w:styleId="731">
    <w:name w:val="图表目录"/>
    <w:basedOn w:val="696"/>
    <w:next w:val="696"/>
    <w:link w:val="696"/>
    <w:uiPriority w:val="99"/>
    <w:unhideWhenUsed/>
    <w:pPr>
      <w:spacing w:after="0" w:afterAutospacing="0"/>
    </w:pPr>
  </w:style>
  <w:style w:type="paragraph" w:styleId="732">
    <w:name w:val="目录 2"/>
    <w:basedOn w:val="696"/>
    <w:next w:val="696"/>
    <w:link w:val="696"/>
    <w:uiPriority w:val="39"/>
    <w:unhideWhenUsed/>
    <w:pPr>
      <w:ind w:left="283" w:right="0" w:firstLine="0"/>
      <w:spacing w:after="57"/>
    </w:pPr>
  </w:style>
  <w:style w:type="paragraph" w:styleId="733">
    <w:name w:val="目录 9"/>
    <w:basedOn w:val="696"/>
    <w:next w:val="696"/>
    <w:link w:val="696"/>
    <w:uiPriority w:val="39"/>
    <w:unhideWhenUsed/>
    <w:pPr>
      <w:ind w:left="2268" w:right="0" w:firstLine="0"/>
      <w:spacing w:after="57"/>
    </w:pPr>
  </w:style>
  <w:style w:type="paragraph" w:styleId="734">
    <w:name w:val="普通(网站)"/>
    <w:basedOn w:val="696"/>
    <w:next w:val="734"/>
    <w:link w:val="696"/>
    <w:qFormat/>
    <w:pPr>
      <w:spacing w:beforeAutospacing="1" w:afterAutospacing="1"/>
    </w:pPr>
    <w:rPr>
      <w:rFonts w:cs="Times New Roman"/>
      <w:sz w:val="24"/>
    </w:rPr>
  </w:style>
  <w:style w:type="paragraph" w:styleId="735">
    <w:name w:val="标题"/>
    <w:basedOn w:val="696"/>
    <w:next w:val="696"/>
    <w:link w:val="736"/>
    <w:uiPriority w:val="10"/>
    <w:qFormat/>
    <w:pPr>
      <w:contextualSpacing/>
      <w:spacing w:before="300" w:after="200"/>
    </w:pPr>
    <w:rPr>
      <w:sz w:val="48"/>
      <w:szCs w:val="48"/>
    </w:rPr>
  </w:style>
  <w:style w:type="character" w:styleId="736">
    <w:name w:val="标题 Char"/>
    <w:basedOn w:val="698"/>
    <w:next w:val="736"/>
    <w:link w:val="735"/>
    <w:uiPriority w:val="10"/>
    <w:rPr>
      <w:sz w:val="48"/>
      <w:szCs w:val="48"/>
    </w:rPr>
  </w:style>
  <w:style w:type="paragraph" w:styleId="737">
    <w:name w:val="批注主题"/>
    <w:basedOn w:val="705"/>
    <w:next w:val="705"/>
    <w:link w:val="738"/>
    <w:qFormat/>
    <w:rPr>
      <w:b/>
      <w:bCs/>
    </w:rPr>
  </w:style>
  <w:style w:type="character" w:styleId="738">
    <w:name w:val="批注主题 Char"/>
    <w:basedOn w:val="706"/>
    <w:next w:val="738"/>
    <w:link w:val="737"/>
    <w:qFormat/>
    <w:rPr>
      <w:rFonts w:ascii="Arial" w:hAnsi="Arial" w:eastAsia="Arial" w:cs="Arial"/>
      <w:b/>
      <w:bCs/>
      <w:color w:val="000000"/>
      <w:sz w:val="21"/>
      <w:szCs w:val="21"/>
    </w:rPr>
  </w:style>
  <w:style w:type="paragraph" w:styleId="739">
    <w:name w:val="正文首行缩进 2"/>
    <w:basedOn w:val="708"/>
    <w:next w:val="702"/>
    <w:link w:val="696"/>
    <w:qFormat/>
    <w:pPr>
      <w:ind w:left="200" w:firstLine="420"/>
      <w:jc w:val="both"/>
      <w:spacing w:after="120"/>
    </w:pPr>
    <w:rPr>
      <w:rFonts w:ascii="Calibri" w:hAnsi="Calibri"/>
    </w:rPr>
  </w:style>
  <w:style w:type="table" w:styleId="740">
    <w:name w:val="网格型"/>
    <w:basedOn w:val="699"/>
    <w:next w:val="740"/>
    <w:link w:val="696"/>
    <w:qFormat/>
    <w:pPr>
      <w:jc w:val="both"/>
      <w:widowControl w:val="off"/>
    </w:pPr>
    <w:tblPr/>
  </w:style>
  <w:style w:type="character" w:styleId="741">
    <w:name w:val="要点"/>
    <w:basedOn w:val="698"/>
    <w:next w:val="741"/>
    <w:link w:val="696"/>
    <w:qFormat/>
    <w:rPr>
      <w:b/>
    </w:rPr>
  </w:style>
  <w:style w:type="character" w:styleId="742">
    <w:name w:val="尾注引用"/>
    <w:basedOn w:val="698"/>
    <w:next w:val="742"/>
    <w:link w:val="696"/>
    <w:uiPriority w:val="99"/>
    <w:unhideWhenUsed/>
    <w:rPr>
      <w:vertAlign w:val="superscript"/>
    </w:rPr>
  </w:style>
  <w:style w:type="character" w:styleId="743">
    <w:name w:val="超链接"/>
    <w:next w:val="743"/>
    <w:link w:val="696"/>
    <w:uiPriority w:val="99"/>
    <w:unhideWhenUsed/>
    <w:rPr>
      <w:color w:val="0000ff"/>
      <w:u w:val="single"/>
    </w:rPr>
  </w:style>
  <w:style w:type="character" w:styleId="744">
    <w:name w:val="批注引用"/>
    <w:basedOn w:val="698"/>
    <w:next w:val="744"/>
    <w:link w:val="696"/>
    <w:qFormat/>
    <w:rPr>
      <w:sz w:val="21"/>
      <w:szCs w:val="21"/>
    </w:rPr>
  </w:style>
  <w:style w:type="character" w:styleId="745">
    <w:name w:val="脚注引用"/>
    <w:basedOn w:val="698"/>
    <w:next w:val="745"/>
    <w:link w:val="696"/>
    <w:uiPriority w:val="99"/>
    <w:unhideWhenUsed/>
    <w:rPr>
      <w:vertAlign w:val="superscript"/>
    </w:rPr>
  </w:style>
  <w:style w:type="character" w:styleId="746">
    <w:name w:val="脚注引用1"/>
    <w:next w:val="746"/>
    <w:link w:val="696"/>
    <w:uiPriority w:val="99"/>
    <w:unhideWhenUsed/>
    <w:qFormat/>
    <w:rPr>
      <w:rFonts w:ascii="Arial" w:hAnsi="Arial" w:eastAsia="Arial" w:cs="Arial"/>
      <w:color w:val="000000"/>
      <w:sz w:val="21"/>
      <w:szCs w:val="21"/>
      <w:lang w:eastAsia="zh-CN"/>
    </w:rPr>
  </w:style>
  <w:style w:type="character" w:styleId="747">
    <w:name w:val="Heading 1 Char"/>
    <w:basedOn w:val="698"/>
    <w:next w:val="747"/>
    <w:link w:val="696"/>
    <w:uiPriority w:val="9"/>
    <w:rPr>
      <w:rFonts w:ascii="Arial" w:hAnsi="Arial" w:eastAsia="Arial" w:cs="Arial"/>
      <w:sz w:val="40"/>
      <w:szCs w:val="40"/>
    </w:rPr>
  </w:style>
  <w:style w:type="paragraph" w:styleId="748">
    <w:name w:val="Heading 2"/>
    <w:basedOn w:val="696"/>
    <w:next w:val="696"/>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basedOn w:val="698"/>
    <w:next w:val="749"/>
    <w:link w:val="748"/>
    <w:uiPriority w:val="9"/>
    <w:rPr>
      <w:rFonts w:ascii="Arial" w:hAnsi="Arial" w:eastAsia="Arial" w:cs="Arial"/>
      <w:sz w:val="34"/>
    </w:rPr>
  </w:style>
  <w:style w:type="character" w:styleId="750">
    <w:name w:val="Heading 3 Char"/>
    <w:basedOn w:val="698"/>
    <w:next w:val="750"/>
    <w:link w:val="696"/>
    <w:uiPriority w:val="9"/>
    <w:rPr>
      <w:rFonts w:ascii="Arial" w:hAnsi="Arial" w:eastAsia="Arial" w:cs="Arial"/>
      <w:sz w:val="30"/>
      <w:szCs w:val="30"/>
    </w:rPr>
  </w:style>
  <w:style w:type="paragraph" w:styleId="751">
    <w:name w:val="Heading 4"/>
    <w:basedOn w:val="696"/>
    <w:next w:val="696"/>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basedOn w:val="698"/>
    <w:next w:val="752"/>
    <w:link w:val="751"/>
    <w:uiPriority w:val="9"/>
    <w:rPr>
      <w:rFonts w:ascii="Arial" w:hAnsi="Arial" w:eastAsia="Arial" w:cs="Arial"/>
      <w:b/>
      <w:bCs/>
      <w:sz w:val="26"/>
      <w:szCs w:val="26"/>
    </w:rPr>
  </w:style>
  <w:style w:type="paragraph" w:styleId="753">
    <w:name w:val="Heading 5"/>
    <w:basedOn w:val="696"/>
    <w:next w:val="696"/>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698"/>
    <w:next w:val="754"/>
    <w:link w:val="753"/>
    <w:uiPriority w:val="9"/>
    <w:rPr>
      <w:rFonts w:ascii="Arial" w:hAnsi="Arial" w:eastAsia="Arial" w:cs="Arial"/>
      <w:b/>
      <w:bCs/>
      <w:sz w:val="24"/>
      <w:szCs w:val="24"/>
    </w:rPr>
  </w:style>
  <w:style w:type="paragraph" w:styleId="755">
    <w:name w:val="Heading 6"/>
    <w:basedOn w:val="696"/>
    <w:next w:val="696"/>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698"/>
    <w:next w:val="756"/>
    <w:link w:val="755"/>
    <w:uiPriority w:val="9"/>
    <w:rPr>
      <w:rFonts w:ascii="Arial" w:hAnsi="Arial" w:eastAsia="Arial" w:cs="Arial"/>
      <w:b/>
      <w:bCs/>
      <w:sz w:val="22"/>
      <w:szCs w:val="22"/>
    </w:rPr>
  </w:style>
  <w:style w:type="paragraph" w:styleId="757">
    <w:name w:val="Heading 7"/>
    <w:basedOn w:val="696"/>
    <w:next w:val="696"/>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698"/>
    <w:next w:val="758"/>
    <w:link w:val="757"/>
    <w:uiPriority w:val="9"/>
    <w:rPr>
      <w:rFonts w:ascii="Arial" w:hAnsi="Arial" w:eastAsia="Arial" w:cs="Arial"/>
      <w:b/>
      <w:bCs/>
      <w:i/>
      <w:iCs/>
      <w:sz w:val="22"/>
      <w:szCs w:val="22"/>
    </w:rPr>
  </w:style>
  <w:style w:type="paragraph" w:styleId="759">
    <w:name w:val="Heading 8"/>
    <w:basedOn w:val="696"/>
    <w:next w:val="696"/>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698"/>
    <w:next w:val="760"/>
    <w:link w:val="759"/>
    <w:uiPriority w:val="9"/>
    <w:rPr>
      <w:rFonts w:ascii="Arial" w:hAnsi="Arial" w:eastAsia="Arial" w:cs="Arial"/>
      <w:i/>
      <w:iCs/>
      <w:sz w:val="22"/>
      <w:szCs w:val="22"/>
    </w:rPr>
  </w:style>
  <w:style w:type="paragraph" w:styleId="761">
    <w:name w:val="Heading 9"/>
    <w:basedOn w:val="696"/>
    <w:next w:val="696"/>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698"/>
    <w:next w:val="762"/>
    <w:link w:val="761"/>
    <w:uiPriority w:val="9"/>
    <w:rPr>
      <w:rFonts w:ascii="Arial" w:hAnsi="Arial" w:eastAsia="Arial" w:cs="Arial"/>
      <w:i/>
      <w:iCs/>
      <w:sz w:val="21"/>
      <w:szCs w:val="21"/>
    </w:rPr>
  </w:style>
  <w:style w:type="paragraph" w:styleId="763">
    <w:name w:val="无间隔"/>
    <w:next w:val="763"/>
    <w:link w:val="696"/>
    <w:uiPriority w:val="1"/>
    <w:qFormat/>
    <w:rPr>
      <w:lang w:val="en-US" w:eastAsia="zh-CN" w:bidi="ar-SA"/>
    </w:rPr>
  </w:style>
  <w:style w:type="paragraph" w:styleId="764">
    <w:name w:val="引用"/>
    <w:basedOn w:val="696"/>
    <w:next w:val="696"/>
    <w:link w:val="765"/>
    <w:uiPriority w:val="29"/>
    <w:qFormat/>
    <w:pPr>
      <w:ind w:left="720" w:right="720"/>
    </w:pPr>
    <w:rPr>
      <w:rFonts w:ascii="Times New Roman" w:hAnsi="Times New Roman" w:eastAsia="宋体" w:cs="Times New Roman"/>
      <w:i/>
      <w:color w:val="000000"/>
      <w:sz w:val="20"/>
      <w:szCs w:val="20"/>
    </w:rPr>
  </w:style>
  <w:style w:type="character" w:styleId="765">
    <w:name w:val="引用 Char"/>
    <w:next w:val="765"/>
    <w:link w:val="764"/>
    <w:uiPriority w:val="29"/>
    <w:rPr>
      <w:i/>
    </w:rPr>
  </w:style>
  <w:style w:type="paragraph" w:styleId="766">
    <w:name w:val="明显引用"/>
    <w:basedOn w:val="696"/>
    <w:next w:val="696"/>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color w:val="000000"/>
      <w:sz w:val="20"/>
      <w:szCs w:val="20"/>
    </w:rPr>
  </w:style>
  <w:style w:type="character" w:styleId="767">
    <w:name w:val="明显引用 Char"/>
    <w:next w:val="767"/>
    <w:link w:val="766"/>
    <w:uiPriority w:val="30"/>
    <w:rPr>
      <w:i/>
    </w:rPr>
  </w:style>
  <w:style w:type="character" w:styleId="768">
    <w:name w:val="Header Char"/>
    <w:basedOn w:val="698"/>
    <w:next w:val="768"/>
    <w:link w:val="696"/>
    <w:uiPriority w:val="99"/>
  </w:style>
  <w:style w:type="character" w:styleId="769">
    <w:name w:val="Footer Char"/>
    <w:basedOn w:val="698"/>
    <w:next w:val="769"/>
    <w:link w:val="696"/>
    <w:uiPriority w:val="99"/>
  </w:style>
  <w:style w:type="paragraph" w:styleId="770">
    <w:name w:val="Caption1"/>
    <w:basedOn w:val="696"/>
    <w:next w:val="696"/>
    <w:link w:val="696"/>
    <w:uiPriority w:val="35"/>
    <w:unhideWhenUsed/>
    <w:qFormat/>
    <w:pPr>
      <w:spacing w:line="276" w:lineRule="auto"/>
    </w:pPr>
    <w:rPr>
      <w:b/>
      <w:bCs/>
      <w:color w:val="4f81bd"/>
      <w:sz w:val="18"/>
      <w:szCs w:val="18"/>
    </w:rPr>
  </w:style>
  <w:style w:type="character" w:styleId="771">
    <w:name w:val="Caption Char"/>
    <w:next w:val="771"/>
    <w:link w:val="696"/>
    <w:uiPriority w:val="99"/>
  </w:style>
  <w:style w:type="table" w:styleId="772">
    <w:name w:val="Table Grid Light"/>
    <w:basedOn w:val="699"/>
    <w:next w:val="772"/>
    <w:link w:val="696"/>
    <w:uiPriority w:val="59"/>
    <w:pPr>
      <w:spacing w:after="0" w:line="240" w:lineRule="auto"/>
    </w:pPr>
    <w:tblPr/>
  </w:style>
  <w:style w:type="table" w:styleId="773">
    <w:name w:val="Plain Table 1"/>
    <w:basedOn w:val="699"/>
    <w:next w:val="773"/>
    <w:link w:val="696"/>
    <w:uiPriority w:val="59"/>
    <w:pPr>
      <w:spacing w:after="0" w:line="240" w:lineRule="auto"/>
    </w:pPr>
    <w:tblPr/>
  </w:style>
  <w:style w:type="table" w:styleId="774">
    <w:name w:val="Plain Table 2"/>
    <w:basedOn w:val="699"/>
    <w:next w:val="774"/>
    <w:link w:val="696"/>
    <w:uiPriority w:val="59"/>
    <w:pPr>
      <w:spacing w:after="0" w:line="240" w:lineRule="auto"/>
    </w:pPr>
    <w:tblPr/>
  </w:style>
  <w:style w:type="table" w:styleId="775">
    <w:name w:val="Plain Table 3"/>
    <w:basedOn w:val="699"/>
    <w:next w:val="775"/>
    <w:link w:val="696"/>
    <w:uiPriority w:val="99"/>
    <w:pPr>
      <w:spacing w:after="0" w:line="240" w:lineRule="auto"/>
    </w:pPr>
    <w:tblPr/>
  </w:style>
  <w:style w:type="table" w:styleId="776">
    <w:name w:val="Plain Table 4"/>
    <w:basedOn w:val="699"/>
    <w:next w:val="776"/>
    <w:link w:val="696"/>
    <w:uiPriority w:val="99"/>
    <w:pPr>
      <w:spacing w:after="0" w:line="240" w:lineRule="auto"/>
    </w:pPr>
    <w:tblPr/>
  </w:style>
  <w:style w:type="table" w:styleId="777">
    <w:name w:val="Plain Table 5"/>
    <w:basedOn w:val="699"/>
    <w:next w:val="777"/>
    <w:link w:val="696"/>
    <w:uiPriority w:val="99"/>
    <w:pPr>
      <w:spacing w:after="0" w:line="240" w:lineRule="auto"/>
    </w:pPr>
    <w:tblPr/>
  </w:style>
  <w:style w:type="table" w:styleId="778">
    <w:name w:val="Grid Table 1 Light"/>
    <w:basedOn w:val="699"/>
    <w:next w:val="778"/>
    <w:link w:val="696"/>
    <w:uiPriority w:val="99"/>
    <w:pPr>
      <w:spacing w:after="0" w:line="240" w:lineRule="auto"/>
    </w:pPr>
    <w:tblPr/>
  </w:style>
  <w:style w:type="table" w:styleId="779">
    <w:name w:val="Grid Table 1 Light - Accent 1"/>
    <w:basedOn w:val="699"/>
    <w:next w:val="779"/>
    <w:link w:val="696"/>
    <w:uiPriority w:val="99"/>
    <w:pPr>
      <w:spacing w:after="0" w:line="240" w:lineRule="auto"/>
    </w:pPr>
    <w:tblPr/>
  </w:style>
  <w:style w:type="table" w:styleId="780">
    <w:name w:val="Grid Table 1 Light - Accent 2"/>
    <w:basedOn w:val="699"/>
    <w:next w:val="780"/>
    <w:link w:val="696"/>
    <w:uiPriority w:val="99"/>
    <w:pPr>
      <w:spacing w:after="0" w:line="240" w:lineRule="auto"/>
    </w:pPr>
    <w:tblPr/>
  </w:style>
  <w:style w:type="table" w:styleId="781">
    <w:name w:val="Grid Table 1 Light - Accent 3"/>
    <w:basedOn w:val="699"/>
    <w:next w:val="781"/>
    <w:link w:val="696"/>
    <w:uiPriority w:val="99"/>
    <w:pPr>
      <w:spacing w:after="0" w:line="240" w:lineRule="auto"/>
    </w:pPr>
    <w:tblPr/>
  </w:style>
  <w:style w:type="table" w:styleId="782">
    <w:name w:val="Grid Table 1 Light - Accent 4"/>
    <w:basedOn w:val="699"/>
    <w:next w:val="782"/>
    <w:link w:val="696"/>
    <w:uiPriority w:val="99"/>
    <w:pPr>
      <w:spacing w:after="0" w:line="240" w:lineRule="auto"/>
    </w:pPr>
    <w:tblPr/>
  </w:style>
  <w:style w:type="table" w:styleId="783">
    <w:name w:val="Grid Table 1 Light - Accent 5"/>
    <w:basedOn w:val="699"/>
    <w:next w:val="783"/>
    <w:link w:val="696"/>
    <w:uiPriority w:val="99"/>
    <w:pPr>
      <w:spacing w:after="0" w:line="240" w:lineRule="auto"/>
    </w:pPr>
    <w:tblPr/>
  </w:style>
  <w:style w:type="table" w:styleId="784">
    <w:name w:val="Grid Table 1 Light - Accent 6"/>
    <w:basedOn w:val="699"/>
    <w:next w:val="784"/>
    <w:link w:val="696"/>
    <w:uiPriority w:val="99"/>
    <w:pPr>
      <w:spacing w:after="0" w:line="240" w:lineRule="auto"/>
    </w:pPr>
    <w:tblPr/>
  </w:style>
  <w:style w:type="table" w:styleId="785">
    <w:name w:val="Grid Table 2"/>
    <w:basedOn w:val="699"/>
    <w:next w:val="785"/>
    <w:link w:val="696"/>
    <w:uiPriority w:val="99"/>
    <w:pPr>
      <w:spacing w:after="0" w:line="240" w:lineRule="auto"/>
    </w:pPr>
    <w:tblPr/>
  </w:style>
  <w:style w:type="table" w:styleId="786">
    <w:name w:val="Grid Table 2 - Accent 1"/>
    <w:basedOn w:val="699"/>
    <w:next w:val="786"/>
    <w:link w:val="696"/>
    <w:uiPriority w:val="99"/>
    <w:pPr>
      <w:spacing w:after="0" w:line="240" w:lineRule="auto"/>
    </w:pPr>
    <w:tblPr/>
  </w:style>
  <w:style w:type="table" w:styleId="787">
    <w:name w:val="Grid Table 2 - Accent 2"/>
    <w:basedOn w:val="699"/>
    <w:next w:val="787"/>
    <w:link w:val="696"/>
    <w:uiPriority w:val="99"/>
    <w:pPr>
      <w:spacing w:after="0" w:line="240" w:lineRule="auto"/>
    </w:pPr>
    <w:tblPr/>
  </w:style>
  <w:style w:type="table" w:styleId="788">
    <w:name w:val="Grid Table 2 - Accent 3"/>
    <w:basedOn w:val="699"/>
    <w:next w:val="788"/>
    <w:link w:val="696"/>
    <w:uiPriority w:val="99"/>
    <w:pPr>
      <w:spacing w:after="0" w:line="240" w:lineRule="auto"/>
    </w:pPr>
    <w:tblPr/>
  </w:style>
  <w:style w:type="table" w:styleId="789">
    <w:name w:val="Grid Table 2 - Accent 4"/>
    <w:basedOn w:val="699"/>
    <w:next w:val="789"/>
    <w:link w:val="696"/>
    <w:uiPriority w:val="99"/>
    <w:pPr>
      <w:spacing w:after="0" w:line="240" w:lineRule="auto"/>
    </w:pPr>
    <w:tblPr/>
  </w:style>
  <w:style w:type="table" w:styleId="790">
    <w:name w:val="Grid Table 2 - Accent 5"/>
    <w:basedOn w:val="699"/>
    <w:next w:val="790"/>
    <w:link w:val="696"/>
    <w:uiPriority w:val="99"/>
    <w:pPr>
      <w:spacing w:after="0" w:line="240" w:lineRule="auto"/>
    </w:pPr>
    <w:tblPr/>
  </w:style>
  <w:style w:type="table" w:styleId="791">
    <w:name w:val="Grid Table 2 - Accent 6"/>
    <w:basedOn w:val="699"/>
    <w:next w:val="791"/>
    <w:link w:val="696"/>
    <w:uiPriority w:val="99"/>
    <w:pPr>
      <w:spacing w:after="0" w:line="240" w:lineRule="auto"/>
    </w:pPr>
    <w:tblPr/>
  </w:style>
  <w:style w:type="table" w:styleId="792">
    <w:name w:val="Grid Table 3"/>
    <w:basedOn w:val="699"/>
    <w:next w:val="792"/>
    <w:link w:val="696"/>
    <w:uiPriority w:val="99"/>
    <w:pPr>
      <w:spacing w:after="0" w:line="240" w:lineRule="auto"/>
    </w:pPr>
    <w:tblPr/>
  </w:style>
  <w:style w:type="table" w:styleId="793">
    <w:name w:val="Grid Table 3 - Accent 1"/>
    <w:basedOn w:val="699"/>
    <w:next w:val="793"/>
    <w:link w:val="696"/>
    <w:uiPriority w:val="99"/>
    <w:pPr>
      <w:spacing w:after="0" w:line="240" w:lineRule="auto"/>
    </w:pPr>
    <w:tblPr/>
  </w:style>
  <w:style w:type="table" w:styleId="794">
    <w:name w:val="Grid Table 3 - Accent 2"/>
    <w:basedOn w:val="699"/>
    <w:next w:val="794"/>
    <w:link w:val="696"/>
    <w:uiPriority w:val="99"/>
    <w:pPr>
      <w:spacing w:after="0" w:line="240" w:lineRule="auto"/>
    </w:pPr>
    <w:tblPr/>
  </w:style>
  <w:style w:type="table" w:styleId="795">
    <w:name w:val="Grid Table 3 - Accent 3"/>
    <w:basedOn w:val="699"/>
    <w:next w:val="795"/>
    <w:link w:val="696"/>
    <w:uiPriority w:val="99"/>
    <w:pPr>
      <w:spacing w:after="0" w:line="240" w:lineRule="auto"/>
    </w:pPr>
    <w:tblPr/>
  </w:style>
  <w:style w:type="table" w:styleId="796">
    <w:name w:val="Grid Table 3 - Accent 4"/>
    <w:basedOn w:val="699"/>
    <w:next w:val="796"/>
    <w:link w:val="696"/>
    <w:uiPriority w:val="99"/>
    <w:pPr>
      <w:spacing w:after="0" w:line="240" w:lineRule="auto"/>
    </w:pPr>
    <w:tblPr/>
  </w:style>
  <w:style w:type="table" w:styleId="797">
    <w:name w:val="Grid Table 3 - Accent 5"/>
    <w:basedOn w:val="699"/>
    <w:next w:val="797"/>
    <w:link w:val="696"/>
    <w:uiPriority w:val="99"/>
    <w:pPr>
      <w:spacing w:after="0" w:line="240" w:lineRule="auto"/>
    </w:pPr>
    <w:tblPr/>
  </w:style>
  <w:style w:type="table" w:styleId="798">
    <w:name w:val="Grid Table 3 - Accent 6"/>
    <w:basedOn w:val="699"/>
    <w:next w:val="798"/>
    <w:link w:val="696"/>
    <w:uiPriority w:val="99"/>
    <w:pPr>
      <w:spacing w:after="0" w:line="240" w:lineRule="auto"/>
    </w:pPr>
    <w:tblPr/>
  </w:style>
  <w:style w:type="table" w:styleId="799">
    <w:name w:val="Grid Table 4"/>
    <w:basedOn w:val="699"/>
    <w:next w:val="799"/>
    <w:link w:val="696"/>
    <w:uiPriority w:val="59"/>
    <w:pPr>
      <w:spacing w:after="0" w:line="240" w:lineRule="auto"/>
    </w:pPr>
    <w:tblPr/>
  </w:style>
  <w:style w:type="table" w:styleId="800">
    <w:name w:val="Grid Table 4 - Accent 1"/>
    <w:basedOn w:val="699"/>
    <w:next w:val="800"/>
    <w:link w:val="696"/>
    <w:uiPriority w:val="59"/>
    <w:pPr>
      <w:spacing w:after="0" w:line="240" w:lineRule="auto"/>
    </w:pPr>
    <w:tblPr/>
  </w:style>
  <w:style w:type="table" w:styleId="801">
    <w:name w:val="Grid Table 4 - Accent 2"/>
    <w:basedOn w:val="699"/>
    <w:next w:val="801"/>
    <w:link w:val="696"/>
    <w:uiPriority w:val="59"/>
    <w:pPr>
      <w:spacing w:after="0" w:line="240" w:lineRule="auto"/>
    </w:pPr>
    <w:tblPr/>
  </w:style>
  <w:style w:type="table" w:styleId="802">
    <w:name w:val="Grid Table 4 - Accent 3"/>
    <w:basedOn w:val="699"/>
    <w:next w:val="802"/>
    <w:link w:val="696"/>
    <w:uiPriority w:val="59"/>
    <w:pPr>
      <w:spacing w:after="0" w:line="240" w:lineRule="auto"/>
    </w:pPr>
    <w:tblPr/>
  </w:style>
  <w:style w:type="table" w:styleId="803">
    <w:name w:val="Grid Table 4 - Accent 4"/>
    <w:basedOn w:val="699"/>
    <w:next w:val="803"/>
    <w:link w:val="696"/>
    <w:uiPriority w:val="59"/>
    <w:pPr>
      <w:spacing w:after="0" w:line="240" w:lineRule="auto"/>
    </w:pPr>
    <w:tblPr/>
  </w:style>
  <w:style w:type="table" w:styleId="804">
    <w:name w:val="Grid Table 4 - Accent 5"/>
    <w:basedOn w:val="699"/>
    <w:next w:val="804"/>
    <w:link w:val="696"/>
    <w:uiPriority w:val="59"/>
    <w:pPr>
      <w:spacing w:after="0" w:line="240" w:lineRule="auto"/>
    </w:pPr>
    <w:tblPr/>
  </w:style>
  <w:style w:type="table" w:styleId="805">
    <w:name w:val="Grid Table 4 - Accent 6"/>
    <w:basedOn w:val="699"/>
    <w:next w:val="805"/>
    <w:link w:val="696"/>
    <w:uiPriority w:val="59"/>
    <w:pPr>
      <w:spacing w:after="0" w:line="240" w:lineRule="auto"/>
    </w:pPr>
    <w:tblPr/>
  </w:style>
  <w:style w:type="table" w:styleId="806">
    <w:name w:val="Grid Table 5 Dark"/>
    <w:basedOn w:val="699"/>
    <w:next w:val="806"/>
    <w:link w:val="696"/>
    <w:uiPriority w:val="99"/>
    <w:pPr>
      <w:spacing w:after="0" w:line="240" w:lineRule="auto"/>
    </w:pPr>
    <w:tblPr/>
  </w:style>
  <w:style w:type="table" w:styleId="807">
    <w:name w:val="Grid Table 5 Dark- Accent 1"/>
    <w:basedOn w:val="699"/>
    <w:next w:val="807"/>
    <w:link w:val="696"/>
    <w:uiPriority w:val="99"/>
    <w:pPr>
      <w:spacing w:after="0" w:line="240" w:lineRule="auto"/>
    </w:pPr>
    <w:tblPr/>
  </w:style>
  <w:style w:type="table" w:styleId="808">
    <w:name w:val="Grid Table 5 Dark - Accent 2"/>
    <w:basedOn w:val="699"/>
    <w:next w:val="808"/>
    <w:link w:val="696"/>
    <w:uiPriority w:val="99"/>
    <w:pPr>
      <w:spacing w:after="0" w:line="240" w:lineRule="auto"/>
    </w:pPr>
    <w:tblPr/>
  </w:style>
  <w:style w:type="table" w:styleId="809">
    <w:name w:val="Grid Table 5 Dark - Accent 3"/>
    <w:basedOn w:val="699"/>
    <w:next w:val="809"/>
    <w:link w:val="696"/>
    <w:uiPriority w:val="99"/>
    <w:pPr>
      <w:spacing w:after="0" w:line="240" w:lineRule="auto"/>
    </w:pPr>
    <w:tblPr/>
  </w:style>
  <w:style w:type="table" w:styleId="810">
    <w:name w:val="Grid Table 5 Dark- Accent 4"/>
    <w:basedOn w:val="699"/>
    <w:next w:val="810"/>
    <w:link w:val="696"/>
    <w:uiPriority w:val="99"/>
    <w:pPr>
      <w:spacing w:after="0" w:line="240" w:lineRule="auto"/>
    </w:pPr>
    <w:tblPr/>
  </w:style>
  <w:style w:type="table" w:styleId="811">
    <w:name w:val="Grid Table 5 Dark - Accent 5"/>
    <w:basedOn w:val="699"/>
    <w:next w:val="811"/>
    <w:link w:val="696"/>
    <w:uiPriority w:val="99"/>
    <w:pPr>
      <w:spacing w:after="0" w:line="240" w:lineRule="auto"/>
    </w:pPr>
    <w:tblPr/>
  </w:style>
  <w:style w:type="table" w:styleId="812">
    <w:name w:val="Grid Table 5 Dark - Accent 6"/>
    <w:basedOn w:val="699"/>
    <w:next w:val="812"/>
    <w:link w:val="696"/>
    <w:uiPriority w:val="99"/>
    <w:pPr>
      <w:spacing w:after="0" w:line="240" w:lineRule="auto"/>
    </w:pPr>
    <w:tblPr/>
  </w:style>
  <w:style w:type="table" w:styleId="813">
    <w:name w:val="Grid Table 6 Colorful"/>
    <w:basedOn w:val="699"/>
    <w:next w:val="813"/>
    <w:link w:val="696"/>
    <w:uiPriority w:val="99"/>
    <w:pPr>
      <w:spacing w:after="0" w:line="240" w:lineRule="auto"/>
    </w:pPr>
    <w:tblPr/>
  </w:style>
  <w:style w:type="table" w:styleId="814">
    <w:name w:val="Grid Table 6 Colorful - Accent 1"/>
    <w:basedOn w:val="699"/>
    <w:next w:val="814"/>
    <w:link w:val="696"/>
    <w:uiPriority w:val="99"/>
    <w:pPr>
      <w:spacing w:after="0" w:line="240" w:lineRule="auto"/>
    </w:pPr>
    <w:tblPr/>
  </w:style>
  <w:style w:type="table" w:styleId="815">
    <w:name w:val="Grid Table 6 Colorful - Accent 2"/>
    <w:basedOn w:val="699"/>
    <w:next w:val="815"/>
    <w:link w:val="696"/>
    <w:uiPriority w:val="99"/>
    <w:pPr>
      <w:spacing w:after="0" w:line="240" w:lineRule="auto"/>
    </w:pPr>
    <w:tblPr/>
  </w:style>
  <w:style w:type="table" w:styleId="816">
    <w:name w:val="Grid Table 6 Colorful - Accent 3"/>
    <w:basedOn w:val="699"/>
    <w:next w:val="816"/>
    <w:link w:val="696"/>
    <w:uiPriority w:val="99"/>
    <w:pPr>
      <w:spacing w:after="0" w:line="240" w:lineRule="auto"/>
    </w:pPr>
    <w:tblPr/>
  </w:style>
  <w:style w:type="table" w:styleId="817">
    <w:name w:val="Grid Table 6 Colorful - Accent 4"/>
    <w:basedOn w:val="699"/>
    <w:next w:val="817"/>
    <w:link w:val="696"/>
    <w:uiPriority w:val="99"/>
    <w:pPr>
      <w:spacing w:after="0" w:line="240" w:lineRule="auto"/>
    </w:pPr>
    <w:tblPr/>
  </w:style>
  <w:style w:type="table" w:styleId="818">
    <w:name w:val="Grid Table 6 Colorful - Accent 5"/>
    <w:basedOn w:val="699"/>
    <w:next w:val="818"/>
    <w:link w:val="696"/>
    <w:uiPriority w:val="99"/>
    <w:pPr>
      <w:spacing w:after="0" w:line="240" w:lineRule="auto"/>
    </w:pPr>
    <w:tblPr/>
  </w:style>
  <w:style w:type="table" w:styleId="819">
    <w:name w:val="Grid Table 6 Colorful - Accent 6"/>
    <w:basedOn w:val="699"/>
    <w:next w:val="819"/>
    <w:link w:val="696"/>
    <w:uiPriority w:val="99"/>
    <w:pPr>
      <w:spacing w:after="0" w:line="240" w:lineRule="auto"/>
    </w:pPr>
    <w:tblPr/>
  </w:style>
  <w:style w:type="table" w:styleId="820">
    <w:name w:val="Grid Table 7 Colorful"/>
    <w:basedOn w:val="699"/>
    <w:next w:val="820"/>
    <w:link w:val="696"/>
    <w:uiPriority w:val="99"/>
    <w:pPr>
      <w:spacing w:after="0" w:line="240" w:lineRule="auto"/>
    </w:pPr>
    <w:tblPr/>
  </w:style>
  <w:style w:type="table" w:styleId="821">
    <w:name w:val="Grid Table 7 Colorful - Accent 1"/>
    <w:basedOn w:val="699"/>
    <w:next w:val="821"/>
    <w:link w:val="696"/>
    <w:uiPriority w:val="99"/>
    <w:pPr>
      <w:spacing w:after="0" w:line="240" w:lineRule="auto"/>
    </w:pPr>
    <w:tblPr/>
  </w:style>
  <w:style w:type="table" w:styleId="822">
    <w:name w:val="Grid Table 7 Colorful - Accent 2"/>
    <w:basedOn w:val="699"/>
    <w:next w:val="822"/>
    <w:link w:val="696"/>
    <w:uiPriority w:val="99"/>
    <w:pPr>
      <w:spacing w:after="0" w:line="240" w:lineRule="auto"/>
    </w:pPr>
    <w:tblPr/>
  </w:style>
  <w:style w:type="table" w:styleId="823">
    <w:name w:val="Grid Table 7 Colorful - Accent 3"/>
    <w:basedOn w:val="699"/>
    <w:next w:val="823"/>
    <w:link w:val="696"/>
    <w:uiPriority w:val="99"/>
    <w:pPr>
      <w:spacing w:after="0" w:line="240" w:lineRule="auto"/>
    </w:pPr>
    <w:tblPr/>
  </w:style>
  <w:style w:type="table" w:styleId="824">
    <w:name w:val="Grid Table 7 Colorful - Accent 4"/>
    <w:basedOn w:val="699"/>
    <w:next w:val="824"/>
    <w:link w:val="696"/>
    <w:uiPriority w:val="99"/>
    <w:pPr>
      <w:spacing w:after="0" w:line="240" w:lineRule="auto"/>
    </w:pPr>
    <w:tblPr/>
  </w:style>
  <w:style w:type="table" w:styleId="825">
    <w:name w:val="Grid Table 7 Colorful - Accent 5"/>
    <w:basedOn w:val="699"/>
    <w:next w:val="825"/>
    <w:link w:val="696"/>
    <w:uiPriority w:val="99"/>
    <w:pPr>
      <w:spacing w:after="0" w:line="240" w:lineRule="auto"/>
    </w:pPr>
    <w:tblPr/>
  </w:style>
  <w:style w:type="table" w:styleId="826">
    <w:name w:val="Grid Table 7 Colorful - Accent 6"/>
    <w:basedOn w:val="699"/>
    <w:next w:val="826"/>
    <w:link w:val="696"/>
    <w:uiPriority w:val="99"/>
    <w:pPr>
      <w:spacing w:after="0" w:line="240" w:lineRule="auto"/>
    </w:pPr>
    <w:tblPr/>
  </w:style>
  <w:style w:type="table" w:styleId="827">
    <w:name w:val="List Table 1 Light"/>
    <w:basedOn w:val="699"/>
    <w:next w:val="827"/>
    <w:link w:val="696"/>
    <w:uiPriority w:val="99"/>
    <w:pPr>
      <w:spacing w:after="0" w:line="240" w:lineRule="auto"/>
    </w:pPr>
    <w:tblPr/>
  </w:style>
  <w:style w:type="table" w:styleId="828">
    <w:name w:val="List Table 1 Light - Accent 1"/>
    <w:basedOn w:val="699"/>
    <w:next w:val="828"/>
    <w:link w:val="696"/>
    <w:uiPriority w:val="99"/>
    <w:pPr>
      <w:spacing w:after="0" w:line="240" w:lineRule="auto"/>
    </w:pPr>
    <w:tblPr/>
  </w:style>
  <w:style w:type="table" w:styleId="829">
    <w:name w:val="List Table 1 Light - Accent 2"/>
    <w:basedOn w:val="699"/>
    <w:next w:val="829"/>
    <w:link w:val="696"/>
    <w:uiPriority w:val="99"/>
    <w:pPr>
      <w:spacing w:after="0" w:line="240" w:lineRule="auto"/>
    </w:pPr>
    <w:tblPr/>
  </w:style>
  <w:style w:type="table" w:styleId="830">
    <w:name w:val="List Table 1 Light - Accent 3"/>
    <w:basedOn w:val="699"/>
    <w:next w:val="830"/>
    <w:link w:val="696"/>
    <w:uiPriority w:val="99"/>
    <w:pPr>
      <w:spacing w:after="0" w:line="240" w:lineRule="auto"/>
    </w:pPr>
    <w:tblPr/>
  </w:style>
  <w:style w:type="table" w:styleId="831">
    <w:name w:val="List Table 1 Light - Accent 4"/>
    <w:basedOn w:val="699"/>
    <w:next w:val="831"/>
    <w:link w:val="696"/>
    <w:uiPriority w:val="99"/>
    <w:pPr>
      <w:spacing w:after="0" w:line="240" w:lineRule="auto"/>
    </w:pPr>
    <w:tblPr/>
  </w:style>
  <w:style w:type="table" w:styleId="832">
    <w:name w:val="List Table 1 Light - Accent 5"/>
    <w:basedOn w:val="699"/>
    <w:next w:val="832"/>
    <w:link w:val="696"/>
    <w:uiPriority w:val="99"/>
    <w:pPr>
      <w:spacing w:after="0" w:line="240" w:lineRule="auto"/>
    </w:pPr>
    <w:tblPr/>
  </w:style>
  <w:style w:type="table" w:styleId="833">
    <w:name w:val="List Table 1 Light - Accent 6"/>
    <w:basedOn w:val="699"/>
    <w:next w:val="833"/>
    <w:link w:val="696"/>
    <w:uiPriority w:val="99"/>
    <w:pPr>
      <w:spacing w:after="0" w:line="240" w:lineRule="auto"/>
    </w:pPr>
    <w:tblPr/>
  </w:style>
  <w:style w:type="table" w:styleId="834">
    <w:name w:val="List Table 2"/>
    <w:basedOn w:val="699"/>
    <w:next w:val="834"/>
    <w:link w:val="696"/>
    <w:uiPriority w:val="99"/>
    <w:pPr>
      <w:spacing w:after="0" w:line="240" w:lineRule="auto"/>
    </w:pPr>
    <w:tblPr/>
  </w:style>
  <w:style w:type="table" w:styleId="835">
    <w:name w:val="List Table 2 - Accent 1"/>
    <w:basedOn w:val="699"/>
    <w:next w:val="835"/>
    <w:link w:val="696"/>
    <w:uiPriority w:val="99"/>
    <w:pPr>
      <w:spacing w:after="0" w:line="240" w:lineRule="auto"/>
    </w:pPr>
    <w:tblPr/>
  </w:style>
  <w:style w:type="table" w:styleId="836">
    <w:name w:val="List Table 2 - Accent 2"/>
    <w:basedOn w:val="699"/>
    <w:next w:val="836"/>
    <w:link w:val="696"/>
    <w:uiPriority w:val="99"/>
    <w:pPr>
      <w:spacing w:after="0" w:line="240" w:lineRule="auto"/>
    </w:pPr>
    <w:tblPr/>
  </w:style>
  <w:style w:type="table" w:styleId="837">
    <w:name w:val="List Table 2 - Accent 3"/>
    <w:basedOn w:val="699"/>
    <w:next w:val="837"/>
    <w:link w:val="696"/>
    <w:uiPriority w:val="99"/>
    <w:pPr>
      <w:spacing w:after="0" w:line="240" w:lineRule="auto"/>
    </w:pPr>
    <w:tblPr/>
  </w:style>
  <w:style w:type="table" w:styleId="838">
    <w:name w:val="List Table 2 - Accent 4"/>
    <w:basedOn w:val="699"/>
    <w:next w:val="838"/>
    <w:link w:val="696"/>
    <w:uiPriority w:val="99"/>
    <w:pPr>
      <w:spacing w:after="0" w:line="240" w:lineRule="auto"/>
    </w:pPr>
    <w:tblPr/>
  </w:style>
  <w:style w:type="table" w:styleId="839">
    <w:name w:val="List Table 2 - Accent 5"/>
    <w:basedOn w:val="699"/>
    <w:next w:val="839"/>
    <w:link w:val="696"/>
    <w:uiPriority w:val="99"/>
    <w:pPr>
      <w:spacing w:after="0" w:line="240" w:lineRule="auto"/>
    </w:pPr>
    <w:tblPr/>
  </w:style>
  <w:style w:type="table" w:styleId="840">
    <w:name w:val="List Table 2 - Accent 6"/>
    <w:basedOn w:val="699"/>
    <w:next w:val="840"/>
    <w:link w:val="696"/>
    <w:uiPriority w:val="99"/>
    <w:pPr>
      <w:spacing w:after="0" w:line="240" w:lineRule="auto"/>
    </w:pPr>
    <w:tblPr/>
  </w:style>
  <w:style w:type="table" w:styleId="841">
    <w:name w:val="List Table 3"/>
    <w:basedOn w:val="699"/>
    <w:next w:val="841"/>
    <w:link w:val="696"/>
    <w:uiPriority w:val="99"/>
    <w:pPr>
      <w:spacing w:after="0" w:line="240" w:lineRule="auto"/>
    </w:pPr>
    <w:tblPr/>
  </w:style>
  <w:style w:type="table" w:styleId="842">
    <w:name w:val="List Table 3 - Accent 1"/>
    <w:basedOn w:val="699"/>
    <w:next w:val="842"/>
    <w:link w:val="696"/>
    <w:uiPriority w:val="99"/>
    <w:pPr>
      <w:spacing w:after="0" w:line="240" w:lineRule="auto"/>
    </w:pPr>
    <w:tblPr/>
  </w:style>
  <w:style w:type="table" w:styleId="843">
    <w:name w:val="List Table 3 - Accent 2"/>
    <w:basedOn w:val="699"/>
    <w:next w:val="843"/>
    <w:link w:val="696"/>
    <w:uiPriority w:val="99"/>
    <w:pPr>
      <w:spacing w:after="0" w:line="240" w:lineRule="auto"/>
    </w:pPr>
    <w:tblPr/>
  </w:style>
  <w:style w:type="table" w:styleId="844">
    <w:name w:val="List Table 3 - Accent 3"/>
    <w:basedOn w:val="699"/>
    <w:next w:val="844"/>
    <w:link w:val="696"/>
    <w:uiPriority w:val="99"/>
    <w:pPr>
      <w:spacing w:after="0" w:line="240" w:lineRule="auto"/>
    </w:pPr>
    <w:tblPr/>
  </w:style>
  <w:style w:type="table" w:styleId="845">
    <w:name w:val="List Table 3 - Accent 4"/>
    <w:basedOn w:val="699"/>
    <w:next w:val="845"/>
    <w:link w:val="696"/>
    <w:uiPriority w:val="99"/>
    <w:pPr>
      <w:spacing w:after="0" w:line="240" w:lineRule="auto"/>
    </w:pPr>
    <w:tblPr/>
  </w:style>
  <w:style w:type="table" w:styleId="846">
    <w:name w:val="List Table 3 - Accent 5"/>
    <w:basedOn w:val="699"/>
    <w:next w:val="846"/>
    <w:link w:val="696"/>
    <w:uiPriority w:val="99"/>
    <w:pPr>
      <w:spacing w:after="0" w:line="240" w:lineRule="auto"/>
    </w:pPr>
    <w:tblPr/>
  </w:style>
  <w:style w:type="table" w:styleId="847">
    <w:name w:val="List Table 3 - Accent 6"/>
    <w:basedOn w:val="699"/>
    <w:next w:val="847"/>
    <w:link w:val="696"/>
    <w:uiPriority w:val="99"/>
    <w:pPr>
      <w:spacing w:after="0" w:line="240" w:lineRule="auto"/>
    </w:pPr>
    <w:tblPr/>
  </w:style>
  <w:style w:type="table" w:styleId="848">
    <w:name w:val="List Table 4"/>
    <w:basedOn w:val="699"/>
    <w:next w:val="848"/>
    <w:link w:val="696"/>
    <w:uiPriority w:val="99"/>
    <w:pPr>
      <w:spacing w:after="0" w:line="240" w:lineRule="auto"/>
    </w:pPr>
    <w:tblPr/>
  </w:style>
  <w:style w:type="table" w:styleId="849">
    <w:name w:val="List Table 4 - Accent 1"/>
    <w:basedOn w:val="699"/>
    <w:next w:val="849"/>
    <w:link w:val="696"/>
    <w:uiPriority w:val="99"/>
    <w:pPr>
      <w:spacing w:after="0" w:line="240" w:lineRule="auto"/>
    </w:pPr>
    <w:tblPr/>
  </w:style>
  <w:style w:type="table" w:styleId="850">
    <w:name w:val="List Table 4 - Accent 2"/>
    <w:basedOn w:val="699"/>
    <w:next w:val="850"/>
    <w:link w:val="696"/>
    <w:uiPriority w:val="99"/>
    <w:pPr>
      <w:spacing w:after="0" w:line="240" w:lineRule="auto"/>
    </w:pPr>
    <w:tblPr/>
  </w:style>
  <w:style w:type="table" w:styleId="851">
    <w:name w:val="List Table 4 - Accent 3"/>
    <w:basedOn w:val="699"/>
    <w:next w:val="851"/>
    <w:link w:val="696"/>
    <w:uiPriority w:val="99"/>
    <w:pPr>
      <w:spacing w:after="0" w:line="240" w:lineRule="auto"/>
    </w:pPr>
    <w:tblPr/>
  </w:style>
  <w:style w:type="table" w:styleId="852">
    <w:name w:val="List Table 4 - Accent 4"/>
    <w:basedOn w:val="699"/>
    <w:next w:val="852"/>
    <w:link w:val="696"/>
    <w:uiPriority w:val="99"/>
    <w:pPr>
      <w:spacing w:after="0" w:line="240" w:lineRule="auto"/>
    </w:pPr>
    <w:tblPr/>
  </w:style>
  <w:style w:type="table" w:styleId="853">
    <w:name w:val="List Table 4 - Accent 5"/>
    <w:basedOn w:val="699"/>
    <w:next w:val="853"/>
    <w:link w:val="696"/>
    <w:uiPriority w:val="99"/>
    <w:pPr>
      <w:spacing w:after="0" w:line="240" w:lineRule="auto"/>
    </w:pPr>
    <w:tblPr/>
  </w:style>
  <w:style w:type="table" w:styleId="854">
    <w:name w:val="List Table 4 - Accent 6"/>
    <w:basedOn w:val="699"/>
    <w:next w:val="854"/>
    <w:link w:val="696"/>
    <w:uiPriority w:val="99"/>
    <w:pPr>
      <w:spacing w:after="0" w:line="240" w:lineRule="auto"/>
    </w:pPr>
    <w:tblPr/>
  </w:style>
  <w:style w:type="table" w:styleId="855">
    <w:name w:val="List Table 5 Dark"/>
    <w:basedOn w:val="699"/>
    <w:next w:val="855"/>
    <w:link w:val="696"/>
    <w:uiPriority w:val="99"/>
    <w:pPr>
      <w:spacing w:after="0" w:line="240" w:lineRule="auto"/>
    </w:pPr>
    <w:tblPr/>
  </w:style>
  <w:style w:type="table" w:styleId="856">
    <w:name w:val="List Table 5 Dark - Accent 1"/>
    <w:basedOn w:val="699"/>
    <w:next w:val="856"/>
    <w:link w:val="696"/>
    <w:uiPriority w:val="99"/>
    <w:pPr>
      <w:spacing w:after="0" w:line="240" w:lineRule="auto"/>
    </w:pPr>
    <w:tblPr/>
  </w:style>
  <w:style w:type="table" w:styleId="857">
    <w:name w:val="List Table 5 Dark - Accent 2"/>
    <w:basedOn w:val="699"/>
    <w:next w:val="857"/>
    <w:link w:val="696"/>
    <w:uiPriority w:val="99"/>
    <w:pPr>
      <w:spacing w:after="0" w:line="240" w:lineRule="auto"/>
    </w:pPr>
    <w:tblPr/>
  </w:style>
  <w:style w:type="table" w:styleId="858">
    <w:name w:val="List Table 5 Dark - Accent 3"/>
    <w:basedOn w:val="699"/>
    <w:next w:val="858"/>
    <w:link w:val="696"/>
    <w:uiPriority w:val="99"/>
    <w:pPr>
      <w:spacing w:after="0" w:line="240" w:lineRule="auto"/>
    </w:pPr>
    <w:tblPr/>
  </w:style>
  <w:style w:type="table" w:styleId="859">
    <w:name w:val="List Table 5 Dark - Accent 4"/>
    <w:basedOn w:val="699"/>
    <w:next w:val="859"/>
    <w:link w:val="696"/>
    <w:uiPriority w:val="99"/>
    <w:pPr>
      <w:spacing w:after="0" w:line="240" w:lineRule="auto"/>
    </w:pPr>
    <w:tblPr/>
  </w:style>
  <w:style w:type="table" w:styleId="860">
    <w:name w:val="List Table 5 Dark - Accent 5"/>
    <w:basedOn w:val="699"/>
    <w:next w:val="860"/>
    <w:link w:val="696"/>
    <w:uiPriority w:val="99"/>
    <w:pPr>
      <w:spacing w:after="0" w:line="240" w:lineRule="auto"/>
    </w:pPr>
    <w:tblPr/>
  </w:style>
  <w:style w:type="table" w:styleId="861">
    <w:name w:val="List Table 5 Dark - Accent 6"/>
    <w:basedOn w:val="699"/>
    <w:next w:val="861"/>
    <w:link w:val="696"/>
    <w:uiPriority w:val="99"/>
    <w:pPr>
      <w:spacing w:after="0" w:line="240" w:lineRule="auto"/>
    </w:pPr>
    <w:tblPr/>
  </w:style>
  <w:style w:type="table" w:styleId="862">
    <w:name w:val="List Table 6 Colorful"/>
    <w:basedOn w:val="699"/>
    <w:next w:val="862"/>
    <w:link w:val="696"/>
    <w:uiPriority w:val="99"/>
    <w:pPr>
      <w:spacing w:after="0" w:line="240" w:lineRule="auto"/>
    </w:pPr>
    <w:tblPr/>
  </w:style>
  <w:style w:type="table" w:styleId="863">
    <w:name w:val="List Table 6 Colorful - Accent 1"/>
    <w:basedOn w:val="699"/>
    <w:next w:val="863"/>
    <w:link w:val="696"/>
    <w:uiPriority w:val="99"/>
    <w:pPr>
      <w:spacing w:after="0" w:line="240" w:lineRule="auto"/>
    </w:pPr>
    <w:tblPr/>
  </w:style>
  <w:style w:type="table" w:styleId="864">
    <w:name w:val="List Table 6 Colorful - Accent 2"/>
    <w:basedOn w:val="699"/>
    <w:next w:val="864"/>
    <w:link w:val="696"/>
    <w:uiPriority w:val="99"/>
    <w:pPr>
      <w:spacing w:after="0" w:line="240" w:lineRule="auto"/>
    </w:pPr>
    <w:tblPr/>
  </w:style>
  <w:style w:type="table" w:styleId="865">
    <w:name w:val="List Table 6 Colorful - Accent 3"/>
    <w:basedOn w:val="699"/>
    <w:next w:val="865"/>
    <w:link w:val="696"/>
    <w:uiPriority w:val="99"/>
    <w:pPr>
      <w:spacing w:after="0" w:line="240" w:lineRule="auto"/>
    </w:pPr>
    <w:tblPr/>
  </w:style>
  <w:style w:type="table" w:styleId="866">
    <w:name w:val="List Table 6 Colorful - Accent 4"/>
    <w:basedOn w:val="699"/>
    <w:next w:val="866"/>
    <w:link w:val="696"/>
    <w:uiPriority w:val="99"/>
    <w:pPr>
      <w:spacing w:after="0" w:line="240" w:lineRule="auto"/>
    </w:pPr>
    <w:tblPr/>
  </w:style>
  <w:style w:type="table" w:styleId="867">
    <w:name w:val="List Table 6 Colorful - Accent 5"/>
    <w:basedOn w:val="699"/>
    <w:next w:val="867"/>
    <w:link w:val="696"/>
    <w:uiPriority w:val="99"/>
    <w:pPr>
      <w:spacing w:after="0" w:line="240" w:lineRule="auto"/>
    </w:pPr>
    <w:tblPr/>
  </w:style>
  <w:style w:type="table" w:styleId="868">
    <w:name w:val="List Table 6 Colorful - Accent 6"/>
    <w:basedOn w:val="699"/>
    <w:next w:val="868"/>
    <w:link w:val="696"/>
    <w:uiPriority w:val="99"/>
    <w:pPr>
      <w:spacing w:after="0" w:line="240" w:lineRule="auto"/>
    </w:pPr>
    <w:tblPr/>
  </w:style>
  <w:style w:type="table" w:styleId="869">
    <w:name w:val="List Table 7 Colorful"/>
    <w:basedOn w:val="699"/>
    <w:next w:val="869"/>
    <w:link w:val="696"/>
    <w:uiPriority w:val="99"/>
    <w:pPr>
      <w:spacing w:after="0" w:line="240" w:lineRule="auto"/>
    </w:pPr>
    <w:tblPr/>
  </w:style>
  <w:style w:type="table" w:styleId="870">
    <w:name w:val="List Table 7 Colorful - Accent 1"/>
    <w:basedOn w:val="699"/>
    <w:next w:val="870"/>
    <w:link w:val="696"/>
    <w:uiPriority w:val="99"/>
    <w:pPr>
      <w:spacing w:after="0" w:line="240" w:lineRule="auto"/>
    </w:pPr>
    <w:tblPr/>
  </w:style>
  <w:style w:type="table" w:styleId="871">
    <w:name w:val="List Table 7 Colorful - Accent 2"/>
    <w:basedOn w:val="699"/>
    <w:next w:val="871"/>
    <w:link w:val="696"/>
    <w:uiPriority w:val="99"/>
    <w:pPr>
      <w:spacing w:after="0" w:line="240" w:lineRule="auto"/>
    </w:pPr>
    <w:tblPr/>
  </w:style>
  <w:style w:type="table" w:styleId="872">
    <w:name w:val="List Table 7 Colorful - Accent 3"/>
    <w:basedOn w:val="699"/>
    <w:next w:val="872"/>
    <w:link w:val="696"/>
    <w:uiPriority w:val="99"/>
    <w:pPr>
      <w:spacing w:after="0" w:line="240" w:lineRule="auto"/>
    </w:pPr>
    <w:tblPr/>
  </w:style>
  <w:style w:type="table" w:styleId="873">
    <w:name w:val="List Table 7 Colorful - Accent 4"/>
    <w:basedOn w:val="699"/>
    <w:next w:val="873"/>
    <w:link w:val="696"/>
    <w:uiPriority w:val="99"/>
    <w:pPr>
      <w:spacing w:after="0" w:line="240" w:lineRule="auto"/>
    </w:pPr>
    <w:tblPr/>
  </w:style>
  <w:style w:type="table" w:styleId="874">
    <w:name w:val="List Table 7 Colorful - Accent 5"/>
    <w:basedOn w:val="699"/>
    <w:next w:val="874"/>
    <w:link w:val="696"/>
    <w:uiPriority w:val="99"/>
    <w:pPr>
      <w:spacing w:after="0" w:line="240" w:lineRule="auto"/>
    </w:pPr>
    <w:tblPr/>
  </w:style>
  <w:style w:type="table" w:styleId="875">
    <w:name w:val="List Table 7 Colorful - Accent 6"/>
    <w:basedOn w:val="699"/>
    <w:next w:val="875"/>
    <w:link w:val="696"/>
    <w:uiPriority w:val="99"/>
    <w:pPr>
      <w:spacing w:after="0" w:line="240" w:lineRule="auto"/>
    </w:pPr>
    <w:tblPr/>
  </w:style>
  <w:style w:type="table" w:styleId="876">
    <w:name w:val="Lined - Accent"/>
    <w:basedOn w:val="699"/>
    <w:next w:val="876"/>
    <w:link w:val="696"/>
    <w:uiPriority w:val="99"/>
    <w:pPr>
      <w:spacing w:after="0" w:line="240" w:lineRule="auto"/>
    </w:pPr>
    <w:rPr>
      <w:color w:val="404040"/>
    </w:rPr>
    <w:tblPr/>
  </w:style>
  <w:style w:type="table" w:styleId="877">
    <w:name w:val="Lined - Accent 1"/>
    <w:basedOn w:val="699"/>
    <w:next w:val="877"/>
    <w:link w:val="696"/>
    <w:uiPriority w:val="99"/>
    <w:pPr>
      <w:spacing w:after="0" w:line="240" w:lineRule="auto"/>
    </w:pPr>
    <w:rPr>
      <w:color w:val="404040"/>
    </w:rPr>
    <w:tblPr/>
  </w:style>
  <w:style w:type="table" w:styleId="878">
    <w:name w:val="Lined - Accent 2"/>
    <w:basedOn w:val="699"/>
    <w:next w:val="878"/>
    <w:link w:val="696"/>
    <w:uiPriority w:val="99"/>
    <w:pPr>
      <w:spacing w:after="0" w:line="240" w:lineRule="auto"/>
    </w:pPr>
    <w:rPr>
      <w:color w:val="404040"/>
    </w:rPr>
    <w:tblPr/>
  </w:style>
  <w:style w:type="table" w:styleId="879">
    <w:name w:val="Lined - Accent 3"/>
    <w:basedOn w:val="699"/>
    <w:next w:val="879"/>
    <w:link w:val="696"/>
    <w:uiPriority w:val="99"/>
    <w:pPr>
      <w:spacing w:after="0" w:line="240" w:lineRule="auto"/>
    </w:pPr>
    <w:rPr>
      <w:color w:val="404040"/>
    </w:rPr>
    <w:tblPr/>
  </w:style>
  <w:style w:type="table" w:styleId="880">
    <w:name w:val="Lined - Accent 4"/>
    <w:basedOn w:val="699"/>
    <w:next w:val="880"/>
    <w:link w:val="696"/>
    <w:uiPriority w:val="99"/>
    <w:pPr>
      <w:spacing w:after="0" w:line="240" w:lineRule="auto"/>
    </w:pPr>
    <w:rPr>
      <w:color w:val="404040"/>
    </w:rPr>
    <w:tblPr/>
  </w:style>
  <w:style w:type="table" w:styleId="881">
    <w:name w:val="Lined - Accent 5"/>
    <w:basedOn w:val="699"/>
    <w:next w:val="881"/>
    <w:link w:val="696"/>
    <w:uiPriority w:val="99"/>
    <w:pPr>
      <w:spacing w:after="0" w:line="240" w:lineRule="auto"/>
    </w:pPr>
    <w:rPr>
      <w:color w:val="404040"/>
    </w:rPr>
    <w:tblPr/>
  </w:style>
  <w:style w:type="table" w:styleId="882">
    <w:name w:val="Lined - Accent 6"/>
    <w:basedOn w:val="699"/>
    <w:next w:val="882"/>
    <w:link w:val="696"/>
    <w:uiPriority w:val="99"/>
    <w:pPr>
      <w:spacing w:after="0" w:line="240" w:lineRule="auto"/>
    </w:pPr>
    <w:rPr>
      <w:color w:val="404040"/>
    </w:rPr>
    <w:tblPr/>
  </w:style>
  <w:style w:type="table" w:styleId="883">
    <w:name w:val="Bordered &amp; Lined - Accent"/>
    <w:basedOn w:val="699"/>
    <w:next w:val="883"/>
    <w:link w:val="696"/>
    <w:uiPriority w:val="99"/>
    <w:pPr>
      <w:spacing w:after="0" w:line="240" w:lineRule="auto"/>
    </w:pPr>
    <w:rPr>
      <w:color w:val="404040"/>
    </w:rPr>
    <w:tblPr/>
  </w:style>
  <w:style w:type="table" w:styleId="884">
    <w:name w:val="Bordered &amp; Lined - Accent 1"/>
    <w:basedOn w:val="699"/>
    <w:next w:val="884"/>
    <w:link w:val="696"/>
    <w:uiPriority w:val="99"/>
    <w:pPr>
      <w:spacing w:after="0" w:line="240" w:lineRule="auto"/>
    </w:pPr>
    <w:rPr>
      <w:color w:val="404040"/>
    </w:rPr>
    <w:tblPr/>
  </w:style>
  <w:style w:type="table" w:styleId="885">
    <w:name w:val="Bordered &amp; Lined - Accent 2"/>
    <w:basedOn w:val="699"/>
    <w:next w:val="885"/>
    <w:link w:val="696"/>
    <w:uiPriority w:val="99"/>
    <w:pPr>
      <w:spacing w:after="0" w:line="240" w:lineRule="auto"/>
    </w:pPr>
    <w:rPr>
      <w:color w:val="404040"/>
    </w:rPr>
    <w:tblPr/>
  </w:style>
  <w:style w:type="table" w:styleId="886">
    <w:name w:val="Bordered &amp; Lined - Accent 3"/>
    <w:basedOn w:val="699"/>
    <w:next w:val="886"/>
    <w:link w:val="696"/>
    <w:uiPriority w:val="99"/>
    <w:pPr>
      <w:spacing w:after="0" w:line="240" w:lineRule="auto"/>
    </w:pPr>
    <w:rPr>
      <w:color w:val="404040"/>
    </w:rPr>
    <w:tblPr/>
  </w:style>
  <w:style w:type="table" w:styleId="887">
    <w:name w:val="Bordered &amp; Lined - Accent 4"/>
    <w:basedOn w:val="699"/>
    <w:next w:val="887"/>
    <w:link w:val="696"/>
    <w:uiPriority w:val="99"/>
    <w:pPr>
      <w:spacing w:after="0" w:line="240" w:lineRule="auto"/>
    </w:pPr>
    <w:rPr>
      <w:color w:val="404040"/>
    </w:rPr>
    <w:tblPr/>
  </w:style>
  <w:style w:type="table" w:styleId="888">
    <w:name w:val="Bordered &amp; Lined - Accent 5"/>
    <w:basedOn w:val="699"/>
    <w:next w:val="888"/>
    <w:link w:val="696"/>
    <w:uiPriority w:val="99"/>
    <w:pPr>
      <w:spacing w:after="0" w:line="240" w:lineRule="auto"/>
    </w:pPr>
    <w:rPr>
      <w:color w:val="404040"/>
    </w:rPr>
    <w:tblPr/>
  </w:style>
  <w:style w:type="table" w:styleId="889">
    <w:name w:val="Bordered &amp; Lined - Accent 6"/>
    <w:basedOn w:val="699"/>
    <w:next w:val="889"/>
    <w:link w:val="696"/>
    <w:uiPriority w:val="99"/>
    <w:pPr>
      <w:spacing w:after="0" w:line="240" w:lineRule="auto"/>
    </w:pPr>
    <w:rPr>
      <w:color w:val="404040"/>
    </w:rPr>
    <w:tblPr/>
  </w:style>
  <w:style w:type="table" w:styleId="890">
    <w:name w:val="Bordered"/>
    <w:basedOn w:val="699"/>
    <w:next w:val="890"/>
    <w:link w:val="696"/>
    <w:uiPriority w:val="99"/>
    <w:pPr>
      <w:spacing w:after="0" w:line="240" w:lineRule="auto"/>
    </w:pPr>
    <w:tblPr/>
  </w:style>
  <w:style w:type="table" w:styleId="891">
    <w:name w:val="Bordered - Accent 1"/>
    <w:basedOn w:val="699"/>
    <w:next w:val="891"/>
    <w:link w:val="696"/>
    <w:uiPriority w:val="99"/>
    <w:pPr>
      <w:spacing w:after="0" w:line="240" w:lineRule="auto"/>
    </w:pPr>
    <w:tblPr/>
  </w:style>
  <w:style w:type="table" w:styleId="892">
    <w:name w:val="Bordered - Accent 2"/>
    <w:basedOn w:val="699"/>
    <w:next w:val="892"/>
    <w:link w:val="696"/>
    <w:uiPriority w:val="99"/>
    <w:pPr>
      <w:spacing w:after="0" w:line="240" w:lineRule="auto"/>
    </w:pPr>
    <w:tblPr/>
  </w:style>
  <w:style w:type="table" w:styleId="893">
    <w:name w:val="Bordered - Accent 3"/>
    <w:basedOn w:val="699"/>
    <w:next w:val="893"/>
    <w:link w:val="696"/>
    <w:uiPriority w:val="99"/>
    <w:pPr>
      <w:spacing w:after="0" w:line="240" w:lineRule="auto"/>
    </w:pPr>
    <w:tblPr/>
  </w:style>
  <w:style w:type="table" w:styleId="894">
    <w:name w:val="Bordered - Accent 4"/>
    <w:basedOn w:val="699"/>
    <w:next w:val="894"/>
    <w:link w:val="696"/>
    <w:uiPriority w:val="99"/>
    <w:pPr>
      <w:spacing w:after="0" w:line="240" w:lineRule="auto"/>
    </w:pPr>
    <w:tblPr/>
  </w:style>
  <w:style w:type="table" w:styleId="895">
    <w:name w:val="Bordered - Accent 5"/>
    <w:basedOn w:val="699"/>
    <w:next w:val="895"/>
    <w:link w:val="696"/>
    <w:uiPriority w:val="99"/>
    <w:pPr>
      <w:spacing w:after="0" w:line="240" w:lineRule="auto"/>
    </w:pPr>
    <w:tblPr/>
  </w:style>
  <w:style w:type="table" w:styleId="896">
    <w:name w:val="Bordered - Accent 6"/>
    <w:basedOn w:val="699"/>
    <w:next w:val="896"/>
    <w:link w:val="696"/>
    <w:uiPriority w:val="99"/>
    <w:pPr>
      <w:spacing w:after="0" w:line="240" w:lineRule="auto"/>
    </w:pPr>
    <w:tblPr/>
  </w:style>
  <w:style w:type="paragraph" w:styleId="897">
    <w:name w:val="TOC 标题"/>
    <w:next w:val="897"/>
    <w:link w:val="696"/>
    <w:uiPriority w:val="39"/>
    <w:qFormat/>
    <w:rPr>
      <w:lang w:val="en-US" w:eastAsia="zh-CN" w:bidi="ar-SA"/>
    </w:rPr>
  </w:style>
  <w:style w:type="paragraph" w:styleId="898">
    <w:name w:val="Heading 1"/>
    <w:basedOn w:val="696"/>
    <w:next w:val="696"/>
    <w:link w:val="899"/>
    <w:qFormat/>
    <w:pPr>
      <w:keepLines/>
      <w:keepNext/>
      <w:spacing w:before="340" w:after="330" w:line="576" w:lineRule="auto"/>
      <w:outlineLvl w:val="0"/>
    </w:pPr>
    <w:rPr>
      <w:rFonts w:ascii="Times New Roman" w:hAnsi="Times New Roman" w:eastAsia="宋体"/>
      <w:b/>
      <w:sz w:val="24"/>
    </w:rPr>
  </w:style>
  <w:style w:type="character" w:styleId="899">
    <w:name w:val="标题 1 字符"/>
    <w:basedOn w:val="698"/>
    <w:next w:val="899"/>
    <w:link w:val="898"/>
    <w:qFormat/>
    <w:rPr>
      <w:rFonts w:ascii="Calibri" w:hAnsi="Calibri" w:cs="Calibri"/>
      <w:b/>
      <w:bCs/>
      <w:sz w:val="44"/>
      <w:szCs w:val="44"/>
    </w:rPr>
  </w:style>
  <w:style w:type="paragraph" w:styleId="900">
    <w:name w:val="Heading 3"/>
    <w:basedOn w:val="696"/>
    <w:next w:val="696"/>
    <w:link w:val="696"/>
    <w:unhideWhenUsed/>
    <w:qFormat/>
    <w:pPr>
      <w:jc w:val="left"/>
      <w:spacing w:before="100" w:beforeAutospacing="1" w:after="100" w:afterAutospacing="1"/>
    </w:pPr>
    <w:rPr>
      <w:rFonts w:hint="eastAsia" w:ascii="宋体" w:hAnsi="宋体" w:eastAsia="宋体" w:cs="宋体"/>
      <w:b/>
      <w:bCs/>
      <w:sz w:val="27"/>
      <w:szCs w:val="27"/>
      <w:lang w:val="en-US" w:eastAsia="zh-CN" w:bidi="ar"/>
    </w:rPr>
  </w:style>
  <w:style w:type="paragraph" w:styleId="901">
    <w:name w:val="Footer1"/>
    <w:basedOn w:val="696"/>
    <w:next w:val="901"/>
    <w:link w:val="902"/>
    <w:qFormat/>
    <w:pPr>
      <w:tabs>
        <w:tab w:val="center" w:pos="4153" w:leader="none"/>
        <w:tab w:val="right" w:pos="8306" w:leader="none"/>
      </w:tabs>
    </w:pPr>
    <w:rPr>
      <w:sz w:val="18"/>
      <w:szCs w:val="18"/>
    </w:rPr>
  </w:style>
  <w:style w:type="character" w:styleId="902">
    <w:name w:val="页脚 字符"/>
    <w:basedOn w:val="698"/>
    <w:next w:val="902"/>
    <w:link w:val="901"/>
    <w:qFormat/>
    <w:rPr>
      <w:rFonts w:eastAsia="Arial"/>
      <w:color w:val="000000"/>
      <w:sz w:val="18"/>
      <w:szCs w:val="18"/>
    </w:rPr>
  </w:style>
  <w:style w:type="paragraph" w:styleId="903">
    <w:name w:val="Header1"/>
    <w:basedOn w:val="696"/>
    <w:next w:val="903"/>
    <w:link w:val="904"/>
    <w:qFormat/>
    <w:pPr>
      <w:jc w:val="center"/>
      <w:tabs>
        <w:tab w:val="center" w:pos="4153" w:leader="none"/>
        <w:tab w:val="right" w:pos="8306" w:leader="none"/>
      </w:tabs>
      <w:pBdr>
        <w:bottom w:val="single" w:color="000000" w:sz="6" w:space="1"/>
      </w:pBdr>
    </w:pPr>
    <w:rPr>
      <w:sz w:val="18"/>
      <w:szCs w:val="18"/>
    </w:rPr>
  </w:style>
  <w:style w:type="character" w:styleId="904">
    <w:name w:val="页眉 字符"/>
    <w:basedOn w:val="698"/>
    <w:next w:val="904"/>
    <w:link w:val="903"/>
    <w:qFormat/>
    <w:rPr>
      <w:rFonts w:eastAsia="Arial"/>
      <w:color w:val="000000"/>
      <w:sz w:val="18"/>
      <w:szCs w:val="18"/>
    </w:rPr>
  </w:style>
  <w:style w:type="table" w:styleId="905">
    <w:name w:val="Table Normal_0"/>
    <w:next w:val="905"/>
    <w:link w:val="696"/>
    <w:unhideWhenUsed/>
    <w:qFormat/>
    <w:rPr>
      <w:lang w:val="en-US" w:eastAsia="zh-CN" w:bidi="ar-SA"/>
    </w:rPr>
    <w:tblPr/>
  </w:style>
  <w:style w:type="paragraph" w:styleId="906">
    <w:name w:val="Body text|1"/>
    <w:basedOn w:val="696"/>
    <w:next w:val="906"/>
    <w:link w:val="696"/>
    <w:qFormat/>
    <w:pPr>
      <w:ind w:firstLine="400"/>
      <w:spacing w:line="430" w:lineRule="auto"/>
    </w:pPr>
    <w:rPr>
      <w:rFonts w:ascii="宋体" w:hAnsi="宋体" w:eastAsia="宋体" w:cs="宋体"/>
      <w:lang w:val="zh-TW" w:eastAsia="zh-TW" w:bidi="zh-TW"/>
    </w:rPr>
  </w:style>
  <w:style w:type="paragraph" w:styleId="907">
    <w:name w:val="段"/>
    <w:next w:val="696"/>
    <w:link w:val="696"/>
    <w:qFormat/>
    <w:pPr>
      <w:ind w:firstLine="200"/>
      <w:jc w:val="both"/>
      <w:spacing w:line="360" w:lineRule="auto"/>
    </w:pPr>
    <w:rPr>
      <w:sz w:val="24"/>
      <w:szCs w:val="22"/>
      <w:lang w:val="en-US" w:eastAsia="zh-CN" w:bidi="ar-SA"/>
    </w:rPr>
  </w:style>
  <w:style w:type="paragraph" w:styleId="908">
    <w:name w:val="修订1"/>
    <w:next w:val="908"/>
    <w:link w:val="696"/>
    <w:uiPriority w:val="99"/>
    <w:unhideWhenUsed/>
    <w:qFormat/>
    <w:rPr>
      <w:rFonts w:ascii="Arial" w:hAnsi="Arial" w:eastAsia="Arial" w:cs="Arial"/>
      <w:color w:val="000000"/>
      <w:sz w:val="21"/>
      <w:szCs w:val="21"/>
      <w:lang w:val="en-US" w:eastAsia="zh-CN" w:bidi="ar-SA"/>
    </w:rPr>
  </w:style>
  <w:style w:type="paragraph" w:styleId="909">
    <w:name w:val="修订2"/>
    <w:next w:val="909"/>
    <w:link w:val="696"/>
    <w:uiPriority w:val="99"/>
    <w:unhideWhenUsed/>
    <w:qFormat/>
    <w:rPr>
      <w:rFonts w:ascii="Arial" w:hAnsi="Arial" w:eastAsia="Arial" w:cs="Arial"/>
      <w:color w:val="000000"/>
      <w:sz w:val="21"/>
      <w:szCs w:val="21"/>
      <w:lang w:val="en-US" w:eastAsia="zh-CN" w:bidi="ar-SA"/>
    </w:rPr>
  </w:style>
  <w:style w:type="paragraph" w:styleId="910">
    <w:name w:val="列出段落"/>
    <w:basedOn w:val="696"/>
    <w:next w:val="910"/>
    <w:link w:val="696"/>
    <w:uiPriority w:val="99"/>
    <w:qFormat/>
    <w:pPr>
      <w:ind w:firstLine="420"/>
    </w:pPr>
  </w:style>
  <w:style w:type="paragraph" w:styleId="911">
    <w:name w:val="修订3"/>
    <w:next w:val="911"/>
    <w:link w:val="696"/>
    <w:uiPriority w:val="99"/>
    <w:unhideWhenUsed/>
    <w:qFormat/>
    <w:rPr>
      <w:rFonts w:ascii="Arial" w:hAnsi="Arial" w:eastAsia="Arial" w:cs="Arial"/>
      <w:color w:val="000000"/>
      <w:sz w:val="21"/>
      <w:szCs w:val="21"/>
      <w:lang w:val="en-US" w:eastAsia="zh-CN" w:bidi="ar-SA"/>
    </w:rPr>
  </w:style>
  <w:style w:type="paragraph" w:styleId="912">
    <w:name w:val="修订4"/>
    <w:next w:val="912"/>
    <w:link w:val="696"/>
    <w:uiPriority w:val="99"/>
    <w:unhideWhenUsed/>
    <w:qFormat/>
    <w:rPr>
      <w:rFonts w:ascii="Arial" w:hAnsi="Arial" w:eastAsia="Arial" w:cs="Arial"/>
      <w:color w:val="000000"/>
      <w:sz w:val="21"/>
      <w:szCs w:val="21"/>
      <w:lang w:val="en-US" w:eastAsia="zh-CN" w:bidi="ar-SA"/>
    </w:rPr>
  </w:style>
  <w:style w:type="paragraph" w:styleId="913">
    <w:name w:val="[正文行首缩进]"/>
    <w:next w:val="913"/>
    <w:link w:val="696"/>
    <w:qFormat/>
    <w:pPr>
      <w:ind w:firstLine="480"/>
      <w:jc w:val="both"/>
      <w:spacing w:line="360" w:lineRule="auto"/>
      <w:widowControl w:val="off"/>
    </w:pPr>
    <w:rPr>
      <w:bCs/>
      <w:color w:val="000000"/>
      <w:sz w:val="24"/>
      <w:szCs w:val="24"/>
      <w:lang w:val="en-US" w:eastAsia="zh-CN" w:bidi="ar-SA"/>
    </w:rPr>
  </w:style>
  <w:style w:type="paragraph" w:styleId="914">
    <w:name w:val="首行缩进"/>
    <w:basedOn w:val="696"/>
    <w:next w:val="914"/>
    <w:link w:val="696"/>
    <w:qFormat/>
    <w:pPr>
      <w:ind w:left="1024" w:firstLine="480"/>
      <w:jc w:val="both"/>
    </w:pPr>
    <w:rPr>
      <w:rFonts w:ascii="Calibri" w:hAnsi="Calibri" w:eastAsia="宋体" w:cs="Times New Roman"/>
      <w:sz w:val="20"/>
      <w:szCs w:val="20"/>
    </w:rPr>
  </w:style>
  <w:style w:type="character" w:styleId="915">
    <w:name w:val="Plain Text Char Char"/>
    <w:basedOn w:val="698"/>
    <w:next w:val="915"/>
    <w:link w:val="916"/>
    <w:qFormat/>
    <w:rPr>
      <w:rFonts w:hint="eastAsia" w:ascii="宋体" w:hAnsi="Courier New" w:eastAsia="楷体_GB2312" w:cs="宋体"/>
      <w:sz w:val="28"/>
    </w:rPr>
  </w:style>
  <w:style w:type="paragraph" w:styleId="916">
    <w:name w:val="Plain Text1"/>
    <w:basedOn w:val="696"/>
    <w:next w:val="916"/>
    <w:link w:val="915"/>
    <w:qFormat/>
    <w:pPr>
      <w:jc w:val="both"/>
      <w:widowControl w:val="off"/>
    </w:pPr>
    <w:rPr>
      <w:rFonts w:hint="eastAsia" w:ascii="宋体" w:hAnsi="Courier New" w:eastAsia="楷体_GB2312" w:cs="Times New Roman"/>
      <w:sz w:val="28"/>
      <w:szCs w:val="20"/>
    </w:rPr>
  </w:style>
  <w:style w:type="paragraph" w:styleId="917">
    <w:name w:val="纯文本1"/>
    <w:basedOn w:val="696"/>
    <w:next w:val="917"/>
    <w:link w:val="696"/>
    <w:qFormat/>
    <w:pPr>
      <w:ind w:firstLine="480"/>
      <w:spacing w:line="360" w:lineRule="auto"/>
      <w:widowControl w:val="off"/>
    </w:pPr>
    <w:rPr>
      <w:rFonts w:ascii="宋体" w:hAnsi="Courier New"/>
    </w:rPr>
  </w:style>
  <w:style w:type="paragraph" w:styleId="918">
    <w:name w:val="列出段落2"/>
    <w:basedOn w:val="696"/>
    <w:next w:val="918"/>
    <w:link w:val="696"/>
    <w:qFormat/>
    <w:pPr>
      <w:ind w:firstLine="200"/>
      <w:jc w:val="both"/>
      <w:widowControl w:val="off"/>
    </w:pPr>
    <w:rPr>
      <w:rFonts w:ascii="Times New Roman" w:hAnsi="Times New Roman" w:eastAsia="宋体" w:cs="Times New Roman"/>
      <w:szCs w:val="24"/>
    </w:rPr>
  </w:style>
  <w:style w:type="paragraph" w:styleId="919">
    <w:name w:val="msolistparagraph"/>
    <w:basedOn w:val="696"/>
    <w:next w:val="919"/>
    <w:link w:val="696"/>
    <w:qFormat/>
    <w:pPr>
      <w:ind w:firstLine="420"/>
      <w:jc w:val="both"/>
      <w:widowControl w:val="off"/>
    </w:pPr>
    <w:rPr>
      <w:rFonts w:hint="eastAsia" w:ascii="宋体" w:hAnsi="宋体" w:eastAsia="宋体" w:cs="Times New Roman"/>
      <w:sz w:val="24"/>
      <w:szCs w:val="24"/>
    </w:rPr>
  </w:style>
  <w:style w:type="character" w:styleId="920">
    <w:name w:val="列表段落 字符"/>
    <w:basedOn w:val="698"/>
    <w:next w:val="920"/>
    <w:link w:val="696"/>
    <w:qFormat/>
    <w:rPr>
      <w:rFonts w:hint="eastAsia" w:ascii="宋体" w:hAnsi="宋体" w:eastAsia="宋体" w:cs="宋体"/>
      <w:sz w:val="24"/>
      <w:szCs w:val="24"/>
    </w:rPr>
  </w:style>
  <w:style w:type="paragraph" w:styleId="921">
    <w:name w:val="修订5"/>
    <w:next w:val="921"/>
    <w:link w:val="696"/>
    <w:uiPriority w:val="99"/>
    <w:unhideWhenUsed/>
    <w:qFormat/>
    <w:rPr>
      <w:rFonts w:ascii="Arial" w:hAnsi="Arial" w:eastAsia="Arial" w:cs="Arial"/>
      <w:color w:val="000000"/>
      <w:sz w:val="21"/>
      <w:szCs w:val="21"/>
      <w:lang w:val="en-US" w:eastAsia="zh-CN" w:bidi="ar-SA"/>
    </w:rPr>
  </w:style>
  <w:style w:type="paragraph" w:styleId="922">
    <w:name w:val="修订6"/>
    <w:next w:val="922"/>
    <w:link w:val="696"/>
    <w:uiPriority w:val="99"/>
    <w:unhideWhenUsed/>
    <w:qFormat/>
    <w:rPr>
      <w:rFonts w:ascii="Arial" w:hAnsi="Arial" w:eastAsia="Arial" w:cs="Arial"/>
      <w:color w:val="000000"/>
      <w:sz w:val="21"/>
      <w:szCs w:val="21"/>
      <w:lang w:val="en-US" w:eastAsia="zh-CN" w:bidi="ar-SA"/>
    </w:rPr>
  </w:style>
  <w:style w:type="paragraph" w:styleId="923">
    <w:name w:val="纯文本6"/>
    <w:basedOn w:val="696"/>
    <w:next w:val="923"/>
    <w:link w:val="696"/>
    <w:qFormat/>
    <w:pPr>
      <w:jc w:val="both"/>
      <w:widowControl w:val="off"/>
    </w:pPr>
    <w:rPr>
      <w:rFonts w:hint="eastAsia" w:ascii="宋体" w:hAnsi="Courier New" w:eastAsia="楷体_GB2312" w:cs="Times New Roman"/>
      <w:sz w:val="28"/>
      <w:szCs w:val="20"/>
    </w:rPr>
  </w:style>
  <w:style w:type="character" w:styleId="924">
    <w:name w:val="正文文本首行缩进 2 字符"/>
    <w:next w:val="924"/>
    <w:link w:val="696"/>
    <w:qFormat/>
    <w:rPr>
      <w:rFonts w:hint="eastAsia" w:ascii="楷体_GB2312" w:eastAsia="楷体_GB2312" w:cs="楷体_GB2312"/>
      <w:sz w:val="26"/>
    </w:rPr>
  </w:style>
  <w:style w:type="paragraph" w:styleId="925">
    <w:name w:val="修订7"/>
    <w:next w:val="925"/>
    <w:link w:val="696"/>
    <w:uiPriority w:val="99"/>
    <w:unhideWhenUsed/>
    <w:qFormat/>
    <w:rPr>
      <w:rFonts w:ascii="Arial" w:hAnsi="Arial" w:eastAsia="Arial" w:cs="Arial"/>
      <w:color w:val="000000"/>
      <w:sz w:val="21"/>
      <w:szCs w:val="21"/>
      <w:lang w:val="en-US" w:eastAsia="zh-CN" w:bidi="ar-SA"/>
    </w:rPr>
  </w:style>
  <w:style w:type="paragraph" w:styleId="926">
    <w:name w:val="Revision"/>
    <w:next w:val="926"/>
    <w:link w:val="696"/>
    <w:uiPriority w:val="99"/>
    <w:unhideWhenUsed/>
    <w:qFormat/>
    <w:rPr>
      <w:rFonts w:ascii="Arial" w:hAnsi="Arial" w:eastAsia="Arial" w:cs="Arial"/>
      <w:color w:val="000000"/>
      <w:sz w:val="21"/>
      <w:szCs w:val="21"/>
      <w:lang w:val="en-US" w:eastAsia="zh-CN" w:bidi="ar-SA"/>
    </w:rPr>
  </w:style>
  <w:style w:type="paragraph" w:styleId="927">
    <w:name w:val="Table Paragraph"/>
    <w:basedOn w:val="696"/>
    <w:next w:val="927"/>
    <w:link w:val="696"/>
    <w:uiPriority w:val="1"/>
    <w:qFormat/>
    <w:rPr>
      <w:rFonts w:eastAsia="宋体"/>
    </w:rPr>
  </w:style>
  <w:style w:type="paragraph" w:styleId="928">
    <w:name w:val="正文文本缩进1"/>
    <w:basedOn w:val="696"/>
    <w:next w:val="696"/>
    <w:link w:val="696"/>
    <w:uiPriority w:val="99"/>
    <w:unhideWhenUsed/>
    <w:qFormat/>
    <w:pPr>
      <w:ind w:left="420" w:firstLine="1188"/>
      <w:spacing w:line="360" w:lineRule="exact"/>
    </w:pPr>
    <w:rPr>
      <w:rFonts w:ascii="Times New Roman" w:hAnsi="Times New Roman" w:eastAsia="宋体" w:cs="Times New Roman"/>
    </w:rPr>
  </w:style>
  <w:style w:type="paragraph" w:styleId="929">
    <w:name w:val="纯文本8"/>
    <w:basedOn w:val="696"/>
    <w:next w:val="929"/>
    <w:link w:val="696"/>
    <w:qFormat/>
    <w:pPr>
      <w:spacing w:line="240" w:lineRule="auto"/>
      <w:widowControl w:val="off"/>
    </w:pPr>
    <w:rPr>
      <w:rFonts w:ascii="宋体" w:hAnsi="Courier New" w:eastAsia="宋体"/>
    </w:rPr>
  </w:style>
  <w:style w:type="paragraph" w:styleId="930">
    <w:name w:val="纯文本10"/>
    <w:basedOn w:val="696"/>
    <w:next w:val="930"/>
    <w:link w:val="696"/>
    <w:qFormat/>
    <w:pPr>
      <w:jc w:val="left"/>
      <w:spacing w:line="240" w:lineRule="auto"/>
    </w:pPr>
    <w:rPr>
      <w:rFonts w:ascii="宋体" w:hAnsi="Courier New" w:eastAsia="宋体"/>
      <w:sz w:val="28"/>
    </w:rPr>
  </w:style>
  <w:style w:type="paragraph" w:styleId="931">
    <w:name w:val="正文文本1"/>
    <w:basedOn w:val="696"/>
    <w:next w:val="931"/>
    <w:link w:val="696"/>
    <w:uiPriority w:val="99"/>
    <w:unhideWhenUsed/>
    <w:qFormat/>
    <w:pPr>
      <w:spacing w:after="120"/>
    </w:pPr>
    <w:rPr>
      <w:rFonts w:ascii="Times New Roman" w:hAnsi="Times New Roman" w:eastAsia="宋体" w:cs="Times New Roman"/>
    </w:rPr>
  </w:style>
  <w:style w:type="paragraph" w:styleId="932">
    <w:name w:val="纯文本3"/>
    <w:basedOn w:val="696"/>
    <w:next w:val="932"/>
    <w:link w:val="696"/>
    <w:qFormat/>
    <w:rPr>
      <w:rFonts w:ascii="宋体" w:hAnsi="Courier New" w:eastAsia="楷体_GB2312"/>
      <w:sz w:val="26"/>
      <w:szCs w:val="22"/>
    </w:rPr>
  </w:style>
  <w:style w:type="paragraph" w:styleId="933">
    <w:name w:val="脚注文本1"/>
    <w:basedOn w:val="934"/>
    <w:next w:val="935"/>
    <w:link w:val="696"/>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934">
    <w:name w:val="标题 11"/>
    <w:basedOn w:val="696"/>
    <w:next w:val="696"/>
    <w:link w:val="696"/>
    <w:uiPriority w:val="9"/>
    <w:qFormat/>
    <w:pPr>
      <w:keepLines/>
      <w:keepNext/>
      <w:spacing w:before="340" w:after="330" w:line="578" w:lineRule="auto"/>
      <w:outlineLvl w:val="0"/>
    </w:pPr>
    <w:rPr>
      <w:rFonts w:eastAsia="宋体"/>
      <w:b/>
      <w:bCs/>
      <w:sz w:val="44"/>
      <w:szCs w:val="44"/>
    </w:rPr>
  </w:style>
  <w:style w:type="paragraph" w:styleId="935">
    <w:name w:val="文本块1"/>
    <w:basedOn w:val="696"/>
    <w:next w:val="935"/>
    <w:link w:val="696"/>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36">
    <w:name w:val="正文文本缩进 31"/>
    <w:basedOn w:val="696"/>
    <w:next w:val="937"/>
    <w:link w:val="696"/>
    <w:uiPriority w:val="99"/>
    <w:unhideWhenUsed/>
    <w:qFormat/>
    <w:pPr>
      <w:ind w:firstLine="480"/>
      <w:jc w:val="left"/>
      <w:spacing w:line="440" w:lineRule="atLeast"/>
    </w:pPr>
    <w:rPr>
      <w:rFonts w:ascii="Times New Roman" w:hAnsi="Times New Roman" w:eastAsia="宋体" w:cs="Times New Roman"/>
      <w:sz w:val="24"/>
    </w:rPr>
  </w:style>
  <w:style w:type="paragraph" w:styleId="937">
    <w:name w:val="目录 61"/>
    <w:basedOn w:val="934"/>
    <w:next w:val="696"/>
    <w:link w:val="696"/>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table" w:styleId="938">
    <w:name w:val="网格型42"/>
    <w:basedOn w:val="699"/>
    <w:next w:val="938"/>
    <w:link w:val="696"/>
    <w:uiPriority w:val="59"/>
    <w:qFormat/>
    <w:rPr>
      <w:rFonts w:ascii="Calibri" w:hAnsi="Calibri"/>
    </w:rPr>
    <w:tblPr/>
  </w:style>
  <w:style w:type="character" w:styleId="939">
    <w:name w:val="font131"/>
    <w:basedOn w:val="698"/>
    <w:next w:val="939"/>
    <w:link w:val="696"/>
    <w:qFormat/>
    <w:rPr>
      <w:rFonts w:hint="eastAsia" w:ascii="宋体" w:hAnsi="宋体" w:eastAsia="宋体" w:cs="宋体"/>
      <w:color w:val="000000"/>
      <w:sz w:val="20"/>
      <w:szCs w:val="20"/>
      <w:u w:val="none"/>
      <w:vertAlign w:val="superscript"/>
    </w:rPr>
  </w:style>
  <w:style w:type="character" w:styleId="940">
    <w:name w:val="font141"/>
    <w:basedOn w:val="698"/>
    <w:next w:val="940"/>
    <w:link w:val="696"/>
    <w:qFormat/>
    <w:rPr>
      <w:rFonts w:hint="eastAsia" w:ascii="宋体" w:hAnsi="宋体" w:eastAsia="宋体" w:cs="宋体"/>
      <w:color w:val="ff0000"/>
      <w:sz w:val="20"/>
      <w:szCs w:val="20"/>
      <w:u w:val="none"/>
    </w:rPr>
  </w:style>
  <w:style w:type="table" w:styleId="941">
    <w:name w:val="Table Normal"/>
    <w:next w:val="941"/>
    <w:link w:val="696"/>
    <w:unhideWhenUsed/>
    <w:qFormat/>
    <w:tblPr/>
  </w:style>
  <w:style w:type="character" w:styleId="942">
    <w:name w:val="font112"/>
    <w:basedOn w:val="698"/>
    <w:next w:val="942"/>
    <w:link w:val="696"/>
    <w:qFormat/>
    <w:rPr>
      <w:rFonts w:hint="eastAsia" w:ascii="宋体" w:hAnsi="宋体" w:eastAsia="宋体" w:cs="宋体"/>
      <w:color w:val="000000"/>
      <w:sz w:val="20"/>
      <w:szCs w:val="20"/>
      <w:u w:val="none"/>
      <w:vertAlign w:val="superscript"/>
    </w:rPr>
  </w:style>
  <w:style w:type="character" w:styleId="943">
    <w:name w:val="font121"/>
    <w:basedOn w:val="698"/>
    <w:next w:val="943"/>
    <w:link w:val="696"/>
    <w:qFormat/>
    <w:rPr>
      <w:rFonts w:hint="eastAsia" w:ascii="宋体" w:hAnsi="宋体" w:eastAsia="宋体" w:cs="宋体"/>
      <w:color w:val="ff0000"/>
      <w:sz w:val="20"/>
      <w:szCs w:val="20"/>
      <w:u w:val="none"/>
    </w:rPr>
  </w:style>
  <w:style w:type="paragraph" w:styleId="944">
    <w:name w:val="！正文"/>
    <w:basedOn w:val="696"/>
    <w:next w:val="944"/>
    <w:link w:val="696"/>
    <w:qFormat/>
    <w:pPr>
      <w:ind w:firstLine="200"/>
      <w:spacing w:line="360" w:lineRule="auto"/>
    </w:pPr>
    <w:rPr>
      <w:bCs/>
      <w:szCs w:val="32"/>
    </w:rPr>
  </w:style>
  <w:style w:type="character" w:styleId="945">
    <w:name w:val="font71"/>
    <w:basedOn w:val="698"/>
    <w:next w:val="945"/>
    <w:link w:val="696"/>
    <w:rPr>
      <w:rFonts w:hint="eastAsia" w:ascii="宋体" w:hAnsi="宋体" w:eastAsia="宋体" w:cs="宋体"/>
      <w:i w:val="0"/>
      <w:iCs w:val="0"/>
      <w:color w:val="000000"/>
      <w:sz w:val="20"/>
      <w:szCs w:val="20"/>
      <w:u w:val="none"/>
      <w:vertAlign w:val="superscript"/>
    </w:rPr>
  </w:style>
  <w:style w:type="character" w:styleId="946">
    <w:name w:val="font51"/>
    <w:basedOn w:val="698"/>
    <w:next w:val="946"/>
    <w:link w:val="696"/>
    <w:rPr>
      <w:rFonts w:ascii="Times New Roman" w:hAnsi="Times New Roman" w:cs="Times New Roman"/>
      <w:i w:val="0"/>
      <w:iCs w:val="0"/>
      <w:color w:val="000000"/>
      <w:sz w:val="20"/>
      <w:szCs w:val="20"/>
      <w:u w:val="none"/>
    </w:rPr>
  </w:style>
  <w:style w:type="character" w:styleId="947">
    <w:name w:val="font41"/>
    <w:basedOn w:val="698"/>
    <w:next w:val="947"/>
    <w:link w:val="696"/>
    <w:rPr>
      <w:rFonts w:hint="eastAsia" w:ascii="宋体" w:hAnsi="宋体" w:eastAsia="宋体" w:cs="宋体"/>
      <w:i w:val="0"/>
      <w:iCs w:val="0"/>
      <w:color w:val="000000"/>
      <w:sz w:val="20"/>
      <w:szCs w:val="20"/>
      <w:u w:val="none"/>
    </w:rPr>
  </w:style>
  <w:style w:type="character" w:styleId="948">
    <w:name w:val="font61"/>
    <w:basedOn w:val="698"/>
    <w:next w:val="948"/>
    <w:link w:val="696"/>
    <w:rPr>
      <w:rFonts w:hint="eastAsia" w:ascii="宋体" w:hAnsi="宋体" w:eastAsia="宋体" w:cs="宋体"/>
      <w:i w:val="0"/>
      <w:iCs w:val="0"/>
      <w:color w:val="000000"/>
      <w:sz w:val="20"/>
      <w:szCs w:val="20"/>
      <w:u w:val="none"/>
      <w:vertAlign w:val="superscript"/>
    </w:rPr>
  </w:style>
  <w:style w:type="character" w:styleId="949">
    <w:name w:val="font31"/>
    <w:basedOn w:val="698"/>
    <w:next w:val="949"/>
    <w:link w:val="696"/>
    <w:rPr>
      <w:rFonts w:hint="eastAsia" w:ascii="宋体" w:hAnsi="宋体" w:eastAsia="宋体" w:cs="宋体"/>
      <w:i w:val="0"/>
      <w:iCs w:val="0"/>
      <w:color w:val="000000"/>
      <w:sz w:val="20"/>
      <w:szCs w:val="20"/>
      <w:u w:val="none"/>
    </w:rPr>
  </w:style>
  <w:style w:type="character" w:styleId="950" w:default="1">
    <w:name w:val="Default Paragraph Font"/>
    <w:uiPriority w:val="1"/>
    <w:semiHidden/>
    <w:unhideWhenUsed/>
  </w:style>
  <w:style w:type="numbering" w:styleId="951" w:default="1">
    <w:name w:val="No List"/>
    <w:uiPriority w:val="99"/>
    <w:semiHidden/>
    <w:unhideWhenUsed/>
  </w:style>
  <w:style w:type="table" w:styleId="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邹雅琴</cp:lastModifiedBy>
  <cp:revision>6</cp:revision>
  <dcterms:created xsi:type="dcterms:W3CDTF">2023-02-25T14:29:00Z</dcterms:created>
  <dcterms:modified xsi:type="dcterms:W3CDTF">2024-07-30T05:54:09Z</dcterms:modified>
</cp:coreProperties>
</file>