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spacing w:before="120" w:beforeAutospacing="0" w:after="120" w:afterAutospacing="0" w:line="360" w:lineRule="auto"/>
        <w:rPr>
          <w:highlight w:val="none"/>
        </w:rPr>
      </w:pPr>
      <w:r>
        <w:rPr>
          <w:highlight w:val="none"/>
        </w:rPr>
        <w:t xml:space="preserve"> </w:t>
      </w:r>
      <w:r>
        <w:rPr>
          <w:highlight w:val="none"/>
        </w:rPr>
      </w:r>
      <w:r/>
    </w:p>
    <w:p>
      <w:pPr>
        <w:pStyle w:val="838"/>
        <w:ind w:firstLine="1687"/>
        <w:jc w:val="both"/>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rPr>
          <w:rFonts w:ascii="Arial" w:hAnsi="Arial" w:cs="Arial"/>
          <w:b/>
          <w:color w:val="000000"/>
          <w:sz w:val="84"/>
          <w:szCs w:val="84"/>
          <w:highlight w:val="none"/>
        </w:rPr>
      </w:r>
      <w:r/>
    </w:p>
    <w:p>
      <w:pPr>
        <w:pStyle w:val="838"/>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38"/>
        <w:ind w:firstLine="964"/>
        <w:jc w:val="left"/>
        <w:spacing w:before="120" w:beforeAutospacing="0" w:after="120" w:afterAutospacing="0" w:line="360" w:lineRule="auto"/>
        <w:rPr>
          <w:rFonts w:hint="eastAsia" w:ascii="Arial" w:hAnsi="Arial" w:cs="Arial"/>
          <w:b/>
          <w:color w:val="000000"/>
          <w:sz w:val="32"/>
          <w:szCs w:val="3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射阳县综合检验检测中心食品检测能力</w:t>
      </w:r>
      <w:r>
        <w:rPr>
          <w:rFonts w:hint="eastAsia" w:ascii="Arial" w:hAnsi="Arial" w:cs="Arial"/>
          <w:b/>
          <w:color w:val="000000"/>
          <w:sz w:val="32"/>
          <w:szCs w:val="32"/>
          <w:highlight w:val="none"/>
        </w:rPr>
      </w:r>
      <w:r/>
    </w:p>
    <w:p>
      <w:pPr>
        <w:pStyle w:val="838"/>
        <w:ind w:firstLine="3213"/>
        <w:jc w:val="left"/>
        <w:spacing w:before="120" w:beforeAutospacing="0" w:after="120" w:afterAutospacing="0" w:line="360" w:lineRule="auto"/>
        <w:rPr>
          <w:rFonts w:ascii="Arial" w:hAnsi="Arial" w:cs="Arial"/>
          <w:b/>
          <w:color w:val="000000"/>
          <w:sz w:val="32"/>
          <w:szCs w:val="32"/>
          <w:highlight w:val="none"/>
        </w:rPr>
      </w:pPr>
      <w:r>
        <w:rPr>
          <w:rFonts w:hint="eastAsia" w:ascii="Arial" w:hAnsi="Arial" w:cs="Arial"/>
          <w:b/>
          <w:color w:val="000000"/>
          <w:sz w:val="32"/>
          <w:szCs w:val="32"/>
          <w:highlight w:val="none"/>
        </w:rPr>
        <w:t xml:space="preserve">提升采购项目</w:t>
      </w:r>
      <w:r>
        <w:rPr>
          <w:rFonts w:ascii="Arial" w:hAnsi="Arial" w:cs="Arial"/>
          <w:b/>
          <w:color w:val="000000"/>
          <w:sz w:val="32"/>
          <w:szCs w:val="32"/>
          <w:highlight w:val="none"/>
        </w:rPr>
      </w:r>
      <w:r/>
    </w:p>
    <w:p>
      <w:pPr>
        <w:pStyle w:val="838"/>
        <w:ind w:firstLine="2249"/>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38"/>
        <w:ind w:firstLine="2249"/>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38"/>
        <w:ind w:firstLine="964"/>
        <w:jc w:val="both"/>
        <w:spacing w:before="120" w:beforeAutospacing="0" w:after="120" w:afterAutospacing="0" w:line="360" w:lineRule="auto"/>
        <w:rPr>
          <w:rFonts w:eastAsia="宋体"/>
          <w:highlight w:val="none"/>
          <w:lang w:val="en-US" w:eastAsia="zh-CN"/>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JSZC-320924-JCJT-G2025-0003</w:t>
      </w:r>
      <w:r>
        <w:rPr>
          <w:rFonts w:eastAsia="宋体"/>
          <w:highlight w:val="none"/>
          <w:lang w:val="en-US" w:eastAsia="zh-CN"/>
        </w:rPr>
      </w:r>
      <w:r/>
    </w:p>
    <w:p>
      <w:pPr>
        <w:pStyle w:val="838"/>
        <w:spacing w:beforeAutospacing="0" w:afterAutospacing="0" w:line="360" w:lineRule="auto"/>
        <w:rPr>
          <w:highlight w:val="none"/>
        </w:rPr>
      </w:pPr>
      <w:r>
        <w:rPr>
          <w:highlight w:val="none"/>
        </w:rPr>
        <w:t xml:space="preserve"> </w:t>
      </w:r>
      <w:r>
        <w:rPr>
          <w:highlight w:val="none"/>
        </w:rPr>
      </w:r>
      <w:r/>
    </w:p>
    <w:p>
      <w:pPr>
        <w:pStyle w:val="838"/>
        <w:spacing w:beforeAutospacing="0" w:afterAutospacing="0" w:line="360" w:lineRule="auto"/>
        <w:rPr>
          <w:highlight w:val="none"/>
        </w:rPr>
      </w:pPr>
      <w:r>
        <w:rPr>
          <w:highlight w:val="none"/>
        </w:rPr>
        <w:t xml:space="preserve"> </w:t>
      </w:r>
      <w:r>
        <w:rPr>
          <w:highlight w:val="none"/>
        </w:rPr>
      </w:r>
      <w:r/>
    </w:p>
    <w:p>
      <w:pPr>
        <w:pStyle w:val="838"/>
        <w:spacing w:beforeAutospacing="0" w:afterAutospacing="0" w:line="360" w:lineRule="auto"/>
        <w:rPr>
          <w:highlight w:val="none"/>
        </w:rPr>
      </w:pPr>
      <w:r>
        <w:rPr>
          <w:highlight w:val="none"/>
        </w:rPr>
        <w:t xml:space="preserve"> </w:t>
      </w:r>
      <w:r>
        <w:rPr>
          <w:highlight w:val="none"/>
        </w:rPr>
      </w:r>
      <w:r/>
    </w:p>
    <w:p>
      <w:pPr>
        <w:pStyle w:val="838"/>
        <w:spacing w:beforeAutospacing="0" w:afterAutospacing="0" w:line="360" w:lineRule="auto"/>
        <w:rPr>
          <w:highlight w:val="none"/>
        </w:rPr>
      </w:pPr>
      <w:r>
        <w:rPr>
          <w:highlight w:val="none"/>
        </w:rPr>
        <w:t xml:space="preserve"> </w:t>
      </w:r>
      <w:r>
        <w:rPr>
          <w:highlight w:val="none"/>
        </w:rPr>
      </w:r>
      <w:r/>
    </w:p>
    <w:p>
      <w:pPr>
        <w:pStyle w:val="838"/>
        <w:spacing w:beforeAutospacing="0" w:afterAutospacing="0" w:line="360" w:lineRule="auto"/>
        <w:rPr>
          <w:highlight w:val="none"/>
        </w:rPr>
      </w:pPr>
      <w:r>
        <w:rPr>
          <w:highlight w:val="none"/>
        </w:rPr>
        <w:t xml:space="preserve"> </w:t>
      </w:r>
      <w:r>
        <w:rPr>
          <w:highlight w:val="none"/>
        </w:rPr>
      </w:r>
      <w:r/>
    </w:p>
    <w:p>
      <w:pPr>
        <w:pStyle w:val="838"/>
        <w:spacing w:beforeAutospacing="0" w:afterAutospacing="0" w:line="360" w:lineRule="auto"/>
        <w:rPr>
          <w:highlight w:val="none"/>
        </w:rPr>
      </w:pPr>
      <w:r>
        <w:rPr>
          <w:highlight w:val="none"/>
        </w:rPr>
        <w:t xml:space="preserve"> </w:t>
      </w:r>
      <w:r>
        <w:rPr>
          <w:highlight w:val="none"/>
        </w:rPr>
      </w:r>
      <w:r/>
    </w:p>
    <w:p>
      <w:pPr>
        <w:pStyle w:val="838"/>
        <w:spacing w:beforeAutospacing="0" w:afterAutospacing="0" w:line="360" w:lineRule="auto"/>
      </w:pPr>
      <w:r/>
      <w:r/>
    </w:p>
    <w:p>
      <w:pPr>
        <w:pStyle w:val="838"/>
        <w:ind w:firstLine="2570"/>
        <w:jc w:val="both"/>
        <w:spacing w:before="120" w:beforeAutospacing="0" w:after="120" w:afterAutospacing="0" w:line="360" w:lineRule="auto"/>
        <w:rPr>
          <w:rFonts w:hint="eastAsia" w:ascii="Arial" w:hAnsi="Arial" w:cs="Arial"/>
          <w:b/>
          <w:color w:val="000000"/>
          <w:sz w:val="32"/>
          <w:szCs w:val="32"/>
          <w:lang w:eastAsia="zh-CN"/>
        </w:rPr>
      </w:pPr>
      <w:r>
        <w:rPr>
          <w:rFonts w:hint="eastAsia" w:ascii="Arial" w:hAnsi="Arial" w:cs="Arial"/>
          <w:b/>
          <w:color w:val="000000"/>
          <w:sz w:val="32"/>
          <w:szCs w:val="32"/>
          <w:lang w:eastAsia="zh-CN"/>
        </w:rPr>
        <w:t xml:space="preserve">射阳县综合检验检测中心</w:t>
      </w:r>
      <w:r>
        <w:rPr>
          <w:rFonts w:hint="eastAsia" w:ascii="Arial" w:hAnsi="Arial" w:cs="Arial"/>
          <w:b/>
          <w:color w:val="000000"/>
          <w:sz w:val="32"/>
          <w:szCs w:val="32"/>
          <w:lang w:eastAsia="zh-CN"/>
        </w:rPr>
      </w:r>
      <w:r/>
    </w:p>
    <w:p>
      <w:pPr>
        <w:pStyle w:val="838"/>
        <w:ind w:firstLine="2249"/>
        <w:jc w:val="both"/>
        <w:spacing w:before="120" w:beforeAutospacing="0" w:after="120" w:afterAutospacing="0" w:line="360" w:lineRule="auto"/>
        <w:rPr>
          <w:rFonts w:hint="eastAsia" w:ascii="Arial" w:hAnsi="Arial" w:cs="Arial"/>
          <w:b/>
          <w:color w:val="000000"/>
          <w:sz w:val="32"/>
          <w:szCs w:val="32"/>
          <w:lang w:eastAsia="zh-CN"/>
        </w:rPr>
      </w:pPr>
      <w:r>
        <w:rPr>
          <w:rFonts w:hint="eastAsia" w:ascii="Arial" w:hAnsi="Arial" w:cs="Arial"/>
          <w:b/>
          <w:color w:val="000000"/>
          <w:sz w:val="32"/>
          <w:szCs w:val="32"/>
          <w:lang w:eastAsia="zh-CN"/>
        </w:rPr>
        <w:t xml:space="preserve">江苏甲晨建设集团有限公司</w:t>
      </w:r>
      <w:r>
        <w:rPr>
          <w:rFonts w:hint="eastAsia" w:ascii="Arial" w:hAnsi="Arial" w:cs="Arial"/>
          <w:b/>
          <w:color w:val="000000"/>
          <w:sz w:val="32"/>
          <w:szCs w:val="32"/>
          <w:lang w:eastAsia="zh-CN"/>
        </w:rPr>
      </w:r>
      <w:r/>
    </w:p>
    <w:p>
      <w:pPr>
        <w:pStyle w:val="838"/>
        <w:spacing w:before="120" w:beforeAutospacing="0" w:after="120" w:afterAutospacing="0" w:line="360" w:lineRule="auto"/>
        <w:rPr>
          <w:highlight w:val="none"/>
        </w:rPr>
      </w:pPr>
      <w:r>
        <w:rPr>
          <w:rFonts w:hint="eastAsia" w:ascii="Arial" w:hAnsi="Arial" w:cs="Arial"/>
          <w:b/>
          <w:color w:val="000000"/>
          <w:sz w:val="32"/>
          <w:szCs w:val="32"/>
        </w:rPr>
        <w:t xml:space="preserve">     </w:t>
      </w:r>
      <w:r>
        <w:rPr>
          <w:rFonts w:hint="eastAsia" w:ascii="Arial" w:hAnsi="Arial" w:eastAsia="宋体" w:cs="Arial"/>
          <w:b/>
          <w:color w:val="000000"/>
          <w:sz w:val="32"/>
          <w:szCs w:val="32"/>
          <w:lang w:val="en-US" w:eastAsia="zh-CN"/>
        </w:rPr>
        <w:t xml:space="preserve">               </w:t>
      </w:r>
      <w:r>
        <w:rPr>
          <w:rFonts w:hint="eastAsia" w:ascii="Arial" w:hAnsi="Arial" w:cs="Arial"/>
          <w:b/>
          <w:color w:val="000000"/>
          <w:sz w:val="32"/>
          <w:szCs w:val="32"/>
        </w:rPr>
        <w:t xml:space="preserve"> 202</w:t>
      </w:r>
      <w:r>
        <w:rPr>
          <w:rFonts w:hint="eastAsia" w:ascii="Arial" w:hAnsi="Arial" w:cs="Arial"/>
          <w:b/>
          <w:color w:val="000000"/>
          <w:sz w:val="32"/>
          <w:szCs w:val="32"/>
          <w:lang w:val="en-US" w:eastAsia="zh-CN"/>
        </w:rPr>
        <w:t xml:space="preserve">5</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9</w:t>
      </w:r>
      <w:r>
        <w:rPr>
          <w:rFonts w:ascii="Arial" w:hAnsi="Arial" w:cs="Arial"/>
          <w:b/>
          <w:color w:val="000000"/>
          <w:sz w:val="32"/>
          <w:szCs w:val="32"/>
        </w:rPr>
        <w:t xml:space="preserve">月</w:t>
      </w:r>
      <w:r>
        <w:rPr>
          <w:rFonts w:ascii="Arial" w:hAnsi="Arial" w:cs="Arial"/>
          <w:color w:val="000000"/>
          <w:highlight w:val="none"/>
        </w:rPr>
        <w:t xml:space="preserve">                        </w:t>
      </w:r>
      <w:r>
        <w:rPr>
          <w:highlight w:val="none"/>
        </w:rPr>
      </w:r>
      <w:r/>
    </w:p>
    <w:p>
      <w:pPr>
        <w:pStyle w:val="838"/>
        <w:jc w:val="center"/>
        <w:spacing w:before="120" w:beforeAutospacing="0" w:after="120" w:afterAutospacing="0" w:line="360" w:lineRule="auto"/>
        <w:rPr>
          <w:highlight w:val="none"/>
        </w:rPr>
      </w:pPr>
      <w:r>
        <w:rPr>
          <w:highlight w:val="none"/>
        </w:rPr>
        <w:t xml:space="preserve"> </w:t>
      </w:r>
      <w:r>
        <w:rPr>
          <w:highlight w:val="none"/>
        </w:rPr>
      </w:r>
      <w:r/>
    </w:p>
    <w:p>
      <w:pPr>
        <w:pStyle w:val="83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20614210"/>
      <w:r/>
      <w:bookmarkStart w:id="1" w:name="_Toc523127445"/>
      <w:r/>
      <w:bookmarkStart w:id="2" w:name="_Toc20823272"/>
      <w:r/>
      <w:bookmarkStart w:id="3" w:name="_Toc16938516"/>
      <w:r/>
      <w:bookmarkStart w:id="4" w:name="_Toc513029200"/>
      <w:r/>
      <w:bookmarkStart w:id="5" w:name="_Toc47975720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838"/>
        <w:jc w:val="both"/>
        <w:spacing w:beforeAutospacing="0" w:afterAutospacing="0" w:line="480" w:lineRule="auto"/>
        <w:rPr>
          <w:highlight w:val="none"/>
        </w:rPr>
      </w:pPr>
      <w:r>
        <w:rPr>
          <w:highlight w:val="none"/>
        </w:rPr>
        <w:t xml:space="preserve"> </w:t>
      </w:r>
      <w:r>
        <w:rPr>
          <w:highlight w:val="none"/>
        </w:rPr>
      </w:r>
      <w:r/>
    </w:p>
    <w:p>
      <w:pPr>
        <w:pStyle w:val="838"/>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eastAsia="黑体"/>
          <w:highlight w:val="none"/>
          <w:lang w:val="en-US" w:eastAsia="zh-CN"/>
        </w:rPr>
      </w:r>
      <w:r/>
    </w:p>
    <w:p>
      <w:pPr>
        <w:pStyle w:val="83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rPr>
          <w:highlight w:val="none"/>
        </w:rPr>
      </w:r>
      <w:r/>
    </w:p>
    <w:p>
      <w:pPr>
        <w:pStyle w:val="83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20</w:t>
      </w:r>
      <w:r>
        <w:rPr>
          <w:rFonts w:eastAsia="黑体"/>
          <w:highlight w:val="none"/>
          <w:lang w:val="en-US" w:eastAsia="zh-CN"/>
        </w:rPr>
      </w:r>
      <w:r/>
    </w:p>
    <w:p>
      <w:pPr>
        <w:pStyle w:val="83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44</w:t>
      </w:r>
      <w:r>
        <w:rPr>
          <w:rFonts w:eastAsia="黑体"/>
          <w:highlight w:val="none"/>
          <w:lang w:val="en-US" w:eastAsia="zh-CN"/>
        </w:rPr>
      </w:r>
      <w:r/>
    </w:p>
    <w:p>
      <w:pPr>
        <w:pStyle w:val="83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54</w:t>
      </w:r>
      <w:r>
        <w:rPr>
          <w:rFonts w:eastAsia="黑体"/>
          <w:highlight w:val="none"/>
          <w:lang w:val="en-US" w:eastAsia="zh-CN"/>
        </w:rPr>
      </w:r>
      <w:r/>
    </w:p>
    <w:p>
      <w:pPr>
        <w:pStyle w:val="83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58</w:t>
      </w:r>
      <w:r>
        <w:rPr>
          <w:rFonts w:eastAsia="黑体"/>
          <w:highlight w:val="none"/>
          <w:lang w:val="en-US" w:eastAsia="zh-CN"/>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Pr>
          <w:rFonts w:eastAsia="黑体"/>
          <w:highlight w:val="none"/>
          <w:lang w:val="en-US" w:eastAsia="zh-CN"/>
        </w:rPr>
      </w:r>
      <w:r/>
    </w:p>
    <w:p>
      <w:pPr>
        <w:pStyle w:val="838"/>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838"/>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射阳县综合检验检测中心食品检测能力提升采购项目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sz w:val="24"/>
          <w:szCs w:val="24"/>
          <w:highlight w:val="none"/>
        </w:rPr>
      </w:r>
      <w:r/>
    </w:p>
    <w:p>
      <w:pPr>
        <w:pStyle w:val="838"/>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rPr>
      </w:pPr>
      <w:r/>
      <w:bookmarkStart w:id="7" w:name="_Toc35393621"/>
      <w:r/>
      <w:bookmarkStart w:id="8" w:name="_Toc35393790"/>
      <w:r/>
      <w:bookmarkStart w:id="9" w:name="_Toc28359079"/>
      <w:r/>
      <w:bookmarkStart w:id="10" w:name="_Toc38985263"/>
      <w:r/>
      <w:bookmarkStart w:id="11" w:name="_Toc28359002"/>
      <w:r/>
      <w:bookmarkStart w:id="12" w:name="_Hlk24379207"/>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838"/>
        <w:ind w:firstLine="480"/>
        <w:jc w:val="both"/>
        <w:pageBreakBefore w:val="0"/>
        <w:spacing w:beforeAutospacing="0" w:afterAutospacing="0" w:line="400" w:lineRule="exac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i w:val="0"/>
          <w:iCs w:val="0"/>
          <w:caps w:val="0"/>
          <w:color w:val="000000"/>
          <w:spacing w:val="0"/>
          <w:sz w:val="24"/>
          <w:szCs w:val="24"/>
          <w:highlight w:val="none"/>
          <w:shd w:val="clear" w:color="auto" w:fill="ffffff"/>
        </w:rPr>
        <w:t xml:space="preserve">JSZC-320924-JCJT-G2025-0003</w:t>
      </w:r>
      <w:r>
        <w:rPr>
          <w:rFonts w:hint="eastAsia" w:ascii="宋体" w:hAnsi="宋体" w:eastAsia="宋体" w:cs="宋体"/>
          <w:i w:val="0"/>
          <w:iCs w:val="0"/>
          <w:caps w:val="0"/>
          <w:color w:val="333333"/>
          <w:spacing w:val="0"/>
          <w:sz w:val="24"/>
          <w:szCs w:val="24"/>
          <w:highlight w:val="none"/>
          <w:shd w:val="clear" w:color="auto" w:fill="ffffff"/>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目名称：射阳县综合检验检测中心食品检测能力提升采购项目</w:t>
      </w:r>
      <w:r>
        <w:rPr>
          <w:rFonts w:hint="eastAsia" w:ascii="宋体" w:hAnsi="宋体" w:eastAsia="宋体" w:cs="宋体"/>
          <w:color w:val="000000"/>
          <w:sz w:val="24"/>
          <w:szCs w:val="24"/>
          <w:highlight w:val="none"/>
          <w:shd w:val="clear" w:color="auto" w:fill="auto"/>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新宋体" w:hAnsi="新宋体" w:eastAsia="新宋体" w:cs="新宋体"/>
          <w:bCs/>
          <w:sz w:val="24"/>
          <w:szCs w:val="24"/>
          <w:lang w:val="en-US" w:eastAsia="zh-CN"/>
        </w:rPr>
        <w:t xml:space="preserve">150</w:t>
      </w:r>
      <w:r>
        <w:rPr>
          <w:rFonts w:hint="eastAsia" w:ascii="新宋体" w:hAnsi="新宋体" w:eastAsia="新宋体" w:cs="新宋体"/>
          <w:bCs/>
          <w:sz w:val="24"/>
          <w:szCs w:val="24"/>
        </w:rPr>
        <w:t xml:space="preserve">万元</w:t>
      </w:r>
      <w:r>
        <w:rPr>
          <w:rFonts w:hint="eastAsia" w:ascii="宋体" w:hAnsi="宋体" w:eastAsia="宋体" w:cs="宋体"/>
          <w:color w:val="000000"/>
          <w:sz w:val="24"/>
          <w:szCs w:val="24"/>
          <w:highlight w:val="none"/>
          <w:lang w:val="en-US" w:eastAsia="zh-CN"/>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最高限价（如有）：150万元</w:t>
      </w:r>
      <w:r>
        <w:rPr>
          <w:rFonts w:hint="eastAsia" w:ascii="宋体" w:hAnsi="宋体" w:eastAsia="宋体" w:cs="宋体"/>
          <w:color w:val="000000"/>
          <w:sz w:val="24"/>
          <w:szCs w:val="24"/>
          <w:highlight w:val="none"/>
          <w:shd w:val="clear" w:color="ffffff" w:fill="d9d9d9"/>
        </w:rPr>
      </w:r>
      <w:r/>
    </w:p>
    <w:p>
      <w:pPr>
        <w:pStyle w:val="838"/>
        <w:jc w:val="both"/>
        <w:pageBreakBefore w:val="0"/>
        <w:spacing w:beforeAutospacing="0" w:afterAutospacing="0" w:line="400" w:lineRule="exact"/>
        <w:rPr>
          <w:rFonts w:hint="eastAsia" w:ascii="宋体" w:hAnsi="宋体" w:eastAsia="宋体" w:cs="宋体"/>
          <w:color w:val="000000"/>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.采购需求（简介）：为进一步满足食品安全检验工作需要，不断提升中心的食品检验检测能力，中心拟采气相色谱仪、原子吸收分光光度计、氨基酸分析</w:t>
      </w:r>
      <w:r>
        <w:rPr>
          <w:rFonts w:hint="eastAsia" w:ascii="宋体" w:hAnsi="宋体" w:eastAsia="宋体" w:cs="宋体"/>
          <w:color w:val="000000"/>
          <w:sz w:val="24"/>
          <w:szCs w:val="24"/>
          <w:highlight w:val="none"/>
          <w:shd w:val="clear" w:color="auto" w:fill="auto"/>
        </w:rPr>
        <w:t xml:space="preserve">仪、原子荧光光度计等设备。清单如下：</w:t>
      </w:r>
      <w:r>
        <w:rPr>
          <w:rFonts w:hint="eastAsia" w:ascii="宋体" w:hAnsi="宋体" w:eastAsia="宋体" w:cs="宋体"/>
          <w:color w:val="000000"/>
          <w:sz w:val="24"/>
          <w:szCs w:val="24"/>
          <w:highlight w:val="none"/>
          <w:shd w:val="clear" w:color="auto" w:fill="auto"/>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rPr>
      </w:r>
      <w:r/>
    </w:p>
    <w:tbl>
      <w:tblPr>
        <w:tblpPr w:horzAnchor="page" w:tblpX="1683" w:vertAnchor="page" w:tblpY="7922" w:leftFromText="180" w:topFromText="0" w:rightFromText="180" w:bottomFromText="0"/>
        <w:tblW w:w="8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8"/>
        <w:gridCol w:w="2964"/>
        <w:gridCol w:w="3200"/>
        <w:gridCol w:w="1269"/>
      </w:tblGrid>
      <w:tr>
        <w:trPr>
          <w:cantSplit/>
          <w:trHeight w:val="505"/>
        </w:trPr>
        <w:tc>
          <w:tcPr>
            <w:gridSpan w:val="3"/>
            <w:tcW w:w="7042" w:type="dxa"/>
            <w:vAlign w:val="center"/>
            <w:textDirection w:val="lrTb"/>
            <w:noWrap w:val="false"/>
          </w:tcPr>
          <w:p>
            <w:pPr>
              <w:pStyle w:val="830"/>
              <w:ind w:firstLine="120"/>
              <w:jc w:val="center"/>
              <w:pageBreakBefore w:val="0"/>
              <w:spacing w:line="400" w:lineRule="exact"/>
              <w:rPr>
                <w:rFonts w:ascii="Times New Roman" w:hAnsi="Times New Roman" w:eastAsia="宋体" w:cs="Times New Roman"/>
                <w:b w:val="0"/>
                <w:bCs w:val="0"/>
                <w:color w:val="000000"/>
                <w:sz w:val="24"/>
                <w:szCs w:val="24"/>
              </w:rPr>
              <w:framePr w:vAnchor="text" w:hAnchor="margin" w:x="1683" w:y="7922"/>
            </w:pPr>
            <w:r>
              <w:rPr>
                <w:rFonts w:ascii="Times New Roman" w:hAnsi="Times New Roman" w:eastAsia="宋体" w:cs="Times New Roman"/>
                <w:b w:val="0"/>
                <w:bCs w:val="0"/>
                <w:color w:val="000000"/>
                <w:sz w:val="24"/>
                <w:szCs w:val="24"/>
                <w:lang w:val="en-US" w:eastAsia="zh-CN"/>
              </w:rPr>
              <w:t xml:space="preserve">拟采购设备</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ind w:firstLine="120"/>
              <w:jc w:val="center"/>
              <w:pageBreakBefore w:val="0"/>
              <w:spacing w:line="400" w:lineRule="exact"/>
              <w:rPr>
                <w:rFonts w:ascii="Times New Roman" w:hAnsi="Times New Roman" w:eastAsia="宋体" w:cs="Times New Roman"/>
                <w:b w:val="0"/>
                <w:bCs w:val="0"/>
                <w:color w:val="000000"/>
                <w:sz w:val="24"/>
                <w:szCs w:val="24"/>
                <w:lang w:val="en-US" w:eastAsia="zh-CN"/>
              </w:rPr>
              <w:framePr w:vAnchor="text" w:hAnchor="margin" w:x="1683" w:y="7922"/>
            </w:pPr>
            <w:r>
              <w:rPr>
                <w:rFonts w:hint="eastAsia" w:ascii="Times New Roman" w:hAnsi="Times New Roman" w:eastAsia="宋体" w:cs="Times New Roman"/>
                <w:b w:val="0"/>
                <w:bCs w:val="0"/>
                <w:color w:val="000000"/>
                <w:sz w:val="24"/>
                <w:szCs w:val="24"/>
                <w:lang w:val="en-US" w:eastAsia="zh-CN"/>
              </w:rPr>
              <w:t xml:space="preserve">备注</w:t>
            </w:r>
            <w:r>
              <w:rPr>
                <w:rFonts w:ascii="Times New Roman" w:hAnsi="Times New Roman" w:eastAsia="宋体" w:cs="Times New Roman"/>
                <w:b w:val="0"/>
                <w:bCs w:val="0"/>
                <w:color w:val="000000"/>
                <w:sz w:val="24"/>
                <w:szCs w:val="24"/>
                <w:lang w:val="en-US" w:eastAsia="zh-CN"/>
              </w:rPr>
            </w:r>
            <w:r/>
          </w:p>
        </w:tc>
      </w:tr>
      <w:tr>
        <w:trPr>
          <w:cantSplit/>
          <w:trHeight w:val="458"/>
        </w:trPr>
        <w:tc>
          <w:tcPr>
            <w:tcW w:w="878" w:type="dxa"/>
            <w:vAlign w:val="center"/>
            <w:textDirection w:val="lrTb"/>
            <w:noWrap w:val="false"/>
          </w:tcPr>
          <w:p>
            <w:pPr>
              <w:pStyle w:val="830"/>
              <w:jc w:val="center"/>
              <w:pageBreakBefore w:val="0"/>
              <w:spacing w:line="400" w:lineRule="exact"/>
              <w:rPr>
                <w:rFonts w:ascii="Times New Roman" w:hAnsi="Times New Roman" w:eastAsia="宋体" w:cs="Times New Roman"/>
                <w:b w:val="0"/>
                <w:bCs w:val="0"/>
                <w:color w:val="000000"/>
                <w:sz w:val="24"/>
                <w:szCs w:val="24"/>
                <w:lang w:val="en-US" w:eastAsia="zh-CN"/>
              </w:rPr>
              <w:framePr w:vAnchor="text" w:hAnchor="margin" w:x="1683" w:y="7922"/>
            </w:pPr>
            <w:r>
              <w:rPr>
                <w:rFonts w:ascii="Times New Roman" w:hAnsi="Times New Roman" w:eastAsia="宋体" w:cs="Times New Roman"/>
                <w:b w:val="0"/>
                <w:bCs w:val="0"/>
                <w:color w:val="000000"/>
                <w:sz w:val="24"/>
                <w:szCs w:val="24"/>
                <w:lang w:val="en-US" w:eastAsia="zh-CN"/>
              </w:rPr>
              <w:t xml:space="preserve">序号</w:t>
            </w:r>
            <w:r>
              <w:rPr>
                <w:rFonts w:ascii="Times New Roman" w:hAnsi="Times New Roman" w:eastAsia="宋体" w:cs="Times New Roman"/>
                <w:b w:val="0"/>
                <w:bCs w:val="0"/>
                <w:color w:val="000000"/>
                <w:sz w:val="24"/>
                <w:szCs w:val="24"/>
                <w:lang w:val="en-US" w:eastAsia="zh-CN"/>
              </w:rPr>
            </w:r>
            <w:r/>
          </w:p>
        </w:tc>
        <w:tc>
          <w:tcPr>
            <w:tcW w:w="2964" w:type="dxa"/>
            <w:vAlign w:val="center"/>
            <w:textDirection w:val="lrTb"/>
            <w:noWrap w:val="false"/>
          </w:tcPr>
          <w:p>
            <w:pPr>
              <w:pStyle w:val="830"/>
              <w:jc w:val="center"/>
              <w:pageBreakBefore w:val="0"/>
              <w:spacing w:line="400" w:lineRule="exact"/>
              <w:rPr>
                <w:rFonts w:ascii="Times New Roman" w:hAnsi="Times New Roman" w:eastAsia="宋体" w:cs="Times New Roman"/>
                <w:b w:val="0"/>
                <w:bCs w:val="0"/>
                <w:color w:val="000000"/>
                <w:sz w:val="24"/>
                <w:szCs w:val="24"/>
              </w:rPr>
              <w:framePr w:vAnchor="text" w:hAnchor="margin" w:x="1683" w:y="7922"/>
            </w:pPr>
            <w:r>
              <w:rPr>
                <w:rFonts w:ascii="Times New Roman" w:hAnsi="Times New Roman" w:eastAsia="宋体" w:cs="Times New Roman"/>
                <w:b w:val="0"/>
                <w:bCs w:val="0"/>
                <w:color w:val="000000"/>
                <w:sz w:val="24"/>
                <w:szCs w:val="24"/>
              </w:rPr>
              <w:t xml:space="preserve">设备名称</w:t>
            </w:r>
            <w:r>
              <w:rPr>
                <w:rFonts w:ascii="Times New Roman" w:hAnsi="Times New Roman" w:eastAsia="宋体" w:cs="Times New Roman"/>
                <w:b w:val="0"/>
                <w:bCs w:val="0"/>
                <w:color w:val="000000"/>
                <w:sz w:val="24"/>
                <w:szCs w:val="24"/>
              </w:rPr>
            </w:r>
            <w:r/>
          </w:p>
        </w:tc>
        <w:tc>
          <w:tcPr>
            <w:tcW w:w="3200" w:type="dxa"/>
            <w:vAlign w:val="center"/>
            <w:textDirection w:val="lrTb"/>
            <w:noWrap w:val="false"/>
          </w:tcPr>
          <w:p>
            <w:pPr>
              <w:pStyle w:val="830"/>
              <w:ind w:firstLine="120"/>
              <w:jc w:val="center"/>
              <w:pageBreakBefore w:val="0"/>
              <w:spacing w:line="400" w:lineRule="exact"/>
              <w:rPr>
                <w:rFonts w:ascii="Times New Roman" w:hAnsi="Times New Roman" w:eastAsia="宋体" w:cs="Times New Roman"/>
                <w:b w:val="0"/>
                <w:bCs w:val="0"/>
                <w:color w:val="000000"/>
                <w:sz w:val="24"/>
                <w:szCs w:val="24"/>
              </w:rPr>
              <w:framePr w:vAnchor="text" w:hAnchor="margin" w:x="1683" w:y="7922"/>
            </w:pPr>
            <w:r>
              <w:rPr>
                <w:rFonts w:ascii="Times New Roman" w:hAnsi="Times New Roman" w:eastAsia="宋体" w:cs="Times New Roman"/>
                <w:b w:val="0"/>
                <w:bCs w:val="0"/>
                <w:color w:val="000000"/>
                <w:sz w:val="24"/>
                <w:szCs w:val="24"/>
              </w:rPr>
              <w:t xml:space="preserve">数量（台套）</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ind w:firstLine="120"/>
              <w:jc w:val="center"/>
              <w:pageBreakBefore w:val="0"/>
              <w:spacing w:line="400" w:lineRule="exact"/>
              <w:rPr>
                <w:rFonts w:ascii="Times New Roman" w:hAnsi="Times New Roman" w:eastAsia="宋体" w:cs="Times New Roman"/>
                <w:b w:val="0"/>
                <w:bCs w:val="0"/>
                <w:color w:val="000000"/>
                <w:sz w:val="24"/>
                <w:szCs w:val="24"/>
              </w:rPr>
              <w:framePr w:vAnchor="text" w:hAnchor="margin" w:x="1683" w:y="7922"/>
            </w:pPr>
            <w:r>
              <w:rPr>
                <w:rFonts w:ascii="Times New Roman" w:hAnsi="Times New Roman" w:eastAsia="宋体" w:cs="Times New Roman"/>
                <w:b w:val="0"/>
                <w:bCs w:val="0"/>
                <w:color w:val="000000"/>
                <w:sz w:val="24"/>
                <w:szCs w:val="24"/>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eastAsia="zh-CN"/>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lang w:val="en-US" w:eastAsia="zh-CN"/>
              </w:rPr>
            </w:r>
            <w:r/>
          </w:p>
        </w:tc>
        <w:tc>
          <w:tcPr>
            <w:tcW w:w="2964" w:type="dxa"/>
            <w:vAlign w:val="center"/>
            <w:textDirection w:val="lrTb"/>
            <w:noWrap w:val="false"/>
          </w:tcPr>
          <w:p>
            <w:pPr>
              <w:pStyle w:val="830"/>
              <w:jc w:val="center"/>
              <w:pageBreakBefore w:val="0"/>
              <w:spacing w:line="400" w:lineRule="exact"/>
              <w:rPr>
                <w:rFonts w:ascii="Times New Roman" w:hAnsi="Times New Roman" w:eastAsia="宋体" w:cs="Times New Roman"/>
                <w:b w:val="0"/>
                <w:bCs w:val="0"/>
                <w:color w:val="000000"/>
                <w:sz w:val="24"/>
                <w:szCs w:val="24"/>
              </w:rPr>
              <w:framePr w:vAnchor="text" w:hAnchor="margin" w:x="1683" w:y="7922"/>
            </w:pPr>
            <w:r>
              <w:rPr>
                <w:rFonts w:ascii="Times New Roman" w:hAnsi="Times New Roman" w:eastAsia="宋体" w:cs="Times New Roman"/>
                <w:b w:val="0"/>
                <w:bCs w:val="0"/>
                <w:color w:val="000000"/>
                <w:sz w:val="24"/>
                <w:szCs w:val="24"/>
                <w:lang w:val="en-US" w:eastAsia="zh-CN"/>
              </w:rPr>
              <w:t xml:space="preserve">超静音无风管通风橱</w:t>
            </w:r>
            <w:r>
              <w:rPr>
                <w:rFonts w:ascii="Times New Roman" w:hAnsi="Times New Roman" w:eastAsia="宋体" w:cs="Times New Roman"/>
                <w:b w:val="0"/>
                <w:bCs w:val="0"/>
                <w:color w:val="000000"/>
                <w:sz w:val="24"/>
                <w:szCs w:val="24"/>
              </w:rPr>
            </w:r>
            <w:r/>
          </w:p>
        </w:tc>
        <w:tc>
          <w:tcPr>
            <w:tcW w:w="3200" w:type="dxa"/>
            <w:vAlign w:val="center"/>
            <w:textDirection w:val="lrTb"/>
            <w:noWrap w:val="false"/>
          </w:tcPr>
          <w:p>
            <w:pPr>
              <w:pStyle w:val="830"/>
              <w:jc w:val="center"/>
              <w:pageBreakBefore w:val="0"/>
              <w:spacing w:line="400" w:lineRule="exact"/>
              <w:rPr>
                <w:rFonts w:ascii="Times New Roman" w:hAnsi="Times New Roman" w:eastAsia="宋体" w:cs="Times New Roman"/>
                <w:b w:val="0"/>
                <w:bCs w:val="0"/>
                <w:color w:val="000000"/>
                <w:sz w:val="24"/>
                <w:szCs w:val="24"/>
              </w:rPr>
              <w:framePr w:vAnchor="text" w:hAnchor="margin" w:x="1683" w:y="7922"/>
            </w:pPr>
            <w:r>
              <w:rPr>
                <w:rFonts w:ascii="Times New Roman" w:hAnsi="Times New Roman" w:eastAsia="宋体" w:cs="Times New Roman"/>
                <w:b w:val="0"/>
                <w:bCs w:val="0"/>
                <w:color w:val="000000"/>
                <w:sz w:val="24"/>
                <w:szCs w:val="24"/>
                <w:lang w:val="en-US" w:eastAsia="zh-CN"/>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pageBreakBefore w:val="0"/>
              <w:spacing w:line="400" w:lineRule="exact"/>
              <w:rPr>
                <w:rFonts w:ascii="Times New Roman" w:hAnsi="Times New Roman" w:eastAsia="宋体" w:cs="Times New Roman"/>
                <w:b w:val="0"/>
                <w:bCs w:val="0"/>
                <w:color w:val="000000"/>
                <w:sz w:val="24"/>
                <w:szCs w:val="24"/>
                <w:lang w:val="en-US" w:eastAsia="zh-CN"/>
              </w:rPr>
              <w:framePr w:vAnchor="text" w:hAnchor="margin" w:x="1683" w:y="7922"/>
            </w:pPr>
            <w:r>
              <w:rPr>
                <w:rFonts w:ascii="Times New Roman" w:hAnsi="Times New Roman" w:eastAsia="宋体" w:cs="Times New Roman"/>
                <w:b w:val="0"/>
                <w:bCs w:val="0"/>
                <w:color w:val="000000"/>
                <w:sz w:val="24"/>
                <w:szCs w:val="24"/>
                <w:lang w:val="en-US" w:eastAsia="zh-CN"/>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eastAsia="zh-CN"/>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2</w:t>
            </w:r>
            <w:r>
              <w:rPr>
                <w:rFonts w:ascii="Times New Roman" w:hAnsi="Times New Roman" w:eastAsia="宋体" w:cs="Times New Roman"/>
                <w:b w:val="0"/>
                <w:bCs w:val="0"/>
                <w:color w:val="000000"/>
                <w:sz w:val="24"/>
                <w:szCs w:val="24"/>
                <w:lang w:val="en-US" w:eastAsia="zh-CN"/>
              </w:rPr>
            </w:r>
            <w:r/>
          </w:p>
        </w:tc>
        <w:tc>
          <w:tcPr>
            <w:tcW w:w="2964"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食品快速检测仪</w:t>
            </w:r>
            <w:r>
              <w:rPr>
                <w:rFonts w:ascii="Times New Roman" w:hAnsi="Times New Roman" w:eastAsia="宋体" w:cs="Times New Roman"/>
                <w:b w:val="0"/>
                <w:bCs w:val="0"/>
                <w:color w:val="000000"/>
                <w:sz w:val="24"/>
                <w:szCs w:val="24"/>
              </w:rPr>
            </w:r>
            <w:r/>
          </w:p>
        </w:tc>
        <w:tc>
          <w:tcPr>
            <w:tcW w:w="3200"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5</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eastAsia="zh-CN"/>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3</w:t>
            </w:r>
            <w:r>
              <w:rPr>
                <w:rFonts w:ascii="Times New Roman" w:hAnsi="Times New Roman" w:eastAsia="宋体" w:cs="Times New Roman"/>
                <w:b w:val="0"/>
                <w:bCs w:val="0"/>
                <w:color w:val="000000"/>
                <w:sz w:val="24"/>
                <w:szCs w:val="24"/>
                <w:lang w:val="en-US" w:eastAsia="zh-CN"/>
              </w:rPr>
            </w:r>
            <w:r/>
          </w:p>
        </w:tc>
        <w:tc>
          <w:tcPr>
            <w:tcW w:w="2964"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不间断电源</w:t>
            </w:r>
            <w:r>
              <w:rPr>
                <w:rFonts w:ascii="Times New Roman" w:hAnsi="Times New Roman" w:eastAsia="宋体" w:cs="Times New Roman"/>
                <w:b w:val="0"/>
                <w:bCs w:val="0"/>
                <w:color w:val="000000"/>
                <w:sz w:val="24"/>
                <w:szCs w:val="24"/>
              </w:rPr>
            </w:r>
            <w:r/>
          </w:p>
        </w:tc>
        <w:tc>
          <w:tcPr>
            <w:tcW w:w="3200"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2</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eastAsia="zh-CN"/>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4</w:t>
            </w:r>
            <w:r>
              <w:rPr>
                <w:rFonts w:ascii="Times New Roman" w:hAnsi="Times New Roman" w:eastAsia="宋体" w:cs="Times New Roman"/>
                <w:b w:val="0"/>
                <w:bCs w:val="0"/>
                <w:color w:val="000000"/>
                <w:sz w:val="24"/>
                <w:szCs w:val="24"/>
                <w:lang w:val="en-US" w:eastAsia="zh-CN"/>
              </w:rPr>
            </w:r>
            <w:r/>
          </w:p>
        </w:tc>
        <w:tc>
          <w:tcPr>
            <w:tcW w:w="2964"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气相色谱仪</w:t>
            </w:r>
            <w:r>
              <w:rPr>
                <w:rFonts w:hint="eastAsia"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lang w:val="en-US"/>
              </w:rPr>
            </w:r>
            <w:r/>
          </w:p>
        </w:tc>
        <w:tc>
          <w:tcPr>
            <w:tcW w:w="3200"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hint="eastAsia"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bidi="ar-SA"/>
              </w:rPr>
              <w:framePr w:vAnchor="text" w:hAnchor="margin" w:x="1683" w:y="7922"/>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5</w:t>
            </w:r>
            <w:r>
              <w:rPr>
                <w:rFonts w:ascii="Times New Roman" w:hAnsi="Times New Roman" w:eastAsia="宋体" w:cs="Times New Roman"/>
                <w:b w:val="0"/>
                <w:bCs w:val="0"/>
                <w:color w:val="000000"/>
                <w:sz w:val="24"/>
                <w:szCs w:val="24"/>
                <w:highlight w:val="none"/>
                <w:lang w:val="en-US" w:eastAsia="zh-CN" w:bidi="ar-SA"/>
              </w:rPr>
            </w:r>
            <w:r/>
          </w:p>
        </w:tc>
        <w:tc>
          <w:tcPr>
            <w:tcW w:w="2964"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highlight w:val="none"/>
                <w:u w:val="none"/>
                <w:lang w:val="en-US" w:eastAsia="zh-CN" w:bidi="ar"/>
              </w:rPr>
              <w:framePr w:vAnchor="text" w:hAnchor="margin" w:x="1683" w:y="7922"/>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气相色谱仪</w:t>
            </w: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2（</w:t>
            </w:r>
            <w:r>
              <w:rPr>
                <w:rFonts w:hint="eastAsia"/>
                <w:b w:val="0"/>
                <w:bCs w:val="0"/>
                <w:color w:val="000000"/>
                <w:sz w:val="24"/>
                <w:szCs w:val="28"/>
                <w:highlight w:val="none"/>
              </w:rPr>
              <w:t xml:space="preserve">ECD检测器</w:t>
            </w: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3200"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highlight w:val="none"/>
                <w:u w:val="none"/>
                <w:lang w:val="en-US" w:eastAsia="zh-CN" w:bidi="ar"/>
              </w:rPr>
              <w:framePr w:vAnchor="text" w:hAnchor="margin" w:x="1683" w:y="7922"/>
              <w:suppressLineNumbers w:val="0"/>
            </w:pP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1</w:t>
            </w: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1269" w:type="dxa"/>
            <w:vAlign w:val="center"/>
            <w:textDirection w:val="lrTb"/>
            <w:noWrap w:val="false"/>
          </w:tcPr>
          <w:p>
            <w:pPr>
              <w:pStyle w:val="830"/>
              <w:jc w:val="center"/>
              <w:keepLines w:val="0"/>
              <w:keepNext w:val="0"/>
              <w:pageBreakBefore w:val="0"/>
              <w:spacing w:line="400" w:lineRule="exact"/>
              <w:widowControl/>
              <w:rPr>
                <w:rFonts w:hint="eastAsia" w:ascii="Times New Roman" w:hAnsi="Times New Roman" w:eastAsia="宋体" w:cs="Times New Roman"/>
                <w:b w:val="0"/>
                <w:bCs w:val="0"/>
                <w:i w:val="0"/>
                <w:iCs w:val="0"/>
                <w:color w:val="000000"/>
                <w:sz w:val="24"/>
                <w:szCs w:val="24"/>
                <w:highlight w:val="none"/>
                <w:u w:val="none"/>
                <w:lang w:val="en-US" w:eastAsia="zh-CN" w:bidi="ar"/>
              </w:rPr>
              <w:framePr w:vAnchor="text" w:hAnchor="margin" w:x="1683" w:y="7922"/>
              <w:suppressLineNumbers w:val="0"/>
            </w:pP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核心产品</w:t>
            </w:r>
            <w:r>
              <w:rPr>
                <w:rFonts w:hint="eastAsia" w:ascii="Times New Roman" w:hAnsi="Times New Roman" w:eastAsia="宋体" w:cs="Times New Roman"/>
                <w:b w:val="0"/>
                <w:bCs w:val="0"/>
                <w:i w:val="0"/>
                <w:iCs w:val="0"/>
                <w:color w:val="000000"/>
                <w:sz w:val="24"/>
                <w:szCs w:val="24"/>
                <w:highlight w:val="none"/>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eastAsia="zh-CN" w:bidi="ar-SA"/>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6</w:t>
            </w:r>
            <w:r>
              <w:rPr>
                <w:rFonts w:ascii="Times New Roman" w:hAnsi="Times New Roman" w:eastAsia="宋体" w:cs="Times New Roman"/>
                <w:b w:val="0"/>
                <w:bCs w:val="0"/>
                <w:color w:val="000000"/>
                <w:sz w:val="24"/>
                <w:szCs w:val="24"/>
                <w:lang w:val="en-US" w:eastAsia="zh-CN" w:bidi="ar-SA"/>
              </w:rPr>
            </w:r>
            <w:r/>
          </w:p>
        </w:tc>
        <w:tc>
          <w:tcPr>
            <w:tcW w:w="2964"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原子吸收分光光度计</w:t>
            </w:r>
            <w:r>
              <w:rPr>
                <w:rFonts w:ascii="Times New Roman" w:hAnsi="Times New Roman" w:eastAsia="宋体" w:cs="Times New Roman"/>
                <w:b w:val="0"/>
                <w:bCs w:val="0"/>
                <w:color w:val="000000"/>
                <w:sz w:val="24"/>
                <w:szCs w:val="24"/>
              </w:rPr>
            </w:r>
            <w:r/>
          </w:p>
        </w:tc>
        <w:tc>
          <w:tcPr>
            <w:tcW w:w="3200"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eastAsia="zh-CN" w:bidi="ar-SA"/>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7</w:t>
            </w:r>
            <w:r>
              <w:rPr>
                <w:rFonts w:ascii="Times New Roman" w:hAnsi="Times New Roman" w:eastAsia="宋体" w:cs="Times New Roman"/>
                <w:b w:val="0"/>
                <w:bCs w:val="0"/>
                <w:color w:val="000000"/>
                <w:sz w:val="24"/>
                <w:szCs w:val="24"/>
                <w:lang w:val="en-US" w:eastAsia="zh-CN" w:bidi="ar-SA"/>
              </w:rPr>
            </w:r>
            <w:r/>
          </w:p>
        </w:tc>
        <w:tc>
          <w:tcPr>
            <w:tcW w:w="2964"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氨基酸分析仪</w:t>
            </w:r>
            <w:r>
              <w:rPr>
                <w:rFonts w:ascii="Times New Roman" w:hAnsi="Times New Roman" w:eastAsia="宋体" w:cs="Times New Roman"/>
                <w:b w:val="0"/>
                <w:bCs w:val="0"/>
                <w:color w:val="000000"/>
                <w:sz w:val="24"/>
                <w:szCs w:val="24"/>
              </w:rPr>
            </w:r>
            <w:r/>
          </w:p>
        </w:tc>
        <w:tc>
          <w:tcPr>
            <w:tcW w:w="3200"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683" w:y="7922"/>
              <w:suppressLineNumbers w:val="0"/>
            </w:pPr>
            <w:r>
              <w:rPr>
                <w:rFonts w:hint="eastAsia" w:ascii="Times New Roman" w:hAnsi="Times New Roman" w:eastAsia="宋体" w:cs="Times New Roman"/>
                <w:b w:val="0"/>
                <w:bCs w:val="0"/>
                <w:i w:val="0"/>
                <w:iCs w:val="0"/>
                <w:color w:val="000000"/>
                <w:sz w:val="24"/>
                <w:szCs w:val="24"/>
                <w:u w:val="none"/>
                <w:lang w:val="en-US" w:eastAsia="zh-CN" w:bidi="ar"/>
              </w:rPr>
              <w:t xml:space="preserve">核心产品</w:t>
            </w: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eastAsia="zh-CN" w:bidi="ar-SA"/>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8</w:t>
            </w:r>
            <w:r>
              <w:rPr>
                <w:rFonts w:ascii="Times New Roman" w:hAnsi="Times New Roman" w:eastAsia="宋体" w:cs="Times New Roman"/>
                <w:b w:val="0"/>
                <w:bCs w:val="0"/>
                <w:color w:val="000000"/>
                <w:sz w:val="24"/>
                <w:szCs w:val="24"/>
                <w:lang w:val="en-US" w:eastAsia="zh-CN" w:bidi="ar-SA"/>
              </w:rPr>
            </w:r>
            <w:r/>
          </w:p>
        </w:tc>
        <w:tc>
          <w:tcPr>
            <w:tcW w:w="2964"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原子荧光光度计</w:t>
            </w:r>
            <w:r>
              <w:rPr>
                <w:rFonts w:ascii="Times New Roman" w:hAnsi="Times New Roman" w:eastAsia="宋体" w:cs="Times New Roman"/>
                <w:b w:val="0"/>
                <w:bCs w:val="0"/>
                <w:color w:val="000000"/>
                <w:sz w:val="24"/>
                <w:szCs w:val="24"/>
              </w:rPr>
            </w:r>
            <w:r/>
          </w:p>
        </w:tc>
        <w:tc>
          <w:tcPr>
            <w:tcW w:w="3200"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lang w:val="en-US" w:eastAsia="zh-CN"/>
              </w:rPr>
              <w:framePr w:vAnchor="text" w:hAnchor="margin" w:x="1683" w:y="7922"/>
              <w:suppressLineNumbers w:val="0"/>
            </w:pPr>
            <w:r>
              <w:rPr>
                <w:rFonts w:hint="eastAsia" w:ascii="Times New Roman" w:hAnsi="Times New Roman" w:eastAsia="宋体" w:cs="Times New Roman"/>
                <w:b w:val="0"/>
                <w:bCs w:val="0"/>
                <w:i w:val="0"/>
                <w:iCs w:val="0"/>
                <w:color w:val="000000"/>
                <w:sz w:val="24"/>
                <w:szCs w:val="24"/>
                <w:u w:val="none"/>
                <w:lang w:val="en-US" w:eastAsia="zh-CN" w:bidi="ar"/>
              </w:rPr>
              <w:t xml:space="preserve">9</w:t>
            </w:r>
            <w:r>
              <w:rPr>
                <w:rFonts w:ascii="Times New Roman" w:hAnsi="Times New Roman" w:eastAsia="宋体" w:cs="Times New Roman"/>
                <w:b w:val="0"/>
                <w:bCs w:val="0"/>
                <w:color w:val="000000"/>
                <w:sz w:val="24"/>
                <w:szCs w:val="24"/>
                <w:lang w:val="en-US" w:eastAsia="zh-CN"/>
              </w:rPr>
            </w:r>
            <w:r/>
          </w:p>
        </w:tc>
        <w:tc>
          <w:tcPr>
            <w:tcW w:w="2964"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超净工作台</w:t>
            </w:r>
            <w:r>
              <w:rPr>
                <w:rFonts w:ascii="Times New Roman" w:hAnsi="Times New Roman" w:eastAsia="宋体" w:cs="Times New Roman"/>
                <w:b w:val="0"/>
                <w:bCs w:val="0"/>
                <w:color w:val="000000"/>
                <w:sz w:val="24"/>
                <w:szCs w:val="24"/>
              </w:rPr>
            </w:r>
            <w:r/>
          </w:p>
        </w:tc>
        <w:tc>
          <w:tcPr>
            <w:tcW w:w="3200"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color w:val="000000"/>
                <w:sz w:val="24"/>
                <w:szCs w:val="24"/>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5</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pageBreakBefore w:val="0"/>
              <w:spacing w:line="400" w:lineRule="exact"/>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683" w:y="7922"/>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bl>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招标范围包括：以上设备的提供、运输、安装、调试、运行服务、检验、人员培训、售后服务等以及直至通过采购单位及其他相关部门的验收等全部工作。具体采购范围及所应达到的具体要求，以招标文件项目需求中有关商务、技术和服务的相应规定为准。</w:t>
      </w:r>
      <w:r>
        <w:rPr>
          <w:rFonts w:hint="eastAsia" w:ascii="宋体" w:hAnsi="宋体" w:eastAsia="宋体" w:cs="宋体"/>
          <w:color w:val="000000"/>
          <w:sz w:val="24"/>
          <w:szCs w:val="24"/>
          <w:highlight w:val="none"/>
          <w:shd w:val="clear" w:color="auto" w:fill="auto"/>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7、合同履行期限：合同签订后，接到使用单位通知后的45天内完成供货、调试并经验收合格。</w:t>
      </w:r>
      <w:r>
        <w:rPr>
          <w:rFonts w:hint="eastAsia" w:ascii="宋体" w:hAnsi="宋体" w:eastAsia="宋体" w:cs="宋体"/>
          <w:color w:val="000000"/>
          <w:sz w:val="24"/>
          <w:szCs w:val="24"/>
          <w:highlight w:val="none"/>
          <w:shd w:val="clear" w:color="auto" w:fill="auto"/>
          <w:lang w:val="en-US" w:eastAsia="zh-CN"/>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8、履约地点：射阳县综合检验检测中心指定地点。</w:t>
      </w:r>
      <w:r>
        <w:rPr>
          <w:rFonts w:hint="eastAsia" w:ascii="宋体" w:hAnsi="宋体" w:eastAsia="宋体" w:cs="宋体"/>
          <w:color w:val="000000"/>
          <w:sz w:val="24"/>
          <w:szCs w:val="24"/>
          <w:highlight w:val="none"/>
          <w:shd w:val="clear" w:color="auto" w:fill="auto"/>
          <w:lang w:val="en-US" w:eastAsia="zh-CN"/>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9.本项目不接受联合体参与招标。</w:t>
      </w:r>
      <w:r>
        <w:rPr>
          <w:rFonts w:hint="eastAsia" w:ascii="宋体" w:hAnsi="宋体" w:eastAsia="宋体" w:cs="宋体"/>
          <w:color w:val="000000"/>
          <w:sz w:val="24"/>
          <w:szCs w:val="24"/>
          <w:highlight w:val="none"/>
          <w:shd w:val="clear" w:color="auto" w:fill="auto"/>
          <w:lang w:val="en-US" w:eastAsia="zh-CN"/>
        </w:rPr>
      </w:r>
      <w:r/>
    </w:p>
    <w:p>
      <w:pPr>
        <w:pStyle w:val="838"/>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rPr>
      </w:pPr>
      <w:r/>
      <w:bookmarkStart w:id="13" w:name="_Toc28359003"/>
      <w:r/>
      <w:bookmarkStart w:id="14" w:name="_Toc35393622"/>
      <w:r/>
      <w:bookmarkStart w:id="15" w:name="_Toc28359080"/>
      <w:r/>
      <w:bookmarkStart w:id="16" w:name="_Toc38985264"/>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838"/>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sz w:val="24"/>
          <w:szCs w:val="24"/>
          <w:highlight w:val="none"/>
        </w:rPr>
      </w:r>
      <w:r/>
    </w:p>
    <w:p>
      <w:pPr>
        <w:pStyle w:val="838"/>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sz w:val="24"/>
          <w:szCs w:val="24"/>
          <w:highlight w:val="none"/>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838"/>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rPr>
          <w:rFonts w:hint="eastAsia" w:ascii="宋体" w:hAnsi="宋体" w:eastAsia="宋体" w:cs="宋体"/>
          <w:color w:val="000000"/>
          <w:sz w:val="24"/>
          <w:szCs w:val="24"/>
          <w:highlight w:val="none"/>
          <w:shd w:val="clear" w:color="auto" w:fill="auto"/>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法律、行政法规规定的其他条件。</w:t>
      </w:r>
      <w:r>
        <w:rPr>
          <w:rFonts w:hint="eastAsia" w:ascii="宋体" w:hAnsi="宋体" w:eastAsia="宋体" w:cs="宋体"/>
          <w:color w:val="000000"/>
          <w:sz w:val="24"/>
          <w:szCs w:val="24"/>
          <w:highlight w:val="none"/>
          <w:shd w:val="clear" w:color="auto" w:fill="auto"/>
        </w:rPr>
      </w:r>
      <w:r/>
    </w:p>
    <w:p>
      <w:pPr>
        <w:pStyle w:val="83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000000"/>
          <w:sz w:val="24"/>
          <w:szCs w:val="24"/>
          <w:highlight w:val="none"/>
          <w:shd w:val="clear" w:color="auto" w:fill="auto"/>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u w:val="singl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none"/>
          <w:shd w:val="clear" w:color="auto" w:fill="auto"/>
        </w:rPr>
        <w:t xml:space="preserve">/</w:t>
      </w:r>
      <w:r>
        <w:rPr>
          <w:rFonts w:hint="eastAsia" w:ascii="宋体" w:hAnsi="宋体" w:eastAsia="宋体" w:cs="宋体"/>
          <w:i w:val="0"/>
          <w:iCs w:val="0"/>
          <w:caps w:val="0"/>
          <w:color w:val="333333"/>
          <w:spacing w:val="0"/>
          <w:sz w:val="24"/>
          <w:szCs w:val="24"/>
          <w:highlight w:val="none"/>
          <w:u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r>
      <w:r/>
    </w:p>
    <w:p>
      <w:pPr>
        <w:pStyle w:val="838"/>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18" w:name="_Toc28359005"/>
      <w:r/>
      <w:bookmarkStart w:id="19" w:name="_Toc35393793"/>
      <w:r/>
      <w:bookmarkStart w:id="20" w:name="_Toc38985266"/>
      <w:r/>
      <w:bookmarkStart w:id="21" w:name="_Toc28359082"/>
      <w:r/>
      <w:bookmarkStart w:id="22" w:name="_Toc35393624"/>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rPr>
          <w:rFonts w:hint="eastAsia" w:ascii="宋体" w:hAnsi="宋体" w:eastAsia="宋体" w:cs="宋体"/>
          <w:color w:val="000000"/>
          <w:sz w:val="24"/>
          <w:szCs w:val="24"/>
          <w:highlight w:val="none"/>
          <w:shd w:val="clear" w:color="auto" w:fill="auto"/>
        </w:rPr>
      </w:r>
      <w:r/>
    </w:p>
    <w:p>
      <w:pPr>
        <w:pStyle w:val="830"/>
        <w:ind w:firstLine="480"/>
        <w:jc w:val="left"/>
        <w:keepLines w:val="0"/>
        <w:keepNext w:val="0"/>
        <w:pageBreakBefore w:val="0"/>
        <w:spacing w:line="40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rPr>
      </w:r>
      <w:r/>
    </w:p>
    <w:p>
      <w:pPr>
        <w:pStyle w:val="830"/>
        <w:ind w:firstLine="480"/>
        <w:jc w:val="left"/>
        <w:pageBreakBefore w:val="0"/>
        <w:spacing w:line="40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sz w:val="24"/>
          <w:szCs w:val="24"/>
          <w:highlight w:val="none"/>
          <w:shd w:val="clear" w:color="auto" w:fill="auto"/>
        </w:rPr>
      </w:r>
      <w:r/>
    </w:p>
    <w:p>
      <w:pPr>
        <w:pStyle w:val="838"/>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rPr>
        <w:t xml:space="preserve"> </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 </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10</w:t>
      </w:r>
      <w:r>
        <w:rPr>
          <w:rFonts w:hint="eastAsia" w:ascii="宋体" w:hAnsi="宋体" w:eastAsia="宋体" w:cs="宋体"/>
          <w:i w:val="0"/>
          <w:iCs w:val="0"/>
          <w:caps w:val="0"/>
          <w:color w:val="333333"/>
          <w:spacing w:val="0"/>
          <w:sz w:val="24"/>
          <w:szCs w:val="24"/>
          <w:highlight w:val="none"/>
          <w:u w:val="single"/>
          <w:shd w:val="clear" w:color="auto" w:fill="auto"/>
        </w:rPr>
        <w:t xml:space="preserve">月 </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15</w:t>
      </w:r>
      <w:r>
        <w:rPr>
          <w:rFonts w:hint="eastAsia" w:ascii="宋体" w:hAnsi="宋体" w:eastAsia="宋体" w:cs="宋体"/>
          <w:i w:val="0"/>
          <w:iCs w:val="0"/>
          <w:caps w:val="0"/>
          <w:color w:val="333333"/>
          <w:spacing w:val="0"/>
          <w:sz w:val="24"/>
          <w:szCs w:val="24"/>
          <w:highlight w:val="none"/>
          <w:u w:val="single"/>
          <w:shd w:val="clear" w:color="auto" w:fill="auto"/>
        </w:rPr>
        <w:t xml:space="preserve"> 日9点00分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sz w:val="24"/>
          <w:szCs w:val="24"/>
          <w:highlight w:val="none"/>
          <w:shd w:val="clear" w:color="auto" w:fill="auto"/>
        </w:rPr>
      </w:r>
      <w:r/>
    </w:p>
    <w:p>
      <w:pPr>
        <w:pStyle w:val="838"/>
        <w:ind w:firstLine="480"/>
        <w:jc w:val="both"/>
        <w:pageBreakBefore w:val="0"/>
        <w:spacing w:beforeAutospacing="0" w:afterAutospacing="0" w:line="40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838"/>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rPr>
      </w:pPr>
      <w:r/>
      <w:bookmarkStart w:id="23" w:name="_Toc38985267"/>
      <w:r/>
      <w:bookmarkStart w:id="24" w:name="_Toc28359007"/>
      <w:r/>
      <w:bookmarkStart w:id="25" w:name="_Toc35393625"/>
      <w:r/>
      <w:bookmarkStart w:id="26" w:name="_Toc28359084"/>
      <w:r/>
      <w:bookmarkStart w:id="27" w:name="_Toc35393794"/>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838"/>
        <w:ind w:left="0" w:right="0" w:firstLine="54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830"/>
        <w:ind w:firstLine="480"/>
        <w:jc w:val="left"/>
        <w:keepLines w:val="0"/>
        <w:keepNext w:val="0"/>
        <w:pageBreakBefore w:val="0"/>
        <w:spacing w:line="400" w:lineRule="exact"/>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3.有关本次招标的事项若存在变动或修改，敬请及时关注盐城市政府采购代理机构在“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5.电子投标文件一份(通过系统提交)；纸质投标文件正本一份，副本二份（评审结束后由中标候选供应商邮寄至（代理公司），未中标单位不需要提供）</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6. 本项目执行江苏省财政厅《关于推动解决政府采购异常低价问题相关工作的通知》（苏财购〔2025〕62号）。</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1"/>
        <w:ind w:left="0" w:right="0" w:firstLine="482"/>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bCs/>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highlight w:val="none"/>
          <w:u w:val="none"/>
          <w:shd w:val="clear" w:color="auto" w:fill="ffffff"/>
        </w:rPr>
        <w:t xml:space="preserve">提出询问，请按以下方式联系。</w:t>
      </w:r>
      <w:bookmarkEnd w:id="31"/>
      <w:r>
        <w:rPr>
          <w:rFonts w:hint="eastAsia" w:ascii="宋体" w:hAnsi="宋体" w:eastAsia="宋体" w:cs="宋体"/>
          <w:b/>
          <w:bCs/>
          <w:i w:val="0"/>
          <w:iCs w:val="0"/>
          <w:caps w:val="0"/>
          <w:color w:val="333333"/>
          <w:spacing w:val="0"/>
          <w:sz w:val="24"/>
          <w:szCs w:val="24"/>
          <w:highlight w:val="none"/>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称：射阳县综合检验检测中心</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地址：射阳县幸福大道26号联创中心B座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 周明建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联系方式：18761261392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称：江苏甲晨建设集团有限公司</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址：射阳县建工大厦十二楼</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联系人：彭明艳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15151052742       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项目联系人：彭明艳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话：15151052742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3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Pr>
          <w:rFonts w:hint="eastAsia" w:ascii="宋体" w:hAnsi="宋体" w:eastAsia="宋体" w:cs="宋体"/>
          <w:b/>
          <w:color w:val="000000"/>
          <w:sz w:val="24"/>
          <w:szCs w:val="24"/>
          <w:highlight w:val="none"/>
        </w:rPr>
      </w:r>
      <w:r/>
    </w:p>
    <w:p>
      <w:pPr>
        <w:pStyle w:val="838"/>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16938518"/>
      <w:r/>
      <w:bookmarkStart w:id="37" w:name="_Toc20823274"/>
      <w:r/>
      <w:bookmarkStart w:id="38" w:name="_Toc513029202"/>
      <w:r/>
      <w:bookmarkStart w:id="39" w:name="_Toc120614213"/>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Pr>
          <w:highlight w:val="none"/>
        </w:rPr>
      </w:r>
      <w:r/>
    </w:p>
    <w:p>
      <w:pPr>
        <w:pStyle w:val="83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16938519"/>
      <w:r/>
      <w:bookmarkStart w:id="41" w:name="_Toc513029203"/>
      <w:r/>
      <w:bookmarkStart w:id="42" w:name="_Toc120614214"/>
      <w:r/>
      <w:bookmarkStart w:id="43" w:name="_Toc20823275"/>
      <w:r>
        <w:rPr>
          <w:rFonts w:hint="eastAsia" w:ascii="宋体" w:hAnsi="宋体" w:eastAsia="宋体" w:cs="宋体"/>
          <w:b/>
          <w:color w:val="000000"/>
          <w:sz w:val="24"/>
          <w:szCs w:val="24"/>
          <w:highlight w:val="none"/>
        </w:rPr>
        <w:t xml:space="preserve">一、总则</w:t>
      </w:r>
      <w:bookmarkEnd w:id="40"/>
      <w:r/>
      <w:bookmarkEnd w:id="41"/>
      <w:r/>
      <w:bookmarkEnd w:id="42"/>
      <w:r/>
      <w:bookmarkEnd w:id="43"/>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44" w:name="_Toc20823276"/>
      <w:r/>
      <w:bookmarkStart w:id="45" w:name="_Toc458694821"/>
      <w:r/>
      <w:bookmarkStart w:id="46" w:name="_Toc16938520"/>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52" w:name="_Toc513029206"/>
      <w:r/>
      <w:bookmarkStart w:id="53" w:name="_Toc16938522"/>
      <w:r/>
      <w:bookmarkStart w:id="54" w:name="_Toc20823278"/>
      <w:r>
        <w:rPr>
          <w:rFonts w:hint="eastAsia" w:ascii="宋体" w:hAnsi="宋体" w:eastAsia="宋体" w:cs="宋体"/>
          <w:color w:val="000000"/>
          <w:sz w:val="24"/>
          <w:szCs w:val="24"/>
          <w:highlight w:val="none"/>
        </w:rPr>
        <w:t xml:space="preserve">3、适用法律</w:t>
      </w:r>
      <w:bookmarkEnd w:id="52"/>
      <w:r/>
      <w:bookmarkEnd w:id="53"/>
      <w:r/>
      <w:bookmarkEnd w:id="54"/>
      <w:r>
        <w:rPr>
          <w:rFonts w:hint="eastAsia" w:ascii="宋体" w:hAnsi="宋体" w:eastAsia="宋体" w:cs="宋体"/>
          <w:sz w:val="24"/>
          <w:szCs w:val="24"/>
          <w:highlight w:val="none"/>
        </w:rPr>
      </w:r>
      <w:r/>
    </w:p>
    <w:p>
      <w:pPr>
        <w:pStyle w:val="838"/>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55" w:name="_Toc20823279"/>
      <w:r/>
      <w:bookmarkStart w:id="56" w:name="_Toc16938523"/>
      <w:r/>
      <w:bookmarkStart w:id="57" w:name="_Toc462564067"/>
      <w:r/>
      <w:bookmarkStart w:id="58" w:name="_Toc513029207"/>
      <w:r>
        <w:rPr>
          <w:rFonts w:hint="eastAsia" w:ascii="宋体" w:hAnsi="宋体" w:eastAsia="宋体" w:cs="宋体"/>
          <w:color w:val="000000"/>
          <w:sz w:val="24"/>
          <w:szCs w:val="24"/>
          <w:highlight w:val="none"/>
        </w:rPr>
        <w:t xml:space="preserve">4、投标费用</w:t>
      </w:r>
      <w:bookmarkEnd w:id="55"/>
      <w:r/>
      <w:bookmarkEnd w:id="56"/>
      <w:r/>
      <w:bookmarkEnd w:id="57"/>
      <w:r/>
      <w:bookmarkEnd w:id="58"/>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投标人应自行承担所有与参加投标有关的费用，无论投标过程中的做法和结果如何，江苏甲晨建设集团有限公司（以下简称采购代理机构）在任何情况下均无义务和责任承担这些费用。</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4.2本次招标采购代理机构和采购人不收取标书工本费。</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4.3</w:t>
      </w:r>
      <w:r>
        <w:rPr>
          <w:rFonts w:hint="eastAsia" w:ascii="宋体" w:hAnsi="宋体" w:eastAsia="宋体" w:cs="宋体"/>
          <w:b w:val="0"/>
          <w:bCs w:val="0"/>
          <w:color w:val="000000"/>
          <w:sz w:val="24"/>
          <w:szCs w:val="24"/>
          <w:highlight w:val="none"/>
        </w:rPr>
        <w:t xml:space="preserve">采购代理服务费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38"/>
        <w:ind w:firstLine="480"/>
        <w:jc w:val="both"/>
        <w:spacing w:beforeAutospacing="0" w:afterAutospacing="0" w:line="0" w:lineRule="atLeas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）本项目招标代理服务费由中标人向采购代理机构支付。中标人须在领取中标通知书时向采购代理机构一次性付清。该费用折算在报价中，不在投标文件中单独列出。</w:t>
      </w:r>
      <w:r>
        <w:rPr>
          <w:rFonts w:hint="eastAsia" w:ascii="宋体" w:hAnsi="宋体" w:eastAsia="宋体" w:cs="宋体"/>
          <w:b w:val="0"/>
          <w:bCs w:val="0"/>
          <w:color w:val="000000"/>
          <w:sz w:val="24"/>
          <w:szCs w:val="24"/>
          <w:highlight w:val="none"/>
          <w:lang w:eastAsia="zh-CN"/>
        </w:rPr>
      </w:r>
      <w:r/>
    </w:p>
    <w:p>
      <w:pPr>
        <w:pStyle w:val="838"/>
        <w:ind w:firstLine="480"/>
        <w:jc w:val="both"/>
        <w:spacing w:beforeAutospacing="0" w:afterAutospacing="0" w:line="0" w:lineRule="atLeas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收费标准：中标人须在领取中标通知书时向采购代理机构一次性支付采购代理服务费，</w:t>
      </w:r>
      <w:r>
        <w:rPr>
          <w:rFonts w:hint="eastAsia" w:ascii="宋体" w:hAnsi="宋体" w:eastAsia="宋体" w:cs="宋体"/>
          <w:b/>
          <w:bCs/>
          <w:color w:val="000000"/>
          <w:sz w:val="24"/>
          <w:szCs w:val="24"/>
          <w:highlight w:val="none"/>
        </w:rPr>
        <w:t xml:space="preserve">采购代理服务费用按苏政采协[2024]20号文收费标准计费，由中标人承担。该费用折算在报价中，不在投标文件中单独列出。收费标准：中标金额50万（含50万）元以下：按1.6%收取；中标金额50-400万（含400万）元：货物、服务、工程按中标金额的1.5%收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sz w:val="24"/>
          <w:szCs w:val="24"/>
          <w:highlight w:val="none"/>
          <w:lang w:val="en-US" w:eastAsia="zh-CN"/>
        </w:rPr>
      </w:r>
      <w:r/>
    </w:p>
    <w:p>
      <w:pPr>
        <w:pStyle w:val="838"/>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sz w:val="24"/>
          <w:szCs w:val="24"/>
          <w:highlight w:val="none"/>
        </w:rPr>
      </w:r>
      <w:r/>
    </w:p>
    <w:p>
      <w:pPr>
        <w:pStyle w:val="838"/>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16938525"/>
      <w:r/>
      <w:bookmarkStart w:id="60" w:name="_Toc513029209"/>
      <w:r/>
      <w:bookmarkStart w:id="61" w:name="_Toc120614215"/>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63" w:name="_Toc20823282"/>
      <w:r/>
      <w:bookmarkStart w:id="64" w:name="_Toc513029210"/>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838"/>
        <w:ind w:firstLine="36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83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sz w:val="24"/>
          <w:szCs w:val="24"/>
          <w:highlight w:val="none"/>
        </w:rPr>
      </w:r>
      <w:r/>
    </w:p>
    <w:p>
      <w:pPr>
        <w:pStyle w:val="83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83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838"/>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83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请仔细检查招标文件是否齐全，如有缺漏请立即与采购代理机构联系解决。</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838"/>
        <w:ind w:firstLine="560"/>
        <w:jc w:val="both"/>
        <w:keepLines/>
        <w:keepNext/>
        <w:spacing w:beforeAutospacing="0" w:afterAutospacing="0"/>
        <w:rPr>
          <w:rFonts w:hint="eastAsia" w:ascii="宋体" w:hAnsi="宋体" w:eastAsia="宋体" w:cs="宋体"/>
          <w:sz w:val="24"/>
          <w:szCs w:val="24"/>
          <w:highlight w:val="none"/>
        </w:rPr>
      </w:pPr>
      <w:r/>
      <w:bookmarkStart w:id="66" w:name="_Toc20823283"/>
      <w:r/>
      <w:bookmarkStart w:id="67" w:name="_Toc16938527"/>
      <w:r/>
      <w:bookmarkStart w:id="68" w:name="_Toc513029211"/>
      <w:r/>
      <w:bookmarkStart w:id="69" w:name="_Toc462564070"/>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rPr>
          <w:rFonts w:hint="eastAsia" w:ascii="宋体" w:hAnsi="宋体" w:eastAsia="宋体" w:cs="宋体"/>
          <w:sz w:val="24"/>
          <w:szCs w:val="24"/>
          <w:highlight w:val="none"/>
        </w:rPr>
      </w:r>
      <w:r/>
    </w:p>
    <w:p>
      <w:pPr>
        <w:pStyle w:val="838"/>
        <w:ind w:firstLine="560"/>
        <w:jc w:val="both"/>
        <w:keepLines/>
        <w:keepNext/>
        <w:spacing w:beforeAutospacing="0" w:afterAutospacing="0"/>
        <w:rPr>
          <w:rFonts w:hint="eastAsia" w:ascii="宋体" w:hAnsi="宋体" w:eastAsia="宋体" w:cs="宋体"/>
          <w:sz w:val="24"/>
          <w:szCs w:val="24"/>
          <w:highlight w:val="none"/>
        </w:rPr>
      </w:pPr>
      <w:r/>
      <w:bookmarkStart w:id="70" w:name="_Toc462564071"/>
      <w:r/>
      <w:bookmarkStart w:id="71" w:name="_Toc16938528"/>
      <w:r/>
      <w:bookmarkStart w:id="72" w:name="_Toc513029212"/>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在投标截止时间前，采购人可以对招标文件进行修改。</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采购人有权按照法定的要求推迟投标截止日期和开标日期。</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sz w:val="24"/>
          <w:szCs w:val="24"/>
          <w:highlight w:val="none"/>
        </w:rPr>
      </w:r>
      <w:r/>
    </w:p>
    <w:p>
      <w:pPr>
        <w:pStyle w:val="83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462564072"/>
      <w:r/>
      <w:bookmarkStart w:id="75" w:name="_Toc120614216"/>
      <w:r/>
      <w:bookmarkStart w:id="76" w:name="_Toc513029213"/>
      <w:r/>
      <w:bookmarkStart w:id="77" w:name="_Toc16938529"/>
      <w:r/>
      <w:bookmarkStart w:id="78" w:name="_Toc20823285"/>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Pr>
          <w:rFonts w:hint="eastAsia" w:ascii="宋体" w:hAnsi="宋体" w:eastAsia="宋体" w:cs="宋体"/>
          <w:sz w:val="24"/>
          <w:szCs w:val="24"/>
          <w:highlight w:val="none"/>
        </w:rPr>
      </w:r>
      <w:r/>
    </w:p>
    <w:p>
      <w:pPr>
        <w:pStyle w:val="838"/>
        <w:ind w:firstLine="560"/>
        <w:jc w:val="both"/>
        <w:keepLines/>
        <w:keepNext/>
        <w:spacing w:beforeAutospacing="0" w:afterAutospacing="0"/>
        <w:rPr>
          <w:rFonts w:hint="eastAsia" w:ascii="宋体" w:hAnsi="宋体" w:eastAsia="宋体" w:cs="宋体"/>
          <w:sz w:val="24"/>
          <w:szCs w:val="24"/>
          <w:highlight w:val="none"/>
        </w:rPr>
      </w:pPr>
      <w:r/>
      <w:bookmarkStart w:id="79" w:name="_Toc20823286"/>
      <w:r/>
      <w:bookmarkStart w:id="80" w:name="_Toc16938530"/>
      <w:r/>
      <w:bookmarkStart w:id="81" w:name="_Toc462564073"/>
      <w:r/>
      <w:bookmarkStart w:id="82" w:name="_Toc513029214"/>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投标人提交的投标文件以及投标人与采购代理机构就有关投标的所有来往通知、函件和文件均应使用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83" w:name="_Toc462564074"/>
      <w:r/>
      <w:bookmarkStart w:id="84" w:name="_Toc16938531"/>
      <w:r/>
      <w:bookmarkStart w:id="85" w:name="_Toc20823287"/>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green"/>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green"/>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87" w:name="_Toc49090507"/>
      <w:r/>
      <w:bookmarkStart w:id="88" w:name="_Toc14577357"/>
      <w:r/>
      <w:bookmarkStart w:id="89" w:name="_Toc513029216"/>
      <w:r/>
      <w:bookmarkStart w:id="90" w:name="_Toc513029219"/>
      <w:r/>
      <w:bookmarkStart w:id="91" w:name="_Toc49090508"/>
      <w:r/>
      <w:bookmarkStart w:id="92" w:name="_Toc14577355"/>
      <w:r/>
      <w:bookmarkStart w:id="93" w:name="_Hlt26670360"/>
      <w:r/>
      <w:bookmarkStart w:id="94" w:name="_Toc14577354"/>
      <w:r/>
      <w:bookmarkStart w:id="95" w:name="_Toc49090509"/>
      <w:r/>
      <w:bookmarkStart w:id="96" w:name="_Hlt26668975"/>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4"/>
      <w:r/>
      <w:bookmarkEnd w:id="95"/>
      <w:r>
        <w:rPr>
          <w:rFonts w:hint="eastAsia" w:ascii="宋体" w:hAnsi="宋体" w:eastAsia="宋体" w:cs="宋体"/>
          <w:sz w:val="24"/>
          <w:szCs w:val="24"/>
          <w:highlight w:val="none"/>
        </w:rPr>
      </w:r>
      <w:r/>
    </w:p>
    <w:p>
      <w:pPr>
        <w:pStyle w:val="83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98" w:name="_Hlt26670482"/>
      <w:r/>
      <w:bookmarkStart w:id="99" w:name="_Hlt26954848"/>
      <w:r/>
      <w:bookmarkStart w:id="100" w:name="_Hlt26954846"/>
      <w:r/>
      <w:bookmarkStart w:id="101" w:name="_Hlt26954731"/>
      <w:r/>
      <w:bookmarkStart w:id="102" w:name="_Hlt26670486"/>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投标人需根据招标文件要求提供所投标的的主要组成部分、功能设计、实现思路及关键技术等。</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rPr>
        <w:t xml:space="preserve">16、投标有效期</w:t>
      </w:r>
      <w:bookmarkEnd w:id="105"/>
      <w:r/>
      <w:bookmarkEnd w:id="106"/>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16.1投标有效期为采购代理机构规定的开标之日后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83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7" w:name="_Toc513029224"/>
      <w:r/>
      <w:bookmarkStart w:id="108" w:name="_Toc20823296"/>
      <w:r/>
      <w:bookmarkStart w:id="109" w:name="_Toc16938540"/>
      <w:r/>
      <w:bookmarkStart w:id="110" w:name="_Toc120614217"/>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113" w:name="_Toc513029225"/>
      <w:r/>
      <w:bookmarkStart w:id="114" w:name="_Toc462564084"/>
      <w:r/>
      <w:bookmarkStart w:id="115" w:name="_Toc16938541"/>
      <w:r/>
      <w:bookmarkStart w:id="116" w:name="_Toc20823297"/>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838"/>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17" w:name="_Toc513029226"/>
      <w:r/>
      <w:bookmarkStart w:id="118" w:name="_Toc20823298"/>
      <w:r/>
      <w:bookmarkEnd w:id="118"/>
      <w:r/>
      <w:bookmarkStart w:id="119" w:name="_Toc16938542"/>
      <w:r/>
      <w:bookmarkEnd w:id="119"/>
      <w:r>
        <w:rPr>
          <w:rFonts w:hint="eastAsia" w:ascii="宋体" w:hAnsi="宋体" w:eastAsia="宋体" w:cs="宋体"/>
          <w:sz w:val="24"/>
          <w:szCs w:val="24"/>
          <w:highlight w:val="none"/>
        </w:rPr>
      </w:r>
      <w:r/>
    </w:p>
    <w:p>
      <w:pPr>
        <w:pStyle w:val="838"/>
        <w:ind w:firstLine="420"/>
        <w:jc w:val="both"/>
        <w:keepLines/>
        <w:keepNext/>
        <w:spacing w:before="280" w:beforeAutospacing="0" w:after="290" w:afterAutospacing="0" w:line="37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color w:val="000000"/>
          <w:sz w:val="24"/>
          <w:szCs w:val="24"/>
          <w:highlight w:val="none"/>
        </w:rPr>
      </w:r>
      <w:r/>
    </w:p>
    <w:p>
      <w:pPr>
        <w:pStyle w:val="838"/>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120" w:name="_Toc513029227"/>
      <w:r/>
      <w:bookmarkStart w:id="121" w:name="_Toc16938543"/>
      <w:r/>
      <w:bookmarkStart w:id="122" w:name="_Toc20823299"/>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20.1采购代理机构拒绝接收在其规定的投标截止时间后上传的任何投标文件。</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123" w:name="_Toc16938544"/>
      <w:r/>
      <w:bookmarkStart w:id="124" w:name="_Toc20823300"/>
      <w:r/>
      <w:bookmarkStart w:id="125" w:name="_Toc513029228"/>
      <w:r>
        <w:rPr>
          <w:rFonts w:hint="eastAsia" w:ascii="宋体" w:hAnsi="宋体" w:eastAsia="宋体" w:cs="宋体"/>
          <w:color w:val="000000"/>
          <w:sz w:val="24"/>
          <w:szCs w:val="24"/>
          <w:highlight w:val="none"/>
        </w:rPr>
        <w:t xml:space="preserve">21、投标文件的撤回和修改</w:t>
      </w:r>
      <w:bookmarkEnd w:id="123"/>
      <w:r/>
      <w:bookmarkEnd w:id="124"/>
      <w:r/>
      <w:bookmarkEnd w:id="125"/>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83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20823301"/>
      <w:r/>
      <w:bookmarkStart w:id="127" w:name="_Toc513029229"/>
      <w:r/>
      <w:bookmarkStart w:id="128" w:name="_Toc16938545"/>
      <w:r/>
      <w:bookmarkStart w:id="129" w:name="_Toc120614218"/>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Pr>
          <w:rFonts w:hint="eastAsia" w:ascii="宋体" w:hAnsi="宋体" w:eastAsia="宋体" w:cs="宋体"/>
          <w:sz w:val="24"/>
          <w:szCs w:val="24"/>
          <w:highlight w:val="none"/>
        </w:rPr>
      </w:r>
      <w:r/>
    </w:p>
    <w:p>
      <w:pPr>
        <w:pStyle w:val="838"/>
        <w:ind w:firstLine="36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采购代理机构将在招标公告中规定的时间和地点组织公开开标。投标人应当按照《操作手册》规定，参加开标活动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133" w:name="_Toc16938547"/>
      <w:r/>
      <w:bookmarkStart w:id="134" w:name="_Toc513029231"/>
      <w:r/>
      <w:bookmarkStart w:id="135" w:name="_Toc20823303"/>
      <w:r>
        <w:rPr>
          <w:rFonts w:hint="eastAsia" w:ascii="宋体" w:hAnsi="宋体" w:eastAsia="宋体" w:cs="宋体"/>
          <w:color w:val="000000"/>
          <w:sz w:val="24"/>
          <w:szCs w:val="24"/>
          <w:highlight w:val="none"/>
        </w:rPr>
        <w:t xml:space="preserve">23、评标委员会</w:t>
      </w:r>
      <w:bookmarkEnd w:id="133"/>
      <w:r/>
      <w:bookmarkEnd w:id="134"/>
      <w:r/>
      <w:bookmarkEnd w:id="135"/>
      <w:r>
        <w:rPr>
          <w:rFonts w:hint="eastAsia" w:ascii="宋体" w:hAnsi="宋体" w:eastAsia="宋体" w:cs="宋体"/>
          <w:sz w:val="24"/>
          <w:szCs w:val="24"/>
          <w:highlight w:val="none"/>
        </w:rPr>
      </w:r>
      <w:r/>
    </w:p>
    <w:p>
      <w:pPr>
        <w:pStyle w:val="83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开标后，采购代理机构将立即组织评标委员会（以下简称评委会）进行评标。</w:t>
      </w:r>
      <w:r>
        <w:rPr>
          <w:rFonts w:hint="eastAsia" w:ascii="宋体" w:hAnsi="宋体" w:eastAsia="宋体" w:cs="宋体"/>
          <w:sz w:val="24"/>
          <w:szCs w:val="24"/>
          <w:highlight w:val="none"/>
        </w:rPr>
      </w:r>
      <w:r/>
    </w:p>
    <w:p>
      <w:pPr>
        <w:pStyle w:val="83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83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采购代理机构和评标委员会不向未中标的投标人解释未中标原因，也不公布评标过程中的相关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bookmarkStart w:id="136" w:name="_Toc513029232"/>
      <w:r/>
      <w:bookmarkStart w:id="137" w:name="_Toc20823304"/>
      <w:r/>
      <w:bookmarkStart w:id="138" w:name="_Toc16938548"/>
      <w:r>
        <w:rPr>
          <w:rFonts w:hint="eastAsia" w:ascii="宋体" w:hAnsi="宋体" w:eastAsia="宋体" w:cs="宋体"/>
          <w:color w:val="000000"/>
          <w:sz w:val="24"/>
          <w:szCs w:val="24"/>
          <w:highlight w:val="none"/>
        </w:rPr>
        <w:t xml:space="preserve">25．投标文件的澄清</w:t>
      </w:r>
      <w:bookmarkEnd w:id="136"/>
      <w:r/>
      <w:bookmarkEnd w:id="137"/>
      <w:r/>
      <w:bookmarkEnd w:id="138"/>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bookmarkStart w:id="139" w:name="_Toc513029233"/>
      <w:r/>
      <w:bookmarkStart w:id="140" w:name="_Toc20823305"/>
      <w:r/>
      <w:bookmarkStart w:id="141"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rPr>
          <w:rFonts w:hint="eastAsia" w:ascii="宋体" w:hAnsi="宋体" w:eastAsia="宋体" w:cs="宋体"/>
          <w:sz w:val="24"/>
          <w:szCs w:val="24"/>
          <w:highlight w:val="none"/>
        </w:rPr>
      </w:r>
      <w:r/>
    </w:p>
    <w:p>
      <w:pPr>
        <w:pStyle w:val="83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未通过资格审查或符合性审查的投标人，采购代理机构将</w:t>
      </w:r>
      <w:r>
        <w:rPr>
          <w:rFonts w:hint="eastAsia" w:ascii="宋体" w:hAnsi="宋体" w:eastAsia="宋体" w:cs="宋体"/>
          <w:color w:val="000000"/>
          <w:sz w:val="24"/>
          <w:szCs w:val="24"/>
          <w:highlight w:val="none"/>
        </w:rPr>
        <w:t xml:space="preserve">在苏采云系统中告知未通过资格审查或符合性审查的原因，评审结束后，采购代理机构将不再告知未通过资格审查或符合性审查的原因。</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bookmarkStart w:id="142" w:name="_Toc513029234"/>
      <w:r/>
      <w:bookmarkStart w:id="143" w:name="_Toc20823306"/>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highlight w:val="none"/>
        </w:rPr>
      </w:r>
      <w:r/>
    </w:p>
    <w:p>
      <w:pPr>
        <w:pStyle w:val="838"/>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838"/>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，及时登录苏采云系统查阅、答复相关信息，并安排专人与采购代理机构及评标委员会联系。</w:t>
      </w:r>
      <w:r>
        <w:rPr>
          <w:rFonts w:hint="eastAsia" w:ascii="宋体" w:hAnsi="宋体" w:eastAsia="宋体" w:cs="宋体"/>
          <w:color w:val="000000"/>
          <w:sz w:val="24"/>
          <w:szCs w:val="24"/>
          <w:highlight w:val="none"/>
        </w:rPr>
      </w:r>
      <w:r/>
    </w:p>
    <w:p>
      <w:pPr>
        <w:pStyle w:val="838"/>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838"/>
        <w:ind w:left="479"/>
        <w:jc w:val="both"/>
        <w:spacing w:beforeAutospacing="0" w:afterAutospacing="0" w:line="0" w:lineRule="atLeast"/>
        <w:rPr>
          <w:rFonts w:hint="eastAsia" w:ascii="宋体" w:hAnsi="宋体" w:eastAsia="宋体" w:cs="宋体"/>
          <w:color w:val="000000"/>
          <w:sz w:val="24"/>
          <w:szCs w:val="24"/>
          <w:highlight w:val="none"/>
        </w:rPr>
      </w:pPr>
      <w:r/>
      <w:bookmarkStart w:id="145" w:name="_Toc513029235"/>
      <w:r/>
      <w:bookmarkStart w:id="146" w:name="_Toc16938551"/>
      <w:r/>
      <w:bookmarkStart w:id="147" w:name="_Toc20823307"/>
      <w:r>
        <w:rPr>
          <w:rFonts w:hint="eastAsia" w:ascii="宋体" w:hAnsi="宋体" w:eastAsia="宋体" w:cs="宋体"/>
          <w:color w:val="000000"/>
          <w:sz w:val="24"/>
          <w:szCs w:val="24"/>
          <w:highlight w:val="none"/>
        </w:rPr>
        <w:t xml:space="preserve">27.1无效投标条款</w:t>
      </w:r>
      <w:bookmarkEnd w:id="145"/>
      <w:r/>
      <w:bookmarkEnd w:id="146"/>
      <w:r/>
      <w:bookmarkEnd w:id="147"/>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838"/>
        <w:ind w:left="4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sz w:val="24"/>
          <w:szCs w:val="24"/>
          <w:highlight w:val="none"/>
        </w:rPr>
      </w:r>
      <w:r/>
    </w:p>
    <w:p>
      <w:pPr>
        <w:pStyle w:val="838"/>
        <w:ind w:left="4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83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.1.10</w:t>
      </w:r>
      <w:r>
        <w:rPr>
          <w:rFonts w:hint="eastAsia" w:ascii="宋体" w:hAnsi="宋体" w:eastAsia="宋体" w:cs="宋体"/>
          <w:b/>
          <w:bCs/>
          <w:color w:val="000000"/>
          <w:sz w:val="24"/>
          <w:szCs w:val="24"/>
          <w:highlight w:val="none"/>
        </w:rPr>
        <w:t xml:space="preserve">投标人不能证明其报价合理性的，评</w:t>
      </w:r>
      <w:r>
        <w:rPr>
          <w:rFonts w:hint="eastAsia" w:ascii="宋体" w:hAnsi="宋体" w:eastAsia="宋体" w:cs="宋体"/>
          <w:b/>
          <w:bCs/>
          <w:color w:val="000000"/>
          <w:sz w:val="24"/>
          <w:szCs w:val="24"/>
          <w:highlight w:val="none"/>
          <w:lang w:val="en-US" w:eastAsia="zh-CN"/>
        </w:rPr>
        <w:t xml:space="preserve">标</w:t>
      </w:r>
      <w:r>
        <w:rPr>
          <w:rFonts w:hint="eastAsia" w:ascii="宋体" w:hAnsi="宋体" w:eastAsia="宋体" w:cs="宋体"/>
          <w:b/>
          <w:bCs/>
          <w:color w:val="000000"/>
          <w:sz w:val="24"/>
          <w:szCs w:val="24"/>
          <w:highlight w:val="none"/>
        </w:rPr>
        <w:t xml:space="preserve">委员会应当将其作为无效投标处理。</w:t>
      </w:r>
      <w:r>
        <w:rPr>
          <w:rFonts w:hint="eastAsia" w:ascii="宋体" w:hAnsi="宋体" w:eastAsia="宋体" w:cs="宋体"/>
          <w:b/>
          <w:bCs/>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838"/>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1.投标报价低于采购项目预算50%的，即投标报价&lt;采购项目预算×50%；</w:t>
      </w:r>
      <w:r>
        <w:rPr>
          <w:rFonts w:hint="eastAsia" w:ascii="宋体" w:hAnsi="宋体" w:eastAsia="宋体" w:cs="宋体"/>
          <w:b/>
          <w:bCs/>
          <w:color w:val="000000"/>
          <w:sz w:val="24"/>
          <w:szCs w:val="24"/>
          <w:highlight w:val="none"/>
          <w:lang w:val="en-US" w:eastAsia="zh-CN" w:bidi="ar-SA"/>
        </w:rPr>
      </w:r>
      <w:r/>
    </w:p>
    <w:p>
      <w:pPr>
        <w:pStyle w:val="838"/>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2.投标报价低于采购项目最高限价45%的，即投标报价&lt;采购项目最高限价×45%；</w:t>
      </w:r>
      <w:r>
        <w:rPr>
          <w:rFonts w:hint="eastAsia" w:ascii="宋体" w:hAnsi="宋体" w:eastAsia="宋体" w:cs="宋体"/>
          <w:b/>
          <w:bCs/>
          <w:color w:val="000000"/>
          <w:sz w:val="24"/>
          <w:szCs w:val="24"/>
          <w:highlight w:val="none"/>
          <w:lang w:val="en-US" w:eastAsia="zh-CN" w:bidi="ar-SA"/>
        </w:rPr>
      </w:r>
      <w:r/>
    </w:p>
    <w:p>
      <w:pPr>
        <w:pStyle w:val="838"/>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3.评标委员会认定的供应商报价过低、有可能影响产品质量或者不能诚信履约的其他情形。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838"/>
        <w:ind w:firstLine="480"/>
        <w:jc w:val="both"/>
        <w:spacing w:beforeAutospacing="0" w:afterAutospacing="0"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b/>
          <w:bCs/>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838"/>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838"/>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4"/>
          <w:szCs w:val="24"/>
          <w:highlight w:val="none"/>
        </w:rPr>
      </w:r>
      <w:r/>
    </w:p>
    <w:p>
      <w:pPr>
        <w:pStyle w:val="838"/>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838"/>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838"/>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838"/>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83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Pr>
          <w:rFonts w:hint="eastAsia" w:ascii="宋体" w:hAnsi="宋体" w:eastAsia="宋体" w:cs="宋体"/>
          <w:sz w:val="24"/>
          <w:szCs w:val="24"/>
          <w:highlight w:val="none"/>
        </w:rPr>
      </w:r>
      <w:r/>
    </w:p>
    <w:p>
      <w:pPr>
        <w:pStyle w:val="838"/>
        <w:ind w:firstLine="600"/>
        <w:jc w:val="both"/>
        <w:keepLines/>
        <w:keepNext/>
        <w:spacing w:beforeAutospacing="0" w:afterAutospacing="0"/>
        <w:rPr>
          <w:rFonts w:hint="eastAsia" w:ascii="宋体" w:hAnsi="宋体" w:eastAsia="宋体" w:cs="宋体"/>
          <w:sz w:val="24"/>
          <w:szCs w:val="24"/>
          <w:highlight w:val="none"/>
        </w:rPr>
      </w:pPr>
      <w:r/>
      <w:bookmarkStart w:id="149" w:name="_Toc513029238"/>
      <w:r/>
      <w:bookmarkStart w:id="150" w:name="_Toc20823310"/>
      <w:r/>
      <w:bookmarkStart w:id="151" w:name="_Toc16938554"/>
      <w:r>
        <w:rPr>
          <w:rFonts w:hint="eastAsia" w:ascii="宋体" w:hAnsi="宋体" w:eastAsia="宋体" w:cs="宋体"/>
          <w:color w:val="000000"/>
          <w:sz w:val="24"/>
          <w:szCs w:val="24"/>
          <w:highlight w:val="none"/>
        </w:rPr>
        <w:t xml:space="preserve">28、</w:t>
      </w:r>
      <w:bookmarkEnd w:id="150"/>
      <w:r>
        <w:rPr>
          <w:rFonts w:hint="eastAsia" w:ascii="宋体" w:hAnsi="宋体" w:eastAsia="宋体" w:cs="宋体"/>
          <w:color w:val="000000"/>
          <w:sz w:val="24"/>
          <w:szCs w:val="24"/>
          <w:highlight w:val="none"/>
        </w:rPr>
        <w:t xml:space="preserve">确定</w:t>
      </w:r>
      <w:bookmarkEnd w:id="149"/>
      <w:r/>
      <w:bookmarkEnd w:id="151"/>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采购代理机构将在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28.4.2向采购人、采购代理机构行贿或者提供其他不正当利益的。</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83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sz w:val="24"/>
          <w:szCs w:val="24"/>
          <w:highlight w:val="none"/>
        </w:rPr>
      </w:r>
      <w:r/>
    </w:p>
    <w:p>
      <w:pPr>
        <w:pStyle w:val="838"/>
        <w:ind w:firstLine="480"/>
        <w:jc w:val="lef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838"/>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83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83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中标结果确定后，采购代理机构将向中标人发出中标通知书。请中标人在中标结果公告届满之日起30日内,使用CA数字证书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83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83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3" w:name="_Toc20823308"/>
      <w:r/>
      <w:bookmarkStart w:id="154" w:name="_Toc120614220"/>
      <w:r/>
      <w:bookmarkStart w:id="155" w:name="_Toc513029236"/>
      <w:r/>
      <w:bookmarkStart w:id="156" w:name="_Toc16938552"/>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Pr>
          <w:rFonts w:hint="eastAsia" w:ascii="宋体" w:hAnsi="宋体" w:eastAsia="宋体" w:cs="宋体"/>
          <w:sz w:val="24"/>
          <w:szCs w:val="24"/>
          <w:highlight w:val="none"/>
        </w:rPr>
      </w:r>
      <w:r/>
    </w:p>
    <w:p>
      <w:pPr>
        <w:pStyle w:val="838"/>
        <w:ind w:firstLine="600"/>
        <w:jc w:val="both"/>
        <w:keepLines/>
        <w:keepNext/>
        <w:spacing w:beforeAutospacing="0" w:afterAutospacing="0"/>
        <w:rPr>
          <w:rFonts w:hint="eastAsia" w:ascii="宋体" w:hAnsi="宋体" w:eastAsia="宋体" w:cs="宋体"/>
          <w:sz w:val="24"/>
          <w:szCs w:val="24"/>
          <w:highlight w:val="none"/>
        </w:rPr>
      </w:pPr>
      <w:r/>
      <w:bookmarkStart w:id="157" w:name="_Toc16938553"/>
      <w:r/>
      <w:bookmarkStart w:id="158" w:name="_Toc20823309"/>
      <w:r/>
      <w:bookmarkStart w:id="159" w:name="_Toc513029237"/>
      <w:r>
        <w:rPr>
          <w:rFonts w:hint="eastAsia" w:ascii="宋体" w:hAnsi="宋体" w:eastAsia="宋体" w:cs="宋体"/>
          <w:color w:val="000000"/>
          <w:sz w:val="24"/>
          <w:szCs w:val="24"/>
          <w:highlight w:val="none"/>
        </w:rPr>
        <w:t xml:space="preserve">31. 签订合同</w:t>
      </w:r>
      <w:bookmarkEnd w:id="157"/>
      <w:r/>
      <w:bookmarkEnd w:id="158"/>
      <w:r/>
      <w:bookmarkEnd w:id="159"/>
      <w:r>
        <w:rPr>
          <w:rFonts w:hint="eastAsia" w:ascii="宋体" w:hAnsi="宋体" w:eastAsia="宋体" w:cs="宋体"/>
          <w:sz w:val="24"/>
          <w:szCs w:val="24"/>
          <w:highlight w:val="none"/>
        </w:rPr>
      </w:r>
      <w:r/>
    </w:p>
    <w:p>
      <w:pPr>
        <w:pStyle w:val="83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31.l中标人应当在中标通知书发出之日起三十日内（原则上应在15日内签订采购合同），按照招标文件确定的事项与采购人签订政府采购合同。</w:t>
      </w:r>
      <w:r>
        <w:rPr>
          <w:rFonts w:hint="eastAsia" w:ascii="宋体" w:hAnsi="宋体" w:eastAsia="宋体" w:cs="宋体"/>
          <w:sz w:val="24"/>
          <w:szCs w:val="24"/>
          <w:highlight w:val="none"/>
        </w:rPr>
      </w:r>
      <w:r/>
    </w:p>
    <w:p>
      <w:pPr>
        <w:pStyle w:val="83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838"/>
        <w:ind w:firstLine="600"/>
        <w:jc w:val="both"/>
        <w:spacing w:beforeAutospacing="0" w:afterAutospacing="0" w:line="0" w:lineRule="atLeas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830"/>
        <w:ind w:left="0" w:right="0" w:firstLine="480"/>
        <w:jc w:val="both"/>
        <w:spacing w:before="0" w:after="0" w:line="499"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31.4合同签订后2个工作日内合同公示。</w:t>
      </w:r>
      <w:r>
        <w:rPr>
          <w:rFonts w:hint="eastAsia" w:ascii="宋体" w:hAnsi="宋体" w:eastAsia="宋体" w:cs="宋体"/>
          <w:color w:val="000000"/>
          <w:sz w:val="24"/>
          <w:szCs w:val="24"/>
          <w:highlight w:val="none"/>
          <w:lang w:val="en-US" w:eastAsia="zh-CN" w:bidi="ar-SA"/>
        </w:rPr>
      </w:r>
      <w:r/>
    </w:p>
    <w:p>
      <w:pPr>
        <w:pStyle w:val="83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838"/>
        <w:numPr>
          <w:ilvl w:val="0"/>
          <w:numId w:val="0"/>
        </w:numPr>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838"/>
        <w:ind w:firstLine="48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830"/>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830"/>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830"/>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83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830"/>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830"/>
        <w:ind w:firstLine="4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830"/>
        <w:ind w:firstLine="4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830"/>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830"/>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830"/>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830"/>
        <w:ind w:left="0" w:right="0" w:firstLine="478"/>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0"/>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830"/>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830"/>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rPr>
          <w:rFonts w:hint="eastAsia" w:ascii="宋体" w:hAnsi="宋体" w:eastAsia="宋体" w:cs="宋体"/>
          <w:color w:val="000000"/>
          <w:sz w:val="24"/>
          <w:szCs w:val="24"/>
          <w:highlight w:val="none"/>
          <w:lang w:val="en-US" w:eastAsia="zh-CN" w:bidi="ar-SA"/>
        </w:rPr>
      </w:r>
      <w:r/>
    </w:p>
    <w:p>
      <w:pPr>
        <w:pStyle w:val="839"/>
        <w:ind w:left="0" w:firstLine="560"/>
        <w:spacing w:after="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830"/>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830"/>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830"/>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、采购项目需满足的政府采购政策目标和具体支持对象</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4强制采购节能产品、信息安全产品，优先采购环境标志产品。依据《财政部发展改革委生态环境部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.6政府采购落实“政采贷”政策，依据《关于深入推进政府采购线上合同信用融资工作的通知》（苏财购﹝2021﹞82号）。</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.8政府采购落实（苏财购﹝2022﹞51号）。</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.9政府采购落实《关于进一步优化政府采购营商环境的通知》（射财库﹝2023﹞23号）。</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.10政府采购落实《江苏省财政厅关于加强政府绿色采购有关事项的通知》 （苏财购﹝2023﹞65号）。</w:t>
      </w:r>
      <w:r/>
    </w:p>
    <w:p>
      <w:pPr>
        <w:pStyle w:val="830"/>
        <w:ind w:left="0" w:right="0" w:firstLine="48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.11政府采购落实财政部办公厅住房和城乡建设部办公厅工业和信息化部办公厅《关于印发&lt;政府采购支技绿色建材促进建筑品质提升政策项目实施指南&gt;的通知》（财库办﹝2023﹞52号）。</w:t>
      </w:r>
      <w:r>
        <w:rPr>
          <w:rFonts w:ascii="宋体" w:hAnsi="宋体" w:eastAsia="宋体" w:cs="宋体"/>
          <w:color w:val="000000"/>
          <w:sz w:val="24"/>
        </w:rPr>
      </w:r>
      <w:r/>
    </w:p>
    <w:p>
      <w:pPr>
        <w:pStyle w:val="830"/>
        <w:ind w:left="0" w:right="0" w:firstLine="480"/>
        <w:jc w:val="both"/>
        <w:spacing w:before="0" w:after="0" w:line="439" w:lineRule="atLeast"/>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34.12根据射财库【2021】17号文件要求采购人应当在政府采购活动中应用第三方信用报告，通过“信易购”应用场景，促进市场主体诚信经营。从2022年开始所有政府采购项目纳入信易购管理。</w:t>
      </w:r>
      <w:r>
        <w:rPr>
          <w:rFonts w:ascii="宋体" w:hAnsi="宋体" w:eastAsia="宋体" w:cs="宋体"/>
          <w:color w:val="000000"/>
          <w:sz w:val="24"/>
          <w:lang w:val="en-US" w:eastAsia="zh-CN"/>
        </w:rPr>
      </w:r>
      <w:r/>
    </w:p>
    <w:p>
      <w:pPr>
        <w:pStyle w:val="830"/>
        <w:ind w:left="0" w:right="0" w:firstLine="480"/>
        <w:jc w:val="both"/>
        <w:spacing w:before="0" w:after="0" w:line="439" w:lineRule="atLeast"/>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34.13根据射财库【2021】20号文件要求，代理机构积极配合做好政府采购线上合同信用融资工作。</w:t>
      </w:r>
      <w:r>
        <w:rPr>
          <w:rFonts w:ascii="宋体" w:hAnsi="宋体" w:eastAsia="宋体" w:cs="宋体"/>
          <w:color w:val="000000"/>
          <w:sz w:val="24"/>
          <w:lang w:val="en-US" w:eastAsia="zh-CN"/>
        </w:rPr>
      </w:r>
      <w:r/>
    </w:p>
    <w:p>
      <w:pPr>
        <w:pStyle w:val="830"/>
        <w:ind w:left="0" w:right="0" w:firstLine="48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、踏勘</w:t>
      </w:r>
      <w:r>
        <w:rPr>
          <w:rFonts w:ascii="宋体" w:hAnsi="宋体" w:eastAsia="宋体" w:cs="宋体"/>
          <w:color w:val="000000"/>
          <w:sz w:val="24"/>
        </w:rPr>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pStyle w:val="830"/>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.2采购人在踏勘现场中介绍的项目情况，供应商在编制响应文件时参考，采购人不对供应商据此作出的判断和决策负责。</w:t>
      </w:r>
      <w:r/>
    </w:p>
    <w:p>
      <w:pPr>
        <w:pStyle w:val="830"/>
        <w:ind w:left="0" w:right="0" w:firstLine="480"/>
        <w:jc w:val="both"/>
        <w:spacing w:before="0" w:after="0" w:line="439"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.3供应商承担踏勘现场所发生的自身费用。</w:t>
      </w:r>
      <w:r>
        <w:rPr>
          <w:rFonts w:hint="eastAsia" w:ascii="宋体" w:hAnsi="宋体" w:eastAsia="宋体" w:cs="宋体"/>
          <w:color w:val="000000"/>
          <w:sz w:val="24"/>
          <w:szCs w:val="24"/>
          <w:highlight w:val="none"/>
          <w:lang w:val="en-US" w:eastAsia="zh-CN" w:bidi="ar-SA"/>
        </w:rPr>
      </w:r>
      <w:r/>
    </w:p>
    <w:p>
      <w:pPr>
        <w:pStyle w:val="830"/>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 预付款制度</w:t>
      </w:r>
      <w:r>
        <w:rPr>
          <w:rFonts w:hint="eastAsia" w:ascii="宋体" w:hAnsi="宋体" w:eastAsia="宋体" w:cs="宋体"/>
          <w:color w:val="000000"/>
          <w:sz w:val="24"/>
          <w:szCs w:val="24"/>
          <w:highlight w:val="none"/>
          <w:lang w:val="en-US" w:eastAsia="zh-CN" w:bidi="ar-SA"/>
        </w:rPr>
      </w:r>
      <w:r/>
    </w:p>
    <w:p>
      <w:pPr>
        <w:pStyle w:val="830"/>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eastAsia="宋体" w:cs="宋体"/>
          <w:color w:val="000000"/>
          <w:sz w:val="24"/>
          <w:szCs w:val="24"/>
          <w:highlight w:val="none"/>
          <w:u w:val="single"/>
          <w:lang w:val="en-US" w:eastAsia="zh-CN" w:bidi="ar-SA"/>
        </w:rPr>
        <w:t xml:space="preserve">  30  </w:t>
      </w:r>
      <w:r>
        <w:rPr>
          <w:rFonts w:hint="eastAsia" w:ascii="宋体" w:hAnsi="宋体" w:eastAsia="宋体" w:cs="宋体"/>
          <w:color w:val="000000"/>
          <w:sz w:val="24"/>
          <w:szCs w:val="24"/>
          <w:highlight w:val="none"/>
          <w:u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839"/>
        <w:ind w:left="0" w:firstLine="560"/>
        <w:spacing w:after="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3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3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3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3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t xml:space="preserve"> </w:t>
      </w:r>
      <w:r>
        <w:rPr>
          <w:highlight w:val="none"/>
        </w:rPr>
      </w:r>
      <w:r/>
    </w:p>
    <w:p>
      <w:pPr>
        <w:pStyle w:val="830"/>
        <w:jc w:val="center"/>
        <w:spacing w:line="360" w:lineRule="auto"/>
        <w:widowControl/>
        <w:rPr>
          <w:rFonts w:ascii="宋体" w:hAnsi="宋体" w:cs="宋体"/>
          <w:b/>
          <w:sz w:val="48"/>
          <w:szCs w:val="44"/>
          <w:highlight w:val="none"/>
        </w:rPr>
      </w:pPr>
      <w:r>
        <w:rPr>
          <w:sz w:val="36"/>
          <w:szCs w:val="44"/>
          <w:highlight w:val="none"/>
        </w:rPr>
        <w:t xml:space="preserve"> </w:t>
      </w:r>
      <w:bookmarkStart w:id="160" w:name="_Toc479757211"/>
      <w:r/>
      <w:bookmarkStart w:id="161" w:name="_Toc120614244"/>
      <w:r/>
      <w:bookmarkStart w:id="162" w:name="_Toc20823346"/>
      <w:r/>
      <w:bookmarkStart w:id="163" w:name="_Toc462564139"/>
      <w:r/>
      <w:bookmarkStart w:id="164" w:name="_Hlt16619350"/>
      <w:r/>
      <w:bookmarkStart w:id="165" w:name="_Toc16938590"/>
      <w:r/>
      <w:bookmarkStart w:id="166" w:name="_Hlt16619369"/>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rPr>
          <w:rFonts w:ascii="宋体" w:hAnsi="宋体" w:cs="宋体"/>
          <w:b/>
          <w:sz w:val="48"/>
          <w:szCs w:val="44"/>
          <w:highlight w:val="none"/>
        </w:rPr>
      </w:r>
      <w:r/>
    </w:p>
    <w:p>
      <w:pPr>
        <w:pStyle w:val="830"/>
        <w:rPr>
          <w:rFonts w:ascii="宋体" w:hAnsi="宋体" w:cs="宋体"/>
          <w:highlight w:val="none"/>
        </w:rPr>
      </w:pPr>
      <w:r/>
      <w:bookmarkStart w:id="167" w:name="EB6d2006462e294de090c16e672cecc3bd"/>
      <w:r>
        <w:rPr>
          <w:rFonts w:ascii="宋体" w:hAnsi="宋体" w:cs="宋体"/>
          <w:highlight w:val="none"/>
        </w:rPr>
      </w:r>
      <w:r/>
    </w:p>
    <w:p>
      <w:pPr>
        <w:pStyle w:val="830"/>
        <w:jc w:val="center"/>
        <w:rPr>
          <w:rFonts w:ascii="宋体" w:hAnsi="宋体" w:cs="宋体"/>
          <w:b/>
          <w:bCs/>
          <w:spacing w:val="-20"/>
          <w:sz w:val="48"/>
          <w:szCs w:val="48"/>
          <w:highlight w:val="none"/>
        </w:rPr>
      </w:pPr>
      <w:r/>
      <w:bookmarkEnd w:id="167"/>
      <w:r/>
      <w:bookmarkStart w:id="168" w:name="_Toc3995"/>
      <w:r>
        <w:rPr>
          <w:rFonts w:ascii="宋体" w:hAnsi="宋体" w:cs="宋体"/>
          <w:b/>
          <w:bCs/>
          <w:spacing w:val="-20"/>
          <w:sz w:val="48"/>
          <w:szCs w:val="48"/>
          <w:highlight w:val="none"/>
        </w:rPr>
      </w:r>
      <w:r/>
    </w:p>
    <w:p>
      <w:pPr>
        <w:pStyle w:val="83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3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3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30"/>
        <w:jc w:val="center"/>
        <w:rPr>
          <w:rFonts w:ascii="宋体" w:hAnsi="宋体" w:cs="宋体"/>
          <w:sz w:val="30"/>
          <w:highlight w:val="none"/>
        </w:rPr>
      </w:pPr>
      <w:r>
        <w:rPr>
          <w:rFonts w:ascii="宋体" w:hAnsi="宋体" w:cs="宋体"/>
          <w:sz w:val="30"/>
          <w:highlight w:val="none"/>
        </w:rPr>
      </w:r>
      <w:r/>
    </w:p>
    <w:p>
      <w:pPr>
        <w:pStyle w:val="830"/>
        <w:jc w:val="center"/>
        <w:rPr>
          <w:rFonts w:ascii="宋体" w:hAnsi="宋体" w:cs="宋体"/>
          <w:sz w:val="30"/>
          <w:highlight w:val="none"/>
        </w:rPr>
      </w:pPr>
      <w:r>
        <w:rPr>
          <w:rFonts w:hint="eastAsia" w:ascii="宋体" w:hAnsi="宋体" w:cs="宋体"/>
          <w:sz w:val="30"/>
          <w:highlight w:val="none"/>
        </w:rPr>
        <w:t xml:space="preserve">政府采购货物买卖合同</w:t>
      </w:r>
      <w:r>
        <w:rPr>
          <w:rFonts w:ascii="宋体" w:hAnsi="宋体" w:cs="宋体"/>
          <w:sz w:val="30"/>
          <w:highlight w:val="none"/>
        </w:rPr>
      </w:r>
      <w:r/>
    </w:p>
    <w:p>
      <w:pPr>
        <w:pStyle w:val="830"/>
        <w:jc w:val="center"/>
        <w:rPr>
          <w:rFonts w:ascii="宋体" w:hAnsi="宋体" w:cs="宋体"/>
          <w:sz w:val="30"/>
          <w:highlight w:val="none"/>
        </w:rPr>
      </w:pPr>
      <w:r>
        <w:rPr>
          <w:rFonts w:ascii="宋体" w:hAnsi="宋体" w:cs="宋体"/>
          <w:sz w:val="30"/>
          <w:highlight w:val="none"/>
        </w:rPr>
      </w:r>
      <w:r/>
    </w:p>
    <w:p>
      <w:pPr>
        <w:pStyle w:val="830"/>
        <w:rPr>
          <w:rFonts w:ascii="宋体" w:hAnsi="宋体" w:cs="宋体"/>
          <w:sz w:val="30"/>
          <w:highlight w:val="none"/>
        </w:rPr>
      </w:pPr>
      <w:r>
        <w:rPr>
          <w:rFonts w:ascii="宋体" w:hAnsi="宋体" w:cs="宋体"/>
          <w:sz w:val="30"/>
          <w:highlight w:val="none"/>
        </w:rPr>
      </w:r>
      <w:r/>
    </w:p>
    <w:p>
      <w:pPr>
        <w:pStyle w:val="830"/>
        <w:rPr>
          <w:rFonts w:ascii="宋体" w:hAnsi="宋体" w:cs="宋体"/>
          <w:sz w:val="30"/>
          <w:highlight w:val="none"/>
        </w:rPr>
      </w:pPr>
      <w:r>
        <w:rPr>
          <w:rFonts w:ascii="宋体" w:hAnsi="宋体" w:cs="宋体"/>
          <w:sz w:val="30"/>
          <w:highlight w:val="none"/>
        </w:rPr>
      </w:r>
      <w:r/>
    </w:p>
    <w:p>
      <w:pPr>
        <w:pStyle w:val="830"/>
        <w:rPr>
          <w:rFonts w:ascii="宋体" w:hAnsi="宋体" w:cs="宋体"/>
          <w:sz w:val="30"/>
          <w:highlight w:val="none"/>
        </w:rPr>
      </w:pPr>
      <w:r>
        <w:rPr>
          <w:rFonts w:ascii="宋体" w:hAnsi="宋体" w:cs="宋体"/>
          <w:sz w:val="30"/>
          <w:highlight w:val="none"/>
        </w:rPr>
      </w:r>
      <w:r/>
    </w:p>
    <w:p>
      <w:pPr>
        <w:pStyle w:val="830"/>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rPr>
          <w:rFonts w:ascii="宋体" w:hAnsi="宋体" w:cs="宋体"/>
          <w:sz w:val="30"/>
          <w:highlight w:val="none"/>
        </w:rPr>
      </w:r>
      <w:r/>
    </w:p>
    <w:p>
      <w:pPr>
        <w:pStyle w:val="830"/>
        <w:ind w:left="420"/>
        <w:spacing w:line="360" w:lineRule="auto"/>
        <w:rPr>
          <w:rFonts w:ascii="宋体" w:hAnsi="宋体" w:cs="宋体"/>
          <w:sz w:val="30"/>
          <w:highlight w:val="none"/>
        </w:rPr>
      </w:pPr>
      <w:r>
        <w:rPr>
          <w:rFonts w:hint="eastAsia" w:ascii="宋体" w:hAnsi="宋体" w:cs="宋体"/>
          <w:sz w:val="30"/>
          <w:highlight w:val="none"/>
        </w:rPr>
        <w:t xml:space="preserve">甲    方：</w:t>
      </w:r>
      <w:r>
        <w:rPr>
          <w:rFonts w:ascii="宋体" w:hAnsi="宋体" w:cs="宋体"/>
          <w:sz w:val="30"/>
          <w:highlight w:val="none"/>
        </w:rPr>
      </w:r>
      <w:r/>
    </w:p>
    <w:p>
      <w:pPr>
        <w:pStyle w:val="830"/>
        <w:ind w:left="420"/>
        <w:spacing w:line="360" w:lineRule="auto"/>
        <w:rPr>
          <w:rFonts w:ascii="宋体" w:hAnsi="宋体" w:cs="宋体"/>
          <w:sz w:val="30"/>
          <w:highlight w:val="none"/>
        </w:rPr>
      </w:pPr>
      <w:r>
        <w:rPr>
          <w:rFonts w:hint="eastAsia" w:ascii="宋体" w:hAnsi="宋体" w:cs="宋体"/>
          <w:sz w:val="30"/>
          <w:highlight w:val="none"/>
        </w:rPr>
        <w:t xml:space="preserve">乙    方：</w:t>
      </w:r>
      <w:r>
        <w:rPr>
          <w:rFonts w:ascii="宋体" w:hAnsi="宋体" w:cs="宋体"/>
          <w:sz w:val="30"/>
          <w:highlight w:val="none"/>
        </w:rPr>
      </w:r>
      <w:r/>
    </w:p>
    <w:p>
      <w:pPr>
        <w:pStyle w:val="830"/>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rPr>
          <w:rFonts w:ascii="宋体" w:hAnsi="宋体" w:cs="宋体"/>
          <w:sz w:val="30"/>
          <w:highlight w:val="none"/>
        </w:rPr>
      </w:r>
      <w:r/>
    </w:p>
    <w:p>
      <w:pPr>
        <w:pStyle w:val="830"/>
        <w:rPr>
          <w:highlight w:val="none"/>
        </w:rPr>
      </w:pPr>
      <w:r>
        <w:rPr>
          <w:highlight w:val="none"/>
        </w:rPr>
      </w:r>
      <w:r/>
    </w:p>
    <w:p>
      <w:pPr>
        <w:pStyle w:val="830"/>
        <w:rPr>
          <w:rFonts w:eastAsia="黑体"/>
          <w:sz w:val="44"/>
          <w:szCs w:val="44"/>
          <w:highlight w:val="none"/>
        </w:rPr>
      </w:pPr>
      <w:r>
        <w:rPr>
          <w:rFonts w:eastAsia="黑体"/>
          <w:sz w:val="44"/>
          <w:szCs w:val="44"/>
          <w:highlight w:val="none"/>
        </w:rPr>
        <w:br w:type="page" w:clear="all"/>
      </w:r>
      <w:r>
        <w:rPr>
          <w:rFonts w:eastAsia="黑体"/>
          <w:sz w:val="44"/>
          <w:szCs w:val="44"/>
          <w:highlight w:val="none"/>
        </w:rPr>
      </w:r>
      <w:r/>
    </w:p>
    <w:p>
      <w:pPr>
        <w:pStyle w:val="830"/>
        <w:jc w:val="center"/>
        <w:rPr>
          <w:rFonts w:eastAsia="黑体"/>
          <w:sz w:val="44"/>
          <w:szCs w:val="44"/>
          <w:highlight w:val="none"/>
        </w:rPr>
      </w:pPr>
      <w:r>
        <w:rPr>
          <w:rFonts w:hint="eastAsia" w:eastAsia="黑体"/>
          <w:sz w:val="44"/>
          <w:szCs w:val="44"/>
          <w:highlight w:val="none"/>
        </w:rPr>
        <w:t xml:space="preserve">使用说明</w:t>
      </w:r>
      <w:r>
        <w:rPr>
          <w:rFonts w:eastAsia="黑体"/>
          <w:sz w:val="44"/>
          <w:szCs w:val="44"/>
          <w:highlight w:val="none"/>
        </w:rPr>
      </w:r>
      <w:r/>
    </w:p>
    <w:p>
      <w:pPr>
        <w:pStyle w:val="830"/>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pStyle w:val="830"/>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highlight w:val="none"/>
        </w:rPr>
      </w:r>
      <w:r/>
    </w:p>
    <w:p>
      <w:pPr>
        <w:pStyle w:val="830"/>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rFonts w:eastAsia="黑体"/>
          <w:sz w:val="44"/>
          <w:szCs w:val="44"/>
          <w:highlight w:val="none"/>
        </w:rPr>
      </w:r>
      <w:r/>
    </w:p>
    <w:p>
      <w:pPr>
        <w:pStyle w:val="830"/>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highlight w:val="none"/>
        </w:rPr>
      </w:r>
      <w:r/>
    </w:p>
    <w:p>
      <w:pPr>
        <w:pStyle w:val="830"/>
        <w:ind w:firstLine="880"/>
        <w:rPr>
          <w:rFonts w:eastAsia="黑体"/>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highlight w:val="none"/>
        </w:rPr>
      </w:r>
      <w:r/>
    </w:p>
    <w:p>
      <w:pPr>
        <w:pStyle w:val="830"/>
        <w:jc w:val="center"/>
        <w:keepLines/>
        <w:keepNext/>
        <w:spacing w:line="400" w:lineRule="exact"/>
        <w:rPr>
          <w:rFonts w:ascii="黑体" w:hAnsi="黑体" w:eastAsia="黑体"/>
          <w:b/>
          <w:bCs/>
          <w:sz w:val="28"/>
          <w:szCs w:val="28"/>
          <w:highlight w:val="none"/>
        </w:rPr>
        <w:outlineLvl w:val="1"/>
      </w:pPr>
      <w:r/>
      <w:bookmarkEnd w:id="168"/>
      <w:r/>
      <w:bookmarkStart w:id="169" w:name="_Toc22209"/>
      <w:r>
        <w:rPr>
          <w:rFonts w:ascii="黑体" w:hAnsi="黑体" w:eastAsia="黑体"/>
          <w:b/>
          <w:bCs/>
          <w:sz w:val="28"/>
          <w:szCs w:val="28"/>
          <w:highlight w:val="none"/>
        </w:rPr>
      </w:r>
      <w:r/>
    </w:p>
    <w:p>
      <w:pPr>
        <w:pStyle w:val="830"/>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Pr>
          <w:rFonts w:ascii="黑体" w:hAnsi="华文中宋" w:eastAsia="黑体"/>
          <w:sz w:val="28"/>
          <w:szCs w:val="28"/>
          <w:highlight w:val="none"/>
        </w:rPr>
      </w:r>
      <w:r/>
    </w:p>
    <w:p>
      <w:pPr>
        <w:pStyle w:val="830"/>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pStyle w:val="830"/>
        <w:spacing w:line="360" w:lineRule="auto"/>
        <w:rPr>
          <w:rFonts w:ascii="宋体" w:hAnsi="宋体"/>
          <w:sz w:val="24"/>
          <w:highlight w:val="none"/>
        </w:rPr>
      </w:pPr>
      <w:r>
        <w:rPr>
          <w:rFonts w:hint="eastAsia" w:ascii="宋体" w:hAnsi="宋体"/>
          <w:sz w:val="24"/>
          <w:highlight w:val="none"/>
        </w:rPr>
        <w:t xml:space="preserve">甲方（全称）：</w:t>
      </w:r>
      <w:r>
        <w:rPr>
          <w:rFonts w:ascii="宋体" w:hAnsi="宋体"/>
          <w:sz w:val="24"/>
          <w:highlight w:val="none"/>
        </w:rPr>
      </w:r>
      <w:r/>
    </w:p>
    <w:p>
      <w:pPr>
        <w:pStyle w:val="830"/>
        <w:spacing w:line="360" w:lineRule="auto"/>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rPr>
          <w:rFonts w:ascii="宋体" w:hAnsi="宋体"/>
          <w:sz w:val="24"/>
          <w:highlight w:val="none"/>
        </w:rPr>
      </w:r>
      <w:r/>
    </w:p>
    <w:p>
      <w:pPr>
        <w:pStyle w:val="830"/>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中华人民共和国政府采购法》等有关的法律法规，以及本采购项目的招标文件等采购文件、乙方的《投标文件》及《中标通知书》，甲乙双方同意签订本合同。具体情况及要求如下：     </w:t>
      </w:r>
      <w:r>
        <w:rPr>
          <w:rFonts w:ascii="宋体" w:hAnsi="宋体"/>
          <w:sz w:val="24"/>
          <w:highlight w:val="none"/>
        </w:rPr>
      </w:r>
      <w:r/>
    </w:p>
    <w:p>
      <w:pPr>
        <w:pStyle w:val="830"/>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项目信息</w:t>
      </w:r>
      <w:r>
        <w:rPr>
          <w:rFonts w:ascii="宋体" w:hAnsi="宋体"/>
          <w:b/>
          <w:sz w:val="24"/>
          <w:highlight w:val="none"/>
        </w:rPr>
      </w:r>
      <w:r/>
    </w:p>
    <w:p>
      <w:pPr>
        <w:pStyle w:val="830"/>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w:t>
      </w:r>
      <w:r>
        <w:rPr>
          <w:rFonts w:ascii="宋体" w:hAnsi="宋体"/>
          <w:sz w:val="24"/>
          <w:highlight w:val="none"/>
          <w:u w:val="single"/>
        </w:rPr>
      </w:r>
      <w:r/>
    </w:p>
    <w:p>
      <w:pPr>
        <w:pStyle w:val="830"/>
        <w:numPr>
          <w:ilvl w:val="0"/>
          <w:numId w:val="0"/>
        </w:numPr>
        <w:spacing w:line="360" w:lineRule="auto"/>
        <w:tabs>
          <w:tab w:val="left" w:pos="999" w:leader="none"/>
        </w:tabs>
        <w:rPr>
          <w:rFonts w:ascii="宋体" w:hAnsi="宋体"/>
          <w:sz w:val="24"/>
          <w:highlight w:val="none"/>
        </w:rPr>
      </w:pPr>
      <w:r>
        <w:rPr>
          <w:rFonts w:hint="eastAsia" w:ascii="宋体" w:hAnsi="宋体"/>
          <w:sz w:val="24"/>
          <w:highlight w:val="none"/>
        </w:rPr>
        <w:t xml:space="preserve">         采购项目编号：</w:t>
      </w:r>
      <w:r>
        <w:rPr>
          <w:rFonts w:ascii="宋体" w:hAnsi="宋体"/>
          <w:sz w:val="24"/>
          <w:highlight w:val="none"/>
        </w:rPr>
      </w:r>
      <w:r/>
    </w:p>
    <w:p>
      <w:pPr>
        <w:pStyle w:val="830"/>
        <w:ind w:firstLine="480"/>
        <w:spacing w:line="360" w:lineRule="auto"/>
        <w:rPr>
          <w:rFonts w:ascii="宋体" w:hAnsi="宋体"/>
          <w:sz w:val="24"/>
          <w:highlight w:val="none"/>
        </w:rPr>
      </w:pPr>
      <w:r>
        <w:rPr>
          <w:rFonts w:hint="eastAsia" w:ascii="宋体" w:hAnsi="宋体"/>
          <w:sz w:val="24"/>
          <w:highlight w:val="none"/>
        </w:rPr>
        <w:t xml:space="preserve">（2）采购计划编号：JSZC-320924-JCJT-G2025-0003</w:t>
      </w:r>
      <w:r>
        <w:rPr>
          <w:rFonts w:ascii="宋体" w:hAnsi="宋体"/>
          <w:sz w:val="24"/>
          <w:highlight w:val="none"/>
        </w:rPr>
      </w:r>
      <w:r/>
    </w:p>
    <w:p>
      <w:pPr>
        <w:pStyle w:val="830"/>
        <w:ind w:firstLine="480"/>
        <w:spacing w:line="360" w:lineRule="auto"/>
        <w:rPr>
          <w:rFonts w:ascii="宋体" w:hAnsi="宋体"/>
          <w:sz w:val="24"/>
          <w:highlight w:val="none"/>
        </w:rPr>
      </w:pPr>
      <w:r>
        <w:rPr>
          <w:rFonts w:hint="eastAsia" w:ascii="宋体" w:hAnsi="宋体"/>
          <w:sz w:val="24"/>
          <w:highlight w:val="none"/>
        </w:rPr>
        <w:t xml:space="preserve">（3）项目内容：</w:t>
      </w:r>
      <w:r>
        <w:rPr>
          <w:rFonts w:ascii="宋体" w:hAnsi="宋体"/>
          <w:sz w:val="24"/>
          <w:highlight w:val="none"/>
        </w:rPr>
      </w:r>
      <w:r/>
    </w:p>
    <w:p>
      <w:pPr>
        <w:pStyle w:val="830"/>
        <w:ind w:firstLine="480"/>
        <w:spacing w:line="360" w:lineRule="auto"/>
        <w:rPr>
          <w:rFonts w:ascii="宋体" w:hAnsi="宋体"/>
          <w:sz w:val="24"/>
          <w:highlight w:val="none"/>
        </w:rPr>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rPr>
          <w:rFonts w:ascii="宋体" w:hAnsi="宋体"/>
          <w:sz w:val="24"/>
          <w:highlight w:val="none"/>
        </w:rPr>
      </w:r>
      <w:r/>
    </w:p>
    <w:p>
      <w:pPr>
        <w:pStyle w:val="830"/>
        <w:numPr>
          <w:ilvl w:val="0"/>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品牌：规格型号：</w:t>
      </w:r>
      <w:r>
        <w:rPr>
          <w:rFonts w:ascii="宋体" w:hAnsi="宋体" w:cs="宋体"/>
          <w:sz w:val="24"/>
          <w:highlight w:val="none"/>
        </w:rPr>
      </w:r>
      <w:r/>
    </w:p>
    <w:p>
      <w:pPr>
        <w:pStyle w:val="830"/>
        <w:ind w:firstLine="1080"/>
        <w:spacing w:line="360" w:lineRule="auto"/>
        <w:rPr>
          <w:rFonts w:ascii="宋体" w:hAnsi="宋体"/>
          <w:sz w:val="24"/>
          <w:highlight w:val="none"/>
          <w:u w:val="single"/>
        </w:rPr>
      </w:pPr>
      <w:r>
        <w:rPr>
          <w:rFonts w:hint="eastAsia" w:ascii="宋体" w:hAnsi="宋体"/>
          <w:sz w:val="24"/>
          <w:highlight w:val="none"/>
        </w:rPr>
        <w:t xml:space="preserve">采购标的的技术要求、商务要求具体见附件。</w:t>
      </w:r>
      <w:r>
        <w:rPr>
          <w:rFonts w:ascii="宋体" w:hAnsi="宋体"/>
          <w:sz w:val="24"/>
          <w:highlight w:val="none"/>
          <w:u w:val="single"/>
        </w:rPr>
      </w:r>
      <w:r/>
    </w:p>
    <w:p>
      <w:pPr>
        <w:pStyle w:val="830"/>
        <w:numPr>
          <w:ilvl w:val="0"/>
          <w:numId w:val="0"/>
        </w:numPr>
        <w:jc w:val="left"/>
        <w:spacing w:line="360" w:lineRule="auto"/>
        <w:widowControl/>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þ</w:t>
      </w:r>
      <w:r>
        <w:rPr>
          <w:rFonts w:hint="eastAsia" w:ascii="宋体" w:hAnsi="宋体" w:cs="宋体"/>
          <w:sz w:val="24"/>
          <w:highlight w:val="none"/>
        </w:rPr>
        <w:t xml:space="preserve">分散采购</w:t>
      </w:r>
      <w:r>
        <w:rPr>
          <w:rFonts w:ascii="宋体" w:hAnsi="宋体" w:cs="宋体"/>
          <w:sz w:val="24"/>
          <w:highlight w:val="none"/>
        </w:rPr>
      </w:r>
      <w:r/>
    </w:p>
    <w:p>
      <w:pPr>
        <w:pStyle w:val="830"/>
        <w:numPr>
          <w:ilvl w:val="0"/>
          <w:numId w:val="0"/>
        </w:num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rPr>
          <w:rFonts w:ascii="宋体" w:hAnsi="宋体" w:cs="宋体"/>
          <w:sz w:val="24"/>
          <w:highlight w:val="none"/>
        </w:rPr>
      </w:r>
      <w:r/>
    </w:p>
    <w:p>
      <w:pPr>
        <w:pStyle w:val="830"/>
        <w:numPr>
          <w:ilvl w:val="0"/>
          <w:numId w:val="0"/>
        </w:numPr>
        <w:ind w:firstLine="4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rPr>
          <w:rFonts w:ascii="宋体" w:hAnsi="宋体" w:cs="宋体"/>
          <w:sz w:val="24"/>
          <w:highlight w:val="none"/>
          <w:u w:val="single"/>
        </w:rPr>
      </w:r>
      <w:r/>
    </w:p>
    <w:p>
      <w:pPr>
        <w:pStyle w:val="830"/>
        <w:numPr>
          <w:ilvl w:val="0"/>
          <w:numId w:val="0"/>
        </w:numPr>
        <w:ind w:firstLine="24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宋体" w:hAnsi="宋体"/>
          <w:sz w:val="24"/>
          <w:highlight w:val="none"/>
        </w:rPr>
      </w:r>
      <w:r/>
    </w:p>
    <w:p>
      <w:pPr>
        <w:pStyle w:val="830"/>
        <w:numPr>
          <w:ilvl w:val="0"/>
          <w:numId w:val="0"/>
        </w:numPr>
        <w:spacing w:line="360" w:lineRule="auto"/>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rPr>
          <w:rFonts w:ascii="宋体" w:hAnsi="宋体"/>
          <w:iCs/>
          <w:sz w:val="24"/>
          <w:highlight w:val="none"/>
        </w:rPr>
      </w:r>
      <w:r/>
    </w:p>
    <w:p>
      <w:pPr>
        <w:pStyle w:val="830"/>
        <w:numPr>
          <w:ilvl w:val="0"/>
          <w:numId w:val="0"/>
        </w:numPr>
        <w:spacing w:line="360" w:lineRule="auto"/>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 xml:space="preserve">þ</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rPr>
          <w:rFonts w:ascii="宋体" w:hAnsi="宋体"/>
          <w:iCs/>
          <w:sz w:val="24"/>
          <w:highlight w:val="none"/>
        </w:rPr>
      </w:r>
      <w:r/>
    </w:p>
    <w:p>
      <w:pPr>
        <w:pStyle w:val="830"/>
        <w:numPr>
          <w:ilvl w:val="0"/>
          <w:numId w:val="0"/>
        </w:numPr>
        <w:spacing w:line="360" w:lineRule="auto"/>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rPr>
          <w:rFonts w:ascii="宋体" w:hAnsi="宋体"/>
          <w:iCs/>
          <w:sz w:val="24"/>
          <w:highlight w:val="none"/>
        </w:rPr>
      </w:r>
      <w:r/>
    </w:p>
    <w:p>
      <w:pPr>
        <w:pStyle w:val="830"/>
        <w:spacing w:line="360" w:lineRule="auto"/>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rPr>
          <w:sz w:val="24"/>
          <w:highlight w:val="none"/>
        </w:rPr>
      </w:r>
      <w:r/>
    </w:p>
    <w:p>
      <w:pPr>
        <w:pStyle w:val="830"/>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rPr>
          <w:rFonts w:ascii="宋体" w:hAnsi="宋体"/>
          <w:sz w:val="24"/>
          <w:highlight w:val="none"/>
        </w:rPr>
      </w:r>
      <w:r/>
    </w:p>
    <w:p>
      <w:pPr>
        <w:pStyle w:val="830"/>
        <w:numPr>
          <w:ilvl w:val="0"/>
          <w:numId w:val="0"/>
        </w:numPr>
        <w:ind w:firstLine="48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cs="宋体"/>
          <w:iCs/>
          <w:sz w:val="24"/>
          <w:highlight w:val="none"/>
        </w:rPr>
        <w:t xml:space="preserve">否</w:t>
      </w:r>
      <w:r>
        <w:rPr>
          <w:rFonts w:ascii="宋体" w:hAnsi="宋体" w:cs="宋体"/>
          <w:iCs/>
          <w:sz w:val="24"/>
          <w:highlight w:val="none"/>
        </w:rPr>
      </w:r>
      <w:r/>
    </w:p>
    <w:p>
      <w:pPr>
        <w:pStyle w:val="830"/>
        <w:numPr>
          <w:ilvl w:val="0"/>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rPr>
          <w:rFonts w:ascii="宋体" w:hAnsi="宋体" w:cs="宋体"/>
          <w:sz w:val="24"/>
          <w:highlight w:val="none"/>
        </w:rPr>
      </w:r>
      <w:r/>
    </w:p>
    <w:p>
      <w:pPr>
        <w:pStyle w:val="830"/>
        <w:numPr>
          <w:ilvl w:val="0"/>
          <w:numId w:val="0"/>
        </w:numPr>
        <w:ind w:firstLine="960"/>
        <w:spacing w:line="360" w:lineRule="auto"/>
        <w:rPr>
          <w:rFonts w:ascii="宋体" w:hAnsi="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是</w:t>
      </w:r>
      <w:r>
        <w:rPr>
          <w:rFonts w:hint="eastAsia" w:ascii="宋体" w:hAnsi="宋体" w:cs="宋体"/>
          <w:sz w:val="24"/>
          <w:highlight w:val="none"/>
          <w:lang w:val="en-US" w:eastAsia="zh-CN"/>
        </w:rPr>
        <w:t xml:space="preserve">       </w:t>
      </w:r>
      <w:r>
        <w:rPr>
          <w:rFonts w:ascii="Wingdings" w:hAnsi="Wingdings" w:eastAsia="Wingdings" w:cs="Wingdings"/>
          <w:sz w:val="24"/>
          <w:highlight w:val="none"/>
        </w:rPr>
        <w:t xml:space="preserve">þ</w:t>
      </w:r>
      <w:r>
        <w:rPr>
          <w:rFonts w:hint="eastAsia" w:ascii="宋体" w:hAnsi="宋体"/>
          <w:sz w:val="24"/>
          <w:highlight w:val="none"/>
        </w:rPr>
        <w:t xml:space="preserve">否</w:t>
      </w:r>
      <w:r>
        <w:rPr>
          <w:rFonts w:ascii="宋体" w:hAnsi="宋体"/>
          <w:sz w:val="24"/>
          <w:highlight w:val="none"/>
        </w:rPr>
      </w:r>
      <w:r/>
    </w:p>
    <w:p>
      <w:pPr>
        <w:pStyle w:val="830"/>
        <w:numPr>
          <w:ilvl w:val="0"/>
          <w:numId w:val="0"/>
        </w:numPr>
        <w:spacing w:line="360" w:lineRule="auto"/>
        <w:tabs>
          <w:tab w:val="left" w:pos="740" w:leader="none"/>
        </w:tabs>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0</w:t>
      </w:r>
      <w:r>
        <w:rPr>
          <w:rFonts w:hint="eastAsia" w:ascii="宋体" w:hAnsi="宋体"/>
          <w:sz w:val="24"/>
          <w:highlight w:val="none"/>
        </w:rPr>
        <w:t xml:space="preserve">）是否涉及节能产品：</w:t>
      </w:r>
      <w:r>
        <w:rPr>
          <w:rFonts w:ascii="宋体" w:hAnsi="宋体"/>
          <w:sz w:val="24"/>
          <w:highlight w:val="none"/>
        </w:rPr>
      </w:r>
      <w:r/>
    </w:p>
    <w:p>
      <w:pPr>
        <w:pStyle w:val="830"/>
        <w:numPr>
          <w:ilvl w:val="0"/>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w:t>
      </w:r>
      <w:r>
        <w:rPr>
          <w:rFonts w:hint="eastAsia" w:ascii="宋体" w:hAnsi="宋体"/>
          <w:sz w:val="24"/>
          <w:highlight w:val="none"/>
          <w:lang w:val="en-US" w:eastAsia="zh-CN"/>
        </w:rPr>
        <w:t xml:space="preserve">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宋体" w:hAnsi="宋体"/>
          <w:sz w:val="24"/>
          <w:highlight w:val="none"/>
        </w:rPr>
      </w:r>
      <w:r/>
    </w:p>
    <w:p>
      <w:pPr>
        <w:pStyle w:val="830"/>
        <w:numPr>
          <w:ilvl w:val="0"/>
          <w:numId w:val="0"/>
        </w:numPr>
        <w:ind w:firstLine="960"/>
        <w:spacing w:line="360" w:lineRule="auto"/>
        <w:tabs>
          <w:tab w:val="left" w:pos="740" w:leader="none"/>
        </w:tabs>
        <w:rPr>
          <w:rFonts w:ascii="宋体" w:hAnsi="宋体"/>
          <w:sz w:val="24"/>
          <w:highlight w:val="none"/>
        </w:rPr>
      </w:pPr>
      <w:r>
        <w:rPr>
          <w:rFonts w:hint="eastAsia" w:ascii="宋体" w:hAnsi="宋体"/>
          <w:sz w:val="24"/>
          <w:highlight w:val="none"/>
        </w:rPr>
        <w:t xml:space="preserve">是否涉及环境标志产品：</w:t>
      </w:r>
      <w:r>
        <w:rPr>
          <w:rFonts w:ascii="宋体" w:hAnsi="宋体"/>
          <w:sz w:val="24"/>
          <w:highlight w:val="none"/>
        </w:rPr>
      </w:r>
      <w:r/>
    </w:p>
    <w:p>
      <w:pPr>
        <w:pStyle w:val="830"/>
        <w:numPr>
          <w:ilvl w:val="0"/>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w:t>
      </w:r>
      <w:r>
        <w:rPr>
          <w:rFonts w:hint="eastAsia" w:ascii="宋体" w:hAnsi="宋体"/>
          <w:sz w:val="24"/>
          <w:highlight w:val="none"/>
          <w:lang w:val="en-US" w:eastAsia="zh-CN"/>
        </w:rPr>
        <w:t xml:space="preserve">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宋体" w:hAnsi="宋体"/>
          <w:sz w:val="24"/>
          <w:highlight w:val="none"/>
        </w:rPr>
      </w:r>
      <w:r/>
    </w:p>
    <w:p>
      <w:pPr>
        <w:pStyle w:val="830"/>
        <w:numPr>
          <w:ilvl w:val="0"/>
          <w:numId w:val="0"/>
        </w:numPr>
        <w:ind w:firstLine="840"/>
        <w:jc w:val="left"/>
        <w:spacing w:line="360" w:lineRule="auto"/>
        <w:widowControl/>
        <w:rPr>
          <w:rFonts w:ascii="宋体" w:hAnsi="宋体"/>
          <w:sz w:val="24"/>
          <w:highlight w:val="none"/>
        </w:rPr>
      </w:pPr>
      <w:r>
        <w:rPr>
          <w:rFonts w:hint="eastAsia" w:ascii="宋体" w:hAnsi="宋体"/>
          <w:sz w:val="24"/>
          <w:highlight w:val="none"/>
        </w:rPr>
        <w:t xml:space="preserve">是否涉及绿色产品：</w:t>
      </w:r>
      <w:r>
        <w:rPr>
          <w:rFonts w:ascii="宋体" w:hAnsi="宋体"/>
          <w:sz w:val="24"/>
          <w:highlight w:val="none"/>
        </w:rPr>
      </w:r>
      <w:r/>
    </w:p>
    <w:p>
      <w:pPr>
        <w:pStyle w:val="830"/>
        <w:numPr>
          <w:ilvl w:val="0"/>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w:t>
      </w:r>
      <w:r>
        <w:rPr>
          <w:rFonts w:hint="eastAsia" w:ascii="宋体" w:hAnsi="宋体"/>
          <w:sz w:val="24"/>
          <w:highlight w:val="none"/>
          <w:lang w:val="en-US" w:eastAsia="zh-CN"/>
        </w:rPr>
        <w:t xml:space="preserve">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宋体" w:hAnsi="宋体"/>
          <w:sz w:val="24"/>
          <w:highlight w:val="none"/>
        </w:rPr>
      </w:r>
      <w:r/>
    </w:p>
    <w:p>
      <w:pPr>
        <w:pStyle w:val="830"/>
        <w:numPr>
          <w:ilvl w:val="0"/>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w:t>
      </w:r>
      <w:r>
        <w:rPr>
          <w:rFonts w:hint="eastAsia" w:ascii="宋体" w:hAnsi="宋体"/>
          <w:sz w:val="24"/>
          <w:highlight w:val="none"/>
          <w:lang w:eastAsia="zh-CN"/>
        </w:rPr>
        <w:t xml:space="preserve">》《</w:t>
      </w:r>
      <w:r>
        <w:rPr>
          <w:rFonts w:hint="eastAsia" w:ascii="宋体" w:hAnsi="宋体"/>
          <w:sz w:val="24"/>
          <w:highlight w:val="none"/>
        </w:rPr>
        <w:t xml:space="preserve">快递包装政府采购需求标准（试行）》明确产品及相关快递服务的具体包装要求：</w:t>
      </w:r>
      <w:r>
        <w:rPr>
          <w:rFonts w:ascii="Wingdings" w:hAnsi="Wingdings" w:eastAsia="Wingdings" w:cs="Wingdings"/>
          <w:sz w:val="24"/>
          <w:highlight w:val="none"/>
        </w:rPr>
        <w:t xml:space="preserve">þ</w:t>
      </w:r>
      <w:r>
        <w:rPr>
          <w:rFonts w:hint="eastAsia" w:ascii="宋体" w:hAnsi="宋体"/>
          <w:sz w:val="24"/>
          <w:highlight w:val="none"/>
        </w:rPr>
        <w:t xml:space="preserve">是</w:t>
      </w:r>
      <w:r>
        <w:rPr>
          <w:rFonts w:hint="eastAsia" w:ascii="宋体" w:hAnsi="宋体"/>
          <w:sz w:val="24"/>
          <w:highlight w:val="none"/>
          <w:lang w:val="en-US" w:eastAsia="zh-CN"/>
        </w:rPr>
        <w:t xml:space="preserve">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宋体" w:hAnsi="宋体"/>
          <w:sz w:val="24"/>
          <w:highlight w:val="none"/>
        </w:rPr>
      </w:r>
      <w:r/>
    </w:p>
    <w:p>
      <w:pPr>
        <w:pStyle w:val="830"/>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合同金额</w:t>
      </w:r>
      <w:r>
        <w:rPr>
          <w:rFonts w:ascii="宋体" w:hAnsi="宋体"/>
          <w:b/>
          <w:sz w:val="24"/>
          <w:highlight w:val="none"/>
        </w:rPr>
      </w:r>
      <w:r/>
    </w:p>
    <w:p>
      <w:pPr>
        <w:pStyle w:val="830"/>
        <w:ind w:firstLine="480"/>
        <w:spacing w:line="360" w:lineRule="auto"/>
        <w:rPr>
          <w:rFonts w:ascii="宋体" w:hAnsi="宋体"/>
          <w:sz w:val="24"/>
          <w:highlight w:val="none"/>
        </w:rPr>
      </w:pPr>
      <w:r>
        <w:rPr>
          <w:rFonts w:hint="eastAsia" w:ascii="宋体" w:hAnsi="宋体"/>
          <w:sz w:val="24"/>
          <w:highlight w:val="none"/>
        </w:rPr>
        <w:t xml:space="preserve">（1）合同金额小写：</w:t>
      </w:r>
      <w:r>
        <w:rPr>
          <w:rFonts w:ascii="宋体" w:hAnsi="宋体"/>
          <w:sz w:val="24"/>
          <w:highlight w:val="none"/>
        </w:rPr>
      </w:r>
      <w:r/>
    </w:p>
    <w:p>
      <w:pPr>
        <w:pStyle w:val="830"/>
        <w:ind w:firstLine="600"/>
        <w:spacing w:line="360" w:lineRule="auto"/>
        <w:rPr>
          <w:rFonts w:ascii="宋体" w:hAnsi="宋体"/>
          <w:sz w:val="24"/>
          <w:highlight w:val="none"/>
          <w:u w:val="single"/>
        </w:rPr>
      </w:pPr>
      <w:r>
        <w:rPr>
          <w:rFonts w:hint="eastAsia" w:ascii="宋体" w:hAnsi="宋体"/>
          <w:sz w:val="24"/>
          <w:highlight w:val="none"/>
        </w:rPr>
        <w:t xml:space="preserve">大写：</w:t>
      </w:r>
      <w:r>
        <w:rPr>
          <w:rFonts w:ascii="宋体" w:hAnsi="宋体"/>
          <w:sz w:val="24"/>
          <w:highlight w:val="none"/>
          <w:u w:val="single"/>
        </w:rPr>
      </w:r>
      <w:r/>
    </w:p>
    <w:p>
      <w:pPr>
        <w:pStyle w:val="830"/>
        <w:jc w:val="center"/>
        <w:rPr>
          <w:rFonts w:ascii="宋体" w:hAnsi="宋体"/>
          <w:sz w:val="24"/>
          <w:highlight w:val="none"/>
        </w:rPr>
      </w:pPr>
      <w:r>
        <w:rPr>
          <w:rFonts w:hint="eastAsia" w:ascii="宋体" w:hAnsi="宋体"/>
          <w:sz w:val="24"/>
          <w:highlight w:val="none"/>
        </w:rPr>
        <w:t xml:space="preserve"> （2）付款方式（按项目实际勾选填写，具体详见专用条款第二节</w:t>
      </w:r>
      <w:r>
        <w:rPr>
          <w:rFonts w:ascii="宋体" w:hAnsi="宋体"/>
          <w:sz w:val="24"/>
          <w:highlight w:val="none"/>
        </w:rPr>
      </w:r>
      <w:r/>
    </w:p>
    <w:p>
      <w:pPr>
        <w:pStyle w:val="830"/>
        <w:spacing w:line="360" w:lineRule="auto"/>
        <w:rPr>
          <w:rFonts w:ascii="宋体" w:hAnsi="宋体"/>
          <w:sz w:val="24"/>
          <w:highlight w:val="none"/>
        </w:rPr>
      </w:pPr>
      <w:r>
        <w:rPr>
          <w:rFonts w:hint="eastAsia" w:ascii="宋体" w:hAnsi="宋体"/>
          <w:sz w:val="24"/>
          <w:highlight w:val="none"/>
        </w:rPr>
        <w:t xml:space="preserve">第12.2款）：</w:t>
      </w:r>
      <w:r>
        <w:rPr>
          <w:rFonts w:ascii="宋体" w:hAnsi="宋体"/>
          <w:sz w:val="24"/>
          <w:highlight w:val="none"/>
        </w:rPr>
      </w:r>
      <w:r/>
    </w:p>
    <w:p>
      <w:pPr>
        <w:pStyle w:val="830"/>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rFonts w:ascii="宋体" w:hAnsi="宋体"/>
          <w:szCs w:val="21"/>
          <w:highlight w:val="none"/>
          <w:u w:val="single"/>
        </w:rPr>
      </w:r>
      <w:r/>
    </w:p>
    <w:p>
      <w:pPr>
        <w:pStyle w:val="830"/>
        <w:ind w:firstLine="630"/>
        <w:spacing w:line="400" w:lineRule="exact"/>
        <w:rPr>
          <w:rFonts w:hint="eastAsia" w:ascii="宋体" w:hAnsi="宋体"/>
          <w:szCs w:val="21"/>
          <w:highlight w:val="none"/>
          <w:u w:val="single"/>
        </w:rPr>
      </w:pPr>
      <w:r>
        <w:rPr>
          <w:rFonts w:ascii="Wingdings" w:hAnsi="Wingdings" w:eastAsia="Wingdings" w:cs="Wingdings"/>
          <w:szCs w:val="21"/>
          <w:highlight w:val="none"/>
        </w:rPr>
        <w:t xml:space="preserve">þ</w:t>
      </w:r>
      <w:r>
        <w:rPr>
          <w:rFonts w:hint="eastAsia" w:ascii="宋体" w:hAnsi="宋体"/>
          <w:szCs w:val="21"/>
          <w:highlight w:val="none"/>
        </w:rPr>
        <w:t xml:space="preserve">分期付款：</w:t>
      </w:r>
      <w:r>
        <w:rPr>
          <w:rFonts w:hint="eastAsia" w:ascii="宋体" w:hAnsi="宋体"/>
          <w:szCs w:val="21"/>
          <w:highlight w:val="none"/>
          <w:u w:val="single"/>
        </w:rPr>
        <w:t xml:space="preserve">  合同签订时，经采购人与中标人根据实际情况协商一致，可支付合同总价的30%作为项目启动预付款；中标方按照采购人的要求将货物送到指定地点并完成安装调试，项目验收合格后，中标方提供全额发票，采购方付至项目总价90%,并无息退还履约保证金(如有),余款在一年后无质量、服务问题一次性付清。以上付款均不计任何利息和相关费用，付款一律通过银行结转。相关付款手续由用户单位由财政部门报批后办理。</w:t>
      </w:r>
      <w:r>
        <w:rPr>
          <w:rFonts w:hint="eastAsia" w:ascii="宋体" w:hAnsi="宋体"/>
          <w:szCs w:val="21"/>
          <w:highlight w:val="none"/>
        </w:rPr>
        <w:t xml:space="preserve">其中涉及预付款的：</w:t>
      </w:r>
      <w:r>
        <w:rPr>
          <w:rFonts w:hint="eastAsia" w:ascii="宋体" w:hAnsi="宋体"/>
          <w:szCs w:val="21"/>
          <w:highlight w:val="none"/>
          <w:u w:val="single"/>
        </w:rPr>
        <w:t xml:space="preserve"> 在签订合同时，中标人明确表示无需预付款或者主动要求降低预付款比例的金额，招标人可不适用预付款规定,但中标人需提供书面声明，采购人可就预付款比例作相应调整。</w:t>
      </w:r>
      <w:r>
        <w:rPr>
          <w:rFonts w:hint="eastAsia" w:ascii="宋体" w:hAnsi="宋体"/>
          <w:szCs w:val="21"/>
          <w:highlight w:val="none"/>
          <w:u w:val="single"/>
        </w:rPr>
      </w:r>
      <w:r/>
    </w:p>
    <w:p>
      <w:pPr>
        <w:pStyle w:val="830"/>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rFonts w:ascii="宋体" w:hAnsi="宋体"/>
          <w:szCs w:val="21"/>
          <w:highlight w:val="none"/>
          <w:u w:val="single"/>
        </w:rPr>
      </w:r>
      <w:r/>
    </w:p>
    <w:p>
      <w:pPr>
        <w:pStyle w:val="830"/>
        <w:ind w:firstLine="630"/>
        <w:spacing w:line="400" w:lineRule="exact"/>
        <w:rPr>
          <w:rFonts w:hint="eastAsia"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rFonts w:hint="eastAsia" w:ascii="宋体" w:hAnsi="宋体"/>
          <w:szCs w:val="21"/>
          <w:highlight w:val="none"/>
        </w:rPr>
      </w:r>
      <w:r/>
    </w:p>
    <w:p>
      <w:pPr>
        <w:pStyle w:val="830"/>
        <w:numPr>
          <w:ilvl w:val="0"/>
          <w:numId w:val="1"/>
        </w:numPr>
        <w:ind w:firstLine="482"/>
        <w:spacing w:line="360" w:lineRule="auto"/>
        <w:rPr>
          <w:rFonts w:ascii="宋体" w:hAnsi="宋体"/>
          <w:b/>
          <w:sz w:val="24"/>
          <w:highlight w:val="none"/>
          <w:u w:val="single"/>
        </w:rPr>
      </w:pPr>
      <w:r>
        <w:rPr>
          <w:rFonts w:hint="eastAsia" w:ascii="宋体" w:hAnsi="宋体"/>
          <w:b/>
          <w:sz w:val="24"/>
          <w:highlight w:val="none"/>
        </w:rPr>
        <w:t xml:space="preserve">合同履行</w:t>
      </w:r>
      <w:r>
        <w:rPr>
          <w:rFonts w:ascii="宋体" w:hAnsi="宋体"/>
          <w:b/>
          <w:sz w:val="24"/>
          <w:highlight w:val="none"/>
          <w:u w:val="single"/>
        </w:rPr>
      </w:r>
      <w:r/>
    </w:p>
    <w:p>
      <w:pPr>
        <w:pStyle w:val="830"/>
        <w:ind w:firstLine="480"/>
        <w:spacing w:line="360" w:lineRule="auto"/>
        <w:rPr>
          <w:rFonts w:ascii="宋体" w:hAnsi="宋体" w:cs="宋体"/>
          <w:sz w:val="24"/>
          <w:highlight w:val="none"/>
        </w:rPr>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rPr>
      </w:r>
      <w:r/>
    </w:p>
    <w:p>
      <w:pPr>
        <w:pStyle w:val="830"/>
        <w:ind w:firstLine="480"/>
        <w:spacing w:line="360" w:lineRule="auto"/>
        <w:rPr>
          <w:rFonts w:ascii="宋体" w:hAnsi="宋体" w:cs="宋体"/>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ascii="宋体" w:hAnsi="宋体" w:cs="宋体"/>
          <w:sz w:val="24"/>
          <w:highlight w:val="none"/>
          <w:u w:val="single"/>
        </w:rPr>
      </w:r>
      <w:r/>
    </w:p>
    <w:p>
      <w:pPr>
        <w:pStyle w:val="830"/>
        <w:ind w:firstLine="480"/>
        <w:spacing w:line="360" w:lineRule="auto"/>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rPr>
          <w:rFonts w:ascii="宋体" w:hAnsi="宋体" w:cs="宋体"/>
          <w:sz w:val="24"/>
          <w:highlight w:val="none"/>
        </w:rPr>
      </w:r>
      <w:r/>
    </w:p>
    <w:p>
      <w:pPr>
        <w:pStyle w:val="830"/>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r>
        <w:rPr>
          <w:rFonts w:ascii="宋体" w:hAnsi="宋体" w:cs="宋体"/>
          <w:sz w:val="24"/>
          <w:highlight w:val="none"/>
        </w:rPr>
      </w:r>
      <w:r/>
    </w:p>
    <w:p>
      <w:pPr>
        <w:pStyle w:val="830"/>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rPr>
          <w:rFonts w:hint="eastAsia" w:ascii="宋体" w:hAnsi="宋体" w:cs="宋体"/>
          <w:bCs/>
          <w:sz w:val="24"/>
          <w:highlight w:val="none"/>
        </w:rPr>
        <w:t xml:space="preserve">  </w:t>
      </w:r>
      <w:r>
        <w:rPr>
          <w:rFonts w:hint="eastAsia" w:ascii="宋体" w:hAnsi="宋体" w:cs="宋体"/>
          <w:sz w:val="24"/>
          <w:highlight w:val="none"/>
        </w:rPr>
        <w:t xml:space="preserve">                            </w:t>
      </w:r>
      <w:r>
        <w:rPr>
          <w:rFonts w:ascii="宋体" w:hAnsi="宋体" w:cs="宋体"/>
          <w:sz w:val="24"/>
          <w:highlight w:val="none"/>
        </w:rPr>
      </w:r>
      <w:r/>
    </w:p>
    <w:p>
      <w:pPr>
        <w:pStyle w:val="830"/>
        <w:ind w:firstLine="480"/>
        <w:spacing w:line="360" w:lineRule="auto"/>
        <w:rPr>
          <w:rFonts w:ascii="宋体" w:hAnsi="宋体" w:cs="宋体"/>
          <w:bCs/>
          <w:sz w:val="24"/>
          <w:highlight w:val="none"/>
          <w:u w:val="single"/>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项目服务期结束并通过最终验收。                                   </w:t>
      </w:r>
      <w:r>
        <w:rPr>
          <w:rFonts w:ascii="宋体" w:hAnsi="宋体" w:cs="宋体"/>
          <w:bCs/>
          <w:sz w:val="24"/>
          <w:highlight w:val="none"/>
          <w:u w:val="single"/>
        </w:rPr>
      </w:r>
      <w:r/>
    </w:p>
    <w:p>
      <w:pPr>
        <w:pStyle w:val="830"/>
        <w:numPr>
          <w:ilvl w:val="0"/>
          <w:numId w:val="3"/>
        </w:num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确需收取履约保证金的，履约保证金的缴纳形式：</w:t>
      </w:r>
      <w:r>
        <w:rPr>
          <w:rFonts w:ascii="宋体" w:hAnsi="宋体" w:cs="宋体"/>
          <w:bCs/>
          <w:color w:val="000000"/>
          <w:sz w:val="24"/>
          <w:highlight w:val="none"/>
        </w:rPr>
      </w:r>
      <w:r/>
    </w:p>
    <w:p>
      <w:pPr>
        <w:pStyle w:val="83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color w:val="000000"/>
          <w:sz w:val="24"/>
          <w:highlight w:val="none"/>
        </w:rPr>
      </w:r>
      <w:r/>
    </w:p>
    <w:p>
      <w:pPr>
        <w:pStyle w:val="83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如以履约保函（保险）形式缴纳履约保证金，供应商可通过政府采购电子履约保函（保险）平台（www.jsdzbh.com）在线申请履约保函（保险）。</w:t>
      </w:r>
      <w:r>
        <w:rPr>
          <w:rFonts w:ascii="宋体" w:hAnsi="宋体" w:cs="宋体"/>
          <w:bCs/>
          <w:color w:val="000000"/>
          <w:sz w:val="24"/>
          <w:highlight w:val="none"/>
        </w:rPr>
      </w:r>
      <w:r/>
    </w:p>
    <w:p>
      <w:pPr>
        <w:pStyle w:val="838"/>
        <w:ind w:left="210" w:firstLine="240"/>
        <w:jc w:val="both"/>
        <w:spacing w:before="120" w:beforeAutospacing="0" w:after="120" w:afterAutospacing="0"/>
        <w:rPr>
          <w:rFonts w:ascii="宋体" w:hAnsi="宋体" w:cs="宋体"/>
          <w:highlight w:val="none"/>
        </w:rPr>
      </w:pPr>
      <w:r>
        <w:rPr>
          <w:rFonts w:hint="eastAsia" w:ascii="宋体" w:hAnsi="宋体" w:cs="宋体"/>
          <w:color w:val="000000"/>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000000"/>
          <w:highlight w:val="none"/>
        </w:rPr>
        <w:t xml:space="preserve">   </w:t>
      </w:r>
      <w:r>
        <w:rPr>
          <w:rFonts w:hint="eastAsia" w:ascii="宋体" w:hAnsi="宋体" w:cs="宋体"/>
          <w:color w:val="000000"/>
          <w:highlight w:val="none"/>
        </w:rPr>
        <w:t xml:space="preserve">        </w:t>
      </w:r>
      <w:r>
        <w:rPr>
          <w:rFonts w:hint="eastAsia" w:ascii="宋体" w:hAnsi="宋体" w:cs="宋体"/>
          <w:highlight w:val="none"/>
        </w:rPr>
        <w:t xml:space="preserve">                         </w:t>
      </w:r>
      <w:r>
        <w:rPr>
          <w:rFonts w:ascii="宋体" w:hAnsi="宋体" w:cs="宋体"/>
          <w:highlight w:val="none"/>
        </w:rPr>
      </w:r>
      <w:r/>
    </w:p>
    <w:p>
      <w:pPr>
        <w:pStyle w:val="830"/>
        <w:ind w:firstLine="480"/>
        <w:spacing w:line="360" w:lineRule="auto"/>
        <w:rPr>
          <w:rFonts w:ascii="宋体" w:hAnsi="宋体" w:cs="宋体"/>
          <w:bCs/>
          <w:sz w:val="24"/>
          <w:highlight w:val="none"/>
        </w:rPr>
      </w:pPr>
      <w:r>
        <w:rPr>
          <w:rFonts w:hint="eastAsia" w:ascii="宋体" w:hAnsi="宋体" w:cs="宋体"/>
          <w:bCs/>
          <w:sz w:val="24"/>
          <w:highlight w:val="none"/>
        </w:rPr>
        <w:t xml:space="preserve">（5）分期履行要求：原则上中标人需在收到采购人供货通知后72小时内送达，加急供货的应在24小时内送达。</w:t>
      </w:r>
      <w:r>
        <w:rPr>
          <w:rFonts w:ascii="宋体" w:hAnsi="宋体" w:cs="宋体"/>
          <w:bCs/>
          <w:sz w:val="24"/>
          <w:highlight w:val="none"/>
        </w:rPr>
      </w:r>
      <w:r/>
    </w:p>
    <w:p>
      <w:pPr>
        <w:pStyle w:val="830"/>
        <w:ind w:firstLine="480"/>
        <w:spacing w:line="360" w:lineRule="auto"/>
        <w:rPr>
          <w:rFonts w:ascii="宋体" w:hAnsi="宋体" w:cs="宋体"/>
          <w:sz w:val="24"/>
          <w:highlight w:val="none"/>
          <w:u w:val="single"/>
        </w:rPr>
      </w:pPr>
      <w:r>
        <w:rPr>
          <w:rFonts w:hint="eastAsia" w:ascii="宋体" w:hAnsi="宋体" w:cs="宋体"/>
          <w:bCs/>
          <w:sz w:val="24"/>
          <w:highlight w:val="none"/>
        </w:rPr>
        <w:t xml:space="preserve">（6）风险处置措施和替代方案：</w:t>
      </w:r>
      <w:r>
        <w:rPr>
          <w:rFonts w:ascii="宋体" w:hAnsi="宋体" w:cs="宋体"/>
          <w:sz w:val="24"/>
          <w:highlight w:val="none"/>
          <w:u w:val="single"/>
        </w:rPr>
      </w:r>
      <w:r/>
    </w:p>
    <w:p>
      <w:pPr>
        <w:pStyle w:val="830"/>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合同验收</w:t>
      </w:r>
      <w:r>
        <w:rPr>
          <w:rFonts w:ascii="宋体" w:hAnsi="宋体"/>
          <w:b/>
          <w:sz w:val="24"/>
          <w:highlight w:val="none"/>
        </w:rPr>
      </w:r>
      <w:r/>
    </w:p>
    <w:p>
      <w:pPr>
        <w:pStyle w:val="830"/>
        <w:numPr>
          <w:ilvl w:val="0"/>
          <w:numId w:val="4"/>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þ</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rPr>
          <w:rFonts w:ascii="宋体" w:hAnsi="宋体"/>
          <w:bCs/>
          <w:sz w:val="24"/>
          <w:highlight w:val="none"/>
        </w:rPr>
      </w:r>
      <w:r/>
    </w:p>
    <w:p>
      <w:pPr>
        <w:pStyle w:val="830"/>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r>
        <w:rPr>
          <w:rFonts w:ascii="宋体" w:hAnsi="宋体" w:cs="宋体"/>
          <w:sz w:val="24"/>
          <w:highlight w:val="none"/>
        </w:rPr>
      </w:r>
      <w:r/>
    </w:p>
    <w:p>
      <w:pPr>
        <w:pStyle w:val="830"/>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rPr>
          <w:rFonts w:ascii="宋体" w:hAnsi="宋体"/>
          <w:bCs/>
          <w:sz w:val="24"/>
          <w:highlight w:val="none"/>
        </w:rPr>
      </w:r>
      <w:r/>
    </w:p>
    <w:p>
      <w:pPr>
        <w:pStyle w:val="830"/>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rPr>
          <w:rFonts w:ascii="宋体" w:hAnsi="宋体"/>
          <w:bCs/>
          <w:sz w:val="24"/>
          <w:highlight w:val="none"/>
        </w:rPr>
      </w:r>
      <w:r/>
    </w:p>
    <w:p>
      <w:pPr>
        <w:pStyle w:val="830"/>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rPr>
          <w:rFonts w:ascii="宋体" w:hAnsi="宋体"/>
          <w:bCs/>
          <w:sz w:val="24"/>
          <w:highlight w:val="none"/>
        </w:rPr>
      </w:r>
      <w:r/>
    </w:p>
    <w:p>
      <w:pPr>
        <w:pStyle w:val="830"/>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rPr>
          <w:rFonts w:ascii="宋体" w:hAnsi="宋体"/>
          <w:bCs/>
          <w:sz w:val="24"/>
          <w:highlight w:val="none"/>
        </w:rPr>
      </w:r>
      <w:r/>
    </w:p>
    <w:p>
      <w:pPr>
        <w:pStyle w:val="830"/>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w:t>
      </w:r>
      <w:r>
        <w:rPr>
          <w:rFonts w:hint="eastAsia" w:ascii="宋体" w:hAnsi="宋体"/>
          <w:bCs/>
          <w:sz w:val="24"/>
          <w:highlight w:val="none"/>
        </w:rPr>
        <w:t xml:space="preserve">是，抽查比例：</w:t>
      </w:r>
      <w:r>
        <w:rPr>
          <w:rFonts w:ascii="Wingdings" w:hAnsi="Wingdings" w:eastAsia="Wingdings" w:cs="Wingdings"/>
          <w:sz w:val="24"/>
          <w:highlight w:val="none"/>
        </w:rPr>
        <w:t xml:space="preserve">þ</w:t>
      </w:r>
      <w:r>
        <w:rPr>
          <w:rFonts w:hint="eastAsia" w:ascii="宋体" w:hAnsi="宋体"/>
          <w:bCs/>
          <w:sz w:val="24"/>
          <w:highlight w:val="none"/>
        </w:rPr>
        <w:t xml:space="preserve">否</w:t>
      </w:r>
      <w:r>
        <w:rPr>
          <w:rFonts w:ascii="宋体" w:hAnsi="宋体"/>
          <w:bCs/>
          <w:sz w:val="24"/>
          <w:highlight w:val="none"/>
        </w:rPr>
      </w:r>
      <w:r/>
    </w:p>
    <w:p>
      <w:pPr>
        <w:pStyle w:val="830"/>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rPr>
          <w:rFonts w:ascii="宋体" w:hAnsi="宋体"/>
          <w:bCs/>
          <w:sz w:val="24"/>
          <w:highlight w:val="none"/>
          <w:u w:val="single"/>
        </w:rPr>
      </w:r>
      <w:r/>
    </w:p>
    <w:p>
      <w:pPr>
        <w:pStyle w:val="830"/>
        <w:ind w:firstLine="960"/>
        <w:spacing w:line="360" w:lineRule="auto"/>
        <w:rPr>
          <w:rFonts w:ascii="宋体" w:hAnsi="宋体"/>
          <w:bCs/>
          <w:sz w:val="24"/>
          <w:highlight w:val="none"/>
        </w:rPr>
      </w:pPr>
      <w:r>
        <w:rPr>
          <w:rFonts w:ascii="Wingdings" w:hAnsi="Wingdings" w:eastAsia="Wingdings" w:cs="Wingdings"/>
          <w:sz w:val="24"/>
          <w:highlight w:val="none"/>
        </w:rPr>
        <w:t xml:space="preserve">þ</w:t>
      </w:r>
      <w:r>
        <w:rPr>
          <w:rFonts w:hint="eastAsia" w:ascii="宋体" w:hAnsi="宋体"/>
          <w:bCs/>
          <w:sz w:val="24"/>
          <w:highlight w:val="none"/>
        </w:rPr>
        <w:t xml:space="preserve">否</w:t>
      </w:r>
      <w:r>
        <w:rPr>
          <w:rFonts w:ascii="宋体" w:hAnsi="宋体"/>
          <w:bCs/>
          <w:sz w:val="24"/>
          <w:highlight w:val="none"/>
        </w:rPr>
      </w:r>
      <w:r/>
    </w:p>
    <w:p>
      <w:pPr>
        <w:pStyle w:val="830"/>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rPr>
          <w:rFonts w:ascii="宋体" w:hAnsi="宋体"/>
          <w:bCs/>
          <w:sz w:val="24"/>
          <w:highlight w:val="none"/>
          <w:u w:val="single"/>
        </w:rPr>
      </w:r>
      <w:r/>
    </w:p>
    <w:p>
      <w:pPr>
        <w:pStyle w:val="830"/>
        <w:numPr>
          <w:ilvl w:val="0"/>
          <w:numId w:val="4"/>
        </w:numPr>
        <w:ind w:left="0" w:firstLine="480"/>
        <w:spacing w:line="360" w:lineRule="auto"/>
        <w:rPr>
          <w:rFonts w:hint="eastAsia" w:ascii="宋体" w:hAnsi="宋体"/>
          <w:bCs/>
          <w:sz w:val="24"/>
          <w:highlight w:val="none"/>
          <w:u w:val="single"/>
        </w:rPr>
      </w:pPr>
      <w:r>
        <w:rPr>
          <w:rFonts w:hint="eastAsia" w:ascii="宋体" w:hAnsi="宋体"/>
          <w:bCs/>
          <w:sz w:val="24"/>
          <w:highlight w:val="none"/>
        </w:rPr>
        <w:t xml:space="preserve">履约验收时间：</w:t>
      </w:r>
      <w:r>
        <w:rPr>
          <w:rFonts w:hint="eastAsia" w:ascii="宋体" w:hAnsi="宋体"/>
          <w:bCs/>
          <w:sz w:val="24"/>
          <w:highlight w:val="none"/>
          <w:u w:val="single"/>
        </w:rPr>
        <w:t xml:space="preserve">供应商提出验收申请之日起</w:t>
      </w:r>
      <w:r>
        <w:rPr>
          <w:rFonts w:hint="eastAsia" w:ascii="宋体" w:hAnsi="宋体"/>
          <w:bCs/>
          <w:sz w:val="24"/>
          <w:highlight w:val="none"/>
          <w:u w:val="single"/>
          <w:lang w:val="en-US" w:eastAsia="zh-CN"/>
        </w:rPr>
        <w:t xml:space="preserve">10</w:t>
      </w:r>
      <w:r>
        <w:rPr>
          <w:rFonts w:hint="eastAsia" w:ascii="宋体" w:hAnsi="宋体"/>
          <w:bCs/>
          <w:sz w:val="24"/>
          <w:highlight w:val="none"/>
          <w:u w:val="single"/>
        </w:rPr>
        <w:t xml:space="preserve">日内组织验收</w:t>
      </w:r>
      <w:r>
        <w:rPr>
          <w:rFonts w:hint="eastAsia" w:ascii="宋体" w:hAnsi="宋体"/>
          <w:bCs/>
          <w:sz w:val="24"/>
          <w:highlight w:val="none"/>
          <w:u w:val="single"/>
        </w:rPr>
      </w:r>
      <w:r/>
    </w:p>
    <w:p>
      <w:pPr>
        <w:pStyle w:val="830"/>
        <w:numPr>
          <w:ilvl w:val="0"/>
          <w:numId w:val="0"/>
        </w:numPr>
        <w:ind w:left="480"/>
        <w:spacing w:line="360" w:lineRule="auto"/>
        <w:rPr>
          <w:rFonts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         </w:t>
      </w:r>
      <w:r>
        <w:rPr>
          <w:rFonts w:ascii="宋体" w:hAnsi="宋体"/>
          <w:bCs/>
          <w:sz w:val="24"/>
          <w:highlight w:val="none"/>
        </w:rPr>
      </w:r>
      <w:r/>
    </w:p>
    <w:p>
      <w:pPr>
        <w:pStyle w:val="830"/>
        <w:spacing w:line="360" w:lineRule="auto"/>
        <w:rPr>
          <w:rFonts w:ascii="宋体" w:hAnsi="宋体"/>
          <w:bCs/>
          <w:sz w:val="24"/>
          <w:highlight w:val="none"/>
        </w:rPr>
      </w:pPr>
      <w:r>
        <w:rPr>
          <w:rFonts w:ascii="Wingdings" w:hAnsi="Wingdings" w:eastAsia="Wingdings" w:cs="Wingdings"/>
          <w:sz w:val="24"/>
          <w:highlight w:val="none"/>
        </w:rPr>
        <w:t xml:space="preserve">þ</w:t>
      </w:r>
      <w:r>
        <w:rPr>
          <w:rFonts w:hint="eastAsia" w:ascii="宋体" w:hAnsi="宋体"/>
          <w:bCs/>
          <w:sz w:val="24"/>
          <w:highlight w:val="none"/>
        </w:rPr>
        <w:t xml:space="preserve">分期/分项验收：</w:t>
      </w:r>
      <w:r>
        <w:rPr>
          <w:rFonts w:hint="eastAsia" w:ascii="宋体" w:hAnsi="宋体"/>
          <w:bCs/>
          <w:sz w:val="24"/>
          <w:highlight w:val="none"/>
          <w:u w:val="single"/>
        </w:rPr>
        <w:t xml:space="preserve">开箱验收/初步验收/最终验收</w:t>
      </w:r>
      <w:r>
        <w:rPr>
          <w:rFonts w:ascii="宋体" w:hAnsi="宋体"/>
          <w:bCs/>
          <w:sz w:val="24"/>
          <w:highlight w:val="none"/>
        </w:rPr>
      </w:r>
      <w:r/>
    </w:p>
    <w:p>
      <w:pPr>
        <w:pStyle w:val="830"/>
        <w:ind w:firstLine="480"/>
        <w:spacing w:line="360" w:lineRule="auto"/>
        <w:rPr>
          <w:rFonts w:hint="eastAsia" w:ascii="宋体" w:hAnsi="宋体"/>
          <w:bCs/>
          <w:sz w:val="24"/>
          <w:highlight w:val="none"/>
        </w:rPr>
      </w:pPr>
      <w:r>
        <w:rPr>
          <w:rFonts w:hint="eastAsia" w:ascii="宋体" w:hAnsi="宋体"/>
          <w:bCs/>
          <w:sz w:val="24"/>
          <w:highlight w:val="none"/>
        </w:rPr>
        <w:t xml:space="preserve">（4）履约验收程序：开箱验收：依照招标文件要求对合同标的的型号、规格、数量、外型、外观、包装及资料、文件（如装箱单、保修单、随箱介质等）进行验收。甲乙双方共同进行开箱检查，出现损坏、数量不全或合同标的不对等问题时，由乙方负责解决。</w:t>
      </w:r>
      <w:r>
        <w:rPr>
          <w:rFonts w:hint="eastAsia" w:ascii="宋体" w:hAnsi="宋体"/>
          <w:bCs/>
          <w:sz w:val="24"/>
          <w:highlight w:val="none"/>
        </w:rPr>
      </w:r>
      <w:r/>
    </w:p>
    <w:p>
      <w:pPr>
        <w:pStyle w:val="830"/>
        <w:ind w:firstLine="480"/>
        <w:spacing w:line="360" w:lineRule="auto"/>
        <w:rPr>
          <w:rFonts w:hint="eastAsia" w:ascii="宋体" w:hAnsi="宋体"/>
          <w:bCs/>
          <w:sz w:val="24"/>
          <w:highlight w:val="none"/>
        </w:rPr>
      </w:pPr>
      <w:r>
        <w:rPr>
          <w:rFonts w:hint="eastAsia" w:ascii="宋体" w:hAnsi="宋体"/>
          <w:bCs/>
          <w:sz w:val="24"/>
          <w:highlight w:val="none"/>
        </w:rPr>
        <w:t xml:space="preserve">初步验收：合同标的安装调试是否合格、是否具备运行条件等。验收合格后甲方应在初步验收报告上签字盖章。</w:t>
      </w:r>
      <w:r>
        <w:rPr>
          <w:rFonts w:hint="eastAsia" w:ascii="宋体" w:hAnsi="宋体"/>
          <w:bCs/>
          <w:sz w:val="24"/>
          <w:highlight w:val="none"/>
        </w:rPr>
      </w:r>
      <w:r/>
    </w:p>
    <w:p>
      <w:pPr>
        <w:pStyle w:val="830"/>
        <w:ind w:firstLine="480"/>
        <w:spacing w:line="360" w:lineRule="auto"/>
        <w:rPr>
          <w:rFonts w:ascii="宋体" w:hAnsi="宋体"/>
          <w:bCs/>
          <w:sz w:val="24"/>
          <w:highlight w:val="none"/>
        </w:rPr>
      </w:pPr>
      <w:r>
        <w:rPr>
          <w:rFonts w:hint="eastAsia" w:ascii="宋体" w:hAnsi="宋体"/>
          <w:bCs/>
          <w:sz w:val="24"/>
          <w:highlight w:val="none"/>
        </w:rPr>
        <w:t xml:space="preserve">最终验收：初步验收合格且项目运行满30日后，甲方组织对合同标的的质量及使用状况等进行最终验收。验收合格后甲方应在最终验收报告上签字盖章。</w:t>
      </w:r>
      <w:r>
        <w:rPr>
          <w:rFonts w:ascii="宋体" w:hAnsi="宋体"/>
          <w:bCs/>
          <w:sz w:val="24"/>
          <w:highlight w:val="none"/>
        </w:rPr>
      </w:r>
      <w:r/>
    </w:p>
    <w:p>
      <w:pPr>
        <w:pStyle w:val="830"/>
        <w:numPr>
          <w:ilvl w:val="0"/>
          <w:numId w:val="3"/>
        </w:numPr>
        <w:ind w:left="0" w:firstLine="480"/>
        <w:spacing w:line="360" w:lineRule="auto"/>
        <w:rPr>
          <w:rFonts w:hint="eastAsia" w:ascii="宋体" w:hAnsi="宋体"/>
          <w:bCs/>
          <w:sz w:val="24"/>
          <w:highlight w:val="none"/>
          <w:u w:val="single"/>
        </w:rPr>
      </w:pPr>
      <w:r>
        <w:rPr>
          <w:rFonts w:hint="eastAsia" w:ascii="宋体" w:hAnsi="宋体"/>
          <w:bCs/>
          <w:sz w:val="24"/>
          <w:highlight w:val="none"/>
        </w:rPr>
        <w:t xml:space="preserve">履约验收的内容：</w:t>
      </w:r>
      <w:r>
        <w:rPr>
          <w:rFonts w:hint="eastAsia" w:ascii="宋体" w:hAnsi="宋体"/>
          <w:bCs/>
          <w:sz w:val="24"/>
          <w:highlight w:val="none"/>
          <w:u w:val="single"/>
        </w:rPr>
        <w:t xml:space="preserve">应当包括每一项技术和商务要求的履约情况</w:t>
      </w:r>
      <w:r>
        <w:rPr>
          <w:rFonts w:hint="eastAsia" w:ascii="宋体" w:hAnsi="宋体"/>
          <w:bCs/>
          <w:sz w:val="24"/>
          <w:highlight w:val="none"/>
          <w:u w:val="single"/>
          <w:lang w:eastAsia="zh-CN"/>
        </w:rPr>
        <w:t xml:space="preserve">。</w:t>
      </w:r>
      <w:r>
        <w:rPr>
          <w:rFonts w:hint="eastAsia" w:ascii="宋体" w:hAnsi="宋体"/>
          <w:bCs/>
          <w:sz w:val="24"/>
          <w:highlight w:val="none"/>
          <w:u w:val="single"/>
        </w:rPr>
      </w:r>
      <w:r/>
    </w:p>
    <w:p>
      <w:pPr>
        <w:pStyle w:val="830"/>
        <w:numPr>
          <w:ilvl w:val="0"/>
          <w:numId w:val="0"/>
        </w:numPr>
        <w:ind w:left="480"/>
        <w:spacing w:line="360" w:lineRule="auto"/>
        <w:rPr>
          <w:rFonts w:ascii="宋体" w:hAnsi="宋体"/>
          <w:bCs/>
          <w:sz w:val="24"/>
          <w:highlight w:val="none"/>
          <w:u w:val="single"/>
        </w:rPr>
      </w:pPr>
      <w:r>
        <w:rPr>
          <w:rFonts w:hint="eastAsia" w:ascii="宋体" w:hAnsi="宋体"/>
          <w:bCs/>
          <w:sz w:val="24"/>
          <w:highlight w:val="none"/>
        </w:rPr>
        <w:t xml:space="preserve">（6）履约验收标准：</w:t>
      </w:r>
      <w:r>
        <w:rPr>
          <w:rFonts w:hint="eastAsia" w:ascii="宋体" w:hAnsi="宋体"/>
          <w:bCs/>
          <w:sz w:val="24"/>
          <w:highlight w:val="none"/>
          <w:u w:val="single"/>
        </w:rPr>
        <w:t xml:space="preserve">招标文件技术要求、商务要求；乙方投标文件中的技术响应、商务响应及服务承诺；《第二节 政府采购合同通用条款》8.2款。</w:t>
      </w:r>
      <w:r>
        <w:rPr>
          <w:rFonts w:ascii="宋体" w:hAnsi="宋体"/>
          <w:bCs/>
          <w:sz w:val="24"/>
          <w:highlight w:val="none"/>
          <w:u w:val="single"/>
        </w:rPr>
      </w:r>
      <w:r/>
    </w:p>
    <w:p>
      <w:pPr>
        <w:pStyle w:val="830"/>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þ</w:t>
      </w:r>
      <w:r>
        <w:rPr>
          <w:rFonts w:hint="eastAsia" w:ascii="宋体" w:hAnsi="宋体" w:cs="宋体"/>
          <w:bCs/>
          <w:sz w:val="24"/>
          <w:highlight w:val="none"/>
        </w:rPr>
        <w:t xml:space="preserve">否</w:t>
      </w:r>
      <w:r>
        <w:rPr>
          <w:rFonts w:ascii="宋体" w:hAnsi="宋体" w:cs="宋体"/>
          <w:sz w:val="24"/>
          <w:highlight w:val="none"/>
        </w:rPr>
      </w:r>
      <w:r/>
    </w:p>
    <w:p>
      <w:pPr>
        <w:pStyle w:val="830"/>
        <w:ind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cs="宋体"/>
          <w:bCs/>
          <w:sz w:val="24"/>
          <w:highlight w:val="none"/>
          <w:u w:val="single"/>
        </w:rPr>
        <w:t xml:space="preserve">（产权过户登记等）</w:t>
      </w:r>
      <w:r>
        <w:rPr>
          <w:rFonts w:ascii="宋体" w:hAnsi="宋体" w:cs="宋体"/>
          <w:bCs/>
          <w:sz w:val="24"/>
          <w:highlight w:val="none"/>
          <w:u w:val="single"/>
        </w:rPr>
      </w:r>
      <w:r/>
    </w:p>
    <w:p>
      <w:pPr>
        <w:pStyle w:val="830"/>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组成合同的文件</w:t>
      </w:r>
      <w:r>
        <w:rPr>
          <w:rFonts w:ascii="宋体" w:hAnsi="宋体"/>
          <w:b/>
          <w:sz w:val="24"/>
          <w:highlight w:val="none"/>
        </w:rPr>
      </w:r>
      <w:r/>
    </w:p>
    <w:p>
      <w:pPr>
        <w:pStyle w:val="8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本协议书与下列文件一起构成合同文件，如下述文件之间有任何抵触、矛盾或歧义，应按以下顺序解释：</w:t>
      </w:r>
      <w:r>
        <w:rPr>
          <w:rFonts w:ascii="宋体" w:hAnsi="宋体"/>
          <w:color w:val="000000"/>
          <w:sz w:val="24"/>
          <w:highlight w:val="none"/>
        </w:rPr>
      </w:r>
      <w:r/>
    </w:p>
    <w:p>
      <w:pPr>
        <w:pStyle w:val="830"/>
        <w:spacing w:line="360" w:lineRule="auto"/>
        <w:rPr>
          <w:rFonts w:hint="eastAsia" w:ascii="宋体" w:hAnsi="宋体"/>
          <w:color w:val="000000"/>
          <w:sz w:val="24"/>
          <w:highlight w:val="none"/>
        </w:rPr>
      </w:pPr>
      <w:r>
        <w:rPr>
          <w:rFonts w:hint="eastAsia" w:ascii="宋体" w:hAnsi="宋体"/>
          <w:color w:val="000000"/>
          <w:sz w:val="24"/>
          <w:highlight w:val="none"/>
        </w:rPr>
        <w:t xml:space="preserve">（1）政府采购合同协议书及其变更、补充协议</w:t>
      </w:r>
      <w:r>
        <w:rPr>
          <w:rFonts w:hint="eastAsia" w:ascii="宋体" w:hAnsi="宋体"/>
          <w:color w:val="000000"/>
          <w:sz w:val="24"/>
          <w:highlight w:val="none"/>
        </w:rPr>
      </w:r>
      <w:r/>
    </w:p>
    <w:p>
      <w:pPr>
        <w:pStyle w:val="830"/>
        <w:spacing w:line="360" w:lineRule="auto"/>
        <w:rPr>
          <w:rFonts w:hint="eastAsia" w:ascii="宋体" w:hAnsi="宋体"/>
          <w:color w:val="000000"/>
          <w:sz w:val="24"/>
          <w:highlight w:val="none"/>
        </w:rPr>
      </w:pPr>
      <w:r>
        <w:rPr>
          <w:rFonts w:hint="eastAsia" w:ascii="宋体" w:hAnsi="宋体"/>
          <w:color w:val="000000"/>
          <w:sz w:val="24"/>
          <w:highlight w:val="none"/>
        </w:rPr>
        <w:t xml:space="preserve">（2）政府采购合同专用条款</w:t>
      </w:r>
      <w:r>
        <w:rPr>
          <w:rFonts w:hint="eastAsia" w:ascii="宋体" w:hAnsi="宋体"/>
          <w:color w:val="000000"/>
          <w:sz w:val="24"/>
          <w:highlight w:val="none"/>
        </w:rPr>
      </w:r>
      <w:r/>
    </w:p>
    <w:p>
      <w:pPr>
        <w:pStyle w:val="830"/>
        <w:spacing w:line="360" w:lineRule="auto"/>
        <w:rPr>
          <w:rFonts w:hint="eastAsia" w:ascii="宋体" w:hAnsi="宋体"/>
          <w:color w:val="000000"/>
          <w:sz w:val="24"/>
          <w:highlight w:val="none"/>
        </w:rPr>
      </w:pPr>
      <w:r>
        <w:rPr>
          <w:rFonts w:hint="eastAsia" w:ascii="宋体" w:hAnsi="宋体"/>
          <w:color w:val="000000"/>
          <w:sz w:val="24"/>
          <w:highlight w:val="none"/>
        </w:rPr>
        <w:t xml:space="preserve">（3）政府采购合同通用条款</w:t>
      </w:r>
      <w:r>
        <w:rPr>
          <w:rFonts w:hint="eastAsia" w:ascii="宋体" w:hAnsi="宋体"/>
          <w:color w:val="000000"/>
          <w:sz w:val="24"/>
          <w:highlight w:val="none"/>
        </w:rPr>
      </w:r>
      <w:r/>
    </w:p>
    <w:p>
      <w:pPr>
        <w:pStyle w:val="830"/>
        <w:spacing w:line="360" w:lineRule="auto"/>
        <w:rPr>
          <w:rFonts w:hint="eastAsia" w:ascii="宋体" w:hAnsi="宋体"/>
          <w:color w:val="000000"/>
          <w:sz w:val="24"/>
          <w:highlight w:val="none"/>
        </w:rPr>
      </w:pPr>
      <w:r>
        <w:rPr>
          <w:rFonts w:hint="eastAsia" w:ascii="宋体" w:hAnsi="宋体"/>
          <w:color w:val="000000"/>
          <w:sz w:val="24"/>
          <w:highlight w:val="none"/>
        </w:rPr>
        <w:t xml:space="preserve">（4）中标（成交）通知书</w:t>
      </w:r>
      <w:r>
        <w:rPr>
          <w:rFonts w:hint="eastAsia" w:ascii="宋体" w:hAnsi="宋体"/>
          <w:color w:val="000000"/>
          <w:sz w:val="24"/>
          <w:highlight w:val="none"/>
        </w:rPr>
      </w:r>
      <w:r/>
    </w:p>
    <w:p>
      <w:pPr>
        <w:pStyle w:val="830"/>
        <w:spacing w:line="360" w:lineRule="auto"/>
        <w:rPr>
          <w:rFonts w:hint="eastAsia" w:ascii="宋体" w:hAnsi="宋体"/>
          <w:color w:val="000000"/>
          <w:sz w:val="24"/>
          <w:highlight w:val="none"/>
        </w:rPr>
      </w:pPr>
      <w:r>
        <w:rPr>
          <w:rFonts w:hint="eastAsia" w:ascii="宋体" w:hAnsi="宋体"/>
          <w:color w:val="000000"/>
          <w:sz w:val="24"/>
          <w:highlight w:val="none"/>
        </w:rPr>
        <w:t xml:space="preserve">（5）投标（响应）文件</w:t>
      </w:r>
      <w:r>
        <w:rPr>
          <w:rFonts w:hint="eastAsia" w:ascii="宋体" w:hAnsi="宋体"/>
          <w:color w:val="000000"/>
          <w:sz w:val="24"/>
          <w:highlight w:val="none"/>
        </w:rPr>
      </w:r>
      <w:r/>
    </w:p>
    <w:p>
      <w:pPr>
        <w:pStyle w:val="830"/>
        <w:spacing w:line="360" w:lineRule="auto"/>
        <w:rPr>
          <w:rFonts w:hint="eastAsia" w:ascii="宋体" w:hAnsi="宋体"/>
          <w:color w:val="000000"/>
          <w:sz w:val="24"/>
          <w:highlight w:val="none"/>
        </w:rPr>
      </w:pPr>
      <w:r>
        <w:rPr>
          <w:rFonts w:hint="eastAsia" w:ascii="宋体" w:hAnsi="宋体"/>
          <w:color w:val="000000"/>
          <w:sz w:val="24"/>
          <w:highlight w:val="none"/>
        </w:rPr>
        <w:t xml:space="preserve">（6）采购文件</w:t>
      </w:r>
      <w:r>
        <w:rPr>
          <w:rFonts w:hint="eastAsia" w:ascii="宋体" w:hAnsi="宋体"/>
          <w:color w:val="000000"/>
          <w:sz w:val="24"/>
          <w:highlight w:val="none"/>
        </w:rPr>
      </w:r>
      <w:r/>
    </w:p>
    <w:p>
      <w:pPr>
        <w:pStyle w:val="830"/>
        <w:spacing w:line="360" w:lineRule="auto"/>
        <w:rPr>
          <w:rFonts w:hint="eastAsia" w:ascii="宋体" w:hAnsi="宋体"/>
          <w:color w:val="000000"/>
          <w:sz w:val="24"/>
          <w:highlight w:val="none"/>
        </w:rPr>
      </w:pPr>
      <w:r>
        <w:rPr>
          <w:rFonts w:hint="eastAsia" w:ascii="宋体" w:hAnsi="宋体"/>
          <w:color w:val="000000"/>
          <w:sz w:val="24"/>
          <w:highlight w:val="none"/>
        </w:rPr>
        <w:t xml:space="preserve">（7）有关技术文件，图纸</w:t>
      </w:r>
      <w:r>
        <w:rPr>
          <w:rFonts w:hint="eastAsia" w:ascii="宋体" w:hAnsi="宋体"/>
          <w:color w:val="000000"/>
          <w:sz w:val="24"/>
          <w:highlight w:val="none"/>
        </w:rPr>
      </w:r>
      <w:r/>
    </w:p>
    <w:p>
      <w:pPr>
        <w:pStyle w:val="830"/>
        <w:spacing w:line="360" w:lineRule="auto"/>
        <w:rPr>
          <w:rFonts w:hint="eastAsia" w:ascii="宋体" w:hAnsi="宋体"/>
          <w:color w:val="000000"/>
          <w:sz w:val="24"/>
          <w:highlight w:val="none"/>
        </w:rPr>
      </w:pPr>
      <w:r>
        <w:rPr>
          <w:rFonts w:hint="eastAsia" w:ascii="宋体" w:hAnsi="宋体"/>
          <w:color w:val="000000"/>
          <w:sz w:val="24"/>
          <w:highlight w:val="none"/>
        </w:rPr>
        <w:t xml:space="preserve">（8）国家法律、行政法规和规章制度规定或合同约定的作为合同组成部分的其他文件</w:t>
      </w:r>
      <w:r>
        <w:rPr>
          <w:rFonts w:hint="eastAsia" w:ascii="宋体" w:hAnsi="宋体"/>
          <w:color w:val="000000"/>
          <w:sz w:val="24"/>
          <w:highlight w:val="none"/>
        </w:rPr>
      </w:r>
      <w:r/>
    </w:p>
    <w:p>
      <w:pPr>
        <w:pStyle w:val="830"/>
        <w:ind w:left="422"/>
        <w:spacing w:line="400" w:lineRule="exact"/>
        <w:rPr>
          <w:rFonts w:ascii="宋体" w:hAnsi="宋体"/>
          <w:b/>
          <w:color w:val="000000"/>
          <w:szCs w:val="21"/>
          <w:highlight w:val="none"/>
        </w:rPr>
      </w:pPr>
      <w:r>
        <w:rPr>
          <w:rFonts w:hint="eastAsia" w:ascii="宋体" w:hAnsi="宋体"/>
          <w:b/>
          <w:color w:val="000000"/>
          <w:szCs w:val="21"/>
          <w:highlight w:val="none"/>
        </w:rPr>
        <w:t xml:space="preserve">6.</w:t>
      </w:r>
      <w:r>
        <w:rPr>
          <w:rFonts w:hint="eastAsia" w:ascii="宋体" w:hAnsi="宋体"/>
          <w:b/>
          <w:color w:val="000000"/>
          <w:sz w:val="24"/>
          <w:highlight w:val="none"/>
        </w:rPr>
        <w:t xml:space="preserve">合同生效</w:t>
      </w:r>
      <w:r>
        <w:rPr>
          <w:rFonts w:ascii="宋体" w:hAnsi="宋体"/>
          <w:b/>
          <w:color w:val="000000"/>
          <w:szCs w:val="21"/>
          <w:highlight w:val="none"/>
        </w:rPr>
      </w:r>
      <w:r/>
    </w:p>
    <w:p>
      <w:pPr>
        <w:pStyle w:val="8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本合同自</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日生效。</w:t>
      </w:r>
      <w:r>
        <w:rPr>
          <w:rFonts w:ascii="宋体" w:hAnsi="宋体"/>
          <w:color w:val="000000"/>
          <w:sz w:val="24"/>
          <w:highlight w:val="none"/>
        </w:rPr>
      </w:r>
      <w:r/>
    </w:p>
    <w:p>
      <w:pPr>
        <w:pStyle w:val="830"/>
        <w:ind w:left="482"/>
        <w:spacing w:line="360" w:lineRule="auto"/>
        <w:rPr>
          <w:rFonts w:ascii="宋体" w:hAnsi="宋体"/>
          <w:b/>
          <w:color w:val="000000"/>
          <w:sz w:val="24"/>
          <w:highlight w:val="none"/>
        </w:rPr>
      </w:pPr>
      <w:r>
        <w:rPr>
          <w:rFonts w:hint="eastAsia" w:ascii="宋体" w:hAnsi="宋体"/>
          <w:b/>
          <w:color w:val="000000"/>
          <w:sz w:val="24"/>
          <w:highlight w:val="none"/>
        </w:rPr>
        <w:t xml:space="preserve">7.合同份数</w:t>
      </w:r>
      <w:r>
        <w:rPr>
          <w:rFonts w:ascii="宋体" w:hAnsi="宋体"/>
          <w:b/>
          <w:color w:val="000000"/>
          <w:sz w:val="24"/>
          <w:highlight w:val="none"/>
        </w:rPr>
      </w:r>
      <w:r/>
    </w:p>
    <w:p>
      <w:pPr>
        <w:pStyle w:val="83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rPr>
          <w:rFonts w:ascii="宋体" w:hAnsi="宋体"/>
          <w:color w:val="000000"/>
          <w:szCs w:val="21"/>
          <w:highlight w:val="none"/>
        </w:rPr>
      </w:r>
      <w:r/>
    </w:p>
    <w:p>
      <w:pPr>
        <w:pStyle w:val="83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83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30"/>
        <w:ind w:firstLine="420"/>
        <w:spacing w:line="400" w:lineRule="exact"/>
        <w:rPr>
          <w:color w:val="000000"/>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rPr>
      </w:r>
      <w:r/>
    </w:p>
    <w:p>
      <w:pPr>
        <w:pStyle w:val="830"/>
        <w:ind w:firstLine="480"/>
        <w:spacing w:line="360" w:lineRule="auto"/>
        <w:rPr>
          <w:rFonts w:ascii="宋体" w:hAnsi="宋体"/>
          <w:color w:val="000000"/>
          <w:sz w:val="24"/>
          <w:highlight w:val="none"/>
        </w:rPr>
      </w:pPr>
      <w:r>
        <w:rPr>
          <w:rFonts w:ascii="宋体" w:hAnsi="宋体"/>
          <w:color w:val="000000"/>
          <w:sz w:val="24"/>
          <w:highlight w:val="none"/>
        </w:rPr>
      </w:r>
      <w:r/>
    </w:p>
    <w:p>
      <w:pPr>
        <w:pStyle w:val="830"/>
        <w:spacing w:line="360" w:lineRule="auto"/>
        <w:rPr>
          <w:rFonts w:ascii="宋体" w:hAnsi="宋体"/>
          <w:color w:val="000000"/>
          <w:sz w:val="24"/>
          <w:highlight w:val="none"/>
        </w:rPr>
      </w:pPr>
      <w:r>
        <w:rPr>
          <w:rFonts w:ascii="宋体" w:hAnsi="宋体"/>
          <w:color w:val="000000"/>
          <w:sz w:val="24"/>
          <w:highlight w:val="none"/>
        </w:rPr>
      </w:r>
      <w:r/>
    </w:p>
    <w:p>
      <w:pPr>
        <w:pStyle w:val="830"/>
        <w:ind w:firstLine="480"/>
        <w:jc w:val="left"/>
        <w:spacing w:line="360" w:lineRule="auto"/>
        <w:rPr>
          <w:rFonts w:ascii="宋体" w:hAnsi="宋体"/>
          <w:color w:val="000000"/>
          <w:sz w:val="24"/>
          <w:highlight w:val="none"/>
          <w:u w:val="single"/>
        </w:rPr>
      </w:pPr>
      <w:r>
        <w:rPr>
          <w:rFonts w:hint="eastAsia"/>
          <w:color w:val="000000"/>
          <w:sz w:val="24"/>
          <w:highlight w:val="none"/>
        </w:rPr>
        <w:br w:type="page" w:clear="all"/>
      </w:r>
      <w:r>
        <w:rPr>
          <w:rFonts w:ascii="宋体" w:hAnsi="宋体"/>
          <w:color w:val="000000"/>
          <w:sz w:val="24"/>
          <w:highlight w:val="none"/>
          <w:u w:val="single"/>
        </w:rPr>
      </w:r>
      <w:r/>
    </w:p>
    <w:p>
      <w:pPr>
        <w:pStyle w:val="830"/>
        <w:ind w:firstLine="420"/>
        <w:spacing w:line="360" w:lineRule="auto"/>
        <w:rPr>
          <w:szCs w:val="21"/>
          <w:highlight w:val="none"/>
        </w:rPr>
      </w:pPr>
      <w:r>
        <w:rPr>
          <w:szCs w:val="21"/>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5031" w:type="dxa"/>
            <w:vAlign w:val="center"/>
            <w:textDirection w:val="lrTb"/>
            <w:noWrap w:val="false"/>
          </w:tcPr>
          <w:p>
            <w:pPr>
              <w:pStyle w:val="830"/>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rPr>
                <w:sz w:val="24"/>
                <w:highlight w:val="none"/>
              </w:rPr>
            </w:r>
            <w:r/>
          </w:p>
        </w:tc>
        <w:tc>
          <w:tcPr>
            <w:gridSpan w:val="2"/>
            <w:tcW w:w="4789" w:type="dxa"/>
            <w:vAlign w:val="center"/>
            <w:textDirection w:val="lrTb"/>
            <w:noWrap w:val="false"/>
          </w:tcPr>
          <w:p>
            <w:pPr>
              <w:pStyle w:val="830"/>
              <w:jc w:val="center"/>
              <w:spacing w:line="360" w:lineRule="auto"/>
              <w:rPr>
                <w:sz w:val="24"/>
                <w:highlight w:val="none"/>
              </w:rPr>
            </w:pPr>
            <w:r>
              <w:rPr>
                <w:sz w:val="24"/>
                <w:highlight w:val="none"/>
              </w:rPr>
              <w:t xml:space="preserve">乙方</w:t>
            </w:r>
            <w:r>
              <w:rPr>
                <w:rFonts w:hint="eastAsia"/>
                <w:sz w:val="24"/>
                <w:highlight w:val="none"/>
              </w:rPr>
              <w:t xml:space="preserve">（供应商）</w:t>
            </w:r>
            <w:r>
              <w:rPr>
                <w:sz w:val="24"/>
                <w:highlight w:val="none"/>
              </w:rPr>
            </w:r>
            <w:r/>
          </w:p>
        </w:tc>
      </w:tr>
      <w:tr>
        <w:trPr>
          <w:trHeight w:val="917"/>
        </w:trPr>
        <w:tc>
          <w:tcPr>
            <w:tcW w:w="2211" w:type="dxa"/>
            <w:vAlign w:val="center"/>
            <w:textDirection w:val="lrTb"/>
            <w:noWrap w:val="false"/>
          </w:tcPr>
          <w:p>
            <w:pPr>
              <w:pStyle w:val="830"/>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cantSplit/>
          <w:trHeight w:val="1171"/>
        </w:trPr>
        <w:tc>
          <w:tcPr>
            <w:tcW w:w="2211" w:type="dxa"/>
            <w:vAlign w:val="center"/>
            <w:vMerge w:val="restart"/>
            <w:textDirection w:val="lrTb"/>
            <w:noWrap w:val="false"/>
          </w:tcPr>
          <w:p>
            <w:pPr>
              <w:pStyle w:val="830"/>
              <w:jc w:val="center"/>
              <w:spacing w:line="360" w:lineRule="auto"/>
              <w:rPr>
                <w:sz w:val="24"/>
                <w:highlight w:val="none"/>
              </w:rPr>
            </w:pPr>
            <w:r>
              <w:rPr>
                <w:sz w:val="24"/>
                <w:highlight w:val="none"/>
              </w:rPr>
              <w:t xml:space="preserve">法定代表人</w:t>
            </w:r>
            <w:r>
              <w:rPr>
                <w:sz w:val="24"/>
                <w:highlight w:val="none"/>
              </w:rPr>
            </w:r>
            <w:r/>
          </w:p>
          <w:p>
            <w:pPr>
              <w:pStyle w:val="830"/>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rPr>
                <w:sz w:val="24"/>
                <w:highlight w:val="none"/>
              </w:rPr>
            </w:r>
            <w:r/>
          </w:p>
        </w:tc>
        <w:tc>
          <w:tcPr>
            <w:tcW w:w="2820" w:type="dxa"/>
            <w:vAlign w:val="center"/>
            <w:vMerge w:val="restart"/>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sz w:val="24"/>
                <w:highlight w:val="none"/>
              </w:rPr>
              <w:t xml:space="preserve">法定代表人</w:t>
            </w:r>
            <w:r>
              <w:rPr>
                <w:sz w:val="24"/>
                <w:highlight w:val="none"/>
              </w:rPr>
            </w:r>
            <w:r/>
          </w:p>
          <w:p>
            <w:pPr>
              <w:pStyle w:val="830"/>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rPr>
                <w:sz w:val="24"/>
                <w:highlight w:val="none"/>
              </w:rPr>
            </w:r>
            <w:r/>
          </w:p>
        </w:tc>
        <w:tc>
          <w:tcPr>
            <w:tcW w:w="2475" w:type="dxa"/>
            <w:vAlign w:val="center"/>
            <w:textDirection w:val="lrTb"/>
            <w:noWrap w:val="false"/>
          </w:tcPr>
          <w:p>
            <w:pPr>
              <w:pStyle w:val="830"/>
              <w:jc w:val="center"/>
              <w:spacing w:line="360" w:lineRule="auto"/>
              <w:rPr>
                <w:sz w:val="24"/>
                <w:highlight w:val="none"/>
              </w:rPr>
            </w:pPr>
            <w:r>
              <w:rPr>
                <w:sz w:val="24"/>
                <w:highlight w:val="none"/>
              </w:rPr>
            </w:r>
            <w:r/>
          </w:p>
        </w:tc>
      </w:tr>
      <w:tr>
        <w:trPr>
          <w:cantSplit/>
          <w:trHeight w:val="483"/>
        </w:trPr>
        <w:tc>
          <w:tcPr>
            <w:tcW w:w="2211" w:type="dxa"/>
            <w:vAlign w:val="center"/>
            <w:vMerge w:val="continue"/>
            <w:textDirection w:val="lrTb"/>
            <w:noWrap w:val="false"/>
          </w:tcPr>
          <w:p>
            <w:pPr>
              <w:pStyle w:val="830"/>
              <w:jc w:val="center"/>
              <w:spacing w:line="360" w:lineRule="auto"/>
              <w:rPr>
                <w:sz w:val="24"/>
                <w:highlight w:val="none"/>
              </w:rPr>
            </w:pPr>
            <w:r>
              <w:rPr>
                <w:sz w:val="24"/>
                <w:highlight w:val="none"/>
              </w:rPr>
            </w:r>
            <w:r/>
          </w:p>
        </w:tc>
        <w:tc>
          <w:tcPr>
            <w:tcW w:w="2820" w:type="dxa"/>
            <w:vAlign w:val="center"/>
            <w:vMerge w:val="continue"/>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rFonts w:hint="eastAsia"/>
                <w:sz w:val="24"/>
                <w:highlight w:val="none"/>
              </w:rPr>
              <w:t xml:space="preserve">拥有者性别</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rFonts w:hint="eastAsia"/>
                <w:sz w:val="24"/>
                <w:highlight w:val="none"/>
              </w:rPr>
              <w:t xml:space="preserve">住所</w:t>
            </w: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rFonts w:hint="eastAsia"/>
                <w:sz w:val="24"/>
                <w:highlight w:val="none"/>
              </w:rPr>
              <w:t xml:space="preserve">住所</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sz w:val="24"/>
                <w:highlight w:val="none"/>
              </w:rPr>
              <w:t xml:space="preserve">联 系 人</w:t>
            </w: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sz w:val="24"/>
                <w:highlight w:val="none"/>
              </w:rPr>
              <w:t xml:space="preserve">联 系 人</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sz w:val="24"/>
                <w:highlight w:val="none"/>
              </w:rPr>
              <w:t xml:space="preserve">联系电话</w:t>
            </w: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sz w:val="24"/>
                <w:highlight w:val="none"/>
              </w:rPr>
              <w:t xml:space="preserve">联系电话</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rFonts w:hint="eastAsia"/>
                <w:sz w:val="24"/>
                <w:highlight w:val="none"/>
              </w:rPr>
              <w:t xml:space="preserve">通信地址</w:t>
            </w: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rFonts w:hint="eastAsia"/>
                <w:sz w:val="24"/>
                <w:highlight w:val="none"/>
              </w:rPr>
              <w:t xml:space="preserve">通信地址</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sz w:val="24"/>
                <w:highlight w:val="none"/>
              </w:rPr>
              <w:t xml:space="preserve">邮政编码</w:t>
            </w: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sz w:val="24"/>
                <w:highlight w:val="none"/>
              </w:rPr>
              <w:t xml:space="preserve">邮政编码</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rFonts w:hint="eastAsia"/>
                <w:sz w:val="24"/>
                <w:highlight w:val="none"/>
              </w:rPr>
              <w:t xml:space="preserve">电子邮箱</w:t>
            </w: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rFonts w:hint="eastAsia"/>
                <w:sz w:val="24"/>
                <w:highlight w:val="none"/>
              </w:rPr>
              <w:t xml:space="preserve">电子邮箱</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rFonts w:hint="eastAsia"/>
                <w:sz w:val="24"/>
                <w:highlight w:val="none"/>
              </w:rPr>
              <w:t xml:space="preserve">统一社会信用代码</w:t>
            </w: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rFonts w:hint="eastAsia"/>
                <w:sz w:val="24"/>
                <w:highlight w:val="none"/>
              </w:rPr>
              <w:t xml:space="preserve">统一社会信用代码</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sz w:val="24"/>
                <w:highlight w:val="none"/>
              </w:rPr>
              <w:t xml:space="preserve">开户名称</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sz w:val="24"/>
                <w:highlight w:val="none"/>
              </w:rPr>
              <w:t xml:space="preserve">开户银行</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483"/>
        </w:trPr>
        <w:tc>
          <w:tcPr>
            <w:tcW w:w="2211" w:type="dxa"/>
            <w:vAlign w:val="center"/>
            <w:textDirection w:val="lrTb"/>
            <w:noWrap w:val="false"/>
          </w:tcPr>
          <w:p>
            <w:pPr>
              <w:pStyle w:val="830"/>
              <w:jc w:val="center"/>
              <w:spacing w:line="360" w:lineRule="auto"/>
              <w:rPr>
                <w:sz w:val="24"/>
                <w:highlight w:val="none"/>
              </w:rPr>
            </w:pPr>
            <w:r>
              <w:rPr>
                <w:sz w:val="24"/>
                <w:highlight w:val="none"/>
              </w:rPr>
            </w:r>
            <w:r/>
          </w:p>
        </w:tc>
        <w:tc>
          <w:tcPr>
            <w:tcW w:w="2820" w:type="dxa"/>
            <w:vAlign w:val="center"/>
            <w:textDirection w:val="lrTb"/>
            <w:noWrap w:val="false"/>
          </w:tcPr>
          <w:p>
            <w:pPr>
              <w:pStyle w:val="830"/>
              <w:jc w:val="center"/>
              <w:spacing w:line="360" w:lineRule="auto"/>
              <w:rPr>
                <w:sz w:val="24"/>
                <w:highlight w:val="none"/>
              </w:rPr>
            </w:pPr>
            <w:r>
              <w:rPr>
                <w:sz w:val="24"/>
                <w:highlight w:val="none"/>
              </w:rPr>
            </w:r>
            <w:r/>
          </w:p>
        </w:tc>
        <w:tc>
          <w:tcPr>
            <w:tcW w:w="2314" w:type="dxa"/>
            <w:vAlign w:val="center"/>
            <w:textDirection w:val="lrTb"/>
            <w:noWrap w:val="false"/>
          </w:tcPr>
          <w:p>
            <w:pPr>
              <w:pStyle w:val="830"/>
              <w:jc w:val="center"/>
              <w:spacing w:line="360" w:lineRule="auto"/>
              <w:rPr>
                <w:sz w:val="24"/>
                <w:highlight w:val="none"/>
              </w:rPr>
            </w:pPr>
            <w:r>
              <w:rPr>
                <w:sz w:val="24"/>
                <w:highlight w:val="none"/>
              </w:rPr>
              <w:t xml:space="preserve">银行账号</w:t>
            </w:r>
            <w:r>
              <w:rPr>
                <w:sz w:val="24"/>
                <w:highlight w:val="none"/>
              </w:rPr>
            </w:r>
            <w:r/>
          </w:p>
        </w:tc>
        <w:tc>
          <w:tcPr>
            <w:tcW w:w="2475" w:type="dxa"/>
            <w:vAlign w:val="center"/>
            <w:textDirection w:val="lrTb"/>
            <w:noWrap w:val="false"/>
          </w:tcPr>
          <w:p>
            <w:pPr>
              <w:pStyle w:val="830"/>
              <w:jc w:val="center"/>
              <w:spacing w:line="360" w:lineRule="auto"/>
              <w:rPr>
                <w:spacing w:val="20"/>
                <w:sz w:val="24"/>
                <w:highlight w:val="none"/>
              </w:rPr>
            </w:pPr>
            <w:r>
              <w:rPr>
                <w:spacing w:val="20"/>
                <w:sz w:val="24"/>
                <w:highlight w:val="none"/>
              </w:rPr>
            </w:r>
            <w:r/>
          </w:p>
        </w:tc>
      </w:tr>
      <w:tr>
        <w:trPr>
          <w:trHeight w:val="586"/>
        </w:trPr>
        <w:tc>
          <w:tcPr>
            <w:gridSpan w:val="4"/>
            <w:tcW w:w="9820" w:type="dxa"/>
            <w:vAlign w:val="center"/>
            <w:textDirection w:val="lrTb"/>
            <w:noWrap w:val="false"/>
          </w:tcPr>
          <w:p>
            <w:pPr>
              <w:pStyle w:val="830"/>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rPr>
                <w:spacing w:val="20"/>
                <w:sz w:val="24"/>
                <w:highlight w:val="none"/>
              </w:rPr>
            </w:r>
            <w:r/>
          </w:p>
        </w:tc>
      </w:tr>
    </w:tbl>
    <w:p>
      <w:pPr>
        <w:pStyle w:val="831"/>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Pr>
          <w:rFonts w:ascii="黑体" w:hAnsi="黑体" w:eastAsia="黑体"/>
          <w:sz w:val="28"/>
          <w:szCs w:val="28"/>
          <w:highlight w:val="none"/>
        </w:rPr>
      </w:r>
      <w:r/>
    </w:p>
    <w:p>
      <w:pPr>
        <w:pStyle w:val="830"/>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hint="eastAsia" w:ascii="宋体" w:hAnsi="宋体"/>
          <w:b/>
          <w:bCs/>
          <w:sz w:val="24"/>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1.1合同当事人</w:t>
      </w:r>
      <w:r>
        <w:rPr>
          <w:rFonts w:hint="eastAsia" w:ascii="宋体" w:hAnsi="宋体"/>
          <w:color w:val="000000"/>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hint="eastAsia" w:ascii="宋体" w:hAnsi="宋体"/>
          <w:szCs w:val="21"/>
          <w:highlight w:val="none"/>
        </w:rPr>
      </w:r>
      <w:r/>
    </w:p>
    <w:p>
      <w:pPr>
        <w:pStyle w:val="830"/>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hint="eastAsia" w:ascii="宋体" w:hAnsi="宋体"/>
          <w:szCs w:val="21"/>
          <w:highlight w:val="none"/>
        </w:rPr>
      </w:r>
      <w:r/>
    </w:p>
    <w:p>
      <w:pPr>
        <w:pStyle w:val="830"/>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hint="eastAsia" w:ascii="宋体" w:hAnsi="宋体"/>
          <w:szCs w:val="21"/>
          <w:highlight w:val="none"/>
        </w:rPr>
      </w:r>
      <w:r/>
    </w:p>
    <w:p>
      <w:pPr>
        <w:pStyle w:val="8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备品备件、工具、手册及</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none"/>
        </w:rPr>
      </w:r>
      <w:r/>
    </w:p>
    <w:p>
      <w:pPr>
        <w:pStyle w:val="8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30"/>
        <w:numPr>
          <w:ilvl w:val="0"/>
          <w:numId w:val="5"/>
        </w:numPr>
        <w:jc w:val="left"/>
        <w:spacing w:line="400" w:lineRule="exact"/>
        <w:rPr>
          <w:rFonts w:hint="eastAsia" w:ascii="宋体" w:hAnsi="宋体"/>
          <w:b/>
          <w:bCs/>
          <w:color w:val="000000"/>
          <w:sz w:val="24"/>
          <w:highlight w:val="none"/>
        </w:rPr>
      </w:pPr>
      <w:r>
        <w:rPr>
          <w:rFonts w:hint="eastAsia" w:ascii="宋体" w:hAnsi="宋体"/>
          <w:b/>
          <w:color w:val="000000"/>
          <w:sz w:val="24"/>
          <w:highlight w:val="none"/>
        </w:rPr>
        <w:t xml:space="preserve">合同标的及金额</w:t>
      </w:r>
      <w:r>
        <w:rPr>
          <w:rFonts w:hint="eastAsia" w:ascii="宋体" w:hAnsi="宋体"/>
          <w:b/>
          <w:bCs/>
          <w:color w:val="000000"/>
          <w:sz w:val="24"/>
          <w:highlight w:val="none"/>
        </w:rPr>
      </w:r>
      <w:r/>
    </w:p>
    <w:p>
      <w:pPr>
        <w:pStyle w:val="830"/>
        <w:ind w:firstLine="420"/>
        <w:jc w:val="left"/>
        <w:spacing w:line="400" w:lineRule="exact"/>
        <w:rPr>
          <w:rFonts w:hint="eastAsia"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hint="eastAsia" w:ascii="宋体" w:hAnsi="宋体"/>
          <w:b/>
          <w:bCs/>
          <w:i/>
          <w:iCs/>
          <w:color w:val="000000"/>
          <w:szCs w:val="21"/>
          <w:highlight w:val="none"/>
        </w:rPr>
      </w:r>
      <w:r/>
    </w:p>
    <w:p>
      <w:pPr>
        <w:pStyle w:val="830"/>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hint="eastAsia" w:ascii="宋体" w:hAnsi="宋体"/>
          <w:b/>
          <w:color w:val="000000"/>
          <w:sz w:val="24"/>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rFonts w:hint="eastAsia" w:ascii="宋体" w:hAnsi="宋体"/>
          <w:color w:val="000000"/>
          <w:szCs w:val="21"/>
          <w:highlight w:val="none"/>
        </w:rPr>
      </w:r>
      <w:r/>
    </w:p>
    <w:p>
      <w:pPr>
        <w:pStyle w:val="830"/>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hint="eastAsia" w:ascii="宋体" w:hAnsi="宋体"/>
          <w:b/>
          <w:bCs/>
          <w:color w:val="000000"/>
          <w:sz w:val="24"/>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4.3 甲方有权要求乙方对缺陷部分予以修复，并按合同约定享有货物保修及其他合同约定的权利。</w:t>
      </w:r>
      <w:r>
        <w:rPr>
          <w:rFonts w:hint="eastAsia" w:ascii="宋体" w:hAnsi="宋体"/>
          <w:color w:val="000000"/>
          <w:szCs w:val="21"/>
          <w:highlight w:val="none"/>
        </w:rPr>
      </w:r>
      <w:r/>
    </w:p>
    <w:p>
      <w:pPr>
        <w:pStyle w:val="830"/>
        <w:ind w:firstLine="420"/>
        <w:spacing w:line="400" w:lineRule="exact"/>
        <w:rPr>
          <w:rFonts w:hint="eastAsia" w:eastAsia="华文楷体"/>
          <w:highlight w:val="none"/>
        </w:rPr>
      </w:pPr>
      <w:r>
        <w:rPr>
          <w:rFonts w:hint="eastAsia" w:ascii="宋体" w:hAnsi="宋体"/>
          <w:color w:val="000000"/>
          <w:szCs w:val="21"/>
          <w:highlight w:val="none"/>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hint="eastAsia" w:eastAsia="华文楷体"/>
          <w:highlight w:val="none"/>
        </w:rPr>
      </w:r>
      <w:r/>
    </w:p>
    <w:p>
      <w:pPr>
        <w:pStyle w:val="83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4.5 甲方应当根据合同约定及时向乙方支付合同价款，不得以内部人员变更、履行内部付款流程等为由，拒绝或迟延支付。</w:t>
      </w:r>
      <w:r>
        <w:rPr>
          <w:rFonts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hint="eastAsia" w:ascii="宋体" w:hAnsi="宋体"/>
          <w:color w:val="000000"/>
          <w:szCs w:val="21"/>
          <w:highlight w:val="none"/>
        </w:rPr>
      </w:r>
      <w:r/>
    </w:p>
    <w:p>
      <w:pPr>
        <w:pStyle w:val="830"/>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hint="eastAsia" w:ascii="宋体" w:hAnsi="宋体"/>
          <w:b/>
          <w:bCs/>
          <w:color w:val="000000"/>
          <w:sz w:val="24"/>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5.1 签署合同后，乙方应确定项目负责人（或项目联系人），负责与本合同有关的事务。</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rPr>
      </w:r>
      <w:r/>
    </w:p>
    <w:p>
      <w:pPr>
        <w:pStyle w:val="835"/>
        <w:ind w:firstLine="369"/>
        <w:spacing w:after="0"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5.3乙方有权</w:t>
      </w:r>
      <w:r>
        <w:rPr>
          <w:rFonts w:hint="eastAsia" w:ascii="宋体" w:hAnsi="宋体" w:cs="宋体"/>
          <w:color w:val="000000"/>
          <w:szCs w:val="21"/>
          <w:highlight w:val="none"/>
        </w:rPr>
        <w:t xml:space="preserve">根据合同约定向甲方收取合同价款。</w:t>
      </w:r>
      <w:r>
        <w:rPr>
          <w:rFonts w:hint="eastAsia" w:ascii="宋体" w:hAnsi="宋体" w:cs="宋体"/>
          <w:color w:val="000000"/>
          <w:szCs w:val="21"/>
          <w:highlight w:val="none"/>
        </w:rPr>
      </w:r>
      <w:r/>
    </w:p>
    <w:p>
      <w:pPr>
        <w:pStyle w:val="835"/>
        <w:ind w:firstLine="369"/>
        <w:spacing w:after="0"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rFonts w:hint="eastAsia" w:ascii="宋体" w:hAnsi="宋体" w:cs="宋体"/>
          <w:color w:val="000000"/>
          <w:szCs w:val="21"/>
          <w:highlight w:val="none"/>
        </w:rPr>
      </w:r>
      <w:r/>
    </w:p>
    <w:p>
      <w:pPr>
        <w:pStyle w:val="830"/>
        <w:numPr>
          <w:ilvl w:val="0"/>
          <w:numId w:val="6"/>
        </w:numPr>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合同履行</w:t>
      </w:r>
      <w:r>
        <w:rPr>
          <w:rFonts w:hint="eastAsia" w:ascii="宋体" w:hAnsi="宋体"/>
          <w:b/>
          <w:bCs/>
          <w:color w:val="000000"/>
          <w:sz w:val="24"/>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hint="eastAsia" w:ascii="宋体" w:hAnsi="宋体"/>
          <w:color w:val="000000"/>
          <w:szCs w:val="21"/>
          <w:highlight w:val="none"/>
        </w:rPr>
      </w:r>
      <w:r/>
    </w:p>
    <w:p>
      <w:pPr>
        <w:pStyle w:val="830"/>
        <w:ind w:firstLine="420"/>
        <w:jc w:val="left"/>
        <w:spacing w:line="400" w:lineRule="exact"/>
        <w:rPr>
          <w:rFonts w:hint="eastAsia"/>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highlight w:val="none"/>
        </w:rPr>
      </w:r>
      <w:r/>
    </w:p>
    <w:p>
      <w:pPr>
        <w:pStyle w:val="83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hint="eastAsia" w:ascii="宋体" w:hAnsi="宋体"/>
          <w:color w:val="000000"/>
          <w:szCs w:val="21"/>
          <w:highlight w:val="none"/>
        </w:rPr>
      </w:r>
      <w:r/>
    </w:p>
    <w:p>
      <w:pPr>
        <w:pStyle w:val="841"/>
        <w:ind w:firstLine="420"/>
        <w:rPr>
          <w:rFonts w:hint="eastAsia"/>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sz w:val="21"/>
          <w:highlight w:val="none"/>
        </w:rPr>
      </w:r>
      <w:r/>
    </w:p>
    <w:p>
      <w:pPr>
        <w:pStyle w:val="830"/>
        <w:jc w:val="left"/>
        <w:spacing w:line="400" w:lineRule="exact"/>
        <w:rPr>
          <w:rFonts w:hint="eastAsia"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hint="eastAsia" w:ascii="宋体" w:hAnsi="宋体"/>
          <w:b/>
          <w:sz w:val="24"/>
          <w:highlight w:val="none"/>
        </w:rPr>
      </w:r>
      <w:r/>
    </w:p>
    <w:p>
      <w:pPr>
        <w:pStyle w:val="837"/>
        <w:ind w:firstLine="420"/>
        <w:jc w:val="left"/>
        <w:spacing w:line="400" w:lineRule="exact"/>
        <w:rPr>
          <w:rFonts w:hint="eastAsia" w:hAnsi="宋体"/>
          <w:b/>
          <w:highlight w:val="none"/>
        </w:rPr>
      </w:pPr>
      <w:r>
        <w:rPr>
          <w:rFonts w:hint="eastAsia" w:hAnsi="宋体"/>
          <w:highlight w:val="none"/>
        </w:rPr>
        <w:t xml:space="preserve">8.1 质量标准</w:t>
      </w:r>
      <w:r>
        <w:rPr>
          <w:rFonts w:hint="eastAsia" w:hAnsi="宋体"/>
          <w:b/>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highlight w:val="none"/>
        </w:rPr>
      </w:r>
      <w:r/>
    </w:p>
    <w:p>
      <w:pPr>
        <w:pStyle w:val="837"/>
        <w:ind w:firstLine="420"/>
        <w:jc w:val="left"/>
        <w:spacing w:line="400" w:lineRule="exact"/>
        <w:rPr>
          <w:rFonts w:hint="eastAsia" w:hAnsi="宋体"/>
          <w:highlight w:val="none"/>
        </w:rPr>
      </w:pPr>
      <w:r>
        <w:rPr>
          <w:rFonts w:hint="eastAsia" w:hAnsi="宋体"/>
          <w:highlight w:val="none"/>
        </w:rPr>
        <w:t xml:space="preserve">（2）采用中华人民共和国法定计量单位。</w:t>
      </w:r>
      <w:r>
        <w:rPr>
          <w:rFonts w:hint="eastAsia" w:hAnsi="宋体"/>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hint="eastAsia" w:ascii="宋体" w:hAnsi="宋体"/>
          <w:szCs w:val="21"/>
          <w:highlight w:val="none"/>
        </w:rPr>
      </w:r>
      <w:r/>
    </w:p>
    <w:p>
      <w:pPr>
        <w:pStyle w:val="830"/>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highlight w:val="none"/>
        </w:rPr>
      </w:r>
      <w:r/>
    </w:p>
    <w:p>
      <w:pPr>
        <w:pStyle w:val="830"/>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ascii="宋体" w:hAnsi="宋体"/>
          <w:b/>
          <w:bCs/>
          <w:sz w:val="24"/>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hint="eastAsia" w:ascii="宋体" w:hAnsi="宋体"/>
          <w:color w:val="000000"/>
          <w:szCs w:val="21"/>
          <w:highlight w:val="none"/>
        </w:rPr>
      </w:r>
      <w:r/>
    </w:p>
    <w:p>
      <w:pPr>
        <w:pStyle w:val="83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hint="eastAsia" w:ascii="宋体" w:hAnsi="宋体"/>
          <w:color w:val="000000"/>
          <w:szCs w:val="21"/>
          <w:highlight w:val="none"/>
        </w:rPr>
      </w:r>
      <w:r/>
    </w:p>
    <w:p>
      <w:pPr>
        <w:pStyle w:val="830"/>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10. 知识产权保护</w:t>
      </w:r>
      <w:r>
        <w:rPr>
          <w:rFonts w:hint="eastAsia" w:ascii="宋体" w:hAnsi="宋体"/>
          <w:b/>
          <w:bCs/>
          <w:color w:val="000000"/>
          <w:sz w:val="24"/>
          <w:highlight w:val="none"/>
        </w:rPr>
      </w:r>
      <w:r/>
    </w:p>
    <w:p>
      <w:pPr>
        <w:pStyle w:val="830"/>
        <w:ind w:firstLine="420"/>
        <w:jc w:val="left"/>
        <w:spacing w:line="400" w:lineRule="exact"/>
        <w:rPr>
          <w:rFonts w:hint="eastAsia"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rPr>
          <w:rFonts w:hint="eastAsia" w:ascii="宋体" w:hAnsi="宋体"/>
          <w:szCs w:val="21"/>
          <w:highlight w:val="none"/>
        </w:rPr>
      </w:r>
      <w:r/>
    </w:p>
    <w:p>
      <w:pPr>
        <w:pStyle w:val="830"/>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rPr>
          <w:rFonts w:hint="eastAsia" w:ascii="宋体" w:hAnsi="宋体"/>
          <w:b/>
          <w:bCs/>
          <w:sz w:val="24"/>
          <w:highlight w:val="none"/>
        </w:rPr>
      </w:r>
      <w:r/>
    </w:p>
    <w:p>
      <w:pPr>
        <w:pStyle w:val="830"/>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hint="eastAsia" w:ascii="宋体" w:hAnsi="宋体" w:cs="宋体"/>
          <w:szCs w:val="15"/>
          <w:highlight w:val="none"/>
        </w:rPr>
      </w:r>
      <w:r/>
    </w:p>
    <w:p>
      <w:pPr>
        <w:pStyle w:val="830"/>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rPr>
          <w:rFonts w:hint="eastAsia" w:ascii="宋体" w:hAnsi="宋体"/>
          <w:b/>
          <w:bCs/>
          <w:sz w:val="24"/>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hint="eastAsia" w:ascii="宋体" w:hAnsi="宋体"/>
          <w:szCs w:val="21"/>
          <w:highlight w:val="none"/>
        </w:rPr>
      </w:r>
      <w:r/>
    </w:p>
    <w:p>
      <w:pPr>
        <w:pStyle w:val="831"/>
        <w:ind w:firstLine="420"/>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rPr>
          <w:rFonts w:hint="eastAsia"/>
          <w:highlight w:val="none"/>
        </w:rPr>
      </w:r>
      <w:r/>
    </w:p>
    <w:p>
      <w:pPr>
        <w:pStyle w:val="835"/>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rPr>
          <w:rFonts w:ascii="宋体" w:hAnsi="宋体"/>
          <w:b/>
          <w:bCs/>
          <w:sz w:val="24"/>
          <w:szCs w:val="24"/>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highlight w:val="none"/>
        </w:rPr>
      </w:r>
      <w:r/>
    </w:p>
    <w:p>
      <w:pPr>
        <w:pStyle w:val="830"/>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rFonts w:hint="eastAsia"/>
          <w:highlight w:val="none"/>
        </w:rPr>
      </w:r>
      <w:r/>
    </w:p>
    <w:p>
      <w:pPr>
        <w:pStyle w:val="830"/>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szCs w:val="21"/>
          <w:highlight w:val="none"/>
        </w:rPr>
      </w:r>
      <w:r/>
    </w:p>
    <w:p>
      <w:pPr>
        <w:pStyle w:val="841"/>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hint="eastAsia" w:ascii="宋体" w:hAnsi="宋体"/>
          <w:szCs w:val="21"/>
          <w:highlight w:val="none"/>
        </w:rPr>
      </w:r>
      <w:r/>
    </w:p>
    <w:p>
      <w:pPr>
        <w:pStyle w:val="830"/>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rPr>
          <w:rFonts w:hint="eastAsia" w:ascii="宋体" w:hAnsi="宋体"/>
          <w:b/>
          <w:bCs/>
          <w:sz w:val="24"/>
          <w:highlight w:val="none"/>
        </w:rPr>
      </w:r>
      <w:r/>
    </w:p>
    <w:p>
      <w:pPr>
        <w:pStyle w:val="830"/>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rFonts w:hint="eastAsia" w:ascii="宋体" w:hAnsi="宋体"/>
          <w:bCs/>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hint="eastAsia" w:ascii="宋体" w:hAnsi="宋体"/>
          <w:szCs w:val="21"/>
          <w:highlight w:val="none"/>
        </w:rPr>
      </w:r>
      <w:r/>
    </w:p>
    <w:p>
      <w:pPr>
        <w:pStyle w:val="830"/>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rPr>
          <w:rFonts w:hint="eastAsia" w:ascii="宋体" w:hAnsi="宋体"/>
          <w:bCs/>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hint="eastAsia" w:ascii="宋体" w:hAnsi="宋体"/>
          <w:szCs w:val="21"/>
          <w:highlight w:val="none"/>
        </w:rPr>
      </w:r>
      <w:r/>
    </w:p>
    <w:p>
      <w:pPr>
        <w:pStyle w:val="830"/>
        <w:numPr>
          <w:ilvl w:val="0"/>
          <w:numId w:val="7"/>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rPr>
          <w:rFonts w:hint="eastAsia" w:ascii="宋体" w:hAnsi="宋体"/>
          <w:b/>
          <w:sz w:val="24"/>
          <w:highlight w:val="none"/>
        </w:rPr>
      </w:r>
      <w:r/>
    </w:p>
    <w:p>
      <w:pPr>
        <w:pStyle w:val="830"/>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highlight w:val="none"/>
        </w:rPr>
      </w:r>
      <w:r/>
    </w:p>
    <w:p>
      <w:pPr>
        <w:pStyle w:val="841"/>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highlight w:val="none"/>
        </w:rPr>
      </w:r>
      <w:r/>
    </w:p>
    <w:p>
      <w:pPr>
        <w:pStyle w:val="830"/>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rPr>
          <w:rFonts w:hint="eastAsia"/>
          <w:highlight w:val="none"/>
        </w:rPr>
      </w:r>
      <w:r/>
    </w:p>
    <w:p>
      <w:pPr>
        <w:pStyle w:val="830"/>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rPr>
          <w:rFonts w:hint="eastAsia" w:ascii="宋体" w:hAnsi="宋体"/>
          <w:szCs w:val="21"/>
          <w:highlight w:val="none"/>
        </w:rPr>
      </w:r>
      <w:r/>
    </w:p>
    <w:p>
      <w:pPr>
        <w:pStyle w:val="830"/>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hint="eastAsia" w:ascii="宋体" w:hAnsi="宋体" w:cs="宋体"/>
          <w:szCs w:val="21"/>
          <w:highlight w:val="none"/>
        </w:rPr>
      </w:r>
      <w:r/>
    </w:p>
    <w:p>
      <w:pPr>
        <w:pStyle w:val="841"/>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841"/>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highlight w:val="none"/>
        </w:rPr>
      </w:r>
      <w:r/>
    </w:p>
    <w:p>
      <w:pPr>
        <w:pStyle w:val="830"/>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rPr>
          <w:rFonts w:hint="eastAsia" w:ascii="宋体" w:hAnsi="宋体"/>
          <w:b/>
          <w:bCs/>
          <w:sz w:val="24"/>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highlight w:val="none"/>
        </w:rPr>
      </w:r>
      <w:r/>
    </w:p>
    <w:p>
      <w:pPr>
        <w:pStyle w:val="830"/>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rPr>
          <w:rFonts w:hint="eastAsia" w:ascii="宋体" w:hAnsi="宋体"/>
          <w:b/>
          <w:bCs/>
          <w:sz w:val="24"/>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highlight w:val="none"/>
        </w:rPr>
      </w:r>
      <w:r/>
    </w:p>
    <w:p>
      <w:pPr>
        <w:pStyle w:val="830"/>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rPr>
          <w:rFonts w:hint="eastAsia" w:ascii="宋体" w:hAnsi="宋体"/>
          <w:b/>
          <w:bCs/>
          <w:sz w:val="24"/>
          <w:highlight w:val="none"/>
        </w:rPr>
      </w:r>
      <w:r/>
    </w:p>
    <w:p>
      <w:pPr>
        <w:pStyle w:val="84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84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84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830"/>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rPr>
          <w:rFonts w:hint="eastAsia" w:ascii="宋体" w:hAnsi="宋体"/>
          <w:sz w:val="24"/>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hint="eastAsia" w:ascii="宋体" w:hAnsi="宋体"/>
          <w:szCs w:val="21"/>
          <w:highlight w:val="none"/>
        </w:rPr>
      </w:r>
      <w:r/>
    </w:p>
    <w:p>
      <w:pPr>
        <w:pStyle w:val="835"/>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highlight w:val="none"/>
        </w:rPr>
      </w:r>
      <w:r/>
    </w:p>
    <w:p>
      <w:pPr>
        <w:pStyle w:val="830"/>
        <w:jc w:val="left"/>
        <w:spacing w:line="400" w:lineRule="exact"/>
        <w:rPr>
          <w:rFonts w:ascii="宋体" w:hAnsi="宋体"/>
          <w:b/>
          <w:sz w:val="24"/>
          <w:highlight w:val="none"/>
        </w:rPr>
      </w:pPr>
      <w:r>
        <w:rPr>
          <w:rFonts w:hint="eastAsia" w:ascii="宋体" w:hAnsi="宋体"/>
          <w:b/>
          <w:sz w:val="24"/>
          <w:highlight w:val="none"/>
        </w:rPr>
        <w:t xml:space="preserve">21. 法律适用</w:t>
      </w:r>
      <w:r>
        <w:rPr>
          <w:rFonts w:ascii="宋体" w:hAnsi="宋体"/>
          <w:b/>
          <w:sz w:val="24"/>
          <w:highlight w:val="none"/>
        </w:rPr>
      </w:r>
      <w:r/>
    </w:p>
    <w:p>
      <w:pPr>
        <w:pStyle w:val="84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84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830"/>
        <w:jc w:val="left"/>
        <w:spacing w:line="400" w:lineRule="exact"/>
        <w:rPr>
          <w:rFonts w:hint="eastAsia" w:ascii="宋体" w:hAnsi="宋体"/>
          <w:b/>
          <w:sz w:val="24"/>
          <w:highlight w:val="none"/>
        </w:rPr>
      </w:pPr>
      <w:r>
        <w:rPr>
          <w:rFonts w:hint="eastAsia" w:ascii="宋体" w:hAnsi="宋体"/>
          <w:b/>
          <w:sz w:val="24"/>
          <w:highlight w:val="none"/>
        </w:rPr>
        <w:t xml:space="preserve">22. 通知</w:t>
      </w:r>
      <w:r>
        <w:rPr>
          <w:rFonts w:hint="eastAsia" w:ascii="宋体" w:hAnsi="宋体"/>
          <w:b/>
          <w:sz w:val="24"/>
          <w:highlight w:val="none"/>
        </w:rPr>
      </w:r>
      <w:r/>
    </w:p>
    <w:p>
      <w:pPr>
        <w:pStyle w:val="84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841"/>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sz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hint="eastAsia" w:ascii="宋体" w:hAnsi="宋体"/>
          <w:szCs w:val="21"/>
          <w:highlight w:val="none"/>
        </w:rPr>
      </w:r>
      <w:r/>
    </w:p>
    <w:p>
      <w:pPr>
        <w:pStyle w:val="830"/>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hint="eastAsia" w:ascii="宋体" w:hAnsi="宋体"/>
          <w:szCs w:val="21"/>
          <w:highlight w:val="none"/>
        </w:rPr>
      </w:r>
      <w:r/>
    </w:p>
    <w:p>
      <w:pPr>
        <w:pStyle w:val="830"/>
        <w:numPr>
          <w:ilvl w:val="0"/>
          <w:numId w:val="8"/>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rPr>
          <w:rFonts w:hint="eastAsia" w:ascii="宋体" w:hAnsi="宋体"/>
          <w:b/>
          <w:bCs/>
          <w:sz w:val="24"/>
          <w:highlight w:val="none"/>
        </w:rPr>
      </w:r>
      <w:r/>
    </w:p>
    <w:p>
      <w:pPr>
        <w:pStyle w:val="830"/>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hint="eastAsia" w:ascii="宋体" w:hAnsi="宋体"/>
          <w:bCs/>
          <w:szCs w:val="21"/>
          <w:highlight w:val="none"/>
        </w:rPr>
      </w:r>
      <w:r/>
    </w:p>
    <w:p>
      <w:pPr>
        <w:pStyle w:val="830"/>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rPr>
          <w:rFonts w:hint="eastAsia" w:ascii="黑体" w:hAnsi="华文中宋" w:eastAsia="黑体"/>
          <w:sz w:val="28"/>
          <w:szCs w:val="28"/>
          <w:highlight w:val="none"/>
        </w:rPr>
      </w:r>
      <w:r/>
    </w:p>
    <w:p>
      <w:pPr>
        <w:pStyle w:val="830"/>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rPr>
          <w:rFonts w:ascii="黑体" w:hAnsi="华文中宋" w:eastAsia="黑体"/>
          <w:sz w:val="24"/>
          <w:highlight w:val="none"/>
        </w:rPr>
      </w:r>
      <w:r/>
    </w:p>
    <w:p>
      <w:pPr>
        <w:pStyle w:val="830"/>
        <w:jc w:val="center"/>
        <w:keepLines/>
        <w:keepNext/>
        <w:spacing w:line="360" w:lineRule="auto"/>
        <w:rPr>
          <w:rFonts w:ascii="黑体" w:hAnsi="华文中宋" w:eastAsia="黑体"/>
          <w:color w:val="000000"/>
          <w:sz w:val="24"/>
          <w:highlight w:val="none"/>
        </w:rPr>
        <w:outlineLvl w:val="1"/>
      </w:pPr>
      <w:r>
        <w:rPr>
          <w:rFonts w:hint="eastAsia" w:ascii="黑体" w:hAnsi="华文中宋" w:eastAsia="黑体"/>
          <w:color w:val="000000"/>
          <w:sz w:val="24"/>
          <w:highlight w:val="none"/>
        </w:rPr>
        <w:t xml:space="preserve">第三节 政府采购合同专用条款</w:t>
      </w:r>
      <w:bookmarkEnd w:id="171"/>
      <w:r>
        <w:rPr>
          <w:rFonts w:ascii="黑体" w:hAnsi="华文中宋" w:eastAsia="黑体"/>
          <w:color w:val="000000"/>
          <w:sz w:val="24"/>
          <w:highlight w:val="none"/>
        </w:rPr>
      </w:r>
      <w:r/>
    </w:p>
    <w:tbl>
      <w:tblPr>
        <w:tblW w:w="87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382"/>
      </w:tblGrid>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第1.2（6）项</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联合体具体要求</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szCs w:val="24"/>
              </w:rPr>
              <w:t xml:space="preserve">无</w:t>
            </w:r>
            <w:r>
              <w:rPr>
                <w:rFonts w:ascii="宋体" w:hAnsi="宋体"/>
                <w:color w:val="000000"/>
                <w:sz w:val="24"/>
                <w:highlight w:val="none"/>
              </w:rPr>
            </w:r>
            <w:r/>
          </w:p>
        </w:tc>
      </w:tr>
      <w:tr>
        <w:trPr>
          <w:trHeight w:val="604"/>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第1.2（7）项</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其他术语解释</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szCs w:val="24"/>
              </w:rPr>
              <w:t xml:space="preserve">“交货日期”系指合同标的最终验收合格、交付使用并提供所需单据的日期。</w:t>
            </w:r>
            <w:r>
              <w:rPr>
                <w:rFonts w:ascii="宋体" w:hAnsi="宋体"/>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第4.4款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履约验收中甲方提出异议或作出说明的期限</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个工作日</w:t>
            </w:r>
            <w:r>
              <w:rPr>
                <w:rFonts w:ascii="宋体" w:hAnsi="宋体"/>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第4.6款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约定甲方承担的其他义务和责任</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szCs w:val="24"/>
              </w:rPr>
              <w:t xml:space="preserve">无</w:t>
            </w:r>
            <w:r>
              <w:rPr>
                <w:rFonts w:ascii="宋体" w:hAnsi="宋体"/>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color w:val="000000"/>
                <w:sz w:val="24"/>
                <w:highlight w:val="none"/>
              </w:rPr>
            </w:pPr>
            <w:r>
              <w:rPr>
                <w:rFonts w:hint="eastAsia" w:ascii="宋体" w:hAnsi="宋体"/>
                <w:color w:val="000000"/>
                <w:sz w:val="24"/>
                <w:highlight w:val="none"/>
              </w:rPr>
              <w:t xml:space="preserve">第5.4款</w:t>
            </w:r>
            <w:r>
              <w:rPr>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约定乙方承担的其他义务和责任</w:t>
            </w:r>
            <w:r>
              <w:rPr>
                <w:rFonts w:ascii="宋体" w:hAnsi="宋体"/>
                <w:color w:val="000000"/>
                <w:sz w:val="24"/>
                <w:highlight w:val="none"/>
              </w:rPr>
            </w:r>
            <w:r/>
          </w:p>
        </w:tc>
        <w:tc>
          <w:tcPr>
            <w:tcW w:w="5382" w:type="dxa"/>
            <w:vAlign w:val="center"/>
            <w:textDirection w:val="lrTb"/>
            <w:noWrap w:val="false"/>
          </w:tcPr>
          <w:p>
            <w:pPr>
              <w:pStyle w:val="830"/>
              <w:jc w:val="left"/>
              <w:rPr>
                <w:rFonts w:hint="eastAsia" w:ascii="宋体" w:hAnsi="宋体"/>
                <w:color w:val="000000"/>
                <w:sz w:val="24"/>
                <w:szCs w:val="24"/>
              </w:rPr>
            </w:pPr>
            <w:r>
              <w:rPr>
                <w:rFonts w:hint="eastAsia" w:ascii="宋体" w:hAnsi="宋体"/>
                <w:color w:val="000000"/>
                <w:sz w:val="24"/>
                <w:szCs w:val="24"/>
              </w:rPr>
              <w:t xml:space="preserve">1.合同标的在交付甲方前发生的风险均由乙方承担。</w:t>
            </w:r>
            <w:r>
              <w:rPr>
                <w:rFonts w:hint="eastAsia" w:ascii="宋体" w:hAnsi="宋体"/>
                <w:color w:val="000000"/>
                <w:sz w:val="24"/>
                <w:szCs w:val="24"/>
              </w:rPr>
            </w:r>
            <w:r/>
          </w:p>
          <w:p>
            <w:pPr>
              <w:pStyle w:val="835"/>
              <w:spacing w:after="0"/>
              <w:rPr>
                <w:rFonts w:hint="eastAsia" w:ascii="宋体" w:hAnsi="宋体"/>
                <w:color w:val="000000"/>
                <w:sz w:val="24"/>
                <w:szCs w:val="24"/>
              </w:rPr>
            </w:pPr>
            <w:r>
              <w:rPr>
                <w:rFonts w:hint="eastAsia" w:ascii="宋体" w:hAnsi="宋体"/>
                <w:color w:val="000000"/>
                <w:sz w:val="24"/>
                <w:szCs w:val="24"/>
              </w:rPr>
              <w:t xml:space="preserve">2.乙方应按招标文件规定的技术要求、质量标准向甲方提供未经使用的全新产品。</w:t>
            </w:r>
            <w:r>
              <w:rPr>
                <w:rFonts w:hint="eastAsia" w:ascii="宋体" w:hAnsi="宋体"/>
                <w:color w:val="000000"/>
                <w:sz w:val="24"/>
                <w:szCs w:val="24"/>
              </w:rPr>
            </w:r>
            <w:r/>
          </w:p>
          <w:p>
            <w:pPr>
              <w:pStyle w:val="830"/>
              <w:rPr>
                <w:rFonts w:hint="eastAsia" w:ascii="宋体" w:hAnsi="宋体"/>
                <w:color w:val="000000"/>
                <w:sz w:val="24"/>
                <w:szCs w:val="24"/>
              </w:rPr>
            </w:pPr>
            <w:r>
              <w:rPr>
                <w:rFonts w:hint="eastAsia" w:ascii="宋体" w:hAnsi="宋体"/>
                <w:color w:val="000000"/>
                <w:sz w:val="24"/>
                <w:szCs w:val="24"/>
              </w:rPr>
              <w:t xml:space="preserve">3.在质量保证期内，乙方应对合同标的出现的质量及安全问题负责处理解决并承担一切费用。</w:t>
            </w:r>
            <w:r>
              <w:rPr>
                <w:rFonts w:hint="eastAsia" w:ascii="宋体" w:hAnsi="宋体"/>
                <w:color w:val="000000"/>
                <w:sz w:val="24"/>
                <w:szCs w:val="24"/>
              </w:rPr>
            </w:r>
            <w:r/>
          </w:p>
          <w:p>
            <w:pPr>
              <w:pStyle w:val="835"/>
              <w:spacing w:after="0"/>
              <w:rPr>
                <w:rFonts w:ascii="宋体" w:hAnsi="宋体"/>
                <w:color w:val="000000"/>
                <w:sz w:val="24"/>
                <w:highlight w:val="none"/>
              </w:rPr>
            </w:pPr>
            <w:r>
              <w:rPr>
                <w:rFonts w:hint="eastAsia" w:ascii="宋体" w:hAnsi="宋体"/>
                <w:color w:val="000000"/>
                <w:sz w:val="24"/>
                <w:szCs w:val="24"/>
              </w:rPr>
              <w:t xml:space="preserve">4.乙方应保证合同标的在正确安装、正常使用和保养条件下，在其使用寿命期内应具有满意的性能。</w:t>
            </w:r>
            <w:r>
              <w:rPr>
                <w:rFonts w:ascii="宋体" w:hAnsi="宋体"/>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第6.1款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履行合同义务的顺序</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szCs w:val="24"/>
              </w:rPr>
              <w:t xml:space="preserve">无</w:t>
            </w:r>
            <w:r>
              <w:rPr>
                <w:rFonts w:ascii="宋体" w:hAnsi="宋体"/>
                <w:color w:val="000000"/>
                <w:sz w:val="24"/>
                <w:highlight w:val="none"/>
              </w:rPr>
            </w:r>
            <w:r/>
          </w:p>
        </w:tc>
      </w:tr>
      <w:tr>
        <w:trPr>
          <w:cantSplit/>
          <w:trHeight w:val="667"/>
        </w:trPr>
        <w:tc>
          <w:tcPr>
            <w:tcW w:w="1560" w:type="dxa"/>
            <w:vAlign w:val="center"/>
            <w:vMerge w:val="restart"/>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第7.1款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包装特殊要求</w:t>
            </w:r>
            <w:r>
              <w:rPr>
                <w:rFonts w:ascii="宋体" w:hAnsi="宋体"/>
                <w:color w:val="000000"/>
                <w:sz w:val="24"/>
                <w:highlight w:val="none"/>
              </w:rPr>
            </w:r>
            <w:r/>
          </w:p>
        </w:tc>
        <w:tc>
          <w:tcPr>
            <w:tcW w:w="5382" w:type="dxa"/>
            <w:vAlign w:val="center"/>
            <w:textDirection w:val="lrTb"/>
            <w:noWrap w:val="false"/>
          </w:tcPr>
          <w:p>
            <w:pPr>
              <w:pStyle w:val="830"/>
              <w:rPr>
                <w:color w:val="000000"/>
                <w:sz w:val="24"/>
                <w:highlight w:val="none"/>
              </w:rPr>
            </w:pPr>
            <w:r>
              <w:rPr>
                <w:rFonts w:hint="eastAsia"/>
                <w:color w:val="000000"/>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color w:val="000000"/>
                <w:sz w:val="24"/>
                <w:highlight w:val="none"/>
              </w:rPr>
            </w:r>
            <w:r/>
          </w:p>
          <w:p>
            <w:pPr>
              <w:pStyle w:val="830"/>
              <w:rPr>
                <w:color w:val="000000"/>
                <w:sz w:val="24"/>
                <w:highlight w:val="none"/>
              </w:rPr>
            </w:pPr>
            <w:r>
              <w:rPr>
                <w:rFonts w:hint="eastAsia"/>
                <w:color w:val="000000"/>
                <w:sz w:val="24"/>
                <w:highlight w:val="none"/>
              </w:rPr>
              <w:t xml:space="preserve">1.商品包装层数不得超过3 层，空隙率不大于40%；</w:t>
            </w:r>
            <w:r>
              <w:rPr>
                <w:color w:val="000000"/>
                <w:sz w:val="24"/>
                <w:highlight w:val="none"/>
              </w:rPr>
            </w:r>
            <w:r/>
          </w:p>
          <w:p>
            <w:pPr>
              <w:pStyle w:val="830"/>
              <w:rPr>
                <w:color w:val="000000"/>
                <w:sz w:val="24"/>
                <w:highlight w:val="none"/>
              </w:rPr>
            </w:pPr>
            <w:r>
              <w:rPr>
                <w:rFonts w:hint="eastAsia"/>
                <w:color w:val="000000"/>
                <w:sz w:val="24"/>
                <w:highlight w:val="none"/>
              </w:rPr>
              <w:t xml:space="preserve">2.商品包装尽可能使用单一材质的包装材料，如因功能需求必需使用不同材质，不同材质间应便于分离；</w:t>
            </w:r>
            <w:r>
              <w:rPr>
                <w:color w:val="000000"/>
                <w:sz w:val="24"/>
                <w:highlight w:val="none"/>
              </w:rPr>
            </w:r>
            <w:r/>
          </w:p>
          <w:p>
            <w:pPr>
              <w:pStyle w:val="830"/>
              <w:rPr>
                <w:color w:val="000000"/>
                <w:sz w:val="24"/>
                <w:highlight w:val="none"/>
              </w:rPr>
            </w:pPr>
            <w:r>
              <w:rPr>
                <w:rFonts w:hint="eastAsia"/>
                <w:color w:val="000000"/>
                <w:sz w:val="24"/>
                <w:highlight w:val="none"/>
              </w:rPr>
              <w:t xml:space="preserve">3.商品包装中铅、汞、镉、六价铬的总含量应不大于100mg/kg；</w:t>
            </w:r>
            <w:r>
              <w:rPr>
                <w:color w:val="000000"/>
                <w:sz w:val="24"/>
                <w:highlight w:val="none"/>
              </w:rPr>
            </w:r>
            <w:r/>
          </w:p>
          <w:p>
            <w:pPr>
              <w:pStyle w:val="830"/>
              <w:rPr>
                <w:color w:val="000000"/>
                <w:sz w:val="24"/>
                <w:highlight w:val="none"/>
              </w:rPr>
            </w:pPr>
            <w:r>
              <w:rPr>
                <w:rFonts w:hint="eastAsia"/>
                <w:color w:val="000000"/>
                <w:sz w:val="24"/>
                <w:highlight w:val="none"/>
              </w:rPr>
              <w:t xml:space="preserve">4.商品包装印刷使用的油墨中挥发性有机化合物(VOCs)含量应不大于 5%（以重量计）；</w:t>
            </w:r>
            <w:r>
              <w:rPr>
                <w:color w:val="000000"/>
                <w:sz w:val="24"/>
                <w:highlight w:val="none"/>
              </w:rPr>
            </w:r>
            <w:r/>
          </w:p>
          <w:p>
            <w:pPr>
              <w:pStyle w:val="830"/>
              <w:rPr>
                <w:color w:val="000000"/>
                <w:sz w:val="24"/>
                <w:highlight w:val="none"/>
              </w:rPr>
            </w:pPr>
            <w:r>
              <w:rPr>
                <w:rFonts w:hint="eastAsia"/>
                <w:color w:val="000000"/>
                <w:sz w:val="24"/>
                <w:highlight w:val="none"/>
              </w:rPr>
              <w:t xml:space="preserve">5.塑料材质商品包装上呈现的印刷颜色不得超过6色；</w:t>
            </w:r>
            <w:r>
              <w:rPr>
                <w:color w:val="000000"/>
                <w:sz w:val="24"/>
                <w:highlight w:val="none"/>
              </w:rPr>
            </w:r>
            <w:r/>
          </w:p>
          <w:p>
            <w:pPr>
              <w:pStyle w:val="830"/>
              <w:rPr>
                <w:color w:val="000000"/>
                <w:sz w:val="24"/>
                <w:highlight w:val="none"/>
              </w:rPr>
            </w:pPr>
            <w:r>
              <w:rPr>
                <w:rFonts w:hint="eastAsia"/>
                <w:color w:val="000000"/>
                <w:sz w:val="24"/>
                <w:highlight w:val="none"/>
              </w:rPr>
              <w:t xml:space="preserve">6.纸质商品包装应使用75%以上的可再生纤维原料生产；</w:t>
            </w:r>
            <w:r>
              <w:rPr>
                <w:color w:val="000000"/>
                <w:sz w:val="24"/>
                <w:highlight w:val="none"/>
              </w:rPr>
            </w:r>
            <w:r/>
          </w:p>
          <w:p>
            <w:pPr>
              <w:pStyle w:val="830"/>
              <w:rPr>
                <w:color w:val="000000"/>
                <w:sz w:val="24"/>
                <w:highlight w:val="none"/>
              </w:rPr>
            </w:pPr>
            <w:r>
              <w:rPr>
                <w:rFonts w:hint="eastAsia"/>
                <w:color w:val="000000"/>
                <w:sz w:val="24"/>
                <w:highlight w:val="none"/>
              </w:rPr>
              <w:t xml:space="preserve">7.木质商品包装的原料应来源于可持续性森林。</w:t>
            </w:r>
            <w:r>
              <w:rPr>
                <w:color w:val="000000"/>
                <w:sz w:val="24"/>
                <w:highlight w:val="none"/>
              </w:rPr>
            </w:r>
            <w:r/>
          </w:p>
          <w:p>
            <w:pPr>
              <w:pStyle w:val="830"/>
              <w:rPr>
                <w:color w:val="000000"/>
                <w:sz w:val="24"/>
                <w:highlight w:val="none"/>
              </w:rPr>
            </w:pPr>
            <w:r>
              <w:rPr>
                <w:rFonts w:hint="eastAsia"/>
                <w:color w:val="000000"/>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color w:val="000000"/>
                <w:sz w:val="24"/>
                <w:highlight w:val="none"/>
              </w:rPr>
            </w:r>
            <w:r/>
          </w:p>
          <w:p>
            <w:pPr>
              <w:pStyle w:val="830"/>
              <w:rPr>
                <w:color w:val="000000"/>
                <w:sz w:val="24"/>
                <w:highlight w:val="none"/>
              </w:rPr>
            </w:pPr>
            <w:r>
              <w:rPr>
                <w:rFonts w:hint="eastAsia"/>
                <w:color w:val="000000"/>
                <w:sz w:val="24"/>
                <w:highlight w:val="none"/>
              </w:rPr>
              <w:t xml:space="preserve">9每件包装箱内应附一份详细装箱单和质量合格凭证。</w:t>
            </w:r>
            <w:r>
              <w:rPr>
                <w:color w:val="000000"/>
                <w:sz w:val="24"/>
                <w:highlight w:val="none"/>
              </w:rPr>
            </w:r>
            <w:r/>
          </w:p>
          <w:p>
            <w:pPr>
              <w:pStyle w:val="830"/>
              <w:rPr>
                <w:color w:val="000000"/>
                <w:sz w:val="24"/>
                <w:highlight w:val="none"/>
              </w:rPr>
            </w:pPr>
            <w:r>
              <w:rPr>
                <w:color w:val="000000"/>
                <w:sz w:val="24"/>
                <w:highlight w:val="none"/>
              </w:rPr>
            </w:r>
            <w:r/>
          </w:p>
        </w:tc>
      </w:tr>
      <w:tr>
        <w:trPr>
          <w:cantSplit/>
          <w:trHeight w:val="667"/>
        </w:trPr>
        <w:tc>
          <w:tcPr>
            <w:tcW w:w="1560" w:type="dxa"/>
            <w:vAlign w:val="center"/>
            <w:vMerge w:val="continue"/>
            <w:textDirection w:val="lrTb"/>
            <w:noWrap w:val="false"/>
          </w:tcPr>
          <w:p>
            <w:pPr>
              <w:pStyle w:val="830"/>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指定现场</w:t>
            </w:r>
            <w:r>
              <w:rPr>
                <w:rFonts w:ascii="宋体" w:hAnsi="宋体"/>
                <w:color w:val="000000"/>
                <w:sz w:val="24"/>
                <w:highlight w:val="none"/>
              </w:rPr>
            </w:r>
            <w:r/>
          </w:p>
        </w:tc>
        <w:tc>
          <w:tcPr>
            <w:tcW w:w="5382" w:type="dxa"/>
            <w:vAlign w:val="center"/>
            <w:textDirection w:val="lrTb"/>
            <w:noWrap w:val="false"/>
          </w:tcPr>
          <w:p>
            <w:pPr>
              <w:pStyle w:val="830"/>
              <w:jc w:val="left"/>
              <w:rPr>
                <w:color w:val="000000"/>
                <w:sz w:val="24"/>
                <w:highlight w:val="none"/>
              </w:rPr>
            </w:pPr>
            <w:r>
              <w:rPr>
                <w:rFonts w:hint="eastAsia"/>
                <w:b/>
                <w:bCs/>
                <w:color w:val="000000"/>
                <w:sz w:val="24"/>
                <w:highlight w:val="none"/>
              </w:rPr>
              <w:t xml:space="preserve">射阳县综合检验检测中心指定地点</w:t>
            </w:r>
            <w:r>
              <w:rPr>
                <w:color w:val="000000"/>
                <w:sz w:val="24"/>
                <w:highlight w:val="none"/>
              </w:rPr>
            </w:r>
            <w:r/>
          </w:p>
        </w:tc>
      </w:tr>
      <w:tr>
        <w:trPr>
          <w:trHeight w:val="772"/>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第7.2款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运输特殊要求</w:t>
            </w:r>
            <w:r>
              <w:rPr>
                <w:rFonts w:ascii="宋体" w:hAnsi="宋体"/>
                <w:color w:val="000000"/>
                <w:sz w:val="24"/>
                <w:highlight w:val="none"/>
              </w:rPr>
            </w:r>
            <w:r/>
          </w:p>
        </w:tc>
        <w:tc>
          <w:tcPr>
            <w:tcW w:w="5382" w:type="dxa"/>
            <w:vAlign w:val="center"/>
            <w:textDirection w:val="lrTb"/>
            <w:noWrap w:val="false"/>
          </w:tcPr>
          <w:p>
            <w:pPr>
              <w:pStyle w:val="830"/>
              <w:rPr>
                <w:color w:val="000000"/>
                <w:sz w:val="24"/>
                <w:highlight w:val="none"/>
              </w:rPr>
            </w:pPr>
            <w:r>
              <w:rPr>
                <w:rFonts w:hint="eastAsia"/>
                <w:color w:val="000000"/>
                <w:sz w:val="24"/>
                <w:highlight w:val="none"/>
              </w:rPr>
              <w:t xml:space="preserve">1.货物验收合格、交付使用并提供所需单据的日期视为交货日期。</w:t>
            </w:r>
            <w:r>
              <w:rPr>
                <w:color w:val="000000"/>
                <w:sz w:val="24"/>
                <w:highlight w:val="none"/>
              </w:rPr>
            </w:r>
            <w:r/>
          </w:p>
          <w:p>
            <w:pPr>
              <w:pStyle w:val="841"/>
              <w:ind w:firstLine="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2.乙方在货物发运手续办理完毕后24小时内或货到48小时前通知甲方，以准备接货。（具体时间根据双方实际需求调整）</w:t>
            </w:r>
            <w:r>
              <w:rPr>
                <w:rFonts w:ascii="Times New Roman" w:hAnsi="Times New Roman" w:eastAsia="宋体" w:cs="Times New Roman"/>
                <w:color w:val="000000"/>
                <w:sz w:val="24"/>
                <w:szCs w:val="24"/>
                <w:highlight w:val="none"/>
              </w:rPr>
            </w:r>
            <w:r/>
          </w:p>
          <w:p>
            <w:pPr>
              <w:pStyle w:val="830"/>
              <w:rPr>
                <w:color w:val="000000"/>
                <w:sz w:val="24"/>
                <w:highlight w:val="none"/>
              </w:rPr>
            </w:pPr>
            <w:r>
              <w:rPr>
                <w:rFonts w:hint="eastAsia"/>
                <w:color w:val="000000"/>
                <w:sz w:val="24"/>
                <w:highlight w:val="none"/>
              </w:rPr>
              <w:t xml:space="preserve">3.乙方装运的货物不应超过合同规定的数量或重量。乙方应对超交数量或超重而产生的一切后果负责。</w:t>
            </w:r>
            <w:r>
              <w:rPr>
                <w:color w:val="000000"/>
                <w:sz w:val="24"/>
                <w:highlight w:val="none"/>
              </w:rPr>
            </w:r>
            <w:r/>
          </w:p>
          <w:p>
            <w:pPr>
              <w:pStyle w:val="841"/>
              <w:ind w:firstLine="0"/>
              <w:rPr>
                <w:color w:val="000000"/>
                <w:highlight w:val="none"/>
              </w:rPr>
            </w:pPr>
            <w:r>
              <w:rPr>
                <w:rFonts w:hint="eastAsia" w:ascii="Times New Roman" w:hAnsi="Times New Roman" w:eastAsia="宋体" w:cs="Times New Roman"/>
                <w:color w:val="000000"/>
                <w:sz w:val="24"/>
                <w:szCs w:val="24"/>
                <w:highlight w:val="none"/>
              </w:rPr>
              <w:t xml:space="preserve">4.货物在交付甲方前发生的风险均由乙方负责。</w:t>
            </w:r>
            <w:r>
              <w:rPr>
                <w:color w:val="000000"/>
                <w:highlight w:val="none"/>
              </w:rPr>
            </w:r>
            <w:r/>
          </w:p>
        </w:tc>
      </w:tr>
      <w:tr>
        <w:trPr>
          <w:trHeight w:val="667"/>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第7.3款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保险要求</w:t>
            </w:r>
            <w:r>
              <w:rPr>
                <w:rFonts w:ascii="宋体" w:hAnsi="宋体"/>
                <w:color w:val="000000"/>
                <w:sz w:val="24"/>
                <w:highlight w:val="none"/>
              </w:rPr>
            </w:r>
            <w:r/>
          </w:p>
        </w:tc>
        <w:tc>
          <w:tcPr>
            <w:tcW w:w="5382" w:type="dxa"/>
            <w:vAlign w:val="center"/>
            <w:textDirection w:val="lrTb"/>
            <w:noWrap w:val="false"/>
          </w:tcPr>
          <w:p>
            <w:pPr>
              <w:pStyle w:val="830"/>
              <w:rPr>
                <w:color w:val="000000"/>
                <w:sz w:val="24"/>
                <w:highlight w:val="none"/>
              </w:rPr>
            </w:pPr>
            <w:r>
              <w:rPr>
                <w:color w:val="000000"/>
                <w:sz w:val="24"/>
                <w:highlight w:val="none"/>
              </w:rPr>
              <w:t xml:space="preserve">货物交货前由乙方承担保险义务</w:t>
            </w:r>
            <w:r>
              <w:rPr>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第8.2（1）项</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质量保证期</w:t>
            </w:r>
            <w:r>
              <w:rPr>
                <w:rFonts w:ascii="宋体" w:hAnsi="宋体"/>
                <w:color w:val="000000"/>
                <w:sz w:val="24"/>
                <w:highlight w:val="none"/>
              </w:rPr>
            </w:r>
            <w:r/>
          </w:p>
        </w:tc>
        <w:tc>
          <w:tcPr>
            <w:tcW w:w="5382" w:type="dxa"/>
            <w:vAlign w:val="center"/>
            <w:textDirection w:val="lrTb"/>
            <w:noWrap w:val="false"/>
          </w:tcPr>
          <w:p>
            <w:pPr>
              <w:pStyle w:val="838"/>
              <w:ind w:left="480" w:hanging="480"/>
              <w:jc w:val="both"/>
              <w:spacing w:before="120" w:beforeAutospacing="0" w:after="120" w:afterAutospacing="0"/>
              <w:rPr>
                <w:rFonts w:ascii="宋体" w:hAnsi="宋体"/>
                <w:color w:val="000000"/>
                <w:highlight w:val="none"/>
              </w:rPr>
            </w:pPr>
            <w:r>
              <w:rPr>
                <w:rFonts w:hint="eastAsia" w:ascii="宋体" w:hAnsi="宋体"/>
                <w:color w:val="000000"/>
                <w:highlight w:val="none"/>
              </w:rPr>
              <w:t xml:space="preserve">1.质保期需执行厂家质保</w:t>
            </w:r>
            <w:r>
              <w:rPr>
                <w:rFonts w:hint="eastAsia" w:ascii="宋体" w:hAnsi="宋体"/>
                <w:color w:val="000000"/>
                <w:highlight w:val="none"/>
                <w:lang w:eastAsia="zh-CN"/>
              </w:rPr>
              <w:t xml:space="preserve">且</w:t>
            </w:r>
            <w:r>
              <w:rPr>
                <w:rFonts w:hint="eastAsia" w:ascii="宋体" w:hAnsi="宋体"/>
                <w:color w:val="000000"/>
                <w:highlight w:val="none"/>
              </w:rPr>
              <w:t xml:space="preserve">货物免费质保期</w:t>
            </w:r>
            <w:r>
              <w:rPr>
                <w:rFonts w:hint="eastAsia" w:ascii="宋体" w:hAnsi="宋体"/>
                <w:color w:val="000000"/>
                <w:highlight w:val="none"/>
                <w:lang w:eastAsia="zh-CN"/>
              </w:rPr>
              <w:t xml:space="preserve">不得少于</w:t>
            </w:r>
            <w:r>
              <w:rPr>
                <w:rFonts w:hint="eastAsia" w:ascii="宋体" w:hAnsi="宋体"/>
                <w:color w:val="000000"/>
                <w:highlight w:val="none"/>
                <w:u w:val="single"/>
              </w:rPr>
              <w:t xml:space="preserve">  </w:t>
            </w:r>
            <w:r>
              <w:rPr>
                <w:rFonts w:hint="eastAsia" w:ascii="宋体" w:hAnsi="宋体"/>
                <w:color w:val="000000"/>
                <w:highlight w:val="none"/>
                <w:u w:val="single"/>
                <w:lang w:val="en-US" w:eastAsia="zh-CN"/>
              </w:rPr>
              <w:t xml:space="preserve">1</w:t>
            </w:r>
            <w:r>
              <w:rPr>
                <w:rFonts w:hint="eastAsia" w:ascii="宋体" w:hAnsi="宋体"/>
                <w:color w:val="000000"/>
                <w:highlight w:val="none"/>
                <w:u w:val="single"/>
              </w:rPr>
              <w:t xml:space="preserve">   年</w:t>
            </w:r>
            <w:r>
              <w:rPr>
                <w:rFonts w:hint="eastAsia" w:ascii="宋体" w:hAnsi="宋体"/>
                <w:color w:val="000000"/>
                <w:highlight w:val="none"/>
              </w:rPr>
              <w:t xml:space="preserve">。（</w:t>
            </w:r>
            <w:r>
              <w:rPr>
                <w:rFonts w:hint="eastAsia" w:ascii="宋体" w:hAnsi="宋体" w:cs="宋体"/>
                <w:color w:val="000000"/>
                <w:highlight w:val="none"/>
              </w:rPr>
              <w:t xml:space="preserve">自交货验收合格之日起计），因人为因素出现的故障不在免费保修范围内。超过保修期的机器设备，</w:t>
            </w:r>
            <w:r>
              <w:rPr>
                <w:rFonts w:hint="eastAsia" w:ascii="宋体" w:hAnsi="宋体" w:cs="宋体"/>
                <w:color w:val="000000"/>
                <w:highlight w:val="none"/>
                <w:lang w:eastAsia="zh-CN"/>
              </w:rPr>
              <w:t xml:space="preserve">终身维修</w:t>
            </w:r>
            <w:r>
              <w:rPr>
                <w:rFonts w:hint="eastAsia" w:ascii="宋体" w:hAnsi="宋体" w:cs="宋体"/>
                <w:color w:val="000000"/>
                <w:highlight w:val="none"/>
              </w:rPr>
              <w:t xml:space="preserve">，维修时只收部件成本费。</w:t>
            </w:r>
            <w:r>
              <w:rPr>
                <w:rFonts w:ascii="宋体" w:hAnsi="宋体"/>
                <w:color w:val="000000"/>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第8.2（3）项</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货物质量缺陷</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响应时间</w:t>
            </w:r>
            <w:r>
              <w:rPr>
                <w:rFonts w:ascii="宋体" w:hAnsi="宋体"/>
                <w:color w:val="000000"/>
                <w:sz w:val="24"/>
                <w:highlight w:val="none"/>
              </w:rPr>
            </w:r>
            <w:r/>
          </w:p>
        </w:tc>
        <w:tc>
          <w:tcPr>
            <w:tcW w:w="5382" w:type="dxa"/>
            <w:vAlign w:val="center"/>
            <w:textDirection w:val="lrTb"/>
            <w:noWrap w:val="false"/>
          </w:tcPr>
          <w:p>
            <w:pPr>
              <w:pStyle w:val="830"/>
              <w:jc w:val="left"/>
              <w:rPr>
                <w:rFonts w:hint="eastAsia" w:ascii="宋体" w:hAnsi="宋体"/>
                <w:color w:val="000000"/>
                <w:sz w:val="24"/>
                <w:szCs w:val="24"/>
              </w:rPr>
            </w:pPr>
            <w:r>
              <w:rPr>
                <w:rFonts w:hint="eastAsia" w:ascii="宋体" w:hAnsi="宋体"/>
                <w:color w:val="000000"/>
                <w:sz w:val="24"/>
                <w:highlight w:val="none"/>
              </w:rPr>
              <w:t xml:space="preserve"> </w:t>
            </w:r>
            <w:r>
              <w:rPr>
                <w:rFonts w:hint="eastAsia" w:ascii="宋体" w:hAnsi="宋体"/>
                <w:color w:val="000000"/>
                <w:sz w:val="24"/>
                <w:szCs w:val="24"/>
                <w:highlight w:val="none"/>
              </w:rPr>
              <w:t xml:space="preserve">1.</w:t>
            </w:r>
            <w:r>
              <w:rPr>
                <w:rFonts w:hint="eastAsia" w:ascii="宋体" w:hAnsi="宋体"/>
                <w:color w:val="000000"/>
                <w:sz w:val="24"/>
                <w:szCs w:val="24"/>
              </w:rPr>
              <w:t xml:space="preserve"> 产品质量或外包装不符合国家规定标准的应及时退、换货；</w:t>
            </w:r>
            <w:r>
              <w:rPr>
                <w:rFonts w:hint="eastAsia" w:ascii="宋体" w:hAnsi="宋体"/>
                <w:color w:val="000000"/>
                <w:sz w:val="24"/>
                <w:szCs w:val="24"/>
              </w:rPr>
            </w:r>
            <w:r/>
          </w:p>
          <w:p>
            <w:pPr>
              <w:pStyle w:val="842"/>
              <w:ind w:firstLine="0"/>
              <w:rPr>
                <w:rFonts w:hint="eastAsia" w:ascii="宋体" w:hAnsi="宋体" w:cs="Times New Roman"/>
                <w:color w:val="000000"/>
                <w:sz w:val="24"/>
                <w:szCs w:val="24"/>
              </w:rPr>
            </w:pPr>
            <w:r>
              <w:rPr>
                <w:rFonts w:hint="eastAsia" w:ascii="宋体" w:hAnsi="宋体" w:cs="Times New Roman"/>
                <w:color w:val="000000"/>
                <w:sz w:val="24"/>
                <w:szCs w:val="24"/>
              </w:rPr>
              <w:t xml:space="preserve">2. 乙方所提供的产品须满足甲方需求；若乙方提供的货物不能满足要求的需无条件免费更换；若乙方不予更换的，甲方有权解除合同，且不予支付货款；给甲方造成损失的还应予以赔偿；</w:t>
            </w:r>
            <w:r>
              <w:rPr>
                <w:rFonts w:hint="eastAsia" w:ascii="宋体" w:hAnsi="宋体" w:cs="Times New Roman"/>
                <w:color w:val="000000"/>
                <w:sz w:val="24"/>
                <w:szCs w:val="24"/>
              </w:rPr>
            </w:r>
            <w:r/>
          </w:p>
          <w:p>
            <w:pPr>
              <w:pStyle w:val="830"/>
              <w:jc w:val="left"/>
              <w:rPr>
                <w:rFonts w:ascii="宋体" w:hAnsi="宋体"/>
                <w:color w:val="000000"/>
                <w:sz w:val="24"/>
                <w:highlight w:val="none"/>
              </w:rPr>
            </w:pPr>
            <w:r>
              <w:rPr>
                <w:rFonts w:hint="eastAsia" w:ascii="宋体" w:hAnsi="宋体"/>
                <w:color w:val="000000"/>
                <w:sz w:val="24"/>
                <w:highlight w:val="none"/>
                <w:lang w:val="en-US" w:eastAsia="zh-CN"/>
              </w:rPr>
              <w:t xml:space="preserve">3、依据商品的售后服务条款，乙方应负责产品的质量，</w:t>
            </w:r>
            <w:r>
              <w:rPr>
                <w:rFonts w:hint="eastAsia" w:ascii="宋体" w:hAnsi="宋体"/>
                <w:color w:val="000000"/>
                <w:sz w:val="24"/>
                <w:highlight w:val="none"/>
              </w:rPr>
              <w:t xml:space="preserve">如在使用过程中发生质量问题，乙方在接到甲方通知后在</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48    </w:t>
            </w:r>
            <w:r>
              <w:rPr>
                <w:rFonts w:hint="eastAsia" w:ascii="宋体" w:hAnsi="宋体"/>
                <w:color w:val="000000"/>
                <w:sz w:val="24"/>
                <w:highlight w:val="none"/>
              </w:rPr>
              <w:t xml:space="preserve">小时内到达甲方现场。</w:t>
            </w:r>
            <w:r>
              <w:rPr>
                <w:rFonts w:ascii="宋体" w:hAnsi="宋体"/>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hint="eastAsia" w:ascii="宋体" w:hAnsi="宋体"/>
                <w:color w:val="000000"/>
                <w:sz w:val="24"/>
                <w:highlight w:val="none"/>
              </w:rPr>
            </w:pPr>
            <w:r>
              <w:rPr>
                <w:rFonts w:hint="eastAsia" w:ascii="宋体" w:hAnsi="宋体"/>
                <w:color w:val="000000"/>
                <w:sz w:val="24"/>
                <w:highlight w:val="none"/>
              </w:rPr>
              <w:t xml:space="preserve">第8款补充</w:t>
            </w:r>
            <w:r>
              <w:rPr>
                <w:rFonts w:hint="eastAsia" w:ascii="宋体" w:hAnsi="宋体"/>
                <w:color w:val="000000"/>
                <w:sz w:val="24"/>
                <w:highlight w:val="none"/>
              </w:rPr>
            </w:r>
            <w:r/>
          </w:p>
        </w:tc>
        <w:tc>
          <w:tcPr>
            <w:tcW w:w="1789" w:type="dxa"/>
            <w:vAlign w:val="center"/>
            <w:textDirection w:val="lrTb"/>
            <w:noWrap w:val="false"/>
          </w:tcPr>
          <w:p>
            <w:pPr>
              <w:pStyle w:val="830"/>
              <w:jc w:val="left"/>
              <w:rPr>
                <w:rFonts w:hint="eastAsia" w:ascii="宋体" w:hAnsi="宋体"/>
                <w:color w:val="000000"/>
                <w:sz w:val="24"/>
                <w:highlight w:val="none"/>
              </w:rPr>
            </w:pPr>
            <w:r>
              <w:rPr>
                <w:rFonts w:hint="eastAsia" w:ascii="宋体" w:hAnsi="宋体"/>
                <w:color w:val="000000"/>
                <w:sz w:val="24"/>
                <w:highlight w:val="none"/>
              </w:rPr>
              <w:t xml:space="preserve">质量保证要求</w:t>
            </w:r>
            <w:r>
              <w:rPr>
                <w:rFonts w:hint="eastAsia"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 在质保期内，乙方应对货物出现的质量及安全问题负责处理解决并承担一切费用（因甲方不当使用的除外）。</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2.乙方应按照国家有关法律法规规章和“三包”规定以及招标文件售后服务要求及投标文件售后服务承诺提供售后服务。</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3.所有货物保修服务方式均为乙方上门保修，由乙方派员到货物使用现场维修，所产生的一切费用由乙方承担（双方视项目情况调整）。</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color w:val="000000"/>
                <w:sz w:val="24"/>
                <w:highlight w:val="none"/>
              </w:rPr>
            </w:r>
            <w:r/>
          </w:p>
          <w:p>
            <w:pPr>
              <w:pStyle w:val="838"/>
              <w:ind w:left="480" w:hanging="480"/>
              <w:spacing w:before="120" w:beforeAutospacing="0" w:after="120" w:afterAutospacing="0"/>
              <w:rPr>
                <w:rFonts w:hint="eastAsia" w:ascii="宋体" w:hAnsi="宋体"/>
                <w:color w:val="000000"/>
                <w:highlight w:val="none"/>
              </w:rPr>
            </w:pPr>
            <w:r>
              <w:rPr>
                <w:rFonts w:hint="eastAsia" w:ascii="宋体" w:hAnsi="宋体"/>
                <w:color w:val="000000"/>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color w:val="000000"/>
                <w:highlight w:val="none"/>
              </w:rPr>
            </w:r>
            <w:r/>
          </w:p>
        </w:tc>
      </w:tr>
      <w:tr>
        <w:trPr>
          <w:trHeight w:val="736"/>
        </w:trPr>
        <w:tc>
          <w:tcPr>
            <w:tcW w:w="1560" w:type="dxa"/>
            <w:vAlign w:val="center"/>
            <w:textDirection w:val="lrTb"/>
            <w:noWrap w:val="false"/>
          </w:tcPr>
          <w:p>
            <w:pPr>
              <w:pStyle w:val="830"/>
              <w:jc w:val="center"/>
              <w:rPr>
                <w:rFonts w:ascii="宋体" w:hAnsi="宋体" w:cs="宋体"/>
                <w:color w:val="000000"/>
                <w:sz w:val="24"/>
                <w:highlight w:val="none"/>
              </w:rPr>
            </w:pPr>
            <w:r>
              <w:rPr>
                <w:rFonts w:hint="eastAsia" w:ascii="宋体" w:hAnsi="宋体" w:cs="宋体"/>
                <w:color w:val="000000"/>
                <w:sz w:val="24"/>
                <w:highlight w:val="none"/>
              </w:rPr>
              <w:t xml:space="preserve">第二节</w:t>
            </w:r>
            <w:r>
              <w:rPr>
                <w:rFonts w:ascii="宋体" w:hAnsi="宋体" w:cs="宋体"/>
                <w:color w:val="000000"/>
                <w:sz w:val="24"/>
                <w:highlight w:val="none"/>
              </w:rPr>
            </w:r>
            <w:r/>
          </w:p>
          <w:p>
            <w:pPr>
              <w:pStyle w:val="830"/>
              <w:jc w:val="center"/>
              <w:spacing w:line="400" w:lineRule="exact"/>
              <w:widowControl/>
              <w:rPr>
                <w:rFonts w:ascii="华文楷体" w:hAnsi="华文楷体" w:eastAsia="华文楷体" w:cs="华文楷体"/>
                <w:color w:val="000000"/>
                <w:sz w:val="24"/>
                <w:highlight w:val="none"/>
              </w:rPr>
            </w:pPr>
            <w:r>
              <w:rPr>
                <w:rFonts w:hint="eastAsia" w:ascii="宋体" w:hAnsi="宋体" w:cs="宋体"/>
                <w:color w:val="000000"/>
                <w:sz w:val="24"/>
                <w:highlight w:val="none"/>
              </w:rPr>
              <w:t xml:space="preserve">第11.1款</w:t>
            </w:r>
            <w:r>
              <w:rPr>
                <w:rFonts w:ascii="华文楷体" w:hAnsi="华文楷体" w:eastAsia="华文楷体" w:cs="华文楷体"/>
                <w:color w:val="000000"/>
                <w:sz w:val="24"/>
                <w:highlight w:val="none"/>
              </w:rPr>
            </w:r>
            <w:r/>
          </w:p>
        </w:tc>
        <w:tc>
          <w:tcPr>
            <w:tcW w:w="1789" w:type="dxa"/>
            <w:vAlign w:val="center"/>
            <w:textDirection w:val="lrTb"/>
            <w:noWrap w:val="false"/>
          </w:tcPr>
          <w:p>
            <w:pPr>
              <w:pStyle w:val="830"/>
              <w:rPr>
                <w:rFonts w:ascii="宋体" w:hAnsi="宋体"/>
                <w:color w:val="000000"/>
                <w:sz w:val="24"/>
                <w:highlight w:val="none"/>
              </w:rPr>
            </w:pPr>
            <w:r>
              <w:rPr>
                <w:rFonts w:hint="eastAsia" w:ascii="宋体" w:hAnsi="宋体"/>
                <w:color w:val="000000"/>
                <w:sz w:val="24"/>
                <w:highlight w:val="none"/>
              </w:rPr>
              <w:t xml:space="preserve">其他应当保密的信息</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olor w:val="000000"/>
                <w:sz w:val="24"/>
                <w:highlight w:val="none"/>
              </w:rPr>
            </w:r>
            <w:r/>
          </w:p>
        </w:tc>
      </w:tr>
      <w:tr>
        <w:trPr>
          <w:trHeight w:val="697"/>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第12.2款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合同价款支付时间及要求</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1.合同款项的支付方式及进度安排：</w:t>
            </w:r>
            <w:r>
              <w:rPr>
                <w:rFonts w:ascii="宋体" w:hAnsi="宋体"/>
                <w:color w:val="000000"/>
                <w:sz w:val="24"/>
                <w:highlight w:val="none"/>
              </w:rPr>
            </w:r>
            <w:r/>
          </w:p>
          <w:p>
            <w:pPr>
              <w:pStyle w:val="830"/>
              <w:jc w:val="left"/>
              <w:rPr>
                <w:rFonts w:hint="eastAsia" w:ascii="宋体" w:hAnsi="宋体" w:eastAsia="宋体" w:cs="宋体"/>
                <w:b/>
                <w:bCs/>
                <w:color w:val="5b9bd5"/>
                <w:sz w:val="24"/>
                <w:szCs w:val="24"/>
                <w:highlight w:val="none"/>
                <w:u w:val="single"/>
              </w:rPr>
            </w:pPr>
            <w:r>
              <w:rPr>
                <w:rFonts w:hint="eastAsia" w:ascii="宋体" w:hAnsi="宋体" w:eastAsia="宋体" w:cs="宋体"/>
                <w:b/>
                <w:bCs/>
                <w:color w:val="5b9bd5"/>
                <w:sz w:val="24"/>
                <w:szCs w:val="24"/>
                <w:highlight w:val="none"/>
                <w:u w:val="single"/>
              </w:rPr>
              <w:t xml:space="preserve">合同签订时，经采购人与中标人根据实际情况协商一致，可支付合同总价的30%作为项目启动预付款；中标方按照采购人的要求将货物送到指定地点并完成安装调试，项目验收合格后，中标方提供全额发票，采购方付至项目总价90%,并无息退还履约保证金(如有),余款在一年后无质量、服务问题一次性付清。以上付款均不计任何利息和相关费用，付款一律通过银行结转。相关付款手续由用户单位由财政部门报批后办理。</w:t>
            </w:r>
            <w:r>
              <w:rPr>
                <w:rFonts w:hint="eastAsia" w:ascii="宋体" w:hAnsi="宋体" w:eastAsia="宋体" w:cs="宋体"/>
                <w:b/>
                <w:bCs/>
                <w:color w:val="5b9bd5"/>
                <w:sz w:val="24"/>
                <w:szCs w:val="24"/>
                <w:highlight w:val="none"/>
                <w:u w:val="single"/>
              </w:rPr>
            </w:r>
            <w:r/>
          </w:p>
          <w:p>
            <w:pPr>
              <w:pStyle w:val="835"/>
              <w:rPr>
                <w:rFonts w:hint="eastAsia" w:ascii="宋体" w:hAnsi="宋体" w:eastAsia="宋体" w:cs="宋体"/>
                <w:b/>
                <w:bCs/>
                <w:color w:val="5b9bd5"/>
                <w:sz w:val="24"/>
                <w:szCs w:val="24"/>
                <w:highlight w:val="none"/>
                <w:u w:val="single"/>
              </w:rPr>
            </w:pPr>
            <w:r>
              <w:rPr>
                <w:rFonts w:hint="eastAsia" w:ascii="宋体" w:hAnsi="宋体" w:eastAsia="宋体" w:cs="宋体"/>
                <w:b/>
                <w:bCs/>
                <w:color w:val="5b9bd5"/>
                <w:sz w:val="24"/>
                <w:szCs w:val="24"/>
                <w:highlight w:val="none"/>
                <w:u w:val="single"/>
              </w:rPr>
            </w:r>
            <w:r/>
          </w:p>
          <w:p>
            <w:pPr>
              <w:pStyle w:val="830"/>
              <w:ind w:firstLine="630"/>
              <w:spacing w:line="400" w:lineRule="exact"/>
              <w:rPr>
                <w:rFonts w:hint="eastAsia" w:ascii="宋体" w:hAnsi="宋体"/>
                <w:color w:val="5b9bd5"/>
                <w:szCs w:val="21"/>
                <w:highlight w:val="none"/>
                <w:u w:val="single"/>
              </w:rPr>
            </w:pPr>
            <w:r>
              <w:rPr>
                <w:rFonts w:hint="eastAsia" w:ascii="宋体" w:hAnsi="宋体"/>
                <w:color w:val="5b9bd5"/>
                <w:szCs w:val="21"/>
                <w:highlight w:val="none"/>
              </w:rPr>
              <w:t xml:space="preserve">其中涉及预付款的：</w:t>
            </w:r>
            <w:r>
              <w:rPr>
                <w:rFonts w:hint="eastAsia" w:ascii="宋体" w:hAnsi="宋体"/>
                <w:color w:val="5b9bd5"/>
                <w:szCs w:val="21"/>
                <w:highlight w:val="none"/>
                <w:u w:val="single"/>
              </w:rPr>
              <w:t xml:space="preserve"> 在签订合同时，中标人明确表示无需预付款或者主动要求降低预付款比例的金额，招标人可不适用预付款规定,但中标人需提供书面声明，采购人可就预付款比例作相应调整。</w:t>
            </w:r>
            <w:r>
              <w:rPr>
                <w:rFonts w:hint="eastAsia" w:ascii="宋体" w:hAnsi="宋体"/>
                <w:color w:val="5b9bd5"/>
                <w:szCs w:val="21"/>
                <w:highlight w:val="none"/>
                <w:u w:val="singl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(1) 发票；</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 制造厂家出具的质量检验证书等；</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 装箱单；</w:t>
            </w:r>
            <w:r>
              <w:rPr>
                <w:rFonts w:ascii="宋体" w:hAnsi="宋体"/>
                <w:color w:val="000000"/>
                <w:sz w:val="24"/>
                <w:highlight w:val="none"/>
              </w:rPr>
            </w:r>
            <w:r/>
          </w:p>
          <w:p>
            <w:pPr>
              <w:pStyle w:val="830"/>
              <w:jc w:val="left"/>
              <w:rPr>
                <w:color w:val="000000"/>
                <w:sz w:val="24"/>
                <w:highlight w:val="none"/>
              </w:rPr>
            </w:pPr>
            <w:r>
              <w:rPr>
                <w:rFonts w:hint="eastAsia" w:ascii="宋体" w:hAnsi="宋体"/>
                <w:color w:val="000000"/>
                <w:sz w:val="24"/>
                <w:highlight w:val="none"/>
              </w:rPr>
              <w:t xml:space="preserve">(4) 甲方加盖公章证明交付使用合格的验收单。</w:t>
            </w:r>
            <w:r>
              <w:rPr>
                <w:color w:val="000000"/>
                <w:sz w:val="24"/>
                <w:highlight w:val="none"/>
              </w:rPr>
            </w:r>
            <w:r/>
          </w:p>
        </w:tc>
      </w:tr>
      <w:tr>
        <w:trPr>
          <w:trHeight w:val="697"/>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第13.2款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履约保证金不予退还的情形</w:t>
            </w:r>
            <w:r>
              <w:rPr>
                <w:rFonts w:ascii="宋体" w:hAnsi="宋体"/>
                <w:color w:val="000000"/>
                <w:sz w:val="24"/>
                <w:highlight w:val="none"/>
              </w:rPr>
            </w:r>
            <w:r/>
          </w:p>
        </w:tc>
        <w:tc>
          <w:tcPr>
            <w:tcW w:w="5382" w:type="dxa"/>
            <w:vAlign w:val="center"/>
            <w:textDirection w:val="lrTb"/>
            <w:noWrap w:val="false"/>
          </w:tcPr>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除不可抗力情况外，投标人出现下列情形之一的，其履约保证金，招标人将视情节决定不予退还或部分不予退还。</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（1）中标人无正当理由拒绝签订合同的，或者在签订合同时向采购人提出附加条件或者更改合同实质性内容要求的；</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（2）中标人不履行与采购人订立的合同的；</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（3）中标人所供货物或服务不符合招标文件规定要求的；</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（4）中标人采取欺骗、弄虚作假方式投标的或与</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投标人串通投标的；</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（5）中标人将合同内容转包、违法分包的；</w:t>
            </w:r>
            <w:r>
              <w:rPr>
                <w:rFonts w:ascii="宋体" w:hAnsi="宋体" w:cs="宋体"/>
                <w:color w:val="000000"/>
                <w:sz w:val="24"/>
                <w:highlight w:val="none"/>
              </w:rPr>
            </w:r>
            <w:r/>
          </w:p>
          <w:p>
            <w:pPr>
              <w:pStyle w:val="830"/>
              <w:spacing w:line="360" w:lineRule="auto"/>
              <w:rPr>
                <w:rFonts w:ascii="宋体" w:hAnsi="宋体"/>
                <w:color w:val="000000"/>
                <w:sz w:val="24"/>
                <w:highlight w:val="none"/>
              </w:rPr>
            </w:pPr>
            <w:r>
              <w:rPr>
                <w:rFonts w:hint="eastAsia" w:ascii="宋体" w:hAnsi="宋体" w:cs="宋体"/>
                <w:color w:val="000000"/>
                <w:sz w:val="24"/>
                <w:highlight w:val="none"/>
              </w:rPr>
              <w:t xml:space="preserve">（6）中标人故意捏造事实或伪造证明材料，进行虚假恶意投诉或反映的。</w:t>
            </w:r>
            <w:r>
              <w:rPr>
                <w:rFonts w:ascii="宋体" w:hAnsi="宋体"/>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第13.3款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s="宋体"/>
                <w:color w:val="000000"/>
                <w:sz w:val="24"/>
                <w:highlight w:val="none"/>
              </w:rPr>
            </w:pPr>
            <w:r>
              <w:rPr>
                <w:rFonts w:hint="eastAsia" w:ascii="宋体" w:hAnsi="宋体" w:cs="宋体"/>
                <w:color w:val="000000"/>
                <w:sz w:val="24"/>
                <w:highlight w:val="none"/>
              </w:rPr>
              <w:t xml:space="preserve">履约保证金退还时间及逾期退还的违约金</w:t>
            </w:r>
            <w:r>
              <w:rPr>
                <w:rFonts w:ascii="宋体" w:hAnsi="宋体" w:cs="宋体"/>
                <w:color w:val="000000"/>
                <w:sz w:val="24"/>
                <w:highlight w:val="none"/>
              </w:rPr>
            </w:r>
            <w:r/>
          </w:p>
        </w:tc>
        <w:tc>
          <w:tcPr>
            <w:tcW w:w="5382" w:type="dxa"/>
            <w:vAlign w:val="center"/>
            <w:textDirection w:val="lrTb"/>
            <w:noWrap w:val="false"/>
          </w:tcPr>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1、合同履行结束后，甲方应及时退还交纳的履约保证金。</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2、退还方式：退还至投标人缴纳履约保证金的账户。如为保函，在到期时自行失效。</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3、退还时间：验收合格且甲方收到发票后30日内。</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4、退还条件：按合同要求全部履约完成并经采购人验收合格，且采购人收到中标人出具的发票。</w:t>
            </w:r>
            <w:r>
              <w:rPr>
                <w:rFonts w:ascii="宋体" w:hAnsi="宋体" w:cs="宋体"/>
                <w:color w:val="000000"/>
                <w:sz w:val="24"/>
                <w:highlight w:val="none"/>
              </w:rPr>
            </w:r>
            <w:r/>
          </w:p>
          <w:p>
            <w:pPr>
              <w:pStyle w:val="8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color w:val="000000"/>
                <w:sz w:val="24"/>
                <w:highlight w:val="none"/>
              </w:rPr>
            </w:r>
            <w:r/>
          </w:p>
        </w:tc>
      </w:tr>
      <w:tr>
        <w:trPr>
          <w:trHeight w:val="784"/>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第14.1（3）项</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运行监督、维修期限</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szCs w:val="24"/>
                <w:highlight w:val="none"/>
              </w:rPr>
              <w:t xml:space="preserve">本合同标的的使用期。</w:t>
            </w:r>
            <w:r>
              <w:rPr>
                <w:rFonts w:ascii="宋体" w:hAnsi="宋体"/>
                <w:color w:val="000000"/>
                <w:sz w:val="24"/>
                <w:highlight w:val="none"/>
              </w:rPr>
            </w:r>
            <w:r/>
          </w:p>
        </w:tc>
      </w:tr>
      <w:tr>
        <w:trPr>
          <w:trHeight w:val="784"/>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第14.1（5）项</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货物回收的约定</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szCs w:val="24"/>
                <w:highlight w:val="none"/>
              </w:rPr>
              <w:t xml:space="preserve">无</w:t>
            </w:r>
            <w:r>
              <w:rPr>
                <w:rFonts w:ascii="宋体" w:hAnsi="宋体"/>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第14.1（6）项</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乙方提供的其他服务</w:t>
            </w:r>
            <w:r>
              <w:rPr>
                <w:rFonts w:ascii="宋体" w:hAnsi="宋体"/>
                <w:color w:val="000000"/>
                <w:sz w:val="24"/>
                <w:highlight w:val="none"/>
              </w:rPr>
            </w:r>
            <w:r/>
          </w:p>
        </w:tc>
        <w:tc>
          <w:tcPr>
            <w:tcW w:w="5382" w:type="dxa"/>
            <w:vAlign w:val="center"/>
            <w:textDirection w:val="lrTb"/>
            <w:noWrap w:val="false"/>
          </w:tcPr>
          <w:p>
            <w:pPr>
              <w:pStyle w:val="830"/>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olor w:val="000000"/>
                <w:sz w:val="24"/>
                <w:szCs w:val="24"/>
              </w:rPr>
              <w:t xml:space="preserve"> 原则上中标人需在收到采购人供货通知后72小时内送达，加急供货的应在24小时内送达</w:t>
            </w:r>
            <w:r>
              <w:rPr>
                <w:rFonts w:hint="eastAsia" w:ascii="宋体" w:hAnsi="宋体" w:cs="宋体"/>
                <w:color w:val="000000"/>
                <w:sz w:val="24"/>
              </w:rPr>
              <w:t xml:space="preserve">；</w:t>
            </w:r>
            <w:r>
              <w:rPr>
                <w:rFonts w:hint="eastAsia" w:ascii="宋体" w:hAnsi="宋体" w:cs="宋体"/>
                <w:color w:val="000000"/>
                <w:sz w:val="24"/>
              </w:rPr>
            </w:r>
            <w:r/>
          </w:p>
          <w:p>
            <w:pPr>
              <w:pStyle w:val="835"/>
              <w:spacing w:after="0"/>
              <w:rPr>
                <w:rFonts w:hint="eastAsia" w:ascii="宋体" w:hAnsi="宋体" w:cs="宋体"/>
                <w:color w:val="000000"/>
                <w:sz w:val="24"/>
              </w:rPr>
            </w:pPr>
            <w:r>
              <w:rPr>
                <w:rFonts w:hint="eastAsia" w:ascii="宋体" w:hAnsi="宋体" w:cs="宋体"/>
                <w:color w:val="000000"/>
                <w:sz w:val="24"/>
              </w:rPr>
              <w:t xml:space="preserve">2. 产品质量或外包装不符合国家规定标准的应及时退、换货；</w:t>
            </w:r>
            <w:r>
              <w:rPr>
                <w:rFonts w:hint="eastAsia" w:ascii="宋体" w:hAnsi="宋体" w:cs="宋体"/>
                <w:color w:val="000000"/>
                <w:sz w:val="24"/>
              </w:rPr>
            </w:r>
            <w:r/>
          </w:p>
          <w:p>
            <w:pPr>
              <w:pStyle w:val="830"/>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highlight w:val="none"/>
              </w:rPr>
              <w:t xml:space="preserve">. </w:t>
            </w:r>
            <w:r>
              <w:rPr>
                <w:rFonts w:hint="eastAsia" w:ascii="宋体" w:hAnsi="宋体"/>
                <w:color w:val="000000"/>
                <w:highlight w:val="none"/>
              </w:rPr>
              <w:t xml:space="preserve">质保期需执行厂家质保</w:t>
            </w:r>
            <w:r>
              <w:rPr>
                <w:rFonts w:hint="eastAsia" w:ascii="宋体" w:hAnsi="宋体"/>
                <w:color w:val="000000"/>
                <w:highlight w:val="none"/>
                <w:lang w:eastAsia="zh-CN"/>
              </w:rPr>
              <w:t xml:space="preserve">且</w:t>
            </w:r>
            <w:r>
              <w:rPr>
                <w:rFonts w:hint="eastAsia" w:ascii="宋体" w:hAnsi="宋体"/>
                <w:color w:val="000000"/>
                <w:highlight w:val="none"/>
              </w:rPr>
              <w:t xml:space="preserve">货物免费质保期</w:t>
            </w:r>
            <w:r>
              <w:rPr>
                <w:rFonts w:hint="eastAsia" w:ascii="宋体" w:hAnsi="宋体"/>
                <w:color w:val="000000"/>
                <w:highlight w:val="none"/>
                <w:lang w:eastAsia="zh-CN"/>
              </w:rPr>
              <w:t xml:space="preserve">不得少于</w:t>
            </w:r>
            <w:r>
              <w:rPr>
                <w:rFonts w:hint="eastAsia" w:ascii="宋体" w:hAnsi="宋体"/>
                <w:color w:val="000000"/>
                <w:highlight w:val="none"/>
                <w:u w:val="single"/>
              </w:rPr>
              <w:t xml:space="preserve">  </w:t>
            </w:r>
            <w:r>
              <w:rPr>
                <w:rFonts w:hint="eastAsia" w:ascii="宋体" w:hAnsi="宋体"/>
                <w:color w:val="000000"/>
                <w:highlight w:val="none"/>
                <w:u w:val="single"/>
                <w:lang w:val="en-US" w:eastAsia="zh-CN"/>
              </w:rPr>
              <w:t xml:space="preserve">1</w:t>
            </w:r>
            <w:r>
              <w:rPr>
                <w:rFonts w:hint="eastAsia" w:ascii="宋体" w:hAnsi="宋体"/>
                <w:color w:val="000000"/>
                <w:highlight w:val="none"/>
                <w:u w:val="single"/>
              </w:rPr>
              <w:t xml:space="preserve">   年</w:t>
            </w:r>
            <w:r>
              <w:rPr>
                <w:rFonts w:hint="eastAsia" w:ascii="宋体" w:hAnsi="宋体"/>
                <w:color w:val="000000"/>
                <w:highlight w:val="none"/>
              </w:rPr>
              <w:t xml:space="preserve">。（</w:t>
            </w:r>
            <w:r>
              <w:rPr>
                <w:rFonts w:hint="eastAsia" w:ascii="宋体" w:hAnsi="宋体" w:cs="宋体"/>
                <w:color w:val="000000"/>
                <w:highlight w:val="none"/>
              </w:rPr>
              <w:t xml:space="preserve">自交货验收合格之日起计），因人为因素出现的故障不在免费保修范围内。超过保修期的机器设备，</w:t>
            </w:r>
            <w:r>
              <w:rPr>
                <w:rFonts w:hint="eastAsia" w:ascii="宋体" w:hAnsi="宋体" w:cs="宋体"/>
                <w:color w:val="000000"/>
                <w:highlight w:val="none"/>
                <w:lang w:eastAsia="zh-CN"/>
              </w:rPr>
              <w:t xml:space="preserve">终身维修</w:t>
            </w:r>
            <w:r>
              <w:rPr>
                <w:rFonts w:hint="eastAsia" w:ascii="宋体" w:hAnsi="宋体" w:cs="宋体"/>
                <w:color w:val="000000"/>
                <w:highlight w:val="none"/>
              </w:rPr>
              <w:t xml:space="preserve">，维修时只收部件成本费。</w:t>
            </w:r>
            <w:r>
              <w:rPr>
                <w:rFonts w:hint="eastAsia" w:ascii="宋体" w:hAnsi="宋体" w:cs="宋体"/>
                <w:color w:val="000000"/>
                <w:sz w:val="24"/>
              </w:rPr>
            </w:r>
            <w:r/>
          </w:p>
          <w:p>
            <w:pPr>
              <w:pStyle w:val="830"/>
              <w:jc w:val="left"/>
              <w:rPr>
                <w:rFonts w:hint="eastAsia" w:ascii="宋体" w:hAnsi="宋体" w:eastAsia="宋体"/>
                <w:color w:val="000000"/>
                <w:sz w:val="24"/>
                <w:highlight w:val="none"/>
                <w:lang w:val="en-US" w:eastAsia="zh-CN"/>
              </w:rPr>
            </w:pPr>
            <w:r>
              <w:rPr>
                <w:rFonts w:hint="eastAsia" w:ascii="宋体" w:hAnsi="宋体" w:cs="宋体"/>
                <w:color w:val="000000"/>
                <w:sz w:val="24"/>
              </w:rPr>
              <w:t xml:space="preserve">4. 中标人所提供的产品须满足采购人需求；若中标人提供的货物不能满足要求的需无条件免费更换；若中标人不予更换的，采购人有权解除合同，且不予支付货款；给采购人造成损失的还应予以赔偿</w:t>
            </w:r>
            <w:r>
              <w:rPr>
                <w:rFonts w:hint="eastAsia" w:ascii="宋体" w:hAnsi="宋体" w:cs="宋体"/>
                <w:color w:val="000000"/>
                <w:sz w:val="24"/>
                <w:lang w:eastAsia="zh-CN"/>
              </w:rPr>
              <w:t xml:space="preserve">。</w:t>
            </w:r>
            <w:r>
              <w:rPr>
                <w:rFonts w:hint="eastAsia" w:ascii="宋体" w:hAnsi="宋体" w:eastAsia="宋体"/>
                <w:color w:val="000000"/>
                <w:sz w:val="24"/>
                <w:highlight w:val="none"/>
                <w:lang w:val="en-US" w:eastAsia="zh-CN"/>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第15.1款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修理、重</w:t>
            </w:r>
            <w:r>
              <w:rPr>
                <w:rFonts w:hint="eastAsia" w:ascii="宋体" w:hAnsi="宋体"/>
                <w:color w:val="000000"/>
                <w:sz w:val="24"/>
                <w:highlight w:val="none"/>
                <w:lang w:eastAsia="zh-CN"/>
              </w:rPr>
              <w:t xml:space="preserve">做</w:t>
            </w:r>
            <w:r>
              <w:rPr>
                <w:rFonts w:hint="eastAsia" w:ascii="宋体" w:hAnsi="宋体"/>
                <w:color w:val="000000"/>
                <w:sz w:val="24"/>
                <w:highlight w:val="none"/>
              </w:rPr>
              <w:t xml:space="preserve">、更换相关具体规定</w:t>
            </w:r>
            <w:r>
              <w:rPr>
                <w:rFonts w:ascii="宋体" w:hAnsi="宋体"/>
                <w:color w:val="000000"/>
                <w:sz w:val="24"/>
                <w:highlight w:val="none"/>
              </w:rPr>
            </w:r>
            <w:r/>
          </w:p>
        </w:tc>
        <w:tc>
          <w:tcPr>
            <w:tcW w:w="5382" w:type="dxa"/>
            <w:vAlign w:val="center"/>
            <w:textDirection w:val="lrTb"/>
            <w:noWrap w:val="false"/>
          </w:tcPr>
          <w:p>
            <w:pPr>
              <w:pStyle w:val="830"/>
              <w:numPr>
                <w:ilvl w:val="0"/>
                <w:numId w:val="9"/>
              </w:numPr>
              <w:jc w:val="left"/>
              <w:rPr>
                <w:rFonts w:ascii="宋体" w:hAnsi="宋体"/>
                <w:color w:val="000000"/>
                <w:sz w:val="24"/>
                <w:highlight w:val="none"/>
              </w:rPr>
            </w:pPr>
            <w:r>
              <w:rPr>
                <w:rFonts w:hint="eastAsia" w:ascii="宋体" w:hAnsi="宋体"/>
                <w:color w:val="000000"/>
                <w:sz w:val="24"/>
                <w:highlight w:val="none"/>
              </w:rPr>
              <w:t xml:space="preserve">详见合同通用条款8.2条款、合同专用条款第二节第8款补充条款及合同专用条款中索赔条款。</w:t>
            </w:r>
            <w:r>
              <w:rPr>
                <w:rFonts w:ascii="宋体" w:hAnsi="宋体"/>
                <w:color w:val="000000"/>
                <w:sz w:val="24"/>
                <w:highlight w:val="none"/>
              </w:rPr>
            </w:r>
            <w:r/>
          </w:p>
          <w:p>
            <w:pPr>
              <w:pStyle w:val="830"/>
              <w:numPr>
                <w:ilvl w:val="0"/>
                <w:numId w:val="9"/>
              </w:numPr>
              <w:jc w:val="left"/>
              <w:rPr>
                <w:rFonts w:ascii="宋体" w:hAnsi="宋体"/>
                <w:color w:val="000000"/>
                <w:sz w:val="24"/>
                <w:highlight w:val="none"/>
              </w:rPr>
            </w:pPr>
            <w:r>
              <w:rPr>
                <w:rFonts w:hint="eastAsia" w:ascii="宋体" w:hAnsi="宋体"/>
                <w:color w:val="000000"/>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olor w:val="000000"/>
                <w:sz w:val="24"/>
                <w:highlight w:val="non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第15.2（2）项</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迟延交货赔偿费</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1.乙方应按照“开标（报价）一览表”中规定的交货期或承诺交货和提供服务，并交付甲方验收使用。</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2.如果乙方无正当理由拖延交货，将受到以下制裁：加收误期赔偿或终止合同。</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 乙方逾期交付货物的，乙方应按逾期交货总额每日</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千分之五</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向甲方支付违约金，由甲方从待付货款中扣除。逾期超过约定日期</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的违约金，如造成甲方损失超过违约金的，超出部分由乙方继续承担赔偿责任。 </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4.如乙方不能交付货物，或者有违法转包他人情形，乙方应向甲方支付合同总价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的滞纳金。</w:t>
            </w:r>
            <w:r>
              <w:rPr>
                <w:rFonts w:ascii="宋体" w:hAnsi="宋体"/>
                <w:color w:val="000000"/>
                <w:sz w:val="24"/>
                <w:highlight w:val="none"/>
              </w:rPr>
            </w:r>
            <w:r/>
          </w:p>
          <w:p>
            <w:pPr>
              <w:pStyle w:val="830"/>
              <w:jc w:val="left"/>
              <w:rPr>
                <w:rFonts w:ascii="宋体" w:hAnsi="宋体"/>
                <w:color w:val="000000"/>
                <w:sz w:val="24"/>
                <w:highlight w:val="none"/>
                <w:u w:val="single"/>
              </w:rPr>
            </w:pPr>
            <w:r>
              <w:rPr>
                <w:rFonts w:ascii="宋体" w:hAnsi="宋体"/>
                <w:color w:val="000000"/>
                <w:sz w:val="24"/>
                <w:highlight w:val="none"/>
                <w:u w:val="single"/>
              </w:rPr>
            </w:r>
            <w:r/>
          </w:p>
        </w:tc>
      </w:tr>
      <w:tr>
        <w:trPr>
          <w:trHeight w:val="73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第15.3款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逾期付款利息</w:t>
            </w:r>
            <w:r>
              <w:rPr>
                <w:rFonts w:ascii="宋体" w:hAnsi="宋体"/>
                <w:color w:val="000000"/>
                <w:sz w:val="24"/>
                <w:highlight w:val="none"/>
              </w:rPr>
            </w:r>
            <w:r/>
          </w:p>
        </w:tc>
        <w:tc>
          <w:tcPr>
            <w:tcW w:w="5382" w:type="dxa"/>
            <w:vAlign w:val="center"/>
            <w:textDirection w:val="lrTb"/>
            <w:noWrap w:val="false"/>
          </w:tcPr>
          <w:p>
            <w:pPr>
              <w:pStyle w:val="838"/>
              <w:ind w:left="410" w:hanging="410"/>
              <w:jc w:val="both"/>
              <w:spacing w:before="120" w:beforeAutospacing="0" w:after="120" w:afterAutospacing="0"/>
              <w:rPr>
                <w:color w:val="000000"/>
                <w:highlight w:val="none"/>
              </w:rPr>
            </w:pPr>
            <w:r>
              <w:rPr>
                <w:rFonts w:hint="eastAsia" w:ascii="宋体" w:hAnsi="宋体" w:cs="宋体"/>
                <w:color w:val="000000"/>
                <w:highlight w:val="none"/>
              </w:rPr>
              <w:t xml:space="preserve">1.甲方无正当理由拒收货物的，甲方向乙方偿付拒收货款总值</w:t>
            </w:r>
            <w:r>
              <w:rPr>
                <w:rFonts w:hint="eastAsia" w:ascii="宋体" w:hAnsi="宋体" w:cs="宋体"/>
                <w:color w:val="000000"/>
                <w:highlight w:val="none"/>
                <w:u w:val="single"/>
              </w:rPr>
              <w:t xml:space="preserve"> </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的违约金。</w:t>
            </w:r>
            <w:r>
              <w:rPr>
                <w:color w:val="000000"/>
                <w:highlight w:val="none"/>
              </w:rPr>
            </w:r>
            <w:r/>
          </w:p>
          <w:p>
            <w:pPr>
              <w:pStyle w:val="838"/>
              <w:ind w:left="410" w:hanging="410"/>
              <w:jc w:val="both"/>
              <w:spacing w:before="120" w:beforeAutospacing="0" w:after="120" w:afterAutospacing="0"/>
              <w:rPr>
                <w:rFonts w:ascii="宋体" w:hAnsi="宋体"/>
                <w:color w:val="000000"/>
                <w:highlight w:val="none"/>
                <w:u w:val="single"/>
              </w:rPr>
            </w:pPr>
            <w:r>
              <w:rPr>
                <w:rFonts w:hint="eastAsia" w:ascii="宋体" w:hAnsi="宋体" w:cs="宋体"/>
                <w:color w:val="000000"/>
                <w:highlight w:val="none"/>
              </w:rPr>
              <w:t xml:space="preserve">2.甲方无故逾期验收和办理货款支付手续的,甲方应按逾期付款总额每日</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eastAsia="zh-CN"/>
              </w:rPr>
              <w:t xml:space="preserve">按银行同期利息</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向乙方支付违约金。</w:t>
            </w:r>
            <w:r>
              <w:rPr>
                <w:rFonts w:ascii="宋体" w:hAnsi="宋体"/>
                <w:color w:val="000000"/>
                <w:highlight w:val="none"/>
                <w:u w:val="single"/>
              </w:rPr>
            </w:r>
            <w:r/>
          </w:p>
        </w:tc>
      </w:tr>
      <w:tr>
        <w:trPr>
          <w:trHeight w:val="876"/>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第15.4款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其他违约责任</w:t>
            </w:r>
            <w:r>
              <w:rPr>
                <w:rFonts w:ascii="宋体" w:hAnsi="宋体"/>
                <w:color w:val="000000"/>
                <w:sz w:val="24"/>
                <w:highlight w:val="none"/>
              </w:rPr>
            </w:r>
            <w:r/>
          </w:p>
        </w:tc>
        <w:tc>
          <w:tcPr>
            <w:tcW w:w="5382" w:type="dxa"/>
            <w:vAlign w:val="center"/>
            <w:textDirection w:val="lrTb"/>
            <w:noWrap w:val="false"/>
          </w:tcPr>
          <w:p>
            <w:pPr>
              <w:pStyle w:val="830"/>
              <w:jc w:val="left"/>
              <w:rPr>
                <w:rFonts w:hint="eastAsia" w:ascii="宋体" w:hAnsi="宋体"/>
                <w:b w:val="0"/>
                <w:bCs w:val="0"/>
                <w:color w:val="000000"/>
                <w:sz w:val="24"/>
                <w:szCs w:val="24"/>
              </w:rPr>
            </w:pPr>
            <w:r>
              <w:rPr>
                <w:rFonts w:hint="eastAsia" w:ascii="宋体" w:hAnsi="宋体"/>
                <w:b w:val="0"/>
                <w:bCs w:val="0"/>
                <w:color w:val="000000"/>
                <w:sz w:val="24"/>
                <w:szCs w:val="24"/>
              </w:rPr>
              <w:t xml:space="preserve">1.在合同有效期内，甲方不得以无正当理由拒收合同标的。</w:t>
            </w:r>
            <w:r>
              <w:rPr>
                <w:rFonts w:hint="eastAsia" w:ascii="宋体" w:hAnsi="宋体"/>
                <w:b w:val="0"/>
                <w:bCs w:val="0"/>
                <w:color w:val="000000"/>
                <w:sz w:val="24"/>
                <w:szCs w:val="24"/>
              </w:rPr>
            </w:r>
            <w:r/>
          </w:p>
          <w:p>
            <w:pPr>
              <w:pStyle w:val="830"/>
              <w:jc w:val="left"/>
              <w:rPr>
                <w:rFonts w:ascii="宋体" w:hAnsi="宋体"/>
                <w:color w:val="000000"/>
                <w:sz w:val="24"/>
                <w:highlight w:val="none"/>
                <w:u w:val="single"/>
              </w:rPr>
            </w:pPr>
            <w:r>
              <w:rPr>
                <w:rFonts w:hint="eastAsia" w:ascii="宋体" w:hAnsi="宋体"/>
                <w:b w:val="0"/>
                <w:bCs w:val="0"/>
                <w:color w:val="000000"/>
                <w:sz w:val="24"/>
                <w:szCs w:val="24"/>
              </w:rPr>
              <w:t xml:space="preserve">2.乙方所交的合同标的的品种、型号、规格、技术参数、质量不符合合同规定及招标文件规定标准的，甲方有权拒收该标的，乙方愿意更换标的但逾期交货的，按乙方逾期交货处理。乙方拒绝更换标的的，甲方可单方面解除合同。</w:t>
            </w:r>
            <w:r>
              <w:rPr>
                <w:rFonts w:ascii="宋体" w:hAnsi="宋体"/>
                <w:color w:val="000000"/>
                <w:sz w:val="24"/>
                <w:highlight w:val="none"/>
                <w:u w:val="single"/>
              </w:rPr>
            </w:r>
            <w:r/>
          </w:p>
        </w:tc>
      </w:tr>
      <w:tr>
        <w:trPr>
          <w:trHeight w:val="90"/>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第19.2款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解决争议的方法</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1.因本合同及合同有关事项发生的争议，由双方协商解决，协商不成时，按下列第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种方式解决：</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（1）向仲裁委员会申请仲裁，仲裁地点为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盐城市射阳县</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（2）向甲方所在地人民法院起诉。</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 纠纷解决办法</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color w:val="000000"/>
                <w:sz w:val="24"/>
                <w:highlight w:val="none"/>
              </w:rPr>
            </w:r>
            <w:r/>
          </w:p>
        </w:tc>
      </w:tr>
      <w:tr>
        <w:trPr>
          <w:trHeight w:val="770"/>
        </w:trPr>
        <w:tc>
          <w:tcPr>
            <w:tcW w:w="1560" w:type="dxa"/>
            <w:vAlign w:val="center"/>
            <w:textDirection w:val="lrTb"/>
            <w:noWrap w:val="false"/>
          </w:tcPr>
          <w:p>
            <w:pPr>
              <w:pStyle w:val="830"/>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30"/>
              <w:jc w:val="center"/>
              <w:rPr>
                <w:rFonts w:ascii="宋体" w:hAnsi="宋体"/>
                <w:color w:val="000000"/>
                <w:sz w:val="24"/>
                <w:highlight w:val="none"/>
              </w:rPr>
            </w:pPr>
            <w:r>
              <w:rPr>
                <w:rFonts w:hint="eastAsia" w:ascii="宋体" w:hAnsi="宋体"/>
                <w:color w:val="000000"/>
                <w:sz w:val="24"/>
                <w:highlight w:val="none"/>
              </w:rPr>
              <w:t xml:space="preserve">第23.1款</w:t>
            </w: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bCs/>
                <w:color w:val="000000"/>
                <w:sz w:val="24"/>
                <w:highlight w:val="none"/>
              </w:rPr>
              <w:t xml:space="preserve">其他专用条款</w:t>
            </w: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3.验收不合格的货物，乙方应在</w:t>
            </w:r>
            <w:r>
              <w:rPr>
                <w:rFonts w:hint="eastAsia" w:ascii="宋体" w:hAnsi="宋体"/>
                <w:color w:val="000000"/>
                <w:sz w:val="24"/>
                <w:highlight w:val="none"/>
                <w:u w:val="single"/>
                <w:lang w:eastAsia="zh-CN"/>
              </w:rPr>
              <w:t xml:space="preserve">履约期限</w:t>
            </w:r>
            <w:r>
              <w:rPr>
                <w:rFonts w:hint="eastAsia" w:ascii="宋体" w:hAnsi="宋体"/>
                <w:color w:val="000000"/>
                <w:sz w:val="24"/>
                <w:highlight w:val="none"/>
              </w:rPr>
              <w:t xml:space="preserve">内予以更换，逾期按交货延误予以处罚。乙方所交付的货物品种、型号、规格不符合合同规定的，甲方有权拒收。甲方拒收的，乙方向甲方支付货款总额</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4.货物验收要求</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（1）依照招标文件要求对全部货物、型号、规格、数量、外型、外观、包装及资料、文件（如装箱单、保修单、随箱介质等）进行验收。</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（2）甲方与乙方对货物到货后共同进行开箱检查，出现损坏、数量不全或产品不对等问题时，由乙方负责解决。</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（3）甲方有权从乙方所送货物中任意抽出不同型号的产品送采购人所在地的质检部门检验，如果检验合格，检验费由甲方负担；如果检验不合格，则检验费由乙方负担。</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（4）乙方应按照本合同规定的时间、地点和方式向乙方交付货物。</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交货时间：</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45</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日前完成供货（安装）并交付使用。</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交货地点：</w:t>
            </w:r>
            <w:r>
              <w:rPr>
                <w:rFonts w:hint="eastAsia" w:ascii="宋体" w:hAnsi="宋体"/>
                <w:b/>
                <w:bCs/>
                <w:color w:val="000000"/>
                <w:sz w:val="24"/>
                <w:highlight w:val="none"/>
                <w:u w:val="single"/>
              </w:rPr>
              <w:t xml:space="preserve">射阳县综合检验检测中心指定地点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（5）甲方应在全部货物到货安装完毕后进行验收，验收包括：型号、规格、数量、外观是否完好，安装调试是否合格等。验收合格后甲方应在验收报告上签字盖章，初步验收合格且项目运行满</w:t>
            </w:r>
            <w:r>
              <w:rPr>
                <w:rFonts w:hint="eastAsia" w:ascii="宋体" w:hAnsi="宋体"/>
                <w:color w:val="000000"/>
                <w:sz w:val="24"/>
                <w:highlight w:val="none"/>
                <w:u w:val="single"/>
              </w:rPr>
              <w:t xml:space="preserve"> 30日后</w:t>
            </w:r>
            <w:r>
              <w:rPr>
                <w:rFonts w:hint="eastAsia" w:ascii="宋体" w:hAnsi="宋体"/>
                <w:color w:val="000000"/>
                <w:sz w:val="24"/>
                <w:highlight w:val="none"/>
              </w:rPr>
              <w:t xml:space="preserve">后，甲方组织对货物的质量及使用状况等进行最终验收。</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color w:val="000000"/>
                <w:sz w:val="24"/>
                <w:highlight w:val="none"/>
              </w:rPr>
            </w:r>
            <w:r/>
          </w:p>
          <w:p>
            <w:pPr>
              <w:pStyle w:val="830"/>
              <w:jc w:val="left"/>
              <w:rPr>
                <w:rFonts w:ascii="宋体" w:hAnsi="宋体"/>
                <w:color w:val="000000"/>
                <w:sz w:val="24"/>
                <w:highlight w:val="none"/>
              </w:rPr>
            </w:pPr>
            <w:r>
              <w:rPr>
                <w:rFonts w:ascii="宋体" w:hAnsi="宋体"/>
                <w:color w:val="000000"/>
                <w:sz w:val="24"/>
                <w:highlight w:val="none"/>
              </w:rPr>
            </w:r>
            <w:r/>
          </w:p>
        </w:tc>
      </w:tr>
      <w:tr>
        <w:trPr>
          <w:trHeight w:val="770"/>
        </w:trPr>
        <w:tc>
          <w:tcPr>
            <w:tcW w:w="1560" w:type="dxa"/>
            <w:vAlign w:val="center"/>
            <w:textDirection w:val="lrTb"/>
            <w:noWrap w:val="false"/>
          </w:tcPr>
          <w:p>
            <w:pPr>
              <w:pStyle w:val="830"/>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bCs/>
                <w:color w:val="000000"/>
                <w:sz w:val="24"/>
                <w:highlight w:val="none"/>
              </w:rPr>
            </w:pPr>
            <w:r>
              <w:rPr>
                <w:rFonts w:hint="eastAsia" w:ascii="宋体" w:hAnsi="宋体"/>
                <w:bCs/>
                <w:color w:val="000000"/>
                <w:sz w:val="24"/>
                <w:highlight w:val="none"/>
              </w:rPr>
              <w:t xml:space="preserve">税费</w:t>
            </w:r>
            <w:r>
              <w:rPr>
                <w:rFonts w:ascii="宋体" w:hAnsi="宋体"/>
                <w:bCs/>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1.中国政府根据现行税法规定对甲方征收的与本合同有关的一切税费均由甲方负担（免税部分除外），招标文件另有规定的除外。</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2.中国政府根据现行税法规定对乙方征收的与本合同有关的一切税费均由乙方负担（免税部分除外）。</w:t>
            </w:r>
            <w:r>
              <w:rPr>
                <w:rFonts w:ascii="宋体" w:hAnsi="宋体"/>
                <w:color w:val="000000"/>
                <w:sz w:val="24"/>
                <w:highlight w:val="none"/>
              </w:rPr>
            </w:r>
            <w:r/>
          </w:p>
        </w:tc>
      </w:tr>
      <w:tr>
        <w:trPr>
          <w:trHeight w:val="770"/>
        </w:trPr>
        <w:tc>
          <w:tcPr>
            <w:tcW w:w="1560" w:type="dxa"/>
            <w:vAlign w:val="center"/>
            <w:textDirection w:val="lrTb"/>
            <w:noWrap w:val="false"/>
          </w:tcPr>
          <w:p>
            <w:pPr>
              <w:pStyle w:val="830"/>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bCs/>
                <w:color w:val="000000"/>
                <w:sz w:val="24"/>
                <w:highlight w:val="none"/>
              </w:rPr>
            </w:pPr>
            <w:r>
              <w:rPr>
                <w:rFonts w:hint="eastAsia" w:ascii="宋体" w:hAnsi="宋体"/>
                <w:bCs/>
                <w:color w:val="000000"/>
                <w:sz w:val="24"/>
                <w:highlight w:val="none"/>
              </w:rPr>
              <w:t xml:space="preserve">伴随服务</w:t>
            </w:r>
            <w:r>
              <w:rPr>
                <w:rFonts w:ascii="宋体" w:hAnsi="宋体"/>
                <w:bCs/>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1.乙方应按照国家</w:t>
            </w:r>
            <w:r>
              <w:rPr>
                <w:rFonts w:hint="eastAsia" w:ascii="宋体" w:hAnsi="宋体"/>
                <w:b/>
                <w:color w:val="000000"/>
                <w:sz w:val="24"/>
                <w:highlight w:val="none"/>
              </w:rPr>
              <w:t xml:space="preserve">“新三包”</w:t>
            </w:r>
            <w:r>
              <w:rPr>
                <w:rFonts w:hint="eastAsia" w:ascii="宋体" w:hAnsi="宋体"/>
                <w:color w:val="000000"/>
                <w:sz w:val="24"/>
                <w:highlight w:val="none"/>
              </w:rPr>
              <w:t xml:space="preserve">规定和合同中所附的服务承诺提供服务。</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2.除第1条规定外，乙方还应提供下列服务：</w:t>
            </w:r>
            <w:r>
              <w:rPr>
                <w:rFonts w:ascii="宋体" w:hAnsi="宋体"/>
                <w:color w:val="000000"/>
                <w:sz w:val="24"/>
                <w:highlight w:val="none"/>
              </w:rPr>
            </w:r>
            <w:r/>
          </w:p>
          <w:p>
            <w:pPr>
              <w:pStyle w:val="830"/>
              <w:jc w:val="left"/>
              <w:rPr>
                <w:rFonts w:ascii="宋体" w:hAnsi="宋体"/>
                <w:b/>
                <w:color w:val="000000"/>
                <w:sz w:val="24"/>
                <w:highlight w:val="none"/>
              </w:rPr>
            </w:pPr>
            <w:r>
              <w:rPr>
                <w:rFonts w:hint="eastAsia" w:ascii="宋体" w:hAnsi="宋体"/>
                <w:b/>
                <w:color w:val="000000"/>
                <w:sz w:val="24"/>
                <w:highlight w:val="none"/>
              </w:rPr>
              <w:t xml:space="preserve"> (1) 招标文件中的“服务要求”所规定的服务内容以及投标文件承诺提供的其他服务内容；</w:t>
            </w:r>
            <w:r>
              <w:rPr>
                <w:rFonts w:ascii="宋体" w:hAnsi="宋体"/>
                <w:b/>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 (2) 负责货物的开孔，货物的现场安装；</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 (3) 提供货物组装和维修所需的工具；</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 (4) 在合同中乙方承诺的质保期限内对所提供货物正常使用实施监督、维修，但前提条件是该服务并不能免除乙方在质量保证期内应承担的义务；</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 (5) 在货物交货现场就货物的安装、启用、维护等对甲方人员进行培训。</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3.伴随服务的费用应含在合同价中，不单独进行支付。</w:t>
            </w:r>
            <w:r>
              <w:rPr>
                <w:rFonts w:ascii="宋体" w:hAnsi="宋体"/>
                <w:color w:val="000000"/>
                <w:sz w:val="24"/>
                <w:highlight w:val="none"/>
              </w:rPr>
            </w:r>
            <w:r/>
          </w:p>
        </w:tc>
      </w:tr>
      <w:tr>
        <w:trPr>
          <w:trHeight w:val="770"/>
        </w:trPr>
        <w:tc>
          <w:tcPr>
            <w:tcW w:w="1560" w:type="dxa"/>
            <w:vAlign w:val="center"/>
            <w:textDirection w:val="lrTb"/>
            <w:noWrap w:val="false"/>
          </w:tcPr>
          <w:p>
            <w:pPr>
              <w:pStyle w:val="830"/>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索赔</w:t>
            </w:r>
            <w:r>
              <w:rPr>
                <w:rFonts w:ascii="宋体" w:hAnsi="宋体"/>
                <w:color w:val="000000"/>
                <w:sz w:val="24"/>
                <w:highlight w:val="none"/>
              </w:rPr>
            </w:r>
            <w:r/>
          </w:p>
          <w:p>
            <w:pPr>
              <w:pStyle w:val="830"/>
              <w:jc w:val="left"/>
              <w:rPr>
                <w:rFonts w:ascii="宋体" w:hAnsi="宋体"/>
                <w:color w:val="000000"/>
                <w:sz w:val="24"/>
                <w:highlight w:val="none"/>
              </w:rPr>
            </w:pPr>
            <w:r>
              <w:rPr>
                <w:rFonts w:ascii="宋体" w:hAnsi="宋体"/>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1.甲方有权根据当地质检部门出具的检验报告，向乙方提出索赔。</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2.根据合同规定的检验期和质量保证期内，如果乙方对甲方提出的索赔和差异负有责任，乙方应按照甲方同意的下列一种或多种方式解决索赔事宜：</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 (2) 根据货物的低劣程度、损坏程度以及甲方所遭受损失的数额，乙方必须降低货物的价格。</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color w:val="000000"/>
                <w:sz w:val="24"/>
                <w:highlight w:val="none"/>
              </w:rPr>
            </w:r>
            <w:r/>
          </w:p>
        </w:tc>
      </w:tr>
      <w:tr>
        <w:trPr>
          <w:trHeight w:val="770"/>
        </w:trPr>
        <w:tc>
          <w:tcPr>
            <w:tcW w:w="1560" w:type="dxa"/>
            <w:vAlign w:val="center"/>
            <w:textDirection w:val="lrTb"/>
            <w:noWrap w:val="false"/>
          </w:tcPr>
          <w:p>
            <w:pPr>
              <w:pStyle w:val="830"/>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合同生效</w:t>
            </w:r>
            <w:r>
              <w:rPr>
                <w:rFonts w:hint="eastAsia" w:ascii="宋体" w:hAnsi="宋体"/>
                <w:color w:val="000000"/>
                <w:sz w:val="24"/>
                <w:highlight w:val="none"/>
                <w:lang w:eastAsia="zh-CN"/>
              </w:rPr>
              <w:t xml:space="preserve">及其他</w:t>
            </w:r>
            <w:r>
              <w:rPr>
                <w:rFonts w:ascii="宋体" w:hAnsi="宋体"/>
                <w:color w:val="000000"/>
                <w:sz w:val="24"/>
                <w:highlight w:val="none"/>
              </w:rPr>
            </w:r>
            <w:r/>
          </w:p>
          <w:p>
            <w:pPr>
              <w:pStyle w:val="830"/>
              <w:jc w:val="left"/>
              <w:rPr>
                <w:rFonts w:ascii="宋体" w:hAnsi="宋体"/>
                <w:bCs/>
                <w:color w:val="000000"/>
                <w:sz w:val="24"/>
                <w:highlight w:val="none"/>
              </w:rPr>
            </w:pPr>
            <w:r>
              <w:rPr>
                <w:rFonts w:ascii="宋体" w:hAnsi="宋体"/>
                <w:bCs/>
                <w:color w:val="000000"/>
                <w:sz w:val="24"/>
                <w:highlight w:val="none"/>
              </w:rPr>
            </w:r>
            <w:r/>
          </w:p>
        </w:tc>
        <w:tc>
          <w:tcPr>
            <w:tcW w:w="5382" w:type="dxa"/>
            <w:vAlign w:val="center"/>
            <w:textDirection w:val="lrTb"/>
            <w:noWrap w:val="false"/>
          </w:tcPr>
          <w:p>
            <w:pPr>
              <w:pStyle w:val="830"/>
              <w:jc w:val="left"/>
              <w:rPr>
                <w:rFonts w:ascii="宋体" w:hAnsi="宋体"/>
                <w:color w:val="000000"/>
                <w:sz w:val="24"/>
                <w:highlight w:val="none"/>
              </w:rPr>
            </w:pPr>
            <w:r>
              <w:rPr>
                <w:rFonts w:hint="eastAsia" w:ascii="宋体" w:hAnsi="宋体"/>
                <w:color w:val="000000"/>
                <w:sz w:val="24"/>
                <w:highlight w:val="none"/>
              </w:rPr>
              <w:t xml:space="preserve">1. 合同经甲方、乙方盖章后生效。</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2. 货物交付使用后所发生的合同纠纷，由甲方与乙方协商处理。</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color w:val="000000"/>
                <w:sz w:val="24"/>
                <w:highlight w:val="none"/>
              </w:rPr>
            </w:r>
            <w:r/>
          </w:p>
          <w:p>
            <w:pPr>
              <w:pStyle w:val="830"/>
              <w:jc w:val="left"/>
              <w:rPr>
                <w:rFonts w:ascii="宋体" w:hAnsi="宋体"/>
                <w:color w:val="000000"/>
                <w:sz w:val="24"/>
                <w:highlight w:val="none"/>
              </w:rPr>
            </w:pPr>
            <w:r>
              <w:rPr>
                <w:rFonts w:hint="eastAsia" w:ascii="宋体" w:hAnsi="宋体"/>
                <w:color w:val="000000"/>
                <w:sz w:val="24"/>
                <w:highlight w:val="none"/>
              </w:rPr>
              <w:t xml:space="preserve">4.本合同应按照中华人民共和国的现行法律进行解释。本合同未尽事宜，遵照《民法典》、《政府采购法》等有关条文执行。</w:t>
            </w:r>
            <w:r>
              <w:rPr>
                <w:rFonts w:ascii="宋体" w:hAnsi="宋体"/>
                <w:color w:val="000000"/>
                <w:sz w:val="24"/>
                <w:highlight w:val="none"/>
              </w:rPr>
            </w:r>
            <w:r/>
          </w:p>
        </w:tc>
      </w:tr>
    </w:tbl>
    <w:p>
      <w:pPr>
        <w:pStyle w:val="83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8"/>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38"/>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8"/>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838"/>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838"/>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8"/>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Pr>
          <w:highlight w:val="none"/>
        </w:rPr>
      </w:r>
      <w:r/>
    </w:p>
    <w:p>
      <w:pPr>
        <w:pStyle w:val="838"/>
        <w:ind w:firstLine="480"/>
        <w:jc w:val="both"/>
        <w:spacing w:beforeAutospacing="0" w:afterAutospacing="0" w:line="360" w:lineRule="auto"/>
        <w:tabs>
          <w:tab w:val="left" w:pos="901" w:leader="none"/>
        </w:tabs>
        <w:rPr>
          <w:rFonts w:ascii="宋体" w:hAnsi="宋体" w:eastAsia="宋体" w:cs="宋体"/>
          <w:b/>
          <w:bCs/>
          <w:color w:val="000000"/>
        </w:rPr>
      </w:pPr>
      <w:r/>
      <w:bookmarkStart w:id="173" w:name="_Toc49090575"/>
      <w:r/>
      <w:bookmarkStart w:id="174" w:name="_Toc26554093"/>
      <w:r/>
      <w:bookmarkStart w:id="175" w:name="_Toc120614281"/>
      <w:r>
        <w:rPr>
          <w:rFonts w:hint="eastAsia" w:ascii="宋体" w:hAnsi="宋体" w:eastAsia="宋体" w:cs="宋体"/>
          <w:b/>
          <w:bCs/>
          <w:color w:val="000000"/>
        </w:rPr>
        <w:t xml:space="preserve">项目属性:货物类项目。</w:t>
      </w:r>
      <w:bookmarkEnd w:id="173"/>
      <w:r/>
      <w:bookmarkEnd w:id="174"/>
      <w:r>
        <w:rPr>
          <w:rFonts w:ascii="宋体" w:hAnsi="宋体" w:eastAsia="宋体" w:cs="宋体"/>
          <w:b/>
          <w:bCs/>
          <w:color w:val="000000"/>
        </w:rPr>
      </w:r>
      <w:r/>
    </w:p>
    <w:p>
      <w:pPr>
        <w:pStyle w:val="843"/>
        <w:ind w:firstLine="482"/>
        <w:keepLines w:val="0"/>
        <w:keepNext w:val="0"/>
        <w:pageBreakBefore w:val="0"/>
        <w:spacing w:line="520" w:lineRule="exact"/>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一、项目概况</w:t>
      </w:r>
      <w:r>
        <w:rPr>
          <w:rFonts w:hint="eastAsia" w:ascii="宋体" w:hAnsi="宋体" w:eastAsia="宋体" w:cs="Times New Roman"/>
          <w:b/>
          <w:bCs/>
          <w:color w:val="000000"/>
          <w:sz w:val="24"/>
          <w:szCs w:val="24"/>
          <w:lang w:val="en-US" w:eastAsia="zh-CN" w:bidi="ar-SA"/>
        </w:rPr>
      </w:r>
      <w:r/>
    </w:p>
    <w:p>
      <w:pPr>
        <w:pStyle w:val="838"/>
        <w:ind w:firstLine="48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为进一步满足食品安全检验工作需要，不断提升中心的食品检验检测能力，中心拟采气相色谱仪、原子吸收分光光度计、氨基酸分析仪、原子荧光光度计等设备。</w:t>
      </w:r>
      <w:r>
        <w:rPr>
          <w:rFonts w:hint="eastAsia" w:ascii="宋体" w:hAnsi="宋体" w:eastAsia="宋体" w:cs="宋体"/>
          <w:color w:val="000000"/>
          <w:sz w:val="24"/>
          <w:szCs w:val="24"/>
          <w:highlight w:val="none"/>
          <w:shd w:val="clear" w:color="auto" w:fill="auto"/>
        </w:rPr>
      </w:r>
      <w:r/>
    </w:p>
    <w:p>
      <w:pPr>
        <w:pStyle w:val="838"/>
        <w:ind w:firstLine="48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清单如下：</w:t>
      </w:r>
      <w:r>
        <w:rPr>
          <w:rFonts w:hint="eastAsia" w:ascii="宋体" w:hAnsi="宋体" w:eastAsia="宋体" w:cs="宋体"/>
          <w:color w:val="000000"/>
          <w:sz w:val="24"/>
          <w:szCs w:val="24"/>
          <w:highlight w:val="none"/>
          <w:shd w:val="clear" w:color="auto" w:fill="auto"/>
        </w:rPr>
      </w:r>
      <w:r/>
    </w:p>
    <w:tbl>
      <w:tblPr>
        <w:tblpPr w:horzAnchor="page" w:tblpX="1779" w:vertAnchor="page" w:tblpY="4494" w:leftFromText="180" w:topFromText="0" w:rightFromText="180" w:bottomFromText="0"/>
        <w:tblW w:w="8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8"/>
        <w:gridCol w:w="3170"/>
        <w:gridCol w:w="2994"/>
        <w:gridCol w:w="1269"/>
      </w:tblGrid>
      <w:tr>
        <w:trPr>
          <w:cantSplit/>
          <w:trHeight w:val="505"/>
        </w:trPr>
        <w:tc>
          <w:tcPr>
            <w:gridSpan w:val="3"/>
            <w:tcW w:w="7042" w:type="dxa"/>
            <w:vAlign w:val="center"/>
            <w:textDirection w:val="lrTb"/>
            <w:noWrap w:val="false"/>
          </w:tcPr>
          <w:p>
            <w:pPr>
              <w:pStyle w:val="830"/>
              <w:ind w:firstLine="120"/>
              <w:jc w:val="center"/>
              <w:rPr>
                <w:rFonts w:ascii="Times New Roman" w:hAnsi="Times New Roman" w:eastAsia="宋体" w:cs="Times New Roman"/>
                <w:b w:val="0"/>
                <w:bCs w:val="0"/>
                <w:color w:val="000000"/>
                <w:sz w:val="24"/>
                <w:szCs w:val="24"/>
              </w:rPr>
              <w:framePr w:vAnchor="text" w:hAnchor="margin" w:x="1779" w:y="4494"/>
            </w:pPr>
            <w:r>
              <w:rPr>
                <w:rFonts w:ascii="Times New Roman" w:hAnsi="Times New Roman" w:eastAsia="宋体" w:cs="Times New Roman"/>
                <w:b w:val="0"/>
                <w:bCs w:val="0"/>
                <w:color w:val="000000"/>
                <w:sz w:val="24"/>
                <w:szCs w:val="24"/>
                <w:lang w:val="en-US" w:eastAsia="zh-CN"/>
              </w:rPr>
              <w:t xml:space="preserve">拟采购设备</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ind w:firstLine="120"/>
              <w:jc w:val="center"/>
              <w:rPr>
                <w:rFonts w:ascii="Times New Roman" w:hAnsi="Times New Roman" w:eastAsia="宋体" w:cs="Times New Roman"/>
                <w:b w:val="0"/>
                <w:bCs w:val="0"/>
                <w:color w:val="000000"/>
                <w:sz w:val="24"/>
                <w:szCs w:val="24"/>
                <w:lang w:val="en-US" w:eastAsia="zh-CN"/>
              </w:rPr>
              <w:framePr w:vAnchor="text" w:hAnchor="margin" w:x="1779" w:y="4494"/>
            </w:pPr>
            <w:r>
              <w:rPr>
                <w:rFonts w:hint="eastAsia" w:ascii="Times New Roman" w:hAnsi="Times New Roman" w:eastAsia="宋体" w:cs="Times New Roman"/>
                <w:b w:val="0"/>
                <w:bCs w:val="0"/>
                <w:color w:val="000000"/>
                <w:sz w:val="24"/>
                <w:szCs w:val="24"/>
                <w:lang w:val="en-US" w:eastAsia="zh-CN"/>
              </w:rPr>
              <w:t xml:space="preserve">备注</w:t>
            </w:r>
            <w:r>
              <w:rPr>
                <w:rFonts w:ascii="Times New Roman" w:hAnsi="Times New Roman" w:eastAsia="宋体" w:cs="Times New Roman"/>
                <w:b w:val="0"/>
                <w:bCs w:val="0"/>
                <w:color w:val="000000"/>
                <w:sz w:val="24"/>
                <w:szCs w:val="24"/>
                <w:lang w:val="en-US" w:eastAsia="zh-CN"/>
              </w:rPr>
            </w:r>
            <w:r/>
          </w:p>
        </w:tc>
      </w:tr>
      <w:tr>
        <w:trPr>
          <w:cantSplit/>
          <w:trHeight w:val="458"/>
        </w:trPr>
        <w:tc>
          <w:tcPr>
            <w:tcW w:w="878" w:type="dxa"/>
            <w:vAlign w:val="center"/>
            <w:textDirection w:val="lrTb"/>
            <w:noWrap w:val="false"/>
          </w:tcPr>
          <w:p>
            <w:pPr>
              <w:pStyle w:val="830"/>
              <w:jc w:val="center"/>
              <w:rPr>
                <w:rFonts w:ascii="Times New Roman" w:hAnsi="Times New Roman" w:eastAsia="宋体" w:cs="Times New Roman"/>
                <w:b w:val="0"/>
                <w:bCs w:val="0"/>
                <w:color w:val="000000"/>
                <w:sz w:val="24"/>
                <w:szCs w:val="24"/>
                <w:lang w:val="en-US" w:eastAsia="zh-CN"/>
              </w:rPr>
              <w:framePr w:vAnchor="text" w:hAnchor="margin" w:x="1779" w:y="4494"/>
            </w:pPr>
            <w:r>
              <w:rPr>
                <w:rFonts w:ascii="Times New Roman" w:hAnsi="Times New Roman" w:eastAsia="宋体" w:cs="Times New Roman"/>
                <w:b w:val="0"/>
                <w:bCs w:val="0"/>
                <w:color w:val="000000"/>
                <w:sz w:val="24"/>
                <w:szCs w:val="24"/>
                <w:lang w:val="en-US" w:eastAsia="zh-CN"/>
              </w:rPr>
              <w:t xml:space="preserve">序号</w:t>
            </w:r>
            <w:r>
              <w:rPr>
                <w:rFonts w:ascii="Times New Roman" w:hAnsi="Times New Roman" w:eastAsia="宋体" w:cs="Times New Roman"/>
                <w:b w:val="0"/>
                <w:bCs w:val="0"/>
                <w:color w:val="000000"/>
                <w:sz w:val="24"/>
                <w:szCs w:val="24"/>
                <w:lang w:val="en-US" w:eastAsia="zh-CN"/>
              </w:rPr>
            </w:r>
            <w:r/>
          </w:p>
        </w:tc>
        <w:tc>
          <w:tcPr>
            <w:tcW w:w="3170" w:type="dxa"/>
            <w:vAlign w:val="center"/>
            <w:textDirection w:val="lrTb"/>
            <w:noWrap w:val="false"/>
          </w:tcPr>
          <w:p>
            <w:pPr>
              <w:pStyle w:val="830"/>
              <w:jc w:val="center"/>
              <w:rPr>
                <w:rFonts w:ascii="Times New Roman" w:hAnsi="Times New Roman" w:eastAsia="宋体" w:cs="Times New Roman"/>
                <w:b w:val="0"/>
                <w:bCs w:val="0"/>
                <w:color w:val="000000"/>
                <w:sz w:val="24"/>
                <w:szCs w:val="24"/>
              </w:rPr>
              <w:framePr w:vAnchor="text" w:hAnchor="margin" w:x="1779" w:y="4494"/>
            </w:pPr>
            <w:r>
              <w:rPr>
                <w:rFonts w:ascii="Times New Roman" w:hAnsi="Times New Roman" w:eastAsia="宋体" w:cs="Times New Roman"/>
                <w:b w:val="0"/>
                <w:bCs w:val="0"/>
                <w:color w:val="000000"/>
                <w:sz w:val="24"/>
                <w:szCs w:val="24"/>
              </w:rPr>
              <w:t xml:space="preserve">设备名称</w:t>
            </w:r>
            <w:r>
              <w:rPr>
                <w:rFonts w:ascii="Times New Roman" w:hAnsi="Times New Roman" w:eastAsia="宋体" w:cs="Times New Roman"/>
                <w:b w:val="0"/>
                <w:bCs w:val="0"/>
                <w:color w:val="000000"/>
                <w:sz w:val="24"/>
                <w:szCs w:val="24"/>
              </w:rPr>
            </w:r>
            <w:r/>
          </w:p>
        </w:tc>
        <w:tc>
          <w:tcPr>
            <w:tcW w:w="2994" w:type="dxa"/>
            <w:vAlign w:val="center"/>
            <w:textDirection w:val="lrTb"/>
            <w:noWrap w:val="false"/>
          </w:tcPr>
          <w:p>
            <w:pPr>
              <w:pStyle w:val="830"/>
              <w:ind w:firstLine="120"/>
              <w:jc w:val="center"/>
              <w:rPr>
                <w:rFonts w:ascii="Times New Roman" w:hAnsi="Times New Roman" w:eastAsia="宋体" w:cs="Times New Roman"/>
                <w:b w:val="0"/>
                <w:bCs w:val="0"/>
                <w:color w:val="000000"/>
                <w:sz w:val="24"/>
                <w:szCs w:val="24"/>
              </w:rPr>
              <w:framePr w:vAnchor="text" w:hAnchor="margin" w:x="1779" w:y="4494"/>
            </w:pPr>
            <w:r>
              <w:rPr>
                <w:rFonts w:ascii="Times New Roman" w:hAnsi="Times New Roman" w:eastAsia="宋体" w:cs="Times New Roman"/>
                <w:b w:val="0"/>
                <w:bCs w:val="0"/>
                <w:color w:val="000000"/>
                <w:sz w:val="24"/>
                <w:szCs w:val="24"/>
              </w:rPr>
              <w:t xml:space="preserve">数量（台套）</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ind w:firstLine="120"/>
              <w:jc w:val="center"/>
              <w:rPr>
                <w:rFonts w:ascii="Times New Roman" w:hAnsi="Times New Roman" w:eastAsia="宋体" w:cs="Times New Roman"/>
                <w:b w:val="0"/>
                <w:bCs w:val="0"/>
                <w:color w:val="000000"/>
                <w:sz w:val="24"/>
                <w:szCs w:val="24"/>
              </w:rPr>
              <w:framePr w:vAnchor="text" w:hAnchor="margin" w:x="1779" w:y="4494"/>
            </w:pPr>
            <w:r>
              <w:rPr>
                <w:rFonts w:ascii="Times New Roman" w:hAnsi="Times New Roman" w:eastAsia="宋体" w:cs="Times New Roman"/>
                <w:b w:val="0"/>
                <w:bCs w:val="0"/>
                <w:color w:val="000000"/>
                <w:sz w:val="24"/>
                <w:szCs w:val="24"/>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eastAsia="zh-CN"/>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lang w:val="en-US" w:eastAsia="zh-CN"/>
              </w:rPr>
            </w:r>
            <w:r/>
          </w:p>
        </w:tc>
        <w:tc>
          <w:tcPr>
            <w:tcW w:w="3170" w:type="dxa"/>
            <w:vAlign w:val="center"/>
            <w:textDirection w:val="lrTb"/>
            <w:noWrap w:val="false"/>
          </w:tcPr>
          <w:p>
            <w:pPr>
              <w:pStyle w:val="830"/>
              <w:jc w:val="center"/>
              <w:rPr>
                <w:rFonts w:ascii="Times New Roman" w:hAnsi="Times New Roman" w:eastAsia="宋体" w:cs="Times New Roman"/>
                <w:b w:val="0"/>
                <w:bCs w:val="0"/>
                <w:color w:val="000000"/>
                <w:sz w:val="24"/>
                <w:szCs w:val="24"/>
              </w:rPr>
              <w:framePr w:vAnchor="text" w:hAnchor="margin" w:x="1779" w:y="4494"/>
            </w:pPr>
            <w:r>
              <w:rPr>
                <w:rFonts w:ascii="Times New Roman" w:hAnsi="Times New Roman" w:eastAsia="宋体" w:cs="Times New Roman"/>
                <w:b w:val="0"/>
                <w:bCs w:val="0"/>
                <w:color w:val="000000"/>
                <w:sz w:val="24"/>
                <w:szCs w:val="24"/>
                <w:lang w:val="en-US" w:eastAsia="zh-CN"/>
              </w:rPr>
              <w:t xml:space="preserve">超静音无风管通风橱</w:t>
            </w:r>
            <w:r>
              <w:rPr>
                <w:rFonts w:ascii="Times New Roman" w:hAnsi="Times New Roman" w:eastAsia="宋体" w:cs="Times New Roman"/>
                <w:b w:val="0"/>
                <w:bCs w:val="0"/>
                <w:color w:val="000000"/>
                <w:sz w:val="24"/>
                <w:szCs w:val="24"/>
              </w:rPr>
            </w:r>
            <w:r/>
          </w:p>
        </w:tc>
        <w:tc>
          <w:tcPr>
            <w:tcW w:w="2994" w:type="dxa"/>
            <w:vAlign w:val="center"/>
            <w:textDirection w:val="lrTb"/>
            <w:noWrap w:val="false"/>
          </w:tcPr>
          <w:p>
            <w:pPr>
              <w:pStyle w:val="830"/>
              <w:jc w:val="center"/>
              <w:rPr>
                <w:rFonts w:ascii="Times New Roman" w:hAnsi="Times New Roman" w:eastAsia="宋体" w:cs="Times New Roman"/>
                <w:b w:val="0"/>
                <w:bCs w:val="0"/>
                <w:color w:val="000000"/>
                <w:sz w:val="24"/>
                <w:szCs w:val="24"/>
              </w:rPr>
              <w:framePr w:vAnchor="text" w:hAnchor="margin" w:x="1779" w:y="4494"/>
            </w:pPr>
            <w:r>
              <w:rPr>
                <w:rFonts w:ascii="Times New Roman" w:hAnsi="Times New Roman" w:eastAsia="宋体" w:cs="Times New Roman"/>
                <w:b w:val="0"/>
                <w:bCs w:val="0"/>
                <w:color w:val="000000"/>
                <w:sz w:val="24"/>
                <w:szCs w:val="24"/>
                <w:lang w:val="en-US" w:eastAsia="zh-CN"/>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rPr>
                <w:rFonts w:ascii="Times New Roman" w:hAnsi="Times New Roman" w:eastAsia="宋体" w:cs="Times New Roman"/>
                <w:b w:val="0"/>
                <w:bCs w:val="0"/>
                <w:color w:val="000000"/>
                <w:sz w:val="24"/>
                <w:szCs w:val="24"/>
                <w:lang w:val="en-US" w:eastAsia="zh-CN"/>
              </w:rPr>
              <w:framePr w:vAnchor="text" w:hAnchor="margin" w:x="1779" w:y="4494"/>
            </w:pPr>
            <w:r>
              <w:rPr>
                <w:rFonts w:ascii="Times New Roman" w:hAnsi="Times New Roman" w:eastAsia="宋体" w:cs="Times New Roman"/>
                <w:b w:val="0"/>
                <w:bCs w:val="0"/>
                <w:color w:val="000000"/>
                <w:sz w:val="24"/>
                <w:szCs w:val="24"/>
                <w:lang w:val="en-US" w:eastAsia="zh-CN"/>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eastAsia="zh-CN"/>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2</w:t>
            </w:r>
            <w:r>
              <w:rPr>
                <w:rFonts w:ascii="Times New Roman" w:hAnsi="Times New Roman" w:eastAsia="宋体" w:cs="Times New Roman"/>
                <w:b w:val="0"/>
                <w:bCs w:val="0"/>
                <w:color w:val="000000"/>
                <w:sz w:val="24"/>
                <w:szCs w:val="24"/>
                <w:lang w:val="en-US" w:eastAsia="zh-CN"/>
              </w:rPr>
            </w:r>
            <w:r/>
          </w:p>
        </w:tc>
        <w:tc>
          <w:tcPr>
            <w:tcW w:w="3170"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食品快速检测仪</w:t>
            </w:r>
            <w:r>
              <w:rPr>
                <w:rFonts w:ascii="Times New Roman" w:hAnsi="Times New Roman" w:eastAsia="宋体" w:cs="Times New Roman"/>
                <w:b w:val="0"/>
                <w:bCs w:val="0"/>
                <w:color w:val="000000"/>
                <w:sz w:val="24"/>
                <w:szCs w:val="24"/>
              </w:rPr>
            </w:r>
            <w:r/>
          </w:p>
        </w:tc>
        <w:tc>
          <w:tcPr>
            <w:tcW w:w="2994"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5</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eastAsia="zh-CN"/>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3</w:t>
            </w:r>
            <w:r>
              <w:rPr>
                <w:rFonts w:ascii="Times New Roman" w:hAnsi="Times New Roman" w:eastAsia="宋体" w:cs="Times New Roman"/>
                <w:b w:val="0"/>
                <w:bCs w:val="0"/>
                <w:color w:val="000000"/>
                <w:sz w:val="24"/>
                <w:szCs w:val="24"/>
                <w:lang w:val="en-US" w:eastAsia="zh-CN"/>
              </w:rPr>
            </w:r>
            <w:r/>
          </w:p>
        </w:tc>
        <w:tc>
          <w:tcPr>
            <w:tcW w:w="3170"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不间断电源</w:t>
            </w:r>
            <w:r>
              <w:rPr>
                <w:rFonts w:ascii="Times New Roman" w:hAnsi="Times New Roman" w:eastAsia="宋体" w:cs="Times New Roman"/>
                <w:b w:val="0"/>
                <w:bCs w:val="0"/>
                <w:color w:val="000000"/>
                <w:sz w:val="24"/>
                <w:szCs w:val="24"/>
              </w:rPr>
            </w:r>
            <w:r/>
          </w:p>
        </w:tc>
        <w:tc>
          <w:tcPr>
            <w:tcW w:w="2994"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2</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eastAsia="zh-CN"/>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4</w:t>
            </w:r>
            <w:r>
              <w:rPr>
                <w:rFonts w:ascii="Times New Roman" w:hAnsi="Times New Roman" w:eastAsia="宋体" w:cs="Times New Roman"/>
                <w:b w:val="0"/>
                <w:bCs w:val="0"/>
                <w:color w:val="000000"/>
                <w:sz w:val="24"/>
                <w:szCs w:val="24"/>
                <w:lang w:val="en-US" w:eastAsia="zh-CN"/>
              </w:rPr>
            </w:r>
            <w:r/>
          </w:p>
        </w:tc>
        <w:tc>
          <w:tcPr>
            <w:tcW w:w="3170"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气相色谱仪</w:t>
            </w:r>
            <w:r>
              <w:rPr>
                <w:rFonts w:hint="eastAsia"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lang w:val="en-US"/>
              </w:rPr>
            </w:r>
            <w:r/>
          </w:p>
        </w:tc>
        <w:tc>
          <w:tcPr>
            <w:tcW w:w="2994"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hint="eastAsia"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highlight w:val="none"/>
                <w:lang w:val="en-US" w:eastAsia="zh-CN" w:bidi="ar-SA"/>
              </w:rPr>
              <w:framePr w:vAnchor="text" w:hAnchor="margin" w:x="1779" w:y="4494"/>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5</w:t>
            </w:r>
            <w:r>
              <w:rPr>
                <w:rFonts w:ascii="Times New Roman" w:hAnsi="Times New Roman" w:eastAsia="宋体" w:cs="Times New Roman"/>
                <w:b w:val="0"/>
                <w:bCs w:val="0"/>
                <w:color w:val="000000"/>
                <w:sz w:val="24"/>
                <w:szCs w:val="24"/>
                <w:highlight w:val="none"/>
                <w:lang w:val="en-US" w:eastAsia="zh-CN" w:bidi="ar-SA"/>
              </w:rPr>
            </w:r>
            <w:r/>
          </w:p>
        </w:tc>
        <w:tc>
          <w:tcPr>
            <w:tcW w:w="3170"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framePr w:vAnchor="text" w:hAnchor="margin" w:x="1779" w:y="4494"/>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气相色谱仪</w:t>
            </w: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2（</w:t>
            </w:r>
            <w:r>
              <w:rPr>
                <w:rFonts w:hint="eastAsia"/>
                <w:b w:val="0"/>
                <w:bCs w:val="0"/>
                <w:color w:val="000000"/>
                <w:sz w:val="24"/>
                <w:szCs w:val="28"/>
                <w:highlight w:val="none"/>
              </w:rPr>
              <w:t xml:space="preserve">ECD检测器</w:t>
            </w: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2994"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framePr w:vAnchor="text" w:hAnchor="margin" w:x="1779" w:y="4494"/>
              <w:suppressLineNumbers w:val="0"/>
            </w:pP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1</w:t>
            </w: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1269" w:type="dxa"/>
            <w:vAlign w:val="center"/>
            <w:textDirection w:val="lrTb"/>
            <w:noWrap w:val="false"/>
          </w:tcPr>
          <w:p>
            <w:pPr>
              <w:pStyle w:val="830"/>
              <w:jc w:val="center"/>
              <w:keepLines w:val="0"/>
              <w:keepNext w:val="0"/>
              <w:widowControl/>
              <w:rPr>
                <w:rFonts w:hint="eastAsia" w:ascii="Times New Roman" w:hAnsi="Times New Roman" w:eastAsia="宋体" w:cs="Times New Roman"/>
                <w:b w:val="0"/>
                <w:bCs w:val="0"/>
                <w:i w:val="0"/>
                <w:iCs w:val="0"/>
                <w:color w:val="000000"/>
                <w:sz w:val="24"/>
                <w:szCs w:val="24"/>
                <w:highlight w:val="none"/>
                <w:u w:val="none"/>
                <w:lang w:val="en-US" w:eastAsia="zh-CN" w:bidi="ar"/>
              </w:rPr>
              <w:framePr w:vAnchor="text" w:hAnchor="margin" w:x="1779" w:y="4494"/>
              <w:suppressLineNumbers w:val="0"/>
            </w:pP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核心产品</w:t>
            </w:r>
            <w:r>
              <w:rPr>
                <w:rFonts w:hint="eastAsia" w:ascii="Times New Roman" w:hAnsi="Times New Roman" w:eastAsia="宋体" w:cs="Times New Roman"/>
                <w:b w:val="0"/>
                <w:bCs w:val="0"/>
                <w:i w:val="0"/>
                <w:iCs w:val="0"/>
                <w:color w:val="000000"/>
                <w:sz w:val="24"/>
                <w:szCs w:val="24"/>
                <w:highlight w:val="none"/>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eastAsia="zh-CN" w:bidi="ar-SA"/>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6</w:t>
            </w:r>
            <w:r>
              <w:rPr>
                <w:rFonts w:ascii="Times New Roman" w:hAnsi="Times New Roman" w:eastAsia="宋体" w:cs="Times New Roman"/>
                <w:b w:val="0"/>
                <w:bCs w:val="0"/>
                <w:color w:val="000000"/>
                <w:sz w:val="24"/>
                <w:szCs w:val="24"/>
                <w:lang w:val="en-US" w:eastAsia="zh-CN" w:bidi="ar-SA"/>
              </w:rPr>
            </w:r>
            <w:r/>
          </w:p>
        </w:tc>
        <w:tc>
          <w:tcPr>
            <w:tcW w:w="3170"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原子吸收分光光度计</w:t>
            </w:r>
            <w:r>
              <w:rPr>
                <w:rFonts w:ascii="Times New Roman" w:hAnsi="Times New Roman" w:eastAsia="宋体" w:cs="Times New Roman"/>
                <w:b w:val="0"/>
                <w:bCs w:val="0"/>
                <w:color w:val="000000"/>
                <w:sz w:val="24"/>
                <w:szCs w:val="24"/>
              </w:rPr>
            </w:r>
            <w:r/>
          </w:p>
        </w:tc>
        <w:tc>
          <w:tcPr>
            <w:tcW w:w="2994"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eastAsia="zh-CN" w:bidi="ar-SA"/>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7</w:t>
            </w:r>
            <w:r>
              <w:rPr>
                <w:rFonts w:ascii="Times New Roman" w:hAnsi="Times New Roman" w:eastAsia="宋体" w:cs="Times New Roman"/>
                <w:b w:val="0"/>
                <w:bCs w:val="0"/>
                <w:color w:val="000000"/>
                <w:sz w:val="24"/>
                <w:szCs w:val="24"/>
                <w:lang w:val="en-US" w:eastAsia="zh-CN" w:bidi="ar-SA"/>
              </w:rPr>
            </w:r>
            <w:r/>
          </w:p>
        </w:tc>
        <w:tc>
          <w:tcPr>
            <w:tcW w:w="3170"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氨基酸分析仪</w:t>
            </w:r>
            <w:r>
              <w:rPr>
                <w:rFonts w:ascii="Times New Roman" w:hAnsi="Times New Roman" w:eastAsia="宋体" w:cs="Times New Roman"/>
                <w:b w:val="0"/>
                <w:bCs w:val="0"/>
                <w:color w:val="000000"/>
                <w:sz w:val="24"/>
                <w:szCs w:val="24"/>
              </w:rPr>
            </w:r>
            <w:r/>
          </w:p>
        </w:tc>
        <w:tc>
          <w:tcPr>
            <w:tcW w:w="2994"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779" w:y="4494"/>
              <w:suppressLineNumbers w:val="0"/>
            </w:pPr>
            <w:r>
              <w:rPr>
                <w:rFonts w:hint="eastAsia" w:ascii="Times New Roman" w:hAnsi="Times New Roman" w:eastAsia="宋体" w:cs="Times New Roman"/>
                <w:b w:val="0"/>
                <w:bCs w:val="0"/>
                <w:i w:val="0"/>
                <w:iCs w:val="0"/>
                <w:color w:val="000000"/>
                <w:sz w:val="24"/>
                <w:szCs w:val="24"/>
                <w:u w:val="none"/>
                <w:lang w:val="en-US" w:eastAsia="zh-CN" w:bidi="ar"/>
              </w:rPr>
              <w:t xml:space="preserve">核心产品</w:t>
            </w: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eastAsia="zh-CN" w:bidi="ar-SA"/>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8</w:t>
            </w:r>
            <w:r>
              <w:rPr>
                <w:rFonts w:ascii="Times New Roman" w:hAnsi="Times New Roman" w:eastAsia="宋体" w:cs="Times New Roman"/>
                <w:b w:val="0"/>
                <w:bCs w:val="0"/>
                <w:color w:val="000000"/>
                <w:sz w:val="24"/>
                <w:szCs w:val="24"/>
                <w:lang w:val="en-US" w:eastAsia="zh-CN" w:bidi="ar-SA"/>
              </w:rPr>
            </w:r>
            <w:r/>
          </w:p>
        </w:tc>
        <w:tc>
          <w:tcPr>
            <w:tcW w:w="3170"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原子荧光光度计</w:t>
            </w:r>
            <w:r>
              <w:rPr>
                <w:rFonts w:ascii="Times New Roman" w:hAnsi="Times New Roman" w:eastAsia="宋体" w:cs="Times New Roman"/>
                <w:b w:val="0"/>
                <w:bCs w:val="0"/>
                <w:color w:val="000000"/>
                <w:sz w:val="24"/>
                <w:szCs w:val="24"/>
              </w:rPr>
            </w:r>
            <w:r/>
          </w:p>
        </w:tc>
        <w:tc>
          <w:tcPr>
            <w:tcW w:w="2994"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cantSplit/>
          <w:trHeight w:val="345"/>
        </w:trPr>
        <w:tc>
          <w:tcPr>
            <w:tcW w:w="878"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lang w:val="en-US" w:eastAsia="zh-CN"/>
              </w:rPr>
              <w:framePr w:vAnchor="text" w:hAnchor="margin" w:x="1779" w:y="4494"/>
              <w:suppressLineNumbers w:val="0"/>
            </w:pPr>
            <w:r>
              <w:rPr>
                <w:rFonts w:hint="eastAsia" w:ascii="Times New Roman" w:hAnsi="Times New Roman" w:eastAsia="宋体" w:cs="Times New Roman"/>
                <w:b w:val="0"/>
                <w:bCs w:val="0"/>
                <w:i w:val="0"/>
                <w:iCs w:val="0"/>
                <w:color w:val="000000"/>
                <w:sz w:val="24"/>
                <w:szCs w:val="24"/>
                <w:u w:val="none"/>
                <w:lang w:val="en-US" w:eastAsia="zh-CN" w:bidi="ar"/>
              </w:rPr>
              <w:t xml:space="preserve">9</w:t>
            </w:r>
            <w:r>
              <w:rPr>
                <w:rFonts w:ascii="Times New Roman" w:hAnsi="Times New Roman" w:eastAsia="宋体" w:cs="Times New Roman"/>
                <w:b w:val="0"/>
                <w:bCs w:val="0"/>
                <w:color w:val="000000"/>
                <w:sz w:val="24"/>
                <w:szCs w:val="24"/>
                <w:lang w:val="en-US" w:eastAsia="zh-CN"/>
              </w:rPr>
            </w:r>
            <w:r/>
          </w:p>
        </w:tc>
        <w:tc>
          <w:tcPr>
            <w:tcW w:w="3170"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超净工作台</w:t>
            </w:r>
            <w:r>
              <w:rPr>
                <w:rFonts w:ascii="Times New Roman" w:hAnsi="Times New Roman" w:eastAsia="宋体" w:cs="Times New Roman"/>
                <w:b w:val="0"/>
                <w:bCs w:val="0"/>
                <w:color w:val="000000"/>
                <w:sz w:val="24"/>
                <w:szCs w:val="24"/>
              </w:rPr>
            </w:r>
            <w:r/>
          </w:p>
        </w:tc>
        <w:tc>
          <w:tcPr>
            <w:tcW w:w="2994" w:type="dxa"/>
            <w:vAlign w:val="center"/>
            <w:textDirection w:val="lrTb"/>
            <w:noWrap w:val="false"/>
          </w:tcPr>
          <w:p>
            <w:pPr>
              <w:pStyle w:val="830"/>
              <w:jc w:val="center"/>
              <w:keepLines w:val="0"/>
              <w:keepNext w:val="0"/>
              <w:widowControl/>
              <w:rPr>
                <w:rFonts w:ascii="Times New Roman" w:hAnsi="Times New Roman" w:eastAsia="宋体" w:cs="Times New Roman"/>
                <w:b w:val="0"/>
                <w:bCs w:val="0"/>
                <w:color w:val="000000"/>
                <w:sz w:val="24"/>
                <w:szCs w:val="24"/>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5</w:t>
            </w:r>
            <w:r>
              <w:rPr>
                <w:rFonts w:ascii="Times New Roman" w:hAnsi="Times New Roman" w:eastAsia="宋体" w:cs="Times New Roman"/>
                <w:b w:val="0"/>
                <w:bCs w:val="0"/>
                <w:color w:val="000000"/>
                <w:sz w:val="24"/>
                <w:szCs w:val="24"/>
              </w:rPr>
            </w:r>
            <w:r/>
          </w:p>
        </w:tc>
        <w:tc>
          <w:tcPr>
            <w:tcW w:w="1269" w:type="dxa"/>
            <w:vAlign w:val="center"/>
            <w:textDirection w:val="lrTb"/>
            <w:noWrap w:val="false"/>
          </w:tcPr>
          <w:p>
            <w:pPr>
              <w:pStyle w:val="830"/>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framePr w:vAnchor="text" w:hAnchor="margin" w:x="1779" w:y="4494"/>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bl>
    <w:p>
      <w:pPr>
        <w:pStyle w:val="838"/>
        <w:ind w:firstLine="480"/>
        <w:jc w:val="both"/>
        <w:spacing w:beforeAutospacing="0" w:afterAutospacing="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838"/>
        <w:ind w:firstLine="0"/>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shd w:val="clear" w:color="auto" w:fill="auto"/>
          <w:lang w:val="en-US" w:eastAsia="zh-CN"/>
        </w:rPr>
        <w:t xml:space="preserve">招标范围包括：以上设备的提供、运输、安装、调试、运行服务、检验、人员培训、售后服务等以及直至通过采购单位及其他相关部门的验收等全部工作。具体采购范围及所应达到的具体要求，以招标文件项目需求中有关商</w:t>
      </w:r>
      <w:r>
        <w:rPr>
          <w:rFonts w:hint="eastAsia" w:ascii="宋体" w:hAnsi="宋体" w:eastAsia="宋体" w:cs="宋体"/>
          <w:color w:val="000000"/>
          <w:sz w:val="24"/>
          <w:szCs w:val="24"/>
          <w:highlight w:val="none"/>
          <w:shd w:val="clear" w:color="auto" w:fill="auto"/>
          <w:lang w:val="en-US" w:eastAsia="zh-CN"/>
        </w:rPr>
      </w:r>
      <w:r/>
      <w:r>
        <w:rPr>
          <w:rFonts w:hint="eastAsia" w:ascii="宋体" w:hAnsi="宋体" w:eastAsia="宋体" w:cs="宋体"/>
          <w:color w:val="000000"/>
          <w:sz w:val="24"/>
          <w:szCs w:val="24"/>
          <w:highlight w:val="none"/>
          <w:shd w:val="clear" w:color="auto" w:fill="auto"/>
          <w:lang w:val="en-US" w:eastAsia="zh-CN"/>
        </w:rPr>
        <w:t xml:space="preserve">务、技术和服务的相应规定为准。</w:t>
      </w:r>
      <w:r/>
      <w:r/>
      <w:r>
        <w:rPr>
          <w:rFonts w:hint="eastAsia" w:ascii="宋体" w:hAnsi="宋体" w:eastAsia="宋体" w:cs="宋体"/>
          <w:color w:val="000000"/>
          <w:sz w:val="24"/>
          <w:szCs w:val="24"/>
          <w:highlight w:val="none"/>
          <w:shd w:val="clear" w:color="auto" w:fill="auto"/>
          <w:lang w:val="en-US" w:eastAsia="zh-CN"/>
        </w:rPr>
      </w:r>
    </w:p>
    <w:p>
      <w:pPr>
        <w:pStyle w:val="830"/>
        <w:ind w:firstLine="482"/>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Times New Roman"/>
          <w:b/>
          <w:bCs/>
          <w:color w:val="000000"/>
          <w:sz w:val="24"/>
          <w:szCs w:val="24"/>
          <w:lang w:val="en-US" w:eastAsia="zh-CN" w:bidi="ar-SA"/>
        </w:rPr>
        <w:t xml:space="preserve">二、</w:t>
      </w:r>
      <w:bookmarkStart w:id="176" w:name="_Toc505184819"/>
      <w:r/>
      <w:bookmarkStart w:id="177" w:name="_Toc505252668"/>
      <w:r/>
      <w:bookmarkStart w:id="178" w:name="_Toc13172"/>
      <w:r/>
      <w:bookmarkStart w:id="179" w:name="_Toc21615"/>
      <w:r>
        <w:rPr>
          <w:rFonts w:hint="eastAsia" w:ascii="宋体" w:hAnsi="宋体" w:cs="宋体"/>
          <w:b/>
          <w:bCs/>
          <w:color w:val="000000"/>
          <w:sz w:val="24"/>
          <w:u w:val="none"/>
          <w:lang w:val="zh-TW" w:eastAsia="zh-TW"/>
        </w:rPr>
        <w:t xml:space="preserve">产品技术参数要求</w:t>
      </w:r>
      <w:bookmarkEnd w:id="176"/>
      <w:r/>
      <w:bookmarkEnd w:id="177"/>
      <w:r/>
      <w:bookmarkEnd w:id="178"/>
      <w:r/>
      <w:bookmarkEnd w:id="179"/>
      <w:r>
        <w:rPr>
          <w:rFonts w:hint="eastAsia" w:ascii="宋体" w:hAnsi="宋体" w:eastAsia="宋体" w:cs="宋体"/>
          <w:sz w:val="24"/>
          <w:szCs w:val="24"/>
          <w:highlight w:val="none"/>
        </w:rPr>
      </w:r>
      <w:r/>
    </w:p>
    <w:p>
      <w:pPr>
        <w:pStyle w:val="830"/>
        <w:ind w:firstLine="482"/>
        <w:jc w:val="left"/>
        <w:keepLines w:val="0"/>
        <w:keepNext w:val="0"/>
        <w:pageBreakBefore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一</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、超静音无风管通风橱：</w:t>
      </w:r>
      <w:r>
        <w:rPr>
          <w:rFonts w:ascii="Times New Roman" w:hAnsi="Times New Roman" w:eastAsia="宋体" w:cs="Times New Roman"/>
          <w:b/>
          <w:bCs/>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1.金属部件材</w:t>
      </w:r>
      <w:r>
        <w:rPr>
          <w:rFonts w:ascii="Times New Roman" w:hAnsi="Times New Roman" w:eastAsia="宋体" w:cs="Times New Roman"/>
          <w:color w:val="000000"/>
          <w:sz w:val="24"/>
          <w:szCs w:val="24"/>
          <w:highlight w:val="none"/>
        </w:rPr>
        <w:t xml:space="preserve">质：应采用≥1.2mm冷轧</w:t>
      </w:r>
      <w:r>
        <w:rPr>
          <w:rFonts w:ascii="Times New Roman" w:hAnsi="Times New Roman" w:eastAsia="宋体" w:cs="Times New Roman"/>
          <w:sz w:val="24"/>
          <w:szCs w:val="24"/>
        </w:rPr>
        <w:t xml:space="preserve">钢板，采用静电粉末喷涂，覆有耐用防化无铅涂层。</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2.前板及侧板：主要材质≥6mm亚克力板。</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color w:val="0000ff"/>
          <w:sz w:val="24"/>
          <w:szCs w:val="24"/>
          <w:highlight w:val="cyan"/>
        </w:rPr>
      </w:pPr>
      <w:r>
        <w:rPr>
          <w:rFonts w:ascii="Times New Roman" w:hAnsi="Times New Roman" w:eastAsia="宋体" w:cs="Times New Roman"/>
          <w:sz w:val="24"/>
          <w:szCs w:val="24"/>
        </w:rPr>
        <w:t xml:space="preserve">3.智能控制系统</w:t>
      </w:r>
      <w:r>
        <w:rPr>
          <w:rFonts w:ascii="Times New Roman" w:hAnsi="Times New Roman" w:eastAsia="宋体" w:cs="Times New Roman"/>
          <w:color w:val="0000ff"/>
          <w:sz w:val="24"/>
          <w:szCs w:val="24"/>
          <w:highlight w:val="cyan"/>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color w:val="000000"/>
          <w:sz w:val="24"/>
          <w:szCs w:val="24"/>
          <w:highlight w:val="none"/>
        </w:rPr>
        <w:t xml:space="preserve">不小于七</w:t>
      </w:r>
      <w:r>
        <w:rPr>
          <w:rFonts w:ascii="Times New Roman" w:hAnsi="Times New Roman" w:eastAsia="宋体" w:cs="Times New Roman"/>
          <w:sz w:val="24"/>
          <w:szCs w:val="24"/>
        </w:rPr>
        <w:t xml:space="preserve">英寸液晶触摸屏微电脑控制系统，应具备：</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实时温湿度环境监控，风机监控，VOC浓度环境监测系统（可实时监测环境状况，超出限定自动启动风机，过滤净化空气）及一体化报警系统，同时具备时间控制功能，按时段启动过滤系统。</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温湿度数字显示设定和测量值，高精度传感器，当柜内的温湿度超过设定的测量值即时报警提示。</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进口风机，24伏电流，性能稳定，超静音，无火花静电。风机调速功能可视柜内存储状况进行快慢调速，有效延长风机及过滤器使用寿命。</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sz w:val="24"/>
          <w:szCs w:val="24"/>
        </w:rPr>
        <w:t xml:space="preserve">过滤系统：入风口底部有初级过滤网，主要过滤5um及以上粒径的尘埃粒子，具有良好的过滤效果；高效过滤系统，按照颗粒大小选择排列分布，有效针对</w:t>
      </w:r>
      <w:r>
        <w:rPr>
          <w:rFonts w:ascii="Times New Roman" w:hAnsi="Times New Roman" w:eastAsia="宋体" w:cs="Times New Roman"/>
          <w:color w:val="000000"/>
          <w:sz w:val="24"/>
          <w:szCs w:val="24"/>
          <w:highlight w:val="none"/>
        </w:rPr>
        <w:t xml:space="preserve">酸性气体和有机气体，吸附能力强。</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4、应采用优质离心风机，24伏电流，性能稳定，超静音，无火花静电。风机转速可自行调节，应保证正常的面风速CPU监测到过高或过低的面风速自行调节，并达到安全值。</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5.高效过滤系统，针对粒子采用高效HEPA过滤器，对大于0.3um的粒子，过滤效率达99.995%。安全的过滤系统最大程度保证了实验室人员的安全，提供换气次数及吸附效能检测报告。</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sz w:val="24"/>
          <w:szCs w:val="24"/>
        </w:rPr>
        <w:t xml:space="preserve">6. LED照明灯亮度相当于10W的日光灯，应不产生热量，安全并不影响实验环</w:t>
      </w:r>
      <w:r>
        <w:rPr>
          <w:rFonts w:ascii="Times New Roman" w:hAnsi="Times New Roman" w:eastAsia="宋体" w:cs="Times New Roman"/>
          <w:color w:val="000000"/>
          <w:sz w:val="24"/>
          <w:szCs w:val="24"/>
          <w:highlight w:val="none"/>
        </w:rPr>
        <w:t xml:space="preserve">境温度，节能、环保、寿命长。</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7.应配理化板或陶瓷台面。</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8.应抗震效果。</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9.应保证恒定面风速，超大液晶屏在线显示面风速，风速过高或过低报警提醒。</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 应无需外接管道，自带风机和过滤器。</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color w:val="000000"/>
          <w:sz w:val="24"/>
          <w:szCs w:val="24"/>
          <w:highlight w:val="none"/>
        </w:rPr>
        <w:t xml:space="preserve">11.安装调试简单方便，应节能环保，</w:t>
      </w:r>
      <w:r>
        <w:rPr>
          <w:rFonts w:ascii="Times New Roman" w:hAnsi="Times New Roman" w:eastAsia="宋体" w:cs="Times New Roman"/>
          <w:sz w:val="24"/>
          <w:szCs w:val="24"/>
          <w:highlight w:val="none"/>
        </w:rPr>
        <w:t xml:space="preserve">不消耗空调风，净化实验室内空气。</w:t>
      </w:r>
      <w:r>
        <w:rPr>
          <w:rFonts w:ascii="Times New Roman" w:hAnsi="Times New Roman" w:eastAsia="宋体" w:cs="Times New Roman"/>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color w:val="000000"/>
          <w:sz w:val="24"/>
          <w:szCs w:val="24"/>
          <w:highlight w:val="none"/>
        </w:rPr>
        <w:t xml:space="preserve">12.</w:t>
      </w:r>
      <w:r>
        <w:rPr>
          <w:rFonts w:ascii="Times New Roman" w:hAnsi="Times New Roman" w:eastAsia="宋体" w:cs="Times New Roman"/>
          <w:sz w:val="24"/>
          <w:szCs w:val="24"/>
          <w:highlight w:val="none"/>
        </w:rPr>
        <w:t xml:space="preserve">柜体内配防爆温湿度VOC传感器，对柜内温湿度、VOC实时监控。</w:t>
      </w:r>
      <w:r>
        <w:rPr>
          <w:rFonts w:ascii="Times New Roman" w:hAnsi="Times New Roman" w:eastAsia="宋体" w:cs="Times New Roman"/>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13.产品过滤系统具有CMA和CNAS出具的吸附效能检测报告，提供过滤部分CQC认证。</w:t>
      </w:r>
      <w:r>
        <w:rPr>
          <w:rFonts w:ascii="Times New Roman" w:hAnsi="Times New Roman" w:eastAsia="宋体" w:cs="Times New Roman"/>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14.防爆等级符合GB3836.1相关标准。</w:t>
      </w:r>
      <w:r>
        <w:rPr>
          <w:rFonts w:ascii="Times New Roman" w:hAnsi="Times New Roman" w:eastAsia="宋体" w:cs="Times New Roman"/>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15.提供专业测量机构出具的风速风量及噪音的测试报告，通过JG/T 385-2012《无管自净型排风柜》。</w:t>
      </w:r>
      <w:r>
        <w:rPr>
          <w:rFonts w:ascii="Times New Roman" w:hAnsi="Times New Roman" w:eastAsia="宋体" w:cs="Times New Roman"/>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highlight w:val="none"/>
        </w:rPr>
        <w:t xml:space="preserve">16.风机使用寿命≥60000小时，可人工设置定时开启和关闭通风</w:t>
      </w:r>
      <w:r>
        <w:rPr>
          <w:rFonts w:ascii="Times New Roman" w:hAnsi="Times New Roman" w:eastAsia="宋体" w:cs="Times New Roman"/>
          <w:sz w:val="24"/>
          <w:szCs w:val="24"/>
        </w:rPr>
        <w:t xml:space="preserve">风机。</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17.内部尺寸：≥1750×900×800mm；</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trike/>
          <w:color w:val="ee0000"/>
          <w:sz w:val="24"/>
          <w:szCs w:val="24"/>
        </w:rPr>
      </w:pPr>
      <w:r>
        <w:rPr>
          <w:rFonts w:ascii="Times New Roman" w:hAnsi="Times New Roman" w:eastAsia="宋体" w:cs="Times New Roman"/>
          <w:sz w:val="24"/>
          <w:szCs w:val="24"/>
        </w:rPr>
        <w:t xml:space="preserve">18.平均表面风速：0.4-0</w:t>
      </w:r>
      <w:r>
        <w:rPr>
          <w:rFonts w:ascii="Times New Roman" w:hAnsi="Times New Roman" w:eastAsia="宋体" w:cs="Times New Roman"/>
          <w:color w:val="000000"/>
          <w:sz w:val="24"/>
          <w:szCs w:val="24"/>
          <w:highlight w:val="none"/>
        </w:rPr>
        <w:t xml:space="preserve">.6m/s；音量小于55 dB(A)；电源：AC220</w:t>
      </w:r>
      <w:r>
        <w:rPr>
          <w:rFonts w:ascii="Times New Roman" w:hAnsi="Times New Roman" w:eastAsia="宋体" w:cs="Times New Roman"/>
          <w:sz w:val="24"/>
          <w:szCs w:val="24"/>
        </w:rPr>
        <w:t xml:space="preserve">V/50HZ。</w:t>
      </w:r>
      <w:r>
        <w:rPr>
          <w:rFonts w:ascii="Times New Roman" w:hAnsi="Times New Roman" w:eastAsia="宋体" w:cs="Times New Roman"/>
          <w:strike/>
          <w:color w:val="ee0000"/>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19.配置</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风机数量：1个；</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照明：LED照明灯1组；</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显示屏：</w:t>
      </w:r>
      <w:r>
        <w:rPr>
          <w:rFonts w:ascii="Times New Roman" w:hAnsi="Times New Roman" w:eastAsia="宋体" w:cs="Times New Roman"/>
          <w:color w:val="000000"/>
          <w:sz w:val="24"/>
          <w:szCs w:val="24"/>
          <w:highlight w:val="none"/>
        </w:rPr>
        <w:t xml:space="preserve">不小于</w:t>
      </w:r>
      <w:r>
        <w:rPr>
          <w:rFonts w:ascii="Times New Roman" w:hAnsi="Times New Roman" w:eastAsia="宋体" w:cs="Times New Roman"/>
          <w:sz w:val="24"/>
          <w:szCs w:val="24"/>
        </w:rPr>
        <w:t xml:space="preserve">七寸液晶触摸屏；</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台面：环氧树酯台面；</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电源线：1根；</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控制系统：1套；</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报警系统：1套；</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包含下柜；</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ind w:firstLine="482"/>
        <w:jc w:val="left"/>
        <w:keepLines w:val="0"/>
        <w:keepNext w:val="0"/>
        <w:pageBreakBefore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二</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、食品快速检测仪：</w:t>
      </w:r>
      <w:r>
        <w:rPr>
          <w:rFonts w:ascii="Times New Roman" w:hAnsi="Times New Roman" w:eastAsia="宋体" w:cs="Times New Roman"/>
          <w:b/>
          <w:bCs/>
          <w:sz w:val="24"/>
          <w:szCs w:val="24"/>
        </w:rPr>
      </w:r>
      <w:r/>
    </w:p>
    <w:p>
      <w:pPr>
        <w:pStyle w:val="830"/>
        <w:ind w:firstLine="482"/>
        <w:jc w:val="left"/>
        <w:keepLines w:val="0"/>
        <w:keepNext w:val="0"/>
        <w:pageBreakBefore w:val="0"/>
        <w:rPr>
          <w:rFonts w:ascii="Times New Roman" w:hAnsi="Times New Roman" w:eastAsia="宋体" w:cs="Times New Roman"/>
          <w:b/>
          <w:bCs/>
          <w:color w:val="000000"/>
          <w:sz w:val="24"/>
          <w:szCs w:val="24"/>
          <w:lang w:bidi="ar"/>
        </w:rPr>
      </w:pPr>
      <w:r>
        <w:rPr>
          <w:rFonts w:ascii="Times New Roman" w:hAnsi="Times New Roman" w:eastAsia="宋体" w:cs="Times New Roman"/>
          <w:b/>
          <w:bCs/>
          <w:sz w:val="24"/>
          <w:szCs w:val="24"/>
          <w:lang w:bidi="ar"/>
        </w:rPr>
        <w:t xml:space="preserve">2.1多</w:t>
      </w:r>
      <w:r>
        <w:rPr>
          <w:rFonts w:ascii="Times New Roman" w:hAnsi="Times New Roman" w:eastAsia="宋体" w:cs="Times New Roman"/>
          <w:b/>
          <w:bCs/>
          <w:color w:val="000000"/>
          <w:sz w:val="24"/>
          <w:szCs w:val="24"/>
          <w:lang w:bidi="ar"/>
        </w:rPr>
        <w:t xml:space="preserve">功能食品安全检测仪：</w:t>
      </w:r>
      <w:r>
        <w:rPr>
          <w:rFonts w:ascii="Times New Roman" w:hAnsi="Times New Roman" w:eastAsia="宋体" w:cs="Times New Roman"/>
          <w:b/>
          <w:bCs/>
          <w:color w:val="000000"/>
          <w:sz w:val="24"/>
          <w:szCs w:val="24"/>
          <w:lang w:bidi="ar"/>
        </w:rPr>
      </w:r>
      <w:r/>
    </w:p>
    <w:p>
      <w:pPr>
        <w:pStyle w:val="830"/>
        <w:ind w:firstLine="480"/>
        <w:jc w:val="left"/>
        <w:keepLines w:val="0"/>
        <w:keepNext w:val="0"/>
        <w:pageBreakBefore w:val="0"/>
        <w:rPr>
          <w:rFonts w:ascii="Times New Roman" w:hAnsi="Times New Roman" w:eastAsia="宋体" w:cs="Times New Roman"/>
          <w:sz w:val="24"/>
          <w:szCs w:val="24"/>
          <w:lang w:val="en-US" w:eastAsia="zh-CN" w:bidi="ar-SA"/>
        </w:rPr>
      </w:pPr>
      <w:r>
        <w:rPr>
          <w:rFonts w:ascii="Times New Roman" w:hAnsi="Times New Roman" w:eastAsia="宋体" w:cs="Times New Roman"/>
          <w:color w:val="000000"/>
          <w:sz w:val="24"/>
          <w:szCs w:val="24"/>
        </w:rPr>
        <w:t xml:space="preserve">1.分</w:t>
      </w:r>
      <w:r>
        <w:rPr>
          <w:rFonts w:ascii="Times New Roman" w:hAnsi="Times New Roman" w:eastAsia="宋体" w:cs="Times New Roman"/>
          <w:sz w:val="24"/>
          <w:szCs w:val="24"/>
          <w:lang w:val="en-US" w:eastAsia="zh-CN" w:bidi="ar-SA"/>
        </w:rPr>
        <w:t xml:space="preserve">光光度模块通道数：不少于8通道；</w:t>
      </w:r>
      <w:r>
        <w:rPr>
          <w:rFonts w:ascii="Times New Roman" w:hAnsi="Times New Roman" w:eastAsia="宋体" w:cs="Times New Roman"/>
          <w:sz w:val="24"/>
          <w:szCs w:val="24"/>
          <w:lang w:val="en-US" w:eastAsia="zh-CN" w:bidi="ar-SA"/>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2.胶体金模块通道数：单通道；</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3.检测波长：350-700nm多波长；</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4.屏幕：不小于7英寸；</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5.吸光度值准确度：≤0.02；</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示值稳定性：≤0.005A/10min；</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重复性：CV≤1%；</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吸光度通道差异：≤0.02A；</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波长准确性：±2nm；半波长带宽：≤8nm；</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6.胶体金模块测度方法：光电扫描法；</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7.胶体金模块CT识别：胶体金模块自动识别CT位置，无需手动调整定位；</w:t>
      </w:r>
      <w:r>
        <w:rPr>
          <w:rFonts w:ascii="Times New Roman" w:hAnsi="Times New Roman" w:eastAsia="宋体" w:cs="Times New Roman"/>
          <w:sz w:val="24"/>
          <w:szCs w:val="24"/>
        </w:rPr>
      </w:r>
      <w:r/>
    </w:p>
    <w:p>
      <w:pPr>
        <w:pStyle w:val="830"/>
        <w:ind w:firstLine="480"/>
        <w:jc w:val="left"/>
        <w:keepLines w:val="0"/>
        <w:keepNext w:val="0"/>
        <w:pageBreakBefore w:val="0"/>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8.样品管理：仪器自带二维码扫描功能，可通过扫描二维码自动获取采样信息，并与检测信息一一对应，形成完整的检测溯源链；</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9.胶体金模块变异系数：CV＜1%；</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10.内存：≥1G；存储：≥8G；</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11.信息输入：触控手写输入，支持外接鼠标键盘；</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12.网络通信：无线WIFI/1000M，自适应以太网；</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13.外部数据接口：USB，RS232 DB9，标准串口；</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14.打印：内嵌热敏打印机；</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15.电源电压：220V-50Hz；</w:t>
      </w:r>
      <w:r>
        <w:rPr>
          <w:rFonts w:ascii="Times New Roman" w:hAnsi="Times New Roman" w:eastAsia="宋体" w:cs="Times New Roman"/>
          <w:sz w:val="24"/>
          <w:szCs w:val="24"/>
        </w:rPr>
      </w:r>
      <w:r/>
    </w:p>
    <w:p>
      <w:pPr>
        <w:pStyle w:val="830"/>
        <w:ind w:firstLine="482"/>
        <w:jc w:val="left"/>
        <w:keepLines w:val="0"/>
        <w:keepNext w:val="0"/>
        <w:pageBreakBefore w:val="0"/>
        <w:rPr>
          <w:rFonts w:ascii="Times New Roman" w:hAnsi="Times New Roman" w:eastAsia="宋体" w:cs="Times New Roman"/>
          <w:b/>
          <w:bCs/>
          <w:sz w:val="24"/>
          <w:szCs w:val="24"/>
        </w:rPr>
      </w:pPr>
      <w:r/>
      <w:bookmarkStart w:id="180" w:name="_Toc505076513"/>
      <w:r>
        <w:rPr>
          <w:rFonts w:ascii="Times New Roman" w:hAnsi="Times New Roman" w:eastAsia="宋体" w:cs="Times New Roman"/>
          <w:b/>
          <w:bCs/>
          <w:sz w:val="24"/>
          <w:szCs w:val="24"/>
        </w:rPr>
        <w:t xml:space="preserve">2.2手持式采样仪</w:t>
      </w:r>
      <w:r>
        <w:rPr>
          <w:rFonts w:ascii="Times New Roman" w:hAnsi="Times New Roman" w:eastAsia="宋体" w:cs="Times New Roman"/>
          <w:b/>
          <w:bCs/>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1.显</w:t>
      </w:r>
      <w:r>
        <w:rPr>
          <w:rFonts w:ascii="Times New Roman" w:hAnsi="Times New Roman" w:eastAsia="宋体" w:cs="Times New Roman"/>
          <w:color w:val="000000"/>
          <w:sz w:val="24"/>
          <w:szCs w:val="24"/>
        </w:rPr>
        <w:t xml:space="preserve">示：不小于5.45英寸电容式触摸屏。</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2.数据传输：无线WiFi /4G全网通。</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3.采用7.6V高压聚合物锂电池，充电时间短，应能连续采样四小时以上。</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4.打印：支持热敏打印纸和不干胶两种打印模式。</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5.Android7.0以上操作系统。</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6.样本信息采集项目（包括但不限于）：①样品类别；②样本品种；③样本名称；④采样主体；⑤采样位置信息；⑥采样时间；以上样本信息全部为选项式录入或系统自动获取。</w:t>
      </w:r>
      <w:r>
        <w:rPr>
          <w:rFonts w:ascii="Times New Roman" w:hAnsi="Times New Roman" w:eastAsia="宋体" w:cs="Times New Roman"/>
          <w:color w:val="000000"/>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7.样品采集数据录入后，系统可自动生成该检测样品可检测的检测项目。</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8.样本信息溯源码管理：支持样本信息追溯二维码自动生成，打印。检测仪器可扫描识别该样本信息二维码，同一检测项目不可重复扫描该二维码，确保检测数据的真实性。</w:t>
      </w:r>
      <w:bookmarkEnd w:id="180"/>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2.3离心机</w:t>
      </w:r>
      <w:r>
        <w:rPr>
          <w:rFonts w:ascii="Times New Roman" w:hAnsi="Times New Roman" w:eastAsia="宋体" w:cs="Times New Roman"/>
          <w:b w:val="0"/>
          <w:bCs w:val="0"/>
          <w:sz w:val="24"/>
          <w:szCs w:val="24"/>
        </w:rPr>
        <w:tab/>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1.最高转速：不小于4000rpm</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2.最大相对离心力：不小于2367×g</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3.最大容量：不小于4×50ml</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4.噪音 (dB)：≤ 55</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5.电源(V/Hz)：220V /50HZ</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2.4涡旋混匀器</w:t>
      </w:r>
      <w:r>
        <w:rPr>
          <w:rFonts w:ascii="Times New Roman" w:hAnsi="Times New Roman" w:eastAsia="宋体" w:cs="Times New Roman"/>
          <w:b w:val="0"/>
          <w:bCs w:val="0"/>
          <w:sz w:val="24"/>
          <w:szCs w:val="24"/>
        </w:rPr>
        <w:tab/>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1.电源：220V 50HZ；</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2.转速：3000转/分；</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3.工作方式：连续</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4.工作台直径：φ55mm橡胶。</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2.5电热锅</w:t>
      </w:r>
      <w:r>
        <w:rPr>
          <w:rFonts w:ascii="Times New Roman" w:hAnsi="Times New Roman" w:eastAsia="宋体" w:cs="Times New Roman"/>
          <w:b w:val="0"/>
          <w:bCs w:val="0"/>
          <w:sz w:val="24"/>
          <w:szCs w:val="24"/>
        </w:rPr>
        <w:tab/>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1.材质：304不锈钢</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2.容量：2L</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3.功率：不小于1500W</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4.电源(V/Hz)：220V /50HZ</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2.6移液器满足：</w:t>
      </w:r>
      <w:r>
        <w:rPr>
          <w:rFonts w:ascii="Times New Roman" w:hAnsi="Times New Roman" w:eastAsia="宋体" w:cs="Times New Roman"/>
          <w:b w:val="0"/>
          <w:bCs w:val="0"/>
          <w:sz w:val="24"/>
          <w:szCs w:val="24"/>
        </w:rPr>
        <w:tab/>
      </w:r>
      <w:r>
        <w:rPr>
          <w:rFonts w:ascii="Times New Roman" w:hAnsi="Times New Roman" w:eastAsia="宋体" w:cs="Times New Roman"/>
          <w:b w:val="0"/>
          <w:bCs w:val="0"/>
          <w:sz w:val="24"/>
          <w:szCs w:val="24"/>
        </w:rPr>
        <w:t xml:space="preserve">20-200ul、100-1000ul、1000ul-5000ul；</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2.7三通道计时器</w:t>
      </w:r>
      <w:r>
        <w:rPr>
          <w:rFonts w:ascii="Times New Roman" w:hAnsi="Times New Roman" w:eastAsia="宋体" w:cs="Times New Roman"/>
          <w:b w:val="0"/>
          <w:bCs w:val="0"/>
          <w:sz w:val="24"/>
          <w:szCs w:val="24"/>
        </w:rPr>
        <w:tab/>
      </w:r>
      <w:r>
        <w:rPr>
          <w:rFonts w:ascii="Times New Roman" w:hAnsi="Times New Roman" w:eastAsia="宋体" w:cs="Times New Roman"/>
          <w:b w:val="0"/>
          <w:bCs w:val="0"/>
          <w:sz w:val="24"/>
          <w:szCs w:val="24"/>
        </w:rPr>
        <w:t xml:space="preserve">三通道，各通道独立控制</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2.8掌式天平</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1.最大量程：不小于500g</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2.精度：0.01g</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2.9配备不锈钢剪刀、美工刀、多功能离心管架、枪头盒、工具盒（含手套、口罩、滤纸等）</w:t>
      </w:r>
      <w:r>
        <w:rPr>
          <w:rFonts w:ascii="Times New Roman" w:hAnsi="Times New Roman" w:eastAsia="宋体" w:cs="Times New Roman"/>
          <w:b w:val="0"/>
          <w:bCs w:val="0"/>
          <w:sz w:val="24"/>
          <w:szCs w:val="24"/>
        </w:rPr>
      </w:r>
      <w:r/>
    </w:p>
    <w:p>
      <w:pPr>
        <w:pStyle w:val="830"/>
        <w:ind w:firstLine="480"/>
        <w:jc w:val="left"/>
        <w:keepLines w:val="0"/>
        <w:keepNext w:val="0"/>
        <w:pageBreakBefore w:val="0"/>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2.10铝合金拉杆箱</w:t>
      </w:r>
      <w:r>
        <w:rPr>
          <w:rFonts w:ascii="Times New Roman" w:hAnsi="Times New Roman" w:eastAsia="宋体" w:cs="Times New Roman"/>
          <w:b w:val="0"/>
          <w:bCs w:val="0"/>
          <w:sz w:val="24"/>
          <w:szCs w:val="24"/>
        </w:rPr>
        <w:tab/>
      </w:r>
      <w:r>
        <w:rPr>
          <w:rFonts w:ascii="Times New Roman" w:hAnsi="Times New Roman" w:eastAsia="宋体" w:cs="Times New Roman"/>
          <w:b w:val="0"/>
          <w:bCs w:val="0"/>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1.外箱材质：铝合金箱</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2.仪器箱采用拉杆设计，满足现场及流动检测使用需求</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ind w:firstLine="482"/>
        <w:jc w:val="left"/>
        <w:keepLines w:val="0"/>
        <w:keepNext w:val="0"/>
        <w:pageBreakBefore w:val="0"/>
        <w:rPr>
          <w:rFonts w:ascii="Times New Roman" w:hAnsi="Times New Roman" w:eastAsia="宋体" w:cs="Times New Roman"/>
          <w:sz w:val="24"/>
          <w:szCs w:val="24"/>
        </w:rPr>
      </w:pP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三）、不间断电源</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1.容量VA/W：9000W/10000VA</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2.输入电压 120 -275VAC ；频率范围 40Hz-70Hz ； 输出电压: 220VAC；输出精度:±1%；输出频率: 50Hz±0.2Hz ；</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3.电池节数：16PCS ；电池类型：12V/9Ah；LCD+LED显示：可数字化显示负载/电量/输入/输出参数；</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4.运行环境温度 0-40℃；运行环境湿度20-90%；</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5.噪声：＜50dB；</w:t>
      </w:r>
      <w:r>
        <w:rPr>
          <w:rFonts w:ascii="Times New Roman" w:hAnsi="Times New Roman" w:eastAsia="宋体" w:cs="Times New Roman"/>
          <w:sz w:val="24"/>
          <w:szCs w:val="24"/>
        </w:rPr>
      </w:r>
      <w:r/>
    </w:p>
    <w:p>
      <w:pPr>
        <w:pStyle w:val="830"/>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6.执行标准: IEC61000, IEC62040, GB7260,GB4943 ；</w:t>
      </w:r>
      <w:r>
        <w:rPr>
          <w:rFonts w:ascii="Times New Roman" w:hAnsi="Times New Roman" w:eastAsia="宋体" w:cs="Times New Roman"/>
          <w:sz w:val="24"/>
          <w:szCs w:val="24"/>
        </w:rPr>
      </w:r>
      <w:r/>
    </w:p>
    <w:p>
      <w:pPr>
        <w:pStyle w:val="834"/>
        <w:ind w:firstLine="480"/>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ind w:firstLine="482"/>
        <w:jc w:val="left"/>
        <w:keepLines w:val="0"/>
        <w:keepNext w:val="0"/>
        <w:pageBreakBefore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四</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、气相色谱仪1</w:t>
      </w:r>
      <w:r>
        <w:rPr>
          <w:rFonts w:ascii="Times New Roman" w:hAnsi="Times New Roman" w:eastAsia="宋体" w:cs="Times New Roman"/>
          <w:b/>
          <w:bCs/>
          <w:sz w:val="24"/>
          <w:szCs w:val="24"/>
        </w:rPr>
      </w:r>
      <w:r/>
    </w:p>
    <w:p>
      <w:pPr>
        <w:pStyle w:val="834"/>
        <w:ind w:firstLine="480"/>
        <w:keepLines w:val="0"/>
        <w:keepNext w:val="0"/>
        <w:pageBreakBefore w:val="0"/>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1.仪器包括：气相色谱仪主机，分流/不分流</w:t>
      </w:r>
      <w:r>
        <w:rPr>
          <w:rFonts w:ascii="Times New Roman" w:hAnsi="Times New Roman" w:eastAsia="宋体" w:cs="Times New Roman"/>
          <w:color w:val="000000"/>
          <w:sz w:val="24"/>
          <w:szCs w:val="24"/>
        </w:rPr>
        <w:t xml:space="preserve">进样口，氢火焰离子化检测器；</w:t>
      </w:r>
      <w:r>
        <w:rPr>
          <w:rFonts w:ascii="Times New Roman" w:hAnsi="Times New Roman" w:eastAsia="宋体" w:cs="Times New Roman"/>
          <w:color w:val="000000"/>
          <w:sz w:val="24"/>
          <w:szCs w:val="24"/>
        </w:rPr>
      </w:r>
      <w:r/>
    </w:p>
    <w:p>
      <w:pPr>
        <w:pStyle w:val="834"/>
        <w:ind w:firstLine="480"/>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color w:val="000000"/>
          <w:sz w:val="24"/>
          <w:szCs w:val="24"/>
        </w:rPr>
        <w:t xml:space="preserve">2.柱箱温</w:t>
      </w:r>
      <w:r>
        <w:rPr>
          <w:rFonts w:ascii="Times New Roman" w:hAnsi="Times New Roman" w:eastAsia="宋体" w:cs="Times New Roman"/>
          <w:color w:val="000000"/>
          <w:sz w:val="24"/>
          <w:szCs w:val="24"/>
          <w:highlight w:val="none"/>
        </w:rPr>
        <w:t xml:space="preserve">度范围：室温以上8 ℃-425 ℃；温度设定分辨率：1 ℃；最大</w:t>
      </w:r>
      <w:r>
        <w:rPr>
          <w:rFonts w:ascii="Times New Roman" w:hAnsi="Times New Roman" w:eastAsia="宋体" w:cs="Times New Roman"/>
          <w:sz w:val="24"/>
          <w:szCs w:val="24"/>
          <w:highlight w:val="none"/>
        </w:rPr>
        <w:t xml:space="preserve">升温速率：75 ℃∕min；温度稳定性：当环境温度变化1 ℃时，柱温箱温度变化&lt; 0.01 ℃；程序升温：20阶；最大运行时间：999.99 min；降温速率：从300 ℃降至50 ℃ &lt;6 min（20℃室温）；</w:t>
      </w:r>
      <w:r>
        <w:rPr>
          <w:rFonts w:ascii="Times New Roman" w:hAnsi="Times New Roman" w:eastAsia="宋体" w:cs="Times New Roman"/>
          <w:sz w:val="24"/>
          <w:szCs w:val="24"/>
          <w:highlight w:val="none"/>
        </w:rPr>
      </w:r>
      <w:r/>
    </w:p>
    <w:p>
      <w:pPr>
        <w:pStyle w:val="834"/>
        <w:ind w:firstLine="480"/>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3.仪器自带全彩触摸屏，可通过触摸屏进行仪器配置，故障诊断；</w:t>
      </w:r>
      <w:r>
        <w:rPr>
          <w:rFonts w:ascii="Times New Roman" w:hAnsi="Times New Roman" w:eastAsia="宋体" w:cs="Times New Roman"/>
          <w:sz w:val="24"/>
          <w:szCs w:val="24"/>
        </w:rPr>
      </w:r>
      <w:r/>
    </w:p>
    <w:p>
      <w:pPr>
        <w:pStyle w:val="834"/>
        <w:ind w:firstLine="480"/>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4.可通过平板电脑浏览器实现对仪器的远程操控；</w:t>
      </w:r>
      <w:r>
        <w:rPr>
          <w:rFonts w:ascii="Times New Roman" w:hAnsi="Times New Roman" w:eastAsia="宋体" w:cs="Times New Roman"/>
          <w:sz w:val="24"/>
          <w:szCs w:val="24"/>
        </w:rPr>
      </w:r>
      <w:r/>
    </w:p>
    <w:p>
      <w:pPr>
        <w:pStyle w:val="834"/>
        <w:ind w:firstLine="480"/>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5.除柱温箱外，可加热控温的区域</w:t>
      </w:r>
      <w:r>
        <w:rPr>
          <w:rFonts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5个，最高温度可达350 ℃，支持两个加热阀。</w:t>
      </w:r>
      <w:r>
        <w:rPr>
          <w:rFonts w:ascii="Times New Roman" w:hAnsi="Times New Roman" w:eastAsia="宋体" w:cs="Times New Roman"/>
          <w:sz w:val="24"/>
          <w:szCs w:val="24"/>
        </w:rPr>
      </w:r>
      <w:r/>
    </w:p>
    <w:p>
      <w:pPr>
        <w:pStyle w:val="834"/>
        <w:ind w:firstLine="480"/>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6.电子气路控制（EPC）进样口EPC模块控制精度：0. 1 kPa；进样口EPC模块流量传感器准确度：&lt; 5%；</w:t>
      </w:r>
      <w:r>
        <w:rPr>
          <w:rFonts w:ascii="Times New Roman" w:hAnsi="Times New Roman" w:eastAsia="宋体" w:cs="Times New Roman"/>
          <w:sz w:val="24"/>
          <w:szCs w:val="24"/>
        </w:rPr>
      </w:r>
      <w:r/>
    </w:p>
    <w:p>
      <w:pPr>
        <w:pStyle w:val="834"/>
        <w:ind w:firstLine="480"/>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7.分流∕不分流毛细管进样口最高操作温度：400 ℃；流量设定范围：0-200 ml/min（以N2为载气时）；0-500 ml/min（以H2、He为载气时）；最大分流比：7500:1；</w:t>
      </w:r>
      <w:r>
        <w:rPr>
          <w:rFonts w:ascii="Times New Roman" w:hAnsi="Times New Roman" w:eastAsia="宋体" w:cs="Times New Roman"/>
          <w:sz w:val="24"/>
          <w:szCs w:val="24"/>
        </w:rPr>
      </w:r>
      <w:r/>
    </w:p>
    <w:p>
      <w:pPr>
        <w:pStyle w:val="834"/>
        <w:ind w:firstLine="480"/>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8.扳转式进样口设计，方便维护；</w:t>
      </w:r>
      <w:r>
        <w:rPr>
          <w:rFonts w:ascii="Times New Roman" w:hAnsi="Times New Roman" w:eastAsia="宋体" w:cs="Times New Roman"/>
          <w:sz w:val="24"/>
          <w:szCs w:val="24"/>
        </w:rPr>
      </w:r>
      <w:r/>
    </w:p>
    <w:p>
      <w:pPr>
        <w:pStyle w:val="834"/>
        <w:ind w:firstLine="480"/>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sz w:val="24"/>
          <w:szCs w:val="24"/>
        </w:rPr>
        <w:t xml:space="preserve">★9.氢火焰离</w:t>
      </w:r>
      <w:r>
        <w:rPr>
          <w:rFonts w:ascii="Times New Roman" w:hAnsi="Times New Roman" w:eastAsia="宋体" w:cs="Times New Roman"/>
          <w:sz w:val="24"/>
          <w:szCs w:val="24"/>
          <w:highlight w:val="none"/>
        </w:rPr>
        <w:t xml:space="preserve">子化检测器最高使用温度：400 ℃；最低检测限（MDL）：&lt;3.0 pg C/s（以正十三烷计算）；线性动态范围：≥10</w:t>
      </w:r>
      <w:r>
        <w:rPr>
          <w:rFonts w:ascii="Times New Roman" w:hAnsi="Times New Roman" w:eastAsia="宋体" w:cs="Times New Roman"/>
          <w:sz w:val="24"/>
          <w:szCs w:val="24"/>
          <w:highlight w:val="none"/>
          <w:vertAlign w:val="superscript"/>
        </w:rPr>
        <w:t xml:space="preserve">7</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sz w:val="24"/>
          <w:szCs w:val="24"/>
          <w:highlight w:val="none"/>
        </w:rPr>
        <w:t xml:space="preserve">10.最大数据采集速</w:t>
      </w:r>
      <w:r>
        <w:rPr>
          <w:rFonts w:ascii="Times New Roman" w:hAnsi="Times New Roman" w:eastAsia="宋体" w:cs="Times New Roman"/>
          <w:color w:val="000000"/>
          <w:sz w:val="24"/>
          <w:szCs w:val="24"/>
          <w:highlight w:val="none"/>
        </w:rPr>
        <w:t xml:space="preserve">率：500 Hz；</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11.保留时间重现性：&lt; 0.06%；</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12.峰面积重现性：&lt; 2.0% RSD；</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13.化学工作站软件硬件配置不低于： 8G内存，500G硬盘，一个以太网接口；软件：Windows；色谱分析软件应包括：数据采集、分析、储存及定性定量分析。</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14.应配置打印机1台；</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34"/>
        <w:ind w:firstLine="482"/>
        <w:keepLines w:val="0"/>
        <w:keepNext w:val="0"/>
        <w:pageBreakBefore w:val="0"/>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五</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、气相色谱仪2</w:t>
      </w:r>
      <w:r>
        <w:rPr>
          <w:rFonts w:ascii="Times New Roman" w:hAnsi="Times New Roman" w:eastAsia="宋体" w:cs="Times New Roman"/>
          <w:b/>
          <w:bCs/>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 仪器包括：气相色谱仪主机，分流/不分流进样口，氢火焰离子化检测器、电子捕获检测器</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sz w:val="24"/>
          <w:szCs w:val="24"/>
        </w:rPr>
        <w:t xml:space="preserve">2.柱箱温度范围：室温以上8 ℃-425 ℃；温度设定分辨率：1 ℃；最大升温速率：75</w:t>
      </w:r>
      <w:r>
        <w:rPr>
          <w:rFonts w:ascii="Times New Roman" w:hAnsi="Times New Roman" w:eastAsia="宋体" w:cs="Times New Roman"/>
          <w:color w:val="000000"/>
          <w:sz w:val="24"/>
          <w:szCs w:val="24"/>
          <w:highlight w:val="none"/>
        </w:rPr>
        <w:t xml:space="preserve"> ℃∕min；温度稳定性：当环境温度变化1 ℃时，柱温箱温度变化&lt; 0.01 ℃；程序升温：20阶；最大运行时间：999.99 min；降温速率：从300 ℃降至50 ℃ &lt;6 min（20 ℃室温）；</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3.仪器自带全彩触摸屏，可通过触摸屏进行仪器配置，故障诊断；</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4.可通过平板电脑浏览器实现对仪器的远程操控；</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5.除柱温箱外，可加热控温的区域</w:t>
      </w:r>
      <w:r>
        <w:rPr>
          <w:rFonts w:ascii="Times New Roman" w:hAnsi="Times New Roman" w:eastAsia="宋体" w:cs="Times New Roman"/>
          <w:color w:val="000000"/>
          <w:sz w:val="24"/>
          <w:szCs w:val="24"/>
          <w:highlight w:val="none"/>
          <w:lang w:val="en-US" w:eastAsia="zh-CN"/>
        </w:rPr>
        <w:t xml:space="preserve">不少于</w:t>
      </w:r>
      <w:r>
        <w:rPr>
          <w:rFonts w:ascii="Times New Roman" w:hAnsi="Times New Roman" w:eastAsia="宋体" w:cs="Times New Roman"/>
          <w:color w:val="000000"/>
          <w:sz w:val="24"/>
          <w:szCs w:val="24"/>
          <w:highlight w:val="none"/>
        </w:rPr>
        <w:t xml:space="preserve">5个，最高温度可达350 ℃，支持两个加热阀。</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6.电子气路控制（EPC）进样口EPC模块控制精度：0. 1 kPa；进样口EPC模块流量传感器准确度：&lt; 5%；</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7.分流∕不分流毛细管进样口最高操作温度：400 ℃；流量设定范围：0-200 ml/min（以N2为载气时）；0-500 ml/min（以H2、He为载气时）；最大分流比：7500:1；</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★8.氢火焰离子化检测器最高使用温度：400 ℃；最低检测限（MDL）：&lt;3.0 pg C/s（以正十三烷计算）；线性动态范围：≥10</w:t>
      </w:r>
      <w:r>
        <w:rPr>
          <w:rFonts w:ascii="Times New Roman" w:hAnsi="Times New Roman" w:eastAsia="宋体" w:cs="Times New Roman"/>
          <w:color w:val="000000"/>
          <w:sz w:val="24"/>
          <w:szCs w:val="24"/>
          <w:highlight w:val="none"/>
          <w:vertAlign w:val="superscript"/>
        </w:rPr>
        <w:t xml:space="preserve">7</w:t>
      </w:r>
      <w:r>
        <w:rPr>
          <w:rFonts w:ascii="Times New Roman" w:hAnsi="Times New Roman" w:eastAsia="宋体" w:cs="Times New Roman"/>
          <w:color w:val="000000"/>
          <w:sz w:val="24"/>
          <w:szCs w:val="24"/>
          <w:highlight w:val="none"/>
        </w:rPr>
        <w:t xml:space="preserve">，全量程的数字化数据输出使得一次进样中可以对检测器的整个浓度范围（10</w:t>
      </w:r>
      <w:r>
        <w:rPr>
          <w:rFonts w:ascii="Times New Roman" w:hAnsi="Times New Roman" w:eastAsia="宋体" w:cs="Times New Roman"/>
          <w:color w:val="000000"/>
          <w:sz w:val="24"/>
          <w:szCs w:val="24"/>
          <w:highlight w:val="none"/>
          <w:vertAlign w:val="superscript"/>
        </w:rPr>
        <w:t xml:space="preserve">7</w:t>
      </w:r>
      <w:r>
        <w:rPr>
          <w:rFonts w:ascii="Times New Roman" w:hAnsi="Times New Roman" w:eastAsia="宋体" w:cs="Times New Roman"/>
          <w:color w:val="000000"/>
          <w:sz w:val="24"/>
          <w:szCs w:val="24"/>
          <w:highlight w:val="none"/>
        </w:rPr>
        <w:t xml:space="preserve">）的峰实现定量分析； 最大数据采集速率：500 Hz；</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★9.电子气路控制（EPC）进样口EPC模块控制精度：0. 1 kPa；进样口EPC模块流量传感器准确度：&lt;±5%；</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10.扳转式进样口设计，方便维护（需提供仪器截图）；</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11.电子捕获检测器最高使用温度：400 ℃；最低检测限（MDL）：&lt;9 fg/mL林丹；线性动态范围：≥10</w:t>
      </w:r>
      <w:r>
        <w:rPr>
          <w:rFonts w:ascii="Times New Roman" w:hAnsi="Times New Roman" w:eastAsia="宋体" w:cs="Times New Roman"/>
          <w:color w:val="000000"/>
          <w:sz w:val="24"/>
          <w:szCs w:val="24"/>
          <w:highlight w:val="none"/>
          <w:vertAlign w:val="superscript"/>
        </w:rPr>
        <w:t xml:space="preserve">4</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 最大数据采集速率：500 Hz；</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13.保留时间重现性：&lt; 0.06%；</w:t>
      </w:r>
      <w:r>
        <w:rPr>
          <w:rFonts w:ascii="Times New Roman" w:hAnsi="Times New Roman" w:eastAsia="宋体" w:cs="Times New Roman"/>
          <w:color w:val="000000"/>
          <w:sz w:val="24"/>
          <w:szCs w:val="24"/>
          <w:highlight w:val="none"/>
        </w:rPr>
      </w:r>
      <w:r/>
    </w:p>
    <w:p>
      <w:pPr>
        <w:pStyle w:val="834"/>
        <w:ind w:firstLine="480"/>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14.峰面积重现性：&lt; 2.0% RSD；</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15.化学工作站软件硬件配置不低于： 8G内存，500G硬盘，一个以太网接口；软件：Windows；色谱分析软件应包括：数据采集、分析、储存及定性定量分析。</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16.应配置打印机1台；</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ind w:firstLine="482"/>
        <w:jc w:val="left"/>
        <w:keepLines w:val="0"/>
        <w:keepNext w:val="0"/>
        <w:pageBreakBefore w:val="0"/>
        <w:rPr>
          <w:rFonts w:ascii="Times New Roman" w:hAnsi="Times New Roman" w:eastAsia="宋体" w:cs="Times New Roman"/>
          <w:sz w:val="24"/>
          <w:szCs w:val="24"/>
        </w:rPr>
      </w:pP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六</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、原子吸收分光光度计:</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1.波长范围：185-910 nm；单色器：消象差C-T型单色器光栅刻线：1800条/mm；</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★2.八只灯的回转灯架，自动精准找位；（提供实物图片证明）</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3.光谱带宽 ：0.1、0.2、0.4、1.0、2.0nm五档自动可选；波长准确度：±0.15nm ；波长重复性：≤0.05nm ；基线漂移：±0.002A/30min（静态）；</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★4.特征浓度（Cu)：Cu＜0.02ug/mL/1/％（提供彩页加盖公章证明）。</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5.检出限：Cu＜0.004μg/mL；精密度：Cu＜0.6%；</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6.燃烧器:金属钛燃烧头；喷雾器:高效玻璃雾化器；雾化室:耐腐蚀材料雾化室；位置调节:燃烧器高度可自动调节</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7.安全措施:具有多种自动安全保护功能；火焰监视器可随时监测火焰变化，意外熄火时，仪器会自动关闭乙炔流量并提示报警；有乙炔漏气保护装置和压力异常保护装置；</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★8.空气—乙炔、空气—液化石油气两种火焰燃烧头自动识别，充分保障操作者的使用安全；（提供彩页加盖公章证明）</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9.测量方式:火焰法；读出方式：连续、峰值、峰面积值；浓度计算方式:标准曲线法、标准添加法、内插法；其它：积分（0.1-100s）采样延时（0-20s），标样数（1-20个）；</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10.结果打印:参数打印、数据结果打印、图形打印；通讯方式：标准RS-232串口通讯支持USB通讯接口通讯；</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11.厂家在江苏省专门的技术服务人员提供服务，发生故障24小时内必须提供服务；</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12.配套重金属检测专用耗材及方法包（铅/镉），实现对水/食品/粮食中重金属特异性选择、富集及检测，消除背景干扰，特异性选择富集能力100倍以上，检出限要求达到5ppb以下；</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13.配置要求：火焰原子吸收分光光度计主机一台；常用8只元素灯；雾化器2只；石墨管1盒；原子吸收检测软件一套；配套重金属检测专用耗材及方法包（铅/镉）1套；电脑、打印机一套；</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4"/>
        <w:ind w:firstLine="482"/>
        <w:jc w:val="left"/>
        <w:keepLines w:val="0"/>
        <w:keepNext w:val="0"/>
        <w:pageBreakBefore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七</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、氨基酸分析仪</w:t>
      </w:r>
      <w:r>
        <w:rPr>
          <w:rFonts w:ascii="Times New Roman" w:hAnsi="Times New Roman" w:eastAsia="宋体" w:cs="Times New Roman"/>
          <w:b/>
          <w:bCs/>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★1.进样量≤2nmol时，保留时间重现性RSD≤0.3%，（须提供官网或彩页等证明材料，验收指标，软件自动积分，不可手动积分）</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★2.进样量≤2nmol时，峰面积重现性RSD≤1.0%，（须提供官网或彩页等证明材料，验收指标，软件自动积分，不可手动积分）</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3.分离度：≥1.2，</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sz w:val="24"/>
          <w:szCs w:val="24"/>
        </w:rPr>
        <w:t xml:space="preserve">4.检出</w:t>
      </w:r>
      <w:r>
        <w:rPr>
          <w:rFonts w:ascii="Times New Roman" w:hAnsi="Times New Roman" w:eastAsia="宋体" w:cs="Times New Roman"/>
          <w:sz w:val="24"/>
          <w:szCs w:val="24"/>
          <w:highlight w:val="none"/>
        </w:rPr>
        <w:t xml:space="preserve">限：</w:t>
      </w: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 pmol (S/N = 2, 天冬氨酸) ，</w:t>
      </w:r>
      <w:r>
        <w:rPr>
          <w:rFonts w:ascii="Times New Roman" w:hAnsi="Times New Roman" w:eastAsia="宋体" w:cs="Times New Roman"/>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5.蛋白水解氨基酸净分析时间：30-55min，</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泵部分</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★6.两套四元梯度泵系统：串联式双柱塞往复泵，自动脉冲抑制，具有柱塞自动清洗功能（须提供官网或彩页等证明材料）</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7 流速范围：≤10mL/min，</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8 流速稳定性：≤0.05%RSD，（须提供官网或彩页等证明材料）</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9 两套泵均内置六通道真空脱气机，</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自动进样器部分</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10自动进样器：样品数≥200位（标准样品瓶）</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★11样品残留：＜0.003%，（须提供官网或彩页等证明材料）</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柱温箱部分</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sz w:val="24"/>
          <w:szCs w:val="24"/>
        </w:rPr>
        <w:t xml:space="preserve">12有（加热/制冷）模块，空气循环预热功能，（须提供官网或彩页等证明材料）</w:t>
      </w:r>
      <w:r>
        <w:rPr>
          <w:rFonts w:ascii="Times New Roman" w:hAnsi="Times New Roman" w:eastAsia="宋体" w:cs="Times New Roman"/>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13温度设置范围：</w:t>
      </w: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rPr>
        <w:t xml:space="preserve">-85℃，</w:t>
      </w:r>
      <w:r>
        <w:rPr>
          <w:rFonts w:ascii="Times New Roman" w:hAnsi="Times New Roman" w:eastAsia="宋体" w:cs="Times New Roman"/>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14 柱容量：最多6根，100cm×6 或30cm×3，</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检测器部分</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15 分光系统：光栅，（须提供官网或彩页等证明材料）</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16 波长范围：440nm、570nm双波长检测，同时可实现190-900nm全波长检测，双通道信号同时输出，信号可叠加</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在线衍生装置部分 </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17 温度设置范围：50-180℃，</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18衍生技术：PFA材质反应盘管，长度≥7m，内径≤0.25 mm以降低流动阻力，</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19 茚三酮等衍生试剂存放：室温即可稳定存放，无需4℃低温冷藏，常温保存时间＞壹年，（须提供官网或彩页等证明材料）</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20中文版工作站软件：一套软件可完全控制仪器各相关组件（须提供官网或彩页等证明材料）</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分离柱部分填料粒径≤5μm，保证超高的理论塔板数，从而拥有超高分离效果。（须提供官网或彩页等证明材料）。</w:t>
      </w:r>
      <w:r>
        <w:rPr>
          <w:rFonts w:ascii="Times New Roman" w:hAnsi="Times New Roman" w:eastAsia="宋体" w:cs="Times New Roman"/>
          <w:sz w:val="24"/>
          <w:szCs w:val="24"/>
        </w:rPr>
      </w:r>
      <w:r/>
    </w:p>
    <w:p>
      <w:pPr>
        <w:pStyle w:val="834"/>
        <w:ind w:firstLine="482"/>
        <w:jc w:val="left"/>
        <w:keepLines w:val="0"/>
        <w:keepNext w:val="0"/>
        <w:pageBreakBefore w:val="0"/>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pStyle w:val="834"/>
        <w:ind w:firstLine="482"/>
        <w:jc w:val="left"/>
        <w:keepLines w:val="0"/>
        <w:keepNext w:val="0"/>
        <w:pageBreakBefore w:val="0"/>
        <w:rPr>
          <w:rFonts w:ascii="Times New Roman" w:hAnsi="Times New Roman" w:eastAsia="宋体" w:cs="Times New Roman"/>
          <w:sz w:val="24"/>
          <w:szCs w:val="24"/>
        </w:rPr>
      </w:pP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八</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、原子荧光光度计</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★1检出限：≤0.01ng/mL（砷、锑、铋），≤0.001ng/mL（汞）；（提供彩页加盖公章证明）</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2相对标准偏差（RSD)：≤1.0%（砷、锑、铋、汞）；</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3 线性范围：优于三个数量级</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★4采用双光束单检测器技术，具备长时间测量结果的准确性和稳定性。（提供彩页加盖公章证明）</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★5 有免调元素灯组件，使用特制免调元素灯，即插即用，无需人工调光，可确保光源光斑的一致性。（（提供彩页加盖公章证明））。</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6样品注射泵精确定量，进液、计量、排液、清洗功能自动化。</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7 具备高稳定性低温点火石英原子化器，升温速度快、控温精度好、使用寿命长，快速更换低温点火炉丝。</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8 具有形态分析扩展接口：方便升级对As、Se、Hg、Sb等元素进行形态分析。</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9具备密闭的原子化器腔室系统，使得废气经烟道进入排风系统。</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10具备全封闭式的废液瓶和试剂瓶，避免酸气、废气的挥发，降低对实验人员的伤害。</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11能够吸收废气中的有害元素。</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12采用非玻炭纤维骨架的聚四氟乙稀进样针，不易折断。</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13样品管采用实验室通用比色管，支持10 mL、25mL、50mL三种规格比色管。</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14具备回流式气液分离器。</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15具备双腔体结构，保证气液分离，不受气泡影响，反应更彻底。</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16 独立的双通道或以上检测主机（含操作软件）和配备自动进样器各1套；</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17配件：Hg、As、Se免调灯组各1套；</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18电脑、打印机一套</w:t>
      </w:r>
      <w:r>
        <w:rPr>
          <w:rFonts w:ascii="Times New Roman" w:hAnsi="Times New Roman" w:eastAsia="宋体" w:cs="Times New Roman"/>
          <w:sz w:val="24"/>
          <w:szCs w:val="24"/>
        </w:rPr>
      </w:r>
      <w:r/>
    </w:p>
    <w:p>
      <w:pPr>
        <w:pStyle w:val="834"/>
        <w:ind w:left="0" w:firstLine="482"/>
        <w:jc w:val="left"/>
        <w:keepLines w:val="0"/>
        <w:keepNext w:val="0"/>
        <w:pageBreakBefore w:val="0"/>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r>
      <w:r/>
    </w:p>
    <w:p>
      <w:pPr>
        <w:pStyle w:val="834"/>
        <w:ind w:left="0" w:firstLine="482"/>
        <w:jc w:val="left"/>
        <w:keepLines w:val="0"/>
        <w:keepNext w:val="0"/>
        <w:pageBreakBefore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w:t>
      </w:r>
      <w:r>
        <w:rPr>
          <w:rFonts w:ascii="Times New Roman" w:hAnsi="Times New Roman" w:eastAsia="宋体" w:cs="Times New Roman"/>
          <w:b/>
          <w:bCs/>
          <w:sz w:val="24"/>
          <w:szCs w:val="24"/>
          <w:lang w:val="en-US" w:eastAsia="zh-CN"/>
        </w:rPr>
        <w:t xml:space="preserve">九）、</w:t>
      </w:r>
      <w:r>
        <w:rPr>
          <w:rFonts w:ascii="Times New Roman" w:hAnsi="Times New Roman" w:eastAsia="宋体" w:cs="Times New Roman"/>
          <w:b/>
          <w:bCs/>
          <w:sz w:val="24"/>
          <w:szCs w:val="24"/>
        </w:rPr>
        <w:t xml:space="preserve">洁净工作台</w:t>
      </w:r>
      <w:r>
        <w:rPr>
          <w:rFonts w:ascii="Times New Roman" w:hAnsi="Times New Roman" w:eastAsia="宋体" w:cs="Times New Roman"/>
          <w:b/>
          <w:bCs/>
          <w:sz w:val="24"/>
          <w:szCs w:val="24"/>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sz w:val="24"/>
          <w:szCs w:val="24"/>
        </w:rPr>
        <w:t xml:space="preserve">1.工作区</w:t>
      </w:r>
      <w:r>
        <w:rPr>
          <w:rFonts w:ascii="Times New Roman" w:hAnsi="Times New Roman" w:eastAsia="宋体" w:cs="Times New Roman"/>
          <w:color w:val="000000"/>
          <w:sz w:val="24"/>
          <w:szCs w:val="24"/>
          <w:highlight w:val="none"/>
        </w:rPr>
        <w:t xml:space="preserve">应采用正压洁净全覆盖，防止外部气流诱入；</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2.应采用彩色触摸屏显示运行状态，有可调风量风机系统；</w:t>
      </w:r>
      <w:r>
        <w:rPr>
          <w:rFonts w:ascii="Times New Roman" w:hAnsi="Times New Roman" w:eastAsia="宋体" w:cs="Times New Roman"/>
          <w:color w:val="000000"/>
          <w:sz w:val="24"/>
          <w:szCs w:val="24"/>
          <w:highlight w:val="none"/>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color w:val="000000"/>
          <w:sz w:val="24"/>
          <w:szCs w:val="24"/>
          <w:highlight w:val="none"/>
        </w:rPr>
        <w:t xml:space="preserve">3.紫外灯定时开启和关闭，</w:t>
      </w:r>
      <w:r>
        <w:rPr>
          <w:rFonts w:ascii="Times New Roman" w:hAnsi="Times New Roman" w:eastAsia="宋体" w:cs="Times New Roman"/>
          <w:sz w:val="24"/>
          <w:szCs w:val="24"/>
        </w:rPr>
        <w:t xml:space="preserve">与照明灯安全互锁，前挡风采用不少于5mm全钢化玻璃移门，上下移动随意定位使用方便；</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4.箱体钢板喷涂，工作区左右壁板和台面采用SUS304不锈钢；</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5.洁净等级:IS0 5级( Class 100)；</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6.菌落数：≤0.5CFU/皿(30min，Ф90mm培养平皿)；</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7.风速 ：0.20-0.50m/秒；</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8.噪声：&lt;65dB；</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9.装置外形尺寸(mm)：不少于1500*700*16</w:t>
      </w:r>
      <w:r>
        <w:rPr>
          <w:rFonts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rPr>
        <w:t xml:space="preserve">0；</w:t>
      </w:r>
      <w:r>
        <w:rPr>
          <w:rFonts w:ascii="Times New Roman" w:hAnsi="Times New Roman" w:eastAsia="宋体" w:cs="Times New Roman"/>
          <w:sz w:val="24"/>
          <w:szCs w:val="24"/>
        </w:rPr>
      </w:r>
      <w:r/>
    </w:p>
    <w:p>
      <w:pPr>
        <w:pStyle w:val="834"/>
        <w:ind w:firstLine="480"/>
        <w:jc w:val="left"/>
        <w:keepLines w:val="0"/>
        <w:keepNext w:val="0"/>
        <w:pageBreakBefore w:val="0"/>
        <w:rPr>
          <w:rFonts w:ascii="Times New Roman" w:hAnsi="Times New Roman" w:eastAsia="宋体" w:cs="Times New Roman"/>
          <w:sz w:val="24"/>
          <w:szCs w:val="24"/>
        </w:rPr>
      </w:pPr>
      <w:r>
        <w:rPr>
          <w:rFonts w:ascii="Times New Roman" w:hAnsi="Times New Roman" w:eastAsia="宋体" w:cs="Times New Roman"/>
          <w:sz w:val="24"/>
          <w:szCs w:val="24"/>
        </w:rPr>
        <w:t xml:space="preserve">10.工作区尺寸(mm)：不少于13</w:t>
      </w:r>
      <w:r>
        <w:rPr>
          <w:rFonts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rPr>
        <w:t xml:space="preserve">0*6</w:t>
      </w:r>
      <w:r>
        <w:rPr>
          <w:rFonts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rPr>
        <w:t xml:space="preserve">0*600(移门入口高不少于5</w:t>
      </w:r>
      <w:r>
        <w:rPr>
          <w:rFonts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rPr>
        <w:t xml:space="preserve">0)；</w:t>
      </w:r>
      <w:r>
        <w:rPr>
          <w:rFonts w:ascii="Times New Roman" w:hAnsi="Times New Roman" w:eastAsia="宋体" w:cs="Times New Roman"/>
          <w:sz w:val="24"/>
          <w:szCs w:val="24"/>
        </w:rPr>
      </w:r>
      <w:r/>
    </w:p>
    <w:p>
      <w:pPr>
        <w:pStyle w:val="83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0"/>
        <w:ind w:firstLine="482"/>
        <w:rPr>
          <w:rFonts w:ascii="宋体" w:hAnsi="宋体" w:cs="宋体"/>
          <w:b/>
          <w:color w:val="ff0000"/>
          <w:sz w:val="24"/>
          <w:highlight w:val="none"/>
        </w:rPr>
        <w:outlineLvl w:val="1"/>
      </w:pPr>
      <w:r>
        <w:rPr>
          <w:rFonts w:hint="eastAsia" w:ascii="宋体" w:hAnsi="宋体" w:cs="宋体"/>
          <w:b/>
          <w:color w:val="ff0000"/>
          <w:sz w:val="24"/>
          <w:highlight w:val="none"/>
        </w:rPr>
        <w:t xml:space="preserve">注：投标人在制作投标文件时，必须按实际投标标的物的参数标准进行响应，不得按此表参数强行复制粘贴。否则，评委将酌情扣分。</w:t>
      </w:r>
      <w:r>
        <w:rPr>
          <w:rFonts w:ascii="宋体" w:hAnsi="宋体" w:cs="宋体"/>
          <w:b/>
          <w:color w:val="ff0000"/>
          <w:sz w:val="24"/>
          <w:highlight w:val="none"/>
        </w:rPr>
      </w:r>
      <w:r/>
    </w:p>
    <w:p>
      <w:pPr>
        <w:pStyle w:val="830"/>
        <w:ind w:firstLine="482"/>
        <w:rPr>
          <w:rFonts w:ascii="宋体" w:hAnsi="宋体" w:cs="宋体"/>
          <w:b/>
          <w:color w:val="ff0000"/>
          <w:sz w:val="24"/>
          <w:highlight w:val="none"/>
        </w:rPr>
        <w:outlineLvl w:val="1"/>
      </w:pPr>
      <w:r>
        <w:rPr>
          <w:rFonts w:hint="eastAsia" w:ascii="宋体" w:hAnsi="宋体" w:cs="宋体"/>
          <w:b/>
          <w:color w:val="ff0000"/>
          <w:sz w:val="24"/>
          <w:highlight w:val="none"/>
        </w:rPr>
        <w:t xml:space="preserve">为鼓励不同品牌的充分竞争，如某主要技术参数属于个别品牌专有，则该主要技术参数不具有限制性，供应商可对该参数进行适当调整，并说明调整的理由。但调整的参数须高于或同等于该参数。</w:t>
      </w:r>
      <w:r>
        <w:rPr>
          <w:rFonts w:ascii="宋体" w:hAnsi="宋体" w:cs="宋体"/>
          <w:b/>
          <w:color w:val="ff0000"/>
          <w:sz w:val="24"/>
          <w:highlight w:val="none"/>
        </w:rPr>
      </w:r>
      <w:r/>
    </w:p>
    <w:p>
      <w:pPr>
        <w:pStyle w:val="830"/>
        <w:ind w:firstLine="482"/>
        <w:rPr>
          <w:rFonts w:hint="eastAsia" w:ascii="宋体" w:hAnsi="宋体" w:cs="宋体"/>
          <w:b/>
          <w:color w:val="ff0000"/>
          <w:sz w:val="24"/>
          <w:highlight w:val="none"/>
        </w:rPr>
        <w:outlineLvl w:val="1"/>
      </w:pPr>
      <w:r>
        <w:rPr>
          <w:rFonts w:hint="eastAsia" w:ascii="宋体" w:hAnsi="宋体" w:cs="宋体"/>
          <w:b/>
          <w:color w:val="ff0000"/>
          <w:sz w:val="24"/>
          <w:highlight w:val="none"/>
        </w:rPr>
        <w:t xml:space="preserve">本清单为基本的设备明细，如存在遗漏，为了达到项目需求，中标人可根据品牌及效果需要，增加额外的设备，以达到项目需求的功能要求。请投标人认真理解招标文件相关内容。如因缺少辅助设备无法达到技术要求，招标人不再另行增补费用。</w:t>
      </w:r>
      <w:r>
        <w:rPr>
          <w:rFonts w:hint="eastAsia" w:ascii="宋体" w:hAnsi="宋体" w:cs="宋体"/>
          <w:b/>
          <w:color w:val="ff0000"/>
          <w:sz w:val="24"/>
          <w:highlight w:val="none"/>
        </w:rPr>
      </w:r>
      <w:r/>
    </w:p>
    <w:p>
      <w:pPr>
        <w:pStyle w:val="830"/>
        <w:ind w:firstLine="482"/>
        <w:rPr>
          <w:rFonts w:hint="eastAsia" w:ascii="宋体" w:hAnsi="宋体" w:cs="宋体"/>
          <w:b/>
          <w:color w:val="ff0000"/>
          <w:sz w:val="24"/>
          <w:highlight w:val="none"/>
        </w:rPr>
        <w:outlineLvl w:val="1"/>
      </w:pPr>
      <w:r>
        <w:rPr>
          <w:rFonts w:hint="eastAsia" w:ascii="宋体" w:hAnsi="宋体" w:cs="宋体"/>
          <w:b/>
          <w:color w:val="ff0000"/>
          <w:sz w:val="24"/>
          <w:highlight w:val="none"/>
        </w:rPr>
      </w:r>
      <w:r/>
    </w:p>
    <w:p>
      <w:pPr>
        <w:pStyle w:val="830"/>
        <w:ind w:firstLine="482"/>
        <w:spacing w:line="360" w:lineRule="exact"/>
        <w:widowControl/>
        <w:rPr>
          <w:rFonts w:ascii="宋体" w:hAnsi="宋体" w:cs="Tahoma"/>
          <w:b/>
          <w:sz w:val="24"/>
        </w:rPr>
        <w:outlineLvl w:val="1"/>
      </w:pPr>
      <w:r>
        <w:rPr>
          <w:rFonts w:hint="eastAsia" w:ascii="宋体" w:hAnsi="宋体" w:cs="Tahoma"/>
          <w:b/>
          <w:sz w:val="24"/>
          <w:lang w:eastAsia="zh-CN"/>
        </w:rPr>
        <w:t xml:space="preserve">三</w:t>
      </w:r>
      <w:r>
        <w:rPr>
          <w:rFonts w:hint="eastAsia" w:ascii="宋体" w:hAnsi="宋体" w:cs="Tahoma"/>
          <w:b/>
          <w:sz w:val="24"/>
        </w:rPr>
        <w:t xml:space="preserve">、质量要求：</w:t>
      </w:r>
      <w:r>
        <w:rPr>
          <w:rFonts w:ascii="宋体" w:hAnsi="宋体" w:cs="Tahoma"/>
          <w:b/>
          <w:sz w:val="24"/>
        </w:rPr>
      </w:r>
      <w:r/>
    </w:p>
    <w:p>
      <w:pPr>
        <w:pStyle w:val="830"/>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rPr>
          <w:rFonts w:hint="eastAsia" w:ascii="宋体" w:hAnsi="宋体" w:eastAsia="宋体" w:cs="宋体"/>
          <w:sz w:val="24"/>
          <w:szCs w:val="24"/>
        </w:rPr>
      </w:r>
      <w:r/>
    </w:p>
    <w:p>
      <w:pPr>
        <w:pStyle w:val="830"/>
        <w:ind w:firstLine="480"/>
        <w:spacing w:line="300" w:lineRule="exact"/>
        <w:rPr>
          <w:rFonts w:hint="eastAsia" w:ascii="宋体" w:hAnsi="宋体" w:eastAsia="宋体" w:cs="宋体"/>
          <w:sz w:val="24"/>
          <w:szCs w:val="24"/>
        </w:rPr>
        <w:outlineLvl w:val="2"/>
      </w:pPr>
      <w:r>
        <w:rPr>
          <w:rFonts w:hint="eastAsia" w:ascii="宋体" w:hAnsi="宋体" w:eastAsia="宋体" w:cs="宋体"/>
          <w:sz w:val="24"/>
          <w:szCs w:val="24"/>
        </w:rPr>
        <w:t xml:space="preserve">2、投标人须明确所投设备的生产厂家、品牌、型号、规格等。</w:t>
      </w:r>
      <w:r>
        <w:rPr>
          <w:rFonts w:hint="eastAsia" w:ascii="宋体" w:hAnsi="宋体" w:eastAsia="宋体" w:cs="宋体"/>
          <w:sz w:val="24"/>
          <w:szCs w:val="24"/>
        </w:rPr>
      </w:r>
      <w:r/>
    </w:p>
    <w:p>
      <w:pPr>
        <w:pStyle w:val="830"/>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3、投标人应保证货物是全新、未使用过的原厂合格产品，并完全符合招标文件规定的质量、规格和参数的要求。完全符合国家标准规定的质量、规格和性能的要求。在保质期内，投标方应对所投产品质量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rPr>
          <w:rFonts w:hint="eastAsia" w:ascii="宋体" w:hAnsi="宋体" w:eastAsia="宋体" w:cs="宋体"/>
          <w:sz w:val="24"/>
          <w:szCs w:val="24"/>
        </w:rPr>
      </w:r>
      <w:r/>
    </w:p>
    <w:p>
      <w:pPr>
        <w:pStyle w:val="830"/>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4、投标人应保证提供的产品不得侵犯第三方专利权、商标权和设计权、版权等。否则，供应商应负全部责任，并承担由此引起的一切后果。</w:t>
      </w:r>
      <w:r>
        <w:rPr>
          <w:rFonts w:hint="eastAsia" w:ascii="宋体" w:hAnsi="宋体" w:eastAsia="宋体" w:cs="宋体"/>
          <w:sz w:val="24"/>
          <w:szCs w:val="24"/>
        </w:rPr>
      </w:r>
      <w:r/>
    </w:p>
    <w:p>
      <w:pPr>
        <w:pStyle w:val="830"/>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5、投标人应保证其货物在正确安装、正常使用下，在其使用寿命期内应具有满意的性能。</w:t>
      </w:r>
      <w:r>
        <w:rPr>
          <w:rFonts w:hint="eastAsia" w:ascii="宋体" w:hAnsi="宋体" w:eastAsia="宋体" w:cs="宋体"/>
          <w:sz w:val="24"/>
          <w:szCs w:val="24"/>
        </w:rPr>
      </w:r>
      <w:r/>
    </w:p>
    <w:p>
      <w:pPr>
        <w:pStyle w:val="830"/>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6、投标人应采取必要的安全措施保证货物的运输及安装的安全，并承担货物的运输及安装过程中产生的风险。</w:t>
      </w:r>
      <w:r>
        <w:rPr>
          <w:rFonts w:hint="eastAsia" w:ascii="宋体" w:hAnsi="宋体" w:eastAsia="宋体" w:cs="宋体"/>
          <w:sz w:val="24"/>
          <w:szCs w:val="24"/>
        </w:rPr>
      </w:r>
      <w:r/>
    </w:p>
    <w:p>
      <w:pPr>
        <w:pStyle w:val="830"/>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7、所有报价的产品的各项技术标准应当符合现行相关生产标准和规范及招标文件的要求。</w:t>
      </w:r>
      <w:r>
        <w:rPr>
          <w:rFonts w:hint="eastAsia" w:ascii="宋体" w:hAnsi="宋体" w:eastAsia="宋体" w:cs="宋体"/>
          <w:sz w:val="24"/>
          <w:szCs w:val="24"/>
        </w:rPr>
      </w:r>
      <w:r/>
    </w:p>
    <w:p>
      <w:pPr>
        <w:pStyle w:val="830"/>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8、供货时必须随产品提供出厂材料，包括但不限于检验报告（复印件）、产品合格证（原件）以及设备的测试、运行、保养手册。</w:t>
      </w:r>
      <w:r>
        <w:rPr>
          <w:rFonts w:hint="eastAsia" w:ascii="宋体" w:hAnsi="宋体" w:eastAsia="宋体" w:cs="宋体"/>
          <w:sz w:val="24"/>
          <w:szCs w:val="24"/>
        </w:rPr>
      </w:r>
      <w:r/>
    </w:p>
    <w:p>
      <w:pPr>
        <w:pStyle w:val="836"/>
        <w:ind w:left="0" w:firstLine="480"/>
        <w:rPr>
          <w:rFonts w:hint="eastAsia" w:ascii="宋体" w:hAnsi="宋体" w:eastAsia="宋体" w:cs="宋体"/>
          <w:sz w:val="24"/>
          <w:szCs w:val="24"/>
        </w:rPr>
      </w:pPr>
      <w:r>
        <w:rPr>
          <w:rFonts w:hint="eastAsia" w:ascii="宋体" w:hAnsi="宋体" w:eastAsia="宋体" w:cs="宋体"/>
          <w:sz w:val="24"/>
          <w:szCs w:val="24"/>
        </w:rPr>
        <w:t xml:space="preserve">9、招标人将邀请专业人员，对安装到位的设备进行全面检查，发现使用不符合要求的产品，无条件更换。</w:t>
      </w:r>
      <w:r>
        <w:rPr>
          <w:rFonts w:hint="eastAsia" w:ascii="宋体" w:hAnsi="宋体" w:eastAsia="宋体" w:cs="宋体"/>
          <w:sz w:val="24"/>
          <w:szCs w:val="24"/>
        </w:rPr>
      </w:r>
      <w:r/>
    </w:p>
    <w:p>
      <w:pPr>
        <w:pStyle w:val="830"/>
        <w:ind w:firstLine="482"/>
        <w:spacing w:line="360" w:lineRule="exact"/>
        <w:widowControl/>
        <w:rPr>
          <w:rFonts w:hint="eastAsia" w:ascii="宋体" w:hAnsi="宋体" w:eastAsia="宋体" w:cs="宋体"/>
          <w:b/>
          <w:sz w:val="24"/>
          <w:szCs w:val="24"/>
        </w:rPr>
        <w:outlineLvl w:val="1"/>
      </w:pPr>
      <w:r>
        <w:rPr>
          <w:rFonts w:hint="eastAsia" w:ascii="宋体" w:hAnsi="宋体" w:eastAsia="宋体" w:cs="宋体"/>
          <w:b/>
          <w:sz w:val="24"/>
          <w:szCs w:val="24"/>
          <w:lang w:eastAsia="zh-CN"/>
        </w:rPr>
        <w:t xml:space="preserve">四、</w:t>
      </w:r>
      <w:r>
        <w:rPr>
          <w:rFonts w:hint="eastAsia" w:ascii="宋体" w:hAnsi="宋体" w:eastAsia="宋体" w:cs="宋体"/>
          <w:b/>
          <w:sz w:val="24"/>
          <w:szCs w:val="24"/>
        </w:rPr>
        <w:t xml:space="preserve">技术资料与售后服务</w:t>
      </w:r>
      <w:r>
        <w:rPr>
          <w:rFonts w:hint="eastAsia" w:ascii="宋体" w:hAnsi="宋体" w:eastAsia="宋体" w:cs="宋体"/>
          <w:b/>
          <w:sz w:val="24"/>
          <w:szCs w:val="24"/>
        </w:rPr>
      </w:r>
      <w:r/>
    </w:p>
    <w:p>
      <w:pPr>
        <w:pStyle w:val="830"/>
        <w:ind w:firstLine="480"/>
        <w:spacing w:line="320" w:lineRule="exact"/>
        <w:rPr>
          <w:rFonts w:hint="eastAsia" w:ascii="宋体" w:hAnsi="宋体" w:eastAsia="宋体" w:cs="宋体"/>
          <w:b/>
          <w:color w:val="ff0000"/>
          <w:sz w:val="24"/>
          <w:szCs w:val="24"/>
        </w:rPr>
      </w:pPr>
      <w:r>
        <w:rPr>
          <w:rFonts w:hint="eastAsia" w:ascii="宋体" w:hAnsi="宋体" w:eastAsia="宋体" w:cs="宋体"/>
          <w:bCs/>
          <w:sz w:val="24"/>
          <w:szCs w:val="24"/>
        </w:rPr>
        <w:t xml:space="preserve">1、各投标单位应对服务方式进行详细阐述，同时对售后时期维修人员到场时间以及回访频次进行明确的说明</w:t>
      </w:r>
      <w:r>
        <w:rPr>
          <w:rFonts w:hint="eastAsia" w:ascii="宋体" w:hAnsi="宋体" w:eastAsia="宋体" w:cs="宋体"/>
          <w:bCs/>
          <w:color w:val="000000"/>
          <w:sz w:val="24"/>
          <w:szCs w:val="24"/>
        </w:rPr>
        <w:t xml:space="preserve">。</w:t>
      </w:r>
      <w:r>
        <w:rPr>
          <w:rFonts w:hint="eastAsia" w:ascii="宋体" w:hAnsi="宋体" w:eastAsia="宋体" w:cs="宋体"/>
          <w:b/>
          <w:bCs w:val="0"/>
          <w:color w:val="ff0000"/>
          <w:sz w:val="24"/>
          <w:szCs w:val="24"/>
        </w:rPr>
        <w:t xml:space="preserve">提供售后服务承诺书。</w:t>
      </w:r>
      <w:r>
        <w:rPr>
          <w:rFonts w:hint="eastAsia" w:ascii="宋体" w:hAnsi="宋体" w:eastAsia="宋体" w:cs="宋体"/>
          <w:b/>
          <w:color w:val="ff0000"/>
          <w:sz w:val="24"/>
          <w:szCs w:val="24"/>
        </w:rPr>
      </w:r>
      <w:r/>
    </w:p>
    <w:p>
      <w:pPr>
        <w:pStyle w:val="830"/>
        <w:ind w:firstLine="480"/>
        <w:spacing w:line="320" w:lineRule="exact"/>
        <w:rPr>
          <w:rFonts w:hint="eastAsia" w:ascii="宋体" w:hAnsi="宋体" w:eastAsia="宋体" w:cs="宋体"/>
          <w:sz w:val="24"/>
          <w:szCs w:val="24"/>
        </w:rPr>
      </w:pPr>
      <w:r>
        <w:rPr>
          <w:rFonts w:hint="eastAsia" w:ascii="宋体" w:hAnsi="宋体" w:eastAsia="宋体" w:cs="宋体"/>
          <w:sz w:val="24"/>
          <w:szCs w:val="24"/>
        </w:rPr>
        <w:t xml:space="preserve">2、中标后提供产品合格证，仪器设备的安装、操作手册、工作软件说明书、维修保养手册等技术文件中文一份。</w:t>
      </w:r>
      <w:r>
        <w:rPr>
          <w:rFonts w:hint="eastAsia" w:ascii="宋体" w:hAnsi="宋体" w:eastAsia="宋体" w:cs="宋体"/>
          <w:sz w:val="24"/>
          <w:szCs w:val="24"/>
        </w:rPr>
      </w:r>
      <w:r/>
    </w:p>
    <w:p>
      <w:pPr>
        <w:pStyle w:val="830"/>
        <w:ind w:firstLine="480"/>
        <w:spacing w:line="320" w:lineRule="exact"/>
        <w:rPr>
          <w:rFonts w:hint="eastAsia" w:ascii="宋体" w:hAnsi="宋体" w:eastAsia="宋体" w:cs="宋体"/>
          <w:sz w:val="24"/>
          <w:szCs w:val="24"/>
        </w:rPr>
      </w:pPr>
      <w:r>
        <w:rPr>
          <w:rFonts w:hint="eastAsia" w:ascii="宋体" w:hAnsi="宋体" w:eastAsia="宋体" w:cs="宋体"/>
          <w:sz w:val="24"/>
          <w:szCs w:val="24"/>
        </w:rPr>
        <w:t xml:space="preserve">3、质保与维修：本项目的质量保证期（简称“质保期”）：自项目验收交付之日起总体项目</w:t>
      </w:r>
      <w:r>
        <w:rPr>
          <w:rFonts w:hint="eastAsia" w:ascii="宋体" w:hAnsi="宋体" w:eastAsia="宋体" w:cs="宋体"/>
          <w:b/>
          <w:bCs/>
          <w:sz w:val="24"/>
          <w:szCs w:val="24"/>
        </w:rPr>
        <w:t xml:space="preserve">提供</w:t>
      </w:r>
      <w:r>
        <w:rPr>
          <w:rFonts w:hint="eastAsia" w:ascii="宋体" w:hAnsi="宋体" w:eastAsia="宋体" w:cs="宋体"/>
          <w:b/>
          <w:bCs/>
          <w:sz w:val="24"/>
          <w:szCs w:val="24"/>
          <w:highlight w:val="none"/>
        </w:rPr>
        <w:t xml:space="preserve">不少于一年质量保证期，</w:t>
      </w:r>
      <w:r>
        <w:rPr>
          <w:rFonts w:hint="eastAsia" w:ascii="宋体" w:hAnsi="宋体" w:eastAsia="宋体" w:cs="宋体"/>
          <w:b/>
          <w:bCs/>
          <w:sz w:val="24"/>
          <w:szCs w:val="24"/>
        </w:rPr>
        <w:t xml:space="preserve">项目竣工验收合格之日起计算。</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若国家和/或生产厂家对本项目所涉及货物的质量保证期的规定高于本项目的要求，应按国家和/或生产厂家的规定执行）。</w:t>
      </w:r>
      <w:r>
        <w:rPr>
          <w:rFonts w:hint="eastAsia" w:ascii="宋体" w:hAnsi="宋体" w:eastAsia="宋体" w:cs="宋体"/>
          <w:sz w:val="24"/>
          <w:szCs w:val="24"/>
        </w:rPr>
      </w:r>
      <w:r/>
    </w:p>
    <w:p>
      <w:pPr>
        <w:pStyle w:val="830"/>
        <w:ind w:firstLine="480"/>
        <w:spacing w:line="320" w:lineRule="exact"/>
        <w:rPr>
          <w:rFonts w:hint="eastAsia" w:ascii="宋体" w:hAnsi="宋体" w:eastAsia="宋体" w:cs="宋体"/>
          <w:b/>
          <w:sz w:val="24"/>
          <w:szCs w:val="24"/>
        </w:rPr>
      </w:pPr>
      <w:r>
        <w:rPr>
          <w:rFonts w:hint="eastAsia" w:ascii="宋体" w:hAnsi="宋体" w:eastAsia="宋体" w:cs="宋体"/>
          <w:sz w:val="24"/>
          <w:szCs w:val="24"/>
        </w:rPr>
        <w:t xml:space="preserve">4、提供就近的官方售后服务机构名称和联系方式。维护时需提供备件支持。投标单位应充分保证售后服务点主要硬件维修所需的备件供应。更换的备件型号和规格应与被更换的完全一样或更优，更换下的备件应退还采购单位。</w:t>
      </w:r>
      <w:r>
        <w:rPr>
          <w:rFonts w:hint="eastAsia" w:ascii="宋体" w:hAnsi="宋体" w:eastAsia="宋体" w:cs="宋体"/>
          <w:b/>
          <w:sz w:val="24"/>
          <w:szCs w:val="24"/>
        </w:rPr>
      </w:r>
      <w:r/>
    </w:p>
    <w:p>
      <w:pPr>
        <w:pStyle w:val="830"/>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5、投标单位应严格遵守服务合同约定，在最短时间内恢复系统正常运行。</w:t>
      </w:r>
      <w:r>
        <w:rPr>
          <w:rFonts w:hint="eastAsia" w:ascii="宋体" w:hAnsi="宋体" w:eastAsia="宋体" w:cs="宋体"/>
          <w:sz w:val="24"/>
          <w:szCs w:val="24"/>
        </w:rPr>
      </w:r>
      <w:r/>
    </w:p>
    <w:p>
      <w:pPr>
        <w:pStyle w:val="830"/>
        <w:ind w:firstLine="482"/>
        <w:spacing w:line="360" w:lineRule="exact"/>
        <w:widowControl/>
        <w:rPr>
          <w:rFonts w:hint="eastAsia" w:ascii="宋体" w:hAnsi="宋体" w:eastAsia="宋体" w:cs="宋体"/>
          <w:b/>
          <w:sz w:val="24"/>
          <w:szCs w:val="24"/>
        </w:rPr>
        <w:outlineLvl w:val="1"/>
      </w:pPr>
      <w:r>
        <w:rPr>
          <w:rFonts w:hint="eastAsia" w:ascii="宋体" w:hAnsi="宋体" w:eastAsia="宋体" w:cs="宋体"/>
          <w:b/>
          <w:sz w:val="24"/>
          <w:szCs w:val="24"/>
          <w:lang w:eastAsia="zh-CN"/>
        </w:rPr>
        <w:t xml:space="preserve">五</w:t>
      </w:r>
      <w:r>
        <w:rPr>
          <w:rFonts w:hint="eastAsia" w:ascii="宋体" w:hAnsi="宋体" w:eastAsia="宋体" w:cs="宋体"/>
          <w:b/>
          <w:sz w:val="24"/>
          <w:szCs w:val="24"/>
        </w:rPr>
        <w:t xml:space="preserve">、安全管理要求：</w:t>
      </w:r>
      <w:r>
        <w:rPr>
          <w:rFonts w:hint="eastAsia" w:ascii="宋体" w:hAnsi="宋体" w:eastAsia="宋体" w:cs="宋体"/>
          <w:b/>
          <w:sz w:val="24"/>
          <w:szCs w:val="24"/>
        </w:rPr>
      </w:r>
      <w:r/>
    </w:p>
    <w:p>
      <w:pPr>
        <w:pStyle w:val="830"/>
        <w:ind w:firstLine="480"/>
        <w:spacing w:line="320" w:lineRule="exact"/>
        <w:rPr>
          <w:rFonts w:hint="eastAsia" w:ascii="宋体" w:hAnsi="宋体" w:eastAsia="宋体" w:cs="宋体"/>
          <w:sz w:val="24"/>
          <w:szCs w:val="24"/>
        </w:rPr>
      </w:pPr>
      <w:r>
        <w:rPr>
          <w:rFonts w:hint="eastAsia" w:ascii="宋体" w:hAnsi="宋体" w:eastAsia="宋体" w:cs="宋体"/>
          <w:sz w:val="24"/>
          <w:szCs w:val="24"/>
        </w:rPr>
        <w:t xml:space="preserve">1、为贯彻“安全第一，预防为主”方针，中标方</w:t>
      </w:r>
      <w:r>
        <w:rPr>
          <w:rFonts w:hint="eastAsia" w:ascii="宋体" w:hAnsi="宋体" w:eastAsia="宋体" w:cs="宋体"/>
          <w:b/>
          <w:bCs/>
          <w:color w:val="ff0000"/>
          <w:sz w:val="24"/>
          <w:szCs w:val="24"/>
        </w:rPr>
        <w:t xml:space="preserve">应为项目安装服务人员购买不记名意外伤害保险</w:t>
      </w:r>
      <w:r>
        <w:rPr>
          <w:rFonts w:hint="eastAsia" w:ascii="宋体" w:hAnsi="宋体" w:eastAsia="宋体" w:cs="宋体"/>
          <w:sz w:val="24"/>
          <w:szCs w:val="24"/>
        </w:rPr>
        <w:t xml:space="preserve">。中标方在项目安装调试现场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rPr>
          <w:rFonts w:hint="eastAsia" w:ascii="宋体" w:hAnsi="宋体" w:eastAsia="宋体" w:cs="宋体"/>
          <w:sz w:val="24"/>
          <w:szCs w:val="24"/>
        </w:rPr>
      </w:r>
      <w:r/>
    </w:p>
    <w:p>
      <w:pPr>
        <w:pStyle w:val="830"/>
        <w:ind w:firstLine="480"/>
        <w:spacing w:line="320" w:lineRule="exact"/>
        <w:rPr>
          <w:rFonts w:hint="eastAsia" w:ascii="宋体" w:hAnsi="宋体" w:eastAsia="宋体" w:cs="宋体"/>
          <w:b/>
          <w:bCs/>
          <w:sz w:val="24"/>
          <w:szCs w:val="24"/>
        </w:rPr>
      </w:pPr>
      <w:r>
        <w:rPr>
          <w:rFonts w:hint="eastAsia" w:ascii="宋体" w:hAnsi="宋体" w:eastAsia="宋体" w:cs="宋体"/>
          <w:sz w:val="24"/>
          <w:szCs w:val="24"/>
        </w:rPr>
        <w:t xml:space="preserve">2、若发生安全问题，由中标方自行负责处理并承担一切经济和法律责任，其与招标单位一切无关，同时按合同要求保证项目进度，按时完工。</w:t>
      </w:r>
      <w:r>
        <w:rPr>
          <w:rFonts w:hint="eastAsia" w:ascii="宋体" w:hAnsi="宋体" w:eastAsia="宋体" w:cs="宋体"/>
          <w:b/>
          <w:bCs/>
          <w:sz w:val="24"/>
          <w:szCs w:val="24"/>
        </w:rPr>
      </w:r>
      <w:r/>
    </w:p>
    <w:p>
      <w:pPr>
        <w:pStyle w:val="838"/>
        <w:ind w:right="10" w:firstLine="205"/>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六、合同履行期限</w:t>
      </w:r>
      <w:r>
        <w:rPr>
          <w:rFonts w:hint="eastAsia" w:ascii="宋体" w:hAnsi="宋体" w:eastAsia="宋体" w:cs="宋体"/>
          <w:color w:val="000000"/>
          <w:sz w:val="24"/>
          <w:szCs w:val="24"/>
          <w:lang w:val="en-US" w:eastAsia="zh-CN"/>
        </w:rPr>
        <w:t xml:space="preserve">：合同签订后，接到使用单位通知后的45天内完成供货、调试并经验收合格。</w:t>
      </w:r>
      <w:r>
        <w:rPr>
          <w:rFonts w:hint="eastAsia" w:ascii="宋体" w:hAnsi="宋体" w:eastAsia="宋体" w:cs="宋体"/>
          <w:color w:val="000000"/>
          <w:sz w:val="24"/>
          <w:szCs w:val="24"/>
          <w:lang w:val="en-US" w:eastAsia="zh-CN"/>
        </w:rPr>
      </w:r>
      <w:r/>
    </w:p>
    <w:p>
      <w:pPr>
        <w:pStyle w:val="838"/>
        <w:ind w:right="10" w:firstLine="205"/>
        <w:jc w:val="both"/>
        <w:keepLines w:val="0"/>
        <w:keepNext w:val="0"/>
        <w:pageBreakBefore w:val="0"/>
        <w:spacing w:beforeAutospacing="0" w:afterAutospacing="0" w:line="360" w:lineRule="auto"/>
        <w:widowControl w:val="off"/>
        <w:rPr>
          <w:rFonts w:hint="eastAsia" w:ascii="宋体" w:hAnsi="宋体" w:eastAsia="宋体" w:cs="宋体"/>
          <w:b/>
          <w:sz w:val="24"/>
          <w:szCs w:val="24"/>
        </w:rPr>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履约地点</w:t>
      </w:r>
      <w:r>
        <w:rPr>
          <w:rFonts w:hint="eastAsia" w:ascii="宋体" w:hAnsi="宋体" w:eastAsia="宋体" w:cs="宋体"/>
          <w:color w:val="000000"/>
          <w:sz w:val="24"/>
          <w:szCs w:val="24"/>
        </w:rPr>
        <w:t xml:space="preserve">：射阳县综合检验检测中心指定地点。</w:t>
      </w:r>
      <w:r>
        <w:rPr>
          <w:rFonts w:hint="eastAsia" w:ascii="宋体" w:hAnsi="宋体" w:eastAsia="宋体" w:cs="宋体"/>
          <w:b/>
          <w:sz w:val="24"/>
          <w:szCs w:val="24"/>
        </w:rPr>
      </w:r>
      <w:r/>
    </w:p>
    <w:p>
      <w:pPr>
        <w:pStyle w:val="837"/>
        <w:numPr>
          <w:ilvl w:val="0"/>
          <w:numId w:val="0"/>
        </w:numPr>
        <w:ind w:firstLine="241"/>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付款方式</w:t>
      </w:r>
      <w:r>
        <w:rPr>
          <w:rFonts w:hint="eastAsia" w:ascii="宋体" w:hAnsi="宋体" w:eastAsia="宋体" w:cs="宋体"/>
          <w:b/>
          <w:sz w:val="24"/>
          <w:szCs w:val="24"/>
        </w:rPr>
        <w:tab/>
      </w:r>
      <w:r>
        <w:rPr>
          <w:rFonts w:hint="eastAsia" w:ascii="宋体" w:hAnsi="宋体" w:eastAsia="宋体" w:cs="宋体"/>
          <w:b/>
          <w:sz w:val="24"/>
          <w:szCs w:val="24"/>
        </w:rPr>
      </w:r>
      <w:r/>
    </w:p>
    <w:p>
      <w:pPr>
        <w:pStyle w:val="837"/>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val="0"/>
          <w:bCs w:val="0"/>
          <w:sz w:val="24"/>
          <w:szCs w:val="24"/>
          <w:highlight w:val="none"/>
          <w:lang w:val="en-US" w:eastAsia="zh-CN"/>
        </w:rPr>
        <w:t xml:space="preserve">合同签订时，经采购人与中标人根据实际情况协商一致，可支付合同总价的30%作为项目启动预付款；中标方按照采购人的要求将货物送到指定地点并完成安装调试，项目验收合格后，中标方提供全额发票，采购方付至项目总价90%,并无息退还履约保证金(如有),余款在一年后无质量、服务问题一次性付清。以上付款均不计任何利息和相关费用，付款一律通过银行结转。相关付款手续由用户单位由财政部门报批后办理。</w:t>
      </w:r>
      <w:r>
        <w:rPr>
          <w:rFonts w:hint="eastAsia" w:ascii="宋体" w:hAnsi="宋体" w:eastAsia="宋体" w:cs="宋体"/>
          <w:sz w:val="24"/>
          <w:szCs w:val="24"/>
          <w:lang w:val="en-US" w:eastAsia="zh-CN"/>
        </w:rPr>
      </w:r>
      <w:r/>
    </w:p>
    <w:p>
      <w:pPr>
        <w:pStyle w:val="838"/>
        <w:ind w:firstLine="241"/>
        <w:jc w:val="both"/>
        <w:spacing w:before="120" w:beforeAutospacing="0" w:after="120" w:afterAutospacing="0"/>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注：在签订合同时，中标人明确表示无需预付款或者主动要求降低预付款比例的金额，招标人可不适用预付款规定,但中标人需提供书面声明，采购人可就预付款比例作相应调整。</w:t>
      </w:r>
      <w:r>
        <w:rPr>
          <w:rFonts w:hint="eastAsia" w:ascii="宋体" w:hAnsi="宋体" w:eastAsia="宋体" w:cs="宋体"/>
          <w:b/>
          <w:color w:val="000000"/>
          <w:sz w:val="24"/>
          <w:szCs w:val="24"/>
          <w:lang w:val="en-US" w:eastAsia="zh-CN"/>
        </w:rPr>
      </w:r>
      <w:r/>
    </w:p>
    <w:p>
      <w:pPr>
        <w:pStyle w:val="838"/>
        <w:jc w:val="both"/>
        <w:spacing w:beforeAutospacing="0" w:afterAutospacing="0" w:line="0" w:lineRule="atLeast"/>
        <w:rPr>
          <w:rFonts w:hint="eastAsia" w:ascii="宋体" w:hAnsi="宋体" w:eastAsia="宋体" w:cs="宋体"/>
          <w:b/>
          <w:bCs/>
          <w:sz w:val="24"/>
          <w:szCs w:val="24"/>
        </w:rPr>
      </w:pPr>
      <w:r>
        <w:rPr>
          <w:rFonts w:hint="eastAsia" w:ascii="宋体" w:hAnsi="宋体" w:eastAsia="宋体" w:cs="宋体"/>
          <w:b/>
          <w:bCs/>
          <w:sz w:val="24"/>
          <w:szCs w:val="24"/>
          <w:highlight w:val="none"/>
          <w:lang w:eastAsia="zh-CN"/>
        </w:rPr>
        <w:t xml:space="preserve">九：</w:t>
      </w:r>
      <w:r>
        <w:rPr>
          <w:rFonts w:hint="eastAsia" w:ascii="宋体" w:hAnsi="宋体" w:eastAsia="宋体" w:cs="宋体"/>
          <w:b/>
          <w:bCs/>
          <w:color w:val="ff0000"/>
          <w:sz w:val="24"/>
          <w:szCs w:val="24"/>
        </w:rPr>
        <w:t xml:space="preserve">采购标的对应的中小企业划分标准所属行业一览表</w:t>
      </w:r>
      <w:r>
        <w:rPr>
          <w:rFonts w:hint="eastAsia" w:ascii="宋体" w:hAnsi="宋体" w:eastAsia="宋体" w:cs="宋体"/>
          <w:b/>
          <w:bCs/>
          <w:sz w:val="24"/>
          <w:szCs w:val="24"/>
        </w:rPr>
      </w:r>
      <w:r/>
    </w:p>
    <w:tbl>
      <w:tblPr>
        <w:tblW w:w="6688"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采购标的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对应中小企业划分标准所属行业</w:t>
            </w:r>
            <w:r>
              <w:rPr>
                <w:rFonts w:hint="eastAsia" w:ascii="宋体" w:hAnsi="宋体" w:eastAsia="宋体" w:cs="宋体"/>
                <w:sz w:val="24"/>
                <w:szCs w:val="24"/>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工业</w:t>
            </w:r>
            <w:r>
              <w:rPr>
                <w:rFonts w:hint="eastAsia" w:ascii="宋体" w:hAnsi="宋体" w:eastAsia="宋体" w:cs="宋体"/>
                <w:sz w:val="24"/>
                <w:szCs w:val="24"/>
                <w:lang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222"/>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38"/>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83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38"/>
        <w:numPr>
          <w:ilvl w:val="0"/>
          <w:numId w:val="0"/>
        </w:numPr>
        <w:jc w:val="both"/>
        <w:spacing w:before="120" w:beforeAutospacing="0" w:after="120" w:afterAutospacing="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pStyle w:val="838"/>
        <w:numPr>
          <w:ilvl w:val="0"/>
          <w:numId w:val="0"/>
        </w:numPr>
        <w:jc w:val="both"/>
        <w:spacing w:before="120" w:beforeAutospacing="0" w:after="120" w:afterAutospacing="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十、其他要求</w:t>
      </w:r>
      <w:r>
        <w:rPr>
          <w:rFonts w:hint="eastAsia" w:ascii="宋体" w:hAnsi="宋体" w:eastAsia="宋体" w:cs="宋体"/>
          <w:b/>
          <w:bCs/>
          <w:color w:val="000000"/>
          <w:sz w:val="24"/>
          <w:szCs w:val="24"/>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 1、所报配置为主要配置，其他按标准配置配备；不得在原厂标准配置的基础上减少或降低技术配置。</w:t>
      </w:r>
      <w:r>
        <w:rPr>
          <w:rFonts w:hint="eastAsia" w:ascii="宋体" w:hAnsi="宋体" w:eastAsia="宋体" w:cs="宋体"/>
          <w:sz w:val="24"/>
          <w:szCs w:val="24"/>
          <w:highlight w:val="none"/>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2、报价含交付使用前一切设备相关费用。不接受选择性报价。</w:t>
      </w:r>
      <w:r>
        <w:rPr>
          <w:rFonts w:hint="eastAsia" w:ascii="宋体" w:hAnsi="宋体" w:eastAsia="宋体" w:cs="宋体"/>
          <w:sz w:val="24"/>
          <w:szCs w:val="24"/>
          <w:highlight w:val="none"/>
          <w:lang w:val="en-US" w:eastAsia="zh-CN"/>
        </w:rPr>
      </w:r>
      <w:r/>
    </w:p>
    <w:p>
      <w:pPr>
        <w:pStyle w:val="838"/>
        <w:ind w:firstLine="24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  3、资格后审：公开招标采购项目开标结束后，采购人或采购代理机构应当依法对投标人的资格性和符合性进行审查。资格审查材料的复印件须在投标文件中提供。</w:t>
      </w:r>
      <w:r>
        <w:rPr>
          <w:rFonts w:hint="eastAsia" w:ascii="宋体" w:hAnsi="宋体" w:eastAsia="宋体" w:cs="宋体"/>
          <w:sz w:val="24"/>
          <w:szCs w:val="24"/>
          <w:highlight w:val="none"/>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4、对本项目投标人资格要求、项目需求、评分标准等的质疑由采购单位负责答复；采购单位具有项目的解释权，质疑函和答复由采购代理机构备案。</w:t>
      </w:r>
      <w:r>
        <w:rPr>
          <w:rFonts w:hint="eastAsia" w:ascii="宋体" w:hAnsi="宋体" w:eastAsia="宋体" w:cs="宋体"/>
          <w:sz w:val="24"/>
          <w:szCs w:val="24"/>
          <w:highlight w:val="none"/>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5、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eastAsia="宋体" w:cs="宋体"/>
          <w:sz w:val="24"/>
          <w:szCs w:val="24"/>
          <w:highlight w:val="none"/>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6、不允许转包或分包，一旦发现转包或分包行为，采购人有权单方面终止合同，成交人承担违约责任，采购人有权不予拨付资金。</w:t>
      </w:r>
      <w:r>
        <w:rPr>
          <w:rFonts w:hint="eastAsia" w:ascii="宋体" w:hAnsi="宋体" w:eastAsia="宋体" w:cs="宋体"/>
          <w:sz w:val="24"/>
          <w:szCs w:val="24"/>
          <w:highlight w:val="none"/>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7、成交人应保证采购人在使用本项目的服务或其任何一部分时不受第三方提出侵犯其专利权、版权、商标权或其他权利的起诉。一旦出现侵权，成交人应承担全部责任。</w:t>
      </w:r>
      <w:r>
        <w:rPr>
          <w:rFonts w:hint="eastAsia" w:ascii="宋体" w:hAnsi="宋体" w:eastAsia="宋体" w:cs="宋体"/>
          <w:sz w:val="24"/>
          <w:szCs w:val="24"/>
          <w:highlight w:val="none"/>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8、成交供应商应加强对资料的保管，工作全面完成后，应将采购单位认为必要的有关资料返还给采购单位；其余资料，供应商应按采购单位要求存档保管，并应及时满足采购单位对资料有关调用、审核等要求。对档案管理不完善造成资料遗失的，采购单位有权解除合同并追究其相关责任。</w:t>
      </w:r>
      <w:r>
        <w:rPr>
          <w:rFonts w:hint="eastAsia" w:ascii="宋体" w:hAnsi="宋体" w:eastAsia="宋体" w:cs="宋体"/>
          <w:sz w:val="24"/>
          <w:szCs w:val="24"/>
          <w:highlight w:val="none"/>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9、供应商须对采购单位提供的数据、材料具有保密义务，如发现有泄密行为，采购单位有权解除合同并追究其相关责任。</w:t>
      </w:r>
      <w:r>
        <w:rPr>
          <w:rFonts w:hint="eastAsia" w:ascii="宋体" w:hAnsi="宋体" w:eastAsia="宋体" w:cs="宋体"/>
          <w:sz w:val="24"/>
          <w:szCs w:val="24"/>
          <w:highlight w:val="none"/>
          <w:lang w:val="en-US" w:eastAsia="zh-CN"/>
        </w:rPr>
      </w:r>
      <w:r/>
    </w:p>
    <w:p>
      <w:pPr>
        <w:pStyle w:val="838"/>
        <w:ind w:firstLine="48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10、如发现成交供应商出现弄虚作假行为的，采购单位有权解除合同并追究其相关责任。成交供应商对服务缺陷不予更正，采购单位有权另请其他单位服务，所发生的费用由成交供应商承担。</w:t>
      </w:r>
      <w:r>
        <w:rPr>
          <w:rFonts w:hint="eastAsia" w:ascii="宋体" w:hAnsi="宋体" w:eastAsia="宋体" w:cs="宋体"/>
          <w:sz w:val="24"/>
          <w:szCs w:val="24"/>
          <w:highlight w:val="none"/>
          <w:lang w:val="en-US" w:eastAsia="zh-CN"/>
        </w:rPr>
      </w:r>
      <w:r/>
    </w:p>
    <w:p>
      <w:pPr>
        <w:pStyle w:val="838"/>
        <w:ind w:firstLine="0"/>
        <w:jc w:val="both"/>
        <w:spacing w:beforeAutospacing="0" w:afterAutospacing="0" w:line="46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r>
      <w:r/>
    </w:p>
    <w:p>
      <w:pPr>
        <w:pStyle w:val="830"/>
        <w:rPr>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838"/>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83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sz w:val="24"/>
          <w:szCs w:val="24"/>
          <w:highlight w:val="none"/>
        </w:rPr>
      </w:r>
      <w:r/>
    </w:p>
    <w:p>
      <w:pPr>
        <w:pStyle w:val="84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w:t>
      </w:r>
      <w:r>
        <w:rPr>
          <w:rFonts w:hint="eastAsia" w:ascii="宋体" w:hAnsi="宋体" w:eastAsia="宋体" w:cs="宋体"/>
          <w:sz w:val="24"/>
          <w:szCs w:val="24"/>
          <w:highlight w:val="none"/>
        </w:rPr>
      </w:r>
      <w:r/>
    </w:p>
    <w:p>
      <w:pPr>
        <w:pStyle w:val="838"/>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38"/>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sz w:val="24"/>
          <w:szCs w:val="24"/>
          <w:highlight w:val="none"/>
        </w:rPr>
      </w:r>
      <w:r/>
    </w:p>
    <w:p>
      <w:pPr>
        <w:pStyle w:val="83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sz w:val="24"/>
          <w:szCs w:val="24"/>
          <w:highlight w:val="none"/>
        </w:rPr>
      </w:r>
      <w:r/>
    </w:p>
    <w:p>
      <w:pPr>
        <w:pStyle w:val="838"/>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38"/>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838"/>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83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sz w:val="24"/>
          <w:szCs w:val="24"/>
          <w:highlight w:val="none"/>
        </w:rPr>
      </w:r>
      <w:r/>
    </w:p>
    <w:p>
      <w:pPr>
        <w:pStyle w:val="838"/>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3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83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3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83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838"/>
        <w:ind w:firstLine="482"/>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评标方法与评标标准</w:t>
      </w:r>
      <w:r>
        <w:rPr>
          <w:rFonts w:hint="eastAsia" w:ascii="宋体" w:hAnsi="宋体" w:eastAsia="宋体" w:cs="宋体"/>
          <w:color w:val="000000"/>
          <w:sz w:val="24"/>
          <w:szCs w:val="24"/>
          <w:highlight w:val="none"/>
        </w:rPr>
      </w:r>
      <w:r/>
    </w:p>
    <w:tbl>
      <w:tblPr>
        <w:tblW w:w="10136" w:type="dxa"/>
        <w:jc w:val="center"/>
        <w:tblInd w:w="-9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730"/>
        <w:gridCol w:w="688"/>
        <w:gridCol w:w="730"/>
        <w:gridCol w:w="7179"/>
      </w:tblGrid>
      <w:tr>
        <w:trPr/>
        <w:tc>
          <w:tcPr>
            <w:tcW w:w="809" w:type="dxa"/>
            <w:vAlign w:val="center"/>
            <w:textDirection w:val="lrTb"/>
            <w:noWrap w:val="false"/>
          </w:tcPr>
          <w:p>
            <w:pPr>
              <w:pStyle w:val="836"/>
              <w:ind w:left="0"/>
              <w:jc w:val="center"/>
              <w:spacing w:line="320" w:lineRule="exact"/>
            </w:pPr>
            <w:r>
              <w:rPr>
                <w:rFonts w:ascii="Times New Roman" w:hAnsi="Times New Roman"/>
                <w:szCs w:val="21"/>
              </w:rPr>
              <w:t xml:space="preserve">序号</w:t>
            </w:r>
            <w:r/>
          </w:p>
        </w:tc>
        <w:tc>
          <w:tcPr>
            <w:gridSpan w:val="2"/>
            <w:tcW w:w="1418" w:type="dxa"/>
            <w:vAlign w:val="center"/>
            <w:textDirection w:val="lrTb"/>
            <w:noWrap w:val="false"/>
          </w:tcPr>
          <w:p>
            <w:pPr>
              <w:pStyle w:val="836"/>
              <w:ind w:left="0"/>
              <w:jc w:val="center"/>
              <w:spacing w:line="320" w:lineRule="exact"/>
            </w:pPr>
            <w:r>
              <w:rPr>
                <w:rFonts w:ascii="Times New Roman" w:hAnsi="Times New Roman"/>
                <w:szCs w:val="21"/>
              </w:rPr>
              <w:t xml:space="preserve">评分项目</w:t>
            </w:r>
            <w:r/>
          </w:p>
        </w:tc>
        <w:tc>
          <w:tcPr>
            <w:tcW w:w="730" w:type="dxa"/>
            <w:vAlign w:val="center"/>
            <w:textDirection w:val="lrTb"/>
            <w:noWrap w:val="false"/>
          </w:tcPr>
          <w:p>
            <w:pPr>
              <w:pStyle w:val="836"/>
              <w:ind w:left="0"/>
              <w:jc w:val="center"/>
              <w:spacing w:line="320" w:lineRule="exact"/>
            </w:pPr>
            <w:r>
              <w:rPr>
                <w:rFonts w:ascii="Times New Roman" w:hAnsi="Times New Roman"/>
                <w:szCs w:val="21"/>
              </w:rPr>
              <w:t xml:space="preserve">分值</w:t>
            </w:r>
            <w:r/>
          </w:p>
        </w:tc>
        <w:tc>
          <w:tcPr>
            <w:tcW w:w="7179" w:type="dxa"/>
            <w:vAlign w:val="center"/>
            <w:textDirection w:val="lrTb"/>
            <w:noWrap w:val="false"/>
          </w:tcPr>
          <w:p>
            <w:pPr>
              <w:pStyle w:val="836"/>
              <w:ind w:left="0"/>
              <w:jc w:val="center"/>
              <w:spacing w:line="320" w:lineRule="exact"/>
            </w:pPr>
            <w:r>
              <w:rPr>
                <w:rFonts w:ascii="Times New Roman" w:hAnsi="Times New Roman"/>
                <w:szCs w:val="21"/>
              </w:rPr>
              <w:t xml:space="preserve">评分细则</w:t>
            </w:r>
            <w:r/>
          </w:p>
        </w:tc>
      </w:tr>
      <w:tr>
        <w:trPr/>
        <w:tc>
          <w:tcPr>
            <w:tcW w:w="809" w:type="dxa"/>
            <w:vAlign w:val="center"/>
            <w:textDirection w:val="lrTb"/>
            <w:noWrap w:val="false"/>
          </w:tcPr>
          <w:p>
            <w:pPr>
              <w:pStyle w:val="836"/>
              <w:ind w:left="0"/>
              <w:jc w:val="left"/>
              <w:spacing w:line="320" w:lineRule="exact"/>
              <w:rPr>
                <w:color w:val="000000"/>
              </w:rPr>
            </w:pPr>
            <w:r>
              <w:rPr>
                <w:rFonts w:ascii="Times New Roman" w:hAnsi="Times New Roman"/>
                <w:color w:val="000000"/>
                <w:szCs w:val="21"/>
              </w:rPr>
              <w:t xml:space="preserve">一</w:t>
            </w:r>
            <w:r>
              <w:rPr>
                <w:color w:val="000000"/>
              </w:rPr>
            </w:r>
            <w:r/>
          </w:p>
        </w:tc>
        <w:tc>
          <w:tcPr>
            <w:gridSpan w:val="2"/>
            <w:tcW w:w="1418" w:type="dxa"/>
            <w:vAlign w:val="center"/>
            <w:textDirection w:val="lrTb"/>
            <w:noWrap w:val="false"/>
          </w:tcPr>
          <w:p>
            <w:pPr>
              <w:pStyle w:val="845"/>
              <w:ind w:firstLine="240"/>
              <w:spacing w:line="320" w:lineRule="exact"/>
              <w:rPr>
                <w:rFonts w:ascii="Times New Roman" w:hAnsi="Times New Roman"/>
                <w:color w:val="000000"/>
                <w:szCs w:val="21"/>
              </w:rPr>
            </w:pPr>
            <w:r>
              <w:rPr>
                <w:rFonts w:ascii="Times New Roman" w:hAnsi="Times New Roman"/>
                <w:color w:val="000000"/>
                <w:szCs w:val="21"/>
              </w:rPr>
              <w:t xml:space="preserve">报价分</w:t>
            </w:r>
            <w:r>
              <w:rPr>
                <w:rFonts w:ascii="Times New Roman" w:hAnsi="Times New Roman"/>
                <w:color w:val="000000"/>
                <w:szCs w:val="21"/>
              </w:rPr>
            </w:r>
            <w:r/>
          </w:p>
          <w:p>
            <w:pPr>
              <w:pStyle w:val="836"/>
              <w:ind w:left="0"/>
              <w:jc w:val="left"/>
              <w:spacing w:line="320" w:lineRule="exact"/>
              <w:rPr>
                <w:color w:val="000000"/>
              </w:rPr>
            </w:pPr>
            <w:r>
              <w:rPr>
                <w:color w:val="000000"/>
              </w:rPr>
            </w:r>
            <w:r/>
          </w:p>
        </w:tc>
        <w:tc>
          <w:tcPr>
            <w:tcW w:w="730" w:type="dxa"/>
            <w:vAlign w:val="center"/>
            <w:textDirection w:val="lrTb"/>
            <w:noWrap w:val="false"/>
          </w:tcPr>
          <w:p>
            <w:pPr>
              <w:pStyle w:val="836"/>
              <w:ind w:left="0"/>
              <w:jc w:val="left"/>
              <w:spacing w:line="320" w:lineRule="exact"/>
              <w:rPr>
                <w:color w:val="000000"/>
              </w:rPr>
            </w:pPr>
            <w:r>
              <w:rPr>
                <w:rFonts w:ascii="Times New Roman" w:hAnsi="Times New Roman"/>
                <w:color w:val="000000"/>
                <w:szCs w:val="21"/>
              </w:rPr>
              <w:t xml:space="preserve">30分</w:t>
            </w:r>
            <w:r>
              <w:rPr>
                <w:color w:val="000000"/>
              </w:rPr>
            </w:r>
            <w:r/>
          </w:p>
        </w:tc>
        <w:tc>
          <w:tcPr>
            <w:tcW w:w="7179" w:type="dxa"/>
            <w:vAlign w:val="center"/>
            <w:textDirection w:val="lrTb"/>
            <w:noWrap w:val="false"/>
          </w:tcPr>
          <w:p>
            <w:pPr>
              <w:pStyle w:val="845"/>
              <w:ind w:firstLine="420"/>
              <w:spacing w:line="320" w:lineRule="exact"/>
              <w:rPr>
                <w:rFonts w:ascii="Times New Roman" w:hAnsi="Times New Roman"/>
                <w:color w:val="000000"/>
                <w:szCs w:val="21"/>
              </w:rPr>
            </w:pPr>
            <w:r>
              <w:rPr>
                <w:rFonts w:hint="eastAsia" w:ascii="Times New Roman" w:hAnsi="Times New Roman"/>
                <w:color w:val="000000"/>
                <w:szCs w:val="21"/>
              </w:rPr>
              <w:t xml:space="preserve">采用低价优先法计算</w:t>
            </w:r>
            <w:r>
              <w:rPr>
                <w:rFonts w:hint="eastAsia" w:ascii="Times New Roman" w:hAnsi="Times New Roman"/>
                <w:color w:val="000000"/>
                <w:szCs w:val="21"/>
                <w:lang w:eastAsia="zh-CN"/>
              </w:rPr>
              <w:t xml:space="preserve">，</w:t>
            </w:r>
            <w:r>
              <w:rPr>
                <w:rFonts w:ascii="Times New Roman" w:hAnsi="Times New Roman"/>
                <w:color w:val="000000"/>
                <w:szCs w:val="21"/>
              </w:rPr>
              <w:t xml:space="preserve">满足招标文件要求且投标价格最低的投标报价为评标基准价，其价格分为满分30分。</w:t>
            </w:r>
            <w:r>
              <w:rPr>
                <w:rFonts w:ascii="Times New Roman" w:hAnsi="Times New Roman"/>
                <w:color w:val="000000"/>
                <w:szCs w:val="21"/>
              </w:rPr>
            </w:r>
            <w:r/>
          </w:p>
          <w:p>
            <w:pPr>
              <w:pStyle w:val="836"/>
              <w:ind w:left="0"/>
              <w:jc w:val="left"/>
              <w:spacing w:line="320" w:lineRule="exact"/>
              <w:rPr>
                <w:color w:val="000000"/>
              </w:rPr>
            </w:pPr>
            <w:r>
              <w:rPr>
                <w:rFonts w:ascii="Times New Roman" w:hAnsi="Times New Roman"/>
                <w:color w:val="000000"/>
                <w:szCs w:val="21"/>
              </w:rPr>
              <w:t xml:space="preserve">其他投标人的价格分统一按照下列公式计算：投标报价得分=（评标基准价/投标报价）×30，结果保留两位小数。（有效投标报价为</w:t>
            </w:r>
            <w:r>
              <w:rPr>
                <w:rFonts w:ascii="Times New Roman" w:hAnsi="Times New Roman"/>
                <w:color w:val="000000"/>
                <w:szCs w:val="21"/>
                <w:lang w:val="zh-CN"/>
              </w:rPr>
              <w:t xml:space="preserve">未被评标委员会判定为废标的投标文件</w:t>
            </w:r>
            <w:r>
              <w:rPr>
                <w:rFonts w:ascii="Times New Roman" w:hAnsi="Times New Roman"/>
                <w:color w:val="000000"/>
                <w:szCs w:val="21"/>
              </w:rPr>
              <w:t xml:space="preserve">）。</w:t>
            </w:r>
            <w:r>
              <w:rPr>
                <w:color w:val="000000"/>
              </w:rPr>
            </w:r>
            <w:r/>
          </w:p>
        </w:tc>
      </w:tr>
      <w:tr>
        <w:trPr/>
        <w:tc>
          <w:tcPr>
            <w:tcW w:w="809" w:type="dxa"/>
            <w:vAlign w:val="center"/>
            <w:textDirection w:val="lrTb"/>
            <w:noWrap w:val="false"/>
          </w:tcPr>
          <w:p>
            <w:pPr>
              <w:pStyle w:val="836"/>
              <w:ind w:left="0"/>
              <w:jc w:val="left"/>
              <w:spacing w:line="320" w:lineRule="exact"/>
              <w:rPr>
                <w:color w:val="000000"/>
              </w:rPr>
            </w:pPr>
            <w:r>
              <w:rPr>
                <w:rFonts w:ascii="Times New Roman" w:hAnsi="Times New Roman"/>
                <w:color w:val="000000"/>
                <w:szCs w:val="21"/>
              </w:rPr>
              <w:t xml:space="preserve">二</w:t>
            </w:r>
            <w:r>
              <w:rPr>
                <w:color w:val="000000"/>
              </w:rPr>
            </w:r>
            <w:r/>
          </w:p>
        </w:tc>
        <w:tc>
          <w:tcPr>
            <w:gridSpan w:val="2"/>
            <w:tcW w:w="1418" w:type="dxa"/>
            <w:vAlign w:val="center"/>
            <w:textDirection w:val="lrTb"/>
            <w:noWrap w:val="false"/>
          </w:tcPr>
          <w:p>
            <w:pPr>
              <w:pStyle w:val="836"/>
              <w:ind w:left="0"/>
              <w:jc w:val="left"/>
              <w:spacing w:line="320" w:lineRule="exact"/>
              <w:rPr>
                <w:color w:val="000000"/>
              </w:rPr>
            </w:pPr>
            <w:r>
              <w:rPr>
                <w:rFonts w:ascii="Times New Roman" w:hAnsi="Times New Roman"/>
                <w:color w:val="000000"/>
                <w:szCs w:val="21"/>
              </w:rPr>
              <w:t xml:space="preserve">技术参数评审</w:t>
            </w:r>
            <w:r>
              <w:rPr>
                <w:color w:val="000000"/>
              </w:rPr>
            </w:r>
            <w:r/>
          </w:p>
        </w:tc>
        <w:tc>
          <w:tcPr>
            <w:tcW w:w="730" w:type="dxa"/>
            <w:vAlign w:val="center"/>
            <w:textDirection w:val="lrTb"/>
            <w:noWrap w:val="false"/>
          </w:tcPr>
          <w:p>
            <w:pPr>
              <w:pStyle w:val="845"/>
              <w:spacing w:line="320" w:lineRule="exact"/>
              <w:rPr>
                <w:rFonts w:hint="eastAsia"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33</w:t>
            </w:r>
            <w:r>
              <w:rPr>
                <w:rFonts w:ascii="Times New Roman" w:hAnsi="Times New Roman"/>
                <w:color w:val="000000"/>
                <w:szCs w:val="21"/>
                <w:highlight w:val="none"/>
              </w:rPr>
              <w:t xml:space="preserve">分</w:t>
            </w:r>
            <w:r>
              <w:rPr>
                <w:rFonts w:hint="eastAsia" w:ascii="Times New Roman" w:hAnsi="Times New Roman"/>
                <w:color w:val="000000"/>
                <w:szCs w:val="21"/>
                <w:highlight w:val="none"/>
              </w:rPr>
            </w:r>
            <w:r/>
          </w:p>
        </w:tc>
        <w:tc>
          <w:tcPr>
            <w:tcW w:w="7179" w:type="dxa"/>
            <w:vAlign w:val="center"/>
            <w:textDirection w:val="lrTb"/>
            <w:noWrap w:val="false"/>
          </w:tcPr>
          <w:p>
            <w:pPr>
              <w:pStyle w:val="845"/>
              <w:ind w:firstLine="420"/>
              <w:spacing w:line="32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满足采购文件全部的技术指标、参数要求的得</w:t>
            </w:r>
            <w:r>
              <w:rPr>
                <w:rFonts w:hint="eastAsia" w:ascii="Times New Roman" w:hAnsi="Times New Roman"/>
                <w:b/>
                <w:bCs/>
                <w:color w:val="000000"/>
                <w:szCs w:val="21"/>
                <w:highlight w:val="none"/>
                <w:lang w:val="en-US" w:eastAsia="zh-CN"/>
              </w:rPr>
              <w:t xml:space="preserve">33</w:t>
            </w:r>
            <w:r>
              <w:rPr>
                <w:rFonts w:hint="eastAsia" w:ascii="Times New Roman" w:hAnsi="Times New Roman"/>
                <w:b/>
                <w:bCs/>
                <w:color w:val="000000"/>
                <w:szCs w:val="21"/>
                <w:highlight w:val="none"/>
              </w:rPr>
              <w:t xml:space="preserve">分</w:t>
            </w:r>
            <w:r>
              <w:rPr>
                <w:rFonts w:hint="eastAsia" w:ascii="Times New Roman" w:hAnsi="Times New Roman"/>
                <w:color w:val="000000"/>
                <w:szCs w:val="21"/>
                <w:highlight w:val="none"/>
              </w:rPr>
              <w:t xml:space="preserve">，由评委根据供应商的响应文件中产品情况、《技术规格偏离表》等有关资料情况打分。带★的技术指标、参数不满足要求，每项扣2分；其他不带★技术指标以《非★项技术参数完全响应承诺书》为准，承诺完全响应的得</w:t>
            </w:r>
            <w:r>
              <w:rPr>
                <w:rFonts w:hint="eastAsia" w:ascii="Times New Roman" w:hAnsi="Times New Roman"/>
                <w:color w:val="000000"/>
                <w:szCs w:val="21"/>
                <w:highlight w:val="none"/>
                <w:lang w:val="en-US" w:eastAsia="zh-CN"/>
              </w:rPr>
              <w:t xml:space="preserve">7</w:t>
            </w:r>
            <w:r>
              <w:rPr>
                <w:rFonts w:hint="eastAsia" w:ascii="Times New Roman" w:hAnsi="Times New Roman"/>
                <w:color w:val="000000"/>
                <w:szCs w:val="21"/>
                <w:highlight w:val="none"/>
              </w:rPr>
              <w:t xml:space="preserve">分，否则的0分。</w:t>
            </w:r>
            <w:r>
              <w:rPr>
                <w:rFonts w:hint="eastAsia" w:ascii="Times New Roman" w:hAnsi="Times New Roman"/>
                <w:color w:val="000000"/>
                <w:szCs w:val="21"/>
                <w:highlight w:val="none"/>
              </w:rPr>
            </w:r>
            <w:r/>
          </w:p>
          <w:p>
            <w:pPr>
              <w:pStyle w:val="845"/>
              <w:spacing w:line="320" w:lineRule="exact"/>
              <w:rPr>
                <w:rFonts w:hint="eastAsia" w:ascii="宋体" w:hAnsi="宋体"/>
                <w:color w:val="000000"/>
                <w:highlight w:val="none"/>
              </w:rPr>
            </w:pPr>
            <w:r>
              <w:rPr>
                <w:rFonts w:hint="eastAsia" w:ascii="Times New Roman" w:hAnsi="Times New Roman"/>
                <w:color w:val="000000"/>
                <w:szCs w:val="21"/>
                <w:highlight w:val="none"/>
              </w:rPr>
              <w:t xml:space="preserve">注：</w:t>
            </w:r>
            <w:r>
              <w:rPr>
                <w:rFonts w:ascii="Times New Roman" w:hAnsi="Times New Roman"/>
                <w:color w:val="000000"/>
                <w:szCs w:val="21"/>
                <w:highlight w:val="none"/>
              </w:rPr>
              <w:t xml:space="preserve">1.</w:t>
            </w:r>
            <w:r>
              <w:rPr>
                <w:rFonts w:hint="eastAsia" w:ascii="Times New Roman" w:hAnsi="Times New Roman"/>
                <w:color w:val="000000"/>
                <w:szCs w:val="21"/>
                <w:highlight w:val="none"/>
              </w:rPr>
              <w:t xml:space="preserve">标</w:t>
            </w:r>
            <w:r>
              <w:rPr>
                <w:rFonts w:ascii="Times New Roman" w:hAnsi="Times New Roman"/>
                <w:color w:val="000000"/>
                <w:szCs w:val="21"/>
                <w:highlight w:val="none"/>
              </w:rPr>
              <w:t xml:space="preserve">“</w:t>
            </w:r>
            <w:r>
              <w:rPr>
                <w:rFonts w:ascii="Segoe UI Symbol" w:hAnsi="Segoe UI Symbol" w:cs="Segoe UI Symbol"/>
                <w:color w:val="000000"/>
                <w:szCs w:val="21"/>
                <w:highlight w:val="none"/>
              </w:rPr>
              <w:t xml:space="preserve">★</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号的，按招标文件中规定的要求提供相关证明材料（并在《技术参数响应表》中标注证明材料所在页码）为依据，否则视为负偏离；</w:t>
            </w: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其他不带★的参数以提供的《非★项技术参数完全响应承诺书》（格式自拟）加盖投标人公章为依据，否则视为负偏离；</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所有的参数都为验收项，投标人应如实对参数进行响应。采购方对中标人在投标文件中提供的产品有疑问的，可在签订合同前要求中标人提供全新机器进行验证，如在设备到货验收时发现任何不实响应，都将取消中标人的中标资格，并追究相关责任。</w:t>
            </w:r>
            <w:r>
              <w:rPr>
                <w:rFonts w:hint="eastAsia" w:ascii="宋体" w:hAnsi="宋体"/>
                <w:color w:val="000000"/>
                <w:highlight w:val="none"/>
              </w:rPr>
            </w:r>
            <w:r/>
          </w:p>
        </w:tc>
      </w:tr>
      <w:tr>
        <w:trPr/>
        <w:tc>
          <w:tcPr>
            <w:tcW w:w="809" w:type="dxa"/>
            <w:vAlign w:val="center"/>
            <w:textDirection w:val="lrTb"/>
            <w:noWrap w:val="false"/>
          </w:tcPr>
          <w:p>
            <w:pPr>
              <w:pStyle w:val="836"/>
              <w:ind w:left="0"/>
              <w:spacing w:line="320" w:lineRule="exact"/>
              <w:rPr>
                <w:color w:val="000000"/>
              </w:rPr>
            </w:pPr>
            <w:r>
              <w:rPr>
                <w:rFonts w:ascii="Times New Roman" w:hAnsi="Times New Roman"/>
                <w:color w:val="000000"/>
                <w:szCs w:val="21"/>
              </w:rPr>
              <w:t xml:space="preserve">三</w:t>
            </w:r>
            <w:r>
              <w:rPr>
                <w:color w:val="000000"/>
              </w:rPr>
            </w:r>
            <w:r/>
          </w:p>
        </w:tc>
        <w:tc>
          <w:tcPr>
            <w:gridSpan w:val="2"/>
            <w:tcW w:w="1418" w:type="dxa"/>
            <w:vAlign w:val="center"/>
            <w:textDirection w:val="lrTb"/>
            <w:noWrap w:val="false"/>
          </w:tcPr>
          <w:p>
            <w:pPr>
              <w:pStyle w:val="836"/>
              <w:ind w:left="0"/>
              <w:spacing w:line="320" w:lineRule="exact"/>
              <w:rPr>
                <w:color w:val="000000"/>
              </w:rPr>
            </w:pPr>
            <w:r>
              <w:rPr>
                <w:rFonts w:ascii="Times New Roman" w:hAnsi="Times New Roman"/>
                <w:color w:val="000000"/>
                <w:szCs w:val="21"/>
              </w:rPr>
              <w:t xml:space="preserve">类似业绩</w:t>
            </w:r>
            <w:r>
              <w:rPr>
                <w:color w:val="000000"/>
              </w:rPr>
            </w:r>
            <w:r/>
          </w:p>
        </w:tc>
        <w:tc>
          <w:tcPr>
            <w:tcW w:w="730" w:type="dxa"/>
            <w:vAlign w:val="center"/>
            <w:textDirection w:val="lrTb"/>
            <w:noWrap w:val="false"/>
          </w:tcPr>
          <w:p>
            <w:pPr>
              <w:pStyle w:val="836"/>
              <w:ind w:left="0"/>
              <w:spacing w:line="320" w:lineRule="exact"/>
              <w:rPr>
                <w:color w:val="000000"/>
              </w:rPr>
            </w:pPr>
            <w:r>
              <w:rPr>
                <w:rFonts w:hint="eastAsia" w:ascii="Times New Roman" w:hAnsi="Times New Roman"/>
                <w:color w:val="000000"/>
                <w:szCs w:val="21"/>
              </w:rPr>
              <w:t xml:space="preserve">4</w:t>
            </w:r>
            <w:r>
              <w:rPr>
                <w:rFonts w:ascii="Times New Roman" w:hAnsi="Times New Roman"/>
                <w:color w:val="000000"/>
                <w:szCs w:val="21"/>
              </w:rPr>
              <w:t xml:space="preserve">分</w:t>
            </w:r>
            <w:r>
              <w:rPr>
                <w:color w:val="000000"/>
              </w:rPr>
            </w:r>
            <w:r/>
          </w:p>
        </w:tc>
        <w:tc>
          <w:tcPr>
            <w:tcW w:w="7179" w:type="dxa"/>
            <w:vAlign w:val="center"/>
            <w:textDirection w:val="lrTb"/>
            <w:noWrap w:val="false"/>
          </w:tcPr>
          <w:p>
            <w:pPr>
              <w:pStyle w:val="830"/>
              <w:ind w:firstLine="420"/>
              <w:spacing w:line="320" w:lineRule="exact"/>
              <w:widowControl/>
              <w:rPr>
                <w:rFonts w:ascii="Times New Roman" w:hAnsi="Times New Roman"/>
                <w:color w:val="000000"/>
                <w:szCs w:val="21"/>
              </w:rPr>
            </w:pPr>
            <w:r>
              <w:rPr>
                <w:rFonts w:ascii="Times New Roman" w:hAnsi="Times New Roman"/>
                <w:color w:val="000000"/>
                <w:szCs w:val="21"/>
              </w:rPr>
              <w:t xml:space="preserve">投标人自2021年1月1日起(以合同签订时间为准)，承担过类似本项目业绩的，每有1个重点产品得</w:t>
            </w:r>
            <w:r>
              <w:rPr>
                <w:rFonts w:hint="eastAsia" w:ascii="Times New Roman" w:hAnsi="Times New Roman"/>
                <w:color w:val="000000"/>
                <w:szCs w:val="21"/>
              </w:rPr>
              <w:t xml:space="preserve">1</w:t>
            </w:r>
            <w:r>
              <w:rPr>
                <w:rFonts w:ascii="Times New Roman" w:hAnsi="Times New Roman"/>
                <w:color w:val="000000"/>
                <w:szCs w:val="21"/>
              </w:rPr>
              <w:t xml:space="preserve">分，</w:t>
            </w:r>
            <w:r>
              <w:rPr>
                <w:rFonts w:hint="eastAsia" w:ascii="Times New Roman" w:hAnsi="Times New Roman"/>
                <w:color w:val="000000"/>
                <w:szCs w:val="21"/>
              </w:rPr>
              <w:t xml:space="preserve">最多2分；</w:t>
            </w:r>
            <w:r>
              <w:rPr>
                <w:rFonts w:ascii="Times New Roman" w:hAnsi="Times New Roman"/>
                <w:b/>
                <w:bCs/>
                <w:color w:val="000000"/>
                <w:szCs w:val="21"/>
              </w:rPr>
              <w:t xml:space="preserve">本项最高得</w:t>
            </w:r>
            <w:r>
              <w:rPr>
                <w:rFonts w:hint="eastAsia" w:ascii="Times New Roman" w:hAnsi="Times New Roman"/>
                <w:b/>
                <w:bCs/>
                <w:color w:val="000000"/>
                <w:szCs w:val="21"/>
              </w:rPr>
              <w:t xml:space="preserve">4</w:t>
            </w:r>
            <w:r>
              <w:rPr>
                <w:rFonts w:ascii="Times New Roman" w:hAnsi="Times New Roman"/>
                <w:b/>
                <w:bCs/>
                <w:color w:val="000000"/>
                <w:szCs w:val="21"/>
              </w:rPr>
              <w:t xml:space="preserve">分</w:t>
            </w:r>
            <w:r>
              <w:rPr>
                <w:rFonts w:ascii="Times New Roman" w:hAnsi="Times New Roman"/>
                <w:color w:val="000000"/>
                <w:szCs w:val="21"/>
              </w:rPr>
              <w:t xml:space="preserve">。</w:t>
            </w:r>
            <w:r>
              <w:rPr>
                <w:rFonts w:ascii="Times New Roman" w:hAnsi="Times New Roman"/>
                <w:color w:val="000000"/>
                <w:szCs w:val="21"/>
              </w:rPr>
            </w:r>
            <w:r/>
          </w:p>
          <w:p>
            <w:pPr>
              <w:pStyle w:val="836"/>
              <w:ind w:left="0"/>
              <w:spacing w:line="320" w:lineRule="exact"/>
              <w:rPr>
                <w:color w:val="000000"/>
              </w:rPr>
            </w:pPr>
            <w:r>
              <w:rPr>
                <w:rFonts w:ascii="Times New Roman" w:hAnsi="Times New Roman"/>
                <w:color w:val="000000"/>
                <w:szCs w:val="21"/>
              </w:rPr>
              <w:t xml:space="preserve">注：投标时须合同原件及发票原件彩色扫描件并同时加盖投标人公章，否则不得分。</w:t>
            </w:r>
            <w:r>
              <w:rPr>
                <w:color w:val="000000"/>
              </w:rPr>
            </w:r>
            <w:r/>
          </w:p>
        </w:tc>
      </w:tr>
      <w:tr>
        <w:trPr/>
        <w:tc>
          <w:tcPr>
            <w:tcW w:w="809" w:type="dxa"/>
            <w:vAlign w:val="center"/>
            <w:textDirection w:val="lrTb"/>
            <w:noWrap w:val="false"/>
          </w:tcPr>
          <w:p>
            <w:pPr>
              <w:pStyle w:val="836"/>
              <w:ind w:left="0"/>
              <w:spacing w:line="320" w:lineRule="exact"/>
              <w:rPr>
                <w:rFonts w:ascii="Times New Roman" w:hAnsi="Times New Roman"/>
                <w:color w:val="000000"/>
                <w:szCs w:val="21"/>
              </w:rPr>
            </w:pPr>
            <w:r>
              <w:rPr>
                <w:rFonts w:hint="eastAsia" w:ascii="Times New Roman" w:hAnsi="Times New Roman"/>
                <w:color w:val="000000"/>
                <w:szCs w:val="21"/>
              </w:rPr>
              <w:t xml:space="preserve">四</w:t>
            </w:r>
            <w:r>
              <w:rPr>
                <w:rFonts w:ascii="Times New Roman" w:hAnsi="Times New Roman"/>
                <w:color w:val="000000"/>
                <w:szCs w:val="21"/>
              </w:rPr>
            </w:r>
            <w:r/>
          </w:p>
        </w:tc>
        <w:tc>
          <w:tcPr>
            <w:gridSpan w:val="2"/>
            <w:tcW w:w="1418" w:type="dxa"/>
            <w:vAlign w:val="center"/>
            <w:textDirection w:val="lrTb"/>
            <w:noWrap w:val="false"/>
          </w:tcPr>
          <w:p>
            <w:pPr>
              <w:pStyle w:val="836"/>
              <w:ind w:left="0"/>
              <w:spacing w:line="320" w:lineRule="exact"/>
              <w:rPr>
                <w:rFonts w:ascii="Times New Roman" w:hAnsi="Times New Roman"/>
                <w:color w:val="000000"/>
                <w:szCs w:val="21"/>
              </w:rPr>
            </w:pPr>
            <w:r>
              <w:rPr>
                <w:rFonts w:hint="eastAsia" w:ascii="Times New Roman" w:hAnsi="Times New Roman"/>
                <w:color w:val="000000"/>
                <w:szCs w:val="21"/>
              </w:rPr>
              <w:t xml:space="preserve">产品质量、性能整体方案</w:t>
            </w:r>
            <w:r>
              <w:rPr>
                <w:rFonts w:ascii="Times New Roman" w:hAnsi="Times New Roman"/>
                <w:color w:val="000000"/>
                <w:szCs w:val="21"/>
              </w:rPr>
            </w:r>
            <w:r/>
          </w:p>
        </w:tc>
        <w:tc>
          <w:tcPr>
            <w:tcW w:w="730" w:type="dxa"/>
            <w:vAlign w:val="center"/>
            <w:textDirection w:val="lrTb"/>
            <w:noWrap w:val="false"/>
          </w:tcPr>
          <w:p>
            <w:pPr>
              <w:pStyle w:val="836"/>
              <w:ind w:left="0"/>
              <w:spacing w:line="320" w:lineRule="exact"/>
              <w:rPr>
                <w:rFonts w:hint="eastAsia" w:ascii="Times New Roman" w:hAnsi="Times New Roman"/>
                <w:color w:val="000000"/>
                <w:szCs w:val="21"/>
              </w:rPr>
            </w:pPr>
            <w:r>
              <w:rPr>
                <w:rFonts w:hint="eastAsia" w:ascii="Times New Roman" w:hAnsi="Times New Roman"/>
                <w:color w:val="000000"/>
                <w:szCs w:val="21"/>
              </w:rPr>
              <w:t xml:space="preserve">6</w:t>
            </w:r>
            <w:r>
              <w:rPr>
                <w:rFonts w:ascii="Times New Roman" w:hAnsi="Times New Roman"/>
                <w:color w:val="000000"/>
                <w:szCs w:val="21"/>
              </w:rPr>
              <w:t xml:space="preserve">分</w:t>
            </w:r>
            <w:r>
              <w:rPr>
                <w:rFonts w:hint="eastAsia" w:ascii="Times New Roman" w:hAnsi="Times New Roman"/>
                <w:color w:val="000000"/>
                <w:szCs w:val="21"/>
              </w:rPr>
            </w:r>
            <w:r/>
          </w:p>
        </w:tc>
        <w:tc>
          <w:tcPr>
            <w:tcW w:w="7179" w:type="dxa"/>
            <w:vAlign w:val="center"/>
            <w:textDirection w:val="lrTb"/>
            <w:noWrap w:val="false"/>
          </w:tcPr>
          <w:p>
            <w:pPr>
              <w:pStyle w:val="830"/>
              <w:ind w:firstLine="420"/>
              <w:spacing w:line="320" w:lineRule="exact"/>
              <w:widowControl/>
              <w:rPr>
                <w:color w:val="000000"/>
              </w:rPr>
            </w:pPr>
            <w:r>
              <w:rPr>
                <w:rFonts w:hint="eastAsia" w:ascii="Times New Roman" w:hAnsi="Times New Roman"/>
                <w:color w:val="000000"/>
                <w:szCs w:val="21"/>
              </w:rPr>
              <w:t xml:space="preserve">投标时投标人应对本项目提供完整、详细整体产品整体方案，内容包括但不限于：1、为本品牌最新型号及详细配置；2、具有检测应用研发能力，如在知名杂志发表的专业类文献、有成熟案例能为用户提供相关的检测方法开发及优化方面的等；3、优秀的产品稳定性，能提供测试数据的权威证明材料的；4、客户满意度，如第三方权威机构发布的市场占有率的调查数据、既往用户满意度评价的。评委根据投标人提供的具体方案进行综合评定。</w:t>
            </w:r>
            <w:r>
              <w:rPr>
                <w:color w:val="000000"/>
              </w:rPr>
            </w:r>
            <w:r/>
          </w:p>
          <w:p>
            <w:pPr>
              <w:pStyle w:val="830"/>
              <w:ind w:firstLine="420"/>
              <w:rPr>
                <w:rFonts w:hint="eastAsia"/>
                <w:color w:val="000000"/>
              </w:rPr>
            </w:pPr>
            <w:r>
              <w:rPr>
                <w:rFonts w:hint="eastAsia" w:ascii="Times New Roman" w:hAnsi="Times New Roman"/>
                <w:color w:val="000000"/>
                <w:szCs w:val="21"/>
              </w:rPr>
              <w:t xml:space="preserve">要求方案细致完整、针对性强、措施有力，方案的贯彻应能满足本项目各项服务要求。方案内容描述全面合理符合采购需求的得6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rPr>
                <w:rFonts w:hint="eastAsia"/>
                <w:color w:val="000000"/>
              </w:rPr>
            </w:r>
            <w:r/>
          </w:p>
        </w:tc>
      </w:tr>
      <w:tr>
        <w:trPr/>
        <w:tc>
          <w:tcPr>
            <w:tcW w:w="809" w:type="dxa"/>
            <w:vAlign w:val="center"/>
            <w:vMerge w:val="restart"/>
            <w:textDirection w:val="lrTb"/>
            <w:noWrap w:val="false"/>
          </w:tcPr>
          <w:p>
            <w:pPr>
              <w:pStyle w:val="836"/>
              <w:ind w:left="0"/>
              <w:spacing w:line="320" w:lineRule="exact"/>
              <w:rPr>
                <w:rFonts w:hint="eastAsia" w:ascii="Times New Roman" w:hAnsi="Times New Roman"/>
                <w:color w:val="000000"/>
                <w:szCs w:val="21"/>
              </w:rPr>
            </w:pPr>
            <w:r>
              <w:rPr>
                <w:rFonts w:hint="eastAsia" w:ascii="Times New Roman" w:hAnsi="Times New Roman"/>
                <w:color w:val="000000"/>
                <w:szCs w:val="21"/>
              </w:rPr>
              <w:t xml:space="preserve">五</w:t>
            </w:r>
            <w:r>
              <w:rPr>
                <w:rFonts w:hint="eastAsia" w:ascii="Times New Roman" w:hAnsi="Times New Roman"/>
                <w:color w:val="000000"/>
                <w:szCs w:val="21"/>
              </w:rPr>
            </w:r>
            <w:r/>
          </w:p>
        </w:tc>
        <w:tc>
          <w:tcPr>
            <w:tcW w:w="730" w:type="dxa"/>
            <w:vAlign w:val="center"/>
            <w:vMerge w:val="restart"/>
            <w:textDirection w:val="lrTb"/>
            <w:noWrap w:val="false"/>
          </w:tcPr>
          <w:p>
            <w:pPr>
              <w:pStyle w:val="836"/>
              <w:ind w:left="0"/>
              <w:spacing w:line="320" w:lineRule="exact"/>
              <w:rPr>
                <w:rFonts w:ascii="Times New Roman" w:hAnsi="Times New Roman"/>
                <w:color w:val="000000"/>
                <w:szCs w:val="21"/>
              </w:rPr>
            </w:pPr>
            <w:r>
              <w:rPr>
                <w:rFonts w:ascii="Times New Roman" w:hAnsi="Times New Roman"/>
                <w:color w:val="000000"/>
                <w:szCs w:val="21"/>
                <w:lang w:val="zh-CN"/>
              </w:rPr>
              <w:t xml:space="preserve">项目实施</w:t>
            </w:r>
            <w:r>
              <w:rPr>
                <w:rFonts w:ascii="Times New Roman" w:hAnsi="Times New Roman"/>
                <w:color w:val="000000"/>
                <w:szCs w:val="21"/>
              </w:rPr>
            </w:r>
            <w:r/>
          </w:p>
        </w:tc>
        <w:tc>
          <w:tcPr>
            <w:tcW w:w="688" w:type="dxa"/>
            <w:vAlign w:val="center"/>
            <w:textDirection w:val="lrTb"/>
            <w:noWrap w:val="false"/>
          </w:tcPr>
          <w:p>
            <w:pPr>
              <w:pStyle w:val="836"/>
              <w:ind w:left="0"/>
              <w:spacing w:line="320" w:lineRule="exact"/>
              <w:rPr>
                <w:rFonts w:ascii="Times New Roman" w:hAnsi="Times New Roman"/>
                <w:color w:val="000000"/>
                <w:szCs w:val="21"/>
              </w:rPr>
            </w:pPr>
            <w:r>
              <w:rPr>
                <w:rFonts w:hint="eastAsia"/>
                <w:color w:val="000000"/>
              </w:rPr>
              <w:t xml:space="preserve">安装调试方案</w:t>
            </w:r>
            <w:r>
              <w:rPr>
                <w:rFonts w:ascii="Times New Roman" w:hAnsi="Times New Roman"/>
                <w:color w:val="000000"/>
                <w:szCs w:val="21"/>
              </w:rPr>
            </w:r>
            <w:r/>
          </w:p>
        </w:tc>
        <w:tc>
          <w:tcPr>
            <w:tcW w:w="730" w:type="dxa"/>
            <w:vAlign w:val="center"/>
            <w:textDirection w:val="lrTb"/>
            <w:noWrap w:val="false"/>
          </w:tcPr>
          <w:p>
            <w:pPr>
              <w:pStyle w:val="836"/>
              <w:ind w:left="0"/>
              <w:spacing w:line="320" w:lineRule="exact"/>
              <w:rPr>
                <w:rFonts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分</w:t>
            </w:r>
            <w:r>
              <w:rPr>
                <w:rFonts w:ascii="Times New Roman" w:hAnsi="Times New Roman"/>
                <w:color w:val="000000"/>
                <w:szCs w:val="21"/>
              </w:rPr>
            </w:r>
            <w:r/>
          </w:p>
        </w:tc>
        <w:tc>
          <w:tcPr>
            <w:tcW w:w="7179" w:type="dxa"/>
            <w:vAlign w:val="center"/>
            <w:textDirection w:val="lrTb"/>
            <w:noWrap w:val="false"/>
          </w:tcPr>
          <w:p>
            <w:pPr>
              <w:pStyle w:val="845"/>
              <w:ind w:firstLine="420"/>
              <w:spacing w:line="320" w:lineRule="exact"/>
              <w:rPr>
                <w:rFonts w:hint="eastAsia" w:ascii="Times New Roman" w:hAnsi="Times New Roman"/>
                <w:color w:val="000000"/>
                <w:szCs w:val="21"/>
              </w:rPr>
            </w:pPr>
            <w:r>
              <w:rPr>
                <w:rFonts w:hint="eastAsia" w:ascii="Times New Roman" w:hAnsi="Times New Roman"/>
                <w:color w:val="000000"/>
                <w:szCs w:val="21"/>
              </w:rPr>
              <w:t xml:space="preserve">投标时投标人应对本项目提供完整、详细、可行的安装调试方案，内容包括但不限于：①工作目标、②程序和步骤、③人员构架、④管理和协调、⑤时间进度、⑥关键要点。评委根据投标人提供的具体方案进行综合评定。</w:t>
            </w:r>
            <w:r>
              <w:rPr>
                <w:rFonts w:hint="eastAsia" w:ascii="Times New Roman" w:hAnsi="Times New Roman"/>
                <w:color w:val="000000"/>
                <w:szCs w:val="21"/>
              </w:rPr>
            </w:r>
            <w:r/>
          </w:p>
          <w:p>
            <w:pPr>
              <w:pStyle w:val="845"/>
              <w:ind w:firstLine="420"/>
              <w:spacing w:line="320" w:lineRule="exact"/>
              <w:rPr>
                <w:rFonts w:ascii="Times New Roman" w:hAnsi="Times New Roman"/>
                <w:color w:val="000000"/>
                <w:szCs w:val="21"/>
              </w:rPr>
            </w:pPr>
            <w:r>
              <w:rPr>
                <w:rFonts w:hint="eastAsia" w:ascii="Times New Roman" w:hAnsi="Times New Roman"/>
                <w:color w:val="000000"/>
                <w:szCs w:val="21"/>
              </w:rPr>
              <w:t xml:space="preserve">要求方案细致完整、针对性强、措施有力，方案的贯彻应能满足本项目各项服务要求。方案内容描述全面合理符合采购需求的得</w:t>
            </w:r>
            <w:r>
              <w:rPr>
                <w:rFonts w:ascii="Times New Roman" w:hAnsi="Times New Roman"/>
                <w:color w:val="000000"/>
                <w:szCs w:val="21"/>
              </w:rPr>
              <w:t xml:space="preserve">5</w:t>
            </w:r>
            <w:r>
              <w:rPr>
                <w:rFonts w:hint="eastAsia" w:ascii="Times New Roman" w:hAnsi="Times New Roman"/>
                <w:color w:val="000000"/>
                <w:szCs w:val="21"/>
              </w:rPr>
              <w:t xml:space="preserve">分，每有一项内容缺失的扣</w:t>
            </w:r>
            <w:r>
              <w:rPr>
                <w:rFonts w:ascii="Times New Roman" w:hAnsi="Times New Roman"/>
                <w:color w:val="000000"/>
                <w:szCs w:val="21"/>
              </w:rPr>
              <w:t xml:space="preserve">2</w:t>
            </w:r>
            <w:r>
              <w:rPr>
                <w:rFonts w:hint="eastAsia" w:ascii="Times New Roman" w:hAnsi="Times New Roman"/>
                <w:color w:val="000000"/>
                <w:szCs w:val="21"/>
              </w:rPr>
              <w:t xml:space="preserve">分；每有一处内容存在缺陷或不满足要求的扣</w:t>
            </w:r>
            <w:r>
              <w:rPr>
                <w:rFonts w:ascii="Times New Roman" w:hAnsi="Times New Roman"/>
                <w:color w:val="000000"/>
                <w:szCs w:val="21"/>
              </w:rPr>
              <w:t xml:space="preserve">0.5</w:t>
            </w:r>
            <w:r>
              <w:rPr>
                <w:rFonts w:hint="eastAsia" w:ascii="Times New Roman" w:hAnsi="Times New Roman"/>
                <w:color w:val="000000"/>
                <w:szCs w:val="21"/>
              </w:rPr>
              <w:t xml:space="preserve">分，扣完为止。</w:t>
            </w:r>
            <w:r>
              <w:rPr>
                <w:rFonts w:ascii="Times New Roman" w:hAnsi="Times New Roman"/>
                <w:color w:val="000000"/>
                <w:szCs w:val="21"/>
              </w:rPr>
              <w:t xml:space="preserve">(</w:t>
            </w:r>
            <w:r>
              <w:rPr>
                <w:rFonts w:hint="eastAsia" w:ascii="Times New Roman" w:hAnsi="Times New Roman"/>
                <w:color w:val="000000"/>
                <w:szCs w:val="21"/>
              </w:rPr>
              <w:t xml:space="preserve">缺陷或不满足指</w:t>
            </w:r>
            <w:r>
              <w:rPr>
                <w:rFonts w:ascii="Times New Roman" w:hAnsi="Times New Roman"/>
                <w:color w:val="000000"/>
                <w:szCs w:val="21"/>
              </w:rPr>
              <w:t xml:space="preserve">:</w:t>
            </w:r>
            <w:r>
              <w:rPr>
                <w:rFonts w:hint="eastAsia" w:ascii="Times New Roman" w:hAnsi="Times New Roman"/>
                <w:color w:val="000000"/>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ascii="Times New Roman" w:hAnsi="Times New Roman"/>
                <w:color w:val="000000"/>
                <w:szCs w:val="21"/>
              </w:rPr>
              <w:t xml:space="preserve">)</w:t>
            </w:r>
            <w:r>
              <w:rPr>
                <w:rFonts w:hint="eastAsia" w:ascii="Times New Roman" w:hAnsi="Times New Roman"/>
                <w:color w:val="000000"/>
                <w:szCs w:val="21"/>
              </w:rPr>
              <w:t xml:space="preserve">未提供方案不得分</w:t>
            </w:r>
            <w:r>
              <w:rPr>
                <w:rFonts w:ascii="Times New Roman" w:hAnsi="Times New Roman"/>
                <w:color w:val="000000"/>
                <w:szCs w:val="21"/>
              </w:rPr>
            </w:r>
            <w:r/>
          </w:p>
        </w:tc>
      </w:tr>
      <w:tr>
        <w:trPr/>
        <w:tc>
          <w:tcPr>
            <w:tcW w:w="809" w:type="dxa"/>
            <w:vAlign w:val="center"/>
            <w:vMerge w:val="continue"/>
            <w:textDirection w:val="lrTb"/>
            <w:noWrap w:val="false"/>
          </w:tcPr>
          <w:p>
            <w:pPr>
              <w:pStyle w:val="836"/>
              <w:ind w:left="0"/>
              <w:spacing w:line="320" w:lineRule="exact"/>
              <w:rPr>
                <w:rFonts w:hint="eastAsia" w:ascii="Times New Roman" w:hAnsi="Times New Roman"/>
                <w:color w:val="000000"/>
                <w:szCs w:val="21"/>
              </w:rPr>
            </w:pPr>
            <w:r>
              <w:rPr>
                <w:rFonts w:hint="eastAsia" w:ascii="Times New Roman" w:hAnsi="Times New Roman"/>
                <w:color w:val="000000"/>
                <w:szCs w:val="21"/>
              </w:rPr>
            </w:r>
            <w:r/>
          </w:p>
        </w:tc>
        <w:tc>
          <w:tcPr>
            <w:tcW w:w="730" w:type="dxa"/>
            <w:vAlign w:val="center"/>
            <w:vMerge w:val="continue"/>
            <w:textDirection w:val="lrTb"/>
            <w:noWrap w:val="false"/>
          </w:tcPr>
          <w:p>
            <w:pPr>
              <w:pStyle w:val="836"/>
              <w:ind w:left="0"/>
              <w:spacing w:line="320" w:lineRule="exact"/>
              <w:rPr>
                <w:rFonts w:hint="eastAsia" w:ascii="Times New Roman" w:hAnsi="Times New Roman"/>
                <w:color w:val="000000"/>
                <w:szCs w:val="21"/>
              </w:rPr>
            </w:pPr>
            <w:r>
              <w:rPr>
                <w:rFonts w:hint="eastAsia" w:ascii="Times New Roman" w:hAnsi="Times New Roman"/>
                <w:color w:val="000000"/>
                <w:szCs w:val="21"/>
              </w:rPr>
            </w:r>
            <w:r/>
          </w:p>
        </w:tc>
        <w:tc>
          <w:tcPr>
            <w:tcW w:w="688" w:type="dxa"/>
            <w:vAlign w:val="center"/>
            <w:textDirection w:val="lrTb"/>
            <w:noWrap w:val="false"/>
          </w:tcPr>
          <w:p>
            <w:pPr>
              <w:pStyle w:val="836"/>
              <w:ind w:left="0"/>
              <w:spacing w:line="320" w:lineRule="exact"/>
              <w:rPr>
                <w:rFonts w:hint="eastAsia" w:ascii="Times New Roman" w:hAnsi="Times New Roman"/>
                <w:color w:val="000000"/>
                <w:szCs w:val="21"/>
              </w:rPr>
            </w:pPr>
            <w:r>
              <w:rPr>
                <w:rFonts w:hint="eastAsia"/>
                <w:color w:val="000000"/>
              </w:rPr>
              <w:t xml:space="preserve">验收方案</w:t>
            </w:r>
            <w:r>
              <w:rPr>
                <w:rFonts w:hint="eastAsia" w:ascii="Times New Roman" w:hAnsi="Times New Roman"/>
                <w:color w:val="000000"/>
                <w:szCs w:val="21"/>
              </w:rPr>
            </w:r>
            <w:r/>
          </w:p>
        </w:tc>
        <w:tc>
          <w:tcPr>
            <w:tcW w:w="730" w:type="dxa"/>
            <w:vAlign w:val="center"/>
            <w:textDirection w:val="lrTb"/>
            <w:noWrap w:val="false"/>
          </w:tcPr>
          <w:p>
            <w:pPr>
              <w:pStyle w:val="836"/>
              <w:ind w:left="0"/>
              <w:spacing w:line="320" w:lineRule="exact"/>
              <w:rPr>
                <w:rFonts w:hint="eastAsia"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分</w:t>
            </w:r>
            <w:r>
              <w:rPr>
                <w:rFonts w:hint="eastAsia" w:ascii="Times New Roman" w:hAnsi="Times New Roman"/>
                <w:color w:val="000000"/>
                <w:szCs w:val="21"/>
              </w:rPr>
            </w:r>
            <w:r/>
          </w:p>
        </w:tc>
        <w:tc>
          <w:tcPr>
            <w:tcW w:w="7179" w:type="dxa"/>
            <w:vAlign w:val="center"/>
            <w:textDirection w:val="lrTb"/>
            <w:noWrap w:val="false"/>
          </w:tcPr>
          <w:p>
            <w:pPr>
              <w:pStyle w:val="845"/>
              <w:ind w:firstLine="420"/>
              <w:spacing w:line="320" w:lineRule="exact"/>
              <w:rPr>
                <w:rFonts w:ascii="Times New Roman" w:hAnsi="Times New Roman"/>
                <w:color w:val="000000"/>
                <w:szCs w:val="21"/>
              </w:rPr>
            </w:pPr>
            <w:r>
              <w:rPr>
                <w:rFonts w:hint="eastAsia" w:ascii="Times New Roman" w:hAnsi="Times New Roman"/>
                <w:color w:val="000000"/>
                <w:szCs w:val="21"/>
              </w:rPr>
              <w:t xml:space="preserve">投标时投标人应对本项目提供完整、详细、可行的验收方案，内容包括但不限于：①工作目标、②程序和步骤、③组织和协调、④应急预案。评委根据投标人提供的具体方案进行综合评定。</w:t>
            </w:r>
            <w:r>
              <w:rPr>
                <w:rFonts w:ascii="Times New Roman" w:hAnsi="Times New Roman"/>
                <w:color w:val="000000"/>
                <w:szCs w:val="21"/>
              </w:rPr>
            </w:r>
            <w:r/>
          </w:p>
          <w:p>
            <w:pPr>
              <w:pStyle w:val="845"/>
              <w:ind w:firstLine="420"/>
              <w:spacing w:line="320" w:lineRule="exact"/>
              <w:rPr>
                <w:rFonts w:ascii="Times New Roman" w:hAnsi="Times New Roman"/>
                <w:color w:val="000000"/>
                <w:szCs w:val="21"/>
              </w:rPr>
            </w:pPr>
            <w:r>
              <w:rPr>
                <w:rFonts w:hint="eastAsia" w:ascii="Times New Roman" w:hAnsi="Times New Roman"/>
                <w:color w:val="000000"/>
                <w:szCs w:val="21"/>
              </w:rPr>
              <w:t xml:space="preserve">要求方案细致完整、针对性强、措施有力，方案的贯彻应能满足本项目各项服务要求。方案内容描述全面合理符合采购需求的得</w:t>
            </w:r>
            <w:r>
              <w:rPr>
                <w:rFonts w:ascii="Times New Roman" w:hAnsi="Times New Roman"/>
                <w:color w:val="000000"/>
                <w:szCs w:val="21"/>
              </w:rPr>
              <w:t xml:space="preserve">5</w:t>
            </w:r>
            <w:r>
              <w:rPr>
                <w:rFonts w:hint="eastAsia" w:ascii="Times New Roman" w:hAnsi="Times New Roman"/>
                <w:color w:val="000000"/>
                <w:szCs w:val="21"/>
              </w:rPr>
              <w:t xml:space="preserve">分，每有一项内容缺失的扣</w:t>
            </w:r>
            <w:r>
              <w:rPr>
                <w:rFonts w:ascii="Times New Roman" w:hAnsi="Times New Roman"/>
                <w:color w:val="000000"/>
                <w:szCs w:val="21"/>
              </w:rPr>
              <w:t xml:space="preserve">2</w:t>
            </w:r>
            <w:r>
              <w:rPr>
                <w:rFonts w:hint="eastAsia" w:ascii="Times New Roman" w:hAnsi="Times New Roman"/>
                <w:color w:val="000000"/>
                <w:szCs w:val="21"/>
              </w:rPr>
              <w:t xml:space="preserve">分；每有一处内容存在缺陷或不满足要求的扣</w:t>
            </w:r>
            <w:r>
              <w:rPr>
                <w:rFonts w:ascii="Times New Roman" w:hAnsi="Times New Roman"/>
                <w:color w:val="000000"/>
                <w:szCs w:val="21"/>
              </w:rPr>
              <w:t xml:space="preserve">0.5</w:t>
            </w:r>
            <w:r>
              <w:rPr>
                <w:rFonts w:hint="eastAsia" w:ascii="Times New Roman" w:hAnsi="Times New Roman"/>
                <w:color w:val="000000"/>
                <w:szCs w:val="21"/>
              </w:rPr>
              <w:t xml:space="preserve">分，扣完为止。</w:t>
            </w:r>
            <w:r>
              <w:rPr>
                <w:rFonts w:ascii="Times New Roman" w:hAnsi="Times New Roman"/>
                <w:color w:val="000000"/>
                <w:szCs w:val="21"/>
              </w:rPr>
              <w:t xml:space="preserve">(</w:t>
            </w:r>
            <w:r>
              <w:rPr>
                <w:rFonts w:hint="eastAsia" w:ascii="Times New Roman" w:hAnsi="Times New Roman"/>
                <w:color w:val="000000"/>
                <w:szCs w:val="21"/>
              </w:rPr>
              <w:t xml:space="preserve">缺陷或不满足指</w:t>
            </w:r>
            <w:r>
              <w:rPr>
                <w:rFonts w:ascii="Times New Roman" w:hAnsi="Times New Roman"/>
                <w:color w:val="000000"/>
                <w:szCs w:val="21"/>
              </w:rPr>
              <w:t xml:space="preserve">:</w:t>
            </w:r>
            <w:r>
              <w:rPr>
                <w:rFonts w:hint="eastAsia" w:ascii="Times New Roman" w:hAnsi="Times New Roman"/>
                <w:color w:val="000000"/>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ascii="Times New Roman" w:hAnsi="Times New Roman"/>
                <w:color w:val="000000"/>
                <w:szCs w:val="21"/>
              </w:rPr>
              <w:t xml:space="preserve">)</w:t>
            </w:r>
            <w:r>
              <w:rPr>
                <w:rFonts w:hint="eastAsia" w:ascii="Times New Roman" w:hAnsi="Times New Roman"/>
                <w:color w:val="000000"/>
                <w:szCs w:val="21"/>
              </w:rPr>
              <w:t xml:space="preserve">未提供方案不得分</w:t>
            </w:r>
            <w:r>
              <w:rPr>
                <w:rFonts w:ascii="Times New Roman" w:hAnsi="Times New Roman"/>
                <w:color w:val="000000"/>
                <w:szCs w:val="21"/>
              </w:rPr>
            </w:r>
            <w:r/>
          </w:p>
        </w:tc>
      </w:tr>
      <w:tr>
        <w:trPr>
          <w:trHeight w:val="3810"/>
        </w:trPr>
        <w:tc>
          <w:tcPr>
            <w:tcW w:w="809" w:type="dxa"/>
            <w:vAlign w:val="center"/>
            <w:textDirection w:val="lrTb"/>
            <w:noWrap w:val="false"/>
          </w:tcPr>
          <w:p>
            <w:pPr>
              <w:pStyle w:val="836"/>
              <w:ind w:left="0"/>
              <w:spacing w:line="320" w:lineRule="exact"/>
              <w:rPr>
                <w:rFonts w:hint="eastAsia" w:ascii="Times New Roman" w:hAnsi="Times New Roman"/>
                <w:color w:val="000000"/>
                <w:szCs w:val="21"/>
              </w:rPr>
            </w:pPr>
            <w:r>
              <w:rPr>
                <w:rFonts w:hint="eastAsia" w:ascii="Times New Roman" w:hAnsi="Times New Roman"/>
                <w:color w:val="000000"/>
                <w:szCs w:val="21"/>
              </w:rPr>
              <w:t xml:space="preserve">六</w:t>
            </w:r>
            <w:r>
              <w:rPr>
                <w:rFonts w:hint="eastAsia" w:ascii="Times New Roman" w:hAnsi="Times New Roman"/>
                <w:color w:val="000000"/>
                <w:szCs w:val="21"/>
              </w:rPr>
            </w:r>
            <w:r/>
          </w:p>
        </w:tc>
        <w:tc>
          <w:tcPr>
            <w:gridSpan w:val="2"/>
            <w:tcW w:w="1418" w:type="dxa"/>
            <w:vAlign w:val="center"/>
            <w:textDirection w:val="lrTb"/>
            <w:noWrap w:val="false"/>
          </w:tcPr>
          <w:p>
            <w:pPr>
              <w:pStyle w:val="836"/>
              <w:ind w:left="0"/>
              <w:spacing w:line="320" w:lineRule="exact"/>
              <w:rPr>
                <w:rFonts w:ascii="Times New Roman" w:hAnsi="Times New Roman"/>
                <w:color w:val="000000"/>
                <w:szCs w:val="21"/>
                <w:lang w:val="zh-CN"/>
              </w:rPr>
            </w:pPr>
            <w:r>
              <w:rPr>
                <w:rFonts w:ascii="Times New Roman" w:hAnsi="Times New Roman"/>
                <w:color w:val="000000"/>
                <w:szCs w:val="21"/>
                <w:lang w:val="zh-CN"/>
              </w:rPr>
              <w:t xml:space="preserve">培训服务</w:t>
            </w:r>
            <w:r>
              <w:rPr>
                <w:rFonts w:ascii="Times New Roman" w:hAnsi="Times New Roman"/>
                <w:color w:val="000000"/>
                <w:szCs w:val="21"/>
                <w:lang w:val="zh-CN"/>
              </w:rPr>
            </w:r>
            <w:r/>
          </w:p>
        </w:tc>
        <w:tc>
          <w:tcPr>
            <w:tcW w:w="730" w:type="dxa"/>
            <w:vAlign w:val="center"/>
            <w:textDirection w:val="lrTb"/>
            <w:noWrap w:val="false"/>
          </w:tcPr>
          <w:p>
            <w:pPr>
              <w:pStyle w:val="836"/>
              <w:ind w:left="0"/>
              <w:spacing w:line="320" w:lineRule="exact"/>
              <w:rPr>
                <w:rFonts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分</w:t>
            </w:r>
            <w:r>
              <w:rPr>
                <w:rFonts w:ascii="Times New Roman" w:hAnsi="Times New Roman"/>
                <w:color w:val="000000"/>
                <w:szCs w:val="21"/>
              </w:rPr>
            </w:r>
            <w:r/>
          </w:p>
        </w:tc>
        <w:tc>
          <w:tcPr>
            <w:tcW w:w="7179" w:type="dxa"/>
            <w:vAlign w:val="center"/>
            <w:textDirection w:val="lrTb"/>
            <w:noWrap w:val="false"/>
          </w:tcPr>
          <w:p>
            <w:pPr>
              <w:pStyle w:val="845"/>
              <w:ind w:firstLine="420"/>
              <w:spacing w:line="320" w:lineRule="exact"/>
              <w:rPr>
                <w:rFonts w:ascii="Times New Roman" w:hAnsi="Times New Roman"/>
                <w:color w:val="000000"/>
                <w:szCs w:val="21"/>
              </w:rPr>
            </w:pPr>
            <w:r>
              <w:rPr>
                <w:rFonts w:hint="eastAsia" w:ascii="Times New Roman" w:hAnsi="Times New Roman"/>
                <w:color w:val="000000"/>
                <w:szCs w:val="21"/>
              </w:rPr>
              <w:t xml:space="preserve">投标时投标人应对本项目提供完整、详细、可行的培训方案，内容包括但不限于：①培训内容和目标、②时间地点安排、③方法要点、④师资和人次、⑤管理和协调、⑥效果评价。评委根据投标人提供的具体方案进行综合评定。</w:t>
            </w:r>
            <w:r>
              <w:rPr>
                <w:rFonts w:ascii="Times New Roman" w:hAnsi="Times New Roman"/>
                <w:color w:val="000000"/>
                <w:szCs w:val="21"/>
              </w:rPr>
            </w:r>
            <w:r/>
          </w:p>
          <w:p>
            <w:pPr>
              <w:pStyle w:val="845"/>
              <w:ind w:firstLine="420"/>
              <w:spacing w:line="320" w:lineRule="exact"/>
              <w:rPr>
                <w:rFonts w:hint="eastAsia"/>
                <w:color w:val="000000"/>
              </w:rPr>
            </w:pPr>
            <w:r>
              <w:rPr>
                <w:rFonts w:hint="eastAsia" w:ascii="Times New Roman" w:hAnsi="Times New Roman"/>
                <w:color w:val="000000"/>
                <w:szCs w:val="21"/>
              </w:rPr>
              <w:t xml:space="preserve">要求方案细致完整、针对性强、措施有力，方案的贯彻应能满足本项目各项服务要求，能够根据货物特点安排有针对性并符合业主要求的培训内容，由富有经验的师资力量开展培训活动，具有详细培训课程安排和个性化的培训效果评价计划。方案内容描述全面合理符合采购需求的得</w:t>
            </w:r>
            <w:r>
              <w:rPr>
                <w:rFonts w:ascii="Times New Roman" w:hAnsi="Times New Roman"/>
                <w:color w:val="000000"/>
                <w:szCs w:val="21"/>
              </w:rPr>
              <w:t xml:space="preserve">5</w:t>
            </w:r>
            <w:r>
              <w:rPr>
                <w:rFonts w:hint="eastAsia" w:ascii="Times New Roman" w:hAnsi="Times New Roman"/>
                <w:color w:val="000000"/>
                <w:szCs w:val="21"/>
              </w:rPr>
              <w:t xml:space="preserve">分，每有一项内容缺失的扣</w:t>
            </w:r>
            <w:r>
              <w:rPr>
                <w:rFonts w:ascii="Times New Roman" w:hAnsi="Times New Roman"/>
                <w:color w:val="000000"/>
                <w:szCs w:val="21"/>
              </w:rPr>
              <w:t xml:space="preserve">2</w:t>
            </w:r>
            <w:r>
              <w:rPr>
                <w:rFonts w:hint="eastAsia" w:ascii="Times New Roman" w:hAnsi="Times New Roman"/>
                <w:color w:val="000000"/>
                <w:szCs w:val="21"/>
              </w:rPr>
              <w:t xml:space="preserve">分；每有一处内容存在缺陷或不满足要求的扣</w:t>
            </w:r>
            <w:r>
              <w:rPr>
                <w:rFonts w:ascii="Times New Roman" w:hAnsi="Times New Roman"/>
                <w:color w:val="000000"/>
                <w:szCs w:val="21"/>
              </w:rPr>
              <w:t xml:space="preserve">0.5</w:t>
            </w:r>
            <w:r>
              <w:rPr>
                <w:rFonts w:hint="eastAsia" w:ascii="Times New Roman" w:hAnsi="Times New Roman"/>
                <w:color w:val="000000"/>
                <w:szCs w:val="21"/>
              </w:rPr>
              <w:t xml:space="preserve">分，扣完为止。</w:t>
            </w:r>
            <w:r>
              <w:rPr>
                <w:rFonts w:ascii="Times New Roman" w:hAnsi="Times New Roman"/>
                <w:color w:val="000000"/>
                <w:szCs w:val="21"/>
              </w:rPr>
              <w:t xml:space="preserve">(</w:t>
            </w:r>
            <w:r>
              <w:rPr>
                <w:rFonts w:hint="eastAsia" w:ascii="Times New Roman" w:hAnsi="Times New Roman"/>
                <w:color w:val="000000"/>
                <w:szCs w:val="21"/>
              </w:rPr>
              <w:t xml:space="preserve">缺陷或不满足指</w:t>
            </w:r>
            <w:r>
              <w:rPr>
                <w:rFonts w:ascii="Times New Roman" w:hAnsi="Times New Roman"/>
                <w:color w:val="000000"/>
                <w:szCs w:val="21"/>
              </w:rPr>
              <w:t xml:space="preserve">:</w:t>
            </w:r>
            <w:r>
              <w:rPr>
                <w:rFonts w:hint="eastAsia" w:ascii="Times New Roman" w:hAnsi="Times New Roman"/>
                <w:color w:val="000000"/>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ascii="Times New Roman" w:hAnsi="Times New Roman"/>
                <w:color w:val="000000"/>
                <w:szCs w:val="21"/>
              </w:rPr>
              <w:t xml:space="preserve">)</w:t>
            </w:r>
            <w:r>
              <w:rPr>
                <w:rFonts w:hint="eastAsia" w:ascii="Times New Roman" w:hAnsi="Times New Roman"/>
                <w:color w:val="000000"/>
                <w:szCs w:val="21"/>
              </w:rPr>
              <w:t xml:space="preserve">未提供方案不得分</w:t>
            </w:r>
            <w:r>
              <w:rPr>
                <w:rFonts w:hint="eastAsia"/>
                <w:color w:val="000000"/>
              </w:rPr>
            </w:r>
            <w:r/>
          </w:p>
        </w:tc>
      </w:tr>
      <w:tr>
        <w:trPr/>
        <w:tc>
          <w:tcPr>
            <w:tcW w:w="809" w:type="dxa"/>
            <w:vAlign w:val="center"/>
            <w:vMerge w:val="restart"/>
            <w:textDirection w:val="lrTb"/>
            <w:noWrap w:val="false"/>
          </w:tcPr>
          <w:p>
            <w:pPr>
              <w:pStyle w:val="836"/>
              <w:ind w:left="0"/>
              <w:spacing w:line="320" w:lineRule="exact"/>
              <w:rPr>
                <w:rFonts w:hint="eastAsia" w:ascii="Times New Roman" w:hAnsi="Times New Roman"/>
                <w:color w:val="000000"/>
                <w:szCs w:val="21"/>
              </w:rPr>
            </w:pPr>
            <w:r>
              <w:rPr>
                <w:rFonts w:hint="eastAsia" w:ascii="Times New Roman" w:hAnsi="Times New Roman"/>
                <w:color w:val="000000"/>
                <w:szCs w:val="21"/>
              </w:rPr>
              <w:t xml:space="preserve">七</w:t>
            </w:r>
            <w:r>
              <w:rPr>
                <w:rFonts w:hint="eastAsia" w:ascii="Times New Roman" w:hAnsi="Times New Roman"/>
                <w:color w:val="000000"/>
                <w:szCs w:val="21"/>
              </w:rPr>
            </w:r>
            <w:r/>
          </w:p>
        </w:tc>
        <w:tc>
          <w:tcPr>
            <w:gridSpan w:val="2"/>
            <w:tcW w:w="1418" w:type="dxa"/>
            <w:vAlign w:val="center"/>
            <w:vMerge w:val="restart"/>
            <w:textDirection w:val="lrTb"/>
            <w:noWrap w:val="false"/>
          </w:tcPr>
          <w:p>
            <w:pPr>
              <w:pStyle w:val="836"/>
              <w:ind w:left="0"/>
              <w:spacing w:line="320" w:lineRule="exact"/>
              <w:rPr>
                <w:rFonts w:ascii="Times New Roman" w:hAnsi="Times New Roman"/>
                <w:color w:val="000000"/>
                <w:szCs w:val="21"/>
                <w:lang w:val="zh-CN"/>
              </w:rPr>
            </w:pPr>
            <w:r>
              <w:rPr>
                <w:rFonts w:ascii="Times New Roman" w:hAnsi="Times New Roman"/>
                <w:color w:val="000000"/>
                <w:szCs w:val="21"/>
                <w:lang w:val="zh-CN"/>
              </w:rPr>
              <w:t xml:space="preserve">售后服务</w:t>
            </w:r>
            <w:r>
              <w:rPr>
                <w:rFonts w:ascii="Times New Roman" w:hAnsi="Times New Roman"/>
                <w:color w:val="000000"/>
                <w:szCs w:val="21"/>
                <w:lang w:val="zh-CN"/>
              </w:rPr>
            </w:r>
            <w:r/>
          </w:p>
        </w:tc>
        <w:tc>
          <w:tcPr>
            <w:tcW w:w="730" w:type="dxa"/>
            <w:vAlign w:val="center"/>
            <w:textDirection w:val="lrTb"/>
            <w:noWrap w:val="false"/>
          </w:tcPr>
          <w:p>
            <w:pPr>
              <w:pStyle w:val="836"/>
              <w:ind w:left="0"/>
              <w:spacing w:line="320" w:lineRule="exact"/>
              <w:rPr>
                <w:rFonts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分</w:t>
            </w:r>
            <w:r>
              <w:rPr>
                <w:rFonts w:ascii="Times New Roman" w:hAnsi="Times New Roman"/>
                <w:color w:val="000000"/>
                <w:szCs w:val="21"/>
              </w:rPr>
            </w:r>
            <w:r/>
          </w:p>
        </w:tc>
        <w:tc>
          <w:tcPr>
            <w:tcW w:w="7179" w:type="dxa"/>
            <w:vAlign w:val="center"/>
            <w:textDirection w:val="lrTb"/>
            <w:noWrap w:val="false"/>
          </w:tcPr>
          <w:p>
            <w:pPr>
              <w:pStyle w:val="845"/>
              <w:ind w:firstLine="420"/>
              <w:spacing w:line="320" w:lineRule="exact"/>
              <w:rPr>
                <w:rFonts w:hint="eastAsia" w:ascii="Times New Roman" w:hAnsi="Times New Roman"/>
                <w:color w:val="000000"/>
                <w:szCs w:val="21"/>
              </w:rPr>
            </w:pPr>
            <w:r>
              <w:rPr>
                <w:rFonts w:hint="eastAsia" w:ascii="Times New Roman" w:hAnsi="Times New Roman"/>
                <w:color w:val="000000"/>
                <w:szCs w:val="21"/>
              </w:rPr>
              <w:t xml:space="preserve">投标时投标人应对本项目提供完整、详细、可行的售后服务方案，内容包括但不限于：①保修时间响应、②服务响应速度、③日常维护和保养、④零配件和维修备品备件的供应保障、⑤服务人员专业素养、⑥软件免费升级保障、⑦客户反馈处理机制等。评委根据投标人提供的具体方案进行综合评定。</w:t>
            </w:r>
            <w:r>
              <w:rPr>
                <w:rFonts w:hint="eastAsia" w:ascii="Times New Roman" w:hAnsi="Times New Roman"/>
                <w:color w:val="000000"/>
                <w:szCs w:val="21"/>
              </w:rPr>
            </w:r>
            <w:r/>
          </w:p>
          <w:p>
            <w:pPr>
              <w:pStyle w:val="845"/>
              <w:ind w:firstLine="420"/>
              <w:spacing w:line="320" w:lineRule="exact"/>
              <w:rPr>
                <w:rFonts w:hint="eastAsia" w:ascii="Times New Roman" w:hAnsi="Times New Roman"/>
                <w:color w:val="000000"/>
                <w:szCs w:val="21"/>
              </w:rPr>
            </w:pPr>
            <w:r>
              <w:rPr>
                <w:rFonts w:hint="eastAsia" w:ascii="Times New Roman" w:hAnsi="Times New Roman"/>
                <w:color w:val="000000"/>
                <w:szCs w:val="21"/>
              </w:rPr>
              <w:t xml:space="preserve">要求方案细致完整、针对性强、措施有力，方案的贯彻应能满足本项目各项服务要求。方案内容描述全面合理符合采购需求的得5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rPr>
                <w:rFonts w:hint="eastAsia" w:ascii="Times New Roman" w:hAnsi="Times New Roman"/>
                <w:color w:val="000000"/>
                <w:szCs w:val="21"/>
              </w:rPr>
            </w:r>
            <w:r/>
          </w:p>
        </w:tc>
      </w:tr>
      <w:tr>
        <w:trPr/>
        <w:tc>
          <w:tcPr>
            <w:tcW w:w="809" w:type="dxa"/>
            <w:vAlign w:val="center"/>
            <w:vMerge w:val="continue"/>
            <w:textDirection w:val="lrTb"/>
            <w:noWrap w:val="false"/>
          </w:tcPr>
          <w:p>
            <w:pPr>
              <w:pStyle w:val="836"/>
              <w:ind w:left="0"/>
              <w:spacing w:line="320" w:lineRule="exact"/>
              <w:rPr>
                <w:rFonts w:ascii="Times New Roman" w:hAnsi="Times New Roman"/>
                <w:color w:val="000000"/>
                <w:szCs w:val="21"/>
              </w:rPr>
            </w:pPr>
            <w:r>
              <w:rPr>
                <w:rFonts w:ascii="Times New Roman" w:hAnsi="Times New Roman"/>
                <w:color w:val="000000"/>
                <w:szCs w:val="21"/>
              </w:rPr>
            </w:r>
            <w:r/>
          </w:p>
        </w:tc>
        <w:tc>
          <w:tcPr>
            <w:gridSpan w:val="2"/>
            <w:tcW w:w="1418" w:type="dxa"/>
            <w:vAlign w:val="center"/>
            <w:vMerge w:val="continue"/>
            <w:textDirection w:val="lrTb"/>
            <w:noWrap w:val="false"/>
          </w:tcPr>
          <w:p>
            <w:pPr>
              <w:pStyle w:val="836"/>
              <w:ind w:left="0"/>
              <w:spacing w:line="320" w:lineRule="exact"/>
              <w:rPr>
                <w:rFonts w:ascii="Times New Roman" w:hAnsi="Times New Roman"/>
                <w:color w:val="000000"/>
                <w:szCs w:val="21"/>
                <w:lang w:val="zh-CN"/>
              </w:rPr>
            </w:pPr>
            <w:r>
              <w:rPr>
                <w:rFonts w:ascii="Times New Roman" w:hAnsi="Times New Roman"/>
                <w:color w:val="000000"/>
                <w:szCs w:val="21"/>
                <w:lang w:val="zh-CN"/>
              </w:rPr>
            </w:r>
            <w:r/>
          </w:p>
        </w:tc>
        <w:tc>
          <w:tcPr>
            <w:tcW w:w="730" w:type="dxa"/>
            <w:vAlign w:val="center"/>
            <w:textDirection w:val="lrTb"/>
            <w:noWrap w:val="false"/>
          </w:tcPr>
          <w:p>
            <w:pPr>
              <w:pStyle w:val="836"/>
              <w:ind w:left="0"/>
              <w:spacing w:line="320" w:lineRule="exact"/>
              <w:rPr>
                <w:rFonts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分</w:t>
            </w:r>
            <w:r>
              <w:rPr>
                <w:rFonts w:ascii="Times New Roman" w:hAnsi="Times New Roman"/>
                <w:color w:val="000000"/>
                <w:szCs w:val="21"/>
              </w:rPr>
            </w:r>
            <w:r/>
          </w:p>
        </w:tc>
        <w:tc>
          <w:tcPr>
            <w:tcW w:w="7179" w:type="dxa"/>
            <w:vAlign w:val="center"/>
            <w:textDirection w:val="lrTb"/>
            <w:noWrap w:val="false"/>
          </w:tcPr>
          <w:p>
            <w:pPr>
              <w:pStyle w:val="830"/>
              <w:ind w:firstLine="420"/>
              <w:spacing w:line="320" w:lineRule="exact"/>
              <w:widowControl/>
              <w:rPr>
                <w:rFonts w:ascii="Times New Roman" w:hAnsi="Times New Roman"/>
                <w:color w:val="000000"/>
                <w:szCs w:val="21"/>
              </w:rPr>
            </w:pPr>
            <w:r>
              <w:rPr>
                <w:rFonts w:hint="eastAsia" w:ascii="Times New Roman" w:hAnsi="Times New Roman"/>
                <w:color w:val="000000"/>
                <w:szCs w:val="21"/>
              </w:rPr>
              <w:t xml:space="preserve">投标时投标人应对本项目提供完整、详细、可行的应急预案方案，内容包括但不限于：①备用机的提供、②提供现场指导等技术支持的服务应急、③零配件和维修备品备件的供应保障、④现场紧急服务响应速度。评委根据投标人提供的具体方案进行综合评定。</w:t>
            </w:r>
            <w:r>
              <w:rPr>
                <w:rFonts w:ascii="Times New Roman" w:hAnsi="Times New Roman"/>
                <w:color w:val="000000"/>
                <w:szCs w:val="21"/>
              </w:rPr>
            </w:r>
            <w:r/>
          </w:p>
          <w:p>
            <w:pPr>
              <w:pStyle w:val="830"/>
              <w:ind w:firstLine="420"/>
              <w:spacing w:line="320" w:lineRule="exact"/>
              <w:widowControl/>
              <w:rPr>
                <w:rFonts w:ascii="Times New Roman" w:hAnsi="Times New Roman"/>
                <w:color w:val="000000"/>
                <w:szCs w:val="21"/>
                <w:lang w:val="zh-CN"/>
              </w:rPr>
            </w:pPr>
            <w:r>
              <w:rPr>
                <w:rFonts w:hint="eastAsia" w:ascii="Times New Roman" w:hAnsi="Times New Roman"/>
                <w:color w:val="000000"/>
                <w:szCs w:val="21"/>
              </w:rPr>
              <w:t xml:space="preserve">要求方案细致完整、针对性强、措施有力，方案的贯彻应能满足本项目各项服务要求。方案内容描述全面合理符合采购需求的得</w:t>
            </w:r>
            <w:r>
              <w:rPr>
                <w:rFonts w:ascii="Times New Roman" w:hAnsi="Times New Roman"/>
                <w:color w:val="000000"/>
                <w:szCs w:val="21"/>
              </w:rPr>
              <w:t xml:space="preserve">5</w:t>
            </w:r>
            <w:r>
              <w:rPr>
                <w:rFonts w:hint="eastAsia" w:ascii="Times New Roman" w:hAnsi="Times New Roman"/>
                <w:color w:val="000000"/>
                <w:szCs w:val="21"/>
              </w:rPr>
              <w:t xml:space="preserve">分，每有一项内容缺失的扣</w:t>
            </w:r>
            <w:r>
              <w:rPr>
                <w:rFonts w:ascii="Times New Roman" w:hAnsi="Times New Roman"/>
                <w:color w:val="000000"/>
                <w:szCs w:val="21"/>
              </w:rPr>
              <w:t xml:space="preserve">2</w:t>
            </w:r>
            <w:r>
              <w:rPr>
                <w:rFonts w:hint="eastAsia" w:ascii="Times New Roman" w:hAnsi="Times New Roman"/>
                <w:color w:val="000000"/>
                <w:szCs w:val="21"/>
              </w:rPr>
              <w:t xml:space="preserve">分；每有一处内容存在缺陷或不满足要求的扣</w:t>
            </w:r>
            <w:r>
              <w:rPr>
                <w:rFonts w:ascii="Times New Roman" w:hAnsi="Times New Roman"/>
                <w:color w:val="000000"/>
                <w:szCs w:val="21"/>
              </w:rPr>
              <w:t xml:space="preserve">0.5</w:t>
            </w:r>
            <w:r>
              <w:rPr>
                <w:rFonts w:hint="eastAsia" w:ascii="Times New Roman" w:hAnsi="Times New Roman"/>
                <w:color w:val="000000"/>
                <w:szCs w:val="21"/>
              </w:rPr>
              <w:t xml:space="preserve">分，扣完为止。</w:t>
            </w:r>
            <w:r>
              <w:rPr>
                <w:rFonts w:ascii="Times New Roman" w:hAnsi="Times New Roman"/>
                <w:color w:val="000000"/>
                <w:szCs w:val="21"/>
              </w:rPr>
              <w:t xml:space="preserve">(</w:t>
            </w:r>
            <w:r>
              <w:rPr>
                <w:rFonts w:hint="eastAsia" w:ascii="Times New Roman" w:hAnsi="Times New Roman"/>
                <w:color w:val="000000"/>
                <w:szCs w:val="21"/>
              </w:rPr>
              <w:t xml:space="preserve">缺陷或不满足指</w:t>
            </w:r>
            <w:r>
              <w:rPr>
                <w:rFonts w:ascii="Times New Roman" w:hAnsi="Times New Roman"/>
                <w:color w:val="000000"/>
                <w:szCs w:val="21"/>
              </w:rPr>
              <w:t xml:space="preserve">:</w:t>
            </w:r>
            <w:r>
              <w:rPr>
                <w:rFonts w:hint="eastAsia" w:ascii="Times New Roman" w:hAnsi="Times New Roman"/>
                <w:color w:val="000000"/>
                <w:szCs w:val="21"/>
              </w:rPr>
              <w:t xml:space="preserve">内容不全面、与实际需求不符、内容不清晰或交叉混乱、套用其他项目方案、有规范性或常识性错误、有逻辑漏洞、存在无关的事项、凭空编造、存在不可能实现的夸大情形等任意一种情形</w:t>
            </w:r>
            <w:r>
              <w:rPr>
                <w:rFonts w:ascii="Times New Roman" w:hAnsi="Times New Roman"/>
                <w:color w:val="000000"/>
                <w:szCs w:val="21"/>
              </w:rPr>
              <w:t xml:space="preserve">)</w:t>
            </w:r>
            <w:r>
              <w:rPr>
                <w:rFonts w:hint="eastAsia" w:ascii="Times New Roman" w:hAnsi="Times New Roman"/>
                <w:color w:val="000000"/>
                <w:szCs w:val="21"/>
              </w:rPr>
              <w:t xml:space="preserve">未提供方案不得分</w:t>
            </w:r>
            <w:r>
              <w:rPr>
                <w:rFonts w:ascii="Times New Roman" w:hAnsi="Times New Roman"/>
                <w:color w:val="000000"/>
                <w:szCs w:val="21"/>
                <w:lang w:val="zh-CN"/>
              </w:rPr>
            </w:r>
            <w:r/>
          </w:p>
        </w:tc>
      </w:tr>
      <w:tr>
        <w:trPr/>
        <w:tc>
          <w:tcPr>
            <w:tcW w:w="809" w:type="dxa"/>
            <w:vAlign w:val="center"/>
            <w:textDirection w:val="lrTb"/>
            <w:noWrap w:val="false"/>
          </w:tcPr>
          <w:p>
            <w:pPr>
              <w:pStyle w:val="836"/>
              <w:ind w:left="0"/>
              <w:spacing w:line="320" w:lineRule="exact"/>
              <w:rPr>
                <w:rFonts w:hint="eastAsia" w:ascii="Times New Roman" w:hAnsi="Times New Roman" w:eastAsia="宋体"/>
                <w:color w:val="000000"/>
                <w:szCs w:val="21"/>
                <w:lang w:eastAsia="zh-CN"/>
              </w:rPr>
            </w:pPr>
            <w:r>
              <w:rPr>
                <w:rFonts w:hint="eastAsia" w:ascii="Times New Roman" w:hAnsi="Times New Roman"/>
                <w:color w:val="000000"/>
                <w:szCs w:val="21"/>
                <w:lang w:eastAsia="zh-CN"/>
              </w:rPr>
              <w:t xml:space="preserve">八</w:t>
            </w:r>
            <w:r>
              <w:rPr>
                <w:rFonts w:hint="eastAsia" w:ascii="Times New Roman" w:hAnsi="Times New Roman" w:eastAsia="宋体"/>
                <w:color w:val="000000"/>
                <w:szCs w:val="21"/>
                <w:lang w:eastAsia="zh-CN"/>
              </w:rPr>
            </w:r>
            <w:r/>
          </w:p>
        </w:tc>
        <w:tc>
          <w:tcPr>
            <w:gridSpan w:val="2"/>
            <w:tcW w:w="1418" w:type="dxa"/>
            <w:vAlign w:val="center"/>
            <w:textDirection w:val="lrTb"/>
            <w:noWrap w:val="false"/>
          </w:tcPr>
          <w:p>
            <w:pPr>
              <w:pStyle w:val="830"/>
              <w:jc w:val="center"/>
              <w:keepLines w:val="0"/>
              <w:keepNext w:val="0"/>
              <w:pageBreakBefore w:val="0"/>
              <w:spacing w:line="680" w:lineRule="exact"/>
              <w:widowControl w:val="off"/>
              <w:rPr>
                <w:rFonts w:hint="eastAsia" w:ascii="宋体" w:hAnsi="宋体" w:cs="宋体"/>
                <w:b/>
                <w:bCs/>
                <w:sz w:val="24"/>
                <w:szCs w:val="24"/>
              </w:rPr>
            </w:pPr>
            <w:r>
              <w:rPr>
                <w:rFonts w:hint="eastAsia" w:ascii="宋体" w:hAnsi="宋体" w:cs="宋体"/>
                <w:b/>
                <w:bCs/>
                <w:sz w:val="24"/>
                <w:szCs w:val="24"/>
              </w:rPr>
              <w:t xml:space="preserve">节能环保</w:t>
            </w:r>
            <w:r>
              <w:rPr>
                <w:rFonts w:hint="eastAsia" w:ascii="宋体" w:hAnsi="宋体" w:cs="宋体"/>
                <w:b/>
                <w:bCs/>
                <w:sz w:val="24"/>
                <w:szCs w:val="24"/>
              </w:rPr>
            </w:r>
            <w:r/>
          </w:p>
          <w:p>
            <w:pPr>
              <w:pStyle w:val="836"/>
              <w:ind w:left="0"/>
              <w:spacing w:line="320" w:lineRule="exact"/>
              <w:rPr>
                <w:rFonts w:ascii="Times New Roman" w:hAnsi="Times New Roman"/>
                <w:color w:val="000000"/>
                <w:szCs w:val="21"/>
                <w:lang w:val="zh-CN"/>
              </w:rPr>
            </w:pPr>
            <w:r>
              <w:rPr>
                <w:rFonts w:ascii="Times New Roman" w:hAnsi="Times New Roman"/>
                <w:color w:val="000000"/>
                <w:szCs w:val="21"/>
                <w:lang w:val="zh-CN"/>
              </w:rPr>
            </w:r>
            <w:r/>
          </w:p>
        </w:tc>
        <w:tc>
          <w:tcPr>
            <w:tcW w:w="730" w:type="dxa"/>
            <w:vAlign w:val="center"/>
            <w:textDirection w:val="lrTb"/>
            <w:noWrap w:val="false"/>
          </w:tcPr>
          <w:p>
            <w:pPr>
              <w:pStyle w:val="836"/>
              <w:ind w:left="0"/>
              <w:spacing w:line="320" w:lineRule="exact"/>
              <w:rPr>
                <w:rFonts w:hint="eastAsia" w:ascii="Times New Roman" w:hAnsi="Times New Roman"/>
                <w:color w:val="000000"/>
                <w:szCs w:val="21"/>
              </w:rPr>
            </w:pPr>
            <w:r>
              <w:rPr>
                <w:rFonts w:hint="eastAsia" w:ascii="宋体" w:hAnsi="宋体" w:cs="宋体"/>
                <w:b/>
                <w:bCs/>
                <w:sz w:val="24"/>
                <w:szCs w:val="24"/>
              </w:rPr>
              <w:t xml:space="preserve">2分</w:t>
            </w:r>
            <w:r>
              <w:rPr>
                <w:rFonts w:hint="eastAsia" w:ascii="Times New Roman" w:hAnsi="Times New Roman"/>
                <w:color w:val="000000"/>
                <w:szCs w:val="21"/>
              </w:rPr>
            </w:r>
            <w:r/>
          </w:p>
        </w:tc>
        <w:tc>
          <w:tcPr>
            <w:tcW w:w="7179" w:type="dxa"/>
            <w:vAlign w:val="center"/>
            <w:textDirection w:val="lrTb"/>
            <w:noWrap w:val="false"/>
          </w:tcPr>
          <w:p>
            <w:pPr>
              <w:pStyle w:val="830"/>
              <w:ind w:firstLine="400"/>
              <w:jc w:val="left"/>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响应产品属于财政部、国家发改委公布的“节能产品品目清单”范围内的，供应商提供国家确定的认证机构出具的、处于有效期之内的绿色认证证书复印件的，有1个得0.5分，最多得1分。如响应产品均属于政府强制采购节能产品品目清单范围内，本项不得分。</w:t>
            </w:r>
            <w:r>
              <w:rPr>
                <w:rFonts w:hint="eastAsia" w:ascii="宋体" w:hAnsi="宋体" w:eastAsia="宋体" w:cs="宋体"/>
                <w:sz w:val="21"/>
                <w:szCs w:val="21"/>
                <w:lang w:val="en-US" w:eastAsia="zh-CN"/>
              </w:rPr>
            </w:r>
            <w:r/>
          </w:p>
          <w:p>
            <w:pPr>
              <w:pStyle w:val="830"/>
              <w:ind w:firstLine="420"/>
              <w:spacing w:line="320" w:lineRule="exact"/>
              <w:widowControl/>
              <w:rPr>
                <w:rFonts w:hint="eastAsia" w:ascii="Times New Roman" w:hAnsi="Times New Roman"/>
                <w:color w:val="000000"/>
                <w:szCs w:val="21"/>
              </w:rPr>
            </w:pPr>
            <w:r>
              <w:rPr>
                <w:rFonts w:hint="eastAsia" w:ascii="宋体" w:hAnsi="宋体" w:eastAsia="宋体" w:cs="宋体"/>
                <w:sz w:val="21"/>
                <w:szCs w:val="21"/>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Times New Roman" w:hAnsi="Times New Roman"/>
                <w:color w:val="000000"/>
                <w:szCs w:val="21"/>
              </w:rPr>
            </w:r>
            <w:r/>
          </w:p>
        </w:tc>
      </w:tr>
    </w:tbl>
    <w:p>
      <w:pPr>
        <w:pStyle w:val="836"/>
        <w:ind w:left="0"/>
        <w:rPr>
          <w:rFonts w:hint="eastAsia"/>
          <w:b/>
          <w:bCs/>
          <w:color w:val="000000"/>
          <w:sz w:val="24"/>
          <w:szCs w:val="28"/>
        </w:rPr>
      </w:pPr>
      <w:r>
        <w:rPr>
          <w:rFonts w:hint="eastAsia"/>
          <w:b/>
          <w:bCs/>
          <w:color w:val="000000"/>
          <w:sz w:val="24"/>
          <w:szCs w:val="28"/>
        </w:rPr>
        <w:t xml:space="preserve">附注：供应商应提供本项目特点，即本项目重点产品（气相色谱仪2（ECD检测器）、氨基酸分析仪）的安装调试方案，验收方案，培训服务，设备培训方案，售后服务方案等</w:t>
      </w:r>
      <w:r>
        <w:rPr>
          <w:rFonts w:hint="eastAsia"/>
          <w:b/>
          <w:bCs/>
          <w:color w:val="000000"/>
          <w:sz w:val="24"/>
          <w:szCs w:val="28"/>
        </w:rPr>
      </w:r>
      <w:r/>
    </w:p>
    <w:p>
      <w:pPr>
        <w:pStyle w:val="830"/>
        <w:keepLines w:val="0"/>
        <w:keepNext w:val="0"/>
        <w:pageBreakBefore w:val="0"/>
        <w:spacing w:line="400" w:lineRule="exact"/>
        <w:widowControl w:val="off"/>
        <w:rPr>
          <w:rFonts w:hint="eastAsia" w:hAnsi="宋体" w:eastAsia="宋体" w:cs="Times New Roman"/>
          <w:bCs/>
          <w:sz w:val="24"/>
        </w:rPr>
      </w:pPr>
      <w:r>
        <w:rPr>
          <w:rFonts w:hint="eastAsia" w:hAnsi="宋体" w:eastAsia="宋体" w:cs="Times New Roman"/>
          <w:bCs/>
          <w:sz w:val="24"/>
        </w:rPr>
        <w:t xml:space="preserve">备注：</w:t>
      </w:r>
      <w:r>
        <w:rPr>
          <w:rFonts w:hint="eastAsia" w:hAnsi="宋体" w:eastAsia="宋体" w:cs="Times New Roman"/>
          <w:bCs/>
          <w:sz w:val="24"/>
        </w:rPr>
      </w:r>
      <w:r/>
    </w:p>
    <w:p>
      <w:pPr>
        <w:pStyle w:val="830"/>
        <w:ind w:firstLine="480"/>
        <w:keepLines w:val="0"/>
        <w:keepNext w:val="0"/>
        <w:pageBreakBefore w:val="0"/>
        <w:spacing w:line="400" w:lineRule="exact"/>
        <w:widowControl w:val="off"/>
        <w:rPr>
          <w:rFonts w:hint="eastAsia" w:hAnsi="宋体" w:eastAsia="宋体" w:cs="Times New Roman"/>
          <w:bCs/>
          <w:sz w:val="24"/>
        </w:rPr>
      </w:pPr>
      <w:r>
        <w:rPr>
          <w:rFonts w:hint="eastAsia" w:hAnsi="宋体" w:eastAsia="宋体" w:cs="Times New Roman"/>
          <w:bCs/>
          <w:sz w:val="24"/>
        </w:rPr>
        <w:t xml:space="preserve">1、评分标准中要求提供的证明材料均以原件彩色扫描件加盖所要求的公章在投标文件中反映，相关证明材料须按要求完整提供且不得涂改，本项目所须提供的证明材料均应原件彩色扫描（如原件是彩色件，则扫描件须是彩色）。否则不能得分。</w:t>
      </w:r>
      <w:r>
        <w:rPr>
          <w:rFonts w:hint="eastAsia" w:hAnsi="宋体" w:eastAsia="宋体" w:cs="Times New Roman"/>
          <w:bCs/>
          <w:sz w:val="24"/>
        </w:rPr>
      </w:r>
      <w:r/>
    </w:p>
    <w:p>
      <w:pPr>
        <w:pStyle w:val="830"/>
        <w:ind w:firstLine="480"/>
        <w:keepLines w:val="0"/>
        <w:keepNext w:val="0"/>
        <w:pageBreakBefore w:val="0"/>
        <w:spacing w:line="400" w:lineRule="exact"/>
        <w:widowControl w:val="off"/>
        <w:rPr>
          <w:rFonts w:hint="eastAsia" w:hAnsi="宋体" w:eastAsia="宋体" w:cs="Times New Roman"/>
          <w:bCs/>
          <w:sz w:val="24"/>
        </w:rPr>
      </w:pPr>
      <w:r>
        <w:rPr>
          <w:rFonts w:hint="eastAsia" w:hAnsi="宋体" w:eastAsia="宋体" w:cs="Times New Roman"/>
          <w:bCs/>
          <w:sz w:val="24"/>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rPr>
          <w:rFonts w:hint="eastAsia" w:hAnsi="宋体" w:eastAsia="宋体" w:cs="Times New Roman"/>
          <w:bCs/>
          <w:sz w:val="24"/>
        </w:rPr>
      </w:r>
      <w:r/>
    </w:p>
    <w:p>
      <w:pPr>
        <w:pStyle w:val="830"/>
        <w:ind w:firstLine="480"/>
        <w:keepLines w:val="0"/>
        <w:keepNext w:val="0"/>
        <w:pageBreakBefore w:val="0"/>
        <w:spacing w:line="400" w:lineRule="exact"/>
        <w:widowControl w:val="off"/>
        <w:rPr>
          <w:rFonts w:hint="eastAsia" w:hAnsi="宋体" w:eastAsia="宋体" w:cs="Times New Roman"/>
          <w:bCs/>
          <w:sz w:val="24"/>
        </w:rPr>
      </w:pPr>
      <w:r>
        <w:rPr>
          <w:rFonts w:hint="eastAsia" w:hAnsi="宋体" w:eastAsia="宋体" w:cs="Times New Roman"/>
          <w:bCs/>
          <w:sz w:val="24"/>
        </w:rPr>
        <w:t xml:space="preserve">3、评分中涉及的证书、检测报告等应在有效期内。</w:t>
      </w:r>
      <w:r>
        <w:rPr>
          <w:rFonts w:hint="eastAsia" w:hAnsi="宋体" w:eastAsia="宋体" w:cs="Times New Roman"/>
          <w:bCs/>
          <w:sz w:val="24"/>
        </w:rPr>
      </w:r>
      <w:r/>
    </w:p>
    <w:p>
      <w:pPr>
        <w:pStyle w:val="838"/>
        <w:jc w:val="center"/>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838"/>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rPr>
          <w:highlight w:val="none"/>
        </w:rPr>
      </w:r>
      <w:r/>
    </w:p>
    <w:p>
      <w:pPr>
        <w:pStyle w:val="838"/>
        <w:jc w:val="center"/>
        <w:spacing w:beforeAutospacing="0" w:afterAutospacing="0"/>
        <w:rPr>
          <w:highlight w:val="none"/>
        </w:rPr>
      </w:pPr>
      <w:r/>
      <w:bookmarkStart w:id="181" w:name="_Toc120614282"/>
      <w:r/>
      <w:bookmarkEnd w:id="181"/>
      <w:r/>
      <w:bookmarkStart w:id="182" w:name="_Toc49090576"/>
      <w:r/>
      <w:bookmarkEnd w:id="182"/>
      <w:r/>
      <w:bookmarkStart w:id="183" w:name="_Toc26554094"/>
      <w:r/>
      <w:bookmarkStart w:id="184" w:name="_Hlt26955039"/>
      <w:r/>
      <w:bookmarkStart w:id="185" w:name="_Hlt26671244"/>
      <w:r>
        <w:rPr>
          <w:rFonts w:hint="eastAsia" w:ascii="宋体" w:hAnsi="宋体" w:eastAsia="宋体" w:cs="宋体"/>
          <w:b/>
          <w:color w:val="000000"/>
          <w:sz w:val="72"/>
          <w:szCs w:val="72"/>
          <w:highlight w:val="none"/>
        </w:rPr>
        <w:t xml:space="preserve">投  标  文  件</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highlight w:val="none"/>
        </w:rPr>
      </w:r>
      <w:r/>
    </w:p>
    <w:p>
      <w:pPr>
        <w:pStyle w:val="83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highlight w:val="none"/>
        </w:rPr>
      </w:r>
      <w:r/>
    </w:p>
    <w:p>
      <w:pPr>
        <w:pStyle w:val="838"/>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highlight w:val="none"/>
        </w:rPr>
      </w:r>
      <w:r/>
    </w:p>
    <w:p>
      <w:pPr>
        <w:pStyle w:val="83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i w:val="0"/>
          <w:iCs/>
          <w:highlight w:val="none"/>
          <w:u w:val="none"/>
        </w:rPr>
      </w:r>
      <w:r/>
    </w:p>
    <w:p>
      <w:pPr>
        <w:pStyle w:val="830"/>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r>
      <w:r/>
    </w:p>
    <w:p>
      <w:pPr>
        <w:pStyle w:val="838"/>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rPr>
          <w:i w:val="0"/>
          <w:iCs/>
          <w:highlight w:val="none"/>
          <w:u w:val="none"/>
        </w:rPr>
      </w:r>
      <w:r/>
    </w:p>
    <w:p>
      <w:pPr>
        <w:pStyle w:val="83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83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83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i w:val="0"/>
          <w:iCs/>
          <w:highlight w:val="none"/>
          <w:u w:val="none"/>
        </w:rPr>
      </w:r>
      <w:r/>
    </w:p>
    <w:p>
      <w:pPr>
        <w:pStyle w:val="83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i w:val="0"/>
          <w:iCs/>
          <w:highlight w:val="none"/>
          <w:u w:val="none"/>
        </w:rPr>
      </w:r>
      <w:r/>
    </w:p>
    <w:p>
      <w:pPr>
        <w:pStyle w:val="83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rPr>
          <w:i w:val="0"/>
          <w:iCs/>
          <w:highlight w:val="none"/>
          <w:u w:val="none"/>
        </w:rPr>
      </w:r>
      <w:r/>
    </w:p>
    <w:p>
      <w:pPr>
        <w:pStyle w:val="83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rPr>
          <w:i w:val="0"/>
          <w:iCs/>
          <w:highlight w:val="none"/>
          <w:u w:val="none"/>
        </w:rPr>
      </w:r>
      <w:r/>
    </w:p>
    <w:p>
      <w:pPr>
        <w:pStyle w:val="838"/>
        <w:ind w:firstLine="480"/>
        <w:jc w:val="both"/>
        <w:spacing w:beforeAutospacing="0" w:afterAutospacing="0" w:line="0" w:lineRule="atLeast"/>
        <w:rPr>
          <w:rFonts w:hint="eastAsia" w:eastAsia="宋体"/>
          <w:i w:val="0"/>
          <w:iCs/>
          <w:highlight w:val="none"/>
          <w:u w:val="none"/>
          <w:lang w:eastAsia="zh-CN"/>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货物</w:t>
      </w:r>
      <w:r>
        <w:rPr>
          <w:rFonts w:hint="eastAsia" w:ascii="宋体" w:hAnsi="宋体" w:eastAsia="宋体" w:cs="宋体"/>
          <w:i w:val="0"/>
          <w:iCs/>
          <w:color w:val="000000"/>
          <w:highlight w:val="none"/>
          <w:u w:val="none"/>
          <w:lang w:eastAsia="zh-CN"/>
        </w:rPr>
        <w:t xml:space="preserve">）</w:t>
      </w:r>
      <w:r>
        <w:rPr>
          <w:rFonts w:hint="eastAsia" w:eastAsia="宋体"/>
          <w:i w:val="0"/>
          <w:iCs/>
          <w:highlight w:val="none"/>
          <w:u w:val="none"/>
          <w:lang w:eastAsia="zh-CN"/>
        </w:rPr>
      </w:r>
      <w:r/>
    </w:p>
    <w:p>
      <w:pPr>
        <w:pStyle w:val="83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十、残疾人福利性单位声明函</w:t>
      </w:r>
      <w:r>
        <w:rPr>
          <w:i w:val="0"/>
          <w:iCs/>
          <w:highlight w:val="none"/>
          <w:u w:val="none"/>
        </w:rPr>
      </w:r>
      <w:r/>
    </w:p>
    <w:p>
      <w:pPr>
        <w:pStyle w:val="838"/>
        <w:ind w:firstLine="480"/>
        <w:jc w:val="both"/>
        <w:spacing w:beforeAutospacing="0" w:afterAutospacing="0" w:line="0" w:lineRule="atLeast"/>
        <w:rPr>
          <w:rFonts w:hint="eastAsia" w:eastAsia="宋体"/>
          <w:i w:val="0"/>
          <w:iCs/>
          <w:highlight w:val="none"/>
          <w:u w:val="none"/>
          <w:lang w:eastAsia="zh-CN"/>
        </w:rPr>
      </w:pPr>
      <w:r>
        <w:rPr>
          <w:rFonts w:hint="eastAsia" w:ascii="宋体" w:hAnsi="宋体" w:eastAsia="宋体" w:cs="宋体"/>
          <w:i w:val="0"/>
          <w:iCs/>
          <w:color w:val="000000"/>
          <w:highlight w:val="none"/>
          <w:u w:val="none"/>
        </w:rPr>
        <w:t xml:space="preserve">十一、</w:t>
      </w:r>
      <w:r>
        <w:rPr>
          <w:rFonts w:hint="eastAsia" w:ascii="宋体" w:hAnsi="宋体" w:eastAsia="宋体" w:cs="宋体"/>
          <w:i w:val="0"/>
          <w:iCs/>
          <w:color w:val="000000"/>
          <w:highlight w:val="none"/>
          <w:u w:val="none"/>
          <w:lang w:eastAsia="zh-CN"/>
        </w:rPr>
        <w:t xml:space="preserve">其他证明文件</w:t>
      </w:r>
      <w:r>
        <w:rPr>
          <w:rFonts w:hint="eastAsia" w:eastAsia="宋体"/>
          <w:i w:val="0"/>
          <w:iCs/>
          <w:highlight w:val="none"/>
          <w:u w:val="none"/>
          <w:lang w:eastAsia="zh-CN"/>
        </w:rPr>
      </w:r>
      <w:r/>
    </w:p>
    <w:p>
      <w:pPr>
        <w:pStyle w:val="83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十二、投标分项报价表</w:t>
      </w:r>
      <w:r>
        <w:rPr>
          <w:i w:val="0"/>
          <w:iCs/>
          <w:highlight w:val="none"/>
          <w:u w:val="none"/>
        </w:rPr>
      </w:r>
      <w:r/>
    </w:p>
    <w:p>
      <w:pPr>
        <w:pStyle w:val="83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十三、技术要求响应及偏离表</w:t>
      </w:r>
      <w:r>
        <w:rPr>
          <w:i w:val="0"/>
          <w:iCs/>
          <w:highlight w:val="none"/>
          <w:u w:val="none"/>
        </w:rPr>
      </w:r>
      <w:r/>
    </w:p>
    <w:p>
      <w:pPr>
        <w:pStyle w:val="83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十四、商务要求响应及偏离表</w:t>
      </w:r>
      <w:r>
        <w:rPr>
          <w:i w:val="0"/>
          <w:iCs/>
          <w:highlight w:val="none"/>
          <w:u w:val="none"/>
        </w:rPr>
      </w:r>
      <w:r/>
    </w:p>
    <w:p>
      <w:pPr>
        <w:pStyle w:val="838"/>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rPr>
          <w:rFonts w:ascii="宋体" w:hAnsi="宋体" w:eastAsia="宋体" w:cs="宋体"/>
          <w:i w:val="0"/>
          <w:iCs/>
          <w:color w:val="000000"/>
          <w:highlight w:val="none"/>
          <w:u w:val="none"/>
        </w:rPr>
      </w:r>
      <w:r/>
    </w:p>
    <w:p>
      <w:pPr>
        <w:pStyle w:val="830"/>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十六、技术方案、服务承诺、培训承诺等</w:t>
      </w:r>
      <w:r>
        <w:rPr>
          <w:rFonts w:ascii="宋体" w:hAnsi="宋体" w:eastAsia="宋体" w:cs="宋体"/>
          <w:i w:val="0"/>
          <w:iCs/>
          <w:color w:val="000000"/>
          <w:sz w:val="24"/>
          <w:highlight w:val="none"/>
          <w:u w:val="none"/>
        </w:rPr>
      </w:r>
      <w:r/>
    </w:p>
    <w:p>
      <w:pPr>
        <w:pStyle w:val="838"/>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十七、盐城市政府采购事前信用承诺书</w:t>
      </w:r>
      <w:r>
        <w:rPr>
          <w:rFonts w:ascii="宋体" w:hAnsi="宋体" w:eastAsia="宋体" w:cs="宋体"/>
          <w:i w:val="0"/>
          <w:iCs/>
          <w:color w:val="000000"/>
          <w:highlight w:val="none"/>
          <w:u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eastAsia="黑体"/>
          <w:highlight w:val="none"/>
          <w:lang w:val="en-US" w:eastAsia="zh-CN"/>
        </w:rPr>
      </w:r>
      <w:r/>
    </w:p>
    <w:p>
      <w:pPr>
        <w:pStyle w:val="830"/>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rPr>
          <w:i w:val="0"/>
          <w:iCs/>
          <w:highlight w:val="none"/>
          <w:u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rPr>
          <w:highlight w:val="none"/>
        </w:rPr>
      </w:r>
      <w:r/>
    </w:p>
    <w:p>
      <w:pPr>
        <w:pStyle w:val="83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83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highlight w:val="none"/>
        </w:rPr>
      </w:r>
      <w:r/>
    </w:p>
    <w:p>
      <w:pPr>
        <w:pStyle w:val="83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rPr>
          <w:highlight w:val="none"/>
        </w:rPr>
      </w:r>
      <w:r/>
    </w:p>
    <w:p>
      <w:pPr>
        <w:pStyle w:val="838"/>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highlight w:val="none"/>
        </w:rPr>
      </w:r>
      <w:r/>
    </w:p>
    <w:p>
      <w:pPr>
        <w:pStyle w:val="838"/>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rPr>
          <w:rFonts w:ascii="宋体" w:hAnsi="宋体" w:eastAsia="宋体" w:cs="宋体"/>
          <w:b/>
          <w:color w:val="000000"/>
          <w:sz w:val="44"/>
          <w:szCs w:val="44"/>
          <w:highlight w:val="none"/>
        </w:rPr>
      </w:r>
      <w:r/>
    </w:p>
    <w:p>
      <w:pPr>
        <w:pStyle w:val="838"/>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rPr>
          <w:highlight w:val="none"/>
        </w:rPr>
      </w:r>
      <w:r/>
    </w:p>
    <w:p>
      <w:pPr>
        <w:pStyle w:val="838"/>
        <w:ind w:firstLine="84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color w:val="000000"/>
          <w:highlight w:val="none"/>
        </w:rPr>
      </w:r>
      <w:r/>
    </w:p>
    <w:p>
      <w:pPr>
        <w:pStyle w:val="838"/>
        <w:ind w:firstLine="84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highlight w:val="none"/>
        </w:rPr>
      </w:r>
      <w:r/>
    </w:p>
    <w:p>
      <w:pPr>
        <w:pStyle w:val="838"/>
        <w:ind w:firstLine="720"/>
        <w:jc w:val="both"/>
        <w:spacing w:beforeAutospacing="0" w:afterAutospacing="0"/>
        <w:rPr>
          <w:highlight w:val="none"/>
        </w:rPr>
      </w:pPr>
      <w:r>
        <w:rPr>
          <w:rFonts w:hint="eastAsia" w:ascii="宋体" w:hAnsi="宋体" w:eastAsia="宋体" w:cs="宋体"/>
          <w:color w:val="000000"/>
          <w:highlight w:val="none"/>
        </w:rPr>
        <w:t xml:space="preserve">单位负责人为同一人或者存在直接控股、管理关系的不同供应商，不得参加同一合同项下的政府采购活动。</w:t>
      </w:r>
      <w:r>
        <w:rPr>
          <w:highlight w:val="none"/>
        </w:rPr>
        <w:t xml:space="preserve"> </w:t>
      </w:r>
      <w:r>
        <w:rPr>
          <w:highlight w:val="none"/>
        </w:rPr>
      </w:r>
      <w:r/>
    </w:p>
    <w:p>
      <w:pPr>
        <w:pStyle w:val="83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rPr>
          <w:highlight w:val="none"/>
        </w:rPr>
      </w:r>
      <w:r/>
    </w:p>
    <w:p>
      <w:pPr>
        <w:pStyle w:val="838"/>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rPr>
          <w:highlight w:val="none"/>
        </w:rPr>
      </w:r>
      <w:r/>
    </w:p>
    <w:p>
      <w:pPr>
        <w:pStyle w:val="838"/>
        <w:jc w:val="center"/>
        <w:spacing w:beforeAutospacing="0" w:afterAutospacing="0"/>
        <w:rPr>
          <w:rFonts w:ascii="黑体" w:hAnsi="宋体" w:eastAsia="黑体" w:cs="黑体"/>
          <w:i/>
          <w:color w:val="000000"/>
          <w:sz w:val="32"/>
          <w:szCs w:val="32"/>
          <w:highlight w:val="none"/>
          <w:u w:val="single"/>
        </w:rPr>
      </w:pPr>
      <w:r/>
      <w:bookmarkStart w:id="186" w:name="_Toc120614284"/>
      <w:r>
        <w:rPr>
          <w:rFonts w:ascii="黑体" w:hAnsi="宋体" w:eastAsia="黑体" w:cs="黑体"/>
          <w:i/>
          <w:color w:val="000000"/>
          <w:sz w:val="32"/>
          <w:szCs w:val="32"/>
          <w:highlight w:val="none"/>
          <w:u w:val="single"/>
        </w:rPr>
      </w:r>
      <w:r/>
    </w:p>
    <w:p>
      <w:pPr>
        <w:pStyle w:val="838"/>
        <w:jc w:val="both"/>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r/>
    </w:p>
    <w:p>
      <w:pPr>
        <w:pStyle w:val="838"/>
        <w:jc w:val="both"/>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38"/>
        <w:jc w:val="both"/>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38"/>
        <w:jc w:val="both"/>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38"/>
        <w:jc w:val="both"/>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838"/>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rPr>
          <w:highlight w:val="none"/>
        </w:rPr>
      </w:r>
      <w:r/>
    </w:p>
    <w:p>
      <w:pPr>
        <w:pStyle w:val="83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rPr>
          <w:highlight w:val="none"/>
        </w:rPr>
      </w:r>
      <w:r/>
    </w:p>
    <w:p>
      <w:pPr>
        <w:pStyle w:val="83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rPr>
          <w:highlight w:val="none"/>
        </w:rPr>
      </w:r>
      <w:r/>
    </w:p>
    <w:p>
      <w:pPr>
        <w:pStyle w:val="83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rPr>
          <w:highlight w:val="none"/>
        </w:rPr>
      </w:r>
      <w:r/>
    </w:p>
    <w:p>
      <w:pPr>
        <w:pStyle w:val="83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rPr>
          <w:highlight w:val="none"/>
        </w:rPr>
      </w:r>
      <w:r/>
    </w:p>
    <w:p>
      <w:pPr>
        <w:pStyle w:val="838"/>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rPr>
          <w:highlight w:val="none"/>
        </w:rPr>
      </w:r>
      <w:r/>
    </w:p>
    <w:p>
      <w:pPr>
        <w:pStyle w:val="83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rPr>
          <w:highlight w:val="none"/>
        </w:rPr>
      </w:r>
      <w:r/>
    </w:p>
    <w:p>
      <w:pPr>
        <w:pStyle w:val="83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7" w:name="_格式3__银行出具的资信证明"/>
      <w:r/>
      <w:bookmarkStart w:id="188" w:name="_Hlt26671380"/>
      <w:r/>
      <w:bookmarkStart w:id="189" w:name="_Hlt26955070"/>
      <w:r>
        <w:rPr>
          <w:rFonts w:ascii="Times New Roman" w:hAnsi="Times New Roman"/>
          <w:color w:val="000000"/>
          <w:highlight w:val="none"/>
          <w:u w:val="single"/>
        </w:rPr>
        <w:t xml:space="preserve">                                         </w:t>
      </w:r>
      <w:r>
        <w:rPr>
          <w:highlight w:val="none"/>
        </w:rPr>
      </w:r>
      <w:r/>
    </w:p>
    <w:p>
      <w:pPr>
        <w:pStyle w:val="838"/>
        <w:ind w:firstLine="420"/>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line="0" w:lineRule="atLeast"/>
        <w:rPr>
          <w:highlight w:val="none"/>
          <w:shd w:val="clear" w:color="auto" w:fill="auto"/>
        </w:rPr>
      </w:pPr>
      <w:r>
        <w:rPr>
          <w:highlight w:val="none"/>
          <w:shd w:val="clear" w:color="auto" w:fill="auto"/>
        </w:rPr>
        <w:t xml:space="preserve"> </w:t>
      </w:r>
      <w:r>
        <w:rPr>
          <w:highlight w:val="none"/>
          <w:shd w:val="clear" w:color="auto" w:fill="auto"/>
        </w:rPr>
      </w:r>
      <w:r/>
    </w:p>
    <w:p>
      <w:pPr>
        <w:pStyle w:val="838"/>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rPr>
          <w:highlight w:val="none"/>
        </w:rPr>
      </w:r>
      <w:r/>
    </w:p>
    <w:p>
      <w:pPr>
        <w:pStyle w:val="838"/>
        <w:spacing w:beforeAutospacing="0" w:afterAutospacing="0" w:line="0" w:lineRule="atLeast"/>
        <w:rPr>
          <w:highlight w:val="none"/>
        </w:rPr>
      </w:pPr>
      <w:r>
        <w:rPr>
          <w:rFonts w:hint="eastAsia" w:ascii="宋体" w:hAnsi="宋体" w:eastAsia="宋体" w:cs="宋体"/>
          <w:color w:val="000000"/>
          <w:highlight w:val="none"/>
        </w:rPr>
        <w:t xml:space="preserve">致：射阳县综合检验检测中心</w:t>
      </w:r>
      <w:r>
        <w:rPr>
          <w:highlight w:val="none"/>
        </w:rPr>
      </w:r>
      <w:r/>
    </w:p>
    <w:p>
      <w:pPr>
        <w:pStyle w:val="83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rPr>
          <w:highlight w:val="none"/>
        </w:rPr>
      </w:r>
      <w:r/>
    </w:p>
    <w:p>
      <w:pPr>
        <w:pStyle w:val="83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rPr>
          <w:highlight w:val="none"/>
        </w:rPr>
      </w:r>
      <w:r/>
    </w:p>
    <w:p>
      <w:pPr>
        <w:pStyle w:val="83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highlight w:val="none"/>
        </w:rPr>
      </w:r>
      <w:r/>
    </w:p>
    <w:p>
      <w:pPr>
        <w:pStyle w:val="83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rPr>
          <w:highlight w:val="none"/>
        </w:rPr>
      </w:r>
      <w:r/>
    </w:p>
    <w:p>
      <w:pPr>
        <w:pStyle w:val="83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r/>
    </w:p>
    <w:p>
      <w:pPr>
        <w:pStyle w:val="83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r/>
    </w:p>
    <w:p>
      <w:pPr>
        <w:pStyle w:val="83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r/>
    </w:p>
    <w:p>
      <w:pPr>
        <w:pStyle w:val="83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r/>
    </w:p>
    <w:p>
      <w:pPr>
        <w:pStyle w:val="838"/>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rPr>
          <w:highlight w:val="none"/>
        </w:rPr>
      </w:r>
      <w:r/>
    </w:p>
    <w:p>
      <w:pPr>
        <w:pStyle w:val="83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rPr>
          <w:highlight w:val="none"/>
        </w:rPr>
      </w:r>
      <w:r/>
    </w:p>
    <w:p>
      <w:pPr>
        <w:pStyle w:val="83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rPr>
          <w:highlight w:val="none"/>
        </w:rPr>
      </w:r>
      <w:r/>
    </w:p>
    <w:p>
      <w:pPr>
        <w:pStyle w:val="83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rPr>
          <w:highlight w:val="none"/>
        </w:rPr>
      </w:r>
      <w:r/>
    </w:p>
    <w:p>
      <w:pPr>
        <w:pStyle w:val="83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rPr>
          <w:highlight w:val="none"/>
        </w:rPr>
      </w:r>
      <w:r/>
    </w:p>
    <w:p>
      <w:pPr>
        <w:pStyle w:val="83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rPr>
          <w:highlight w:val="none"/>
        </w:rPr>
      </w:r>
      <w:r/>
    </w:p>
    <w:p>
      <w:pPr>
        <w:pStyle w:val="83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rPr>
          <w:highlight w:val="none"/>
        </w:rPr>
      </w:r>
      <w:r/>
    </w:p>
    <w:p>
      <w:pPr>
        <w:pStyle w:val="83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rPr>
          <w:highlight w:val="none"/>
        </w:rPr>
      </w:r>
      <w:r/>
    </w:p>
    <w:p>
      <w:pPr>
        <w:pStyle w:val="838"/>
        <w:ind w:firstLine="240"/>
        <w:jc w:val="center"/>
        <w:spacing w:beforeAutospacing="0" w:afterAutospacing="0" w:line="0" w:lineRule="atLeast"/>
        <w:rPr>
          <w:highlight w:val="none"/>
        </w:rPr>
      </w:pPr>
      <w:r>
        <w:rPr>
          <w:highlight w:val="none"/>
        </w:rPr>
        <w:t xml:space="preserve"> </w:t>
      </w:r>
      <w:r>
        <w:rPr>
          <w:highlight w:val="none"/>
        </w:rPr>
      </w:r>
      <w:r/>
    </w:p>
    <w:p>
      <w:pPr>
        <w:pStyle w:val="838"/>
        <w:ind w:firstLine="240"/>
        <w:jc w:val="center"/>
        <w:spacing w:beforeAutospacing="0" w:afterAutospacing="0" w:line="0" w:lineRule="atLeast"/>
        <w:rPr>
          <w:highlight w:val="none"/>
        </w:rPr>
      </w:pPr>
      <w:r>
        <w:rPr>
          <w:highlight w:val="none"/>
        </w:rPr>
        <w:t xml:space="preserve"> </w:t>
      </w:r>
      <w:r>
        <w:rPr>
          <w:highlight w:val="none"/>
        </w:rPr>
      </w:r>
      <w:r/>
    </w:p>
    <w:p>
      <w:pPr>
        <w:pStyle w:val="838"/>
        <w:ind w:firstLine="240"/>
        <w:jc w:val="center"/>
        <w:spacing w:beforeAutospacing="0" w:afterAutospacing="0" w:line="0" w:lineRule="atLeast"/>
        <w:rPr>
          <w:highlight w:val="none"/>
        </w:rPr>
      </w:pPr>
      <w:r>
        <w:rPr>
          <w:highlight w:val="none"/>
        </w:rPr>
        <w:t xml:space="preserve"> </w:t>
      </w:r>
      <w:r>
        <w:rPr>
          <w:highlight w:val="none"/>
        </w:rPr>
      </w:r>
      <w:r/>
    </w:p>
    <w:p>
      <w:pPr>
        <w:pStyle w:val="838"/>
        <w:ind w:firstLine="240"/>
        <w:jc w:val="center"/>
        <w:spacing w:beforeAutospacing="0" w:afterAutospacing="0" w:line="0" w:lineRule="atLeast"/>
        <w:rPr>
          <w:highlight w:val="none"/>
        </w:rPr>
      </w:pPr>
      <w:r>
        <w:rPr>
          <w:highlight w:val="none"/>
        </w:rPr>
        <w:t xml:space="preserve"> </w:t>
      </w: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r>
      <w:r/>
    </w:p>
    <w:p>
      <w:pPr>
        <w:pStyle w:val="838"/>
        <w:ind w:firstLine="240"/>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w:t>
      </w:r>
      <w:r>
        <w:rPr>
          <w:color w:val="000000"/>
          <w:highlight w:val="none"/>
        </w:rPr>
      </w:r>
      <w:r/>
    </w:p>
    <w:p>
      <w:pPr>
        <w:pStyle w:val="830"/>
        <w:ind w:firstLine="480"/>
        <w:jc w:val="both"/>
        <w:spacing w:line="500" w:lineRule="exact"/>
        <w:rPr>
          <w:rFonts w:hint="eastAsia"/>
          <w:color w:val="000000"/>
          <w:sz w:val="24"/>
          <w:highlight w:val="none"/>
        </w:rPr>
      </w:pPr>
      <w:r>
        <w:rPr>
          <w:rFonts w:hint="eastAsia"/>
          <w:color w:val="000000"/>
          <w:sz w:val="24"/>
          <w:highlight w:val="none"/>
        </w:rPr>
      </w:r>
      <w:r/>
    </w:p>
    <w:p>
      <w:pPr>
        <w:pStyle w:val="830"/>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)的规定，本公司（联合体）参加</w:t>
      </w:r>
      <w:r>
        <w:rPr>
          <w:rFonts w:hint="eastAsia"/>
          <w:color w:val="000000"/>
          <w:sz w:val="24"/>
          <w:highlight w:val="none"/>
          <w:u w:val="single"/>
        </w:rPr>
        <w:t xml:space="preserve">射阳县综合检验检测中心</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单位名称)</w:t>
      </w:r>
      <w:r>
        <w:rPr>
          <w:rFonts w:hint="eastAsia"/>
          <w:color w:val="000000"/>
          <w:sz w:val="24"/>
          <w:highlight w:val="none"/>
        </w:rPr>
        <w:t xml:space="preserve">，采购编号为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83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83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83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83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3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38"/>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838"/>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838"/>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838"/>
        <w:ind w:firstLine="360"/>
        <w:jc w:val="both"/>
        <w:spacing w:before="0" w:beforeAutospacing="0" w:after="0" w:afterAutospacing="0" w:line="360" w:lineRule="auto"/>
        <w:widowControl w:val="off"/>
        <w:rPr>
          <w:color w:val="ff0000"/>
          <w:highlight w:val="none"/>
        </w:rPr>
      </w:pPr>
      <w:r>
        <w:rPr>
          <w:color w:val="ff0000"/>
          <w:highlight w:val="none"/>
        </w:rPr>
        <w:t xml:space="preserve"> </w:t>
      </w:r>
      <w:r>
        <w:rPr>
          <w:color w:val="ff0000"/>
          <w:highlight w:val="none"/>
        </w:rPr>
      </w:r>
      <w:r/>
    </w:p>
    <w:p>
      <w:pPr>
        <w:pStyle w:val="838"/>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rPr>
          <w:highlight w:val="none"/>
        </w:rPr>
      </w:r>
      <w:r/>
    </w:p>
    <w:p>
      <w:pPr>
        <w:pStyle w:val="838"/>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w:t>
      </w:r>
      <w:r>
        <w:rPr>
          <w:highlight w:val="none"/>
        </w:rPr>
      </w:r>
      <w:r/>
    </w:p>
    <w:p>
      <w:pPr>
        <w:pStyle w:val="83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3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3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3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3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3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3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3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highlight w:val="none"/>
        </w:rPr>
      </w:r>
      <w:r/>
    </w:p>
    <w:p>
      <w:pPr>
        <w:pStyle w:val="83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w:t>
      </w:r>
      <w:r>
        <w:rPr>
          <w:rFonts w:hint="eastAsia" w:ascii="宋体" w:hAnsi="宋体" w:eastAsia="宋体" w:cs="宋体"/>
          <w:color w:val="000000"/>
          <w:highlight w:val="none"/>
          <w:u w:val="single"/>
        </w:rPr>
        <w:t xml:space="preserve">射阳县综合检验检测中心_</w:t>
      </w:r>
      <w:r>
        <w:rPr>
          <w:rFonts w:hint="eastAsia" w:ascii="宋体" w:hAnsi="宋体" w:eastAsia="宋体" w:cs="宋体"/>
          <w:color w:val="000000"/>
          <w:highlight w:val="none"/>
        </w:rPr>
        <w:t xml:space="preserve">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rPr>
          <w:highlight w:val="none"/>
        </w:rPr>
      </w:r>
      <w:r/>
    </w:p>
    <w:p>
      <w:pPr>
        <w:pStyle w:val="83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rPr>
          <w:highlight w:val="none"/>
        </w:rPr>
      </w:r>
      <w:r/>
    </w:p>
    <w:p>
      <w:pPr>
        <w:pStyle w:val="838"/>
        <w:ind w:firstLine="480"/>
        <w:jc w:val="both"/>
        <w:spacing w:beforeAutospacing="0" w:afterAutospacing="0" w:line="0" w:lineRule="atLeast"/>
        <w:rPr>
          <w:highlight w:val="none"/>
        </w:rPr>
      </w:pPr>
      <w:r>
        <w:rPr>
          <w:highlight w:val="none"/>
        </w:rPr>
        <w:t xml:space="preserve"> </w:t>
      </w:r>
      <w:r>
        <w:rPr>
          <w:highlight w:val="none"/>
        </w:rPr>
      </w:r>
      <w:r/>
    </w:p>
    <w:p>
      <w:pPr>
        <w:pStyle w:val="838"/>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rPr>
      </w:r>
      <w:r/>
    </w:p>
    <w:p>
      <w:pPr>
        <w:pStyle w:val="838"/>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color w:val="000000"/>
          <w:highlight w:val="none"/>
          <w:lang w:eastAsia="zh-CN"/>
        </w:rPr>
        <w:t xml:space="preserve">。</w:t>
      </w:r>
      <w:r>
        <w:rPr>
          <w:rFonts w:hint="eastAsia" w:eastAsia="宋体"/>
          <w:highlight w:val="none"/>
          <w:lang w:eastAsia="zh-CN"/>
        </w:rPr>
      </w:r>
      <w:r/>
    </w:p>
    <w:p>
      <w:pPr>
        <w:pStyle w:val="838"/>
        <w:ind w:firstLine="624"/>
        <w:jc w:val="both"/>
        <w:spacing w:beforeAutospacing="0" w:afterAutospacing="0" w:line="0" w:lineRule="atLeast"/>
        <w:rPr>
          <w:highlight w:val="none"/>
        </w:rPr>
      </w:pPr>
      <w:r>
        <w:rPr>
          <w:highlight w:val="none"/>
        </w:rPr>
        <w:t xml:space="preserve"> </w:t>
      </w:r>
      <w:r>
        <w:rPr>
          <w:highlight w:val="none"/>
        </w:rPr>
      </w:r>
      <w:r/>
    </w:p>
    <w:p>
      <w:pPr>
        <w:pStyle w:val="83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highlight w:val="none"/>
        </w:rPr>
      </w:r>
      <w:r/>
    </w:p>
    <w:p>
      <w:pPr>
        <w:pStyle w:val="83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jc w:val="center"/>
        <w:spacing w:beforeAutospacing="0" w:afterAutospacing="0" w:line="0" w:lineRule="atLeast"/>
        <w:rPr>
          <w:highlight w:val="none"/>
        </w:rPr>
      </w:pPr>
      <w:r>
        <w:rPr>
          <w:highlight w:val="none"/>
        </w:rPr>
        <w:t xml:space="preserve"> </w:t>
      </w:r>
      <w:r>
        <w:rPr>
          <w:highlight w:val="none"/>
        </w:rPr>
      </w:r>
      <w:r/>
    </w:p>
    <w:p>
      <w:pPr>
        <w:pStyle w:val="838"/>
        <w:ind w:firstLine="645"/>
        <w:jc w:val="both"/>
        <w:spacing w:beforeAutospacing="0" w:afterAutospacing="0" w:line="0" w:lineRule="atLeast"/>
        <w:rPr>
          <w:rFonts w:hint="eastAsia" w:eastAsia="黑体"/>
          <w:highlight w:val="none"/>
          <w:lang w:eastAsia="zh-CN"/>
        </w:rPr>
      </w:pPr>
      <w:r>
        <w:rPr>
          <w:rFonts w:hint="eastAsia" w:ascii="黑体" w:hAnsi="宋体" w:eastAsia="黑体" w:cs="黑体"/>
          <w:b/>
          <w:color w:val="000000"/>
          <w:sz w:val="32"/>
          <w:szCs w:val="32"/>
          <w:highlight w:val="none"/>
        </w:rPr>
        <w:t xml:space="preserve">十一、</w:t>
      </w:r>
      <w:r>
        <w:rPr>
          <w:rFonts w:hint="eastAsia" w:ascii="黑体" w:hAnsi="宋体" w:eastAsia="黑体" w:cs="黑体"/>
          <w:b/>
          <w:color w:val="000000"/>
          <w:sz w:val="32"/>
          <w:szCs w:val="32"/>
          <w:highlight w:val="none"/>
          <w:lang w:eastAsia="zh-CN"/>
        </w:rPr>
        <w:t xml:space="preserve">其他证明文件</w:t>
      </w:r>
      <w:r>
        <w:rPr>
          <w:rFonts w:hint="eastAsia" w:eastAsia="黑体"/>
          <w:highlight w:val="none"/>
          <w:lang w:eastAsia="zh-CN"/>
        </w:rPr>
      </w:r>
      <w:r/>
    </w:p>
    <w:p>
      <w:pPr>
        <w:pStyle w:val="838"/>
        <w:ind w:firstLine="645"/>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r>
      <w:r/>
    </w:p>
    <w:p>
      <w:pPr>
        <w:pStyle w:val="838"/>
        <w:jc w:val="both"/>
        <w:spacing w:beforeAutospacing="0" w:afterAutospacing="0" w:line="0" w:lineRule="atLeast"/>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rFonts w:hint="eastAsia" w:ascii="黑体" w:hAnsi="宋体" w:eastAsia="黑体" w:cs="黑体"/>
          <w:b/>
          <w:color w:val="000000"/>
          <w:sz w:val="32"/>
          <w:szCs w:val="32"/>
          <w:highlight w:val="none"/>
        </w:rPr>
        <w:t xml:space="preserve">十二、投标分项报价表</w:t>
      </w:r>
      <w:r>
        <w:rPr>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8</w:t>
            </w:r>
            <w:r>
              <w:rPr>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rPr>
                <w:highlight w:val="none"/>
              </w:rPr>
            </w:r>
            <w:r/>
          </w:p>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38"/>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38"/>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38"/>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38"/>
              <w:jc w:val="both"/>
              <w:spacing w:beforeAutospacing="0" w:afterAutospacing="0"/>
              <w:rPr>
                <w:highlight w:val="none"/>
              </w:rPr>
            </w:pPr>
            <w:r>
              <w:rPr>
                <w:highlight w:val="none"/>
              </w:rPr>
              <w:t xml:space="preserve"> </w:t>
            </w:r>
            <w:r>
              <w:rPr>
                <w:highlight w:val="none"/>
              </w:rPr>
            </w:r>
            <w:r/>
          </w:p>
        </w:tc>
      </w:tr>
    </w:tbl>
    <w:p>
      <w:pPr>
        <w:pStyle w:val="83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highlight w:val="none"/>
        </w:rPr>
      </w:r>
      <w:r/>
    </w:p>
    <w:p>
      <w:pPr>
        <w:pStyle w:val="838"/>
        <w:jc w:val="both"/>
        <w:spacing w:beforeAutospacing="0" w:afterAutospacing="0"/>
        <w:rPr>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rPr>
          <w:highlight w:val="none"/>
          <w:shd w:val="clear" w:color="auto" w:fill="auto"/>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r>
      <w:r>
        <w:rPr>
          <w:highlight w:val="none"/>
        </w:rPr>
      </w:r>
      <w:r/>
    </w:p>
    <w:p>
      <w:pPr>
        <w:pStyle w:val="838"/>
        <w:jc w:val="both"/>
        <w:spacing w:beforeAutospacing="0" w:afterAutospacing="0"/>
        <w:rPr>
          <w:highlight w:val="none"/>
        </w:rPr>
      </w:pPr>
      <w:r>
        <w:rPr>
          <w:highlight w:val="none"/>
        </w:rPr>
      </w:r>
      <w:r>
        <w:rPr>
          <w:highlight w:val="none"/>
        </w:rPr>
      </w:r>
      <w:r/>
    </w:p>
    <w:p>
      <w:pPr>
        <w:pStyle w:val="838"/>
        <w:jc w:val="both"/>
        <w:spacing w:beforeAutospacing="0" w:afterAutospacing="0"/>
        <w:rPr>
          <w:highlight w:val="none"/>
        </w:rPr>
      </w:pPr>
      <w:r>
        <w:rPr>
          <w:highlight w:val="none"/>
        </w:rPr>
      </w:r>
      <w:r>
        <w:rPr>
          <w:highlight w:val="none"/>
        </w:rPr>
      </w:r>
      <w:r/>
    </w:p>
    <w:p>
      <w:pPr>
        <w:pStyle w:val="838"/>
        <w:jc w:val="both"/>
        <w:spacing w:beforeAutospacing="0" w:afterAutospacing="0"/>
        <w:rPr>
          <w:highlight w:val="none"/>
        </w:rPr>
      </w:pPr>
      <w:r>
        <w:rPr>
          <w:highlight w:val="none"/>
        </w:rPr>
      </w:r>
      <w:r>
        <w:rPr>
          <w:highlight w:val="none"/>
        </w:rPr>
      </w:r>
      <w:r/>
    </w:p>
    <w:p>
      <w:pPr>
        <w:pStyle w:val="838"/>
        <w:jc w:val="both"/>
        <w:spacing w:beforeAutospacing="0" w:afterAutospacing="0"/>
        <w:rPr>
          <w:highlight w:val="none"/>
        </w:rPr>
      </w:pPr>
      <w:r>
        <w:rPr>
          <w:highlight w:val="none"/>
        </w:rPr>
      </w:r>
      <w:r>
        <w:rPr>
          <w:highlight w:val="none"/>
        </w:rPr>
      </w:r>
      <w:r/>
    </w:p>
    <w:p>
      <w:pPr>
        <w:pStyle w:val="838"/>
        <w:jc w:val="both"/>
        <w:spacing w:beforeAutospacing="0" w:afterAutospacing="0"/>
        <w:rPr>
          <w:highlight w:val="none"/>
        </w:rPr>
      </w:pPr>
      <w:r>
        <w:rPr>
          <w:highlight w:val="none"/>
        </w:rPr>
      </w: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838"/>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bl>
    <w:p>
      <w:pPr>
        <w:pStyle w:val="83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bookmarkStart w:id="190" w:name="_Hlt26955054"/>
      <w:r>
        <w:rPr>
          <w:rFonts w:hint="eastAsia" w:ascii="黑体" w:hAnsi="宋体" w:eastAsia="黑体" w:cs="黑体"/>
          <w:b/>
          <w:color w:val="000000"/>
          <w:sz w:val="32"/>
          <w:szCs w:val="32"/>
          <w:highlight w:val="none"/>
        </w:rPr>
        <w:t xml:space="preserve">十四、商务要求响应及偏离表</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bookmarkStart w:id="191" w:name="_Hlt26609391"/>
            <w:r/>
            <w:bookmarkStart w:id="192" w:name="_Hlt26782999"/>
            <w:r/>
            <w:bookmarkStart w:id="193" w:name="_Hlt24879081"/>
            <w:r/>
            <w:bookmarkStart w:id="194" w:name="_Hlt26671372"/>
            <w:r/>
            <w:bookmarkStart w:id="195" w:name="_Hlt26671343"/>
            <w:r/>
            <w:bookmarkStart w:id="196" w:name="_Hlt26955064"/>
            <w:r/>
            <w:bookmarkStart w:id="197" w:name="_Hlt26580838"/>
            <w:r/>
            <w:bookmarkStart w:id="198" w:name="_Hlt26955056"/>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bookmarkEnd w:id="191"/>
            <w:r/>
            <w:bookmarkEnd w:id="192"/>
            <w:r/>
            <w:bookmarkEnd w:id="193"/>
            <w:r/>
            <w:bookmarkEnd w:id="194"/>
            <w:r/>
            <w:bookmarkEnd w:id="195"/>
            <w:r/>
            <w:bookmarkEnd w:id="196"/>
            <w:r/>
            <w:bookmarkEnd w:id="197"/>
            <w:r/>
            <w:bookmarkEnd w:id="198"/>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838"/>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8"/>
              <w:jc w:val="center"/>
              <w:spacing w:beforeAutospacing="0" w:afterAutospacing="0"/>
              <w:rPr>
                <w:highlight w:val="none"/>
              </w:rPr>
            </w:pPr>
            <w:r>
              <w:rPr>
                <w:highlight w:val="none"/>
              </w:rPr>
              <w:t xml:space="preserve"> </w:t>
            </w:r>
            <w:r>
              <w:rPr>
                <w:highlight w:val="none"/>
              </w:rPr>
            </w:r>
            <w:r/>
          </w:p>
        </w:tc>
      </w:tr>
    </w:tbl>
    <w:p>
      <w:pPr>
        <w:pStyle w:val="83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838"/>
        <w:jc w:val="both"/>
        <w:spacing w:beforeAutospacing="0" w:afterAutospacing="0" w:line="480" w:lineRule="auto"/>
        <w:rPr>
          <w:highlight w:val="none"/>
        </w:rPr>
      </w:pPr>
      <w:r>
        <w:rPr>
          <w:highlight w:val="none"/>
        </w:rPr>
        <w:t xml:space="preserve"> </w:t>
      </w:r>
      <w:r>
        <w:rPr>
          <w:highlight w:val="none"/>
        </w:rPr>
      </w:r>
      <w:r/>
    </w:p>
    <w:p>
      <w:pPr>
        <w:pStyle w:val="838"/>
        <w:jc w:val="both"/>
        <w:spacing w:beforeAutospacing="0" w:afterAutospacing="0" w:line="480" w:lineRule="auto"/>
        <w:rPr>
          <w:highlight w:val="none"/>
        </w:rPr>
      </w:pPr>
      <w:r>
        <w:rPr>
          <w:highlight w:val="none"/>
        </w:rPr>
        <w:t xml:space="preserve"> </w:t>
      </w:r>
      <w:r>
        <w:rPr>
          <w:highlight w:val="none"/>
        </w:rPr>
      </w:r>
      <w:r/>
    </w:p>
    <w:p>
      <w:pPr>
        <w:pStyle w:val="838"/>
        <w:jc w:val="center"/>
        <w:spacing w:beforeAutospacing="0" w:afterAutospacing="0"/>
        <w:rPr>
          <w:highlight w:val="none"/>
        </w:rPr>
      </w:pPr>
      <w:r/>
      <w:bookmarkStart w:id="199" w:name="_Hlt26609389"/>
      <w:r/>
      <w:bookmarkStart w:id="200" w:name="_Hlt26671374"/>
      <w:r/>
      <w:bookmarkStart w:id="201" w:name="_Hlt26955066"/>
      <w:r/>
      <w:bookmarkStart w:id="202" w:name="_格式2__法定代表人授权书"/>
      <w:r/>
      <w:bookmarkStart w:id="203" w:name="_Toc462564146"/>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rPr>
      </w:pPr>
      <w:r>
        <w:rPr>
          <w:highlight w:val="none"/>
        </w:rPr>
        <w:t xml:space="preserve"> </w:t>
      </w:r>
      <w:r>
        <w:rPr>
          <w:highlight w:val="none"/>
        </w:rPr>
      </w:r>
      <w:r/>
    </w:p>
    <w:p>
      <w:pPr>
        <w:pStyle w:val="838"/>
        <w:jc w:val="both"/>
        <w:spacing w:beforeAutospacing="0" w:afterAutospacing="0"/>
        <w:rPr>
          <w:highlight w:val="none"/>
        </w:rPr>
      </w:pPr>
      <w:r>
        <w:rPr>
          <w:highlight w:val="none"/>
        </w:rPr>
        <w:t xml:space="preserve"> </w:t>
      </w:r>
      <w:r>
        <w:rPr>
          <w:highlight w:val="none"/>
        </w:rPr>
      </w:r>
      <w:r/>
    </w:p>
    <w:p>
      <w:pPr>
        <w:pStyle w:val="838"/>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十五、开标一览表</w:t>
      </w:r>
      <w:r>
        <w:rPr>
          <w:highlight w:val="none"/>
          <w:shd w:val="clear" w:color="auto" w:fill="auto"/>
        </w:rPr>
      </w:r>
      <w:r/>
    </w:p>
    <w:p>
      <w:pPr>
        <w:pStyle w:val="838"/>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rPr>
          <w:highlight w:val="none"/>
          <w:shd w:val="clear" w:color="auto" w:fill="auto"/>
        </w:rPr>
      </w:r>
      <w:r/>
    </w:p>
    <w:p>
      <w:pPr>
        <w:pStyle w:val="838"/>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rPr>
          <w:highlight w:val="none"/>
        </w:rPr>
      </w:r>
      <w:r/>
    </w:p>
    <w:p>
      <w:pPr>
        <w:pStyle w:val="838"/>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38"/>
              <w:jc w:val="center"/>
              <w:spacing w:beforeAutospacing="0" w:afterAutospacing="0"/>
              <w:rPr>
                <w:highlight w:val="none"/>
              </w:rPr>
            </w:pPr>
            <w:r>
              <w:rPr>
                <w:rFonts w:hint="eastAsia" w:ascii="宋体" w:hAnsi="宋体" w:eastAsia="宋体" w:cs="宋体"/>
                <w:color w:val="000000"/>
                <w:highlight w:val="none"/>
              </w:rPr>
              <w:t xml:space="preserve">投标总报价</w:t>
            </w:r>
            <w:r>
              <w:rPr>
                <w:highlight w:val="none"/>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38"/>
              <w:spacing w:beforeAutospacing="0" w:afterAutospacing="0" w:line="0" w:lineRule="atLeas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rPr>
                <w:rFonts w:ascii="宋体" w:hAnsi="宋体" w:eastAsia="宋体" w:cs="宋体"/>
                <w:color w:val="000000"/>
                <w:highlight w:val="none"/>
                <w:lang w:val="en-US" w:eastAsia="zh-CN"/>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38"/>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38"/>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rPr>
                <w:highlight w:val="none"/>
              </w:rPr>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38"/>
              <w:spacing w:beforeAutospacing="0" w:afterAutospacing="0" w:line="0" w:lineRule="atLeast"/>
              <w:rPr>
                <w:highlight w:val="none"/>
              </w:rPr>
            </w:pPr>
            <w:r>
              <w:rPr>
                <w:highlight w:val="none"/>
              </w:rPr>
              <w:t xml:space="preserve"> </w:t>
            </w:r>
            <w:r>
              <w:rPr>
                <w:highlight w:val="none"/>
              </w:rPr>
            </w:r>
            <w:r/>
          </w:p>
        </w:tc>
      </w:tr>
    </w:tbl>
    <w:p>
      <w:pPr>
        <w:pStyle w:val="838"/>
        <w:jc w:val="both"/>
        <w:spacing w:beforeAutospacing="0" w:afterAutospacing="0"/>
        <w:rPr>
          <w:highlight w:val="none"/>
        </w:rPr>
      </w:pPr>
      <w:r>
        <w:rPr>
          <w:highlight w:val="none"/>
        </w:rPr>
        <w:t xml:space="preserve"> </w:t>
      </w:r>
      <w:r>
        <w:rPr>
          <w:highlight w:val="none"/>
        </w:rPr>
      </w:r>
      <w:r/>
    </w:p>
    <w:p>
      <w:pPr>
        <w:pStyle w:val="838"/>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highlight w:val="none"/>
        </w:rPr>
      </w:r>
      <w:r/>
    </w:p>
    <w:p>
      <w:pPr>
        <w:pStyle w:val="838"/>
        <w:ind w:firstLine="480"/>
        <w:jc w:val="both"/>
        <w:spacing w:beforeAutospacing="0" w:afterAutospacing="0"/>
        <w:rPr>
          <w:highlight w:val="none"/>
        </w:rPr>
      </w:pPr>
      <w:r>
        <w:rPr>
          <w:highlight w:val="none"/>
        </w:rPr>
      </w:r>
      <w:r/>
    </w:p>
    <w:p>
      <w:pPr>
        <w:pStyle w:val="838"/>
        <w:ind w:firstLine="480"/>
        <w:jc w:val="both"/>
        <w:spacing w:beforeAutospacing="0" w:afterAutospacing="0"/>
        <w:rPr>
          <w:highlight w:val="none"/>
        </w:rPr>
      </w:pPr>
      <w:r>
        <w:rPr>
          <w:highlight w:val="none"/>
        </w:rPr>
        <w:t xml:space="preserve"> </w:t>
      </w:r>
      <w:r>
        <w:rPr>
          <w:highlight w:val="none"/>
        </w:rPr>
      </w:r>
      <w:r/>
    </w:p>
    <w:p>
      <w:pPr>
        <w:pStyle w:val="838"/>
        <w:ind w:firstLine="480"/>
        <w:jc w:val="both"/>
        <w:spacing w:beforeAutospacing="0" w:afterAutospacing="0"/>
        <w:rPr>
          <w:highlight w:val="none"/>
        </w:rPr>
      </w:pPr>
      <w:r>
        <w:rPr>
          <w:highlight w:val="none"/>
        </w:rPr>
      </w:r>
      <w:r/>
    </w:p>
    <w:p>
      <w:pPr>
        <w:pStyle w:val="838"/>
        <w:ind w:firstLine="480"/>
        <w:jc w:val="both"/>
        <w:spacing w:beforeAutospacing="0" w:afterAutospacing="0"/>
        <w:rPr>
          <w:highlight w:val="none"/>
        </w:rPr>
      </w:pPr>
      <w:r>
        <w:rPr>
          <w:highlight w:val="none"/>
        </w:rPr>
      </w:r>
      <w:r/>
    </w:p>
    <w:p>
      <w:pPr>
        <w:pStyle w:val="838"/>
        <w:ind w:firstLine="480"/>
        <w:jc w:val="both"/>
        <w:spacing w:beforeAutospacing="0" w:afterAutospacing="0"/>
        <w:rPr>
          <w:highlight w:val="none"/>
        </w:rPr>
      </w:pPr>
      <w:r>
        <w:rPr>
          <w:highlight w:val="none"/>
        </w:rPr>
      </w:r>
      <w:r/>
    </w:p>
    <w:p>
      <w:pPr>
        <w:pStyle w:val="838"/>
        <w:ind w:firstLine="480"/>
        <w:jc w:val="both"/>
        <w:spacing w:beforeAutospacing="0" w:afterAutospacing="0"/>
        <w:rPr>
          <w:highlight w:val="none"/>
        </w:rPr>
      </w:pPr>
      <w:r>
        <w:rPr>
          <w:highlight w:val="none"/>
        </w:rPr>
      </w:r>
      <w:r/>
    </w:p>
    <w:p>
      <w:pPr>
        <w:pStyle w:val="838"/>
        <w:ind w:firstLine="480"/>
        <w:jc w:val="both"/>
        <w:spacing w:beforeAutospacing="0" w:afterAutospacing="0"/>
        <w:rPr>
          <w:highlight w:val="none"/>
        </w:rPr>
      </w:pPr>
      <w:r>
        <w:rPr>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pStyle w:val="830"/>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十六、技术方案、服务承诺、培训承诺等</w:t>
      </w:r>
      <w:r>
        <w:rPr>
          <w:rFonts w:ascii="宋体" w:hAnsi="宋体" w:eastAsia="宋体" w:cs="宋体"/>
          <w:sz w:val="24"/>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38"/>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pStyle w:val="830"/>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rPr>
          <w:rFonts w:ascii="宋体" w:hAnsi="宋体" w:eastAsia="宋体" w:cs="宋体"/>
          <w:sz w:val="24"/>
          <w:highlight w:val="none"/>
        </w:rPr>
      </w:r>
      <w:r/>
    </w:p>
    <w:p>
      <w:pPr>
        <w:pStyle w:val="830"/>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830"/>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sz w:val="24"/>
          <w:highlight w:val="none"/>
        </w:rPr>
      </w:r>
      <w:r/>
    </w:p>
    <w:p>
      <w:pPr>
        <w:pStyle w:val="83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sz w:val="24"/>
          <w:highlight w:val="none"/>
        </w:rPr>
      </w:r>
      <w:r/>
    </w:p>
    <w:p>
      <w:pPr>
        <w:pStyle w:val="830"/>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83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83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sz w:val="24"/>
          <w:highlight w:val="none"/>
        </w:rPr>
      </w:r>
      <w:r/>
    </w:p>
    <w:p>
      <w:pPr>
        <w:pStyle w:val="83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83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ascii="宋体" w:hAnsi="宋体" w:eastAsia="宋体" w:cs="宋体"/>
          <w:sz w:val="24"/>
          <w:highlight w:val="none"/>
        </w:rPr>
      </w:r>
      <w:r/>
    </w:p>
    <w:p>
      <w:pPr>
        <w:pStyle w:val="830"/>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83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ascii="宋体" w:hAnsi="宋体" w:eastAsia="宋体" w:cs="宋体"/>
          <w:sz w:val="24"/>
          <w:highlight w:val="none"/>
        </w:rPr>
      </w:r>
      <w:r/>
    </w:p>
    <w:p>
      <w:pPr>
        <w:pStyle w:val="83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ascii="宋体" w:hAnsi="宋体" w:eastAsia="宋体" w:cs="宋体"/>
          <w:sz w:val="24"/>
          <w:highlight w:val="none"/>
        </w:rPr>
      </w:r>
      <w:r/>
    </w:p>
    <w:p>
      <w:pPr>
        <w:pStyle w:val="830"/>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sz w:val="24"/>
          <w:highlight w:val="none"/>
        </w:rPr>
      </w:r>
      <w:r/>
    </w:p>
    <w:p>
      <w:pPr>
        <w:pStyle w:val="830"/>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rPr>
          <w:rFonts w:ascii="宋体" w:hAnsi="宋体" w:eastAsia="宋体" w:cs="宋体"/>
          <w:sz w:val="24"/>
          <w:highlight w:val="none"/>
        </w:rPr>
      </w:r>
      <w:r/>
    </w:p>
    <w:p>
      <w:pPr>
        <w:pStyle w:val="838"/>
        <w:jc w:val="center"/>
        <w:spacing w:beforeAutospacing="0" w:afterAutospacing="0"/>
        <w:rPr>
          <w:highlight w:val="none"/>
        </w:rPr>
      </w:pPr>
      <w:r>
        <w:rPr>
          <w:highlight w:val="none"/>
        </w:rPr>
      </w:r>
      <w:r/>
    </w:p>
    <w:p>
      <w:pPr>
        <w:pStyle w:val="838"/>
        <w:jc w:val="center"/>
        <w:spacing w:beforeAutospacing="0" w:afterAutospacing="0"/>
        <w:rPr>
          <w:rFonts w:ascii="宋体" w:hAnsi="宋体" w:eastAsia="宋体" w:cs="宋体"/>
          <w:b/>
          <w:color w:val="000000"/>
          <w:sz w:val="32"/>
          <w:szCs w:val="32"/>
          <w:highlight w:val="none"/>
        </w:rPr>
      </w:pPr>
      <w:r/>
      <w:bookmarkEnd w:id="6"/>
      <w:r/>
      <w:bookmarkEnd w:id="48"/>
      <w:r/>
      <w:bookmarkEnd w:id="93"/>
      <w:r/>
      <w:bookmarkEnd w:id="96"/>
      <w:r/>
      <w:bookmarkEnd w:id="97"/>
      <w:r/>
      <w:bookmarkEnd w:id="98"/>
      <w:r/>
      <w:bookmarkEnd w:id="99"/>
      <w:r/>
      <w:bookmarkEnd w:id="100"/>
      <w:r/>
      <w:bookmarkEnd w:id="101"/>
      <w:r/>
      <w:bookmarkEnd w:id="102"/>
      <w:r/>
      <w:bookmarkEnd w:id="111"/>
      <w:r/>
      <w:bookmarkEnd w:id="112"/>
      <w:r/>
      <w:bookmarkEnd w:id="117"/>
      <w:r/>
      <w:bookmarkEnd w:id="166"/>
      <w:r/>
      <w:bookmarkEnd w:id="175"/>
      <w:r/>
      <w:bookmarkEnd w:id="183"/>
      <w:r/>
      <w:bookmarkEnd w:id="184"/>
      <w:r/>
      <w:bookmarkEnd w:id="185"/>
      <w:r/>
      <w:bookmarkEnd w:id="186"/>
      <w:r/>
      <w:bookmarkEnd w:id="187"/>
      <w:r/>
      <w:bookmarkEnd w:id="188"/>
      <w:r/>
      <w:bookmarkEnd w:id="189"/>
      <w:r/>
      <w:bookmarkEnd w:id="190"/>
      <w:r/>
      <w:bookmarkEnd w:id="199"/>
      <w:r/>
      <w:bookmarkEnd w:id="200"/>
      <w:r/>
      <w:bookmarkEnd w:id="201"/>
      <w:r/>
      <w:bookmarkEnd w:id="202"/>
      <w:r/>
      <w:bookmarkEnd w:id="203"/>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83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highlight w:val="none"/>
        </w:rPr>
      </w:r>
      <w:r/>
    </w:p>
    <w:p>
      <w:pPr>
        <w:pStyle w:val="83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3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rPr>
          <w:rFonts w:ascii="宋体" w:hAnsi="宋体" w:eastAsia="宋体" w:cs="宋体"/>
          <w:highlight w:val="none"/>
        </w:rPr>
      </w:r>
      <w:r/>
    </w:p>
    <w:p>
      <w:pPr>
        <w:pStyle w:val="83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rPr>
          <w:rFonts w:ascii="宋体" w:hAnsi="宋体" w:eastAsia="宋体" w:cs="宋体"/>
          <w:highlight w:val="none"/>
        </w:rPr>
      </w:r>
      <w:r/>
    </w:p>
    <w:p>
      <w:pPr>
        <w:pStyle w:val="83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highlight w:val="none"/>
        </w:rPr>
      </w:r>
      <w:r/>
    </w:p>
    <w:p>
      <w:pPr>
        <w:pStyle w:val="83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83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highlight w:val="none"/>
        </w:rPr>
      </w:r>
      <w:r/>
    </w:p>
    <w:p>
      <w:pPr>
        <w:pStyle w:val="83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highlight w:val="none"/>
        </w:rPr>
      </w:r>
      <w:r/>
    </w:p>
    <w:p>
      <w:pPr>
        <w:pStyle w:val="83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highlight w:val="none"/>
        </w:rPr>
      </w:r>
      <w:r/>
    </w:p>
    <w:p>
      <w:pPr>
        <w:pStyle w:val="83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p>
      <w:pPr>
        <w:pStyle w:val="838"/>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华文中宋">
    <w:panose1 w:val="02010600040101010101"/>
  </w:font>
  <w:font w:name="仿宋_GB2312">
    <w:panose1 w:val="02010609060101010101"/>
  </w:font>
  <w:font w:name="黑体">
    <w:panose1 w:val="02010609060101010101"/>
  </w:font>
  <w:font w:name="新宋体">
    <w:panose1 w:val="0201060903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0"/>
      </w:pPr>
    </w:lvl>
    <w:lvl w:ilvl="1">
      <w:start w:val="1"/>
      <w:numFmt w:val="bullet"/>
      <w:isLgl w:val="false"/>
      <w:suff w:val="tab"/>
      <w:lvlText w:val="o"/>
      <w:lvlJc w:val="left"/>
      <w:pPr>
        <w:pStyle w:val="830"/>
        <w:ind w:left="1440" w:hanging="360"/>
      </w:pPr>
      <w:rPr>
        <w:rFonts w:ascii="Courier New" w:hAnsi="Courier New" w:eastAsia="Courier New" w:cs="Courier New"/>
      </w:rPr>
    </w:lvl>
    <w:lvl w:ilvl="2">
      <w:start w:val="1"/>
      <w:numFmt w:val="bullet"/>
      <w:isLgl w:val="false"/>
      <w:suff w:val="tab"/>
      <w:lvlText w:val="§"/>
      <w:lvlJc w:val="left"/>
      <w:pPr>
        <w:pStyle w:val="830"/>
        <w:ind w:left="2160" w:hanging="360"/>
      </w:pPr>
      <w:rPr>
        <w:rFonts w:ascii="Wingdings" w:hAnsi="Wingdings" w:eastAsia="Wingdings" w:cs="Wingdings"/>
      </w:rPr>
    </w:lvl>
    <w:lvl w:ilvl="3">
      <w:start w:val="1"/>
      <w:numFmt w:val="bullet"/>
      <w:isLgl w:val="false"/>
      <w:suff w:val="tab"/>
      <w:lvlText w:val="·"/>
      <w:lvlJc w:val="left"/>
      <w:pPr>
        <w:pStyle w:val="830"/>
        <w:ind w:left="2880" w:hanging="360"/>
      </w:pPr>
      <w:rPr>
        <w:rFonts w:ascii="Symbol" w:hAnsi="Symbol" w:eastAsia="Symbol" w:cs="Symbol"/>
      </w:rPr>
    </w:lvl>
    <w:lvl w:ilvl="4">
      <w:start w:val="1"/>
      <w:numFmt w:val="bullet"/>
      <w:isLgl w:val="false"/>
      <w:suff w:val="tab"/>
      <w:lvlText w:val="o"/>
      <w:lvlJc w:val="left"/>
      <w:pPr>
        <w:pStyle w:val="830"/>
        <w:ind w:left="3600" w:hanging="360"/>
      </w:pPr>
      <w:rPr>
        <w:rFonts w:ascii="Courier New" w:hAnsi="Courier New" w:eastAsia="Courier New" w:cs="Courier New"/>
      </w:rPr>
    </w:lvl>
    <w:lvl w:ilvl="5">
      <w:start w:val="1"/>
      <w:numFmt w:val="bullet"/>
      <w:isLgl w:val="false"/>
      <w:suff w:val="tab"/>
      <w:lvlText w:val="§"/>
      <w:lvlJc w:val="left"/>
      <w:pPr>
        <w:pStyle w:val="830"/>
        <w:ind w:left="4320" w:hanging="360"/>
      </w:pPr>
      <w:rPr>
        <w:rFonts w:ascii="Wingdings" w:hAnsi="Wingdings" w:eastAsia="Wingdings" w:cs="Wingdings"/>
      </w:rPr>
    </w:lvl>
    <w:lvl w:ilvl="6">
      <w:start w:val="1"/>
      <w:numFmt w:val="bullet"/>
      <w:isLgl w:val="false"/>
      <w:suff w:val="tab"/>
      <w:lvlText w:val="·"/>
      <w:lvlJc w:val="left"/>
      <w:pPr>
        <w:pStyle w:val="830"/>
        <w:ind w:left="5040" w:hanging="360"/>
      </w:pPr>
      <w:rPr>
        <w:rFonts w:ascii="Symbol" w:hAnsi="Symbol" w:eastAsia="Symbol" w:cs="Symbol"/>
      </w:rPr>
    </w:lvl>
    <w:lvl w:ilvl="7">
      <w:start w:val="1"/>
      <w:numFmt w:val="bullet"/>
      <w:isLgl w:val="false"/>
      <w:suff w:val="tab"/>
      <w:lvlText w:val="o"/>
      <w:lvlJc w:val="left"/>
      <w:pPr>
        <w:pStyle w:val="830"/>
        <w:ind w:left="5760" w:hanging="360"/>
      </w:pPr>
      <w:rPr>
        <w:rFonts w:ascii="Courier New" w:hAnsi="Courier New" w:eastAsia="Courier New" w:cs="Courier New"/>
      </w:rPr>
    </w:lvl>
    <w:lvl w:ilvl="8">
      <w:start w:val="1"/>
      <w:numFmt w:val="bullet"/>
      <w:isLgl w:val="false"/>
      <w:suff w:val="tab"/>
      <w:lvlText w:val="§"/>
      <w:lvlJc w:val="left"/>
      <w:pPr>
        <w:pStyle w:val="830"/>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30"/>
      </w:pPr>
    </w:lvl>
    <w:lvl w:ilvl="1">
      <w:start w:val="1"/>
      <w:numFmt w:val="bullet"/>
      <w:isLgl w:val="false"/>
      <w:suff w:val="tab"/>
      <w:lvlText w:val="o"/>
      <w:lvlJc w:val="left"/>
      <w:pPr>
        <w:pStyle w:val="830"/>
        <w:ind w:left="1440" w:hanging="360"/>
      </w:pPr>
      <w:rPr>
        <w:rFonts w:ascii="Courier New" w:hAnsi="Courier New" w:eastAsia="Courier New" w:cs="Courier New"/>
      </w:rPr>
    </w:lvl>
    <w:lvl w:ilvl="2">
      <w:start w:val="1"/>
      <w:numFmt w:val="bullet"/>
      <w:isLgl w:val="false"/>
      <w:suff w:val="tab"/>
      <w:lvlText w:val="§"/>
      <w:lvlJc w:val="left"/>
      <w:pPr>
        <w:pStyle w:val="830"/>
        <w:ind w:left="2160" w:hanging="360"/>
      </w:pPr>
      <w:rPr>
        <w:rFonts w:ascii="Wingdings" w:hAnsi="Wingdings" w:eastAsia="Wingdings" w:cs="Wingdings"/>
      </w:rPr>
    </w:lvl>
    <w:lvl w:ilvl="3">
      <w:start w:val="1"/>
      <w:numFmt w:val="bullet"/>
      <w:isLgl w:val="false"/>
      <w:suff w:val="tab"/>
      <w:lvlText w:val="·"/>
      <w:lvlJc w:val="left"/>
      <w:pPr>
        <w:pStyle w:val="830"/>
        <w:ind w:left="2880" w:hanging="360"/>
      </w:pPr>
      <w:rPr>
        <w:rFonts w:ascii="Symbol" w:hAnsi="Symbol" w:eastAsia="Symbol" w:cs="Symbol"/>
      </w:rPr>
    </w:lvl>
    <w:lvl w:ilvl="4">
      <w:start w:val="1"/>
      <w:numFmt w:val="bullet"/>
      <w:isLgl w:val="false"/>
      <w:suff w:val="tab"/>
      <w:lvlText w:val="o"/>
      <w:lvlJc w:val="left"/>
      <w:pPr>
        <w:pStyle w:val="830"/>
        <w:ind w:left="3600" w:hanging="360"/>
      </w:pPr>
      <w:rPr>
        <w:rFonts w:ascii="Courier New" w:hAnsi="Courier New" w:eastAsia="Courier New" w:cs="Courier New"/>
      </w:rPr>
    </w:lvl>
    <w:lvl w:ilvl="5">
      <w:start w:val="1"/>
      <w:numFmt w:val="bullet"/>
      <w:isLgl w:val="false"/>
      <w:suff w:val="tab"/>
      <w:lvlText w:val="§"/>
      <w:lvlJc w:val="left"/>
      <w:pPr>
        <w:pStyle w:val="830"/>
        <w:ind w:left="4320" w:hanging="360"/>
      </w:pPr>
      <w:rPr>
        <w:rFonts w:ascii="Wingdings" w:hAnsi="Wingdings" w:eastAsia="Wingdings" w:cs="Wingdings"/>
      </w:rPr>
    </w:lvl>
    <w:lvl w:ilvl="6">
      <w:start w:val="1"/>
      <w:numFmt w:val="bullet"/>
      <w:isLgl w:val="false"/>
      <w:suff w:val="tab"/>
      <w:lvlText w:val="·"/>
      <w:lvlJc w:val="left"/>
      <w:pPr>
        <w:pStyle w:val="830"/>
        <w:ind w:left="5040" w:hanging="360"/>
      </w:pPr>
      <w:rPr>
        <w:rFonts w:ascii="Symbol" w:hAnsi="Symbol" w:eastAsia="Symbol" w:cs="Symbol"/>
      </w:rPr>
    </w:lvl>
    <w:lvl w:ilvl="7">
      <w:start w:val="1"/>
      <w:numFmt w:val="bullet"/>
      <w:isLgl w:val="false"/>
      <w:suff w:val="tab"/>
      <w:lvlText w:val="o"/>
      <w:lvlJc w:val="left"/>
      <w:pPr>
        <w:pStyle w:val="830"/>
        <w:ind w:left="5760" w:hanging="360"/>
      </w:pPr>
      <w:rPr>
        <w:rFonts w:ascii="Courier New" w:hAnsi="Courier New" w:eastAsia="Courier New" w:cs="Courier New"/>
      </w:rPr>
    </w:lvl>
    <w:lvl w:ilvl="8">
      <w:start w:val="1"/>
      <w:numFmt w:val="bullet"/>
      <w:isLgl w:val="false"/>
      <w:suff w:val="tab"/>
      <w:lvlText w:val="§"/>
      <w:lvlJc w:val="left"/>
      <w:pPr>
        <w:pStyle w:val="83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30"/>
      </w:pPr>
    </w:lvl>
    <w:lvl w:ilvl="1">
      <w:start w:val="1"/>
      <w:numFmt w:val="bullet"/>
      <w:isLgl w:val="false"/>
      <w:suff w:val="tab"/>
      <w:lvlText w:val="o"/>
      <w:lvlJc w:val="left"/>
      <w:pPr>
        <w:pStyle w:val="830"/>
        <w:ind w:left="1440" w:hanging="360"/>
      </w:pPr>
      <w:rPr>
        <w:rFonts w:ascii="Courier New" w:hAnsi="Courier New" w:eastAsia="Courier New" w:cs="Courier New"/>
      </w:rPr>
    </w:lvl>
    <w:lvl w:ilvl="2">
      <w:start w:val="1"/>
      <w:numFmt w:val="bullet"/>
      <w:isLgl w:val="false"/>
      <w:suff w:val="tab"/>
      <w:lvlText w:val="§"/>
      <w:lvlJc w:val="left"/>
      <w:pPr>
        <w:pStyle w:val="830"/>
        <w:ind w:left="2160" w:hanging="360"/>
      </w:pPr>
      <w:rPr>
        <w:rFonts w:ascii="Wingdings" w:hAnsi="Wingdings" w:eastAsia="Wingdings" w:cs="Wingdings"/>
      </w:rPr>
    </w:lvl>
    <w:lvl w:ilvl="3">
      <w:start w:val="1"/>
      <w:numFmt w:val="bullet"/>
      <w:isLgl w:val="false"/>
      <w:suff w:val="tab"/>
      <w:lvlText w:val="·"/>
      <w:lvlJc w:val="left"/>
      <w:pPr>
        <w:pStyle w:val="830"/>
        <w:ind w:left="2880" w:hanging="360"/>
      </w:pPr>
      <w:rPr>
        <w:rFonts w:ascii="Symbol" w:hAnsi="Symbol" w:eastAsia="Symbol" w:cs="Symbol"/>
      </w:rPr>
    </w:lvl>
    <w:lvl w:ilvl="4">
      <w:start w:val="1"/>
      <w:numFmt w:val="bullet"/>
      <w:isLgl w:val="false"/>
      <w:suff w:val="tab"/>
      <w:lvlText w:val="o"/>
      <w:lvlJc w:val="left"/>
      <w:pPr>
        <w:pStyle w:val="830"/>
        <w:ind w:left="3600" w:hanging="360"/>
      </w:pPr>
      <w:rPr>
        <w:rFonts w:ascii="Courier New" w:hAnsi="Courier New" w:eastAsia="Courier New" w:cs="Courier New"/>
      </w:rPr>
    </w:lvl>
    <w:lvl w:ilvl="5">
      <w:start w:val="1"/>
      <w:numFmt w:val="bullet"/>
      <w:isLgl w:val="false"/>
      <w:suff w:val="tab"/>
      <w:lvlText w:val="§"/>
      <w:lvlJc w:val="left"/>
      <w:pPr>
        <w:pStyle w:val="830"/>
        <w:ind w:left="4320" w:hanging="360"/>
      </w:pPr>
      <w:rPr>
        <w:rFonts w:ascii="Wingdings" w:hAnsi="Wingdings" w:eastAsia="Wingdings" w:cs="Wingdings"/>
      </w:rPr>
    </w:lvl>
    <w:lvl w:ilvl="6">
      <w:start w:val="1"/>
      <w:numFmt w:val="bullet"/>
      <w:isLgl w:val="false"/>
      <w:suff w:val="tab"/>
      <w:lvlText w:val="·"/>
      <w:lvlJc w:val="left"/>
      <w:pPr>
        <w:pStyle w:val="830"/>
        <w:ind w:left="5040" w:hanging="360"/>
      </w:pPr>
      <w:rPr>
        <w:rFonts w:ascii="Symbol" w:hAnsi="Symbol" w:eastAsia="Symbol" w:cs="Symbol"/>
      </w:rPr>
    </w:lvl>
    <w:lvl w:ilvl="7">
      <w:start w:val="1"/>
      <w:numFmt w:val="bullet"/>
      <w:isLgl w:val="false"/>
      <w:suff w:val="tab"/>
      <w:lvlText w:val="o"/>
      <w:lvlJc w:val="left"/>
      <w:pPr>
        <w:pStyle w:val="830"/>
        <w:ind w:left="5760" w:hanging="360"/>
      </w:pPr>
      <w:rPr>
        <w:rFonts w:ascii="Courier New" w:hAnsi="Courier New" w:eastAsia="Courier New" w:cs="Courier New"/>
      </w:rPr>
    </w:lvl>
    <w:lvl w:ilvl="8">
      <w:start w:val="1"/>
      <w:numFmt w:val="bullet"/>
      <w:isLgl w:val="false"/>
      <w:suff w:val="tab"/>
      <w:lvlText w:val="§"/>
      <w:lvlJc w:val="left"/>
      <w:pPr>
        <w:pStyle w:val="830"/>
        <w:ind w:left="6480" w:hanging="360"/>
      </w:pPr>
      <w:rPr>
        <w:rFonts w:ascii="Wingdings" w:hAnsi="Wingdings" w:eastAsia="Wingdings" w:cs="Wingdings"/>
      </w:rPr>
    </w:lvl>
  </w:abstractNum>
  <w:num w:numId="1">
    <w:abstractNumId w:val="6"/>
  </w:num>
  <w:num w:numId="2">
    <w:abstractNumId w:val="1"/>
  </w:num>
  <w:num w:numId="3">
    <w:abstractNumId w:val="2"/>
  </w:num>
  <w:num w:numId="4">
    <w:abstractNumId w:val="8"/>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pPr>
      <w:jc w:val="both"/>
      <w:widowControl w:val="off"/>
    </w:pPr>
    <w:rPr>
      <w:rFonts w:ascii="Calibri" w:hAnsi="Calibri" w:eastAsia="宋体" w:cs="Times New Roman"/>
      <w:sz w:val="21"/>
      <w:szCs w:val="24"/>
      <w:lang w:val="en-US" w:eastAsia="zh-CN" w:bidi="ar-SA"/>
    </w:rPr>
  </w:style>
  <w:style w:type="paragraph" w:styleId="831">
    <w:name w:val="标题 2"/>
    <w:basedOn w:val="830"/>
    <w:next w:val="830"/>
    <w:link w:val="83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32">
    <w:name w:val="默认段落字体"/>
    <w:next w:val="832"/>
    <w:link w:val="830"/>
    <w:semiHidden/>
  </w:style>
  <w:style w:type="table" w:styleId="833">
    <w:name w:val="普通表格"/>
    <w:next w:val="833"/>
    <w:link w:val="830"/>
    <w:semiHidden/>
    <w:tblPr/>
  </w:style>
  <w:style w:type="paragraph" w:styleId="834">
    <w:name w:val="正文缩进"/>
    <w:basedOn w:val="830"/>
    <w:next w:val="834"/>
    <w:link w:val="830"/>
    <w:uiPriority w:val="99"/>
    <w:unhideWhenUsed/>
    <w:qFormat/>
    <w:pPr>
      <w:ind w:firstLine="420"/>
    </w:pPr>
  </w:style>
  <w:style w:type="paragraph" w:styleId="835">
    <w:name w:val="正文文本"/>
    <w:basedOn w:val="830"/>
    <w:next w:val="830"/>
    <w:link w:val="830"/>
    <w:unhideWhenUsed/>
    <w:qFormat/>
    <w:pPr>
      <w:spacing w:after="120"/>
    </w:pPr>
    <w:rPr>
      <w:rFonts w:ascii="Calibri" w:hAnsi="Calibri"/>
      <w:szCs w:val="22"/>
    </w:rPr>
  </w:style>
  <w:style w:type="paragraph" w:styleId="836">
    <w:name w:val="索引 4"/>
    <w:basedOn w:val="830"/>
    <w:next w:val="830"/>
    <w:link w:val="830"/>
    <w:uiPriority w:val="99"/>
    <w:unhideWhenUsed/>
    <w:qFormat/>
    <w:pPr>
      <w:ind w:left="600"/>
    </w:pPr>
  </w:style>
  <w:style w:type="paragraph" w:styleId="837">
    <w:name w:val="纯文本"/>
    <w:basedOn w:val="830"/>
    <w:next w:val="837"/>
    <w:link w:val="830"/>
    <w:unhideWhenUsed/>
    <w:qFormat/>
    <w:rPr>
      <w:rFonts w:ascii="宋体" w:hAnsi="Courier New" w:cs="Courier New"/>
      <w:szCs w:val="21"/>
    </w:rPr>
  </w:style>
  <w:style w:type="paragraph" w:styleId="838">
    <w:name w:val="普通(网站)"/>
    <w:basedOn w:val="830"/>
    <w:next w:val="838"/>
    <w:link w:val="830"/>
    <w:qFormat/>
    <w:pPr>
      <w:jc w:val="left"/>
      <w:spacing w:beforeAutospacing="1" w:afterAutospacing="1"/>
    </w:pPr>
    <w:rPr>
      <w:rFonts w:cs="Times New Roman"/>
      <w:sz w:val="24"/>
    </w:rPr>
  </w:style>
  <w:style w:type="paragraph" w:styleId="839">
    <w:name w:val="正文首行缩进 21"/>
    <w:basedOn w:val="840"/>
    <w:next w:val="839"/>
    <w:link w:val="830"/>
    <w:qFormat/>
    <w:pPr>
      <w:ind w:firstLine="420"/>
    </w:pPr>
  </w:style>
  <w:style w:type="paragraph" w:styleId="840">
    <w:name w:val="正文文本缩进1"/>
    <w:basedOn w:val="830"/>
    <w:next w:val="840"/>
    <w:link w:val="830"/>
    <w:qFormat/>
    <w:pPr>
      <w:ind w:left="420"/>
      <w:spacing w:after="120"/>
    </w:pPr>
  </w:style>
  <w:style w:type="paragraph" w:styleId="841">
    <w:name w:val="AONormal"/>
    <w:next w:val="841"/>
    <w:link w:val="830"/>
    <w:qFormat/>
    <w:pPr>
      <w:ind w:firstLine="440"/>
      <w:spacing w:line="400" w:lineRule="exact"/>
    </w:pPr>
    <w:rPr>
      <w:rFonts w:ascii="华文楷体" w:hAnsi="华文楷体" w:eastAsia="华文楷体" w:cs="华文楷体"/>
      <w:sz w:val="22"/>
      <w:szCs w:val="21"/>
      <w:lang w:val="en-US" w:eastAsia="zh-CN" w:bidi="ar-SA"/>
    </w:rPr>
  </w:style>
  <w:style w:type="paragraph" w:styleId="842">
    <w:name w:val="正文空2格  1."/>
    <w:basedOn w:val="830"/>
    <w:next w:val="842"/>
    <w:link w:val="830"/>
    <w:qFormat/>
    <w:pPr>
      <w:ind w:firstLine="480"/>
    </w:pPr>
    <w:rPr>
      <w:rFonts w:cs="宋体"/>
      <w:szCs w:val="20"/>
    </w:rPr>
  </w:style>
  <w:style w:type="paragraph" w:styleId="843">
    <w:name w:val="正文_1"/>
    <w:next w:val="843"/>
    <w:link w:val="830"/>
    <w:qFormat/>
    <w:pPr>
      <w:jc w:val="both"/>
      <w:widowControl w:val="off"/>
    </w:pPr>
    <w:rPr>
      <w:rFonts w:ascii="Calibri" w:hAnsi="Calibri" w:eastAsia="宋体" w:cs="Times New Roman"/>
      <w:sz w:val="21"/>
      <w:szCs w:val="22"/>
      <w:lang w:val="en-US" w:eastAsia="zh-CN" w:bidi="ar-SA"/>
    </w:rPr>
  </w:style>
  <w:style w:type="paragraph" w:styleId="844">
    <w:name w:val="普通正文"/>
    <w:basedOn w:val="830"/>
    <w:next w:val="844"/>
    <w:link w:val="830"/>
    <w:qFormat/>
    <w:pPr>
      <w:ind w:firstLine="480"/>
      <w:jc w:val="left"/>
      <w:spacing w:before="120" w:after="120" w:line="360" w:lineRule="auto"/>
    </w:pPr>
    <w:rPr>
      <w:rFonts w:ascii="Arial" w:hAnsi="Arial" w:eastAsia="等线" w:cs="Arial"/>
      <w:sz w:val="24"/>
      <w:szCs w:val="24"/>
    </w:rPr>
  </w:style>
  <w:style w:type="paragraph" w:styleId="845">
    <w:name w:val="批注文字1"/>
    <w:basedOn w:val="830"/>
    <w:next w:val="845"/>
    <w:link w:val="830"/>
    <w:qFormat/>
    <w:pPr>
      <w:jc w:val="left"/>
    </w:pPr>
  </w:style>
  <w:style w:type="character" w:styleId="846" w:default="1">
    <w:name w:val="Default Paragraph Font"/>
    <w:uiPriority w:val="1"/>
    <w:semiHidden/>
    <w:unhideWhenUsed/>
  </w:style>
  <w:style w:type="numbering" w:styleId="847" w:default="1">
    <w:name w:val="No List"/>
    <w:uiPriority w:val="99"/>
    <w:semiHidden/>
    <w:unhideWhenUsed/>
  </w:style>
  <w:style w:type="table" w:styleId="8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dc:creator>
  <cp:lastModifiedBy>彭明艳</cp:lastModifiedBy>
  <cp:revision>3</cp:revision>
  <dcterms:created xsi:type="dcterms:W3CDTF">2025-09-19T03:51:00Z</dcterms:created>
  <dcterms:modified xsi:type="dcterms:W3CDTF">2025-09-19T06:58:55Z</dcterms:modified>
</cp:coreProperties>
</file>