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sz w:val="36"/>
        </w:rPr>
      </w:pPr>
      <w:r>
        <w:rPr>
          <w:sz w:val="36"/>
        </w:rPr>
      </w:r>
      <w:r/>
    </w:p>
    <w:p>
      <w:pPr>
        <w:pStyle w:val="737"/>
        <w:ind w:firstLine="600"/>
        <w:rPr>
          <w:rFonts w:ascii="Times New Roman" w:hAnsi="Times New Roman" w:eastAsia="宋体"/>
        </w:rPr>
      </w:pPr>
      <w:r>
        <w:rPr>
          <w:rFonts w:ascii="Times New Roman" w:hAnsi="Times New Roman" w:eastAsia="宋体"/>
        </w:rPr>
      </w:r>
      <w:r/>
    </w:p>
    <w:p>
      <w:pPr>
        <w:pStyle w:val="737"/>
        <w:ind w:firstLine="600"/>
        <w:rPr>
          <w:rFonts w:ascii="Times New Roman" w:hAnsi="Times New Roman" w:eastAsia="宋体"/>
        </w:rPr>
      </w:pPr>
      <w:r>
        <w:rPr>
          <w:rFonts w:ascii="Times New Roman" w:hAnsi="Times New Roman" w:eastAsia="宋体"/>
        </w:rPr>
      </w:r>
      <w:r/>
    </w:p>
    <w:p>
      <w:pPr>
        <w:pStyle w:val="737"/>
        <w:ind w:firstLine="600"/>
        <w:rPr>
          <w:rFonts w:ascii="Times New Roman" w:hAnsi="Times New Roman" w:eastAsia="宋体"/>
        </w:rPr>
      </w:pPr>
      <w:r>
        <w:rPr>
          <w:rFonts w:ascii="Times New Roman" w:hAnsi="Times New Roman" w:eastAsia="宋体"/>
        </w:rPr>
      </w:r>
      <w:r/>
    </w:p>
    <w:p>
      <w:pPr>
        <w:pStyle w:val="737"/>
        <w:ind w:firstLine="600"/>
        <w:rPr>
          <w:rFonts w:ascii="Times New Roman" w:hAnsi="Times New Roman" w:eastAsia="宋体"/>
        </w:rPr>
      </w:pPr>
      <w:r>
        <w:rPr>
          <w:rFonts w:ascii="Times New Roman" w:hAnsi="Times New Roman" w:eastAsia="宋体"/>
        </w:rPr>
      </w:r>
      <w:r/>
    </w:p>
    <w:p>
      <w:pPr>
        <w:pStyle w:val="737"/>
        <w:ind w:firstLine="600"/>
        <w:rPr>
          <w:rFonts w:ascii="Times New Roman" w:hAnsi="Times New Roman" w:eastAsia="宋体"/>
        </w:rPr>
      </w:pPr>
      <w:r>
        <w:rPr>
          <w:rFonts w:ascii="Times New Roman" w:hAnsi="Times New Roman" w:eastAsia="宋体"/>
        </w:rPr>
      </w:r>
      <w:r/>
    </w:p>
    <w:p>
      <w:pPr>
        <w:jc w:val="center"/>
        <w:rPr>
          <w:b/>
          <w:sz w:val="84"/>
        </w:rPr>
      </w:pPr>
      <w:r>
        <w:rPr>
          <w:b/>
          <w:sz w:val="84"/>
        </w:rPr>
        <w:t xml:space="preserve">招 标 文 件</w:t>
      </w:r>
      <w:r/>
    </w:p>
    <w:p>
      <w:pPr>
        <w:rPr>
          <w:b/>
          <w:sz w:val="32"/>
        </w:rPr>
      </w:pPr>
      <w:r>
        <w:rPr>
          <w:b/>
          <w:sz w:val="32"/>
        </w:rPr>
        <w:t xml:space="preserve">  </w:t>
      </w:r>
      <w:r/>
    </w:p>
    <w:p>
      <w:pPr>
        <w:jc w:val="center"/>
        <w:rPr>
          <w:b/>
          <w:sz w:val="32"/>
        </w:rPr>
      </w:pPr>
      <w:r>
        <w:rPr>
          <w:b/>
          <w:sz w:val="32"/>
        </w:rPr>
      </w:r>
      <w:r/>
    </w:p>
    <w:p>
      <w:pPr>
        <w:jc w:val="center"/>
        <w:rPr>
          <w:b/>
          <w:sz w:val="32"/>
        </w:rPr>
      </w:pPr>
      <w:r>
        <w:rPr>
          <w:b/>
          <w:sz w:val="32"/>
        </w:rPr>
      </w:r>
      <w:r/>
    </w:p>
    <w:p>
      <w:pPr>
        <w:pStyle w:val="737"/>
        <w:ind w:firstLine="0"/>
        <w:rPr>
          <w:rFonts w:ascii="Times New Roman" w:hAnsi="Times New Roman" w:eastAsia="宋体"/>
        </w:rPr>
      </w:pPr>
      <w:r>
        <w:rPr>
          <w:rFonts w:ascii="Times New Roman" w:hAnsi="Times New Roman" w:eastAsia="宋体"/>
        </w:rPr>
      </w:r>
      <w:r/>
    </w:p>
    <w:p>
      <w:pPr>
        <w:ind w:firstLine="301"/>
        <w:jc w:val="left"/>
        <w:rPr>
          <w:b/>
          <w:sz w:val="30"/>
          <w:szCs w:val="30"/>
        </w:rPr>
      </w:pPr>
      <w:r>
        <w:rPr>
          <w:b/>
          <w:sz w:val="30"/>
          <w:szCs w:val="30"/>
        </w:rPr>
        <w:t xml:space="preserve">项目编号：JSZC-320904-JKGC-G2024-0009</w:t>
      </w:r>
      <w:r/>
    </w:p>
    <w:p>
      <w:pPr>
        <w:ind w:firstLine="2692"/>
        <w:rPr>
          <w:b/>
          <w:sz w:val="36"/>
          <w:szCs w:val="36"/>
        </w:rPr>
      </w:pPr>
      <w:r>
        <w:rPr>
          <w:b/>
          <w:sz w:val="36"/>
          <w:szCs w:val="36"/>
        </w:rPr>
      </w:r>
      <w:r/>
    </w:p>
    <w:p>
      <w:pPr>
        <w:ind w:firstLine="301"/>
        <w:rPr>
          <w:b/>
          <w:sz w:val="36"/>
          <w:szCs w:val="36"/>
        </w:rPr>
      </w:pPr>
      <w:r>
        <w:rPr>
          <w:b/>
          <w:sz w:val="30"/>
          <w:szCs w:val="30"/>
        </w:rPr>
        <w:t xml:space="preserve">项目名称：盐城市大丰区大气环境质量管控服务项目</w:t>
      </w:r>
      <w:r/>
    </w:p>
    <w:p>
      <w:pPr>
        <w:rPr>
          <w:b/>
          <w:sz w:val="32"/>
        </w:rPr>
      </w:pPr>
      <w:r>
        <w:rPr>
          <w:b/>
          <w:sz w:val="32"/>
        </w:rPr>
      </w:r>
      <w:r/>
    </w:p>
    <w:p>
      <w:pPr>
        <w:rPr>
          <w:b/>
          <w:sz w:val="32"/>
        </w:rPr>
      </w:pPr>
      <w:r>
        <w:rPr>
          <w:b/>
          <w:sz w:val="32"/>
        </w:rPr>
      </w:r>
      <w:r/>
    </w:p>
    <w:p>
      <w:pPr>
        <w:rPr>
          <w:b/>
          <w:sz w:val="32"/>
        </w:rPr>
      </w:pPr>
      <w:r>
        <w:rPr>
          <w:b/>
          <w:sz w:val="32"/>
        </w:rPr>
      </w:r>
      <w:r/>
    </w:p>
    <w:p>
      <w:pPr>
        <w:pStyle w:val="926"/>
        <w:rPr>
          <w:rFonts w:ascii="Times New Roman" w:hAnsi="Times New Roman" w:cs="Times New Roman"/>
          <w:b/>
          <w:color w:val="auto"/>
          <w:sz w:val="32"/>
        </w:rPr>
      </w:pPr>
      <w:r>
        <w:rPr>
          <w:rFonts w:ascii="Times New Roman" w:hAnsi="Times New Roman" w:cs="Times New Roman"/>
          <w:b/>
          <w:color w:val="auto"/>
          <w:sz w:val="32"/>
        </w:rPr>
      </w:r>
      <w:r/>
    </w:p>
    <w:p>
      <w:pPr>
        <w:pStyle w:val="927"/>
      </w:pPr>
      <w:r/>
      <w:r/>
    </w:p>
    <w:p>
      <w:r/>
      <w:r/>
    </w:p>
    <w:p>
      <w:pPr>
        <w:pStyle w:val="737"/>
        <w:ind w:firstLine="600"/>
        <w:rPr>
          <w:rFonts w:ascii="Times New Roman" w:hAnsi="Times New Roman" w:eastAsia="宋体"/>
        </w:rPr>
      </w:pPr>
      <w:r>
        <w:rPr>
          <w:rFonts w:ascii="Times New Roman" w:hAnsi="Times New Roman" w:eastAsia="宋体"/>
        </w:rPr>
      </w:r>
      <w:r/>
    </w:p>
    <w:p>
      <w:r/>
      <w:r/>
    </w:p>
    <w:p>
      <w:r/>
      <w:r/>
    </w:p>
    <w:p>
      <w:pPr>
        <w:ind w:firstLine="1405"/>
        <w:spacing w:line="360" w:lineRule="auto"/>
        <w:rPr>
          <w:b/>
          <w:sz w:val="28"/>
        </w:rPr>
      </w:pPr>
      <w:r>
        <w:rPr>
          <w:b/>
          <w:sz w:val="28"/>
        </w:rPr>
        <w:t xml:space="preserve">采 购 人：盐城市大丰生态环境局</w:t>
      </w:r>
      <w:r/>
    </w:p>
    <w:p>
      <w:pPr>
        <w:ind w:firstLine="1405"/>
        <w:spacing w:before="120" w:after="120" w:line="700" w:lineRule="exact"/>
        <w:rPr>
          <w:b/>
          <w:bCs/>
          <w:sz w:val="36"/>
          <w:szCs w:val="36"/>
        </w:rPr>
      </w:pPr>
      <w:r>
        <w:rPr>
          <w:b/>
          <w:sz w:val="28"/>
        </w:rPr>
        <w:t xml:space="preserve">代理机构：盐城市建康工程项目管理有限公司</w:t>
      </w:r>
      <w:r/>
    </w:p>
    <w:p>
      <w:pPr>
        <w:jc w:val="center"/>
        <w:spacing w:before="120" w:after="120" w:line="700" w:lineRule="exact"/>
        <w:rPr>
          <w:b/>
          <w:bCs/>
          <w:sz w:val="36"/>
          <w:szCs w:val="36"/>
        </w:rPr>
      </w:pPr>
      <w:r>
        <w:rPr>
          <w:b/>
          <w:sz w:val="28"/>
        </w:rPr>
        <w:t xml:space="preserve">二〇二四年</w:t>
      </w:r>
      <w:r>
        <w:rPr>
          <w:rFonts w:hint="eastAsia"/>
          <w:b/>
          <w:sz w:val="28"/>
          <w:lang w:val="en-US" w:eastAsia="zh-CN"/>
        </w:rPr>
        <w:t xml:space="preserve">九</w:t>
      </w:r>
      <w:r>
        <w:rPr>
          <w:b/>
          <w:sz w:val="28"/>
        </w:rPr>
        <w:t xml:space="preserve">月</w:t>
      </w:r>
      <w:r/>
    </w:p>
    <w:p>
      <w:pPr>
        <w:jc w:val="center"/>
        <w:spacing w:line="480" w:lineRule="auto"/>
        <w:rPr>
          <w:b/>
          <w:sz w:val="36"/>
          <w:szCs w:val="36"/>
        </w:rPr>
      </w:pPr>
      <w:r/>
      <w:bookmarkStart w:id="0" w:name="_Toc120614210"/>
      <w:r/>
      <w:bookmarkStart w:id="1" w:name="_Toc16938516"/>
      <w:r/>
      <w:bookmarkStart w:id="2" w:name="_Toc479757206"/>
      <w:r/>
      <w:bookmarkStart w:id="3" w:name="_Toc523127445"/>
      <w:r/>
      <w:bookmarkStart w:id="4" w:name="_Toc513029200"/>
      <w:r/>
      <w:bookmarkStart w:id="5" w:name="_Toc20823272"/>
      <w:r/>
      <w:r/>
    </w:p>
    <w:p>
      <w:pPr>
        <w:jc w:val="center"/>
        <w:spacing w:line="480" w:lineRule="auto"/>
        <w:rPr>
          <w:b/>
          <w:sz w:val="36"/>
          <w:szCs w:val="36"/>
        </w:rPr>
      </w:pPr>
      <w:r>
        <w:rPr>
          <w:b/>
          <w:sz w:val="36"/>
          <w:szCs w:val="36"/>
        </w:rPr>
      </w:r>
      <w:r/>
    </w:p>
    <w:p>
      <w:pPr>
        <w:jc w:val="center"/>
        <w:spacing w:line="480" w:lineRule="auto"/>
        <w:rPr>
          <w:b/>
          <w:bCs/>
          <w:sz w:val="36"/>
          <w:szCs w:val="36"/>
        </w:rPr>
      </w:pPr>
      <w:r>
        <w:rPr>
          <w:b/>
          <w:sz w:val="36"/>
          <w:szCs w:val="36"/>
        </w:rPr>
        <w:t xml:space="preserve">总  目  录</w:t>
      </w:r>
      <w:r/>
    </w:p>
    <w:p>
      <w:pPr>
        <w:pStyle w:val="737"/>
        <w:ind w:firstLine="0"/>
        <w:rPr>
          <w:rFonts w:ascii="Times New Roman" w:hAnsi="Times New Roman" w:eastAsia="宋体"/>
        </w:rPr>
      </w:pPr>
      <w:r>
        <w:rPr>
          <w:rFonts w:ascii="Times New Roman" w:hAnsi="Times New Roman" w:eastAsia="宋体"/>
        </w:rPr>
      </w:r>
      <w:r/>
    </w:p>
    <w:p>
      <w:pPr>
        <w:pStyle w:val="721"/>
        <w:spacing w:line="720" w:lineRule="auto"/>
        <w:rPr>
          <w:rFonts w:ascii="Times New Roman" w:hAnsi="Times New Roman"/>
          <w:b/>
          <w:caps w:val="0"/>
          <w:sz w:val="32"/>
          <w:szCs w:val="32"/>
        </w:rPr>
      </w:pPr>
      <w:r>
        <w:rPr>
          <w:rFonts w:ascii="Times New Roman" w:hAnsi="Times New Roman"/>
          <w:b/>
          <w:sz w:val="32"/>
          <w:szCs w:val="32"/>
        </w:rPr>
        <w:fldChar w:fldCharType="begin"/>
      </w:r>
      <w:r>
        <w:rPr>
          <w:rFonts w:ascii="Times New Roman" w:hAnsi="Times New Roman"/>
          <w:b/>
          <w:sz w:val="32"/>
          <w:szCs w:val="32"/>
        </w:rPr>
        <w:instrText xml:space="preserve"> TOC \o "1-1" \h \z \u </w:instrText>
      </w:r>
      <w:r>
        <w:rPr>
          <w:rFonts w:ascii="Times New Roman" w:hAnsi="Times New Roman"/>
          <w:b/>
          <w:sz w:val="32"/>
          <w:szCs w:val="32"/>
        </w:rPr>
        <w:fldChar w:fldCharType="separate"/>
      </w:r>
      <w:r>
        <w:fldChar w:fldCharType="begin"/>
      </w:r>
      <w:r>
        <w:instrText xml:space="preserve"> HYPERLINK \l "_Toc139298009" </w:instrText>
      </w:r>
      <w:r>
        <w:fldChar w:fldCharType="separate"/>
      </w:r>
      <w:r>
        <w:rPr>
          <w:rStyle w:val="745"/>
          <w:rFonts w:ascii="Times New Roman" w:hAnsi="Times New Roman"/>
          <w:b/>
          <w:sz w:val="32"/>
          <w:szCs w:val="32"/>
        </w:rPr>
        <w:t xml:space="preserve">第一章  招标公告</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_Toc139298009 \h </w:instrText>
      </w:r>
      <w:r>
        <w:rPr>
          <w:rFonts w:ascii="Times New Roman" w:hAnsi="Times New Roman"/>
          <w:b/>
          <w:sz w:val="32"/>
          <w:szCs w:val="32"/>
        </w:rPr>
        <w:fldChar w:fldCharType="separate"/>
      </w:r>
      <w:r>
        <w:rPr>
          <w:rFonts w:ascii="Times New Roman" w:hAnsi="Times New Roman"/>
          <w:b/>
          <w:sz w:val="32"/>
          <w:szCs w:val="32"/>
        </w:rPr>
        <w:t xml:space="preserve">2</w:t>
      </w:r>
      <w:r>
        <w:rPr>
          <w:rFonts w:ascii="Times New Roman" w:hAnsi="Times New Roman"/>
          <w:b/>
          <w:sz w:val="32"/>
          <w:szCs w:val="32"/>
        </w:rPr>
        <w:fldChar w:fldCharType="end"/>
      </w:r>
      <w:r>
        <w:rPr>
          <w:rFonts w:ascii="Times New Roman" w:hAnsi="Times New Roman"/>
          <w:b/>
          <w:sz w:val="32"/>
          <w:szCs w:val="32"/>
        </w:rPr>
        <w:fldChar w:fldCharType="end"/>
      </w:r>
      <w:r/>
    </w:p>
    <w:p>
      <w:pPr>
        <w:pStyle w:val="721"/>
        <w:spacing w:line="720" w:lineRule="auto"/>
        <w:rPr>
          <w:rFonts w:ascii="Times New Roman" w:hAnsi="Times New Roman"/>
          <w:b/>
          <w:caps w:val="0"/>
          <w:sz w:val="32"/>
          <w:szCs w:val="32"/>
        </w:rPr>
      </w:pPr>
      <w:r>
        <w:fldChar w:fldCharType="begin"/>
      </w:r>
      <w:r>
        <w:instrText xml:space="preserve"> HYPERLINK \l "_Toc139298010" </w:instrText>
      </w:r>
      <w:r>
        <w:fldChar w:fldCharType="separate"/>
      </w:r>
      <w:r>
        <w:rPr>
          <w:rStyle w:val="745"/>
          <w:rFonts w:ascii="Times New Roman" w:hAnsi="Times New Roman"/>
          <w:b/>
          <w:sz w:val="32"/>
          <w:szCs w:val="32"/>
        </w:rPr>
        <w:t xml:space="preserve">第二章  投标人须知</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_Toc139298010 \h </w:instrText>
      </w:r>
      <w:r>
        <w:rPr>
          <w:rFonts w:ascii="Times New Roman" w:hAnsi="Times New Roman"/>
          <w:b/>
          <w:sz w:val="32"/>
          <w:szCs w:val="32"/>
        </w:rPr>
        <w:fldChar w:fldCharType="separate"/>
      </w:r>
      <w:r>
        <w:rPr>
          <w:rFonts w:ascii="Times New Roman" w:hAnsi="Times New Roman"/>
          <w:b/>
          <w:sz w:val="32"/>
          <w:szCs w:val="32"/>
        </w:rPr>
        <w:t xml:space="preserve">5</w:t>
      </w:r>
      <w:r>
        <w:rPr>
          <w:rFonts w:ascii="Times New Roman" w:hAnsi="Times New Roman"/>
          <w:b/>
          <w:sz w:val="32"/>
          <w:szCs w:val="32"/>
        </w:rPr>
        <w:fldChar w:fldCharType="end"/>
      </w:r>
      <w:r>
        <w:rPr>
          <w:rFonts w:ascii="Times New Roman" w:hAnsi="Times New Roman"/>
          <w:b/>
          <w:sz w:val="32"/>
          <w:szCs w:val="32"/>
        </w:rPr>
        <w:fldChar w:fldCharType="end"/>
      </w:r>
      <w:r/>
    </w:p>
    <w:p>
      <w:pPr>
        <w:pStyle w:val="721"/>
        <w:spacing w:line="720" w:lineRule="auto"/>
        <w:rPr>
          <w:rFonts w:ascii="Times New Roman" w:hAnsi="Times New Roman"/>
          <w:b/>
          <w:caps w:val="0"/>
          <w:sz w:val="32"/>
          <w:szCs w:val="32"/>
        </w:rPr>
      </w:pPr>
      <w:r>
        <w:fldChar w:fldCharType="begin"/>
      </w:r>
      <w:r>
        <w:instrText xml:space="preserve"> HYPERLINK \l "_Toc139298011" </w:instrText>
      </w:r>
      <w:r>
        <w:fldChar w:fldCharType="separate"/>
      </w:r>
      <w:r>
        <w:rPr>
          <w:rStyle w:val="745"/>
          <w:rFonts w:ascii="Times New Roman" w:hAnsi="Times New Roman"/>
          <w:b/>
          <w:bCs/>
          <w:sz w:val="32"/>
          <w:szCs w:val="32"/>
        </w:rPr>
        <w:t xml:space="preserve">第三章  合同条款及格式</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_Toc139298011 \h </w:instrText>
      </w:r>
      <w:r>
        <w:rPr>
          <w:rFonts w:ascii="Times New Roman" w:hAnsi="Times New Roman"/>
          <w:b/>
          <w:sz w:val="32"/>
          <w:szCs w:val="32"/>
        </w:rPr>
        <w:fldChar w:fldCharType="separate"/>
      </w:r>
      <w:r>
        <w:rPr>
          <w:rFonts w:ascii="Times New Roman" w:hAnsi="Times New Roman"/>
          <w:b/>
          <w:sz w:val="32"/>
          <w:szCs w:val="32"/>
        </w:rPr>
        <w:t xml:space="preserve">14</w:t>
      </w:r>
      <w:r>
        <w:rPr>
          <w:rFonts w:ascii="Times New Roman" w:hAnsi="Times New Roman"/>
          <w:b/>
          <w:sz w:val="32"/>
          <w:szCs w:val="32"/>
        </w:rPr>
        <w:fldChar w:fldCharType="end"/>
      </w:r>
      <w:r>
        <w:rPr>
          <w:rFonts w:ascii="Times New Roman" w:hAnsi="Times New Roman"/>
          <w:b/>
          <w:sz w:val="32"/>
          <w:szCs w:val="32"/>
        </w:rPr>
        <w:fldChar w:fldCharType="end"/>
      </w:r>
      <w:r/>
    </w:p>
    <w:p>
      <w:pPr>
        <w:pStyle w:val="721"/>
        <w:spacing w:line="720" w:lineRule="auto"/>
        <w:rPr>
          <w:rFonts w:ascii="Times New Roman" w:hAnsi="Times New Roman"/>
          <w:b/>
          <w:caps w:val="0"/>
          <w:sz w:val="32"/>
          <w:szCs w:val="32"/>
        </w:rPr>
      </w:pPr>
      <w:r>
        <w:fldChar w:fldCharType="begin"/>
      </w:r>
      <w:r>
        <w:instrText xml:space="preserve"> HYPERLINK \l "_Toc139298012" </w:instrText>
      </w:r>
      <w:r>
        <w:fldChar w:fldCharType="separate"/>
      </w:r>
      <w:r>
        <w:rPr>
          <w:rStyle w:val="745"/>
          <w:rFonts w:ascii="Times New Roman" w:hAnsi="Times New Roman"/>
          <w:b/>
          <w:sz w:val="32"/>
          <w:szCs w:val="32"/>
        </w:rPr>
        <w:t xml:space="preserve">第四章  </w:t>
      </w:r>
      <w:r>
        <w:rPr>
          <w:rStyle w:val="745"/>
          <w:rFonts w:ascii="Times New Roman" w:hAnsi="Times New Roman"/>
          <w:b/>
          <w:bCs/>
          <w:sz w:val="32"/>
          <w:szCs w:val="32"/>
        </w:rPr>
        <w:t xml:space="preserve">项目需求</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_Toc139298012 \h </w:instrText>
      </w:r>
      <w:r>
        <w:rPr>
          <w:rFonts w:ascii="Times New Roman" w:hAnsi="Times New Roman"/>
          <w:b/>
          <w:sz w:val="32"/>
          <w:szCs w:val="32"/>
        </w:rPr>
        <w:fldChar w:fldCharType="separate"/>
      </w:r>
      <w:r>
        <w:rPr>
          <w:rFonts w:ascii="Times New Roman" w:hAnsi="Times New Roman"/>
          <w:b/>
          <w:sz w:val="32"/>
          <w:szCs w:val="32"/>
        </w:rPr>
        <w:t xml:space="preserve">17</w:t>
      </w:r>
      <w:r>
        <w:rPr>
          <w:rFonts w:ascii="Times New Roman" w:hAnsi="Times New Roman"/>
          <w:b/>
          <w:sz w:val="32"/>
          <w:szCs w:val="32"/>
        </w:rPr>
        <w:fldChar w:fldCharType="end"/>
      </w:r>
      <w:r>
        <w:rPr>
          <w:rFonts w:ascii="Times New Roman" w:hAnsi="Times New Roman"/>
          <w:b/>
          <w:sz w:val="32"/>
          <w:szCs w:val="32"/>
        </w:rPr>
        <w:fldChar w:fldCharType="end"/>
      </w:r>
      <w:r/>
    </w:p>
    <w:p>
      <w:pPr>
        <w:pStyle w:val="721"/>
        <w:spacing w:line="720" w:lineRule="auto"/>
        <w:rPr>
          <w:rFonts w:ascii="Times New Roman" w:hAnsi="Times New Roman"/>
          <w:b/>
          <w:caps w:val="0"/>
          <w:sz w:val="32"/>
          <w:szCs w:val="32"/>
        </w:rPr>
      </w:pPr>
      <w:r>
        <w:fldChar w:fldCharType="begin"/>
      </w:r>
      <w:r>
        <w:instrText xml:space="preserve"> HYPERLINK \l "_Toc139298013" </w:instrText>
      </w:r>
      <w:r>
        <w:fldChar w:fldCharType="separate"/>
      </w:r>
      <w:r>
        <w:rPr>
          <w:rStyle w:val="745"/>
          <w:rFonts w:ascii="Times New Roman" w:hAnsi="Times New Roman"/>
          <w:b/>
          <w:bCs/>
          <w:sz w:val="32"/>
          <w:szCs w:val="32"/>
        </w:rPr>
        <w:t xml:space="preserve">第五章  定标原则与评标标准</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_Toc139298013 \h </w:instrText>
      </w:r>
      <w:r>
        <w:rPr>
          <w:rFonts w:ascii="Times New Roman" w:hAnsi="Times New Roman"/>
          <w:b/>
          <w:sz w:val="32"/>
          <w:szCs w:val="32"/>
        </w:rPr>
        <w:fldChar w:fldCharType="separate"/>
      </w:r>
      <w:r>
        <w:rPr>
          <w:rFonts w:ascii="Times New Roman" w:hAnsi="Times New Roman"/>
          <w:b/>
          <w:sz w:val="32"/>
          <w:szCs w:val="32"/>
        </w:rPr>
        <w:t xml:space="preserve">19</w:t>
      </w:r>
      <w:r>
        <w:rPr>
          <w:rFonts w:ascii="Times New Roman" w:hAnsi="Times New Roman"/>
          <w:b/>
          <w:sz w:val="32"/>
          <w:szCs w:val="32"/>
        </w:rPr>
        <w:fldChar w:fldCharType="end"/>
      </w:r>
      <w:r>
        <w:rPr>
          <w:rFonts w:ascii="Times New Roman" w:hAnsi="Times New Roman"/>
          <w:b/>
          <w:sz w:val="32"/>
          <w:szCs w:val="32"/>
        </w:rPr>
        <w:fldChar w:fldCharType="end"/>
      </w:r>
      <w:r/>
    </w:p>
    <w:p>
      <w:pPr>
        <w:pStyle w:val="721"/>
        <w:spacing w:line="720" w:lineRule="auto"/>
        <w:rPr>
          <w:rFonts w:ascii="Times New Roman" w:hAnsi="Times New Roman"/>
          <w:b/>
          <w:caps w:val="0"/>
          <w:sz w:val="32"/>
          <w:szCs w:val="32"/>
        </w:rPr>
      </w:pPr>
      <w:r>
        <w:fldChar w:fldCharType="begin"/>
      </w:r>
      <w:r>
        <w:instrText xml:space="preserve"> HYPERLINK \l "_Toc139298014" </w:instrText>
      </w:r>
      <w:r>
        <w:fldChar w:fldCharType="separate"/>
      </w:r>
      <w:r>
        <w:rPr>
          <w:rStyle w:val="745"/>
          <w:rFonts w:ascii="Times New Roman" w:hAnsi="Times New Roman"/>
          <w:b/>
          <w:bCs/>
          <w:sz w:val="32"/>
          <w:szCs w:val="32"/>
        </w:rPr>
        <w:t xml:space="preserve">第六章 投标文件格式</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_Toc139298014 \h </w:instrText>
      </w:r>
      <w:r>
        <w:rPr>
          <w:rFonts w:ascii="Times New Roman" w:hAnsi="Times New Roman"/>
          <w:b/>
          <w:sz w:val="32"/>
          <w:szCs w:val="32"/>
        </w:rPr>
        <w:fldChar w:fldCharType="separate"/>
      </w:r>
      <w:r>
        <w:rPr>
          <w:rFonts w:ascii="Times New Roman" w:hAnsi="Times New Roman"/>
          <w:b/>
          <w:sz w:val="32"/>
          <w:szCs w:val="32"/>
        </w:rPr>
        <w:t xml:space="preserve">28</w:t>
      </w:r>
      <w:r>
        <w:rPr>
          <w:rFonts w:ascii="Times New Roman" w:hAnsi="Times New Roman"/>
          <w:b/>
          <w:sz w:val="32"/>
          <w:szCs w:val="32"/>
        </w:rPr>
        <w:fldChar w:fldCharType="end"/>
      </w:r>
      <w:r>
        <w:rPr>
          <w:rFonts w:ascii="Times New Roman" w:hAnsi="Times New Roman"/>
          <w:b/>
          <w:sz w:val="32"/>
          <w:szCs w:val="32"/>
        </w:rPr>
        <w:fldChar w:fldCharType="end"/>
      </w:r>
      <w:r/>
    </w:p>
    <w:p>
      <w:pPr>
        <w:pStyle w:val="738"/>
        <w:ind w:firstLine="643"/>
        <w:spacing w:line="720" w:lineRule="auto"/>
        <w:rPr>
          <w:rFonts w:ascii="Times New Roman" w:hAnsi="Times New Roman"/>
          <w:sz w:val="44"/>
          <w:szCs w:val="44"/>
        </w:rPr>
        <w:sectPr>
          <w:headerReference w:type="default" r:id="rId9"/>
          <w:footerReference w:type="default" r:id="rId10"/>
          <w:footerReference w:type="even" r:id="rId11"/>
          <w:footnotePr/>
          <w:endnotePr/>
          <w:type w:val="nextPage"/>
          <w:pgSz w:w="11906" w:h="16838" w:orient="portrait"/>
          <w:pgMar w:top="1440" w:right="1587" w:bottom="1440" w:left="1587" w:header="851" w:footer="907" w:gutter="0"/>
          <w:pgNumType w:start="0"/>
          <w:cols w:num="1" w:sep="0" w:space="720" w:equalWidth="1"/>
          <w:docGrid w:linePitch="360"/>
          <w:titlePg/>
        </w:sectPr>
      </w:pPr>
      <w:r>
        <w:rPr>
          <w:rFonts w:ascii="Times New Roman" w:hAnsi="Times New Roman"/>
          <w:b/>
          <w:sz w:val="32"/>
          <w:szCs w:val="32"/>
        </w:rPr>
        <w:fldChar w:fldCharType="end"/>
      </w:r>
      <w:r/>
    </w:p>
    <w:p>
      <w:pPr>
        <w:pStyle w:val="688"/>
        <w:rPr>
          <w:rFonts w:hint="eastAsia" w:ascii="Times New Roman" w:eastAsia="宋体"/>
          <w:bCs/>
          <w:sz w:val="36"/>
          <w:szCs w:val="36"/>
          <w:lang w:eastAsia="zh-CN"/>
        </w:rPr>
      </w:pPr>
      <w:r/>
      <w:bookmarkStart w:id="6" w:name="_Toc139298009"/>
      <w:r>
        <w:rPr>
          <w:rFonts w:ascii="Times New Roman" w:eastAsia="宋体"/>
          <w:sz w:val="36"/>
          <w:szCs w:val="36"/>
        </w:rPr>
        <w:t xml:space="preserve">第一章  </w:t>
      </w:r>
      <w:bookmarkEnd w:id="0"/>
      <w:r>
        <w:rPr>
          <w:rFonts w:ascii="Times New Roman" w:eastAsia="宋体"/>
          <w:sz w:val="36"/>
          <w:szCs w:val="36"/>
        </w:rPr>
        <w:t xml:space="preserve">招标公告</w:t>
      </w:r>
      <w:bookmarkEnd w:id="6"/>
      <w:r>
        <w:rPr>
          <w:rFonts w:hint="eastAsia" w:ascii="Times New Roman" w:eastAsia="宋体"/>
          <w:sz w:val="36"/>
          <w:szCs w:val="36"/>
          <w:lang w:eastAsia="zh-CN"/>
        </w:rPr>
        <w:t xml:space="preserve">（</w:t>
      </w:r>
      <w:r>
        <w:rPr>
          <w:rFonts w:hint="eastAsia" w:ascii="Times New Roman" w:eastAsia="宋体"/>
          <w:sz w:val="36"/>
          <w:szCs w:val="36"/>
          <w:lang w:val="en-US" w:eastAsia="zh-CN"/>
        </w:rPr>
        <w:t xml:space="preserve">二次</w:t>
      </w:r>
      <w:r>
        <w:rPr>
          <w:rFonts w:hint="eastAsia" w:ascii="Times New Roman" w:eastAsia="宋体"/>
          <w:sz w:val="36"/>
          <w:szCs w:val="36"/>
          <w:lang w:eastAsia="zh-CN"/>
        </w:rPr>
        <w:t xml:space="preserve">）</w:t>
      </w:r>
      <w:r/>
    </w:p>
    <w:p>
      <w:pPr>
        <w:ind w:firstLine="420"/>
        <w:pBdr>
          <w:top w:val="single" w:color="auto" w:sz="4" w:space="1"/>
          <w:left w:val="single" w:color="auto" w:sz="4" w:space="4"/>
          <w:bottom w:val="single" w:color="auto" w:sz="4" w:space="1"/>
          <w:right w:val="single" w:color="auto" w:sz="4" w:space="4"/>
        </w:pBdr>
      </w:pPr>
      <w:r>
        <w:t xml:space="preserve">项目概况</w:t>
      </w:r>
      <w:r/>
    </w:p>
    <w:p>
      <w:pPr>
        <w:ind w:firstLine="420"/>
        <w:spacing w:line="500" w:lineRule="exact"/>
        <w:rPr>
          <w:color w:val="auto"/>
        </w:rPr>
        <w:pBdr>
          <w:top w:val="single" w:color="auto" w:sz="4" w:space="1"/>
          <w:left w:val="single" w:color="auto" w:sz="4" w:space="4"/>
          <w:bottom w:val="single" w:color="auto" w:sz="4" w:space="1"/>
          <w:right w:val="single" w:color="auto" w:sz="4" w:space="4"/>
        </w:pBdr>
      </w:pPr>
      <w:r>
        <w:rPr>
          <w:u w:val="single"/>
        </w:rPr>
        <w:t xml:space="preserve">盐城市大丰区大</w:t>
      </w:r>
      <w:r>
        <w:rPr>
          <w:color w:val="auto"/>
          <w:u w:val="single"/>
        </w:rPr>
        <w:t xml:space="preserve">气环境质量管控服务项目</w:t>
      </w:r>
      <w:r>
        <w:rPr>
          <w:color w:val="auto"/>
        </w:rPr>
        <w:t xml:space="preserve">的潜在投标人应在</w:t>
      </w:r>
      <w:r>
        <w:rPr>
          <w:color w:val="auto"/>
          <w:u w:val="single"/>
        </w:rPr>
        <w:t xml:space="preserve">盐城市建康工程项目管理有限公司</w:t>
      </w:r>
      <w:r>
        <w:rPr>
          <w:color w:val="auto"/>
        </w:rPr>
        <w:t xml:space="preserve">获取招标文件，并于</w:t>
      </w:r>
      <w:r>
        <w:rPr>
          <w:color w:val="auto"/>
          <w:u w:val="single"/>
        </w:rPr>
        <w:t xml:space="preserve">2024年 </w:t>
      </w:r>
      <w:r>
        <w:rPr>
          <w:rFonts w:hint="eastAsia"/>
          <w:color w:val="auto"/>
          <w:u w:val="single"/>
          <w:lang w:val="en-US" w:eastAsia="zh-CN"/>
        </w:rPr>
        <w:t xml:space="preserve">10</w:t>
      </w:r>
      <w:r>
        <w:rPr>
          <w:color w:val="auto"/>
          <w:u w:val="single"/>
        </w:rPr>
        <w:t xml:space="preserve">月 </w:t>
      </w:r>
      <w:r>
        <w:rPr>
          <w:rFonts w:hint="eastAsia"/>
          <w:color w:val="auto"/>
          <w:u w:val="single"/>
          <w:lang w:val="en-US" w:eastAsia="zh-CN"/>
        </w:rPr>
        <w:t xml:space="preserve">24</w:t>
      </w:r>
      <w:r>
        <w:rPr>
          <w:color w:val="auto"/>
          <w:u w:val="single"/>
        </w:rPr>
        <w:t xml:space="preserve">日 </w:t>
      </w:r>
      <w:r>
        <w:rPr>
          <w:rFonts w:hint="eastAsia"/>
          <w:color w:val="auto"/>
          <w:u w:val="single"/>
          <w:lang w:val="en-US" w:eastAsia="zh-CN"/>
        </w:rPr>
        <w:t xml:space="preserve">9</w:t>
      </w:r>
      <w:r>
        <w:rPr>
          <w:color w:val="auto"/>
          <w:u w:val="single"/>
        </w:rPr>
        <w:t xml:space="preserve">时00分</w:t>
      </w:r>
      <w:r>
        <w:rPr>
          <w:bCs/>
          <w:color w:val="auto"/>
          <w:u w:val="single"/>
        </w:rPr>
        <w:t xml:space="preserve">（</w:t>
      </w:r>
      <w:r>
        <w:rPr>
          <w:bCs/>
          <w:color w:val="auto"/>
        </w:rPr>
        <w:t xml:space="preserve">北京时间）前递交投标文件</w:t>
      </w:r>
      <w:r>
        <w:rPr>
          <w:color w:val="auto"/>
        </w:rPr>
        <w:t xml:space="preserve">。</w:t>
      </w:r>
      <w:r/>
    </w:p>
    <w:p>
      <w:pPr>
        <w:ind w:firstLine="422"/>
        <w:spacing w:line="400" w:lineRule="exact"/>
        <w:rPr>
          <w:b/>
          <w:bCs/>
          <w:color w:val="auto"/>
        </w:rPr>
      </w:pPr>
      <w:r/>
      <w:bookmarkStart w:id="7" w:name="_Toc28359079"/>
      <w:r/>
      <w:bookmarkStart w:id="8" w:name="_Toc28359002"/>
      <w:r/>
      <w:bookmarkStart w:id="9" w:name="_Toc35393621"/>
      <w:r/>
      <w:bookmarkStart w:id="10" w:name="_Toc35393790"/>
      <w:r/>
      <w:bookmarkStart w:id="11" w:name="_Hlk24379207"/>
      <w:r>
        <w:rPr>
          <w:b/>
          <w:bCs/>
          <w:color w:val="auto"/>
        </w:rPr>
        <w:t xml:space="preserve">一、项目基本情况</w:t>
      </w:r>
      <w:bookmarkEnd w:id="7"/>
      <w:r/>
      <w:bookmarkEnd w:id="8"/>
      <w:r/>
      <w:bookmarkEnd w:id="9"/>
      <w:r/>
      <w:bookmarkEnd w:id="10"/>
      <w:r/>
      <w:r/>
    </w:p>
    <w:p>
      <w:pPr>
        <w:ind w:firstLine="420"/>
        <w:spacing w:line="400" w:lineRule="exact"/>
        <w:rPr>
          <w:color w:val="auto"/>
        </w:rPr>
      </w:pPr>
      <w:r>
        <w:rPr>
          <w:color w:val="auto"/>
        </w:rPr>
        <w:t xml:space="preserve">项目编号： JSZC-320904-JKGC-G2024-0009</w:t>
      </w:r>
      <w:bookmarkStart w:id="69" w:name="_GoBack"/>
      <w:r/>
      <w:bookmarkEnd w:id="69"/>
      <w:r/>
      <w:r/>
    </w:p>
    <w:p>
      <w:pPr>
        <w:ind w:firstLine="420"/>
        <w:spacing w:line="400" w:lineRule="exact"/>
        <w:rPr>
          <w:color w:val="000000" w:themeColor="text1"/>
          <w14:textFill>
            <w14:solidFill>
              <w14:schemeClr w14:val="tx1"/>
            </w14:solidFill>
          </w14:textFill>
        </w:rPr>
      </w:pPr>
      <w:r>
        <w:rPr>
          <w:color w:val="auto"/>
        </w:rPr>
        <w:t xml:space="preserve">项目名称</w:t>
      </w:r>
      <w:r>
        <w:rPr>
          <w:color w:val="000000" w:themeColor="text1"/>
          <w14:textFill>
            <w14:solidFill>
              <w14:schemeClr w14:val="tx1"/>
            </w14:solidFill>
          </w14:textFill>
        </w:rPr>
        <w:t xml:space="preserve">：盐城市大丰区大气环境质量管控服务项目；</w:t>
      </w:r>
      <w:bookmarkEnd w:id="11"/>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预算金额：</w:t>
      </w:r>
      <w:r>
        <w:rPr>
          <w:rFonts w:hint="eastAsia"/>
          <w:color w:val="000000" w:themeColor="text1"/>
          <w:lang w:val="en-US" w:eastAsia="zh-CN"/>
          <w14:textFill>
            <w14:solidFill>
              <w14:schemeClr w14:val="tx1"/>
            </w14:solidFill>
          </w14:textFill>
        </w:rPr>
        <w:t xml:space="preserve">285</w:t>
      </w:r>
      <w:r>
        <w:rPr>
          <w:color w:val="000000" w:themeColor="text1"/>
          <w14:textFill>
            <w14:solidFill>
              <w14:schemeClr w14:val="tx1"/>
            </w14:solidFill>
          </w14:textFill>
        </w:rPr>
        <w:t xml:space="preserve">万元；</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最高限价：</w:t>
      </w:r>
      <w:r>
        <w:rPr>
          <w:rFonts w:hint="eastAsia"/>
          <w:color w:val="000000" w:themeColor="text1"/>
          <w:lang w:val="en-US" w:eastAsia="zh-CN"/>
          <w14:textFill>
            <w14:solidFill>
              <w14:schemeClr w14:val="tx1"/>
            </w14:solidFill>
          </w14:textFill>
        </w:rPr>
        <w:t xml:space="preserve">250</w:t>
      </w:r>
      <w:r>
        <w:rPr>
          <w:color w:val="000000" w:themeColor="text1"/>
          <w14:textFill>
            <w14:solidFill>
              <w14:schemeClr w14:val="tx1"/>
            </w14:solidFill>
          </w14:textFill>
        </w:rPr>
        <w:t xml:space="preserve">万元，投标报价高于最高限价的作无效标处理；</w:t>
      </w:r>
      <w:r/>
    </w:p>
    <w:p>
      <w:pPr>
        <w:ind w:firstLine="420"/>
        <w:spacing w:line="400" w:lineRule="exact"/>
        <w:rPr>
          <w:color w:val="000000" w:themeColor="text1"/>
          <w:highlight w:val="none"/>
          <w14:textFill>
            <w14:solidFill>
              <w14:schemeClr w14:val="tx1"/>
            </w14:solidFill>
          </w14:textFill>
        </w:rPr>
      </w:pPr>
      <w:r/>
      <w:bookmarkStart w:id="12" w:name="_Toc35393624"/>
      <w:r/>
      <w:bookmarkStart w:id="13" w:name="_Toc28359082"/>
      <w:r/>
      <w:bookmarkStart w:id="14" w:name="_Toc28359005"/>
      <w:r/>
      <w:bookmarkStart w:id="15" w:name="_Toc35393793"/>
      <w:r>
        <w:rPr>
          <w:color w:val="000000" w:themeColor="text1"/>
          <w14:textFill>
            <w14:solidFill>
              <w14:schemeClr w14:val="tx1"/>
            </w14:solidFill>
          </w14:textFill>
        </w:rPr>
        <w:t xml:space="preserve">采购内容：2024-2025年是“十四五”收官期，也是环境空气质量能否达到五年考核目标的关键期。为进一步摸清大丰区大气污染来源、识别影响环境空气质量达标的主要因素和关键因子、强化日常废气污染监督和管控，有效推动全区环境空气质量改善，拟开展大气污染成因深度来源解析、环境空气质量预警预报分析、环境空气质量驻点跟踪服务、重污染天气及靶向走航巡查、重点行业领域大气环保检查等各项相关工作，并强化大气办在督察检查迎检、重污染天气应急管控、大气减排任务及总量储备库申报、大气专项资金申报、大气污染源环境统计及源清单</w:t>
      </w:r>
      <w:r>
        <w:rPr>
          <w:color w:val="000000" w:themeColor="text1"/>
          <w:highlight w:val="none"/>
          <w14:textFill>
            <w14:solidFill>
              <w14:schemeClr w14:val="tx1"/>
            </w14:solidFill>
          </w14:textFill>
        </w:rPr>
        <w:t xml:space="preserve">编制、政策宣贯及培训等方面的管理工作。具体详见采购需求。</w:t>
      </w:r>
      <w:r/>
    </w:p>
    <w:p>
      <w:pPr>
        <w:ind w:firstLine="42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服务期限要求: </w:t>
      </w:r>
      <w:r>
        <w:rPr>
          <w:rFonts w:hint="eastAsia"/>
          <w:color w:val="000000" w:themeColor="text1"/>
          <w:highlight w:val="none"/>
          <w14:textFill>
            <w14:solidFill>
              <w14:schemeClr w14:val="tx1"/>
            </w14:solidFill>
          </w14:textFill>
        </w:rPr>
        <w:t xml:space="preserve">自 2024年11月1日起，至 2025年 12 月31日结束，合计服务期 14个月。</w:t>
      </w:r>
      <w:r/>
    </w:p>
    <w:p>
      <w:pPr>
        <w:ind w:firstLine="420"/>
        <w:spacing w:line="400" w:lineRule="exact"/>
        <w:rPr>
          <w:color w:val="auto"/>
        </w:rPr>
      </w:pPr>
      <w:r>
        <w:rPr>
          <w:color w:val="auto"/>
        </w:rPr>
        <w:t xml:space="preserve">资金来源：财政资金。</w:t>
      </w:r>
      <w:r/>
    </w:p>
    <w:p>
      <w:pPr>
        <w:ind w:firstLine="420"/>
        <w:spacing w:line="400" w:lineRule="exact"/>
        <w:rPr>
          <w:color w:val="auto"/>
        </w:rPr>
      </w:pPr>
      <w:r>
        <w:rPr>
          <w:color w:val="auto"/>
        </w:rPr>
        <w:t xml:space="preserve">本项目</w:t>
      </w:r>
      <w:r>
        <w:rPr>
          <w:b/>
          <w:bCs/>
          <w:color w:val="auto"/>
        </w:rPr>
        <w:t xml:space="preserve">不接受</w:t>
      </w:r>
      <w:r>
        <w:rPr>
          <w:color w:val="auto"/>
        </w:rPr>
        <w:t xml:space="preserve">联合体投标。</w:t>
      </w:r>
      <w:r/>
    </w:p>
    <w:p>
      <w:pPr>
        <w:ind w:firstLine="422"/>
        <w:spacing w:line="400" w:lineRule="exact"/>
        <w:rPr>
          <w:b/>
          <w:bCs/>
          <w:color w:val="auto"/>
        </w:rPr>
      </w:pPr>
      <w:r/>
      <w:bookmarkStart w:id="16" w:name="_Toc28359003"/>
      <w:r/>
      <w:bookmarkStart w:id="17" w:name="_Toc28359080"/>
      <w:r/>
      <w:bookmarkStart w:id="18" w:name="_Toc35393622"/>
      <w:r/>
      <w:bookmarkStart w:id="19" w:name="_Toc35393791"/>
      <w:r>
        <w:rPr>
          <w:b/>
          <w:bCs/>
          <w:color w:val="auto"/>
        </w:rPr>
        <w:t xml:space="preserve">二、申请人的资格要求：</w:t>
      </w:r>
      <w:bookmarkEnd w:id="16"/>
      <w:r/>
      <w:bookmarkEnd w:id="17"/>
      <w:r/>
      <w:bookmarkEnd w:id="18"/>
      <w:r/>
      <w:bookmarkEnd w:id="19"/>
      <w:r/>
      <w:r/>
    </w:p>
    <w:p>
      <w:pPr>
        <w:ind w:firstLine="420"/>
        <w:spacing w:line="400" w:lineRule="exact"/>
        <w:rPr>
          <w:color w:val="auto"/>
        </w:rPr>
      </w:pPr>
      <w:r>
        <w:rPr>
          <w:color w:val="auto"/>
        </w:rPr>
        <w:t xml:space="preserve">1.满足《中华人民共和国政府采购法》第二十二条规定，并提供下列材料；</w:t>
      </w:r>
      <w:r/>
    </w:p>
    <w:p>
      <w:pPr>
        <w:ind w:firstLine="420"/>
        <w:spacing w:line="400" w:lineRule="exact"/>
        <w:rPr>
          <w:color w:val="auto"/>
        </w:rPr>
      </w:pPr>
      <w:r>
        <w:rPr>
          <w:color w:val="auto"/>
        </w:rPr>
        <w:t xml:space="preserve">(1)法人或者其他组织的营业执照等证明文件，自然人的身份证明；</w:t>
      </w:r>
      <w:r/>
    </w:p>
    <w:p>
      <w:pPr>
        <w:ind w:firstLine="420"/>
        <w:spacing w:line="400" w:lineRule="exact"/>
        <w:rPr>
          <w:color w:val="auto"/>
        </w:rPr>
      </w:pPr>
      <w:r>
        <w:rPr>
          <w:color w:val="auto"/>
        </w:rPr>
        <w:t xml:space="preserve">(2)上一年度的财务报表（成立不满一年不需提供）；</w:t>
      </w:r>
      <w:r/>
    </w:p>
    <w:p>
      <w:pPr>
        <w:ind w:firstLine="420"/>
        <w:spacing w:line="400" w:lineRule="exact"/>
        <w:rPr>
          <w:color w:val="auto"/>
        </w:rPr>
      </w:pPr>
      <w:r>
        <w:rPr>
          <w:color w:val="auto"/>
        </w:rPr>
        <w:t xml:space="preserve">(3)依法缴纳税收和社会保障资金的相关材料；</w:t>
      </w:r>
      <w:r/>
    </w:p>
    <w:p>
      <w:pPr>
        <w:ind w:firstLine="315"/>
        <w:spacing w:line="400" w:lineRule="exact"/>
        <w:rPr>
          <w:color w:val="auto"/>
        </w:rPr>
      </w:pPr>
      <w:r>
        <w:rPr>
          <w:color w:val="auto"/>
        </w:rPr>
        <w:t xml:space="preserve"> (4)参加政府采购活动前3年内在经营活动中没有重大违法记录的书面声明；</w:t>
      </w:r>
      <w:r/>
    </w:p>
    <w:p>
      <w:pPr>
        <w:ind w:firstLine="420"/>
        <w:spacing w:line="400" w:lineRule="exact"/>
        <w:rPr>
          <w:color w:val="auto"/>
        </w:rPr>
      </w:pPr>
      <w:r/>
      <w:bookmarkStart w:id="20" w:name="_Toc28359081"/>
      <w:r/>
      <w:bookmarkStart w:id="21" w:name="_Toc28359004"/>
      <w:r>
        <w:rPr>
          <w:color w:val="auto"/>
        </w:rPr>
        <w:t xml:space="preserve">2.落实政府采购政策需满足的资格要求：</w:t>
      </w:r>
      <w:r/>
    </w:p>
    <w:p>
      <w:pPr>
        <w:ind w:firstLine="420"/>
        <w:spacing w:line="400" w:lineRule="exact"/>
        <w:rPr>
          <w:color w:val="auto"/>
        </w:rPr>
      </w:pPr>
      <w:r>
        <w:rPr>
          <w:color w:val="auto"/>
        </w:rPr>
        <w:t xml:space="preserve">对小型和微型企业产品的价格给予20%的扣除，用扣除后的价格参与评审，中小微企业划分标准以工信部、国家统计局、国家发改委、财政部《关于印发中小企业划型标准规定的通知》（工信部联企业{2011}300号）为准。</w:t>
      </w:r>
      <w:r/>
    </w:p>
    <w:p>
      <w:pPr>
        <w:ind w:firstLine="420"/>
        <w:spacing w:line="400" w:lineRule="exact"/>
        <w:rPr>
          <w:color w:val="auto"/>
        </w:rPr>
      </w:pPr>
      <w:r>
        <w:rPr>
          <w:color w:val="auto"/>
        </w:rPr>
        <w:t xml:space="preserve">3.本项目的特定资格要求：</w:t>
      </w:r>
      <w:bookmarkEnd w:id="20"/>
      <w:r/>
      <w:bookmarkEnd w:id="21"/>
      <w:r/>
      <w:bookmarkStart w:id="22" w:name="_Toc35393792"/>
      <w:r/>
      <w:bookmarkStart w:id="23" w:name="_Toc35393623"/>
      <w:r/>
      <w:r/>
    </w:p>
    <w:p>
      <w:pPr>
        <w:ind w:firstLine="422"/>
        <w:spacing w:line="400" w:lineRule="exact"/>
        <w:rPr>
          <w:color w:val="auto"/>
        </w:rPr>
      </w:pPr>
      <w:r>
        <w:rPr>
          <w:color w:val="auto"/>
        </w:rPr>
        <w:t xml:space="preserve">（1）投标人未被“信用中国”网站（www.creditchina.gov.cn）列入失信被执行人、重大税收违法案件当事人名单、政府采购严重违法失信名单。</w:t>
      </w:r>
      <w:r/>
    </w:p>
    <w:p>
      <w:pPr>
        <w:ind w:firstLine="422"/>
        <w:spacing w:line="400" w:lineRule="exact"/>
        <w:rPr>
          <w:color w:val="auto"/>
        </w:rPr>
      </w:pPr>
      <w:r>
        <w:rPr>
          <w:color w:val="auto"/>
        </w:rPr>
        <w:t xml:space="preserve">（2）单位负责人为同一人或者存在直接控股、管理关系的不同供应商，不得参加同一合同项下的政府采购活动。</w:t>
      </w:r>
      <w:r/>
    </w:p>
    <w:p>
      <w:pPr>
        <w:ind w:firstLine="422"/>
        <w:spacing w:line="400" w:lineRule="exact"/>
        <w:rPr>
          <w:b/>
          <w:bCs/>
          <w:color w:val="auto"/>
        </w:rPr>
      </w:pPr>
      <w:r>
        <w:rPr>
          <w:b/>
          <w:bCs/>
          <w:color w:val="auto"/>
        </w:rPr>
        <w:t xml:space="preserve">三、获取招标文件</w:t>
      </w:r>
      <w:bookmarkEnd w:id="22"/>
      <w:r/>
      <w:bookmarkEnd w:id="23"/>
      <w:r/>
      <w:r/>
    </w:p>
    <w:p>
      <w:pPr>
        <w:ind w:firstLine="420"/>
        <w:spacing w:line="400" w:lineRule="exact"/>
        <w:rPr>
          <w:color w:val="auto"/>
        </w:rPr>
      </w:pPr>
      <w:r>
        <w:rPr>
          <w:color w:val="auto"/>
        </w:rPr>
        <w:t xml:space="preserve">1、时间：2024年</w:t>
      </w:r>
      <w:r>
        <w:rPr>
          <w:rFonts w:hint="eastAsia"/>
          <w:color w:val="auto"/>
          <w:u w:val="single"/>
          <w:lang w:val="en-US" w:eastAsia="zh-CN"/>
        </w:rPr>
        <w:t xml:space="preserve">9</w:t>
      </w:r>
      <w:r>
        <w:rPr>
          <w:color w:val="auto"/>
        </w:rPr>
        <w:t xml:space="preserve">月</w:t>
      </w:r>
      <w:r>
        <w:rPr>
          <w:rFonts w:hint="eastAsia"/>
          <w:color w:val="auto"/>
          <w:u w:val="single"/>
          <w:lang w:val="en-US" w:eastAsia="zh-CN"/>
        </w:rPr>
        <w:t xml:space="preserve">27</w:t>
      </w:r>
      <w:r>
        <w:rPr>
          <w:color w:val="auto"/>
        </w:rPr>
        <w:t xml:space="preserve">日 至2024年</w:t>
      </w:r>
      <w:r>
        <w:rPr>
          <w:rFonts w:hint="eastAsia"/>
          <w:color w:val="auto"/>
          <w:u w:val="single"/>
          <w:lang w:val="en-US" w:eastAsia="zh-CN"/>
        </w:rPr>
        <w:t xml:space="preserve">10</w:t>
      </w:r>
      <w:r>
        <w:rPr>
          <w:color w:val="auto"/>
        </w:rPr>
        <w:t xml:space="preserve">月</w:t>
      </w:r>
      <w:r>
        <w:rPr>
          <w:rFonts w:hint="eastAsia"/>
          <w:color w:val="auto"/>
          <w:u w:val="single"/>
          <w:lang w:val="en-US" w:eastAsia="zh-CN"/>
        </w:rPr>
        <w:t xml:space="preserve">9</w:t>
      </w:r>
      <w:r>
        <w:rPr>
          <w:color w:val="auto"/>
        </w:rPr>
        <w:t xml:space="preserve">日 ，每天上午 8：30至 11：30下午14：30 至17：30 (北京时间，法定节假日除外)；</w:t>
      </w:r>
      <w:r/>
    </w:p>
    <w:p>
      <w:pPr>
        <w:ind w:firstLine="420"/>
        <w:spacing w:line="400" w:lineRule="exact"/>
        <w:rPr>
          <w:color w:val="auto"/>
        </w:rPr>
      </w:pPr>
      <w:r>
        <w:rPr>
          <w:color w:val="auto"/>
        </w:rPr>
        <w:t xml:space="preserve">2.地点：中国政府采购网、江苏政府采购网、盐城市政府采购网</w:t>
      </w:r>
      <w:r/>
    </w:p>
    <w:p>
      <w:pPr>
        <w:ind w:firstLine="420"/>
        <w:spacing w:line="400" w:lineRule="exact"/>
        <w:rPr>
          <w:color w:val="auto"/>
        </w:rPr>
      </w:pPr>
      <w:r>
        <w:t xml:space="preserve">3.方式：在“</w:t>
      </w:r>
      <w:r>
        <w:rPr>
          <w:color w:val="auto"/>
        </w:rPr>
        <w:t xml:space="preserve">中国政府采购网”、“江苏政府采购网”、“盐城市政府采购网”自行免费下载招标文件。</w:t>
      </w:r>
      <w:r/>
    </w:p>
    <w:p>
      <w:pPr>
        <w:ind w:firstLine="420"/>
        <w:spacing w:line="400" w:lineRule="exact"/>
        <w:rPr>
          <w:color w:val="auto"/>
        </w:rPr>
      </w:pPr>
      <w:r>
        <w:rPr>
          <w:color w:val="auto"/>
        </w:rPr>
        <w:t xml:space="preserve">4.售价：0元</w:t>
      </w:r>
      <w:r/>
    </w:p>
    <w:p>
      <w:pPr>
        <w:ind w:firstLine="422"/>
        <w:spacing w:line="400" w:lineRule="exact"/>
        <w:rPr>
          <w:b/>
          <w:bCs/>
          <w:color w:val="auto"/>
        </w:rPr>
      </w:pPr>
      <w:r>
        <w:rPr>
          <w:b/>
          <w:bCs/>
          <w:color w:val="auto"/>
        </w:rPr>
        <w:t xml:space="preserve">四、提交投标文件截止时间、开标时间和地点（不见面开标）</w:t>
      </w:r>
      <w:r/>
    </w:p>
    <w:p>
      <w:pPr>
        <w:ind w:firstLine="420"/>
        <w:spacing w:line="400" w:lineRule="exact"/>
        <w:rPr>
          <w:color w:val="auto"/>
        </w:rPr>
      </w:pPr>
      <w:r>
        <w:rPr>
          <w:color w:val="auto"/>
        </w:rPr>
        <w:t xml:space="preserve">1.时间：2024年</w:t>
      </w:r>
      <w:r>
        <w:rPr>
          <w:rFonts w:hint="eastAsia"/>
          <w:color w:val="auto"/>
          <w:lang w:val="en-US" w:eastAsia="zh-CN"/>
        </w:rPr>
        <w:t xml:space="preserve">10</w:t>
      </w:r>
      <w:r>
        <w:rPr>
          <w:color w:val="auto"/>
        </w:rPr>
        <w:t xml:space="preserve">月</w:t>
      </w:r>
      <w:r>
        <w:rPr>
          <w:rFonts w:hint="eastAsia"/>
          <w:color w:val="auto"/>
          <w:lang w:val="en-US" w:eastAsia="zh-CN"/>
        </w:rPr>
        <w:t xml:space="preserve">24</w:t>
      </w:r>
      <w:r>
        <w:rPr>
          <w:color w:val="auto"/>
        </w:rPr>
        <w:t xml:space="preserve">日</w:t>
      </w:r>
      <w:r>
        <w:rPr>
          <w:rFonts w:hint="eastAsia"/>
          <w:color w:val="auto"/>
          <w:lang w:val="en-US" w:eastAsia="zh-CN"/>
        </w:rPr>
        <w:t xml:space="preserve">9</w:t>
      </w:r>
      <w:r>
        <w:rPr>
          <w:color w:val="auto"/>
        </w:rPr>
        <w:t xml:space="preserve">时00分（北京时间）</w:t>
      </w:r>
      <w:r/>
    </w:p>
    <w:p>
      <w:pPr>
        <w:ind w:firstLine="420"/>
        <w:spacing w:line="400" w:lineRule="exact"/>
        <w:rPr>
          <w:color w:val="auto"/>
        </w:rPr>
      </w:pPr>
      <w:r>
        <w:rPr>
          <w:color w:val="auto"/>
        </w:rPr>
        <w:t xml:space="preserve">2.地点：“苏采云”政府采购交易系统网上开标大厅。</w:t>
      </w:r>
      <w:r/>
    </w:p>
    <w:p>
      <w:pPr>
        <w:ind w:firstLine="630"/>
        <w:spacing w:line="400" w:lineRule="exact"/>
        <w:rPr>
          <w:color w:val="auto"/>
        </w:rPr>
      </w:pPr>
      <w:r>
        <w:rPr>
          <w:color w:val="auto"/>
        </w:rPr>
        <w:t xml:space="preserve">开标时间：2024年</w:t>
      </w:r>
      <w:r>
        <w:rPr>
          <w:rFonts w:hint="eastAsia"/>
          <w:color w:val="auto"/>
          <w:lang w:val="en-US" w:eastAsia="zh-CN"/>
        </w:rPr>
        <w:t xml:space="preserve">10</w:t>
      </w:r>
      <w:r>
        <w:rPr>
          <w:color w:val="auto"/>
        </w:rPr>
        <w:t xml:space="preserve">月</w:t>
      </w:r>
      <w:r>
        <w:rPr>
          <w:rFonts w:hint="eastAsia"/>
          <w:color w:val="auto"/>
          <w:lang w:val="en-US" w:eastAsia="zh-CN"/>
        </w:rPr>
        <w:t xml:space="preserve">24</w:t>
      </w:r>
      <w:r>
        <w:rPr>
          <w:color w:val="auto"/>
        </w:rPr>
        <w:t xml:space="preserve">日</w:t>
      </w:r>
      <w:r>
        <w:rPr>
          <w:rFonts w:hint="eastAsia"/>
          <w:color w:val="auto"/>
          <w:lang w:val="en-US" w:eastAsia="zh-CN"/>
        </w:rPr>
        <w:t xml:space="preserve">9</w:t>
      </w:r>
      <w:r>
        <w:rPr>
          <w:color w:val="auto"/>
        </w:rPr>
        <w:t xml:space="preserve">时00分</w:t>
      </w:r>
      <w:r/>
    </w:p>
    <w:p>
      <w:pPr>
        <w:ind w:firstLine="422"/>
        <w:spacing w:line="400" w:lineRule="exact"/>
        <w:rPr>
          <w:b/>
          <w:bCs/>
          <w:color w:val="auto"/>
        </w:rPr>
      </w:pPr>
      <w:r>
        <w:rPr>
          <w:b/>
          <w:bCs/>
          <w:color w:val="auto"/>
        </w:rPr>
        <w:t xml:space="preserve">五、公告期限</w:t>
      </w:r>
      <w:r/>
    </w:p>
    <w:p>
      <w:pPr>
        <w:ind w:firstLine="420"/>
        <w:spacing w:line="400" w:lineRule="exact"/>
        <w:rPr>
          <w:color w:val="auto"/>
        </w:rPr>
      </w:pPr>
      <w:r>
        <w:rPr>
          <w:color w:val="auto"/>
        </w:rPr>
        <w:t xml:space="preserve">自本公告发布之日起5个工作日。</w:t>
      </w:r>
      <w:r/>
    </w:p>
    <w:p>
      <w:pPr>
        <w:ind w:firstLine="422"/>
        <w:spacing w:line="400" w:lineRule="exact"/>
        <w:rPr>
          <w:b/>
          <w:bCs/>
          <w:color w:val="auto"/>
        </w:rPr>
      </w:pPr>
      <w:r>
        <w:rPr>
          <w:b/>
          <w:bCs/>
          <w:color w:val="auto"/>
        </w:rPr>
        <w:t xml:space="preserve">六、其他补充事宜</w:t>
      </w:r>
      <w:r/>
    </w:p>
    <w:p>
      <w:pPr>
        <w:ind w:firstLine="420"/>
        <w:spacing w:line="400" w:lineRule="exact"/>
      </w:pPr>
      <w:r>
        <w:t xml:space="preserve">1.根据省财政厅《关</w:t>
      </w:r>
      <w: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20"/>
        <w:spacing w:line="400" w:lineRule="exact"/>
      </w:pPr>
      <w: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420"/>
        <w:spacing w:line="400" w:lineRule="exact"/>
      </w:pPr>
      <w:r>
        <w:t xml:space="preserve">2.有关本次招标的事项若存在变动或修改，敬请及时关注盐城市政府采购人在“中国政府采购网”、“江苏政府采购网”、“盐城市政府采购网”发布的更正公告。</w:t>
      </w:r>
      <w:r/>
    </w:p>
    <w:p>
      <w:pPr>
        <w:ind w:firstLine="420"/>
        <w:spacing w:line="400" w:lineRule="exact"/>
      </w:pPr>
      <w:r>
        <w:t xml:space="preserve">3.</w:t>
      </w:r>
      <w:r>
        <w:rPr>
          <w:color w:val="000000"/>
        </w:rPr>
        <w:t xml:space="preserve">本项目落实江苏省财政厅《关于做好政府采购支持企业发展有关事项的通知》(苏财购(2020)52号)文件精神，不收取投标保证金。</w:t>
      </w:r>
      <w:r/>
    </w:p>
    <w:p>
      <w:pPr>
        <w:ind w:firstLine="420"/>
        <w:spacing w:line="400" w:lineRule="exact"/>
        <w:rPr>
          <w:b/>
          <w:bCs/>
        </w:rPr>
      </w:pPr>
      <w:r>
        <w:t xml:space="preserve">4.评审结束后，中标人需提供纸质投标文件一正四副用于归档，未中标单位不需要提供。</w:t>
      </w:r>
      <w:r>
        <w:rPr>
          <w:b/>
          <w:bCs/>
        </w:rPr>
        <w:t xml:space="preserve">七、对本次招标提出询问，请按以下方式联系。</w:t>
      </w:r>
      <w:r/>
    </w:p>
    <w:p>
      <w:pPr>
        <w:ind w:firstLine="420"/>
        <w:spacing w:line="400" w:lineRule="exact"/>
      </w:pPr>
      <w:r>
        <w:t xml:space="preserve">1.采购人信息</w:t>
      </w:r>
      <w:r/>
    </w:p>
    <w:p>
      <w:pPr>
        <w:ind w:firstLine="420"/>
        <w:spacing w:line="400" w:lineRule="exact"/>
      </w:pPr>
      <w:r>
        <w:t xml:space="preserve">名    称：盐城市大丰生态环境局</w:t>
      </w:r>
      <w:r/>
    </w:p>
    <w:p>
      <w:pPr>
        <w:ind w:firstLine="420"/>
        <w:spacing w:line="400" w:lineRule="exact"/>
      </w:pPr>
      <w:r>
        <w:t xml:space="preserve">地    址：盐城市大丰区幸福西路</w:t>
      </w:r>
      <w:r/>
    </w:p>
    <w:p>
      <w:pPr>
        <w:ind w:firstLine="420"/>
        <w:spacing w:line="400" w:lineRule="exact"/>
      </w:pPr>
      <w:r>
        <w:t xml:space="preserve">联系人： 石娟</w:t>
      </w:r>
      <w:r/>
    </w:p>
    <w:p>
      <w:pPr>
        <w:ind w:firstLine="420"/>
        <w:spacing w:line="400" w:lineRule="exact"/>
      </w:pPr>
      <w:r>
        <w:t xml:space="preserve">联系电话：0515-83513320</w:t>
      </w:r>
      <w:r/>
    </w:p>
    <w:p>
      <w:pPr>
        <w:ind w:firstLine="420"/>
        <w:spacing w:line="400" w:lineRule="exact"/>
      </w:pPr>
      <w:r>
        <w:t xml:space="preserve">2.采购代理机构信息</w:t>
      </w:r>
      <w:r/>
    </w:p>
    <w:p>
      <w:pPr>
        <w:ind w:firstLine="420"/>
        <w:spacing w:line="400" w:lineRule="exact"/>
      </w:pPr>
      <w:r>
        <w:t xml:space="preserve">名    称：盐城市建康工程项目管理有限公司</w:t>
      </w:r>
      <w:r/>
    </w:p>
    <w:p>
      <w:pPr>
        <w:ind w:firstLine="420"/>
        <w:spacing w:line="400" w:lineRule="exact"/>
      </w:pPr>
      <w:r>
        <w:t xml:space="preserve">地　　址：</w:t>
      </w:r>
      <w:r>
        <w:rPr>
          <w:lang w:val="zh-CN"/>
        </w:rPr>
        <w:t xml:space="preserve">盐城市大丰区黄海西路摩圣六楼</w:t>
      </w:r>
      <w:r/>
    </w:p>
    <w:p>
      <w:pPr>
        <w:ind w:firstLine="420"/>
        <w:spacing w:line="400" w:lineRule="exact"/>
      </w:pPr>
      <w:r>
        <w:t xml:space="preserve">联系人：沈红雨                           </w:t>
      </w:r>
      <w:r/>
    </w:p>
    <w:p>
      <w:pPr>
        <w:ind w:firstLine="420"/>
        <w:spacing w:line="400" w:lineRule="exact"/>
      </w:pPr>
      <w:r>
        <w:t xml:space="preserve">联系电话：18068850082　  　 </w:t>
      </w:r>
      <w:r/>
    </w:p>
    <w:p>
      <w:pPr>
        <w:ind w:firstLine="420"/>
        <w:spacing w:line="400" w:lineRule="exact"/>
      </w:pPr>
      <w:r>
        <w:t xml:space="preserve">3.项目联系方式</w:t>
      </w:r>
      <w:bookmarkEnd w:id="12"/>
      <w:r/>
      <w:bookmarkEnd w:id="13"/>
      <w:r/>
      <w:bookmarkEnd w:id="14"/>
      <w:r/>
      <w:bookmarkEnd w:id="15"/>
      <w:r/>
      <w:r/>
    </w:p>
    <w:p>
      <w:pPr>
        <w:ind w:firstLine="420"/>
        <w:spacing w:line="400" w:lineRule="exact"/>
      </w:pPr>
      <w:r/>
      <w:bookmarkStart w:id="24" w:name="_Toc120614211"/>
      <w:r>
        <w:t xml:space="preserve">联系人：沈红雨                          </w:t>
      </w:r>
      <w:r/>
    </w:p>
    <w:p>
      <w:pPr>
        <w:pStyle w:val="928"/>
        <w:ind w:left="0" w:firstLine="420"/>
        <w:spacing w:line="400" w:lineRule="exact"/>
        <w:rPr>
          <w:rFonts w:ascii="Times New Roman" w:hAnsi="Times New Roman"/>
          <w:sz w:val="21"/>
          <w:szCs w:val="21"/>
          <w:lang w:eastAsia="zh-CN"/>
        </w:rPr>
      </w:pPr>
      <w:r>
        <w:rPr>
          <w:rFonts w:ascii="Times New Roman" w:hAnsi="Times New Roman"/>
          <w:sz w:val="21"/>
          <w:szCs w:val="21"/>
          <w:lang w:eastAsia="zh-CN"/>
        </w:rPr>
        <w:t xml:space="preserve">联系电话：</w:t>
      </w:r>
      <w:r>
        <w:rPr>
          <w:rFonts w:ascii="Times New Roman" w:hAnsi="Times New Roman"/>
          <w:lang w:eastAsia="zh-CN"/>
        </w:rPr>
        <w:t xml:space="preserve">18068850082　</w:t>
      </w:r>
      <w:r/>
    </w:p>
    <w:p>
      <w:pPr>
        <w:pStyle w:val="928"/>
        <w:rPr>
          <w:rFonts w:ascii="Times New Roman" w:hAnsi="Times New Roman"/>
          <w:sz w:val="28"/>
          <w:szCs w:val="28"/>
          <w:lang w:eastAsia="zh-CN"/>
        </w:rPr>
      </w:pPr>
      <w:r>
        <w:rPr>
          <w:rFonts w:ascii="Times New Roman" w:hAnsi="Times New Roman"/>
          <w:sz w:val="28"/>
          <w:szCs w:val="28"/>
          <w:lang w:eastAsia="zh-CN"/>
        </w:rPr>
      </w:r>
      <w:r/>
    </w:p>
    <w:p>
      <w:pPr>
        <w:pStyle w:val="928"/>
        <w:ind w:left="0"/>
        <w:rPr>
          <w:rFonts w:ascii="Times New Roman" w:hAnsi="Times New Roman"/>
          <w:sz w:val="28"/>
          <w:szCs w:val="28"/>
          <w:lang w:eastAsia="zh-CN"/>
        </w:rPr>
      </w:pPr>
      <w:r>
        <w:rPr>
          <w:rFonts w:ascii="Times New Roman" w:hAnsi="Times New Roman"/>
          <w:sz w:val="28"/>
          <w:szCs w:val="28"/>
          <w:lang w:eastAsia="zh-CN"/>
        </w:rPr>
      </w:r>
      <w:r/>
    </w:p>
    <w:p>
      <w:pPr>
        <w:pStyle w:val="928"/>
        <w:ind w:left="0"/>
        <w:rPr>
          <w:rFonts w:ascii="Times New Roman" w:hAnsi="Times New Roman"/>
          <w:sz w:val="28"/>
          <w:szCs w:val="28"/>
          <w:lang w:eastAsia="zh-CN"/>
        </w:rPr>
      </w:pPr>
      <w:r>
        <w:rPr>
          <w:rFonts w:ascii="Times New Roman" w:hAnsi="Times New Roman"/>
          <w:sz w:val="28"/>
          <w:szCs w:val="28"/>
          <w:lang w:eastAsia="zh-CN"/>
        </w:rPr>
      </w:r>
      <w:r/>
    </w:p>
    <w:p>
      <w:pPr>
        <w:jc w:val="left"/>
        <w:rPr>
          <w:sz w:val="36"/>
          <w:szCs w:val="36"/>
        </w:rPr>
      </w:pPr>
      <w:r/>
      <w:bookmarkStart w:id="25" w:name="_Toc139298010"/>
      <w:r>
        <w:rPr>
          <w:sz w:val="36"/>
          <w:szCs w:val="36"/>
        </w:rPr>
        <w:br w:type="page" w:clear="all"/>
      </w:r>
      <w:r/>
    </w:p>
    <w:p>
      <w:pPr>
        <w:jc w:val="center"/>
        <w:spacing w:line="360" w:lineRule="auto"/>
        <w:rPr>
          <w:b/>
          <w:bCs/>
        </w:rPr>
        <w:outlineLvl w:val="0"/>
      </w:pPr>
      <w:r>
        <w:rPr>
          <w:sz w:val="36"/>
          <w:szCs w:val="36"/>
        </w:rPr>
        <w:t xml:space="preserve">第二章  </w:t>
      </w:r>
      <w:bookmarkEnd w:id="1"/>
      <w:r/>
      <w:bookmarkEnd w:id="2"/>
      <w:r/>
      <w:bookmarkEnd w:id="3"/>
      <w:r/>
      <w:bookmarkEnd w:id="4"/>
      <w:r/>
      <w:bookmarkEnd w:id="5"/>
      <w:r/>
      <w:bookmarkEnd w:id="24"/>
      <w:r/>
      <w:bookmarkStart w:id="26" w:name="_Toc513029202"/>
      <w:r/>
      <w:bookmarkStart w:id="27" w:name="_Toc16938518"/>
      <w:r/>
      <w:bookmarkStart w:id="28" w:name="_Toc120614213"/>
      <w:r/>
      <w:bookmarkStart w:id="29" w:name="_Toc20823274"/>
      <w:r>
        <w:rPr>
          <w:sz w:val="36"/>
          <w:szCs w:val="36"/>
        </w:rPr>
        <w:t xml:space="preserve">投标人须知</w:t>
      </w:r>
      <w:bookmarkEnd w:id="25"/>
      <w:r/>
      <w:bookmarkEnd w:id="26"/>
      <w:r/>
      <w:bookmarkEnd w:id="27"/>
      <w:r/>
      <w:bookmarkEnd w:id="28"/>
      <w:r/>
      <w:bookmarkEnd w:id="29"/>
      <w:r/>
      <w:r/>
    </w:p>
    <w:p>
      <w:pPr>
        <w:ind w:firstLine="422"/>
        <w:spacing w:line="400" w:lineRule="exact"/>
        <w:pBdr>
          <w:top w:val="none" w:color="000000" w:sz="0" w:space="0"/>
          <w:left w:val="none" w:color="000000" w:sz="0" w:space="0"/>
          <w:bottom w:val="none" w:color="000000" w:sz="0" w:space="0"/>
          <w:right w:val="none" w:color="000000" w:sz="0" w:space="0"/>
        </w:pBdr>
      </w:pPr>
      <w:r/>
      <w:bookmarkStart w:id="30" w:name="_Toc120614221"/>
      <w:r/>
      <w:bookmarkStart w:id="31" w:name="_Toc513029242"/>
      <w:r/>
      <w:bookmarkStart w:id="32" w:name="_Toc479757207"/>
      <w:r/>
      <w:bookmarkStart w:id="33" w:name="_Toc16938558"/>
      <w:r/>
      <w:bookmarkStart w:id="34" w:name="_Toc20823314"/>
      <w:r>
        <w:rPr>
          <w:b/>
          <w:color w:val="000000"/>
        </w:rPr>
        <w:t xml:space="preserve">一、总则</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1、招标方式</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1.1本次招标采取公开招标方式，本招标文件仅适用于招标公告中所述项目。</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2、合格的投标人</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2.1满足招标公告中供应商的资格要求的规定。</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2.2满足本文件实质性要求和条件的规定。</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3、适用法律</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3.1本次招标及由此产生的合同受中华人民共和国有关的法律法规制约和保护。</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4、投标费用</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4.1投标人应自行承担所有与参加投标有关的费用，无论投标过程中的做法和结果如何，盐城市政府采购人（以下简称采购人）在任何情况下均无义务和责任承担这些费用。</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4.2招标代理服务费：本项目招标代理费向中标单位收取，招标代理费参照苏招协[2022]002号文件规定服务类标准缴纳；请投标人考虑在投标报价中，但不单列，自行分摊至投标报价单价、合价中。</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5、招标文件的约束力</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5.1投标人一旦参加本项目采购活动，即被认为接受了本招标文件的规定和约束。</w:t>
      </w:r>
      <w:r/>
    </w:p>
    <w:p>
      <w:pPr>
        <w:ind w:firstLine="422"/>
        <w:spacing w:line="400" w:lineRule="exact"/>
        <w:pBdr>
          <w:top w:val="none" w:color="000000" w:sz="0" w:space="0"/>
          <w:left w:val="none" w:color="000000" w:sz="0" w:space="0"/>
          <w:bottom w:val="none" w:color="000000" w:sz="0" w:space="0"/>
          <w:right w:val="none" w:color="000000" w:sz="0" w:space="0"/>
        </w:pBdr>
      </w:pPr>
      <w:r>
        <w:rPr>
          <w:b/>
          <w:color w:val="000000"/>
        </w:rPr>
        <w:t xml:space="preserve">二、招标文件</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6、招标文件构成</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6.1 招标文件由以下部分组成：</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（1）招标公告</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（2）投标人须知</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（3）合同文本</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（4）采购需求</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（5）评标方法与评标标准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（6）投标文件格式</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请仔细检查招标文件是否齐全，如有缺漏请立即与采购人联系解决。</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7、招标文件的澄清</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7.1任何要求对招标文件进行澄清的投标人，应在投标截止期</w:t>
      </w:r>
      <w:r>
        <w:rPr>
          <w:b/>
          <w:color w:val="000000"/>
        </w:rPr>
        <w:t xml:space="preserve">十日</w:t>
      </w:r>
      <w:r>
        <w:rPr>
          <w:color w:val="000000"/>
        </w:rPr>
        <w:t xml:space="preserve">前按招标公告中的通讯地址，以书面形式通知采购人。</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8、招标文件的修改</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8.1在投标截止时间前，采购人可以对招标文件进行修改。</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8.2采购人有权按照法定的要求推迟投标截止日期和开标日期。</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8.3招标文件的修改将在中国政府采购网、江苏政府采购网、盐城市政府采购网公布，补充文件将作为招标文件的组成部分，并对投标人具有约束力。</w:t>
      </w:r>
      <w:r/>
    </w:p>
    <w:p>
      <w:pPr>
        <w:ind w:firstLine="422"/>
        <w:spacing w:line="400" w:lineRule="exact"/>
        <w:pBdr>
          <w:top w:val="none" w:color="000000" w:sz="0" w:space="0"/>
          <w:left w:val="none" w:color="000000" w:sz="0" w:space="0"/>
          <w:bottom w:val="none" w:color="000000" w:sz="0" w:space="0"/>
          <w:right w:val="none" w:color="000000" w:sz="0" w:space="0"/>
        </w:pBdr>
      </w:pPr>
      <w:r>
        <w:rPr>
          <w:b/>
          <w:color w:val="000000"/>
        </w:rPr>
        <w:t xml:space="preserve">三、投标文件的编制</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9、投标文件的语言及度量衡单位</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9.1投标人提交的投标文件以及投标人与采购人就有关投标的所有来往通知、函件和文件均应使用</w:t>
      </w:r>
      <w:r>
        <w:rPr>
          <w:b/>
          <w:color w:val="000000"/>
        </w:rPr>
        <w:t xml:space="preserve">简体中文</w:t>
      </w:r>
      <w:r>
        <w:rPr>
          <w:color w:val="000000"/>
        </w:rPr>
        <w:t xml:space="preserve">。</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9.2除技术性能另有规定外，投标文件所使用的度量衡单位，均须采用国家法定计量单位。</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10、投标文件构成</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11、证明投标人及投标标的符合招标文件规定的文件</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11.1投标人应按照法律、法规、规章和规范性文件以及招标文件要求提交证明文件，证明其及投标标的符合招标文件规定。</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11.2招标文件对证明文件无明确形式要求的，证明文件可以以文字资料、图纸和数据等形式提交。</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12、投标分项报价表</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12.1投标人应按照招标文件规定格式填报投标分项报价表。</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12.2投标货币。投标文件中的单价和总价无特殊规定的采用人民币报价，以元为单位标注。招标文件中另有规定的按规定执行。</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13、技术要求响应及偏离表、商务要求响应及偏离表</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13.1投标人需对招标文件中的技术要求与商务要求逐项作出响应或偏离，并说明原因。</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13.2投标人可在投标文件中提供认为需要的其他技术文件或说明。</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14、投标函和开标一览表</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14.1投标人应按照招标文件中提供的格式完整、正确填写投标函、开标一览表。</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14.2对于采用货币报价的项目，开标一览表中的投标总报价应与投标分项报价表中的投标总报价一致，如不一致，不作为无效投标处理，但评标时按开标一览表中价格为准</w:t>
      </w:r>
      <w:r>
        <w:rPr>
          <w:b/>
          <w:color w:val="000000"/>
        </w:rPr>
        <w:t xml:space="preserve">。</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15、投标有效期</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15.1投标有效期为采购人规定的开标之日后</w:t>
      </w:r>
      <w:r>
        <w:rPr>
          <w:b/>
          <w:color w:val="000000"/>
          <w:u w:val="single"/>
        </w:rPr>
        <w:t xml:space="preserve">六十（60）天</w:t>
      </w:r>
      <w:r>
        <w:rPr>
          <w:color w:val="000000"/>
        </w:rPr>
        <w:t xml:space="preserve">。投标有效期比规定短的将被视为未实质性响应招标文件而予以拒绝。</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16、投标有效期的延长</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22"/>
        <w:spacing w:line="400" w:lineRule="exact"/>
        <w:pBdr>
          <w:top w:val="none" w:color="000000" w:sz="0" w:space="0"/>
          <w:left w:val="none" w:color="000000" w:sz="0" w:space="0"/>
          <w:bottom w:val="none" w:color="000000" w:sz="0" w:space="0"/>
          <w:right w:val="none" w:color="000000" w:sz="0" w:space="0"/>
        </w:pBdr>
      </w:pPr>
      <w:r>
        <w:rPr>
          <w:b/>
          <w:color w:val="000000"/>
        </w:rPr>
        <w:t xml:space="preserve">四、投标文件的递交</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17、投标文件的递交</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17.1 电子投标文件的递交</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投标人应当按照《操作手册》规定，在投标截止时间前制作并上传电子投标文件。</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18、投标截止时间</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18.1投标人上传电子投标文件的时间不得迟于招标公告中规定的投标截止时间。</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投标人应充分考虑到网络环境、网络带宽等风险因素，如因投标人自身原因造成的电子投标文件上传不成功的按照本招标文件第二章第26.1.2条 规定做无效投标处理。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18.2采购人可以按照规定，通过修改招标文件酌情延长投标截止时间，在此情况下，投标人的所有权利和义务以及投标人受制的截止时间均应以延长后新的截止时间为准。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19、投标文件的拒收</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19.1采购人拒绝接收在其规定的投标截止时间后上传的任何投标文件。</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20、投标文件的撤回和修改</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20.1投标文件的撤回</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21.1.1电子投标文件的撤回</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投标人可在投标截止时间前，撤回其电子投标文件，具体操作方法见《操作手册》。</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21.1.2投标人撤回电子投标文件，则认为其不再参与本项目投标活动。</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20.2 投标文件的修改</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20.2.1投标人可在投标截止时间前，对其电子投标文件进行修改，具体操作方法见《操作手册》。</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20.2.2在投标截止时间之后，投标人不得对其电子投标文件作任何修改。</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20.3在投标截止时间至招标文件中规定的投标有效期满之间的这段时间内，投标人不得撤回其投标。</w:t>
      </w:r>
      <w:r/>
    </w:p>
    <w:p>
      <w:pPr>
        <w:ind w:firstLine="422"/>
        <w:spacing w:line="400" w:lineRule="exact"/>
        <w:pBdr>
          <w:top w:val="none" w:color="000000" w:sz="0" w:space="0"/>
          <w:left w:val="none" w:color="000000" w:sz="0" w:space="0"/>
          <w:bottom w:val="none" w:color="000000" w:sz="0" w:space="0"/>
          <w:right w:val="none" w:color="000000" w:sz="0" w:space="0"/>
        </w:pBdr>
      </w:pPr>
      <w:r>
        <w:rPr>
          <w:b/>
          <w:color w:val="000000"/>
        </w:rPr>
        <w:t xml:space="preserve">五、开标与评标</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21、开标</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21.1采购人将在招标公告中规定的时间和地点组织公开开标。投标人应当按照《操作手册》规定，参加开标活动和在苏采云系统规定的时间内对投标文件进行解密。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21.2开标仪式由采购人组织。苏采云系统将自动对项目进行开标，并宣布各投标人名称和投标价格。</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21.3投标人在开标过程中涉及到的投标文件解密、开标结果确认等工作，应按照《操作手册》规定执行。</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21.4投标人如果对开标过程和开标记录有疑义，应当根据《操作手册》规定提出，如苏采云系统中《开标记录表》宣布后5分钟内未提出的，视同认可开标结果。</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22、评标委员会</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22.1开标后，采购人将立即组织评标委员会（以下简称评委会）进行评标。</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22.2评委会由采购人代表和有关技术、经济等方面的专家组成，且人员构成符合政府采购有关规定。</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22.3评委会独立工作，负责评审所有投标文件并确定中标侯选人。</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23、评标过程的保密与公正</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23.1凡是与审查、澄清、评价和比较投标的有关资料以及授标建议等，采购人、评委、采购人均不得向投标人或与评标无关的其他人员透露。</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23.2在评标过程中，投标人不得以任何行为影响评标过程，否则其投标文件将被作为无效投标文件。</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23.3采购人和评标委员会不向未中标的投标人解释未中标原因，也不公布评标过程中的相关细节。</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23.4采用综合评分法的项目，未中标的投标人可于中标结果公告期限届满之日起通过苏采云系统查看自己的评审得分及排序情况。</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24、投标文件的澄清</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24.1评标期间，评委会对投标文件中含义不明确、同类问题表述不一致或者有明显文字和计算错误的内容，有权要求投标人作出必要的澄清、说明或者补正。</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投标人的澄清、说明或者补正不得超出投标文件的范围或者改变投标文件的实质性内容。</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评标委员会并非对每个投标人都做澄清要求。</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24.3接到评委会澄清、说明和补正要求的投标人如未按规定做出澄清、说明和补正，其风险由投标人自行承担。</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25、对投标文件的初审</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25.1投标文件初审分为资格审查和符合性审查。</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25.1.1资格审查：依据法律法规和招标文件的规定，由采购人对投标文件中的资格证明文件进行审查。资格审查的结论，采购人以书面形式向评委会进行反馈。</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25.1.2符合性审查：依据招标文件的规定，由评委会从投标文件的有效性、完整性和对招标文件的响应程度进行审查，以确定是否对招标文件的实质性要求作出响应。</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25.3如果投标文件实质上没有响应招标文件的要求，评委会将予以拒绝，投标人不得通过修改或撤销不合要求的偏离或保留而使其投标成为实质性响应的投标。</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25.4评委会将对确定为实质性响应的投标进行进一步审核，确定其是否有计算上或累加上的算术错误，修正错误的原则如下：</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（1）投标文件中开标一览表内容与投标文件中相应内容不一致的，以开标一览表为准。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（2）大写金额和小写金额不一致的，以大写金额为准。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（3）单价金额小数点或者百分比有明显错位的，以开标一览表的总价为准，并修改单价。</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（4）总价金额与按单价汇总金额不一致的，以单价金额计算结果为准。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同时出现两种以上错误的，按照前款规定的顺序修正。</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25.6投标人在开、评标全过程中应保持通讯畅通，及时登录苏采云系统查阅、答复相关信息，并安排专人与采购人及评标委员会联系。</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26、无效投标条款和废标条款</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26.1无效投标条款</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26.1.1投标人在苏采云系统规定的时间内未成功解密电子投标文件的。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26.1.2投标人未按照招标文件要求上传电子投标文件的。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26.1.3同一投标人提交两个（含两个）以上不同的投标报价的。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26.1.4投标人不具备招标文件中规定资格要求的。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26.1.5投标人的报价超过了采购预算或最高限价的。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26.1.6未通过符合性审查的。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26.1.7不符合招标文件中规定的实质性要求和条件的</w:t>
      </w:r>
      <w:r>
        <w:rPr>
          <w:i/>
          <w:color w:val="000000"/>
        </w:rPr>
        <w:t xml:space="preserve">。</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26.1.9投标文件含有采购人不能接受的附加条件的。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26.1.11投标文件未按照招标文件要求加盖CA电子公章的。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26.1.12其他法律、法规及本招标文件规定的属无效投标的情形。</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26.2废标条款</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26.2.1符合专业条件的供应商或者对招标文件作实质响应的供应商不足三家的。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26.2.2出现影响采购公正的违法、违规行为的。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26.2.3因重大变故，采购任务取消的。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26.2.4评标委员会认定招标文件存在歧义、重大缺陷导致评审工作无法进行。</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26.2.5因苏采云系统系统故障原因造成开标不成功的。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26.3 投标截止时间结束后参加投标的供应商不足三家的处理：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26.3.1如出现投标截止时间结束后参加投标的供应商或者在评标期间对招标文件做出实质响应的供应商不足三家情况，按政府采购相关规定执行。</w:t>
      </w:r>
      <w:r/>
    </w:p>
    <w:p>
      <w:pPr>
        <w:ind w:firstLine="422"/>
        <w:spacing w:line="400" w:lineRule="exact"/>
        <w:pBdr>
          <w:top w:val="none" w:color="000000" w:sz="0" w:space="0"/>
          <w:left w:val="none" w:color="000000" w:sz="0" w:space="0"/>
          <w:bottom w:val="none" w:color="000000" w:sz="0" w:space="0"/>
          <w:right w:val="none" w:color="000000" w:sz="0" w:space="0"/>
        </w:pBdr>
      </w:pPr>
      <w:r>
        <w:rPr>
          <w:b/>
          <w:color w:val="000000"/>
        </w:rPr>
        <w:t xml:space="preserve">六、定标</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27、确定中标单位</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27.1中标候选人的选取原则和数量见招标文件第五章规定。 </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27.2采购人应根据评委会推荐的中标候选人确定中标人。</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27.3采购人将在“中国政府采购网”、“江苏政府采购网”、“盐城市政府采购网”发布中标公告，公告期限为1个工作日。</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27.4若有充分证据证明，中标人出现下列情况之一的，一经查实，将被取消中标资格：</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27.4.1提供虚假材料谋取中标的。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27.4.2向采购人、采购人行贿或者提供其他不正当利益的。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27.4.3属于本文件规定的无效条件，但在评标过程中又未被评委会发现的。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27.4.4与采购人或者其他供应商恶意串通的。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27.4.5采取不正当手段诋毁、排挤其他供应商的。</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27.5 有下列情形之一的，视为投标人串通投标，投标无效：</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27.5.1不同投标人的投标文件由同一单位或者个人编制。</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27.5.2不同投标人委托同一单位或者个人办理投标事宜。</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27.5.3不同投标人的投标文件载明的项目管理成员或者联系人员为同一人。</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27.5.4不同投标人的投标文件异常一致或者投标报价呈规律性差异。</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28、质疑处理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28.1提出质疑的供应商应当是参与所质疑项目采购活动的供应商。潜在供应商依法获取其可质疑的采购文件的，可以对采购文件提出质疑。</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28.2供应商认为采购文件、采购过程和采购结果使自己的权益受到损害的，可以在知道或应知其权益受到损害之日起七个工作日内，以书面形式根据下述28.4条款的规定向采购人或采购人提出质疑。上述应知其权益受到损害之日，是指：</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28.2.1对可以质疑的采购文件提出质疑的，为收到采购文件之日或者采购文件公告期限届满之日；</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28.2.2对采购过程提出质疑的，为各采购程序环节结束之日；</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28.2.3对中标或者成交结果提出质疑的，为中标或者成交结果公告期限届满之日。</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供应商应当在法定质疑期内一次性提出针对同一采购程序环节的质疑。供应商如在法定期限内对同一采购程序环节提出多次质疑的，采购人、采购人将只对供应商第一次质疑作出答复。</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采购人只接收以纸质原件形式送达的质疑,采购人不接受未填写快递运单的快件。</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28.5 以下情形的质疑不予受理</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28.5.1内容不符合《政府采购质疑和投诉办法》第十二条规定的质疑。</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28.5.2超出政府采购法定期限的质疑。</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28.5.3以传真、电子邮件等方式递交的非原件形式的质疑。</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28.5.4未参加投标活动的供应商或在投标活动中自身权益未受到损害的供应商所提出的质疑。</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28.5.5供应商组成联合体参加投标，联合体中任何一方或多方未按要求签字、盖章、加盖公章的质疑。</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29、中标通知书</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400" w:lineRule="exact"/>
        <w:pBdr>
          <w:top w:val="none" w:color="000000" w:sz="0" w:space="0"/>
          <w:left w:val="none" w:color="000000" w:sz="0" w:space="0"/>
          <w:bottom w:val="none" w:color="000000" w:sz="0" w:space="0"/>
          <w:right w:val="none" w:color="000000" w:sz="0" w:space="0"/>
        </w:pBdr>
      </w:pPr>
      <w:r>
        <w:rPr>
          <w:b/>
          <w:color w:val="000000"/>
        </w:rPr>
        <w:t xml:space="preserve">七、授予合同</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30.签订合同</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30.l中标人应当在中标通知书发出之日起三十日内，按照招标文件确定的事项与采购人签订政府采购合同。</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30.2招标文件、中标人的投标文件及招标过程中有关澄清、承诺文件均应作为合同附件。</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31、服务（包含与服务相关的货物）的追加</w:t>
      </w:r>
      <w:r/>
    </w:p>
    <w:p>
      <w:pPr>
        <w:ind w:firstLine="420"/>
        <w:spacing w:line="400" w:lineRule="exact"/>
        <w:rPr>
          <w:color w:val="000000"/>
        </w:rPr>
        <w:pBdr>
          <w:top w:val="none" w:color="000000" w:sz="0" w:space="0"/>
          <w:left w:val="none" w:color="000000" w:sz="0" w:space="0"/>
          <w:bottom w:val="none" w:color="000000" w:sz="0" w:space="0"/>
          <w:right w:val="none" w:color="000000" w:sz="0" w:space="0"/>
        </w:pBdr>
      </w:pPr>
      <w:r>
        <w:rPr>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32、履约保证金</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32.1在签订合同时，中标供应商须向采购人交纳中标价10%的履约保证金,</w:t>
      </w:r>
      <w:r>
        <w:t xml:space="preserve">履约保证金的缴纳方式：以现金（转账）或者投标人基本账户缴纳的担保机构保函、保险机构保单等非现金交易担保方式，</w:t>
      </w:r>
      <w:r>
        <w:rPr>
          <w:color w:val="000000"/>
        </w:rPr>
        <w:t xml:space="preserve">服务期满后7日内无息退还（以电子保函（保单）、银行保函形式缴纳的保证金按相关协议执行，无需办理退款手续）。履约保证金用以约束中标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32.2根据盐财购〔2024〕18号 关于在全市政府采购领域进一步推行电子履约保函（保险）的通知。可以通过政府采购电子履约保函（保险）平台（www.jsdzbh.com）在线申请履约保函（保险）。”</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33、政府采购履约资金扶持政策</w:t>
      </w:r>
      <w:r/>
    </w:p>
    <w:p>
      <w:pPr>
        <w:ind w:firstLine="420"/>
        <w:spacing w:line="400" w:lineRule="exact"/>
        <w:pBdr>
          <w:top w:val="none" w:color="000000" w:sz="0" w:space="0"/>
          <w:left w:val="none" w:color="000000" w:sz="0" w:space="0"/>
          <w:bottom w:val="none" w:color="000000" w:sz="0" w:space="0"/>
          <w:right w:val="none" w:color="000000" w:sz="0" w:space="0"/>
        </w:pBdr>
      </w:pPr>
      <w:r>
        <w:rPr>
          <w:color w:val="000000"/>
        </w:rPr>
        <w:t xml:space="preserve">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pStyle w:val="927"/>
        <w:ind w:left="0" w:firstLine="420"/>
        <w:spacing w:line="400" w:lineRule="exact"/>
      </w:pPr>
      <w:r>
        <w:rPr>
          <w:color w:val="000000"/>
          <w:szCs w:val="21"/>
        </w:rPr>
        <w:t xml:space="preserve">供应商可登录江苏政府采购网“资料下载”栏目（网址：www.ccgp-jiangsu.gov.cn/jiangsu/zlxz）下载“政府采购电子履约保函（保险）操作手册”。</w:t>
      </w:r>
      <w:r>
        <w:rPr>
          <w:color w:val="000000"/>
          <w:sz w:val="24"/>
        </w:rPr>
        <w:t xml:space="preserve"> </w:t>
      </w:r>
      <w:r/>
    </w:p>
    <w:p>
      <w:r/>
      <w:r/>
    </w:p>
    <w:p>
      <w:pPr>
        <w:pStyle w:val="926"/>
        <w:rPr>
          <w:rFonts w:ascii="Times New Roman" w:hAnsi="Times New Roman" w:cs="Times New Roman"/>
          <w:color w:val="auto"/>
        </w:rPr>
      </w:pPr>
      <w:r>
        <w:rPr>
          <w:rFonts w:ascii="Times New Roman" w:hAnsi="Times New Roman" w:cs="Times New Roman"/>
          <w:color w:val="auto"/>
        </w:rPr>
      </w:r>
      <w:r/>
    </w:p>
    <w:p>
      <w:pPr>
        <w:pStyle w:val="927"/>
      </w:pPr>
      <w:r/>
      <w:r/>
    </w:p>
    <w:p>
      <w:r/>
      <w:r/>
    </w:p>
    <w:p>
      <w:pPr>
        <w:pStyle w:val="710"/>
        <w:ind w:left="1470" w:right="1470"/>
      </w:pPr>
      <w:r/>
      <w:r/>
    </w:p>
    <w:p>
      <w:pPr>
        <w:pStyle w:val="710"/>
        <w:ind w:left="1470" w:right="1470"/>
      </w:pPr>
      <w:r/>
      <w:r/>
    </w:p>
    <w:p>
      <w:pPr>
        <w:pStyle w:val="710"/>
        <w:ind w:left="1470" w:right="1470"/>
      </w:pPr>
      <w:r/>
      <w:r/>
    </w:p>
    <w:p>
      <w:pPr>
        <w:pStyle w:val="710"/>
        <w:ind w:left="1470" w:right="1470"/>
      </w:pPr>
      <w:r/>
      <w:r/>
    </w:p>
    <w:p>
      <w:pPr>
        <w:pStyle w:val="926"/>
        <w:rPr>
          <w:rFonts w:ascii="Times New Roman" w:hAnsi="Times New Roman" w:cs="Times New Roman"/>
          <w:color w:val="auto"/>
        </w:rPr>
      </w:pPr>
      <w:r>
        <w:rPr>
          <w:rFonts w:ascii="Times New Roman" w:hAnsi="Times New Roman" w:cs="Times New Roman"/>
          <w:color w:val="auto"/>
        </w:rPr>
      </w:r>
      <w:r/>
    </w:p>
    <w:p>
      <w:pPr>
        <w:pStyle w:val="927"/>
      </w:pPr>
      <w:r/>
      <w:r/>
    </w:p>
    <w:p>
      <w:r/>
      <w:r/>
    </w:p>
    <w:p>
      <w:pPr>
        <w:pStyle w:val="710"/>
        <w:ind w:left="1470" w:right="1470"/>
      </w:pPr>
      <w:r/>
      <w:r/>
    </w:p>
    <w:p>
      <w:pPr>
        <w:pStyle w:val="710"/>
        <w:ind w:left="1470" w:right="1470"/>
      </w:pPr>
      <w:r/>
      <w:r/>
    </w:p>
    <w:p>
      <w:pPr>
        <w:pStyle w:val="710"/>
        <w:ind w:left="1470" w:right="1470"/>
      </w:pPr>
      <w:r/>
      <w:r/>
    </w:p>
    <w:p>
      <w:pPr>
        <w:pStyle w:val="710"/>
        <w:ind w:left="1470" w:right="1470"/>
      </w:pPr>
      <w:r/>
      <w:r/>
    </w:p>
    <w:p>
      <w:pPr>
        <w:pStyle w:val="710"/>
        <w:ind w:left="1470" w:right="1470"/>
      </w:pPr>
      <w:r/>
      <w:r/>
    </w:p>
    <w:p>
      <w:pPr>
        <w:pStyle w:val="710"/>
        <w:ind w:left="1470" w:right="1470"/>
      </w:pPr>
      <w:r/>
      <w:r/>
    </w:p>
    <w:p>
      <w:pPr>
        <w:rPr>
          <w:bCs/>
          <w:sz w:val="36"/>
          <w:szCs w:val="36"/>
        </w:rPr>
      </w:pPr>
      <w:r/>
      <w:bookmarkStart w:id="35" w:name="_Toc139298011"/>
      <w:r>
        <w:rPr>
          <w:bCs/>
          <w:sz w:val="36"/>
          <w:szCs w:val="36"/>
        </w:rPr>
        <w:br w:type="page" w:clear="all"/>
      </w:r>
      <w:r/>
    </w:p>
    <w:p>
      <w:pPr>
        <w:pStyle w:val="688"/>
        <w:ind w:firstLine="2520"/>
        <w:jc w:val="both"/>
        <w:rPr>
          <w:rFonts w:ascii="Times New Roman" w:eastAsia="宋体"/>
          <w:bCs/>
          <w:sz w:val="36"/>
          <w:szCs w:val="36"/>
        </w:rPr>
      </w:pPr>
      <w:r>
        <w:rPr>
          <w:rFonts w:ascii="Times New Roman" w:eastAsia="宋体"/>
          <w:bCs/>
          <w:sz w:val="36"/>
          <w:szCs w:val="36"/>
        </w:rPr>
        <w:t xml:space="preserve">第三章  合同条款及</w:t>
      </w:r>
      <w:bookmarkEnd w:id="30"/>
      <w:r/>
      <w:bookmarkEnd w:id="31"/>
      <w:r/>
      <w:bookmarkEnd w:id="32"/>
      <w:r/>
      <w:bookmarkEnd w:id="33"/>
      <w:r/>
      <w:bookmarkEnd w:id="34"/>
      <w:r>
        <w:rPr>
          <w:rFonts w:ascii="Times New Roman" w:eastAsia="宋体"/>
          <w:bCs/>
          <w:sz w:val="36"/>
          <w:szCs w:val="36"/>
        </w:rPr>
        <w:t xml:space="preserve">格式</w:t>
      </w:r>
      <w:bookmarkEnd w:id="35"/>
      <w:r/>
      <w:r/>
    </w:p>
    <w:p>
      <w:pPr>
        <w:pStyle w:val="713"/>
        <w:spacing w:before="120" w:after="120" w:line="400" w:lineRule="exact"/>
        <w:tabs>
          <w:tab w:val="left" w:pos="2472" w:leader="none"/>
        </w:tabs>
        <w:rPr>
          <w:rFonts w:ascii="Times New Roman" w:hAnsi="Times New Roman"/>
          <w:color w:val="000000"/>
          <w:u w:val="single"/>
        </w:rPr>
      </w:pPr>
      <w:r/>
      <w:bookmarkStart w:id="36" w:name="_Toc20823315"/>
      <w:r/>
      <w:bookmarkStart w:id="37" w:name="_Toc513029243"/>
      <w:r/>
      <w:bookmarkStart w:id="38" w:name="_Toc16938559"/>
      <w:r>
        <w:rPr>
          <w:rFonts w:ascii="Times New Roman" w:hAnsi="Times New Roman"/>
          <w:color w:val="000000"/>
        </w:rPr>
        <w:t xml:space="preserve">委托方(以下简称甲方)：</w:t>
      </w:r>
      <w:r>
        <w:rPr>
          <w:rFonts w:ascii="Times New Roman" w:hAnsi="Times New Roman"/>
          <w:color w:val="000000"/>
          <w:u w:val="single"/>
        </w:rPr>
        <w:t xml:space="preserve">盐城市大丰生态环境局</w:t>
      </w:r>
      <w:r/>
    </w:p>
    <w:p>
      <w:pPr>
        <w:pStyle w:val="713"/>
        <w:spacing w:before="120" w:after="120" w:line="400" w:lineRule="exact"/>
        <w:tabs>
          <w:tab w:val="left" w:pos="2472" w:leader="none"/>
        </w:tabs>
        <w:rPr>
          <w:rFonts w:ascii="Times New Roman" w:hAnsi="Times New Roman"/>
          <w:color w:val="000000"/>
        </w:rPr>
      </w:pPr>
      <w:r>
        <w:rPr>
          <w:rFonts w:ascii="Times New Roman" w:hAnsi="Times New Roman"/>
          <w:color w:val="000000"/>
        </w:rPr>
        <w:t xml:space="preserve">受委托方(以下简称乙方)：</w:t>
      </w:r>
      <w:r>
        <w:rPr>
          <w:rFonts w:ascii="Times New Roman" w:hAnsi="Times New Roman"/>
          <w:color w:val="000000"/>
          <w:u w:val="single"/>
        </w:rPr>
        <w:t xml:space="preserve">(中标单位名称)</w:t>
      </w:r>
      <w:r/>
    </w:p>
    <w:p>
      <w:pPr>
        <w:pStyle w:val="713"/>
        <w:ind w:firstLine="420"/>
        <w:spacing w:before="120" w:after="120" w:line="400" w:lineRule="exact"/>
        <w:tabs>
          <w:tab w:val="left" w:pos="2472" w:leader="none"/>
        </w:tabs>
        <w:rPr>
          <w:rFonts w:ascii="Times New Roman" w:hAnsi="Times New Roman"/>
        </w:rPr>
      </w:pPr>
      <w:r>
        <w:rPr>
          <w:rFonts w:ascii="Times New Roman" w:hAnsi="Times New Roman"/>
        </w:rPr>
        <w:t xml:space="preserve">根据《中华人民共和国民法典》等国家、地方有关法律、法规和政策，在平等、自愿、协商一致的基础上，就甲方委托乙方对</w:t>
      </w:r>
      <w:r>
        <w:rPr>
          <w:rFonts w:ascii="Times New Roman" w:hAnsi="Times New Roman"/>
          <w:u w:val="single"/>
        </w:rPr>
        <w:t xml:space="preserve">                 </w:t>
      </w:r>
      <w:r>
        <w:rPr>
          <w:rFonts w:ascii="Times New Roman" w:hAnsi="Times New Roman"/>
        </w:rPr>
        <w:t xml:space="preserve">实行专业化、一体化的服务订立本合同。</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第一条　基本情况</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第二条　委托事项</w:t>
      </w:r>
      <w:r/>
    </w:p>
    <w:p>
      <w:pPr>
        <w:pStyle w:val="713"/>
        <w:spacing w:before="120" w:after="120" w:line="400" w:lineRule="exact"/>
        <w:tabs>
          <w:tab w:val="left" w:pos="2472" w:leader="none"/>
        </w:tabs>
        <w:rPr>
          <w:rFonts w:ascii="Times New Roman" w:hAnsi="Times New Roman"/>
          <w:u w:val="single"/>
        </w:rPr>
      </w:pPr>
      <w:r>
        <w:rPr>
          <w:rFonts w:ascii="Times New Roman" w:hAnsi="Times New Roman"/>
          <w:b/>
        </w:rPr>
        <w:t xml:space="preserve">　　一. 服务内容</w:t>
      </w:r>
      <w:r>
        <w:rPr>
          <w:rFonts w:ascii="Times New Roman" w:hAnsi="Times New Roman"/>
        </w:rPr>
        <w:t xml:space="preserve">：</w:t>
      </w:r>
      <w:r>
        <w:rPr>
          <w:rFonts w:ascii="Times New Roman" w:hAnsi="Times New Roman"/>
          <w:u w:val="single"/>
        </w:rPr>
        <w:t xml:space="preserve">详见招标文件；</w:t>
      </w:r>
      <w:r/>
    </w:p>
    <w:p>
      <w:pPr>
        <w:pStyle w:val="713"/>
        <w:ind w:firstLine="420"/>
        <w:spacing w:before="120" w:after="120" w:line="400" w:lineRule="exact"/>
        <w:tabs>
          <w:tab w:val="left" w:pos="2472" w:leader="none"/>
        </w:tabs>
        <w:rPr>
          <w:rFonts w:ascii="Times New Roman" w:hAnsi="Times New Roman"/>
          <w:bCs/>
        </w:rPr>
      </w:pPr>
      <w:r>
        <w:rPr>
          <w:rFonts w:ascii="Times New Roman" w:hAnsi="Times New Roman"/>
        </w:rPr>
        <w:t xml:space="preserve">二.</w:t>
      </w:r>
      <w:r>
        <w:rPr>
          <w:rFonts w:ascii="Times New Roman" w:hAnsi="Times New Roman"/>
          <w:bCs/>
        </w:rPr>
        <w:t xml:space="preserve"> 服务要求：</w:t>
      </w:r>
      <w:r/>
    </w:p>
    <w:p>
      <w:pPr>
        <w:pStyle w:val="713"/>
        <w:ind w:firstLine="420"/>
        <w:spacing w:before="120" w:after="120" w:line="400" w:lineRule="exact"/>
        <w:tabs>
          <w:tab w:val="left" w:pos="2472" w:leader="none"/>
        </w:tabs>
        <w:rPr>
          <w:rFonts w:ascii="Times New Roman" w:hAnsi="Times New Roman"/>
          <w:bCs/>
        </w:rPr>
      </w:pPr>
      <w:r>
        <w:rPr>
          <w:rFonts w:ascii="Times New Roman" w:hAnsi="Times New Roman"/>
          <w:bCs/>
        </w:rPr>
        <w:t xml:space="preserve">1、见本项目招标文件；甲方从乙方开始进场时立即按照招标文件和本合同要求对乙方进行考核。在使用期内，乙方不能满足甲方服务内容及要求的，甲方将终止合同，乙方无条件清退出场。</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第三条　合同期限</w:t>
      </w:r>
      <w:r/>
    </w:p>
    <w:p>
      <w:pPr>
        <w:pStyle w:val="713"/>
        <w:ind w:firstLine="424"/>
        <w:spacing w:before="120" w:after="120" w:line="400" w:lineRule="exact"/>
        <w:tabs>
          <w:tab w:val="left" w:pos="2472" w:leader="none"/>
        </w:tabs>
        <w:rPr>
          <w:rFonts w:ascii="Times New Roman" w:hAnsi="Times New Roman"/>
        </w:rPr>
      </w:pPr>
      <w:r>
        <w:rPr>
          <w:rFonts w:ascii="Times New Roman" w:hAnsi="Times New Roman"/>
        </w:rPr>
        <w:t xml:space="preserve">本合同期限为</w:t>
      </w:r>
      <w:r>
        <w:rPr>
          <w:rFonts w:ascii="Times New Roman" w:hAnsi="Times New Roman"/>
          <w:u w:val="single"/>
        </w:rPr>
        <w:t xml:space="preserve">      </w:t>
      </w:r>
      <w:r>
        <w:rPr>
          <w:rFonts w:ascii="Times New Roman" w:hAnsi="Times New Roman"/>
        </w:rPr>
        <w:t xml:space="preserve">个月，自</w:t>
      </w:r>
      <w:r>
        <w:rPr>
          <w:rFonts w:ascii="Times New Roman" w:hAnsi="Times New Roman"/>
          <w:u w:val="single"/>
        </w:rPr>
        <w:t xml:space="preserve">       </w:t>
      </w:r>
      <w:r>
        <w:rPr>
          <w:rFonts w:ascii="Times New Roman" w:hAnsi="Times New Roman"/>
        </w:rPr>
        <w:t xml:space="preserve">年</w:t>
      </w:r>
      <w:r>
        <w:rPr>
          <w:rFonts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日起至</w:t>
      </w:r>
      <w:r>
        <w:rPr>
          <w:rFonts w:ascii="Times New Roman" w:hAnsi="Times New Roman"/>
          <w:u w:val="single"/>
        </w:rPr>
        <w:t xml:space="preserve">     </w:t>
      </w:r>
      <w:r>
        <w:rPr>
          <w:rFonts w:ascii="Times New Roman" w:hAnsi="Times New Roman"/>
        </w:rPr>
        <w:t xml:space="preserve">年</w:t>
      </w:r>
      <w:r>
        <w:rPr>
          <w:rFonts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日止。</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第四条　甲方的权利和义务</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1.对乙方的管理实施监督检查，全面进行考核评定，如因乙方管理不善，造成重大经济损失或管理失误，有权终止合同，同时甲方有权追偿由此产生的损失费用;</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2.法规政策规定由甲方承担的其他责任。</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第五条　乙方的权利和义务</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1.根据有关法律、法规政策及本合同的规定，制订各项管理办法、规章制度、实施细则，自主开展各项管理经营活动，但不得损害甲方的合法权益，获取不当利益。</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2.接受主管部门及有关政府部门的监督、指导，并接受甲方的监督;</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3.对本打捞点的公用设施不得擅自占用和改变使用功能;</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第六条　管理目标</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管理服务总体要求：</w:t>
      </w:r>
      <w:r>
        <w:rPr>
          <w:rFonts w:ascii="Times New Roman" w:hAnsi="Times New Roman"/>
          <w:bCs/>
          <w:u w:val="single"/>
        </w:rPr>
        <w:t xml:space="preserve"> 详见招标文件招标需求  </w:t>
      </w:r>
      <w:r>
        <w:rPr>
          <w:rFonts w:ascii="Times New Roman" w:hAnsi="Times New Roman"/>
        </w:rPr>
        <w:t xml:space="preserve">。</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第七条　服务费用</w:t>
      </w:r>
      <w:r/>
    </w:p>
    <w:p>
      <w:pPr>
        <w:pStyle w:val="713"/>
        <w:ind w:left="405"/>
        <w:spacing w:before="145" w:after="145" w:line="400" w:lineRule="exact"/>
        <w:tabs>
          <w:tab w:val="left" w:pos="2472" w:leader="none"/>
        </w:tabs>
        <w:rPr>
          <w:rFonts w:ascii="Times New Roman" w:hAnsi="Times New Roman"/>
        </w:rPr>
      </w:pPr>
      <w:r>
        <w:rPr>
          <w:rFonts w:ascii="Times New Roman" w:hAnsi="Times New Roman"/>
        </w:rPr>
        <w:t xml:space="preserve">1、服务费暂定</w:t>
      </w:r>
      <w:r>
        <w:rPr>
          <w:rFonts w:ascii="Times New Roman" w:hAnsi="Times New Roman"/>
          <w:u w:val="single"/>
        </w:rPr>
        <w:t xml:space="preserve">               </w:t>
      </w:r>
      <w:r>
        <w:rPr>
          <w:rFonts w:ascii="Times New Roman" w:hAnsi="Times New Roman"/>
        </w:rPr>
        <w:t xml:space="preserve">元，服务费组成以中标人投标文件为准。 </w:t>
      </w:r>
      <w:r/>
    </w:p>
    <w:p>
      <w:pPr>
        <w:ind w:firstLine="420"/>
        <w:spacing w:line="400" w:lineRule="exact"/>
      </w:pPr>
      <w:r>
        <w:t xml:space="preserve">2、本项目履约保证金为：履约保证金的缴纳方式：以现金（转账）或者投标人基本账户缴纳的担保机构保函、保险机构保单等非现金交易担保方式，履约保证金的金额：中标价的10%，履约保证金的退还：服务期满后7日内无息退还</w:t>
      </w:r>
      <w:r>
        <w:rPr>
          <w:color w:val="000000"/>
        </w:rPr>
        <w:t xml:space="preserve">（以电子保函（保单）、银行保函形式缴纳的保证金按相关协议执行，无需办理退款手续）</w:t>
      </w:r>
      <w:r>
        <w:t xml:space="preserve">。鼓励采购人对AA评级及以上政府采购供应商（需提供信用管理部门备案的第三方信用报告），免收履约保证金或降低履约保证金缴纳比例。合同签订后15日内项目组成人员及设备全部配备到位，如未按时到位履约保证金不予退还，招标人将重新招标。</w:t>
      </w:r>
      <w:r>
        <w:rPr>
          <w:shd w:val="clear" w:color="auto" w:fill="ffffff"/>
        </w:rPr>
        <w:t xml:space="preserve">根据盐财购〔2024〕18号 关于在全市政府采购领域进一步推行电子履约保函（保险）的通知。可以通过政府采购电子履约保函（保险）平台（www.jsdzbh.com）在线申请履约保函（保险）。</w:t>
      </w:r>
      <w:r/>
    </w:p>
    <w:p>
      <w:pPr>
        <w:ind w:firstLine="422"/>
        <w:spacing w:line="400" w:lineRule="exact"/>
        <w:rPr>
          <w:b/>
          <w:bCs/>
          <w:highlight w:val="none"/>
        </w:rPr>
      </w:pPr>
      <w:r>
        <w:rPr>
          <w:b/>
          <w:bCs/>
          <w:highlight w:val="none"/>
        </w:rPr>
        <w:t xml:space="preserve">3、服务费支付方式：</w:t>
      </w:r>
      <w:r>
        <w:rPr>
          <w:rFonts w:hint="eastAsia"/>
          <w:b/>
          <w:bCs/>
          <w:highlight w:val="none"/>
        </w:rPr>
        <w:t xml:space="preserve">签订合同后支付合同价款的30%，服务期至合同签订满一年后10个工作日内支付至合同价款的80%，服务期满后10个工作日内支付至合同价款的100%。</w:t>
      </w:r>
      <w:r>
        <w:rPr>
          <w:b/>
          <w:bCs/>
          <w:highlight w:val="none"/>
        </w:rPr>
        <w:t xml:space="preserve"> </w:t>
      </w:r>
      <w:r/>
    </w:p>
    <w:p>
      <w:pPr>
        <w:pStyle w:val="713"/>
        <w:spacing w:before="120" w:after="120" w:line="400" w:lineRule="exact"/>
        <w:tabs>
          <w:tab w:val="center" w:pos="4366" w:leader="none"/>
        </w:tabs>
        <w:rPr>
          <w:rFonts w:hint="eastAsia" w:ascii="Times New Roman" w:hAnsi="Times New Roman" w:eastAsia="宋体"/>
          <w:lang w:eastAsia="zh-CN"/>
        </w:rPr>
      </w:pPr>
      <w:r>
        <w:rPr>
          <w:rFonts w:ascii="Times New Roman" w:hAnsi="Times New Roman"/>
        </w:rPr>
        <w:t xml:space="preserve">   第八条　违约责任</w:t>
      </w:r>
      <w:r>
        <w:rPr>
          <w:rFonts w:hint="eastAsia" w:ascii="Times New Roman" w:hAnsi="Times New Roman"/>
          <w:lang w:eastAsia="zh-CN"/>
        </w:rPr>
        <w:tab/>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1.如因乙方原因，造成不能完成管理目标或直接造成甲方经济损失的，乙方应给予甲方相应补偿。甲方有权要求乙方限期整改，并有权终止合同。</w:t>
      </w:r>
      <w:r/>
    </w:p>
    <w:p>
      <w:pPr>
        <w:pStyle w:val="713"/>
        <w:ind w:firstLine="420"/>
        <w:spacing w:before="120" w:after="120" w:line="400" w:lineRule="exact"/>
        <w:tabs>
          <w:tab w:val="left" w:pos="2472" w:leader="none"/>
        </w:tabs>
        <w:rPr>
          <w:rFonts w:ascii="Times New Roman" w:hAnsi="Times New Roman"/>
        </w:rPr>
      </w:pPr>
      <w:r>
        <w:rPr>
          <w:rFonts w:ascii="Times New Roman" w:hAnsi="Times New Roman"/>
        </w:rPr>
        <w:t xml:space="preserve">2.因乙方管理不善或操作不当等原因造成重大事故的 ，由乙方承担责任并负责善后处理。(产生事故的直接原因，以政府有关部门的鉴定结论为准)。</w:t>
      </w:r>
      <w:r/>
    </w:p>
    <w:p>
      <w:pPr>
        <w:pStyle w:val="713"/>
        <w:ind w:firstLine="420"/>
        <w:spacing w:before="120" w:after="120" w:line="400" w:lineRule="exact"/>
        <w:tabs>
          <w:tab w:val="left" w:pos="2472" w:leader="none"/>
        </w:tabs>
        <w:rPr>
          <w:rFonts w:ascii="Times New Roman" w:hAnsi="Times New Roman"/>
        </w:rPr>
      </w:pPr>
      <w:r>
        <w:rPr>
          <w:rFonts w:ascii="Times New Roman" w:hAnsi="Times New Roman"/>
        </w:rPr>
        <w:t xml:space="preserve">3、不经甲方同意，中标人不得在管理区域内自主生产或经营管理服务之外的任何项目，如若发生，甲方有权要求乙方限期整改，并有权终止合同，没收履约保证金。</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第九条　其他事项</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1.双方可对本合同的条款进行修订更改或补充，以书面签订补充协议，补充协议与本合同具有同等效力。</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2.本合同执行期间，如遇不可抗力，致使合同无法履行时，双方均不承担违约责任并按有关法规政策规定及时协商处理。</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3.本合同在履行中如发生争议，双方应协商解决，协商不成时，提请主管部门调解，调解不成的，任何一方可向项目所在地人民法院提起诉讼。</w:t>
      </w:r>
      <w:r/>
    </w:p>
    <w:p>
      <w:pPr>
        <w:pStyle w:val="713"/>
        <w:ind w:firstLine="420"/>
        <w:spacing w:before="120" w:after="120" w:line="400" w:lineRule="exact"/>
        <w:tabs>
          <w:tab w:val="left" w:pos="2472" w:leader="none"/>
        </w:tabs>
        <w:rPr>
          <w:rFonts w:ascii="Times New Roman" w:hAnsi="Times New Roman"/>
        </w:rPr>
      </w:pPr>
      <w:r>
        <w:rPr>
          <w:rFonts w:ascii="Times New Roman" w:hAnsi="Times New Roman"/>
        </w:rPr>
        <w:t xml:space="preserve">4.本合同之附件均为合同有效组成部分;本合同及其附件内，空格部分填写的文字与印刷文字具有同等效力。</w:t>
      </w:r>
      <w:r/>
    </w:p>
    <w:p>
      <w:pPr>
        <w:pStyle w:val="713"/>
        <w:ind w:firstLine="420"/>
        <w:spacing w:before="120" w:after="120" w:line="400" w:lineRule="exact"/>
        <w:tabs>
          <w:tab w:val="left" w:pos="2472" w:leader="none"/>
        </w:tabs>
        <w:rPr>
          <w:rFonts w:ascii="Times New Roman" w:hAnsi="Times New Roman"/>
        </w:rPr>
      </w:pPr>
      <w:r>
        <w:rPr>
          <w:rFonts w:ascii="Times New Roman" w:hAnsi="Times New Roman"/>
        </w:rPr>
        <w:t xml:space="preserve">5.本合同及其附件和补充协议中未规定的事项，均遵照中华人民共和国有关法律、法规和政策执行。</w:t>
      </w:r>
      <w:r/>
    </w:p>
    <w:p>
      <w:pPr>
        <w:pStyle w:val="713"/>
        <w:ind w:firstLine="420"/>
        <w:spacing w:before="120" w:after="120" w:line="400" w:lineRule="exact"/>
        <w:tabs>
          <w:tab w:val="left" w:pos="2472" w:leader="none"/>
        </w:tabs>
        <w:rPr>
          <w:rFonts w:ascii="Times New Roman" w:hAnsi="Times New Roman"/>
        </w:rPr>
      </w:pPr>
      <w:r>
        <w:rPr>
          <w:rFonts w:ascii="Times New Roman" w:hAnsi="Times New Roman"/>
        </w:rPr>
        <w:t xml:space="preserve">6.合同规定的管理期满，本合同自然终止，双方如续订合同，应在该合同期满三个月前向对方提出书面意见。</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7.本合同一式</w:t>
      </w:r>
      <w:r>
        <w:rPr>
          <w:rFonts w:ascii="Times New Roman" w:hAnsi="Times New Roman"/>
          <w:u w:val="single"/>
        </w:rPr>
        <w:t xml:space="preserve">   </w:t>
      </w:r>
      <w:r>
        <w:rPr>
          <w:rFonts w:ascii="Times New Roman" w:hAnsi="Times New Roman"/>
        </w:rPr>
        <w:t xml:space="preserve">份，正本</w:t>
      </w:r>
      <w:r>
        <w:rPr>
          <w:rFonts w:ascii="Times New Roman" w:hAnsi="Times New Roman"/>
          <w:u w:val="single"/>
        </w:rPr>
        <w:t xml:space="preserve">   </w:t>
      </w:r>
      <w:r>
        <w:rPr>
          <w:rFonts w:ascii="Times New Roman" w:hAnsi="Times New Roman"/>
        </w:rPr>
        <w:t xml:space="preserve">份、副本</w:t>
      </w:r>
      <w:r>
        <w:rPr>
          <w:rFonts w:ascii="Times New Roman" w:hAnsi="Times New Roman"/>
          <w:u w:val="single"/>
        </w:rPr>
        <w:t xml:space="preserve">   </w:t>
      </w:r>
      <w:r>
        <w:rPr>
          <w:rFonts w:ascii="Times New Roman" w:hAnsi="Times New Roman"/>
        </w:rPr>
        <w:t xml:space="preserve">份，甲方</w:t>
      </w:r>
      <w:r>
        <w:rPr>
          <w:rFonts w:ascii="Times New Roman" w:hAnsi="Times New Roman"/>
          <w:u w:val="single"/>
        </w:rPr>
        <w:t xml:space="preserve">   </w:t>
      </w:r>
      <w:r>
        <w:rPr>
          <w:rFonts w:ascii="Times New Roman" w:hAnsi="Times New Roman"/>
        </w:rPr>
        <w:t xml:space="preserve">份、乙方</w:t>
      </w:r>
      <w:r>
        <w:rPr>
          <w:rFonts w:ascii="Times New Roman" w:hAnsi="Times New Roman"/>
          <w:u w:val="single"/>
        </w:rPr>
        <w:t xml:space="preserve">   </w:t>
      </w:r>
      <w:r>
        <w:rPr>
          <w:rFonts w:ascii="Times New Roman" w:hAnsi="Times New Roman"/>
        </w:rPr>
        <w:t xml:space="preserve">份，一份用于政府采购监管部门备案，具有同等法律效力。</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8.本合同自签订之日起生效，合同未尽事宜按招标文件及有关法律、法规执行。</w:t>
      </w:r>
      <w:r/>
    </w:p>
    <w:p>
      <w:pPr>
        <w:pStyle w:val="713"/>
        <w:spacing w:before="120" w:after="120" w:line="400" w:lineRule="exact"/>
        <w:tabs>
          <w:tab w:val="left" w:pos="2472" w:leader="none"/>
        </w:tabs>
        <w:rPr>
          <w:rFonts w:ascii="Times New Roman" w:hAnsi="Times New Roman"/>
        </w:rPr>
      </w:pPr>
      <w:r>
        <w:rPr>
          <w:rFonts w:ascii="Times New Roman" w:hAnsi="Times New Roman"/>
        </w:rPr>
        <w:t xml:space="preserve">　</w:t>
      </w:r>
      <w:r/>
    </w:p>
    <w:p>
      <w:pPr>
        <w:pStyle w:val="713"/>
        <w:spacing w:before="120" w:after="120" w:line="400" w:lineRule="exact"/>
        <w:tabs>
          <w:tab w:val="left" w:pos="2472" w:leader="none"/>
        </w:tabs>
        <w:rPr>
          <w:rFonts w:ascii="Times New Roman" w:hAnsi="Times New Roman"/>
        </w:rPr>
      </w:pPr>
      <w:r>
        <w:rPr>
          <w:rFonts w:ascii="Times New Roman" w:hAnsi="Times New Roman"/>
        </w:rPr>
      </w:r>
      <w:r/>
    </w:p>
    <w:p>
      <w:pPr>
        <w:pStyle w:val="713"/>
        <w:ind w:firstLine="210"/>
        <w:spacing w:before="120" w:after="120" w:line="400" w:lineRule="exact"/>
        <w:tabs>
          <w:tab w:val="left" w:pos="2472" w:leader="none"/>
        </w:tabs>
        <w:rPr>
          <w:rFonts w:ascii="Times New Roman" w:hAnsi="Times New Roman"/>
        </w:rPr>
      </w:pPr>
      <w:r>
        <w:rPr>
          <w:rFonts w:ascii="Times New Roman" w:hAnsi="Times New Roman"/>
        </w:rPr>
        <w:t xml:space="preserve">　甲方(盖章)：</w:t>
      </w:r>
      <w:r>
        <w:rPr>
          <w:rFonts w:ascii="Times New Roman" w:hAnsi="Times New Roman"/>
          <w:u w:val="single"/>
        </w:rPr>
        <w:t xml:space="preserve">               </w:t>
      </w:r>
      <w:r>
        <w:rPr>
          <w:rFonts w:ascii="Times New Roman" w:hAnsi="Times New Roman"/>
        </w:rPr>
        <w:t xml:space="preserve">　　　　　乙方(盖章)：</w:t>
      </w:r>
      <w:r>
        <w:rPr>
          <w:rFonts w:ascii="Times New Roman" w:hAnsi="Times New Roman"/>
          <w:u w:val="single"/>
        </w:rPr>
        <w:t xml:space="preserve">               </w:t>
      </w:r>
      <w:r/>
    </w:p>
    <w:p>
      <w:pPr>
        <w:pStyle w:val="713"/>
        <w:ind w:firstLine="420"/>
        <w:spacing w:before="120" w:after="120" w:line="400" w:lineRule="exact"/>
        <w:tabs>
          <w:tab w:val="left" w:pos="2472" w:leader="none"/>
        </w:tabs>
        <w:rPr>
          <w:rFonts w:ascii="Times New Roman" w:hAnsi="Times New Roman"/>
        </w:rPr>
      </w:pPr>
      <w:r>
        <w:rPr>
          <w:rFonts w:ascii="Times New Roman" w:hAnsi="Times New Roman"/>
        </w:rPr>
        <w:t xml:space="preserve">法定代表人(签字)：_________　　　　　法定代表人(签字)：_________</w:t>
      </w:r>
      <w:r/>
    </w:p>
    <w:p>
      <w:pPr>
        <w:pStyle w:val="713"/>
        <w:ind w:firstLine="420"/>
        <w:spacing w:before="120" w:after="120" w:line="400" w:lineRule="exact"/>
        <w:tabs>
          <w:tab w:val="left" w:pos="2472" w:leader="none"/>
        </w:tabs>
        <w:rPr>
          <w:rFonts w:ascii="Times New Roman" w:hAnsi="Times New Roman"/>
        </w:rPr>
      </w:pPr>
      <w:r>
        <w:rPr>
          <w:rFonts w:ascii="Times New Roman" w:hAnsi="Times New Roman"/>
        </w:rPr>
        <w:t xml:space="preserve">_________年____月____日　　　　　　　_________年____月____日</w:t>
      </w:r>
      <w:bookmarkEnd w:id="36"/>
      <w:r/>
      <w:bookmarkEnd w:id="37"/>
      <w:r/>
      <w:bookmarkEnd w:id="38"/>
      <w:r/>
      <w:bookmarkStart w:id="39" w:name="_Toc16938590"/>
      <w:r/>
      <w:bookmarkStart w:id="40" w:name="_Toc120614244"/>
      <w:r/>
      <w:bookmarkStart w:id="41" w:name="_Toc139298012"/>
      <w:r/>
      <w:bookmarkStart w:id="42" w:name="_Toc20823346"/>
      <w:r/>
      <w:bookmarkStart w:id="43" w:name="_Toc479757211"/>
      <w:r/>
      <w:bookmarkStart w:id="44" w:name="_Toc462564139"/>
      <w:r/>
      <w:r/>
    </w:p>
    <w:p>
      <w:pPr>
        <w:pStyle w:val="688"/>
        <w:jc w:val="both"/>
        <w:rPr>
          <w:rFonts w:ascii="Times New Roman" w:eastAsia="宋体"/>
          <w:sz w:val="36"/>
          <w:szCs w:val="36"/>
        </w:rPr>
      </w:pPr>
      <w:r>
        <w:rPr>
          <w:rFonts w:ascii="Times New Roman" w:eastAsia="宋体"/>
          <w:sz w:val="36"/>
          <w:szCs w:val="36"/>
        </w:rPr>
      </w:r>
      <w:r/>
    </w:p>
    <w:p>
      <w:pPr>
        <w:pStyle w:val="688"/>
        <w:jc w:val="both"/>
        <w:rPr>
          <w:rFonts w:ascii="Times New Roman" w:eastAsia="宋体"/>
          <w:sz w:val="36"/>
          <w:szCs w:val="36"/>
        </w:rPr>
      </w:pPr>
      <w:r>
        <w:rPr>
          <w:rFonts w:ascii="Times New Roman" w:eastAsia="宋体"/>
          <w:sz w:val="36"/>
          <w:szCs w:val="36"/>
        </w:rPr>
      </w:r>
      <w:r/>
    </w:p>
    <w:p>
      <w:pPr>
        <w:pStyle w:val="688"/>
        <w:jc w:val="both"/>
        <w:rPr>
          <w:rFonts w:ascii="Times New Roman" w:eastAsia="宋体"/>
          <w:sz w:val="36"/>
          <w:szCs w:val="36"/>
        </w:rPr>
      </w:pPr>
      <w:r>
        <w:rPr>
          <w:rFonts w:ascii="Times New Roman" w:eastAsia="宋体"/>
          <w:sz w:val="36"/>
          <w:szCs w:val="36"/>
        </w:rPr>
      </w:r>
      <w:r/>
    </w:p>
    <w:p>
      <w:pPr>
        <w:pStyle w:val="688"/>
        <w:jc w:val="both"/>
        <w:rPr>
          <w:rFonts w:ascii="Times New Roman" w:eastAsia="宋体"/>
          <w:sz w:val="36"/>
          <w:szCs w:val="36"/>
        </w:rPr>
      </w:pPr>
      <w:r>
        <w:rPr>
          <w:rFonts w:ascii="Times New Roman" w:eastAsia="宋体"/>
          <w:sz w:val="36"/>
          <w:szCs w:val="36"/>
        </w:rPr>
      </w:r>
      <w:r/>
    </w:p>
    <w:p>
      <w:pPr>
        <w:pStyle w:val="688"/>
        <w:jc w:val="both"/>
        <w:rPr>
          <w:rFonts w:ascii="Times New Roman" w:eastAsia="宋体"/>
          <w:sz w:val="36"/>
          <w:szCs w:val="36"/>
        </w:rPr>
      </w:pPr>
      <w:r>
        <w:rPr>
          <w:rFonts w:ascii="Times New Roman" w:eastAsia="宋体"/>
          <w:sz w:val="36"/>
          <w:szCs w:val="36"/>
        </w:rPr>
      </w:r>
      <w:r/>
    </w:p>
    <w:p>
      <w:pPr>
        <w:pStyle w:val="688"/>
        <w:jc w:val="both"/>
        <w:rPr>
          <w:rFonts w:ascii="Times New Roman" w:eastAsia="宋体"/>
          <w:sz w:val="36"/>
          <w:szCs w:val="36"/>
        </w:rPr>
      </w:pPr>
      <w:r>
        <w:rPr>
          <w:rFonts w:ascii="Times New Roman" w:eastAsia="宋体"/>
          <w:sz w:val="36"/>
          <w:szCs w:val="36"/>
        </w:rPr>
      </w:r>
      <w:r/>
    </w:p>
    <w:p>
      <w:pPr>
        <w:pStyle w:val="688"/>
        <w:jc w:val="both"/>
        <w:rPr>
          <w:rFonts w:ascii="Times New Roman" w:eastAsia="宋体"/>
          <w:sz w:val="36"/>
          <w:szCs w:val="36"/>
        </w:rPr>
      </w:pPr>
      <w:r>
        <w:rPr>
          <w:rFonts w:ascii="Times New Roman" w:eastAsia="宋体"/>
          <w:sz w:val="36"/>
          <w:szCs w:val="36"/>
        </w:rPr>
      </w:r>
      <w:r/>
    </w:p>
    <w:p>
      <w:pPr>
        <w:pStyle w:val="688"/>
        <w:jc w:val="both"/>
        <w:rPr>
          <w:rFonts w:ascii="Times New Roman" w:eastAsia="宋体"/>
          <w:sz w:val="36"/>
          <w:szCs w:val="36"/>
        </w:rPr>
      </w:pPr>
      <w:r>
        <w:rPr>
          <w:rFonts w:ascii="Times New Roman" w:eastAsia="宋体"/>
          <w:sz w:val="36"/>
          <w:szCs w:val="36"/>
        </w:rPr>
      </w:r>
      <w:r/>
    </w:p>
    <w:p>
      <w:pPr>
        <w:rPr>
          <w:sz w:val="36"/>
          <w:szCs w:val="36"/>
        </w:rPr>
      </w:pPr>
      <w:r>
        <w:rPr>
          <w:sz w:val="36"/>
          <w:szCs w:val="36"/>
        </w:rPr>
        <w:br w:type="page" w:clear="all"/>
      </w:r>
      <w:r/>
    </w:p>
    <w:p>
      <w:pPr>
        <w:jc w:val="center"/>
        <w:rPr>
          <w:rFonts w:hint="eastAsia" w:ascii="宋体" w:hAnsi="宋体" w:eastAsia="宋体" w:cs="宋体"/>
          <w:color w:val="000000"/>
          <w:sz w:val="36"/>
          <w:szCs w:val="36"/>
        </w:rPr>
      </w:pPr>
      <w:r/>
      <w:bookmarkStart w:id="45" w:name="MOFFICE_OUTDOC_NTDOC__TITLE"/>
      <w:r>
        <w:rPr>
          <w:rFonts w:hint="eastAsia" w:ascii="宋体" w:hAnsi="宋体" w:eastAsia="宋体" w:cs="宋体"/>
          <w:color w:val="000000"/>
          <w:sz w:val="36"/>
          <w:szCs w:val="36"/>
        </w:rPr>
        <w:t xml:space="preserve">政府采购合同履约验收书（参考格式）</w:t>
      </w:r>
      <w:r/>
    </w:p>
    <w:p>
      <w:pPr>
        <w:ind w:firstLine="600"/>
        <w:jc w:val="left"/>
        <w:spacing w:line="560" w:lineRule="exact"/>
        <w:rPr>
          <w:color w:val="505050"/>
          <w:szCs w:val="32"/>
        </w:rPr>
      </w:pPr>
      <w:r>
        <w:rPr>
          <w:color w:val="000000"/>
          <w:szCs w:val="32"/>
        </w:rPr>
        <w:t xml:space="preserve">根据政府采购合同（编号：          ）的约定，我单位组织对</w:t>
      </w:r>
      <w:r>
        <w:rPr>
          <w:color w:val="000000"/>
          <w:szCs w:val="32"/>
          <w:u w:val="single"/>
        </w:rPr>
        <w:t xml:space="preserve">（项目名称）</w:t>
      </w:r>
      <w:r>
        <w:rPr>
          <w:color w:val="000000"/>
          <w:szCs w:val="32"/>
        </w:rPr>
        <w:t xml:space="preserve">项目中标（成交）供应商</w:t>
      </w:r>
      <w:r>
        <w:rPr>
          <w:color w:val="000000"/>
          <w:szCs w:val="32"/>
          <w:u w:val="single"/>
        </w:rPr>
        <w:t xml:space="preserve">（公司名称）</w:t>
      </w:r>
      <w:r>
        <w:rPr>
          <w:color w:val="000000"/>
          <w:szCs w:val="32"/>
        </w:rPr>
        <w:t xml:space="preserve">提供的货物（工程、服务）进行了履约验收，验收情况如下：</w:t>
      </w:r>
      <w:bookmarkEnd w:id="45"/>
      <w:r/>
      <w:r/>
    </w:p>
    <w:tbl>
      <w:tblPr>
        <w:tblStyle w:val="698"/>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color w:val="000000"/>
                <w:szCs w:val="32"/>
              </w:rPr>
            </w:pPr>
            <w:r>
              <w:rPr>
                <w:color w:val="000000"/>
                <w:szCs w:val="32"/>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color w:val="000000"/>
                <w:szCs w:val="32"/>
              </w:rPr>
            </w:pPr>
            <w:r>
              <w:rPr>
                <w:color w:val="000000"/>
                <w:szCs w:val="32"/>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color w:val="000000"/>
                <w:szCs w:val="32"/>
              </w:rPr>
            </w:pPr>
            <w:r>
              <w:rPr>
                <w:color w:val="000000"/>
                <w:szCs w:val="32"/>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color w:val="000000"/>
                <w:szCs w:val="32"/>
              </w:rPr>
            </w:pPr>
            <w:r>
              <w:rPr>
                <w:color w:val="000000"/>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color w:val="000000"/>
                <w:szCs w:val="32"/>
              </w:rPr>
            </w:pPr>
            <w:r>
              <w:rPr>
                <w:color w:val="000000"/>
                <w:szCs w:val="32"/>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color w:val="000000"/>
                <w:szCs w:val="32"/>
              </w:rPr>
            </w:pPr>
            <w:r>
              <w:rPr>
                <w:color w:val="000000"/>
                <w:szCs w:val="32"/>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color w:val="000000"/>
                <w:szCs w:val="32"/>
              </w:rPr>
            </w:pPr>
            <w:r>
              <w:rPr>
                <w:color w:val="000000"/>
                <w:szCs w:val="32"/>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jc w:val="left"/>
              <w:spacing w:line="360" w:lineRule="exact"/>
              <w:rPr>
                <w:color w:val="000000"/>
                <w:szCs w:val="32"/>
              </w:rPr>
            </w:pPr>
            <w:r>
              <w:rPr>
                <w:color w:val="000000"/>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color w:val="000000"/>
                <w:szCs w:val="32"/>
              </w:rPr>
            </w:pPr>
            <w:r>
              <w:rPr>
                <w:color w:val="000000"/>
                <w:szCs w:val="32"/>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color w:val="000000"/>
                <w:szCs w:val="32"/>
              </w:rPr>
            </w:pPr>
            <w:r>
              <w:rPr>
                <w:color w:val="000000"/>
                <w:szCs w:val="32"/>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color w:val="000000"/>
                <w:szCs w:val="32"/>
              </w:rPr>
            </w:pPr>
            <w:r>
              <w:rPr>
                <w:color w:val="000000"/>
                <w:szCs w:val="32"/>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color w:val="000000"/>
                <w:szCs w:val="32"/>
              </w:rPr>
            </w:pPr>
            <w:r>
              <w:rPr>
                <w:color w:val="000000"/>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color w:val="000000"/>
                <w:szCs w:val="32"/>
              </w:rPr>
            </w:pPr>
            <w:r>
              <w:rPr>
                <w:color w:val="000000"/>
                <w:szCs w:val="32"/>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color w:val="000000"/>
                <w:szCs w:val="32"/>
              </w:rPr>
            </w:pPr>
            <w:r>
              <w:rPr>
                <w:color w:val="000000"/>
                <w:szCs w:val="32"/>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color w:val="000000"/>
                <w:szCs w:val="32"/>
              </w:rPr>
            </w:pPr>
            <w:r>
              <w:rPr>
                <w:color w:val="000000"/>
                <w:szCs w:val="32"/>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color w:val="000000"/>
                <w:szCs w:val="32"/>
              </w:rPr>
            </w:pPr>
            <w:r>
              <w:rPr>
                <w:color w:val="000000"/>
                <w:szCs w:val="32"/>
              </w:rPr>
            </w:r>
            <w:r/>
          </w:p>
        </w:tc>
      </w:tr>
      <w:tr>
        <w:trPr>
          <w:jc w:val="center"/>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center"/>
              <w:rPr>
                <w:b/>
                <w:bCs/>
                <w:color w:val="000000"/>
                <w:szCs w:val="32"/>
              </w:rPr>
            </w:pPr>
            <w:r>
              <w:rPr>
                <w:b/>
                <w:bCs/>
                <w:color w:val="000000"/>
                <w:szCs w:val="32"/>
              </w:rPr>
              <w:t xml:space="preserve">验收情况和验收意见</w:t>
            </w:r>
            <w:r/>
          </w:p>
          <w:p>
            <w:pPr>
              <w:rPr>
                <w:color w:val="000000"/>
                <w:szCs w:val="32"/>
              </w:rPr>
            </w:pPr>
            <w:r>
              <w:rPr>
                <w:color w:val="000000"/>
                <w:szCs w:val="32"/>
              </w:rPr>
              <w:t xml:space="preserve">（可另附）</w:t>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rPr>
                <w:color w:val="000000"/>
                <w:szCs w:val="32"/>
              </w:rPr>
            </w:pPr>
            <w:r>
              <w:rPr>
                <w:color w:val="000000"/>
                <w:szCs w:val="32"/>
              </w:rPr>
            </w:r>
            <w:r/>
          </w:p>
          <w:p>
            <w:pPr>
              <w:ind w:firstLine="420"/>
              <w:rPr>
                <w:color w:val="000000"/>
                <w:szCs w:val="32"/>
              </w:rPr>
            </w:pPr>
            <w:r>
              <w:rPr>
                <w:color w:val="000000"/>
                <w:szCs w:val="32"/>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color w:val="000000"/>
                <w:szCs w:val="32"/>
              </w:rPr>
            </w:pPr>
            <w:r>
              <w:rPr>
                <w:color w:val="000000"/>
                <w:szCs w:val="32"/>
              </w:rPr>
              <w:t xml:space="preserve">验收小组（签字）：</w:t>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t xml:space="preserve">　　</w:t>
            </w:r>
            <w:r/>
          </w:p>
          <w:p>
            <w:pPr>
              <w:jc w:val="left"/>
              <w:rPr>
                <w:color w:val="000000"/>
                <w:szCs w:val="32"/>
              </w:rPr>
            </w:pPr>
            <w:r>
              <w:rPr>
                <w:color w:val="000000"/>
                <w:szCs w:val="32"/>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color w:val="000000"/>
                <w:szCs w:val="32"/>
              </w:rPr>
            </w:pPr>
            <w:r>
              <w:rPr>
                <w:color w:val="000000"/>
                <w:szCs w:val="32"/>
              </w:rPr>
              <w:t xml:space="preserve">供应商确认意见（签章）：</w:t>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t xml:space="preserve">　　</w:t>
            </w:r>
            <w:r/>
          </w:p>
          <w:p>
            <w:pPr>
              <w:jc w:val="left"/>
              <w:rPr>
                <w:color w:val="000000"/>
                <w:szCs w:val="32"/>
              </w:rPr>
            </w:pPr>
            <w:r>
              <w:rPr>
                <w:color w:val="000000"/>
                <w:szCs w:val="32"/>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color w:val="000000"/>
                <w:szCs w:val="32"/>
              </w:rPr>
            </w:pPr>
            <w:r>
              <w:rPr>
                <w:color w:val="000000"/>
                <w:szCs w:val="32"/>
              </w:rPr>
              <w:t xml:space="preserve">采购人确认意见（签章）：</w:t>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r>
            <w:r/>
          </w:p>
          <w:p>
            <w:pPr>
              <w:jc w:val="left"/>
              <w:rPr>
                <w:color w:val="000000"/>
                <w:szCs w:val="32"/>
              </w:rPr>
            </w:pPr>
            <w:r>
              <w:rPr>
                <w:color w:val="000000"/>
                <w:szCs w:val="32"/>
              </w:rPr>
              <w:t xml:space="preserve">　　</w:t>
            </w:r>
            <w:r/>
          </w:p>
          <w:p>
            <w:pPr>
              <w:jc w:val="left"/>
              <w:rPr>
                <w:color w:val="000000"/>
                <w:szCs w:val="32"/>
              </w:rPr>
            </w:pPr>
            <w:r>
              <w:rPr>
                <w:color w:val="000000"/>
                <w:szCs w:val="32"/>
              </w:rPr>
              <w:t xml:space="preserve">　　　　　                              年    月    日</w:t>
            </w:r>
            <w:r/>
          </w:p>
        </w:tc>
      </w:tr>
    </w:tbl>
    <w:p>
      <w:r/>
      <w:r/>
    </w:p>
    <w:p>
      <w:pPr>
        <w:pStyle w:val="688"/>
        <w:jc w:val="both"/>
        <w:rPr>
          <w:rFonts w:ascii="Times New Roman" w:eastAsia="宋体"/>
          <w:sz w:val="36"/>
          <w:szCs w:val="36"/>
        </w:rPr>
      </w:pPr>
      <w:r>
        <w:rPr>
          <w:rFonts w:ascii="Times New Roman" w:eastAsia="宋体"/>
          <w:sz w:val="36"/>
          <w:szCs w:val="36"/>
        </w:rPr>
      </w:r>
      <w:r/>
    </w:p>
    <w:p>
      <w:pPr>
        <w:pStyle w:val="688"/>
        <w:jc w:val="both"/>
        <w:rPr>
          <w:rFonts w:ascii="Times New Roman" w:eastAsia="宋体"/>
          <w:sz w:val="36"/>
          <w:szCs w:val="36"/>
        </w:rPr>
      </w:pPr>
      <w:r>
        <w:rPr>
          <w:rFonts w:ascii="Times New Roman" w:eastAsia="宋体"/>
          <w:sz w:val="36"/>
          <w:szCs w:val="36"/>
        </w:rPr>
      </w:r>
      <w:r/>
    </w:p>
    <w:p>
      <w:pPr>
        <w:pStyle w:val="688"/>
        <w:jc w:val="both"/>
        <w:rPr>
          <w:rFonts w:ascii="Times New Roman" w:eastAsia="宋体"/>
          <w:sz w:val="36"/>
          <w:szCs w:val="36"/>
        </w:rPr>
      </w:pPr>
      <w:r>
        <w:rPr>
          <w:rFonts w:ascii="Times New Roman" w:eastAsia="宋体"/>
          <w:sz w:val="36"/>
          <w:szCs w:val="36"/>
        </w:rPr>
      </w:r>
      <w:r/>
    </w:p>
    <w:p>
      <w:pPr>
        <w:pStyle w:val="688"/>
        <w:jc w:val="both"/>
        <w:rPr>
          <w:rFonts w:ascii="Times New Roman" w:eastAsia="宋体"/>
          <w:sz w:val="36"/>
          <w:szCs w:val="36"/>
        </w:rPr>
      </w:pPr>
      <w:r>
        <w:rPr>
          <w:rFonts w:ascii="Times New Roman" w:eastAsia="宋体"/>
          <w:sz w:val="36"/>
          <w:szCs w:val="36"/>
        </w:rPr>
      </w:r>
      <w:r/>
    </w:p>
    <w:p>
      <w:pPr>
        <w:pStyle w:val="688"/>
        <w:jc w:val="both"/>
        <w:rPr>
          <w:rFonts w:ascii="Times New Roman" w:eastAsia="宋体"/>
          <w:sz w:val="36"/>
          <w:szCs w:val="36"/>
        </w:rPr>
      </w:pPr>
      <w:r>
        <w:rPr>
          <w:rFonts w:ascii="Times New Roman" w:eastAsia="宋体"/>
          <w:sz w:val="36"/>
          <w:szCs w:val="36"/>
        </w:rPr>
      </w:r>
      <w:r/>
    </w:p>
    <w:p>
      <w:pPr>
        <w:rPr>
          <w:sz w:val="36"/>
          <w:szCs w:val="36"/>
        </w:rPr>
      </w:pPr>
      <w:r>
        <w:rPr>
          <w:sz w:val="36"/>
          <w:szCs w:val="36"/>
        </w:rPr>
      </w:r>
      <w:r/>
    </w:p>
    <w:p>
      <w:pPr>
        <w:pStyle w:val="706"/>
        <w:rPr>
          <w:rFonts w:ascii="Times New Roman" w:hAnsi="Times New Roman" w:eastAsia="宋体"/>
        </w:rPr>
      </w:pPr>
      <w:r>
        <w:rPr>
          <w:rFonts w:ascii="Times New Roman" w:hAnsi="Times New Roman" w:eastAsia="宋体"/>
        </w:rPr>
      </w:r>
      <w:r/>
    </w:p>
    <w:p>
      <w:pPr>
        <w:rPr>
          <w:sz w:val="36"/>
          <w:szCs w:val="36"/>
        </w:rPr>
      </w:pPr>
      <w:r>
        <w:rPr>
          <w:sz w:val="36"/>
          <w:szCs w:val="36"/>
        </w:rPr>
        <w:br w:type="page" w:clear="all"/>
      </w:r>
      <w:r/>
    </w:p>
    <w:p>
      <w:pPr>
        <w:pStyle w:val="688"/>
        <w:rPr>
          <w:rFonts w:ascii="Times New Roman" w:eastAsia="宋体"/>
          <w:bCs/>
          <w:sz w:val="44"/>
        </w:rPr>
      </w:pPr>
      <w:r>
        <w:rPr>
          <w:rFonts w:ascii="Times New Roman" w:eastAsia="宋体"/>
          <w:sz w:val="36"/>
          <w:szCs w:val="36"/>
        </w:rPr>
        <w:t xml:space="preserve">第四章  </w:t>
      </w:r>
      <w:r>
        <w:rPr>
          <w:rFonts w:ascii="Times New Roman" w:eastAsia="宋体"/>
          <w:bCs/>
          <w:sz w:val="36"/>
          <w:szCs w:val="36"/>
        </w:rPr>
        <w:t xml:space="preserve">采购需求</w:t>
      </w:r>
      <w:bookmarkEnd w:id="39"/>
      <w:r/>
      <w:bookmarkEnd w:id="40"/>
      <w:r/>
      <w:bookmarkEnd w:id="41"/>
      <w:r/>
      <w:bookmarkEnd w:id="42"/>
      <w:r/>
      <w:r/>
    </w:p>
    <w:p>
      <w:pPr>
        <w:ind w:firstLine="562"/>
        <w:spacing w:after="240" w:line="500" w:lineRule="exact"/>
        <w:widowControl/>
        <w:rPr>
          <w:rFonts w:eastAsia="黑体"/>
          <w:b/>
          <w:bCs/>
          <w:sz w:val="28"/>
          <w:szCs w:val="28"/>
        </w:rPr>
      </w:pPr>
      <w:r/>
      <w:bookmarkStart w:id="46" w:name="_Toc139298013"/>
      <w:r/>
      <w:bookmarkStart w:id="47" w:name="_Toc26554093"/>
      <w:r/>
      <w:bookmarkStart w:id="48" w:name="_Toc49090575"/>
      <w:r/>
      <w:bookmarkStart w:id="49" w:name="_Toc120614281"/>
      <w:r>
        <w:rPr>
          <w:rFonts w:eastAsia="黑体"/>
          <w:b/>
          <w:bCs/>
          <w:sz w:val="28"/>
          <w:szCs w:val="28"/>
        </w:rPr>
        <w:t xml:space="preserve">1、项目背景</w:t>
      </w:r>
      <w:r/>
    </w:p>
    <w:p>
      <w:pPr>
        <w:ind w:firstLine="420"/>
        <w:spacing w:line="500" w:lineRule="exact"/>
        <w:widowControl/>
        <w:rPr>
          <w:rFonts w:eastAsiaTheme="minorEastAsia"/>
        </w:rPr>
      </w:pPr>
      <w:r>
        <w:rPr>
          <w:rFonts w:eastAsiaTheme="minorEastAsia"/>
        </w:rPr>
        <w:t xml:space="preserve">为加强全区大气污染管控，进一步降低大气污染物浓度，有效改善全区空气质量，2024-2025年又是“十四五”收官</w:t>
      </w:r>
      <w:r>
        <w:rPr>
          <w:rFonts w:hint="eastAsia" w:eastAsiaTheme="minorEastAsia"/>
        </w:rPr>
        <w:t xml:space="preserve">期、</w:t>
      </w:r>
      <w:r>
        <w:rPr>
          <w:rFonts w:eastAsiaTheme="minorEastAsia"/>
        </w:rPr>
        <w:t xml:space="preserve">环境空气质量达到五年</w:t>
      </w:r>
      <w:r>
        <w:rPr>
          <w:rFonts w:hint="eastAsia" w:eastAsiaTheme="minorEastAsia"/>
        </w:rPr>
        <w:t xml:space="preserve">考核</w:t>
      </w:r>
      <w:r>
        <w:rPr>
          <w:rFonts w:eastAsiaTheme="minorEastAsia"/>
        </w:rPr>
        <w:t xml:space="preserve">目标</w:t>
      </w:r>
      <w:r>
        <w:rPr>
          <w:rFonts w:hint="eastAsia" w:eastAsiaTheme="minorEastAsia"/>
        </w:rPr>
        <w:t xml:space="preserve">的</w:t>
      </w:r>
      <w:r>
        <w:rPr>
          <w:rFonts w:eastAsiaTheme="minorEastAsia"/>
        </w:rPr>
        <w:t xml:space="preserve">关键期，大气污染防治仍处于爬坡攻坚阶段，改善空间越来越小、达标压力越来越大，全力压降内源污染、强化污染天气应对仍是全区大气污染防治工作的有效攻坚方向。大气环境质量管控服务工作专业性强、技术要求高，需要充分整合现有监测监控等各类数据及设备资源，集中力量识别并攻坚夏季臭氧污染及秋冬季颗粒物污染等突出问题，因而拟委托专业的第三方技术支撑单位，协助实现全区大气污染精准治理和污染天气科学应对，确保污染防治攻坚战阶段性目标的如期达成。</w:t>
      </w:r>
      <w:r/>
    </w:p>
    <w:p>
      <w:pPr>
        <w:ind w:firstLine="562"/>
        <w:spacing w:after="240" w:line="500" w:lineRule="exact"/>
        <w:widowControl/>
        <w:rPr>
          <w:rFonts w:eastAsia="黑体"/>
          <w:b/>
          <w:bCs/>
          <w:sz w:val="28"/>
          <w:szCs w:val="28"/>
        </w:rPr>
      </w:pPr>
      <w:r>
        <w:rPr>
          <w:rFonts w:eastAsia="黑体"/>
          <w:b/>
          <w:bCs/>
          <w:sz w:val="28"/>
          <w:szCs w:val="28"/>
        </w:rPr>
        <w:t xml:space="preserve">2、工作内容</w:t>
      </w:r>
      <w:r/>
    </w:p>
    <w:p>
      <w:pPr>
        <w:ind w:firstLine="420"/>
        <w:spacing w:line="500" w:lineRule="exact"/>
        <w:widowControl/>
        <w:rPr>
          <w:rFonts w:eastAsiaTheme="minorEastAsia"/>
          <w:color w:val="000000"/>
          <w:lang w:bidi="ar"/>
        </w:rPr>
      </w:pPr>
      <w:r>
        <w:rPr>
          <w:rFonts w:eastAsiaTheme="minorEastAsia"/>
          <w:color w:val="000000"/>
          <w:lang w:bidi="ar"/>
        </w:rPr>
        <w:t xml:space="preserve">（1）大气污染成因深度来源解析</w:t>
      </w:r>
      <w:r/>
    </w:p>
    <w:p>
      <w:pPr>
        <w:ind w:firstLine="420"/>
        <w:spacing w:line="500" w:lineRule="exact"/>
        <w:widowControl/>
        <w:rPr>
          <w:rFonts w:eastAsiaTheme="minorEastAsia"/>
          <w:color w:val="000000"/>
          <w:lang w:bidi="ar"/>
        </w:rPr>
      </w:pPr>
      <w:r>
        <w:rPr>
          <w:rFonts w:eastAsiaTheme="minorEastAsia"/>
          <w:color w:val="000000"/>
          <w:lang w:bidi="ar"/>
        </w:rPr>
        <w:t xml:space="preserve">基于过去开展的大气污染源解析成果，充分考虑大丰区近年来产业经济和社会生活的发展近况，进一步深入识别影响环境空气质量达标（尤其是影响两个国省控站点数据）的主要环境因子，了解造成大气污染影响的核心因素和来源，深度实现具有可操作性、具有靶向效应的大气污染来源解析。在此基础上，针对主要污染因子、主要污染源头、污染迁移路径等进行定向研判，形成更具有针对性的、切实反应全区实际情况的大气污染成因深度源解析成果，结合实际提出制度性建议，编制形成《盐城市大丰区2025年大气污染成因深度来源解析报告》。</w:t>
      </w:r>
      <w:r/>
    </w:p>
    <w:p>
      <w:pPr>
        <w:ind w:firstLine="420"/>
        <w:spacing w:line="500" w:lineRule="exact"/>
        <w:widowControl/>
        <w:rPr>
          <w:rFonts w:eastAsiaTheme="minorEastAsia"/>
          <w:color w:val="000000"/>
          <w:lang w:bidi="ar"/>
        </w:rPr>
      </w:pPr>
      <w:r>
        <w:rPr>
          <w:rFonts w:eastAsiaTheme="minorEastAsia"/>
          <w:color w:val="000000"/>
          <w:lang w:bidi="ar"/>
        </w:rPr>
        <w:t xml:space="preserve">（2）环境空气质量预警预报分析</w:t>
      </w:r>
      <w:r/>
    </w:p>
    <w:p>
      <w:pPr>
        <w:ind w:firstLine="420"/>
        <w:spacing w:line="500" w:lineRule="exact"/>
        <w:widowControl/>
        <w:rPr>
          <w:rFonts w:eastAsiaTheme="minorEastAsia"/>
          <w:color w:val="000000"/>
          <w:lang w:bidi="ar"/>
        </w:rPr>
      </w:pPr>
      <w:r>
        <w:rPr>
          <w:rFonts w:eastAsiaTheme="minorEastAsia"/>
          <w:color w:val="000000"/>
          <w:lang w:bidi="ar"/>
        </w:rPr>
        <w:t xml:space="preserve">综合运用数值模拟、模型测算等技术方法，结合过去近三年全区环境空气质量变化趋势，定期提供全区环境空气质量长时序的总结分析及预警预报报告，按月度开展环境空气质量回顾性分析并形成报告，同时提供后续的环境空气质量预测报告，内容包括超标因子及原因分析、需要应对污染天气的工作建议等，对于可能出现的污染天气及程度进行提前预警预报。</w:t>
      </w:r>
      <w:r/>
    </w:p>
    <w:p>
      <w:pPr>
        <w:ind w:firstLine="420"/>
        <w:spacing w:line="500" w:lineRule="exact"/>
        <w:widowControl/>
        <w:rPr>
          <w:rFonts w:eastAsiaTheme="minorEastAsia"/>
          <w:color w:val="000000"/>
          <w:lang w:bidi="ar"/>
        </w:rPr>
      </w:pPr>
      <w:r>
        <w:rPr>
          <w:rFonts w:eastAsiaTheme="minorEastAsia"/>
          <w:color w:val="000000"/>
          <w:lang w:bidi="ar"/>
        </w:rPr>
        <w:t xml:space="preserve">（3）环境空气质量驻点跟踪服务</w:t>
      </w:r>
      <w:r/>
    </w:p>
    <w:p>
      <w:pPr>
        <w:ind w:firstLine="420"/>
        <w:spacing w:line="500" w:lineRule="exact"/>
        <w:widowControl/>
        <w:rPr>
          <w:rFonts w:eastAsiaTheme="minorEastAsia"/>
          <w:color w:val="000000"/>
          <w:lang w:bidi="ar"/>
        </w:rPr>
      </w:pPr>
      <w:r>
        <w:rPr>
          <w:rFonts w:eastAsiaTheme="minorEastAsia"/>
          <w:color w:val="000000"/>
          <w:lang w:bidi="ar"/>
        </w:rPr>
        <w:t xml:space="preserve">服务期间，安排1名专业技术人员在大丰生态环境局进行驻点服务，后台确保有技术成熟且经验丰富的技术团队提供支撑，团队专家根据需求赴大丰区现场提供服务。服务团队负责人应具有5年以上大气环境管控或废气污染治理经验</w:t>
      </w:r>
      <w:r>
        <w:rPr>
          <w:rFonts w:eastAsiaTheme="minorEastAsia"/>
          <w:color w:val="000000"/>
          <w:lang w:bidi="ar"/>
        </w:rPr>
        <w:t xml:space="preserve">，或具有相关专业博士学位，或具有环评工程师职业资格（或具有高级或以上职称）；现场驻点人员应具有3年以上大气环境管控或废气污染治理经验。驻点服务期间，需实时盯控全区环境空气质量数据变化，提前预报、密切跟踪、及时分析，发现异常及时预警，并开展巡查工作，结合各部门、板块工作情况，预警天期间形成工作日报。重污染天气前，及时组织各部门、板块会商应急应对措施，和主管部门沟通协商再增派现场人员，协助开展巡查、检查。编制数据分析周报、月报、年报，包括环境空气质量研判、主要影响因素、污染物浓度水平及趋势、同比变化等工作内容。</w:t>
      </w:r>
      <w:r/>
    </w:p>
    <w:p>
      <w:pPr>
        <w:ind w:firstLine="420"/>
        <w:spacing w:line="500" w:lineRule="exact"/>
        <w:widowControl/>
        <w:rPr>
          <w:rFonts w:eastAsiaTheme="minorEastAsia"/>
          <w:color w:val="000000"/>
          <w:lang w:bidi="ar"/>
        </w:rPr>
      </w:pPr>
      <w:r>
        <w:rPr>
          <w:rFonts w:eastAsiaTheme="minorEastAsia"/>
          <w:color w:val="000000"/>
          <w:lang w:bidi="ar"/>
        </w:rPr>
        <w:t xml:space="preserve">（4）重污染天气及靶向走航巡查</w:t>
      </w:r>
      <w:r/>
    </w:p>
    <w:p>
      <w:pPr>
        <w:ind w:firstLine="420"/>
        <w:spacing w:line="500" w:lineRule="exact"/>
        <w:widowControl/>
        <w:rPr>
          <w:rFonts w:eastAsiaTheme="minorEastAsia"/>
          <w:color w:val="000000"/>
          <w:lang w:bidi="ar"/>
        </w:rPr>
      </w:pPr>
      <w:r>
        <w:rPr>
          <w:rFonts w:eastAsiaTheme="minorEastAsia"/>
          <w:color w:val="000000"/>
          <w:lang w:bidi="ar"/>
        </w:rPr>
        <w:t xml:space="preserve">进一步提升和强化走航巡查在大气污染溯源和环境空气质量保障中的重要作用，以往年重污染天气的发生时日（含烟花爆竹燃放的节假日）、预测的可能发生重污染天气的时日为依据，提前在重污染天气发生前和发生过程中，以重点区域周边以及颗粒物和VOCs等主要污染因子为重点，开展高时间密度、大范围尺度、强目标精度的“靶向”走航巡查、PM</w:t>
      </w:r>
      <w:r>
        <w:rPr>
          <w:rFonts w:eastAsiaTheme="minorEastAsia"/>
          <w:color w:val="000000"/>
          <w:vertAlign w:val="subscript"/>
          <w:lang w:bidi="ar"/>
        </w:rPr>
        <w:t xml:space="preserve">2.5</w:t>
      </w:r>
      <w:r>
        <w:rPr>
          <w:rFonts w:eastAsiaTheme="minorEastAsia"/>
          <w:color w:val="000000"/>
          <w:lang w:bidi="ar"/>
        </w:rPr>
        <w:t xml:space="preserve">及臭氧激光雷达平扫工作，以期更为精准、高效、及时地掌握大气污染的源头和影响程度，为进一步提出管控要求、提前谋划针对性措施提供切实的理论依据和实际数据。每次开展走航巡查，技术人员需对走航信息进行汇总，巡查后出具走航报告，根据走航高值信息，精准锁定污染源，提出对高值点位进行管控和处理的建议措施，进而实现及时压降站点数据的目的。</w:t>
      </w:r>
      <w:r/>
    </w:p>
    <w:p>
      <w:pPr>
        <w:ind w:firstLine="420"/>
        <w:spacing w:line="500" w:lineRule="exact"/>
        <w:widowControl/>
        <w:rPr>
          <w:rFonts w:eastAsiaTheme="minorEastAsia"/>
          <w:color w:val="000000"/>
          <w:lang w:bidi="ar"/>
        </w:rPr>
      </w:pPr>
      <w:r>
        <w:rPr>
          <w:rFonts w:eastAsiaTheme="minorEastAsia"/>
          <w:color w:val="000000"/>
          <w:lang w:bidi="ar"/>
        </w:rPr>
        <w:t xml:space="preserve">（5）重点行业领域大气环保检查 </w:t>
      </w:r>
      <w:r/>
    </w:p>
    <w:p>
      <w:pPr>
        <w:ind w:firstLine="420"/>
        <w:spacing w:line="500" w:lineRule="exact"/>
        <w:widowControl/>
        <w:rPr>
          <w:rFonts w:eastAsiaTheme="minorEastAsia"/>
          <w:color w:val="000000"/>
          <w:lang w:bidi="ar"/>
        </w:rPr>
      </w:pPr>
      <w:r>
        <w:rPr>
          <w:rFonts w:eastAsiaTheme="minorEastAsia"/>
          <w:color w:val="000000"/>
          <w:lang w:bidi="ar"/>
        </w:rPr>
        <w:t xml:space="preserve">服务期间，结合大丰区经济社会的发展情况，以及生态环境领域尤其是大气污染防治攻</w:t>
      </w:r>
      <w:r>
        <w:rPr>
          <w:rFonts w:eastAsiaTheme="minorEastAsia"/>
          <w:color w:val="000000"/>
          <w:lang w:bidi="ar"/>
        </w:rPr>
        <w:t xml:space="preserve">坚领域的核心任务和重点工作，针对全区大气环境污染贡献大、大气污染治理难度大、对老百姓“获得感”影响大、环境空气站点达标制约大等方面的突出大气环境问题及其对应的重点行业集聚区及重点企业（如电力、钢铁、化工医药、仓储油库、包装印刷、电子信息、铸造、表面处理等行业）开展检查，通过系统分析筛选确定对象、编制形成检查表项、实施逐个现场检查、形成存在问题清单在此基础上，跟踪指导检查对象开展整改工作并进行复查。对我区机动车、扬尘、餐油油烟、汽修、锅炉等重点领域开展调查研究，借鉴全省乃至全国先进治理经验，形成专项研究报告。</w:t>
      </w:r>
      <w:r/>
    </w:p>
    <w:p>
      <w:pPr>
        <w:ind w:firstLine="420"/>
        <w:spacing w:line="500" w:lineRule="exact"/>
        <w:widowControl/>
        <w:rPr>
          <w:rFonts w:eastAsiaTheme="minorEastAsia"/>
          <w:color w:val="000000"/>
          <w:lang w:bidi="ar"/>
        </w:rPr>
      </w:pPr>
      <w:r>
        <w:rPr>
          <w:rFonts w:eastAsiaTheme="minorEastAsia"/>
          <w:color w:val="000000"/>
          <w:lang w:bidi="ar"/>
        </w:rPr>
        <w:t xml:space="preserve">（6）大气办有关工作技术支撑</w:t>
      </w:r>
      <w:r/>
    </w:p>
    <w:p>
      <w:pPr>
        <w:ind w:firstLine="420"/>
        <w:spacing w:line="500" w:lineRule="exact"/>
        <w:widowControl/>
        <w:rPr>
          <w:rFonts w:eastAsiaTheme="minorEastAsia"/>
          <w:color w:val="000000"/>
          <w:lang w:bidi="ar"/>
        </w:rPr>
      </w:pPr>
      <w:r>
        <w:rPr>
          <w:rFonts w:eastAsiaTheme="minorEastAsia"/>
          <w:color w:val="000000"/>
          <w:lang w:bidi="ar"/>
        </w:rPr>
        <w:t xml:space="preserve">服务期间，安排1名具有3年以上相关工作经验的专职技术人员，为大丰区大气污染防治攻坚开展驻点服务，在区大气办就其行政管理工作提供技术支撑。主要包括以下服务内容：</w:t>
      </w:r>
      <w:r/>
    </w:p>
    <w:p>
      <w:pPr>
        <w:ind w:firstLine="560"/>
        <w:spacing w:line="500" w:lineRule="exact"/>
        <w:widowControl/>
        <w:rPr>
          <w:rFonts w:eastAsiaTheme="minorEastAsia"/>
          <w:color w:val="000000"/>
          <w:lang w:bidi="ar"/>
        </w:rPr>
      </w:pPr>
      <w:r>
        <w:rPr>
          <w:rFonts w:hint="eastAsia" w:ascii="宋体" w:hAnsi="宋体" w:cs="宋体"/>
          <w:color w:val="000000"/>
          <w:lang w:bidi="ar"/>
        </w:rPr>
        <w:t xml:space="preserve">①</w:t>
      </w:r>
      <w:r>
        <w:rPr>
          <w:rFonts w:eastAsiaTheme="minorEastAsia"/>
          <w:color w:val="000000"/>
          <w:lang w:bidi="ar"/>
        </w:rPr>
        <w:t xml:space="preserve">督察检查迎检配合工作。若上级对大丰区开展环保督察工作（如中央环保督察、江苏省级环保督察等），协助区大气办开展各项迎检工作，包括迎检材料准备、技术问题咨询、重点问题整改、环境空气变化趋势分析、上下沟通协调汇报等。</w:t>
      </w:r>
      <w:r/>
    </w:p>
    <w:p>
      <w:pPr>
        <w:ind w:firstLine="420"/>
        <w:spacing w:line="500" w:lineRule="exact"/>
        <w:widowControl/>
        <w:rPr>
          <w:rFonts w:eastAsiaTheme="minorEastAsia"/>
          <w:color w:val="000000"/>
          <w:lang w:bidi="ar"/>
        </w:rPr>
      </w:pPr>
      <w:r>
        <w:rPr>
          <w:rFonts w:hint="eastAsia" w:ascii="宋体" w:hAnsi="宋体" w:cs="宋体"/>
          <w:color w:val="000000"/>
          <w:lang w:bidi="ar"/>
        </w:rPr>
        <w:t xml:space="preserve">②</w:t>
      </w:r>
      <w:r>
        <w:rPr>
          <w:rFonts w:eastAsiaTheme="minorEastAsia"/>
          <w:color w:val="000000"/>
          <w:lang w:bidi="ar"/>
        </w:rPr>
        <w:t xml:space="preserve">重污染天气应急管控。按上级部署要求指导企业更新重污染天气应急减排措施，必要时开展减排项目实地核查，完成大丰区重污染天气应急减排清单编制（含工业源、扬尘源、移动源等）、评级、豁免等相关工作。按照省市要求及应急预案规定的内容，配合开展重污染天气应急管控有关工作。</w:t>
      </w:r>
      <w:r/>
    </w:p>
    <w:p>
      <w:pPr>
        <w:ind w:firstLine="420"/>
        <w:spacing w:line="500" w:lineRule="exact"/>
        <w:widowControl/>
        <w:rPr>
          <w:rFonts w:eastAsiaTheme="minorEastAsia"/>
          <w:color w:val="000000"/>
          <w:lang w:bidi="ar"/>
        </w:rPr>
      </w:pPr>
      <w:r>
        <w:rPr>
          <w:rFonts w:hint="eastAsia" w:ascii="宋体" w:hAnsi="宋体" w:cs="宋体"/>
          <w:color w:val="000000"/>
          <w:lang w:bidi="ar"/>
        </w:rPr>
        <w:t xml:space="preserve">③</w:t>
      </w:r>
      <w:r>
        <w:rPr>
          <w:rFonts w:eastAsiaTheme="minorEastAsia"/>
          <w:color w:val="000000"/>
          <w:lang w:bidi="ar"/>
        </w:rPr>
        <w:t xml:space="preserve">大气减排任务及总量储备库申报。根据生态环境部《“十四五”污染减排综合工作方案编制技术指南》（环办综合函〔2020〕603 号）及其他国家发布的减排核算口径、办法，规范开展大气减排绩效核算，按季度填报项目实际减排量，必要时开展减排项目实地核查，做好相关佐证材料留存。指导企业开展大气总量储备库申报。</w:t>
      </w:r>
      <w:r/>
    </w:p>
    <w:p>
      <w:pPr>
        <w:ind w:firstLine="420"/>
        <w:spacing w:line="500" w:lineRule="exact"/>
        <w:widowControl/>
        <w:rPr>
          <w:rFonts w:eastAsiaTheme="minorEastAsia"/>
          <w:color w:val="000000"/>
          <w:lang w:bidi="ar"/>
        </w:rPr>
      </w:pPr>
      <w:r>
        <w:rPr>
          <w:rFonts w:hint="eastAsia" w:ascii="宋体" w:hAnsi="宋体" w:cs="宋体"/>
          <w:color w:val="000000"/>
          <w:lang w:bidi="ar"/>
        </w:rPr>
        <w:t xml:space="preserve">④</w:t>
      </w:r>
      <w:r>
        <w:rPr>
          <w:rFonts w:eastAsiaTheme="minorEastAsia"/>
          <w:color w:val="000000"/>
          <w:lang w:bidi="ar"/>
        </w:rPr>
        <w:t xml:space="preserve">大气专项资金申报。根据国家、省、市大气资金申报文件，协助大丰生态环境局对区内申报大气专项环保资金的项目进行初审，为有望获取资金的项目及其申报主体提供技术咨询服务。</w:t>
      </w:r>
      <w:r/>
    </w:p>
    <w:p>
      <w:pPr>
        <w:ind w:firstLine="420"/>
        <w:spacing w:line="500" w:lineRule="exact"/>
        <w:widowControl/>
        <w:rPr>
          <w:rFonts w:eastAsiaTheme="minorEastAsia"/>
          <w:color w:val="000000"/>
          <w:lang w:bidi="ar"/>
        </w:rPr>
      </w:pPr>
      <w:r>
        <w:rPr>
          <w:rFonts w:hint="eastAsia" w:ascii="宋体" w:hAnsi="宋体" w:cs="宋体"/>
          <w:color w:val="000000"/>
          <w:lang w:bidi="ar"/>
        </w:rPr>
        <w:t xml:space="preserve">⑤</w:t>
      </w:r>
      <w:r>
        <w:rPr>
          <w:rFonts w:eastAsiaTheme="minorEastAsia"/>
          <w:color w:val="000000"/>
          <w:lang w:bidi="ar"/>
        </w:rPr>
        <w:t xml:space="preserve">大气污染源环境统计及源清单编制。按上级部署要求指导企业开展大气污染源环境统计，必要时开展现场核查，高质量完成大气污染源环境统计相关工作。根据上级要求，完成大气污染源排放清单编制并实现逐年更新。</w:t>
      </w:r>
      <w:r/>
    </w:p>
    <w:p>
      <w:pPr>
        <w:ind w:firstLine="420"/>
        <w:spacing w:line="500" w:lineRule="exact"/>
        <w:widowControl/>
        <w:rPr>
          <w:rFonts w:eastAsiaTheme="minorEastAsia"/>
        </w:rPr>
      </w:pPr>
      <w:r>
        <w:rPr>
          <w:rFonts w:hint="eastAsia" w:ascii="宋体" w:hAnsi="宋体" w:cs="宋体"/>
          <w:color w:val="000000"/>
          <w:lang w:bidi="ar"/>
        </w:rPr>
        <w:t xml:space="preserve">⑥</w:t>
      </w:r>
      <w:r>
        <w:rPr>
          <w:rFonts w:eastAsiaTheme="minorEastAsia"/>
          <w:color w:val="000000"/>
          <w:lang w:bidi="ar"/>
        </w:rPr>
        <w:t xml:space="preserve">政策宣贯及培训服务。组织大丰区相关部门、板块及重点行业重点企业开展大气污染防治技术工程讲解答疑、大气污染防治领域技术培训讲解或政策解读会议，编制大气污染防治领域政策法规、技术方法、导则指南汇编手册材料等。</w:t>
      </w:r>
      <w:r/>
    </w:p>
    <w:p>
      <w:pPr>
        <w:rPr>
          <w:bCs/>
          <w:sz w:val="36"/>
          <w:szCs w:val="36"/>
        </w:rPr>
      </w:pPr>
      <w:r>
        <w:rPr>
          <w:bCs/>
          <w:sz w:val="36"/>
          <w:szCs w:val="36"/>
        </w:rPr>
        <w:br w:type="page" w:clear="all"/>
      </w:r>
      <w:r/>
    </w:p>
    <w:p>
      <w:pPr>
        <w:pStyle w:val="688"/>
        <w:rPr>
          <w:rFonts w:ascii="Times New Roman" w:eastAsia="宋体"/>
          <w:b w:val="0"/>
          <w:bCs/>
        </w:rPr>
      </w:pPr>
      <w:r>
        <w:rPr>
          <w:rFonts w:ascii="Times New Roman" w:eastAsia="宋体"/>
          <w:b w:val="0"/>
          <w:bCs/>
          <w:sz w:val="36"/>
          <w:szCs w:val="36"/>
        </w:rPr>
        <w:t xml:space="preserve">第五章  定标原则与评标标准</w:t>
      </w:r>
      <w:bookmarkEnd w:id="46"/>
      <w:r/>
      <w:r/>
    </w:p>
    <w:p>
      <w:pPr>
        <w:spacing w:line="360" w:lineRule="auto"/>
        <w:rPr>
          <w:b/>
          <w:bCs/>
        </w:rPr>
      </w:pPr>
      <w:r>
        <w:rPr>
          <w:b/>
          <w:bCs/>
        </w:rPr>
        <w:t xml:space="preserve">一、定标原则</w:t>
      </w:r>
      <w:r/>
    </w:p>
    <w:p>
      <w:pPr>
        <w:ind w:firstLine="420"/>
        <w:spacing w:line="360" w:lineRule="auto"/>
      </w:pPr>
      <w:r>
        <w:rPr>
          <w:bCs/>
        </w:rPr>
        <w:t xml:space="preserve">本项目采用</w:t>
      </w:r>
      <w:r>
        <w:rPr>
          <w:bCs/>
          <w:u w:val="single"/>
        </w:rPr>
        <w:t xml:space="preserve"> 综合评分 </w:t>
      </w:r>
      <w:r>
        <w:rPr>
          <w:bCs/>
        </w:rPr>
        <w:t xml:space="preserve">法。</w:t>
      </w:r>
      <w: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22"/>
        <w:spacing w:line="360" w:lineRule="auto"/>
        <w:widowControl/>
        <w:rPr>
          <w:b/>
          <w:bCs/>
        </w:rPr>
      </w:pPr>
      <w:r>
        <w:rPr>
          <w:b/>
          <w:bCs/>
        </w:rPr>
        <w:t xml:space="preserve">政府采购政策功能落实</w:t>
      </w:r>
      <w:r/>
    </w:p>
    <w:p>
      <w:pPr>
        <w:ind w:firstLine="420"/>
        <w:spacing w:line="360" w:lineRule="auto"/>
        <w:widowControl/>
      </w:pPr>
      <w:r>
        <w:t xml:space="preserve">1、小微型企业价格扣除</w:t>
      </w:r>
      <w:r/>
    </w:p>
    <w:p>
      <w:pPr>
        <w:ind w:firstLine="420"/>
        <w:spacing w:line="360" w:lineRule="auto"/>
        <w:widowControl/>
      </w:pPr>
      <w:r>
        <w:t xml:space="preserve">（1）本项目对小型和微型企业产品给予20%的扣除价格，用扣除后的价格参与评审。</w:t>
      </w:r>
      <w:r/>
    </w:p>
    <w:p>
      <w:pPr>
        <w:ind w:firstLine="420"/>
        <w:spacing w:line="360" w:lineRule="auto"/>
        <w:widowControl/>
      </w:pPr>
      <w:r>
        <w:t xml:space="preserve">（2）供应商需按照采购文件的要求提供相应的《企业声明函》。</w:t>
      </w:r>
      <w:r/>
    </w:p>
    <w:p>
      <w:pPr>
        <w:ind w:firstLine="420"/>
        <w:spacing w:line="360" w:lineRule="auto"/>
        <w:widowControl/>
      </w:pPr>
      <w:r>
        <w:t xml:space="preserve">（3）企业标准请参照《关于印发中小企业划型标准规定的通知》（工信部联企业[2011]300号）文件规定自行填写。</w:t>
      </w:r>
      <w:r/>
    </w:p>
    <w:p>
      <w:pPr>
        <w:ind w:firstLine="422"/>
        <w:spacing w:line="360" w:lineRule="auto"/>
        <w:widowControl/>
        <w:rPr>
          <w:b/>
          <w:bCs/>
        </w:rPr>
      </w:pPr>
      <w:r>
        <w:rPr>
          <w:b/>
          <w:bCs/>
        </w:rPr>
        <w:t xml:space="preserve">（4）在货物采购项目中，供应商提供的货物既有中小企业制造货物，也有大型企业制造货物的，不享受本办法规定的中小企业扶持政策。</w:t>
      </w:r>
      <w:r/>
    </w:p>
    <w:p>
      <w:pPr>
        <w:ind w:firstLine="420"/>
        <w:spacing w:line="360" w:lineRule="auto"/>
      </w:pPr>
      <w:r>
        <w:t xml:space="preserve">2、残疾人福利单位价格扣除</w:t>
      </w:r>
      <w:r/>
    </w:p>
    <w:p>
      <w:pPr>
        <w:ind w:firstLine="420"/>
        <w:spacing w:line="360" w:lineRule="auto"/>
      </w:pPr>
      <w:r>
        <w:t xml:space="preserve">（1）本项目对残疾人福利性单位视同小型、微型企业，给予20%的价格扣除，用扣除后的价格参与评审。</w:t>
      </w:r>
      <w:r/>
    </w:p>
    <w:p>
      <w:pPr>
        <w:ind w:firstLine="420"/>
        <w:spacing w:line="360" w:lineRule="auto"/>
      </w:pPr>
      <w:r>
        <w:t xml:space="preserve">（2）残疾人福利单位需按照采购文件的要求提供《残疾人福利性单位声明函》。</w:t>
      </w:r>
      <w:r/>
    </w:p>
    <w:p>
      <w:pPr>
        <w:ind w:firstLine="420"/>
        <w:spacing w:line="360" w:lineRule="auto"/>
      </w:pPr>
      <w:r>
        <w:t xml:space="preserve">（3）残疾人福利单位标准请参照《关于促进残疾人就业政府采购政策的通知》（财库〔2017〕141号）。</w:t>
      </w:r>
      <w:r/>
    </w:p>
    <w:p>
      <w:pPr>
        <w:ind w:firstLine="420"/>
        <w:spacing w:line="360" w:lineRule="auto"/>
      </w:pPr>
      <w:r>
        <w:t xml:space="preserve">3、监狱和戒毒企业价格扣除</w:t>
      </w:r>
      <w:r/>
    </w:p>
    <w:p>
      <w:pPr>
        <w:ind w:firstLine="420"/>
        <w:spacing w:line="360" w:lineRule="auto"/>
      </w:pPr>
      <w:r>
        <w:t xml:space="preserve">（1）本项目对监狱和戒毒企业（简称监狱企业）视同小型、微型企业，给予20%的价格扣除，用扣除后的价格参与评审。</w:t>
      </w:r>
      <w:r/>
    </w:p>
    <w:p>
      <w:pPr>
        <w:ind w:firstLine="420"/>
        <w:spacing w:line="360" w:lineRule="auto"/>
      </w:pPr>
      <w: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pPr>
      <w:r>
        <w:t xml:space="preserve">（3）监狱企业标准请参照《关于政府采购支持监狱企业发展有关问题的通知》（财库[2014]68号）。</w:t>
      </w:r>
      <w:r/>
    </w:p>
    <w:p>
      <w:pPr>
        <w:ind w:firstLine="420"/>
        <w:spacing w:line="360" w:lineRule="auto"/>
      </w:pPr>
      <w:r>
        <w:t xml:space="preserve">4、残疾人福利单位、监狱企业属于小型、微型企业的，不重复享受政策。</w:t>
      </w:r>
      <w:r/>
    </w:p>
    <w:p>
      <w:pPr>
        <w:ind w:firstLine="420"/>
        <w:spacing w:line="360" w:lineRule="auto"/>
      </w:pPr>
      <w:r>
        <w:t xml:space="preserve">5、</w:t>
      </w:r>
      <w:r>
        <w:rPr>
          <w:rFonts w:ascii="Segoe UI Symbol" w:hAnsi="Segoe UI Symbol" w:cs="Segoe UI Symbol"/>
        </w:rPr>
        <w:t xml:space="preserve">★</w:t>
      </w:r>
      <w:r>
        <w:t xml:space="preserve">符合本采购文件优先采购 “环境标志产品”或“节能产品”的；必须提供“环境标志产品”或“节能产品”证明，否则不予认可。</w:t>
      </w:r>
      <w:r/>
    </w:p>
    <w:p>
      <w:pPr>
        <w:ind w:firstLine="420"/>
        <w:spacing w:line="360" w:lineRule="auto"/>
      </w:pPr>
      <w: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numPr>
          <w:ilvl w:val="0"/>
          <w:numId w:val="5"/>
        </w:numPr>
        <w:spacing w:line="360" w:lineRule="auto"/>
        <w:rPr>
          <w:b/>
          <w:bCs/>
        </w:rPr>
      </w:pPr>
      <w:r>
        <w:rPr>
          <w:b/>
          <w:bCs/>
        </w:rPr>
        <w:t xml:space="preserve">评标标准</w:t>
      </w:r>
      <w:bookmarkEnd w:id="47"/>
      <w:r/>
      <w:bookmarkEnd w:id="48"/>
      <w:r/>
      <w:bookmarkEnd w:id="49"/>
      <w:r/>
      <w:r/>
    </w:p>
    <w:tbl>
      <w:tblPr>
        <w:tblStyle w:val="698"/>
        <w:tblW w:w="5000" w:type="pct"/>
        <w:jc w:val="center"/>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57"/>
        <w:gridCol w:w="764"/>
        <w:gridCol w:w="7427"/>
      </w:tblGrid>
      <w:tr>
        <w:trPr>
          <w:jc w:val="center"/>
          <w:trHeight w:val="545"/>
          <w:tblHeader/>
        </w:trPr>
        <w:tc>
          <w:tcPr>
            <w:tcBorders>
              <w:top w:val="single" w:color="auto" w:sz="2" w:space="0"/>
              <w:left w:val="single" w:color="auto" w:sz="2" w:space="0"/>
              <w:bottom w:val="single" w:color="auto" w:sz="4" w:space="0"/>
              <w:right w:val="single" w:color="auto" w:sz="4" w:space="0"/>
            </w:tcBorders>
            <w:tcW w:w="423" w:type="pct"/>
            <w:vAlign w:val="center"/>
            <w:textDirection w:val="lrTb"/>
            <w:noWrap w:val="false"/>
          </w:tcPr>
          <w:p>
            <w:pPr>
              <w:jc w:val="center"/>
              <w:spacing w:line="340" w:lineRule="exact"/>
              <w:rPr>
                <w:b/>
              </w:rPr>
            </w:pPr>
            <w:r>
              <w:rPr>
                <w:b/>
              </w:rPr>
              <w:t xml:space="preserve">评分项目</w:t>
            </w:r>
            <w:r/>
          </w:p>
        </w:tc>
        <w:tc>
          <w:tcPr>
            <w:tcBorders>
              <w:top w:val="single" w:color="auto" w:sz="2" w:space="0"/>
              <w:left w:val="single" w:color="auto" w:sz="2" w:space="0"/>
              <w:bottom w:val="single" w:color="auto" w:sz="4" w:space="0"/>
              <w:right w:val="single" w:color="auto" w:sz="4" w:space="0"/>
            </w:tcBorders>
            <w:tcW w:w="427" w:type="pct"/>
            <w:vAlign w:val="center"/>
            <w:textDirection w:val="lrTb"/>
            <w:noWrap w:val="false"/>
          </w:tcPr>
          <w:p>
            <w:pPr>
              <w:jc w:val="center"/>
              <w:spacing w:line="340" w:lineRule="exact"/>
              <w:rPr>
                <w:b/>
              </w:rPr>
            </w:pPr>
            <w:r>
              <w:rPr>
                <w:b/>
              </w:rPr>
              <w:t xml:space="preserve">分值</w:t>
            </w:r>
            <w:r/>
          </w:p>
        </w:tc>
        <w:tc>
          <w:tcPr>
            <w:tcBorders>
              <w:top w:val="single" w:color="auto" w:sz="2" w:space="0"/>
              <w:left w:val="single" w:color="auto" w:sz="2" w:space="0"/>
              <w:bottom w:val="single" w:color="auto" w:sz="4" w:space="0"/>
              <w:right w:val="single" w:color="auto" w:sz="4" w:space="0"/>
            </w:tcBorders>
            <w:tcW w:w="4150" w:type="pct"/>
            <w:vAlign w:val="center"/>
            <w:textDirection w:val="lrTb"/>
            <w:noWrap w:val="false"/>
          </w:tcPr>
          <w:p>
            <w:pPr>
              <w:jc w:val="center"/>
              <w:spacing w:line="340" w:lineRule="exact"/>
              <w:rPr>
                <w:b/>
              </w:rPr>
            </w:pPr>
            <w:r>
              <w:rPr>
                <w:b/>
              </w:rPr>
              <w:t xml:space="preserve">评分标准</w:t>
            </w:r>
            <w:r/>
          </w:p>
        </w:tc>
      </w:tr>
      <w:tr>
        <w:trPr>
          <w:jc w:val="center"/>
          <w:trHeight w:val="298"/>
        </w:trPr>
        <w:tc>
          <w:tcPr>
            <w:tcBorders>
              <w:top w:val="single" w:color="auto" w:sz="4" w:space="0"/>
              <w:left w:val="single" w:color="auto" w:sz="2" w:space="0"/>
              <w:bottom w:val="single" w:color="auto" w:sz="4" w:space="0"/>
              <w:right w:val="single" w:color="auto" w:sz="4" w:space="0"/>
            </w:tcBorders>
            <w:tcW w:w="423" w:type="pct"/>
            <w:vAlign w:val="center"/>
            <w:textDirection w:val="lrTb"/>
            <w:noWrap w:val="false"/>
          </w:tcPr>
          <w:p>
            <w:pPr>
              <w:jc w:val="center"/>
              <w:spacing w:line="340" w:lineRule="exact"/>
              <w:rPr>
                <w:bCs/>
              </w:rPr>
            </w:pPr>
            <w:r>
              <w:rPr>
                <w:bCs/>
              </w:rPr>
              <w:t xml:space="preserve">投标报价</w:t>
            </w:r>
            <w:r/>
          </w:p>
        </w:tc>
        <w:tc>
          <w:tcPr>
            <w:tcBorders>
              <w:top w:val="single" w:color="auto" w:sz="4" w:space="0"/>
              <w:left w:val="single" w:color="auto" w:sz="2" w:space="0"/>
              <w:bottom w:val="single" w:color="auto" w:sz="4" w:space="0"/>
              <w:right w:val="single" w:color="auto" w:sz="4" w:space="0"/>
            </w:tcBorders>
            <w:tcW w:w="427" w:type="pct"/>
            <w:vAlign w:val="center"/>
            <w:textDirection w:val="lrTb"/>
            <w:noWrap w:val="false"/>
          </w:tcPr>
          <w:p>
            <w:pPr>
              <w:jc w:val="center"/>
              <w:spacing w:line="340" w:lineRule="exact"/>
              <w:rPr>
                <w:bCs/>
              </w:rPr>
            </w:pPr>
            <w:r>
              <w:rPr>
                <w:bCs/>
              </w:rPr>
              <w:t xml:space="preserve">10</w:t>
            </w:r>
            <w:r/>
          </w:p>
        </w:tc>
        <w:tc>
          <w:tcPr>
            <w:tcBorders>
              <w:top w:val="single" w:color="auto" w:sz="4" w:space="0"/>
              <w:left w:val="single" w:color="auto" w:sz="2" w:space="0"/>
              <w:bottom w:val="single" w:color="auto" w:sz="4" w:space="0"/>
              <w:right w:val="single" w:color="auto" w:sz="4" w:space="0"/>
            </w:tcBorders>
            <w:tcW w:w="4150" w:type="pct"/>
            <w:vAlign w:val="center"/>
            <w:textDirection w:val="lrTb"/>
            <w:noWrap w:val="false"/>
          </w:tcPr>
          <w:p>
            <w:pPr>
              <w:spacing w:line="340" w:lineRule="exact"/>
            </w:pPr>
            <w:r>
              <w:t xml:space="preserve">满足磋商文件要求且参与磋商价格最低的有效投标报价为评标基准价，其价格分为10分。其他供应商的价格分统一按照下列公式计算：参与磋商报价得分=（评标基准价／投标报价）×10，小数点后保留两位。</w:t>
            </w:r>
            <w:r/>
          </w:p>
          <w:p>
            <w:pPr>
              <w:spacing w:line="340" w:lineRule="exact"/>
              <w:rPr>
                <w:bCs/>
              </w:rPr>
            </w:pPr>
            <w:r>
              <w:t xml:space="preserve">注：有效投标报价为未被评标委员会判定为废标的磋商响应文件。</w:t>
            </w:r>
            <w:r/>
          </w:p>
        </w:tc>
      </w:tr>
      <w:tr>
        <w:trPr>
          <w:jc w:val="center"/>
          <w:trHeight w:val="90"/>
        </w:trPr>
        <w:tc>
          <w:tcPr>
            <w:tcBorders>
              <w:top w:val="single" w:color="auto" w:sz="4" w:space="0"/>
              <w:left w:val="single" w:color="auto" w:sz="2" w:space="0"/>
              <w:bottom w:val="single" w:color="auto" w:sz="4" w:space="0"/>
              <w:right w:val="single" w:color="auto" w:sz="4" w:space="0"/>
            </w:tcBorders>
            <w:tcW w:w="423" w:type="pct"/>
            <w:vAlign w:val="center"/>
            <w:textDirection w:val="lrTb"/>
            <w:noWrap w:val="false"/>
          </w:tcPr>
          <w:p>
            <w:pPr>
              <w:jc w:val="center"/>
              <w:spacing w:line="340" w:lineRule="exact"/>
              <w:rPr>
                <w:bCs/>
              </w:rPr>
            </w:pPr>
            <w:r>
              <w:rPr>
                <w:bCs/>
              </w:rPr>
              <w:t xml:space="preserve">团队力量</w:t>
            </w:r>
            <w:r/>
          </w:p>
        </w:tc>
        <w:tc>
          <w:tcPr>
            <w:tcBorders>
              <w:top w:val="single" w:color="auto" w:sz="4" w:space="0"/>
              <w:left w:val="single" w:color="auto" w:sz="2" w:space="0"/>
              <w:bottom w:val="single" w:color="auto" w:sz="4" w:space="0"/>
              <w:right w:val="single" w:color="auto" w:sz="4" w:space="0"/>
            </w:tcBorders>
            <w:tcW w:w="427" w:type="pct"/>
            <w:vAlign w:val="center"/>
            <w:textDirection w:val="lrTb"/>
            <w:noWrap w:val="false"/>
          </w:tcPr>
          <w:p>
            <w:pPr>
              <w:jc w:val="center"/>
              <w:spacing w:line="340" w:lineRule="exact"/>
              <w:rPr>
                <w:bCs/>
              </w:rPr>
            </w:pPr>
            <w:r>
              <w:rPr>
                <w:bCs/>
              </w:rPr>
              <w:t xml:space="preserve">20</w:t>
            </w:r>
            <w:r/>
          </w:p>
        </w:tc>
        <w:tc>
          <w:tcPr>
            <w:tcBorders>
              <w:top w:val="single" w:color="auto" w:sz="4" w:space="0"/>
              <w:left w:val="single" w:color="auto" w:sz="2" w:space="0"/>
              <w:bottom w:val="single" w:color="auto" w:sz="4" w:space="0"/>
              <w:right w:val="single" w:color="auto" w:sz="4" w:space="0"/>
            </w:tcBorders>
            <w:tcW w:w="4150" w:type="pct"/>
            <w:vAlign w:val="center"/>
            <w:textDirection w:val="lrTb"/>
            <w:noWrap w:val="false"/>
          </w:tcPr>
          <w:p>
            <w:pPr>
              <w:spacing w:line="340" w:lineRule="exact"/>
            </w:pPr>
            <w:r>
              <w:t xml:space="preserve">1、项目负责人具有生态环保相关正高级职称且具有注册环评工程师执业资格的，得5分；具有生态环保相关副高级职称且具有注册环评工程师执业资格的，得2.5分；具有生态环保相关中级职称且具有注册环评工程师执业资格的，得0.5分；本项最高得5分。同一人员不重复计分。</w:t>
            </w:r>
            <w:r/>
          </w:p>
          <w:p>
            <w:pPr>
              <w:spacing w:line="340" w:lineRule="exact"/>
            </w:pPr>
            <w:r>
              <w:t xml:space="preserve">2、项目组成员（不含项目负责人）中，具有生态环保相关高级职称（副高或正高）且具有注册环评工程师执业资格的，每提供一人得1分；本项最高得10分。同一人员不重复计分。</w:t>
            </w:r>
            <w:r/>
          </w:p>
          <w:p>
            <w:pPr>
              <w:spacing w:line="340" w:lineRule="exact"/>
            </w:pPr>
            <w:r>
              <w:t xml:space="preserve">3、项目组成员（不含项目负责人）中，具有环境科学、大气物理学与大气环境</w:t>
            </w:r>
            <w:r>
              <w:rPr>
                <w:rFonts w:hint="eastAsia"/>
              </w:rPr>
              <w:t xml:space="preserve">、3S集成与气象应用、环境监察、气象学、环境监测专业</w:t>
            </w:r>
            <w:r>
              <w:t xml:space="preserve">本科</w:t>
            </w:r>
            <w:r>
              <w:rPr>
                <w:rFonts w:hint="eastAsia"/>
              </w:rPr>
              <w:t xml:space="preserve">或</w:t>
            </w:r>
            <w:r>
              <w:t xml:space="preserve">以上学历的，每有一个专业得0.5分；本项最高得3分（以毕业证书或学位证书为准）。同一人员不重复计分。</w:t>
            </w:r>
            <w:r/>
          </w:p>
          <w:p>
            <w:pPr>
              <w:spacing w:line="340" w:lineRule="exact"/>
            </w:pPr>
            <w:r>
              <w:t xml:space="preserve">4、项目组成员（不含项目负责人）中，每有1名具有</w:t>
            </w:r>
            <w:r>
              <w:rPr>
                <w:lang w:eastAsia="zh-Hans"/>
              </w:rPr>
              <w:t xml:space="preserve">大气</w:t>
            </w:r>
            <w:r>
              <w:t xml:space="preserve">环境类硕士研究生</w:t>
            </w:r>
            <w:r>
              <w:rPr>
                <w:rFonts w:hint="eastAsia"/>
              </w:rPr>
              <w:t xml:space="preserve">或</w:t>
            </w:r>
            <w:r>
              <w:t xml:space="preserve">以上学历的得1分，本项最高得2分（以毕业证书或学位证书为准）。同一人员不重复计分。</w:t>
            </w:r>
            <w:r/>
          </w:p>
          <w:p>
            <w:pPr>
              <w:spacing w:line="340" w:lineRule="exact"/>
            </w:pPr>
            <w:r>
              <w:t xml:space="preserve">投标文件中提供项目负责人和项目组成员的职称证书、执业资格证书、毕业证书或学位证书复印件及投标单位为其缴纳的近</w:t>
            </w:r>
            <w:r>
              <w:rPr>
                <w:rFonts w:hint="eastAsia"/>
                <w:lang w:val="en-US" w:eastAsia="zh-CN"/>
              </w:rPr>
              <w:t xml:space="preserve">1</w:t>
            </w:r>
            <w:r>
              <w:t xml:space="preserve">个月的社保证明材料复印件并加盖单位公章；未按要求提供复印件不得分。</w:t>
            </w:r>
            <w:r/>
          </w:p>
          <w:p>
            <w:pPr>
              <w:spacing w:line="340" w:lineRule="exact"/>
            </w:pPr>
            <w:r>
              <w:t xml:space="preserve">投标单位属于事业性质的投标时不需提交养老保险复印件，但需提供人社部门出具的该单位及项目组人员事业性质证明文件，否则不予认可。</w:t>
            </w:r>
            <w:r/>
          </w:p>
        </w:tc>
      </w:tr>
      <w:tr>
        <w:trPr>
          <w:jc w:val="center"/>
          <w:trHeight w:val="90"/>
        </w:trPr>
        <w:tc>
          <w:tcPr>
            <w:tcBorders>
              <w:top w:val="single" w:color="auto" w:sz="4" w:space="0"/>
              <w:left w:val="single" w:color="auto" w:sz="2" w:space="0"/>
              <w:bottom w:val="single" w:color="auto" w:sz="4" w:space="0"/>
              <w:right w:val="single" w:color="auto" w:sz="4" w:space="0"/>
            </w:tcBorders>
            <w:tcW w:w="423" w:type="pct"/>
            <w:vAlign w:val="center"/>
            <w:textDirection w:val="lrTb"/>
            <w:noWrap w:val="false"/>
          </w:tcPr>
          <w:p>
            <w:pPr>
              <w:jc w:val="center"/>
              <w:spacing w:line="340" w:lineRule="exact"/>
              <w:rPr>
                <w:bCs/>
              </w:rPr>
            </w:pPr>
            <w:r>
              <w:rPr>
                <w:bCs/>
              </w:rPr>
              <w:t xml:space="preserve">综合实力</w:t>
            </w:r>
            <w:r/>
          </w:p>
        </w:tc>
        <w:tc>
          <w:tcPr>
            <w:tcBorders>
              <w:top w:val="single" w:color="auto" w:sz="4" w:space="0"/>
              <w:left w:val="single" w:color="auto" w:sz="2" w:space="0"/>
              <w:bottom w:val="single" w:color="auto" w:sz="4" w:space="0"/>
              <w:right w:val="single" w:color="auto" w:sz="4" w:space="0"/>
            </w:tcBorders>
            <w:tcW w:w="427" w:type="pct"/>
            <w:vAlign w:val="center"/>
            <w:textDirection w:val="lrTb"/>
            <w:noWrap w:val="false"/>
          </w:tcPr>
          <w:p>
            <w:pPr>
              <w:jc w:val="center"/>
              <w:spacing w:line="340" w:lineRule="exact"/>
              <w:rPr>
                <w:bCs/>
              </w:rPr>
            </w:pPr>
            <w:r>
              <w:rPr>
                <w:bCs/>
              </w:rPr>
              <w:t xml:space="preserve">14</w:t>
            </w:r>
            <w:r/>
          </w:p>
        </w:tc>
        <w:tc>
          <w:tcPr>
            <w:tcBorders>
              <w:top w:val="single" w:color="auto" w:sz="4" w:space="0"/>
              <w:left w:val="single" w:color="auto" w:sz="2" w:space="0"/>
              <w:bottom w:val="single" w:color="auto" w:sz="4" w:space="0"/>
              <w:right w:val="single" w:color="auto" w:sz="4" w:space="0"/>
            </w:tcBorders>
            <w:tcW w:w="4150" w:type="pct"/>
            <w:vAlign w:val="center"/>
            <w:textDirection w:val="lrTb"/>
            <w:noWrap w:val="false"/>
          </w:tcPr>
          <w:p>
            <w:pPr>
              <w:spacing w:line="340" w:lineRule="exact"/>
            </w:pPr>
            <w:r>
              <w:t xml:space="preserve">1、投标人具有有效期内的质量管理体系认证证书、环境管理体系认证证书、中国职业健康安全管理体系认证证书、信息安全管理体系认证证书的，每提供一个得0.5分；本项最高得2分。（认证证书查询官网为“全国认证认可信息公共服务平台http://cx.cnca.cn/CertECloud/index/index/page”。）</w:t>
            </w:r>
            <w:r/>
          </w:p>
          <w:p>
            <w:pPr>
              <w:spacing w:line="340" w:lineRule="exact"/>
            </w:pPr>
            <w:r>
              <w:t xml:space="preserve">投标文件中提供证书复印件和官网查询截图并加盖单位公章；未按要求提供复印件不得分。</w:t>
            </w:r>
            <w:r/>
          </w:p>
          <w:p>
            <w:pPr>
              <w:spacing w:line="340" w:lineRule="exact"/>
            </w:pPr>
            <w:r>
              <w:t xml:space="preserve">2、投标人具有省级及以上技术监督部门颁发的CMA计量认证证书的，得2分</w:t>
            </w:r>
            <w:r>
              <w:rPr>
                <w:lang w:eastAsia="zh-Hans"/>
              </w:rPr>
              <w:t xml:space="preserve">；</w:t>
            </w:r>
            <w:r>
              <w:t xml:space="preserve">本项最高得2分。</w:t>
            </w:r>
            <w:r/>
          </w:p>
          <w:p>
            <w:pPr>
              <w:spacing w:line="340" w:lineRule="exact"/>
            </w:pPr>
            <w:r>
              <w:t xml:space="preserve">投标文件中提供证书复印件并加盖单位公章；未按要求提供复印件不得分。</w:t>
            </w:r>
            <w:r/>
          </w:p>
          <w:p>
            <w:pPr>
              <w:spacing w:line="340" w:lineRule="exact"/>
            </w:pPr>
            <w:r>
              <w:t xml:space="preserve">3、投标人具有住建部门颁发的工程设计环境工程设计专项（大气污染防治工程）乙级或以上资质的，得2分；本项最高得2分。</w:t>
            </w:r>
            <w:r/>
          </w:p>
          <w:p>
            <w:pPr>
              <w:spacing w:line="340" w:lineRule="exact"/>
            </w:pPr>
            <w:r>
              <w:t xml:space="preserve">投标文件中提供资质证书复印件并加盖单位公章；未按要求提供复印件不得分。</w:t>
            </w:r>
            <w:r/>
          </w:p>
          <w:p>
            <w:pPr>
              <w:spacing w:line="340" w:lineRule="exact"/>
            </w:pPr>
            <w:r>
              <w:t xml:space="preserve">4</w:t>
            </w:r>
            <w:r>
              <w:rPr>
                <w:lang w:eastAsia="zh-Hans"/>
              </w:rPr>
              <w:t xml:space="preserve">、</w:t>
            </w:r>
            <w:r>
              <w:t xml:space="preserve">投标人具有大气溯源方法发明专利的，得2分；本项最高得2分。</w:t>
            </w:r>
            <w:r/>
          </w:p>
          <w:p>
            <w:pPr>
              <w:spacing w:line="340" w:lineRule="exact"/>
            </w:pPr>
            <w:r>
              <w:t xml:space="preserve">投标文件中提供发明专利复印件并加盖单位公章；未按要求提供复印件不得分。</w:t>
            </w:r>
            <w:r/>
          </w:p>
          <w:p>
            <w:pPr>
              <w:spacing w:line="340" w:lineRule="exact"/>
            </w:pPr>
            <w:r>
              <w:t xml:space="preserve">5、投标人</w:t>
            </w:r>
            <w:r>
              <w:rPr>
                <w:rFonts w:hint="eastAsia"/>
              </w:rPr>
              <w:t xml:space="preserve">具有</w:t>
            </w:r>
            <w:r>
              <w:t xml:space="preserve">与本项目相关的计算机软件著作权证书，证书包含“</w:t>
            </w:r>
            <w:r>
              <w:rPr>
                <w:rFonts w:hint="eastAsia"/>
              </w:rPr>
              <w:t xml:space="preserve">城市环境</w:t>
            </w:r>
            <w:r>
              <w:t xml:space="preserve">空气质量监测分析”</w:t>
            </w:r>
            <w:r>
              <w:rPr>
                <w:rFonts w:hint="eastAsia"/>
                <w:lang w:eastAsia="zh-Hans"/>
              </w:rPr>
              <w:t xml:space="preserve">、</w:t>
            </w:r>
            <w:r>
              <w:t xml:space="preserve">“重污染天气应急管理</w:t>
            </w:r>
            <w:r>
              <w:rPr>
                <w:rFonts w:hint="eastAsia"/>
              </w:rPr>
              <w:t xml:space="preserve">与评估</w:t>
            </w:r>
            <w:r>
              <w:t xml:space="preserve">”</w:t>
            </w:r>
            <w:r>
              <w:rPr>
                <w:rFonts w:hint="eastAsia"/>
              </w:rPr>
              <w:t xml:space="preserve">、</w:t>
            </w:r>
            <w:r>
              <w:t xml:space="preserve">“大气污染源排放清单”</w:t>
            </w:r>
            <w:r>
              <w:rPr>
                <w:rFonts w:hint="eastAsia"/>
              </w:rPr>
              <w:t xml:space="preserve">、</w:t>
            </w:r>
            <w:r>
              <w:t xml:space="preserve">“大气环境综合溯源解析”</w:t>
            </w:r>
            <w:r>
              <w:rPr>
                <w:rFonts w:hint="eastAsia"/>
              </w:rPr>
              <w:t xml:space="preserve">、</w:t>
            </w:r>
            <w:r>
              <w:t xml:space="preserve">“遥感信息处理与分析”</w:t>
            </w:r>
            <w:r>
              <w:rPr>
                <w:rFonts w:hint="eastAsia"/>
              </w:rPr>
              <w:t xml:space="preserve">等类别</w:t>
            </w:r>
            <w:r>
              <w:t xml:space="preserve">能力的，每具备一类得0.5分（软件著作权须在招标文件挂网公示日之前取得）；本项最高得2.5分。</w:t>
            </w:r>
            <w:r/>
          </w:p>
          <w:p>
            <w:pPr>
              <w:spacing w:line="340" w:lineRule="exact"/>
            </w:pPr>
            <w:r>
              <w:t xml:space="preserve">投标文件中提供软件著作权证书复印件并加盖单位公章；未按要求提供复印件不得分。</w:t>
            </w:r>
            <w:r/>
          </w:p>
          <w:p>
            <w:pPr>
              <w:spacing w:line="340" w:lineRule="exact"/>
            </w:pPr>
            <w:r>
              <w:t xml:space="preserve">6、</w:t>
            </w:r>
            <w:r>
              <w:rPr>
                <w:bCs/>
              </w:rPr>
              <w:t xml:space="preserve">投标人在区域流域环境综合治理方面，具有省级或以上工程技术研究中心并验收合格的，得2.5分；具有设区市级工程技术研究中心并验收合格的，得1分，本项最高得2.5分。（以省市级科技部门发文认可为准。）</w:t>
            </w:r>
            <w:r/>
          </w:p>
          <w:p>
            <w:pPr>
              <w:spacing w:line="340" w:lineRule="exact"/>
            </w:pPr>
            <w:r>
              <w:t xml:space="preserve">在投标文件中提供有效的证明材料复印件并加盖单位公章；未按要求提供复印件不得分。</w:t>
            </w:r>
            <w:r/>
          </w:p>
          <w:p>
            <w:pPr>
              <w:spacing w:line="340" w:lineRule="exact"/>
            </w:pPr>
            <w:r>
              <w:t xml:space="preserve">7、投标人参与过国家环境保护标准制订工作（标准编制单位排名前三）的，得1分；投标人参与过省级环境保护标准制订工作（标准编制单位排名前三）的，得0.5分；本项最高得1分。</w:t>
            </w:r>
            <w:r/>
          </w:p>
          <w:p>
            <w:pPr>
              <w:spacing w:line="340" w:lineRule="exact"/>
            </w:pPr>
            <w:r>
              <w:t xml:space="preserve">在投标文件中提供国家或省级环境保护标准制订工作证书复印件并加盖单位公章；未按要求提供复印件不得分。</w:t>
            </w:r>
            <w:r/>
          </w:p>
        </w:tc>
      </w:tr>
      <w:tr>
        <w:trPr>
          <w:jc w:val="center"/>
          <w:trHeight w:val="90"/>
        </w:trPr>
        <w:tc>
          <w:tcPr>
            <w:tcBorders>
              <w:top w:val="single" w:color="auto" w:sz="4" w:space="0"/>
              <w:left w:val="single" w:color="auto" w:sz="2" w:space="0"/>
              <w:bottom w:val="single" w:color="auto" w:sz="4" w:space="0"/>
              <w:right w:val="single" w:color="auto" w:sz="4" w:space="0"/>
            </w:tcBorders>
            <w:tcW w:w="423" w:type="pct"/>
            <w:vAlign w:val="center"/>
            <w:textDirection w:val="lrTb"/>
            <w:noWrap w:val="false"/>
          </w:tcPr>
          <w:p>
            <w:pPr>
              <w:jc w:val="center"/>
              <w:spacing w:line="340" w:lineRule="exact"/>
              <w:rPr>
                <w:bCs/>
              </w:rPr>
            </w:pPr>
            <w:r>
              <w:rPr>
                <w:bCs/>
              </w:rPr>
              <w:t xml:space="preserve">业绩经验</w:t>
            </w:r>
            <w:r/>
          </w:p>
        </w:tc>
        <w:tc>
          <w:tcPr>
            <w:tcBorders>
              <w:top w:val="single" w:color="auto" w:sz="4" w:space="0"/>
              <w:left w:val="single" w:color="auto" w:sz="2" w:space="0"/>
              <w:bottom w:val="single" w:color="auto" w:sz="4" w:space="0"/>
              <w:right w:val="single" w:color="auto" w:sz="4" w:space="0"/>
            </w:tcBorders>
            <w:tcW w:w="427" w:type="pct"/>
            <w:vAlign w:val="center"/>
            <w:textDirection w:val="lrTb"/>
            <w:noWrap w:val="false"/>
          </w:tcPr>
          <w:p>
            <w:pPr>
              <w:jc w:val="center"/>
              <w:spacing w:line="340" w:lineRule="exact"/>
              <w:rPr>
                <w:bCs/>
              </w:rPr>
            </w:pPr>
            <w:r>
              <w:rPr>
                <w:bCs/>
              </w:rPr>
              <w:t xml:space="preserve">15</w:t>
            </w:r>
            <w:r/>
          </w:p>
        </w:tc>
        <w:tc>
          <w:tcPr>
            <w:tcBorders>
              <w:top w:val="single" w:color="auto" w:sz="4" w:space="0"/>
              <w:left w:val="single" w:color="auto" w:sz="2" w:space="0"/>
              <w:bottom w:val="single" w:color="auto" w:sz="4" w:space="0"/>
              <w:right w:val="single" w:color="auto" w:sz="4" w:space="0"/>
            </w:tcBorders>
            <w:tcW w:w="4150" w:type="pct"/>
            <w:vAlign w:val="center"/>
            <w:textDirection w:val="lrTb"/>
            <w:noWrap w:val="false"/>
          </w:tcPr>
          <w:p>
            <w:pPr>
              <w:spacing w:line="340" w:lineRule="exact"/>
            </w:pPr>
            <w:r>
              <w:t xml:space="preserve">1、大气保障业绩：投标人承担过大气环境保障类项目（合同中需包含大气监测及驻场服务，且服务时间不少于6个月）的，每有一项得1分；本项最高得3分。</w:t>
            </w:r>
            <w:r/>
          </w:p>
          <w:p>
            <w:pPr>
              <w:spacing w:line="340" w:lineRule="exact"/>
            </w:pPr>
            <w:r>
              <w:t xml:space="preserve">2、大气源清单业绩：投标人承担过设区</w:t>
            </w:r>
            <w:r>
              <w:rPr>
                <w:lang w:eastAsia="zh-Hans"/>
              </w:rPr>
              <w:t xml:space="preserve">市级</w:t>
            </w:r>
            <w:r>
              <w:t xml:space="preserve">或以上大气污染物排放清单编制项目的，每有一项得1分；承担过</w:t>
            </w:r>
            <w:r>
              <w:rPr>
                <w:lang w:eastAsia="zh-Hans"/>
              </w:rPr>
              <w:t xml:space="preserve">县级</w:t>
            </w:r>
            <w:r>
              <w:t xml:space="preserve">大气污染物排放清单编制项目的，</w:t>
            </w:r>
            <w:r>
              <w:rPr>
                <w:lang w:eastAsia="zh-Hans"/>
              </w:rPr>
              <w:t xml:space="preserve">每有一项得0.5分</w:t>
            </w:r>
            <w:r>
              <w:rPr>
                <w:rFonts w:hint="eastAsia"/>
                <w:lang w:eastAsia="zh-Hans"/>
              </w:rPr>
              <w:t xml:space="preserve">；</w:t>
            </w:r>
            <w:r>
              <w:t xml:space="preserve">本项最高得3分。</w:t>
            </w:r>
            <w:r/>
          </w:p>
          <w:p>
            <w:pPr>
              <w:spacing w:line="340" w:lineRule="exact"/>
            </w:pPr>
            <w:r>
              <w:t xml:space="preserve">3、废气核查业绩：投标人承担过企业废气专项整治方案项目的，每有一项得1分；本项最高得3分。</w:t>
            </w:r>
            <w:r/>
          </w:p>
          <w:p>
            <w:pPr>
              <w:spacing w:line="340" w:lineRule="exact"/>
            </w:pPr>
            <w:r>
              <w:t xml:space="preserve">4、大气污染溯源业绩：投标人承担过设区</w:t>
            </w:r>
            <w:r>
              <w:rPr>
                <w:lang w:eastAsia="zh-Hans"/>
              </w:rPr>
              <w:t xml:space="preserve">市级</w:t>
            </w:r>
            <w:r>
              <w:t xml:space="preserve">或以上VOCs或颗粒物溯源解析项目的，每有一项得1分；承担过</w:t>
            </w:r>
            <w:r>
              <w:rPr>
                <w:lang w:eastAsia="zh-Hans"/>
              </w:rPr>
              <w:t xml:space="preserve">县级</w:t>
            </w:r>
            <w:r>
              <w:t xml:space="preserve">VOCs或颗粒物溯源解析项目的，</w:t>
            </w:r>
            <w:r>
              <w:rPr>
                <w:lang w:eastAsia="zh-Hans"/>
              </w:rPr>
              <w:t xml:space="preserve">每有一项得0.5分；</w:t>
            </w:r>
            <w:r>
              <w:t xml:space="preserve">本项最高得3分。</w:t>
            </w:r>
            <w:r/>
          </w:p>
          <w:p>
            <w:pPr>
              <w:spacing w:line="340" w:lineRule="exact"/>
            </w:pPr>
            <w:r>
              <w:t xml:space="preserve">5、大气达标规划业绩：投标人承担过设区市级或以上大气达标规划的，每有一项得1分；承担过</w:t>
            </w:r>
            <w:r>
              <w:rPr>
                <w:lang w:eastAsia="zh-Hans"/>
              </w:rPr>
              <w:t xml:space="preserve">县级</w:t>
            </w:r>
            <w:r>
              <w:t xml:space="preserve">大气达标规划的，</w:t>
            </w:r>
            <w:r>
              <w:rPr>
                <w:lang w:eastAsia="zh-Hans"/>
              </w:rPr>
              <w:t xml:space="preserve">每有一项得0.5分；</w:t>
            </w:r>
            <w:r>
              <w:t xml:space="preserve">本项最高得3分。</w:t>
            </w:r>
            <w:r/>
          </w:p>
          <w:p>
            <w:pPr>
              <w:spacing w:line="340" w:lineRule="exact"/>
            </w:pPr>
            <w:r>
              <w:t xml:space="preserve">投标文件中提供业绩合同复印件并加盖单位公章；未按要求提供复印件的不得分。</w:t>
            </w:r>
            <w:r/>
          </w:p>
        </w:tc>
      </w:tr>
      <w:tr>
        <w:trPr>
          <w:jc w:val="center"/>
          <w:trHeight w:val="7102"/>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40" w:lineRule="exact"/>
              <w:rPr>
                <w:bCs/>
                <w:spacing w:val="6"/>
              </w:rPr>
            </w:pPr>
            <w:r>
              <w:rPr>
                <w:bCs/>
              </w:rPr>
              <w:t xml:space="preserve">实施方案</w:t>
            </w:r>
            <w:r/>
          </w:p>
        </w:tc>
        <w:tc>
          <w:tcPr>
            <w:tcBorders>
              <w:top w:val="single" w:color="auto" w:sz="4" w:space="0"/>
              <w:left w:val="single" w:color="auto" w:sz="2" w:space="0"/>
              <w:bottom w:val="single" w:color="auto" w:sz="4" w:space="0"/>
              <w:right w:val="single" w:color="auto" w:sz="4" w:space="0"/>
            </w:tcBorders>
            <w:tcW w:w="427" w:type="pct"/>
            <w:vAlign w:val="center"/>
            <w:textDirection w:val="lrTb"/>
            <w:noWrap w:val="false"/>
          </w:tcPr>
          <w:p>
            <w:pPr>
              <w:jc w:val="center"/>
              <w:rPr>
                <w:bCs/>
              </w:rPr>
            </w:pPr>
            <w:r>
              <w:rPr>
                <w:bCs/>
              </w:rPr>
              <w:t xml:space="preserve">40</w:t>
            </w:r>
            <w:r/>
          </w:p>
        </w:tc>
        <w:tc>
          <w:tcPr>
            <w:tcBorders>
              <w:top w:val="single" w:color="auto" w:sz="4" w:space="0"/>
              <w:left w:val="single" w:color="auto" w:sz="2" w:space="0"/>
              <w:bottom w:val="single" w:color="auto" w:sz="4" w:space="0"/>
              <w:right w:val="single" w:color="auto" w:sz="4" w:space="0"/>
            </w:tcBorders>
            <w:tcW w:w="4150" w:type="pct"/>
            <w:vAlign w:val="center"/>
            <w:textDirection w:val="lrTb"/>
            <w:noWrap w:val="false"/>
          </w:tcPr>
          <w:p>
            <w:pPr>
              <w:spacing w:line="340" w:lineRule="exact"/>
            </w:pPr>
            <w:r>
              <w:t xml:space="preserve">1、技术实施方案（15分）：主要包括：合理性、适用性、可行性等。可行、具体、有针对性的，得15.0-10.0分；基本可行、有结合项目的，得9.9-5.0分；可行性差、针对性差或未提及的，得4.9-0分。</w:t>
            </w:r>
            <w:r/>
          </w:p>
          <w:p>
            <w:pPr>
              <w:spacing w:line="340" w:lineRule="exact"/>
            </w:pPr>
            <w:r>
              <w:t xml:space="preserve">2、承担本项目的优势（10分）：技术团队配置完善、对大丰区大气环境质量管控服务项目理解深刻、相关业绩经验扎实、管理制度规范完整、优势突出的，得10-7.0分；技术团队力量一般、对大丰区大气环境质量管控服务项目体现出一定理解、有一定相关业绩经验、具备管理制度、有一定优势的，得6.9-3.0分；技术团队配置不合理、对大丰区大气环境质量管控服务项目理解不充分、相关业绩经验缺乏、管理制度不健全的，得2.9-0分。</w:t>
            </w:r>
            <w:r/>
          </w:p>
          <w:p>
            <w:pPr>
              <w:spacing w:line="340" w:lineRule="exact"/>
            </w:pPr>
            <w:r>
              <w:t xml:space="preserve">3、</w:t>
            </w:r>
            <w:bookmarkStart w:id="50" w:name="_Hlk130375502"/>
            <w:r>
              <w:t xml:space="preserve">工作制度及进度安排（10分）：工作制度完整、操作性强、成果质量控制体系完善、进度安排及人员配置分工合理的，得10.0-7.0分；制度一般、操作性一般、成果质量控制体系基本健全、有明确的进度安排及人员配置分工的，得6.9-3.0分；制度不完整、操作性不强、缺乏成果质量控制体系、进度安排及人员配置分工不明确的，得3.0-0分。 </w:t>
            </w:r>
            <w:r/>
          </w:p>
          <w:p>
            <w:pPr>
              <w:spacing w:line="340" w:lineRule="exact"/>
            </w:pPr>
            <w:r>
              <w:t xml:space="preserve">4、响应承诺（5分）：针对本项目专业技术人员配备齐全，岗位分工明确，目标管控计划及措施情况方案清晰，投标人服务响应速度快（约1小时内），技术团队驻点服务能力强的，切实可行得5.0-4.0分，针对本项目专业技术人员配备缺失，无岗位分工，目标管控计划及措施情况方案简陋，投标人服务响应速度一般（约3小时内）、技术团队驻点服务能力一般的，可行性一般的得3.9-2.0分，针对本项目专业技术人员配备不足，响应方案不够清晰及方案疏漏，服务响应速度较差、技术团队驻点服务能力差的，的得1.9-0分，未提供的不得分。</w:t>
            </w:r>
            <w:r>
              <w:rPr>
                <w:rFonts w:hint="eastAsia"/>
              </w:rPr>
              <w:t xml:space="preserve">投标文件中</w:t>
            </w:r>
            <w:r>
              <w:t xml:space="preserve">提供单位盖章的承诺书（承诺书中须包含能证明服务响应速度的支撑材料）复印件并加盖单位公章；未按要求提供复印件不得分。 </w:t>
            </w:r>
            <w:bookmarkEnd w:id="50"/>
            <w:r/>
            <w:r/>
          </w:p>
        </w:tc>
      </w:tr>
      <w:tr>
        <w:trPr>
          <w:jc w:val="center"/>
          <w:trHeight w:val="279"/>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40" w:lineRule="exact"/>
              <w:rPr>
                <w:bCs/>
              </w:rPr>
            </w:pPr>
            <w:r>
              <w:rPr>
                <w:rFonts w:hint="eastAsia"/>
                <w:bCs/>
              </w:rPr>
              <w:t xml:space="preserve">诚信投标</w:t>
            </w:r>
            <w:r/>
          </w:p>
        </w:tc>
        <w:tc>
          <w:tcPr>
            <w:tcBorders>
              <w:top w:val="single" w:color="auto" w:sz="4" w:space="0"/>
              <w:left w:val="single" w:color="auto" w:sz="2" w:space="0"/>
              <w:bottom w:val="single" w:color="auto" w:sz="4" w:space="0"/>
              <w:right w:val="single" w:color="auto" w:sz="4" w:space="0"/>
            </w:tcBorders>
            <w:tcW w:w="709" w:type="dxa"/>
            <w:vAlign w:val="center"/>
            <w:textDirection w:val="lrTb"/>
            <w:noWrap w:val="false"/>
          </w:tcPr>
          <w:p>
            <w:pPr>
              <w:jc w:val="center"/>
              <w:spacing w:line="340" w:lineRule="exact"/>
              <w:rPr>
                <w:bCs/>
              </w:rPr>
            </w:pPr>
            <w:r>
              <w:rPr>
                <w:bCs/>
              </w:rPr>
              <w:t xml:space="preserve">1</w:t>
            </w:r>
            <w:r/>
          </w:p>
        </w:tc>
        <w:tc>
          <w:tcPr>
            <w:tcBorders>
              <w:top w:val="single" w:color="auto" w:sz="4" w:space="0"/>
              <w:left w:val="single" w:color="auto" w:sz="2" w:space="0"/>
              <w:bottom w:val="single" w:color="auto" w:sz="4" w:space="0"/>
              <w:right w:val="single" w:color="auto" w:sz="4" w:space="0"/>
            </w:tcBorders>
            <w:tcW w:w="6887" w:type="dxa"/>
            <w:vAlign w:val="center"/>
            <w:textDirection w:val="lrTb"/>
            <w:noWrap w:val="false"/>
          </w:tcPr>
          <w:p>
            <w:pPr>
              <w:spacing w:line="340" w:lineRule="exact"/>
            </w:pPr>
            <w:r>
              <w:rPr>
                <w:lang w:bidi="ar"/>
              </w:rPr>
              <w:t xml:space="preserve">投标人提交签署并盖章《盐城市政府采购事前信用承诺书》原件扫描件加盖投标人公章，得1分；没有提供的不得分。</w:t>
            </w:r>
            <w:r/>
          </w:p>
        </w:tc>
      </w:tr>
    </w:tbl>
    <w:p>
      <w:pPr>
        <w:spacing w:line="360" w:lineRule="auto"/>
        <w:rPr>
          <w:b/>
          <w:bCs/>
        </w:rPr>
      </w:pPr>
      <w:r>
        <w:rPr>
          <w:b/>
          <w:bCs/>
        </w:rPr>
      </w:r>
      <w:r/>
    </w:p>
    <w:p>
      <w:pPr>
        <w:pStyle w:val="927"/>
        <w:ind w:left="0"/>
        <w:rPr>
          <w:szCs w:val="21"/>
        </w:rPr>
      </w:pPr>
      <w:r>
        <w:rPr>
          <w:b/>
          <w:szCs w:val="21"/>
        </w:rPr>
        <w:t xml:space="preserve">注：</w:t>
      </w:r>
      <w:r>
        <w:rPr>
          <w:b/>
          <w:bCs/>
          <w:szCs w:val="21"/>
        </w:rPr>
        <w:t xml:space="preserve"> 招标人有权在中标公示期间、签约前后等任何环节对相关资料的真实性进行核验，如发现提供虚假资料招标人将依法取消其中标资格。</w:t>
      </w:r>
      <w:r/>
    </w:p>
    <w:p>
      <w:r/>
      <w:r/>
    </w:p>
    <w:p>
      <w:pPr>
        <w:ind w:firstLine="422"/>
        <w:spacing w:line="360" w:lineRule="auto"/>
      </w:pPr>
      <w:r>
        <w:rPr>
          <w:b/>
          <w:bCs/>
        </w:rPr>
        <w:t xml:space="preserve">三.评标程序</w:t>
      </w:r>
      <w:r/>
    </w:p>
    <w:p>
      <w:pPr>
        <w:ind w:firstLine="420"/>
        <w:spacing w:line="360" w:lineRule="auto"/>
      </w:pPr>
      <w:r>
        <w:t xml:space="preserve">3.1 评标准备</w:t>
      </w:r>
      <w:r/>
    </w:p>
    <w:p>
      <w:pPr>
        <w:ind w:firstLine="420"/>
        <w:spacing w:line="360" w:lineRule="auto"/>
      </w:pPr>
      <w:r>
        <w:t xml:space="preserve">3.1.1 评标委员会成员到达评标现场时应在签到表上签到（或通过门禁系统签到）以证明其出席。</w:t>
      </w:r>
      <w:r/>
    </w:p>
    <w:p>
      <w:pPr>
        <w:ind w:firstLine="420"/>
        <w:spacing w:line="360" w:lineRule="auto"/>
      </w:pPr>
      <w:r>
        <w:t xml:space="preserve">3.1.2 评标委员会成员首先推选一名评标委员会负责人，负责评标活动的组织领导工作。</w:t>
      </w:r>
      <w:r/>
    </w:p>
    <w:p>
      <w:pPr>
        <w:ind w:firstLine="420"/>
        <w:spacing w:line="360" w:lineRule="auto"/>
      </w:pPr>
      <w: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firstLine="420"/>
        <w:spacing w:line="360" w:lineRule="auto"/>
      </w:pPr>
      <w:r>
        <w:t xml:space="preserve">3.2 初步评审</w:t>
      </w:r>
      <w:r/>
    </w:p>
    <w:p>
      <w:pPr>
        <w:ind w:firstLine="420"/>
        <w:spacing w:line="360" w:lineRule="auto"/>
      </w:pPr>
      <w:r>
        <w:t xml:space="preserve">3.2.1评标委员会依据本章第2.1 款规定的标准对投标文件进行初步评审。</w:t>
      </w:r>
      <w:r/>
    </w:p>
    <w:p>
      <w:pPr>
        <w:ind w:firstLine="420"/>
        <w:spacing w:line="360" w:lineRule="auto"/>
      </w:pPr>
      <w:r>
        <w:t xml:space="preserve">3.2.2投标文件不符合本章第2.1款评审标准的，属于重大偏差，视为未能对招标文件作出实质性响应，应当作为无效投标予以否决。</w:t>
      </w:r>
      <w:r/>
    </w:p>
    <w:p>
      <w:pPr>
        <w:ind w:firstLine="420"/>
        <w:spacing w:line="360" w:lineRule="auto"/>
      </w:pPr>
      <w:r>
        <w:t xml:space="preserve">3.2.3对照投标人须知6.4款，投标文件有上述情况之一，视为未能对招标文件作出实质性响应，凡招标文件未明确标明无效标条款的，评标委员会不得作为判定无效投标的依据。</w:t>
      </w:r>
      <w:r/>
    </w:p>
    <w:p>
      <w:pPr>
        <w:ind w:firstLine="420"/>
        <w:spacing w:line="360" w:lineRule="auto"/>
      </w:pPr>
      <w:r>
        <w:t xml:space="preserve">3.2.4 投标报价有算术错误的，评标委员会按以下原则对投标报价进行修正，修正的价格经投标人书面确认后具有约束力。</w:t>
      </w:r>
      <w:r/>
    </w:p>
    <w:p>
      <w:pPr>
        <w:ind w:firstLine="420"/>
        <w:spacing w:line="360" w:lineRule="auto"/>
      </w:pPr>
      <w:r>
        <w:t xml:space="preserve">(1）投标文件中的大写金额与小写金额不一致的，以大写金额为准；</w:t>
      </w:r>
      <w:r/>
    </w:p>
    <w:p>
      <w:pPr>
        <w:ind w:firstLine="420"/>
        <w:spacing w:line="360" w:lineRule="auto"/>
      </w:pPr>
      <w:r>
        <w:t xml:space="preserve">(2）总价金额与依据单价计算出的结果不一致的，以单价金额为准修正总价，但单价金额小数点有明显错误的除外。</w:t>
      </w:r>
      <w:r/>
    </w:p>
    <w:p>
      <w:pPr>
        <w:ind w:firstLine="420"/>
        <w:spacing w:line="360" w:lineRule="auto"/>
      </w:pPr>
      <w:r>
        <w:t xml:space="preserve">3.2.5只有通过初步评审的投标文件才能进入详细评审。</w:t>
      </w:r>
      <w:r/>
    </w:p>
    <w:p>
      <w:pPr>
        <w:ind w:firstLine="420"/>
        <w:spacing w:line="360" w:lineRule="auto"/>
      </w:pPr>
      <w:r>
        <w:t xml:space="preserve">3.3 详细评审</w:t>
      </w:r>
      <w:r/>
    </w:p>
    <w:p>
      <w:pPr>
        <w:ind w:firstLine="420"/>
        <w:spacing w:line="360" w:lineRule="auto"/>
      </w:pPr>
      <w:r>
        <w:t xml:space="preserve">3.3.1 在详细评审发现符合“无效标书条款”的，应当作为无效投标予以否决，其投标报价亦不作为评标基准价的依据。</w:t>
      </w:r>
      <w:r/>
    </w:p>
    <w:p>
      <w:pPr>
        <w:ind w:firstLine="420"/>
        <w:spacing w:line="360" w:lineRule="auto"/>
      </w:pPr>
      <w:r>
        <w:t xml:space="preserve">3.3.2 评标委员会按本章第2.2款规定的量化因素和分值进行打分，并计算出综合评估得分。</w:t>
      </w:r>
      <w:r/>
    </w:p>
    <w:p>
      <w:pPr>
        <w:ind w:firstLine="420"/>
        <w:spacing w:line="360" w:lineRule="auto"/>
      </w:pPr>
      <w:r>
        <w:t xml:space="preserve">3.3.3 评分分值计算保留小数点后两位，小数点后第三位“四舍五入”。</w:t>
      </w:r>
      <w:r/>
    </w:p>
    <w:p>
      <w:pPr>
        <w:ind w:firstLine="420"/>
        <w:spacing w:line="360" w:lineRule="auto"/>
      </w:pPr>
      <w:r>
        <w:t xml:space="preserve">3.4 投标文件的澄清和补正</w:t>
      </w:r>
      <w:r/>
    </w:p>
    <w:p>
      <w:pPr>
        <w:ind w:firstLine="420"/>
        <w:spacing w:line="360" w:lineRule="auto"/>
      </w:pPr>
      <w: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360" w:lineRule="auto"/>
      </w:pPr>
      <w:r>
        <w:t xml:space="preserve">3.4.2 澄清、说明和补正不得改变投标文件的实质性内容（算术性错误修正的除外）。投标人的书面澄清、说明和补正属于投标文件的组成部分。</w:t>
      </w:r>
      <w:r/>
    </w:p>
    <w:p>
      <w:pPr>
        <w:ind w:firstLine="420"/>
        <w:spacing w:line="360" w:lineRule="auto"/>
      </w:pPr>
      <w:r>
        <w:t xml:space="preserve">3.4.3 评标委员会对投标人提交的澄清、说明或补正有疑问的，可以要求投标人进一步澄清、说明或补正。</w:t>
      </w:r>
      <w:r/>
    </w:p>
    <w:p>
      <w:pPr>
        <w:ind w:firstLine="420"/>
        <w:spacing w:line="360" w:lineRule="auto"/>
      </w:pPr>
      <w:r>
        <w:t xml:space="preserve">3.5 推荐中标候选人或直接确定中标人</w:t>
      </w:r>
      <w:r/>
    </w:p>
    <w:p>
      <w:pPr>
        <w:ind w:firstLine="420"/>
        <w:spacing w:line="360" w:lineRule="auto"/>
      </w:pPr>
      <w:r>
        <w:t xml:space="preserve">3.5.1 除投标人须知前附表授权直接确定中标人外，评标委员会在推荐中标候选人时，应遵照以下原则:</w:t>
      </w:r>
      <w:r/>
    </w:p>
    <w:p>
      <w:pPr>
        <w:ind w:firstLine="420"/>
        <w:spacing w:line="360" w:lineRule="auto"/>
      </w:pPr>
      <w:r>
        <w:t xml:space="preserve">评标委员会按照最终得分由高至低的次序排列，并根据投标人须知前附表规定的中标候选人数量，将排序在前的投标人推荐为中标候选人。</w:t>
      </w:r>
      <w:r/>
    </w:p>
    <w:p>
      <w:pPr>
        <w:ind w:firstLine="420"/>
        <w:spacing w:line="360" w:lineRule="auto"/>
      </w:pPr>
      <w:r>
        <w:t xml:space="preserve">3.6 提交评标报告 </w:t>
      </w:r>
      <w:r/>
    </w:p>
    <w:p>
      <w:pPr>
        <w:pStyle w:val="926"/>
        <w:spacing w:line="360" w:lineRule="auto"/>
        <w:rPr>
          <w:rFonts w:ascii="Times New Roman" w:hAnsi="Times New Roman" w:cs="Times New Roman"/>
        </w:rPr>
      </w:pPr>
      <w:r>
        <w:rPr>
          <w:rFonts w:ascii="Times New Roman" w:hAnsi="Times New Roman" w:cs="Times New Roman"/>
          <w:color w:val="auto"/>
          <w:sz w:val="21"/>
        </w:rPr>
        <w:t xml:space="preserve">评标委员会完成评标后，应当向招标人提交书面评标报告。评标报告应当由全体评标委员会成员签字，并于评标结束时抄送有关行政监督部门。</w:t>
      </w:r>
      <w:r/>
    </w:p>
    <w:p>
      <w:pPr>
        <w:pStyle w:val="926"/>
        <w:spacing w:line="360" w:lineRule="auto"/>
        <w:rPr>
          <w:rFonts w:ascii="Times New Roman" w:hAnsi="Times New Roman" w:cs="Times New Roman"/>
          <w:color w:val="auto"/>
        </w:rPr>
      </w:pPr>
      <w:r>
        <w:rPr>
          <w:rFonts w:ascii="Times New Roman" w:hAnsi="Times New Roman" w:cs="Times New Roman"/>
          <w:color w:val="auto"/>
        </w:rPr>
      </w:r>
      <w:r/>
    </w:p>
    <w:p>
      <w:pPr>
        <w:pStyle w:val="927"/>
      </w:pPr>
      <w:r/>
      <w:r/>
    </w:p>
    <w:p>
      <w:r/>
      <w:r/>
    </w:p>
    <w:p>
      <w:pPr>
        <w:pStyle w:val="706"/>
        <w:rPr>
          <w:rFonts w:ascii="Times New Roman" w:hAnsi="Times New Roman" w:eastAsia="宋体"/>
        </w:rPr>
      </w:pPr>
      <w:r>
        <w:rPr>
          <w:rFonts w:ascii="Times New Roman" w:hAnsi="Times New Roman" w:eastAsia="宋体"/>
        </w:rPr>
      </w:r>
      <w:r/>
    </w:p>
    <w:p>
      <w:pPr>
        <w:ind w:firstLine="2160"/>
        <w:rPr>
          <w:rFonts w:ascii="Times New Roman" w:eastAsia="宋体"/>
          <w:bCs/>
          <w:sz w:val="36"/>
          <w:szCs w:val="36"/>
        </w:rPr>
      </w:pPr>
      <w:r/>
      <w:bookmarkStart w:id="51" w:name="_Toc139298014"/>
      <w:r/>
      <w:bookmarkStart w:id="52" w:name="_Toc120614282"/>
      <w:r/>
      <w:bookmarkStart w:id="53" w:name="_Toc49090576"/>
      <w:r/>
      <w:bookmarkStart w:id="54" w:name="_Toc26554094"/>
      <w:r>
        <w:rPr>
          <w:rFonts w:ascii="Times New Roman" w:eastAsia="宋体"/>
          <w:bCs/>
          <w:sz w:val="36"/>
          <w:szCs w:val="36"/>
        </w:rPr>
        <w:t xml:space="preserve">第六章 投标文件格式</w:t>
      </w:r>
      <w:bookmarkEnd w:id="51"/>
      <w:r/>
      <w:r/>
    </w:p>
    <w:p>
      <w:pPr>
        <w:pStyle w:val="737"/>
        <w:ind w:firstLine="600"/>
        <w:rPr>
          <w:rFonts w:ascii="Times New Roman" w:hAnsi="Times New Roman" w:eastAsia="宋体"/>
        </w:rPr>
      </w:pPr>
      <w:r>
        <w:rPr>
          <w:rFonts w:ascii="Times New Roman" w:hAnsi="Times New Roman" w:eastAsia="宋体"/>
        </w:rPr>
      </w:r>
      <w:r/>
    </w:p>
    <w:p>
      <w:pPr>
        <w:jc w:val="center"/>
        <w:rPr>
          <w:b/>
          <w:sz w:val="72"/>
        </w:rPr>
      </w:pPr>
      <w:r>
        <w:rPr>
          <w:b/>
          <w:sz w:val="72"/>
        </w:rPr>
        <w:t xml:space="preserve">投  标  文  件</w:t>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b/>
          <w:sz w:val="36"/>
        </w:rPr>
        <w:t xml:space="preserve">项 目 名 称：</w:t>
      </w:r>
      <w:r>
        <w:rPr>
          <w:b/>
          <w:sz w:val="36"/>
          <w:u w:val="single"/>
        </w:rPr>
        <w:t xml:space="preserve">               </w:t>
      </w:r>
      <w:r/>
    </w:p>
    <w:p>
      <w:pPr>
        <w:ind w:firstLine="1084"/>
        <w:rPr>
          <w:b/>
          <w:sz w:val="36"/>
          <w:u w:val="single"/>
        </w:rPr>
      </w:pPr>
      <w:r>
        <w:rPr>
          <w:b/>
          <w:sz w:val="36"/>
        </w:rPr>
        <w:t xml:space="preserve">招 标 编 号：</w:t>
      </w:r>
      <w:r>
        <w:rPr>
          <w:b/>
          <w:sz w:val="36"/>
          <w:u w:val="single"/>
        </w:rPr>
        <w:t xml:space="preserve">               </w:t>
      </w:r>
      <w:r/>
    </w:p>
    <w:p>
      <w:pPr>
        <w:rPr>
          <w:b/>
          <w:sz w:val="36"/>
          <w:u w:val="single"/>
        </w:rPr>
      </w:pPr>
      <w:r>
        <w:rPr>
          <w:b/>
          <w:sz w:val="36"/>
        </w:rPr>
        <w:t xml:space="preserve">      投标人名称 ：</w:t>
      </w:r>
      <w:r>
        <w:rPr>
          <w:b/>
          <w:sz w:val="36"/>
          <w:u w:val="single"/>
        </w:rPr>
        <w:t xml:space="preserve">               </w:t>
      </w:r>
      <w:r/>
    </w:p>
    <w:p>
      <w:pPr>
        <w:rPr>
          <w:b/>
          <w:sz w:val="36"/>
        </w:rPr>
      </w:pPr>
      <w:r>
        <w:rPr>
          <w:b/>
          <w:sz w:val="36"/>
        </w:rPr>
        <w:t xml:space="preserve">      日      期 ：</w:t>
      </w:r>
      <w:r>
        <w:rPr>
          <w:b/>
          <w:sz w:val="36"/>
          <w:u w:val="single"/>
        </w:rPr>
        <w:t xml:space="preserve">               </w:t>
      </w:r>
      <w:r/>
    </w:p>
    <w:p>
      <w:pPr>
        <w:jc w:val="center"/>
        <w:spacing w:line="440" w:lineRule="exact"/>
        <w:rPr>
          <w:b/>
          <w:bCs/>
          <w:sz w:val="32"/>
          <w:szCs w:val="32"/>
        </w:rPr>
      </w:pPr>
      <w:r>
        <w:rPr>
          <w:b/>
          <w:bCs/>
          <w:sz w:val="32"/>
          <w:szCs w:val="32"/>
        </w:rPr>
      </w:r>
      <w:r/>
    </w:p>
    <w:p>
      <w:pPr>
        <w:ind w:firstLine="480"/>
        <w:spacing w:line="440" w:lineRule="exact"/>
        <w:rPr>
          <w:sz w:val="24"/>
        </w:rPr>
      </w:pPr>
      <w:r>
        <w:rPr>
          <w:sz w:val="24"/>
        </w:rPr>
      </w:r>
      <w:r/>
    </w:p>
    <w:p>
      <w:pPr>
        <w:ind w:firstLine="480"/>
        <w:spacing w:line="440" w:lineRule="exact"/>
        <w:rPr>
          <w:sz w:val="24"/>
        </w:rPr>
      </w:pPr>
      <w:r>
        <w:rPr>
          <w:sz w:val="24"/>
        </w:rPr>
      </w:r>
      <w:r/>
    </w:p>
    <w:p>
      <w:pPr>
        <w:jc w:val="center"/>
        <w:spacing w:line="440" w:lineRule="exact"/>
        <w:rPr>
          <w:b/>
          <w:sz w:val="30"/>
          <w:szCs w:val="30"/>
        </w:rPr>
      </w:pPr>
      <w:r>
        <w:rPr>
          <w:sz w:val="24"/>
        </w:rPr>
        <w:br w:type="page" w:clear="all"/>
      </w:r>
      <w:r>
        <w:rPr>
          <w:b/>
          <w:sz w:val="30"/>
          <w:szCs w:val="30"/>
        </w:rPr>
        <w:t xml:space="preserve">评分索引表</w:t>
      </w:r>
      <w:r/>
    </w:p>
    <w:tbl>
      <w:tblPr>
        <w:tblStyle w:val="698"/>
        <w:tblpPr w:horzAnchor="page" w:tblpXSpec="center" w:vertAnchor="text" w:tblpY="3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460"/>
        </w:trPr>
        <w:tc>
          <w:tcPr>
            <w:tcW w:w="5670" w:type="dxa"/>
            <w:textDirection w:val="lrTb"/>
            <w:noWrap w:val="false"/>
          </w:tcPr>
          <w:p>
            <w:pPr>
              <w:pStyle w:val="931"/>
              <w:ind w:left="420"/>
              <w:jc w:val="center"/>
              <w:spacing w:line="265" w:lineRule="atLeast"/>
              <w:shd w:val="clear" w:color="auto" w:fill="ffffff"/>
              <w:rPr>
                <w:rFonts w:ascii="Times New Roman" w:hAnsi="Times New Roman"/>
                <w:b/>
                <w:bCs/>
                <w:lang w:eastAsia="zh-CN"/>
              </w:rPr>
            </w:pPr>
            <w:r>
              <w:rPr>
                <w:rFonts w:ascii="Times New Roman" w:hAnsi="Times New Roman"/>
                <w:b/>
              </w:rPr>
              <w:t xml:space="preserve">评分项目</w:t>
            </w:r>
            <w:r/>
          </w:p>
        </w:tc>
        <w:tc>
          <w:tcPr>
            <w:tcW w:w="3570" w:type="dxa"/>
            <w:textDirection w:val="lrTb"/>
            <w:noWrap w:val="false"/>
          </w:tcPr>
          <w:p>
            <w:pPr>
              <w:jc w:val="center"/>
              <w:rPr>
                <w:b/>
              </w:rPr>
            </w:pPr>
            <w:r>
              <w:rPr>
                <w:b/>
                <w:sz w:val="24"/>
                <w:lang w:bidi="en-US"/>
              </w:rPr>
              <w:t xml:space="preserve">在投标文件中的页码位置</w:t>
            </w:r>
            <w:r/>
          </w:p>
        </w:tc>
      </w:tr>
      <w:tr>
        <w:trPr>
          <w:jc w:val="center"/>
          <w:trHeight w:val="446"/>
        </w:trPr>
        <w:tc>
          <w:tcPr>
            <w:tcW w:w="5670" w:type="dxa"/>
            <w:textDirection w:val="lrTb"/>
            <w:noWrap w:val="false"/>
          </w:tcPr>
          <w:p>
            <w:pPr>
              <w:pStyle w:val="931"/>
              <w:ind w:left="420"/>
              <w:jc w:val="both"/>
              <w:spacing w:line="265" w:lineRule="atLeast"/>
              <w:shd w:val="clear" w:color="auto" w:fill="ffffff"/>
              <w:rPr>
                <w:rFonts w:ascii="Times New Roman" w:hAnsi="Times New Roman"/>
                <w:b/>
                <w:lang w:eastAsia="zh-CN"/>
              </w:rPr>
            </w:pPr>
            <w:r>
              <w:rPr>
                <w:rFonts w:ascii="Times New Roman" w:hAnsi="Times New Roman"/>
                <w:b/>
                <w:lang w:eastAsia="zh-CN"/>
              </w:rPr>
            </w:r>
            <w:r/>
          </w:p>
        </w:tc>
        <w:tc>
          <w:tcPr>
            <w:tcW w:w="3570" w:type="dxa"/>
            <w:textDirection w:val="lrTb"/>
            <w:noWrap w:val="false"/>
          </w:tcPr>
          <w:p>
            <w:pPr>
              <w:rPr>
                <w:b/>
                <w:sz w:val="24"/>
                <w:lang w:bidi="en-US"/>
              </w:rPr>
            </w:pPr>
            <w:r>
              <w:rPr>
                <w:b/>
                <w:sz w:val="24"/>
                <w:lang w:bidi="en-US"/>
              </w:rPr>
            </w:r>
            <w:r/>
          </w:p>
        </w:tc>
      </w:tr>
      <w:tr>
        <w:trPr>
          <w:jc w:val="center"/>
          <w:trHeight w:val="300"/>
        </w:trPr>
        <w:tc>
          <w:tcPr>
            <w:gridSpan w:val="2"/>
            <w:tcW w:w="9240" w:type="dxa"/>
            <w:textDirection w:val="lrTb"/>
            <w:noWrap w:val="false"/>
          </w:tcPr>
          <w:p>
            <w:pPr>
              <w:pStyle w:val="931"/>
              <w:ind w:left="420"/>
              <w:jc w:val="both"/>
              <w:spacing w:line="265" w:lineRule="atLeast"/>
              <w:shd w:val="clear" w:color="auto" w:fill="ffffff"/>
              <w:rPr>
                <w:rFonts w:ascii="Times New Roman" w:hAnsi="Times New Roman"/>
                <w:lang w:eastAsia="zh-CN"/>
              </w:rPr>
            </w:pPr>
            <w:r>
              <w:rPr>
                <w:rFonts w:ascii="Times New Roman" w:hAnsi="Times New Roman"/>
                <w:lang w:eastAsia="zh-CN"/>
              </w:rPr>
            </w:r>
            <w:r/>
          </w:p>
        </w:tc>
      </w:tr>
      <w:tr>
        <w:trPr>
          <w:jc w:val="center"/>
          <w:trHeight w:val="320"/>
        </w:trPr>
        <w:tc>
          <w:tcPr>
            <w:tcW w:w="5670" w:type="dxa"/>
            <w:textDirection w:val="lrTb"/>
            <w:noWrap w:val="false"/>
          </w:tcPr>
          <w:p>
            <w:pPr>
              <w:pStyle w:val="931"/>
              <w:ind w:left="420"/>
              <w:spacing w:line="265" w:lineRule="atLeast"/>
              <w:shd w:val="clear" w:color="auto" w:fill="ffffff"/>
              <w:rPr>
                <w:rFonts w:ascii="Times New Roman" w:hAnsi="Times New Roman"/>
                <w:lang w:eastAsia="zh-CN"/>
              </w:rPr>
            </w:pPr>
            <w:r>
              <w:rPr>
                <w:rFonts w:ascii="Times New Roman" w:hAnsi="Times New Roman"/>
                <w:lang w:eastAsia="zh-CN"/>
              </w:rPr>
            </w:r>
            <w:r/>
          </w:p>
        </w:tc>
        <w:tc>
          <w:tcPr>
            <w:tcW w:w="3570" w:type="dxa"/>
            <w:textDirection w:val="lrTb"/>
            <w:noWrap w:val="false"/>
          </w:tcPr>
          <w:p>
            <w:r/>
            <w:r/>
          </w:p>
        </w:tc>
      </w:tr>
      <w:tr>
        <w:trPr>
          <w:jc w:val="center"/>
          <w:trHeight w:val="280"/>
        </w:trPr>
        <w:tc>
          <w:tcPr>
            <w:tcW w:w="5670" w:type="dxa"/>
            <w:textDirection w:val="lrTb"/>
            <w:noWrap w:val="false"/>
          </w:tcPr>
          <w:p>
            <w:pPr>
              <w:pStyle w:val="931"/>
              <w:ind w:left="420"/>
              <w:spacing w:line="265" w:lineRule="atLeast"/>
              <w:shd w:val="clear" w:color="auto" w:fill="ffffff"/>
              <w:rPr>
                <w:rFonts w:ascii="Times New Roman" w:hAnsi="Times New Roman"/>
                <w:lang w:eastAsia="zh-CN"/>
              </w:rPr>
            </w:pPr>
            <w:r>
              <w:rPr>
                <w:rFonts w:ascii="Times New Roman" w:hAnsi="Times New Roman"/>
                <w:lang w:eastAsia="zh-CN"/>
              </w:rPr>
            </w:r>
            <w:r/>
          </w:p>
        </w:tc>
        <w:tc>
          <w:tcPr>
            <w:tcW w:w="3570" w:type="dxa"/>
            <w:textDirection w:val="lrTb"/>
            <w:noWrap w:val="false"/>
          </w:tcPr>
          <w:p>
            <w:r/>
            <w:r/>
          </w:p>
        </w:tc>
      </w:tr>
      <w:tr>
        <w:trPr>
          <w:jc w:val="center"/>
          <w:trHeight w:val="460"/>
        </w:trPr>
        <w:tc>
          <w:tcPr>
            <w:tcW w:w="5670" w:type="dxa"/>
            <w:textDirection w:val="lrTb"/>
            <w:noWrap w:val="false"/>
          </w:tcPr>
          <w:p>
            <w:pPr>
              <w:pStyle w:val="931"/>
              <w:ind w:left="420"/>
              <w:spacing w:line="265" w:lineRule="atLeast"/>
              <w:shd w:val="clear" w:color="auto" w:fill="ffffff"/>
              <w:rPr>
                <w:rFonts w:ascii="Times New Roman" w:hAnsi="Times New Roman"/>
                <w:lang w:eastAsia="zh-CN"/>
              </w:rPr>
            </w:pPr>
            <w:r>
              <w:rPr>
                <w:rFonts w:ascii="Times New Roman" w:hAnsi="Times New Roman"/>
                <w:lang w:eastAsia="zh-CN"/>
              </w:rPr>
            </w:r>
            <w:r/>
          </w:p>
        </w:tc>
        <w:tc>
          <w:tcPr>
            <w:tcW w:w="3570" w:type="dxa"/>
            <w:textDirection w:val="lrTb"/>
            <w:noWrap w:val="false"/>
          </w:tcPr>
          <w:p>
            <w:r/>
            <w:r/>
          </w:p>
        </w:tc>
      </w:tr>
      <w:tr>
        <w:trPr>
          <w:jc w:val="center"/>
          <w:trHeight w:val="460"/>
        </w:trPr>
        <w:tc>
          <w:tcPr>
            <w:tcW w:w="5670" w:type="dxa"/>
            <w:textDirection w:val="lrTb"/>
            <w:noWrap w:val="false"/>
          </w:tcPr>
          <w:p>
            <w:pPr>
              <w:pStyle w:val="931"/>
              <w:ind w:left="420"/>
              <w:spacing w:line="265" w:lineRule="atLeast"/>
              <w:shd w:val="clear" w:color="auto" w:fill="ffffff"/>
              <w:rPr>
                <w:rFonts w:ascii="Times New Roman" w:hAnsi="Times New Roman"/>
                <w:lang w:eastAsia="zh-CN"/>
              </w:rPr>
            </w:pPr>
            <w:r>
              <w:rPr>
                <w:rFonts w:ascii="Times New Roman" w:hAnsi="Times New Roman"/>
                <w:lang w:eastAsia="zh-CN"/>
              </w:rPr>
            </w:r>
            <w:r/>
          </w:p>
        </w:tc>
        <w:tc>
          <w:tcPr>
            <w:tcW w:w="3570" w:type="dxa"/>
            <w:textDirection w:val="lrTb"/>
            <w:noWrap w:val="false"/>
          </w:tcPr>
          <w:p>
            <w:r/>
            <w:r/>
          </w:p>
        </w:tc>
      </w:tr>
      <w:tr>
        <w:trPr>
          <w:jc w:val="center"/>
          <w:trHeight w:val="280"/>
        </w:trPr>
        <w:tc>
          <w:tcPr>
            <w:tcW w:w="5670" w:type="dxa"/>
            <w:textDirection w:val="lrTb"/>
            <w:noWrap w:val="false"/>
          </w:tcPr>
          <w:p>
            <w:pPr>
              <w:pStyle w:val="931"/>
              <w:ind w:left="420"/>
              <w:spacing w:line="265" w:lineRule="atLeast"/>
              <w:shd w:val="clear" w:color="auto" w:fill="ffffff"/>
              <w:rPr>
                <w:rFonts w:ascii="Times New Roman" w:hAnsi="Times New Roman"/>
                <w:lang w:eastAsia="zh-CN"/>
              </w:rPr>
            </w:pPr>
            <w:r>
              <w:rPr>
                <w:rFonts w:ascii="Times New Roman" w:hAnsi="Times New Roman"/>
                <w:lang w:eastAsia="zh-CN"/>
              </w:rPr>
            </w:r>
            <w:r/>
          </w:p>
        </w:tc>
        <w:tc>
          <w:tcPr>
            <w:tcW w:w="3570" w:type="dxa"/>
            <w:textDirection w:val="lrTb"/>
            <w:noWrap w:val="false"/>
          </w:tcPr>
          <w:p>
            <w:r/>
            <w:r/>
          </w:p>
        </w:tc>
      </w:tr>
      <w:tr>
        <w:trPr>
          <w:jc w:val="center"/>
          <w:trHeight w:val="389"/>
        </w:trPr>
        <w:tc>
          <w:tcPr>
            <w:gridSpan w:val="2"/>
            <w:tcW w:w="9240" w:type="dxa"/>
            <w:textDirection w:val="lrTb"/>
            <w:noWrap w:val="false"/>
          </w:tcPr>
          <w:p>
            <w:pPr>
              <w:pStyle w:val="931"/>
              <w:ind w:left="420"/>
              <w:jc w:val="both"/>
              <w:spacing w:line="265" w:lineRule="atLeast"/>
              <w:shd w:val="clear" w:color="auto" w:fill="ffffff"/>
              <w:rPr>
                <w:rFonts w:ascii="Times New Roman" w:hAnsi="Times New Roman"/>
                <w:lang w:eastAsia="zh-CN"/>
              </w:rPr>
            </w:pPr>
            <w:r>
              <w:rPr>
                <w:rFonts w:ascii="Times New Roman" w:hAnsi="Times New Roman"/>
                <w:lang w:eastAsia="zh-CN"/>
              </w:rPr>
            </w:r>
            <w:r/>
          </w:p>
        </w:tc>
      </w:tr>
      <w:tr>
        <w:trPr>
          <w:jc w:val="center"/>
          <w:trHeight w:val="600"/>
        </w:trPr>
        <w:tc>
          <w:tcPr>
            <w:tcW w:w="5670" w:type="dxa"/>
            <w:textDirection w:val="lrTb"/>
            <w:noWrap w:val="false"/>
          </w:tcPr>
          <w:p>
            <w:pPr>
              <w:pStyle w:val="931"/>
              <w:ind w:left="420"/>
              <w:spacing w:line="265" w:lineRule="atLeast"/>
              <w:shd w:val="clear" w:color="auto" w:fill="ffffff"/>
              <w:rPr>
                <w:rFonts w:ascii="Times New Roman" w:hAnsi="Times New Roman"/>
                <w:lang w:eastAsia="zh-CN"/>
              </w:rPr>
            </w:pPr>
            <w:r>
              <w:rPr>
                <w:rFonts w:ascii="Times New Roman" w:hAnsi="Times New Roman"/>
                <w:lang w:eastAsia="zh-CN"/>
              </w:rPr>
            </w:r>
            <w:r/>
          </w:p>
        </w:tc>
        <w:tc>
          <w:tcPr>
            <w:tcW w:w="3570" w:type="dxa"/>
            <w:textDirection w:val="lrTb"/>
            <w:noWrap w:val="false"/>
          </w:tcPr>
          <w:p>
            <w:r/>
            <w:r/>
          </w:p>
        </w:tc>
      </w:tr>
      <w:tr>
        <w:trPr>
          <w:jc w:val="center"/>
          <w:trHeight w:val="160"/>
        </w:trPr>
        <w:tc>
          <w:tcPr>
            <w:tcW w:w="5670" w:type="dxa"/>
            <w:textDirection w:val="lrTb"/>
            <w:noWrap w:val="false"/>
          </w:tcPr>
          <w:p>
            <w:pPr>
              <w:pStyle w:val="931"/>
              <w:ind w:left="420"/>
              <w:spacing w:line="265" w:lineRule="atLeast"/>
              <w:shd w:val="clear" w:color="auto" w:fill="ffffff"/>
              <w:rPr>
                <w:rFonts w:ascii="Times New Roman" w:hAnsi="Times New Roman"/>
                <w:lang w:eastAsia="zh-CN"/>
              </w:rPr>
            </w:pPr>
            <w:r>
              <w:rPr>
                <w:rFonts w:ascii="Times New Roman" w:hAnsi="Times New Roman"/>
                <w:lang w:eastAsia="zh-CN"/>
              </w:rPr>
            </w:r>
            <w:r/>
          </w:p>
        </w:tc>
        <w:tc>
          <w:tcPr>
            <w:tcW w:w="3570" w:type="dxa"/>
            <w:textDirection w:val="lrTb"/>
            <w:noWrap w:val="false"/>
          </w:tcPr>
          <w:p>
            <w:r/>
            <w:r/>
          </w:p>
        </w:tc>
      </w:tr>
      <w:tr>
        <w:trPr>
          <w:jc w:val="center"/>
          <w:trHeight w:val="289"/>
        </w:trPr>
        <w:tc>
          <w:tcPr>
            <w:tcW w:w="5670" w:type="dxa"/>
            <w:textDirection w:val="lrTb"/>
            <w:noWrap w:val="false"/>
          </w:tcPr>
          <w:p>
            <w:pPr>
              <w:pStyle w:val="931"/>
              <w:ind w:left="420"/>
              <w:spacing w:line="265" w:lineRule="atLeast"/>
              <w:shd w:val="clear" w:color="auto" w:fill="ffffff"/>
              <w:rPr>
                <w:rFonts w:ascii="Times New Roman" w:hAnsi="Times New Roman"/>
                <w:lang w:eastAsia="zh-CN"/>
              </w:rPr>
            </w:pPr>
            <w:r>
              <w:rPr>
                <w:rFonts w:ascii="Times New Roman" w:hAnsi="Times New Roman"/>
                <w:lang w:eastAsia="zh-CN"/>
              </w:rPr>
            </w:r>
            <w:r/>
          </w:p>
        </w:tc>
        <w:tc>
          <w:tcPr>
            <w:tcW w:w="3570" w:type="dxa"/>
            <w:textDirection w:val="lrTb"/>
            <w:noWrap w:val="false"/>
          </w:tcPr>
          <w:p>
            <w:r/>
            <w:r/>
          </w:p>
        </w:tc>
      </w:tr>
      <w:tr>
        <w:trPr>
          <w:jc w:val="center"/>
          <w:trHeight w:val="278"/>
        </w:trPr>
        <w:tc>
          <w:tcPr>
            <w:tcW w:w="5670" w:type="dxa"/>
            <w:textDirection w:val="lrTb"/>
            <w:noWrap w:val="false"/>
          </w:tcPr>
          <w:p>
            <w:pPr>
              <w:pStyle w:val="931"/>
              <w:ind w:left="420"/>
              <w:spacing w:line="265" w:lineRule="atLeast"/>
              <w:shd w:val="clear" w:color="auto" w:fill="ffffff"/>
              <w:rPr>
                <w:rFonts w:ascii="Times New Roman" w:hAnsi="Times New Roman"/>
                <w:lang w:eastAsia="zh-CN"/>
              </w:rPr>
            </w:pPr>
            <w:r>
              <w:rPr>
                <w:rFonts w:ascii="Times New Roman" w:hAnsi="Times New Roman"/>
                <w:lang w:eastAsia="zh-CN"/>
              </w:rPr>
            </w:r>
            <w:r/>
          </w:p>
        </w:tc>
        <w:tc>
          <w:tcPr>
            <w:tcW w:w="3570" w:type="dxa"/>
            <w:textDirection w:val="lrTb"/>
            <w:noWrap w:val="false"/>
          </w:tcPr>
          <w:p>
            <w:r/>
            <w:r/>
          </w:p>
        </w:tc>
      </w:tr>
      <w:tr>
        <w:trPr>
          <w:jc w:val="center"/>
          <w:trHeight w:val="269"/>
        </w:trPr>
        <w:tc>
          <w:tcPr>
            <w:tcW w:w="5670" w:type="dxa"/>
            <w:textDirection w:val="lrTb"/>
            <w:noWrap w:val="false"/>
          </w:tcPr>
          <w:p>
            <w:pPr>
              <w:pStyle w:val="931"/>
              <w:ind w:left="420"/>
              <w:spacing w:line="265" w:lineRule="atLeast"/>
              <w:shd w:val="clear" w:color="auto" w:fill="ffffff"/>
              <w:rPr>
                <w:rFonts w:ascii="Times New Roman" w:hAnsi="Times New Roman"/>
                <w:lang w:eastAsia="zh-CN"/>
              </w:rPr>
            </w:pPr>
            <w:r>
              <w:rPr>
                <w:rFonts w:ascii="Times New Roman" w:hAnsi="Times New Roman"/>
                <w:lang w:eastAsia="zh-CN"/>
              </w:rPr>
            </w:r>
            <w:r/>
          </w:p>
        </w:tc>
        <w:tc>
          <w:tcPr>
            <w:tcW w:w="3570" w:type="dxa"/>
            <w:textDirection w:val="lrTb"/>
            <w:noWrap w:val="false"/>
          </w:tcPr>
          <w:p>
            <w:r/>
            <w:r/>
          </w:p>
        </w:tc>
      </w:tr>
      <w:tr>
        <w:trPr>
          <w:jc w:val="center"/>
          <w:trHeight w:val="460"/>
        </w:trPr>
        <w:tc>
          <w:tcPr>
            <w:gridSpan w:val="2"/>
            <w:tcW w:w="9240" w:type="dxa"/>
            <w:textDirection w:val="lrTb"/>
            <w:noWrap w:val="false"/>
          </w:tcPr>
          <w:p>
            <w:pPr>
              <w:pStyle w:val="931"/>
              <w:ind w:left="420"/>
              <w:jc w:val="both"/>
              <w:spacing w:line="265" w:lineRule="atLeast"/>
              <w:shd w:val="clear" w:color="auto" w:fill="ffffff"/>
              <w:rPr>
                <w:rFonts w:ascii="Times New Roman" w:hAnsi="Times New Roman"/>
                <w:b/>
                <w:lang w:eastAsia="zh-CN"/>
              </w:rPr>
            </w:pPr>
            <w:r>
              <w:rPr>
                <w:rFonts w:ascii="Times New Roman" w:hAnsi="Times New Roman"/>
                <w:b/>
                <w:lang w:eastAsia="zh-CN"/>
              </w:rPr>
            </w:r>
            <w:r/>
          </w:p>
        </w:tc>
      </w:tr>
      <w:tr>
        <w:trPr>
          <w:jc w:val="center"/>
          <w:trHeight w:val="320"/>
        </w:trPr>
        <w:tc>
          <w:tcPr>
            <w:tcW w:w="5670" w:type="dxa"/>
            <w:textDirection w:val="lrTb"/>
            <w:noWrap w:val="false"/>
          </w:tcPr>
          <w:p>
            <w:pPr>
              <w:pStyle w:val="931"/>
              <w:ind w:left="420"/>
              <w:spacing w:line="265" w:lineRule="atLeast"/>
              <w:shd w:val="clear" w:color="auto" w:fill="ffffff"/>
              <w:rPr>
                <w:rFonts w:ascii="Times New Roman" w:hAnsi="Times New Roman"/>
                <w:b/>
                <w:bCs/>
                <w:lang w:eastAsia="zh-CN"/>
              </w:rPr>
            </w:pPr>
            <w:r>
              <w:rPr>
                <w:rFonts w:ascii="Times New Roman" w:hAnsi="Times New Roman"/>
                <w:b/>
                <w:bCs/>
                <w:lang w:eastAsia="zh-CN"/>
              </w:rPr>
            </w:r>
            <w:r/>
          </w:p>
        </w:tc>
        <w:tc>
          <w:tcPr>
            <w:tcW w:w="3570" w:type="dxa"/>
            <w:textDirection w:val="lrTb"/>
            <w:noWrap w:val="false"/>
          </w:tcPr>
          <w:p>
            <w:r/>
            <w:r/>
          </w:p>
        </w:tc>
      </w:tr>
      <w:tr>
        <w:trPr>
          <w:jc w:val="center"/>
          <w:trHeight w:val="280"/>
        </w:trPr>
        <w:tc>
          <w:tcPr>
            <w:tcW w:w="5670" w:type="dxa"/>
            <w:textDirection w:val="lrTb"/>
            <w:noWrap w:val="false"/>
          </w:tcPr>
          <w:p>
            <w:pPr>
              <w:pStyle w:val="931"/>
              <w:ind w:left="420"/>
              <w:spacing w:line="265" w:lineRule="atLeast"/>
              <w:shd w:val="clear" w:color="auto" w:fill="ffffff"/>
              <w:rPr>
                <w:rFonts w:ascii="Times New Roman" w:hAnsi="Times New Roman"/>
                <w:lang w:eastAsia="zh-CN"/>
              </w:rPr>
            </w:pPr>
            <w:r>
              <w:rPr>
                <w:rFonts w:ascii="Times New Roman" w:hAnsi="Times New Roman"/>
                <w:lang w:eastAsia="zh-CN"/>
              </w:rPr>
            </w:r>
            <w:r/>
          </w:p>
        </w:tc>
        <w:tc>
          <w:tcPr>
            <w:tcW w:w="3570" w:type="dxa"/>
            <w:textDirection w:val="lrTb"/>
            <w:noWrap w:val="false"/>
          </w:tcPr>
          <w:p>
            <w:r/>
            <w:r/>
          </w:p>
        </w:tc>
      </w:tr>
      <w:tr>
        <w:trPr>
          <w:jc w:val="center"/>
          <w:trHeight w:val="320"/>
        </w:trPr>
        <w:tc>
          <w:tcPr>
            <w:tcW w:w="5670" w:type="dxa"/>
            <w:textDirection w:val="lrTb"/>
            <w:noWrap w:val="false"/>
          </w:tcPr>
          <w:p>
            <w:pPr>
              <w:pStyle w:val="931"/>
              <w:ind w:left="420"/>
              <w:spacing w:line="265" w:lineRule="atLeast"/>
              <w:shd w:val="clear" w:color="auto" w:fill="ffffff"/>
              <w:rPr>
                <w:rFonts w:ascii="Times New Roman" w:hAnsi="Times New Roman"/>
                <w:b/>
                <w:bCs/>
                <w:lang w:eastAsia="zh-CN"/>
              </w:rPr>
            </w:pPr>
            <w:r>
              <w:rPr>
                <w:rFonts w:ascii="Times New Roman" w:hAnsi="Times New Roman"/>
                <w:b/>
                <w:bCs/>
                <w:lang w:eastAsia="zh-CN"/>
              </w:rPr>
            </w:r>
            <w:r/>
          </w:p>
        </w:tc>
        <w:tc>
          <w:tcPr>
            <w:tcW w:w="3570" w:type="dxa"/>
            <w:textDirection w:val="lrTb"/>
            <w:noWrap w:val="false"/>
          </w:tcPr>
          <w:p>
            <w:r/>
            <w:r/>
          </w:p>
        </w:tc>
      </w:tr>
      <w:tr>
        <w:trPr>
          <w:jc w:val="center"/>
          <w:trHeight w:val="260"/>
        </w:trPr>
        <w:tc>
          <w:tcPr>
            <w:gridSpan w:val="2"/>
            <w:tcW w:w="9240" w:type="dxa"/>
            <w:textDirection w:val="lrTb"/>
            <w:noWrap w:val="false"/>
          </w:tcPr>
          <w:p>
            <w:pPr>
              <w:pStyle w:val="931"/>
              <w:ind w:left="420"/>
              <w:jc w:val="both"/>
              <w:spacing w:line="265" w:lineRule="atLeast"/>
              <w:shd w:val="clear" w:color="auto" w:fill="ffffff"/>
              <w:rPr>
                <w:rFonts w:ascii="Times New Roman" w:hAnsi="Times New Roman"/>
                <w:b/>
                <w:lang w:eastAsia="zh-CN"/>
              </w:rPr>
            </w:pPr>
            <w:r>
              <w:rPr>
                <w:rFonts w:ascii="Times New Roman" w:hAnsi="Times New Roman"/>
                <w:b/>
                <w:lang w:eastAsia="zh-CN"/>
              </w:rPr>
            </w:r>
            <w:r/>
          </w:p>
        </w:tc>
      </w:tr>
      <w:tr>
        <w:trPr>
          <w:jc w:val="center"/>
          <w:trHeight w:val="500"/>
        </w:trPr>
        <w:tc>
          <w:tcPr>
            <w:tcW w:w="5670" w:type="dxa"/>
            <w:textDirection w:val="lrTb"/>
            <w:noWrap w:val="false"/>
          </w:tcPr>
          <w:p>
            <w:pPr>
              <w:pStyle w:val="931"/>
              <w:ind w:left="0" w:firstLine="480"/>
              <w:spacing w:line="265" w:lineRule="atLeast"/>
              <w:shd w:val="clear" w:color="auto" w:fill="ffffff"/>
              <w:rPr>
                <w:rFonts w:ascii="Times New Roman" w:hAnsi="Times New Roman"/>
                <w:szCs w:val="21"/>
                <w:lang w:eastAsia="zh-CN"/>
              </w:rPr>
            </w:pPr>
            <w:r>
              <w:rPr>
                <w:rFonts w:ascii="Times New Roman" w:hAnsi="Times New Roman"/>
                <w:szCs w:val="21"/>
                <w:lang w:eastAsia="zh-CN"/>
              </w:rPr>
            </w:r>
            <w:r/>
          </w:p>
        </w:tc>
        <w:tc>
          <w:tcPr>
            <w:tcW w:w="3570" w:type="dxa"/>
            <w:textDirection w:val="lrTb"/>
            <w:noWrap w:val="false"/>
          </w:tcPr>
          <w:p>
            <w:r/>
            <w:r/>
          </w:p>
        </w:tc>
      </w:tr>
      <w:tr>
        <w:trPr>
          <w:jc w:val="center"/>
          <w:trHeight w:val="440"/>
        </w:trPr>
        <w:tc>
          <w:tcPr>
            <w:tcBorders>
              <w:bottom w:val="single" w:color="auto" w:sz="4" w:space="0"/>
            </w:tcBorders>
            <w:tcW w:w="5670" w:type="dxa"/>
            <w:textDirection w:val="lrTb"/>
            <w:noWrap w:val="false"/>
          </w:tcPr>
          <w:p>
            <w:pPr>
              <w:pStyle w:val="931"/>
              <w:ind w:left="0" w:firstLine="480"/>
              <w:spacing w:line="265" w:lineRule="atLeast"/>
              <w:shd w:val="clear" w:color="auto" w:fill="ffffff"/>
              <w:rPr>
                <w:rFonts w:ascii="Times New Roman" w:hAnsi="Times New Roman"/>
                <w:lang w:eastAsia="zh-CN"/>
              </w:rPr>
            </w:pPr>
            <w:r>
              <w:rPr>
                <w:rFonts w:ascii="Times New Roman" w:hAnsi="Times New Roman"/>
                <w:lang w:eastAsia="zh-CN"/>
              </w:rPr>
            </w:r>
            <w:r/>
          </w:p>
        </w:tc>
        <w:tc>
          <w:tcPr>
            <w:tcBorders>
              <w:bottom w:val="single" w:color="auto" w:sz="4" w:space="0"/>
            </w:tcBorders>
            <w:tcW w:w="3570" w:type="dxa"/>
            <w:textDirection w:val="lrTb"/>
            <w:noWrap w:val="false"/>
          </w:tcPr>
          <w:p>
            <w:r/>
            <w:r/>
          </w:p>
        </w:tc>
      </w:tr>
    </w:tbl>
    <w:p>
      <w:pPr>
        <w:jc w:val="center"/>
        <w:spacing w:line="440" w:lineRule="exact"/>
        <w:rPr>
          <w:b/>
          <w:sz w:val="30"/>
          <w:szCs w:val="30"/>
        </w:rPr>
      </w:pPr>
      <w:r>
        <w:rPr>
          <w:b/>
          <w:sz w:val="30"/>
          <w:szCs w:val="30"/>
        </w:rPr>
      </w:r>
      <w:r/>
    </w:p>
    <w:p>
      <w:r/>
      <w:r/>
    </w:p>
    <w:p>
      <w:pPr>
        <w:rPr>
          <w:b/>
          <w:bCs/>
          <w:sz w:val="32"/>
          <w:szCs w:val="32"/>
        </w:rPr>
      </w:pPr>
      <w:r>
        <w:rPr>
          <w:b/>
          <w:bCs/>
          <w:sz w:val="32"/>
          <w:szCs w:val="32"/>
        </w:rPr>
        <w:br w:type="page" w:clear="all"/>
      </w:r>
      <w:r/>
    </w:p>
    <w:p>
      <w:pPr>
        <w:ind w:firstLine="964"/>
        <w:jc w:val="left"/>
        <w:rPr>
          <w:b/>
          <w:bCs/>
          <w:sz w:val="32"/>
          <w:szCs w:val="32"/>
        </w:rPr>
      </w:pPr>
      <w:r>
        <w:rPr>
          <w:b/>
          <w:bCs/>
          <w:sz w:val="32"/>
          <w:szCs w:val="32"/>
        </w:rPr>
        <w:t xml:space="preserve">        投标主要文件目录</w:t>
      </w:r>
      <w:r/>
    </w:p>
    <w:p>
      <w:pPr>
        <w:jc w:val="center"/>
        <w:spacing w:line="440" w:lineRule="exact"/>
        <w:rPr>
          <w:b/>
          <w:bCs/>
          <w:sz w:val="32"/>
          <w:szCs w:val="32"/>
        </w:rPr>
      </w:pPr>
      <w:r>
        <w:rPr>
          <w:b/>
          <w:bCs/>
          <w:sz w:val="32"/>
          <w:szCs w:val="32"/>
        </w:rPr>
      </w:r>
      <w:r/>
    </w:p>
    <w:p>
      <w:pPr>
        <w:spacing w:line="360" w:lineRule="auto"/>
      </w:pPr>
      <w:r>
        <w:t xml:space="preserve">一、</w:t>
      </w:r>
      <w:r>
        <w:rPr>
          <w:bCs/>
        </w:rPr>
        <w:t xml:space="preserve">资信证明文件要求</w:t>
      </w:r>
      <w:r/>
    </w:p>
    <w:p>
      <w:pPr>
        <w:spacing w:line="360" w:lineRule="auto"/>
      </w:pPr>
      <w:r>
        <w:rPr>
          <w:b/>
          <w:bCs/>
        </w:rPr>
        <w:t xml:space="preserve">二</w:t>
      </w:r>
      <w:r>
        <w:t xml:space="preserve">、资格性审查响应对照表</w:t>
      </w:r>
      <w:r/>
    </w:p>
    <w:p>
      <w:pPr>
        <w:spacing w:line="360" w:lineRule="auto"/>
      </w:pPr>
      <w:r>
        <w:t xml:space="preserve">三、符合性检查响应对照表</w:t>
      </w:r>
      <w:r/>
    </w:p>
    <w:p>
      <w:pPr>
        <w:pStyle w:val="928"/>
        <w:ind w:left="0"/>
        <w:spacing w:line="360" w:lineRule="auto"/>
        <w:rPr>
          <w:rFonts w:ascii="Times New Roman" w:hAnsi="Times New Roman"/>
          <w:sz w:val="21"/>
          <w:szCs w:val="21"/>
          <w:lang w:eastAsia="zh-CN"/>
        </w:rPr>
      </w:pPr>
      <w:r>
        <w:rPr>
          <w:rFonts w:ascii="Times New Roman" w:hAnsi="Times New Roman"/>
          <w:sz w:val="21"/>
          <w:szCs w:val="21"/>
          <w:lang w:eastAsia="zh-CN"/>
        </w:rPr>
        <w:t xml:space="preserve">四、法定代表人身份证明书；法定代表人授权委托书及授权委托人身份证扫描件（如有）</w:t>
      </w:r>
      <w:r/>
    </w:p>
    <w:p>
      <w:pPr>
        <w:spacing w:line="360" w:lineRule="auto"/>
      </w:pPr>
      <w:r>
        <w:t xml:space="preserve">五、投标函</w:t>
      </w:r>
      <w:r/>
    </w:p>
    <w:p>
      <w:pPr>
        <w:spacing w:line="360" w:lineRule="auto"/>
      </w:pPr>
      <w:r>
        <w:t xml:space="preserve">六、开标一览表</w:t>
      </w:r>
      <w:r/>
    </w:p>
    <w:p>
      <w:pPr>
        <w:spacing w:line="360" w:lineRule="auto"/>
      </w:pPr>
      <w:r>
        <w:t xml:space="preserve">七、分项报价表</w:t>
      </w:r>
      <w:r/>
    </w:p>
    <w:p>
      <w:pPr>
        <w:spacing w:line="360" w:lineRule="auto"/>
      </w:pPr>
      <w:r>
        <w:t xml:space="preserve">八、服务内容响应及偏离表</w:t>
      </w:r>
      <w:r/>
    </w:p>
    <w:p>
      <w:pPr>
        <w:spacing w:line="360" w:lineRule="auto"/>
      </w:pPr>
      <w:r>
        <w:t xml:space="preserve">九、商务条款响应及偏离表</w:t>
      </w:r>
      <w:r/>
    </w:p>
    <w:p>
      <w:pPr>
        <w:spacing w:line="360" w:lineRule="auto"/>
      </w:pPr>
      <w:r>
        <w:t xml:space="preserve">十、技术部分、成功案例、项目管理配备及企业能力等内容</w:t>
      </w:r>
      <w:r/>
    </w:p>
    <w:p>
      <w:pPr>
        <w:spacing w:line="360" w:lineRule="auto"/>
      </w:pPr>
      <w:r>
        <w:t xml:space="preserve">十一、盐城市政府采购事前信用承诺书</w:t>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706"/>
        <w:rPr>
          <w:rFonts w:ascii="Times New Roman" w:hAnsi="Times New Roman" w:eastAsia="宋体"/>
          <w:sz w:val="24"/>
        </w:rPr>
      </w:pPr>
      <w:r>
        <w:rPr>
          <w:rFonts w:ascii="Times New Roman" w:hAnsi="Times New Roman" w:eastAsia="宋体"/>
          <w:sz w:val="24"/>
        </w:rPr>
      </w:r>
      <w:r/>
    </w:p>
    <w:p>
      <w:pPr>
        <w:rPr>
          <w:sz w:val="24"/>
        </w:rPr>
      </w:pPr>
      <w:r>
        <w:rPr>
          <w:sz w:val="24"/>
        </w:rPr>
      </w:r>
      <w:r/>
    </w:p>
    <w:p>
      <w:pPr>
        <w:rPr>
          <w:sz w:val="24"/>
        </w:rPr>
      </w:pPr>
      <w:r>
        <w:rPr>
          <w:sz w:val="24"/>
        </w:rPr>
        <w:br w:type="page" w:clear="all"/>
      </w:r>
      <w:r/>
    </w:p>
    <w:p>
      <w:r/>
      <w:r/>
    </w:p>
    <w:p>
      <w:r/>
      <w:r/>
    </w:p>
    <w:p>
      <w:pPr>
        <w:jc w:val="center"/>
        <w:spacing w:before="50" w:after="50"/>
        <w:rPr>
          <w:b w:val="0"/>
          <w:bCs w:val="0"/>
          <w:sz w:val="32"/>
          <w:szCs w:val="32"/>
        </w:rPr>
      </w:pPr>
      <w:r>
        <w:rPr>
          <w:b w:val="0"/>
          <w:bCs w:val="0"/>
          <w:sz w:val="32"/>
          <w:szCs w:val="32"/>
        </w:rPr>
        <w:t xml:space="preserve">一、资信证明文件要求</w:t>
      </w:r>
      <w:r/>
    </w:p>
    <w:p>
      <w:pPr>
        <w:spacing w:before="50" w:after="50"/>
        <w:rPr>
          <w:i/>
          <w:szCs w:val="24"/>
          <w:u w:val="single"/>
        </w:rPr>
      </w:pPr>
      <w:r>
        <w:rPr>
          <w:i/>
          <w:szCs w:val="24"/>
          <w:u w:val="single"/>
        </w:rPr>
      </w:r>
      <w:r/>
    </w:p>
    <w:p>
      <w:pPr>
        <w:spacing w:before="50" w:after="50" w:line="360" w:lineRule="auto"/>
      </w:pPr>
      <w:r>
        <w:rPr>
          <w:sz w:val="44"/>
        </w:rPr>
        <w:t xml:space="preserve"> </w:t>
      </w:r>
      <w:r>
        <w:rPr>
          <w:b/>
          <w:bCs/>
          <w:sz w:val="24"/>
        </w:rPr>
        <w:t xml:space="preserve">1</w:t>
      </w:r>
      <w:r>
        <w:rPr>
          <w:b/>
          <w:bCs/>
        </w:rPr>
        <w:t xml:space="preserve">、实质性资格证明文件目录</w:t>
      </w:r>
      <w:r/>
    </w:p>
    <w:p>
      <w:pPr>
        <w:ind w:firstLine="420"/>
        <w:spacing w:line="360" w:lineRule="auto"/>
      </w:pPr>
      <w:r>
        <w:t xml:space="preserve">文件1  法人或者其他组织的营业执照等证明文件，自然人的身份证明（原件扫描件）</w:t>
      </w:r>
      <w:r/>
    </w:p>
    <w:p>
      <w:pPr>
        <w:ind w:firstLine="420"/>
        <w:spacing w:line="360" w:lineRule="auto"/>
      </w:pPr>
      <w:r>
        <w:t xml:space="preserve">文件2  上一年度财务状况报表（原件扫描件，成立不满一年不需提供）</w:t>
      </w:r>
      <w:r/>
    </w:p>
    <w:p>
      <w:pPr>
        <w:ind w:firstLine="420"/>
        <w:spacing w:line="360" w:lineRule="auto"/>
      </w:pPr>
      <w:r>
        <w:t xml:space="preserve">文件3  依法缴纳税收和社会保障资金的相关材料（原件扫描件）</w:t>
      </w:r>
      <w:r/>
    </w:p>
    <w:p>
      <w:pPr>
        <w:ind w:firstLine="420"/>
        <w:spacing w:line="360" w:lineRule="auto"/>
      </w:pPr>
      <w:r>
        <w:t xml:space="preserve">文件</w:t>
      </w:r>
      <w:r>
        <w:rPr>
          <w:rFonts w:hint="eastAsia"/>
          <w:lang w:val="en-US" w:eastAsia="zh-CN"/>
        </w:rPr>
        <w:t xml:space="preserve">4  </w:t>
      </w:r>
      <w:r>
        <w:t xml:space="preserve">参加政府采购活动前 3 年内在经营活动中没有重大违法记录的书面声明</w:t>
      </w:r>
      <w:r/>
    </w:p>
    <w:p>
      <w:pPr>
        <w:ind w:firstLine="420"/>
        <w:spacing w:line="360" w:lineRule="auto"/>
      </w:pPr>
      <w:r>
        <w:t xml:space="preserve">文件</w:t>
      </w:r>
      <w:r>
        <w:rPr>
          <w:rFonts w:hint="eastAsia"/>
          <w:lang w:val="en-US" w:eastAsia="zh-CN"/>
        </w:rPr>
        <w:t xml:space="preserve">5 </w:t>
      </w:r>
      <w:r>
        <w:t xml:space="preserve"> 招标文件中规定要求提供的证明材料和投标人认为需要提供的其他材料。</w:t>
      </w:r>
      <w:r/>
    </w:p>
    <w:p>
      <w:pPr>
        <w:ind w:firstLine="422"/>
        <w:spacing w:line="360" w:lineRule="auto"/>
        <w:rPr>
          <w:b/>
          <w:bCs/>
        </w:rPr>
      </w:pPr>
      <w:r>
        <w:rPr>
          <w:b/>
          <w:bCs/>
        </w:rPr>
        <w:t xml:space="preserve">注：以上材料原件扫描件须加盖投标单位公章，中标后将原件材料交采购人核查。</w:t>
      </w:r>
      <w:r/>
    </w:p>
    <w:p>
      <w:pPr>
        <w:jc w:val="left"/>
        <w:spacing w:before="50" w:after="145" w:line="360" w:lineRule="auto"/>
        <w:rPr>
          <w:b/>
          <w:i/>
          <w:u w:val="single"/>
        </w:rPr>
      </w:pPr>
      <w:r>
        <w:rPr>
          <w:b/>
          <w:i/>
          <w:u w:val="single"/>
        </w:rPr>
      </w:r>
      <w:r/>
    </w:p>
    <w:p>
      <w:pPr>
        <w:ind w:firstLine="422"/>
        <w:spacing w:before="50" w:after="50" w:line="360" w:lineRule="auto"/>
      </w:pPr>
      <w:r>
        <w:rPr>
          <w:b/>
          <w:bCs/>
        </w:rPr>
        <w:t xml:space="preserve">2、非实质性资信证明文件目录</w:t>
      </w:r>
      <w:r/>
    </w:p>
    <w:p>
      <w:pPr>
        <w:ind w:firstLine="420"/>
        <w:spacing w:line="360" w:lineRule="auto"/>
      </w:pPr>
      <w:r>
        <w:t xml:space="preserve">格式1《企业申明函》</w:t>
      </w:r>
      <w:r/>
    </w:p>
    <w:p>
      <w:pPr>
        <w:ind w:firstLine="420"/>
        <w:spacing w:line="360" w:lineRule="auto"/>
      </w:pPr>
      <w:r>
        <w:t xml:space="preserve">格式2《联合体协议》（接受联合体供应商的项目采购文件中请加入此格式，其他项目不需加入此格式）</w:t>
      </w:r>
      <w:r/>
    </w:p>
    <w:p>
      <w:pPr>
        <w:pStyle w:val="699"/>
        <w:spacing w:line="0" w:lineRule="atLeast"/>
        <w:rPr>
          <w:sz w:val="24"/>
          <w:szCs w:val="24"/>
        </w:rPr>
      </w:pPr>
      <w:r>
        <w:rPr>
          <w:sz w:val="24"/>
          <w:szCs w:val="24"/>
        </w:rPr>
      </w:r>
      <w:r/>
    </w:p>
    <w:p>
      <w:pPr>
        <w:pStyle w:val="699"/>
        <w:spacing w:line="0" w:lineRule="atLeast"/>
        <w:rPr>
          <w:sz w:val="24"/>
          <w:szCs w:val="24"/>
        </w:rPr>
      </w:pPr>
      <w:r>
        <w:rPr>
          <w:sz w:val="24"/>
          <w:szCs w:val="24"/>
        </w:rPr>
      </w:r>
      <w:r/>
    </w:p>
    <w:p>
      <w:pPr>
        <w:pStyle w:val="699"/>
        <w:spacing w:line="0" w:lineRule="atLeast"/>
        <w:rPr>
          <w:sz w:val="24"/>
          <w:szCs w:val="24"/>
        </w:rPr>
      </w:pPr>
      <w:r>
        <w:rPr>
          <w:sz w:val="24"/>
          <w:szCs w:val="24"/>
        </w:rPr>
      </w:r>
      <w:r/>
    </w:p>
    <w:p>
      <w:pPr>
        <w:pStyle w:val="699"/>
        <w:spacing w:line="0" w:lineRule="atLeast"/>
        <w:rPr>
          <w:sz w:val="24"/>
          <w:szCs w:val="24"/>
        </w:rPr>
      </w:pPr>
      <w:r>
        <w:rPr>
          <w:sz w:val="24"/>
          <w:szCs w:val="24"/>
        </w:rPr>
      </w:r>
      <w:r/>
    </w:p>
    <w:p>
      <w:pPr>
        <w:pStyle w:val="699"/>
        <w:spacing w:line="0" w:lineRule="atLeast"/>
        <w:rPr>
          <w:sz w:val="24"/>
          <w:szCs w:val="24"/>
        </w:rPr>
      </w:pPr>
      <w:r>
        <w:rPr>
          <w:sz w:val="24"/>
          <w:szCs w:val="24"/>
        </w:rPr>
      </w:r>
      <w:r/>
    </w:p>
    <w:p>
      <w:pPr>
        <w:pStyle w:val="690"/>
        <w:jc w:val="center"/>
        <w:rPr>
          <w:sz w:val="21"/>
          <w:szCs w:val="21"/>
        </w:rPr>
      </w:pPr>
      <w:r>
        <w:rPr>
          <w:sz w:val="28"/>
          <w:szCs w:val="28"/>
        </w:rPr>
        <w:t xml:space="preserve">参加政府采购活动前3年内在经营活动中没有重大违法记录的书面声明</w:t>
      </w:r>
      <w:r/>
    </w:p>
    <w:p>
      <w:pPr>
        <w:spacing w:line="460" w:lineRule="exact"/>
        <w:rPr>
          <w:b/>
          <w:bCs/>
          <w:sz w:val="44"/>
          <w:szCs w:val="44"/>
        </w:rPr>
      </w:pPr>
      <w:r>
        <w:rPr>
          <w:b/>
          <w:bCs/>
          <w:sz w:val="24"/>
        </w:rPr>
        <w:t xml:space="preserve">                       </w:t>
      </w:r>
      <w:r>
        <w:rPr>
          <w:b/>
          <w:bCs/>
          <w:sz w:val="44"/>
          <w:szCs w:val="44"/>
        </w:rPr>
        <w:t xml:space="preserve">   </w:t>
      </w:r>
      <w:r/>
    </w:p>
    <w:p>
      <w:pPr>
        <w:jc w:val="center"/>
        <w:spacing w:line="460" w:lineRule="exact"/>
        <w:rPr>
          <w:b/>
          <w:bCs/>
          <w:sz w:val="44"/>
          <w:szCs w:val="44"/>
        </w:rPr>
      </w:pPr>
      <w:r>
        <w:rPr>
          <w:b/>
          <w:bCs/>
          <w:sz w:val="44"/>
          <w:szCs w:val="44"/>
        </w:rPr>
        <w:t xml:space="preserve">声  明</w:t>
      </w:r>
      <w:r/>
    </w:p>
    <w:p>
      <w:pPr>
        <w:spacing w:line="460" w:lineRule="exact"/>
        <w:rPr>
          <w:bCs/>
        </w:rPr>
      </w:pPr>
      <w:r>
        <w:rPr>
          <w:b/>
          <w:bCs/>
          <w:sz w:val="24"/>
        </w:rPr>
        <w:t xml:space="preserve"> </w:t>
      </w:r>
      <w:r>
        <w:rPr>
          <w:b/>
          <w:bCs/>
        </w:rPr>
        <w:t xml:space="preserve">   </w:t>
      </w:r>
      <w:r>
        <w:rPr>
          <w:bCs/>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bCs/>
        </w:rPr>
      </w:pPr>
      <w:r>
        <w:rPr>
          <w:bCs/>
        </w:rPr>
        <w:t xml:space="preserve">                                      供应商名称（公章）：</w:t>
      </w:r>
      <w:r/>
    </w:p>
    <w:p>
      <w:pPr>
        <w:spacing w:line="460" w:lineRule="exact"/>
        <w:rPr>
          <w:bCs/>
        </w:rPr>
      </w:pPr>
      <w:r>
        <w:rPr>
          <w:bCs/>
        </w:rPr>
        <w:t xml:space="preserve">                                      授权代表签字：</w:t>
      </w:r>
      <w:r/>
    </w:p>
    <w:p>
      <w:pPr>
        <w:spacing w:line="460" w:lineRule="exact"/>
        <w:rPr>
          <w:bCs/>
        </w:rPr>
      </w:pPr>
      <w:r>
        <w:rPr>
          <w:bCs/>
        </w:rPr>
        <w:t xml:space="preserve">                                      日期：</w:t>
      </w:r>
      <w:r>
        <w:rPr>
          <w:bCs/>
          <w:u w:val="single"/>
        </w:rPr>
        <w:t xml:space="preserve">     </w:t>
      </w:r>
      <w:r>
        <w:rPr>
          <w:bCs/>
        </w:rPr>
        <w:t xml:space="preserve">年</w:t>
      </w:r>
      <w:r>
        <w:rPr>
          <w:bCs/>
          <w:u w:val="single"/>
        </w:rPr>
        <w:t xml:space="preserve">    </w:t>
      </w:r>
      <w:r>
        <w:rPr>
          <w:bCs/>
        </w:rPr>
        <w:t xml:space="preserve">月</w:t>
      </w:r>
      <w:r>
        <w:rPr>
          <w:bCs/>
          <w:u w:val="single"/>
        </w:rPr>
        <w:t xml:space="preserve">    </w:t>
      </w:r>
      <w:r>
        <w:rPr>
          <w:bCs/>
        </w:rPr>
        <w:t xml:space="preserve">日</w:t>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pStyle w:val="690"/>
        <w:jc w:val="center"/>
        <w:rPr>
          <w:sz w:val="44"/>
          <w:szCs w:val="44"/>
        </w:rPr>
      </w:pPr>
      <w:r>
        <w:rPr>
          <w:sz w:val="44"/>
          <w:szCs w:val="44"/>
        </w:rPr>
        <w:t xml:space="preserve">联合体协议（如有）</w:t>
      </w:r>
      <w:r/>
    </w:p>
    <w:p>
      <w:pPr>
        <w:spacing w:line="560" w:lineRule="exact"/>
      </w:pPr>
      <w:r>
        <w:t xml:space="preserve">（联合体中各供应商全称）在此达成以下协议：</w:t>
      </w:r>
      <w:r/>
    </w:p>
    <w:p>
      <w:pPr>
        <w:ind w:firstLine="645"/>
        <w:spacing w:line="560" w:lineRule="exact"/>
      </w:pPr>
      <w:r>
        <w:t xml:space="preserve">1、我们自愿组成联合体，参加采购人组织的采购编号为  （项目全称）项目的政府采购活动。</w:t>
      </w:r>
      <w:r/>
    </w:p>
    <w:p>
      <w:pPr>
        <w:ind w:firstLine="645"/>
        <w:spacing w:line="560" w:lineRule="exact"/>
      </w:pPr>
      <w: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pPr>
      <w:r/>
      <w:r/>
    </w:p>
    <w:p>
      <w:pPr>
        <w:ind w:firstLine="645"/>
        <w:spacing w:line="560" w:lineRule="exact"/>
      </w:pPr>
      <w:r>
        <w:t xml:space="preserve">                            供应商全称（公章）：     </w:t>
      </w:r>
      <w:r/>
    </w:p>
    <w:p>
      <w:pPr>
        <w:ind w:firstLine="645"/>
        <w:spacing w:line="560" w:lineRule="exact"/>
      </w:pPr>
      <w:r>
        <w:t xml:space="preserve">                  法定代表人或授权代表（签字）：  </w:t>
      </w:r>
      <w:r/>
    </w:p>
    <w:p>
      <w:pPr>
        <w:ind w:right="640" w:firstLine="4935"/>
        <w:spacing w:line="560" w:lineRule="exact"/>
      </w:pPr>
      <w:r>
        <w:t xml:space="preserve">日期：</w:t>
      </w:r>
      <w:r/>
    </w:p>
    <w:p>
      <w:pPr>
        <w:spacing w:line="560" w:lineRule="exact"/>
        <w:rPr>
          <w:sz w:val="24"/>
        </w:rPr>
      </w:pPr>
      <w:r>
        <w:t xml:space="preserve">注：（1）联合体中各供应商均须加盖单位公章，并由法定代表人或授权代表签字。</w:t>
      </w:r>
      <w:r/>
    </w:p>
    <w:p>
      <w:pPr>
        <w:spacing w:line="560" w:lineRule="exact"/>
        <w:rPr>
          <w:sz w:val="24"/>
        </w:rPr>
      </w:pPr>
      <w:r>
        <w:rPr>
          <w:sz w:val="24"/>
        </w:rPr>
      </w:r>
      <w:r/>
    </w:p>
    <w:p>
      <w:pPr>
        <w:spacing w:line="560" w:lineRule="exact"/>
        <w:rPr>
          <w:bCs/>
          <w:sz w:val="24"/>
        </w:rPr>
      </w:pPr>
      <w:r>
        <w:rPr>
          <w:bCs/>
          <w:sz w:val="24"/>
        </w:rPr>
      </w:r>
      <w:r/>
    </w:p>
    <w:p>
      <w:pPr>
        <w:pStyle w:val="710"/>
        <w:ind w:left="1470" w:right="1470"/>
      </w:pPr>
      <w:r/>
      <w:r/>
    </w:p>
    <w:p>
      <w:pPr>
        <w:jc w:val="center"/>
        <w:spacing w:before="50" w:after="50"/>
        <w:rPr>
          <w:sz w:val="32"/>
          <w:szCs w:val="32"/>
        </w:rPr>
      </w:pPr>
      <w:r>
        <w:rPr>
          <w:sz w:val="32"/>
          <w:szCs w:val="32"/>
        </w:rPr>
        <w:t xml:space="preserve">二、资格性审查响应对照表（格式）</w:t>
      </w:r>
      <w:r/>
    </w:p>
    <w:p>
      <w:pPr>
        <w:ind w:firstLine="309"/>
      </w:pPr>
      <w:r>
        <w:t xml:space="preserve">投标人全称（加盖公章）：</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b/>
              </w:rPr>
            </w:pPr>
            <w:r>
              <w:rPr>
                <w:b/>
              </w:rPr>
              <w:t xml:space="preserve">序号</w:t>
            </w:r>
            <w:r/>
          </w:p>
        </w:tc>
        <w:tc>
          <w:tcPr>
            <w:tcW w:w="5447" w:type="dxa"/>
            <w:vAlign w:val="center"/>
            <w:textDirection w:val="lrTb"/>
            <w:noWrap w:val="false"/>
          </w:tcPr>
          <w:p>
            <w:pPr>
              <w:jc w:val="center"/>
              <w:spacing w:line="240" w:lineRule="atLeast"/>
              <w:rPr>
                <w:b/>
              </w:rPr>
            </w:pPr>
            <w:r>
              <w:rPr>
                <w:b/>
              </w:rPr>
              <w:t xml:space="preserve">资格性审查响应内容</w:t>
            </w:r>
            <w:r/>
          </w:p>
        </w:tc>
        <w:tc>
          <w:tcPr>
            <w:tcW w:w="1680" w:type="dxa"/>
            <w:vAlign w:val="center"/>
            <w:textDirection w:val="lrTb"/>
            <w:noWrap w:val="false"/>
          </w:tcPr>
          <w:p>
            <w:pPr>
              <w:jc w:val="center"/>
              <w:spacing w:line="240" w:lineRule="atLeast"/>
              <w:rPr>
                <w:b/>
              </w:rPr>
            </w:pPr>
            <w:r>
              <w:rPr>
                <w:b/>
              </w:rPr>
              <w:t xml:space="preserve">是否响应</w:t>
            </w:r>
            <w:r/>
          </w:p>
          <w:p>
            <w:pPr>
              <w:jc w:val="center"/>
              <w:spacing w:line="240" w:lineRule="atLeast"/>
              <w:rPr>
                <w:b/>
              </w:rPr>
            </w:pPr>
            <w:r>
              <w:rPr>
                <w:b/>
              </w:rPr>
              <w:t xml:space="preserve">（填是或者否）</w:t>
            </w:r>
            <w:r/>
          </w:p>
        </w:tc>
        <w:tc>
          <w:tcPr>
            <w:tcW w:w="1785" w:type="dxa"/>
            <w:vAlign w:val="center"/>
            <w:textDirection w:val="lrTb"/>
            <w:noWrap w:val="false"/>
          </w:tcPr>
          <w:p>
            <w:pPr>
              <w:jc w:val="center"/>
              <w:spacing w:line="240" w:lineRule="atLeast"/>
              <w:rPr>
                <w:b/>
              </w:rPr>
            </w:pPr>
            <w:r>
              <w:rPr>
                <w:b/>
              </w:rPr>
              <w:t xml:space="preserve">投标文件中的</w:t>
            </w:r>
            <w:r/>
          </w:p>
          <w:p>
            <w:pPr>
              <w:jc w:val="center"/>
              <w:spacing w:line="240" w:lineRule="atLeast"/>
              <w:rPr>
                <w:b/>
              </w:rPr>
            </w:pPr>
            <w:r>
              <w:rPr>
                <w:b/>
              </w:rPr>
              <w:t xml:space="preserve">页码位置</w:t>
            </w:r>
            <w:r/>
          </w:p>
        </w:tc>
      </w:tr>
      <w:tr>
        <w:trPr>
          <w:trHeight w:val="800"/>
        </w:trPr>
        <w:tc>
          <w:tcPr>
            <w:tcW w:w="646" w:type="dxa"/>
            <w:vAlign w:val="center"/>
            <w:textDirection w:val="lrTb"/>
            <w:noWrap w:val="false"/>
          </w:tcPr>
          <w:p>
            <w:pPr>
              <w:jc w:val="center"/>
              <w:rPr>
                <w:b/>
              </w:rPr>
            </w:pPr>
            <w:r>
              <w:rPr>
                <w:b/>
              </w:rPr>
              <w:t xml:space="preserve">1</w:t>
            </w:r>
            <w:r/>
          </w:p>
        </w:tc>
        <w:tc>
          <w:tcPr>
            <w:tcW w:w="5447" w:type="dxa"/>
            <w:vAlign w:val="center"/>
            <w:textDirection w:val="lrTb"/>
            <w:noWrap w:val="false"/>
          </w:tcPr>
          <w:p>
            <w:pPr>
              <w:spacing w:line="480" w:lineRule="exact"/>
              <w:rPr>
                <w:iCs/>
              </w:rPr>
            </w:pPr>
            <w:r>
              <w:rPr>
                <w:iCs/>
              </w:rPr>
            </w:r>
            <w:r/>
          </w:p>
        </w:tc>
        <w:tc>
          <w:tcPr>
            <w:tcW w:w="1680" w:type="dxa"/>
            <w:vAlign w:val="center"/>
            <w:textDirection w:val="lrTb"/>
            <w:noWrap w:val="false"/>
          </w:tcPr>
          <w:p>
            <w:pPr>
              <w:rPr>
                <w:b/>
              </w:rPr>
            </w:pPr>
            <w:r>
              <w:rPr>
                <w:b/>
              </w:rPr>
            </w:r>
            <w:r/>
          </w:p>
        </w:tc>
        <w:tc>
          <w:tcPr>
            <w:tcW w:w="1785" w:type="dxa"/>
            <w:vAlign w:val="center"/>
            <w:textDirection w:val="lrTb"/>
            <w:noWrap w:val="false"/>
          </w:tcPr>
          <w:p>
            <w:pPr>
              <w:rPr>
                <w:b/>
              </w:rPr>
            </w:pPr>
            <w:r>
              <w:rPr>
                <w:b/>
              </w:rPr>
            </w:r>
            <w:r/>
          </w:p>
        </w:tc>
      </w:tr>
      <w:tr>
        <w:trPr>
          <w:trHeight w:val="800"/>
        </w:trPr>
        <w:tc>
          <w:tcPr>
            <w:tcW w:w="646" w:type="dxa"/>
            <w:vAlign w:val="center"/>
            <w:textDirection w:val="lrTb"/>
            <w:noWrap w:val="false"/>
          </w:tcPr>
          <w:p>
            <w:pPr>
              <w:jc w:val="center"/>
            </w:pPr>
            <w:r>
              <w:t xml:space="preserve">2</w:t>
            </w:r>
            <w:r/>
          </w:p>
        </w:tc>
        <w:tc>
          <w:tcPr>
            <w:tcW w:w="5447" w:type="dxa"/>
            <w:vAlign w:val="center"/>
            <w:textDirection w:val="lrTb"/>
            <w:noWrap w:val="false"/>
          </w:tcPr>
          <w:p>
            <w:pPr>
              <w:spacing w:line="480" w:lineRule="exact"/>
              <w:rPr>
                <w:iCs/>
              </w:rPr>
            </w:pPr>
            <w:r>
              <w:rPr>
                <w:iCs/>
              </w:rPr>
            </w:r>
            <w:r/>
          </w:p>
        </w:tc>
        <w:tc>
          <w:tcPr>
            <w:tcW w:w="1680" w:type="dxa"/>
            <w:vAlign w:val="center"/>
            <w:textDirection w:val="lrTb"/>
            <w:noWrap w:val="false"/>
          </w:tcPr>
          <w:p>
            <w:r/>
            <w:r/>
          </w:p>
        </w:tc>
        <w:tc>
          <w:tcPr>
            <w:tcW w:w="1785" w:type="dxa"/>
            <w:vAlign w:val="center"/>
            <w:textDirection w:val="lrTb"/>
            <w:noWrap w:val="false"/>
          </w:tcPr>
          <w:p>
            <w:r/>
            <w:r/>
          </w:p>
        </w:tc>
      </w:tr>
      <w:tr>
        <w:trPr>
          <w:trHeight w:val="608"/>
        </w:trPr>
        <w:tc>
          <w:tcPr>
            <w:tcW w:w="646" w:type="dxa"/>
            <w:vAlign w:val="center"/>
            <w:textDirection w:val="lrTb"/>
            <w:noWrap w:val="false"/>
          </w:tcPr>
          <w:p>
            <w:pPr>
              <w:jc w:val="center"/>
            </w:pPr>
            <w:r>
              <w:t xml:space="preserve">3</w:t>
            </w:r>
            <w:r/>
          </w:p>
        </w:tc>
        <w:tc>
          <w:tcPr>
            <w:tcW w:w="5447" w:type="dxa"/>
            <w:vAlign w:val="center"/>
            <w:textDirection w:val="lrTb"/>
            <w:noWrap w:val="false"/>
          </w:tcPr>
          <w:p>
            <w:pPr>
              <w:spacing w:line="480" w:lineRule="exact"/>
              <w:rPr>
                <w:iCs/>
              </w:rPr>
            </w:pPr>
            <w:r>
              <w:rPr>
                <w:iCs/>
              </w:rPr>
            </w:r>
            <w:r/>
          </w:p>
        </w:tc>
        <w:tc>
          <w:tcPr>
            <w:tcW w:w="1680" w:type="dxa"/>
            <w:vAlign w:val="center"/>
            <w:textDirection w:val="lrTb"/>
            <w:noWrap w:val="false"/>
          </w:tcPr>
          <w:p>
            <w:r/>
            <w:r/>
          </w:p>
        </w:tc>
        <w:tc>
          <w:tcPr>
            <w:tcW w:w="1785" w:type="dxa"/>
            <w:vAlign w:val="center"/>
            <w:textDirection w:val="lrTb"/>
            <w:noWrap w:val="false"/>
          </w:tcPr>
          <w:p>
            <w:r/>
            <w:r/>
          </w:p>
        </w:tc>
      </w:tr>
      <w:tr>
        <w:trPr>
          <w:trHeight w:val="588"/>
        </w:trPr>
        <w:tc>
          <w:tcPr>
            <w:tcW w:w="646" w:type="dxa"/>
            <w:vAlign w:val="center"/>
            <w:textDirection w:val="lrTb"/>
            <w:noWrap w:val="false"/>
          </w:tcPr>
          <w:p>
            <w:pPr>
              <w:jc w:val="center"/>
            </w:pPr>
            <w:r>
              <w:t xml:space="preserve">4</w:t>
            </w:r>
            <w:r/>
          </w:p>
        </w:tc>
        <w:tc>
          <w:tcPr>
            <w:tcW w:w="5447" w:type="dxa"/>
            <w:vAlign w:val="center"/>
            <w:textDirection w:val="lrTb"/>
            <w:noWrap w:val="false"/>
          </w:tcPr>
          <w:p>
            <w:pPr>
              <w:spacing w:line="360" w:lineRule="auto"/>
              <w:rPr>
                <w:iCs/>
              </w:rPr>
            </w:pPr>
            <w:r>
              <w:rPr>
                <w:iCs/>
              </w:rPr>
            </w:r>
            <w:r/>
          </w:p>
        </w:tc>
        <w:tc>
          <w:tcPr>
            <w:tcW w:w="1680" w:type="dxa"/>
            <w:vAlign w:val="center"/>
            <w:textDirection w:val="lrTb"/>
            <w:noWrap w:val="false"/>
          </w:tcPr>
          <w:p>
            <w:r/>
            <w:r/>
          </w:p>
        </w:tc>
        <w:tc>
          <w:tcPr>
            <w:tcW w:w="1785" w:type="dxa"/>
            <w:vAlign w:val="center"/>
            <w:textDirection w:val="lrTb"/>
            <w:noWrap w:val="false"/>
          </w:tcPr>
          <w:p>
            <w:r/>
            <w:r/>
          </w:p>
        </w:tc>
      </w:tr>
      <w:tr>
        <w:trPr>
          <w:trHeight w:val="428"/>
        </w:trPr>
        <w:tc>
          <w:tcPr>
            <w:tcW w:w="646" w:type="dxa"/>
            <w:vAlign w:val="center"/>
            <w:textDirection w:val="lrTb"/>
            <w:noWrap w:val="false"/>
          </w:tcPr>
          <w:p>
            <w:pPr>
              <w:jc w:val="center"/>
            </w:pPr>
            <w:r>
              <w:t xml:space="preserve">5</w:t>
            </w:r>
            <w:r/>
          </w:p>
        </w:tc>
        <w:tc>
          <w:tcPr>
            <w:tcW w:w="5447" w:type="dxa"/>
            <w:vAlign w:val="center"/>
            <w:textDirection w:val="lrTb"/>
            <w:noWrap w:val="false"/>
          </w:tcPr>
          <w:p>
            <w:pPr>
              <w:spacing w:line="590" w:lineRule="atLeast"/>
              <w:rPr>
                <w:iCs/>
              </w:rPr>
            </w:pPr>
            <w:r>
              <w:rPr>
                <w:iCs/>
              </w:rPr>
            </w:r>
            <w:r/>
          </w:p>
        </w:tc>
        <w:tc>
          <w:tcPr>
            <w:tcW w:w="1680" w:type="dxa"/>
            <w:vAlign w:val="center"/>
            <w:textDirection w:val="lrTb"/>
            <w:noWrap w:val="false"/>
          </w:tcPr>
          <w:p>
            <w:r/>
            <w:r/>
          </w:p>
        </w:tc>
        <w:tc>
          <w:tcPr>
            <w:tcW w:w="1785" w:type="dxa"/>
            <w:vAlign w:val="center"/>
            <w:textDirection w:val="lrTb"/>
            <w:noWrap w:val="false"/>
          </w:tcPr>
          <w:p>
            <w:r/>
            <w:r/>
          </w:p>
        </w:tc>
      </w:tr>
      <w:tr>
        <w:trPr>
          <w:trHeight w:val="90"/>
        </w:trPr>
        <w:tc>
          <w:tcPr>
            <w:tcW w:w="646" w:type="dxa"/>
            <w:vAlign w:val="center"/>
            <w:textDirection w:val="lrTb"/>
            <w:noWrap w:val="false"/>
          </w:tcPr>
          <w:p>
            <w:pPr>
              <w:jc w:val="center"/>
            </w:pPr>
            <w:r>
              <w:t xml:space="preserve">6</w:t>
            </w:r>
            <w:r/>
          </w:p>
        </w:tc>
        <w:tc>
          <w:tcPr>
            <w:tcW w:w="5447" w:type="dxa"/>
            <w:vAlign w:val="center"/>
            <w:textDirection w:val="lrTb"/>
            <w:noWrap w:val="false"/>
          </w:tcPr>
          <w:p>
            <w:pPr>
              <w:spacing w:line="590" w:lineRule="atLeast"/>
              <w:rPr>
                <w:iCs/>
              </w:rPr>
            </w:pPr>
            <w:r>
              <w:rPr>
                <w:iCs/>
              </w:rPr>
            </w:r>
            <w:r/>
          </w:p>
        </w:tc>
        <w:tc>
          <w:tcPr>
            <w:tcW w:w="1680" w:type="dxa"/>
            <w:vAlign w:val="center"/>
            <w:textDirection w:val="lrTb"/>
            <w:noWrap w:val="false"/>
          </w:tcPr>
          <w:p>
            <w:r/>
            <w:r/>
          </w:p>
        </w:tc>
        <w:tc>
          <w:tcPr>
            <w:tcW w:w="1785" w:type="dxa"/>
            <w:vAlign w:val="center"/>
            <w:textDirection w:val="lrTb"/>
            <w:noWrap w:val="false"/>
          </w:tcPr>
          <w:p>
            <w:r/>
            <w:r/>
          </w:p>
        </w:tc>
      </w:tr>
      <w:tr>
        <w:trPr>
          <w:trHeight w:val="400"/>
        </w:trPr>
        <w:tc>
          <w:tcPr>
            <w:tcW w:w="646" w:type="dxa"/>
            <w:vAlign w:val="center"/>
            <w:textDirection w:val="lrTb"/>
            <w:noWrap w:val="false"/>
          </w:tcPr>
          <w:p>
            <w:pPr>
              <w:jc w:val="center"/>
            </w:pPr>
            <w:r>
              <w:t xml:space="preserve">7</w:t>
            </w:r>
            <w:r/>
          </w:p>
        </w:tc>
        <w:tc>
          <w:tcPr>
            <w:tcW w:w="5447" w:type="dxa"/>
            <w:vAlign w:val="center"/>
            <w:textDirection w:val="lrTb"/>
            <w:noWrap w:val="false"/>
          </w:tcPr>
          <w:p>
            <w:pPr>
              <w:spacing w:line="590" w:lineRule="atLeast"/>
              <w:rPr>
                <w:iCs/>
              </w:rPr>
            </w:pPr>
            <w:r>
              <w:rPr>
                <w:iCs/>
              </w:rPr>
            </w:r>
            <w:r/>
          </w:p>
        </w:tc>
        <w:tc>
          <w:tcPr>
            <w:tcW w:w="1680" w:type="dxa"/>
            <w:vAlign w:val="center"/>
            <w:textDirection w:val="lrTb"/>
            <w:noWrap w:val="false"/>
          </w:tcPr>
          <w:p>
            <w:r/>
            <w:bookmarkEnd w:id="52"/>
            <w:bookmarkEnd w:id="53"/>
            <w:bookmarkEnd w:id="54"/>
            <w:r/>
          </w:p>
        </w:tc>
        <w:tc>
          <w:tcPr>
            <w:tcW w:w="1785" w:type="dxa"/>
            <w:vAlign w:val="center"/>
            <w:textDirection w:val="lrTb"/>
            <w:noWrap w:val="false"/>
          </w:tcPr>
          <w:p>
            <w:r/>
            <w:r/>
          </w:p>
        </w:tc>
      </w:tr>
    </w:tbl>
    <w:p>
      <w:pPr>
        <w:ind w:firstLine="480"/>
        <w:spacing w:line="440" w:lineRule="exact"/>
        <w:rPr>
          <w:sz w:val="24"/>
        </w:rPr>
      </w:pPr>
      <w:r>
        <w:rPr>
          <w:sz w:val="24"/>
        </w:rPr>
      </w:r>
      <w:r/>
    </w:p>
    <w:p>
      <w:pPr>
        <w:jc w:val="center"/>
        <w:spacing w:before="50" w:after="50"/>
        <w:rPr>
          <w:sz w:val="44"/>
        </w:rPr>
      </w:pPr>
      <w:r>
        <w:rPr>
          <w:sz w:val="44"/>
        </w:rPr>
        <w:t xml:space="preserve"> </w:t>
      </w:r>
      <w:r/>
    </w:p>
    <w:p>
      <w:pPr>
        <w:jc w:val="center"/>
        <w:spacing w:before="50" w:after="50"/>
        <w:rPr>
          <w:sz w:val="44"/>
        </w:rPr>
      </w:pPr>
      <w:r>
        <w:rPr>
          <w:sz w:val="44"/>
        </w:rPr>
      </w:r>
      <w:r/>
    </w:p>
    <w:p>
      <w:pPr>
        <w:jc w:val="center"/>
        <w:spacing w:before="50" w:after="50"/>
        <w:rPr>
          <w:sz w:val="44"/>
        </w:rPr>
      </w:pPr>
      <w:r>
        <w:rPr>
          <w:sz w:val="44"/>
        </w:rPr>
      </w:r>
      <w:r/>
    </w:p>
    <w:p>
      <w:pPr>
        <w:jc w:val="center"/>
        <w:spacing w:before="50" w:after="50"/>
        <w:rPr>
          <w:sz w:val="44"/>
        </w:rPr>
      </w:pPr>
      <w:r>
        <w:rPr>
          <w:sz w:val="44"/>
        </w:rPr>
      </w:r>
      <w:r/>
    </w:p>
    <w:p>
      <w:pPr>
        <w:jc w:val="center"/>
        <w:spacing w:before="50" w:after="50"/>
        <w:rPr>
          <w:sz w:val="44"/>
        </w:rPr>
      </w:pPr>
      <w:r>
        <w:rPr>
          <w:sz w:val="44"/>
        </w:rPr>
      </w:r>
      <w:r/>
    </w:p>
    <w:p>
      <w:pPr>
        <w:jc w:val="center"/>
        <w:spacing w:before="50" w:after="50"/>
        <w:rPr>
          <w:sz w:val="44"/>
        </w:rPr>
      </w:pPr>
      <w:r>
        <w:rPr>
          <w:sz w:val="44"/>
        </w:rPr>
      </w:r>
      <w:r/>
    </w:p>
    <w:p>
      <w:pPr>
        <w:jc w:val="center"/>
        <w:spacing w:before="50" w:after="50"/>
        <w:rPr>
          <w:sz w:val="44"/>
        </w:rPr>
      </w:pPr>
      <w:r>
        <w:rPr>
          <w:sz w:val="44"/>
        </w:rPr>
      </w:r>
      <w:r/>
    </w:p>
    <w:p>
      <w:pPr>
        <w:jc w:val="center"/>
        <w:spacing w:before="50" w:after="50"/>
        <w:rPr>
          <w:sz w:val="44"/>
        </w:rPr>
      </w:pPr>
      <w:r>
        <w:rPr>
          <w:sz w:val="44"/>
        </w:rPr>
      </w:r>
      <w:r/>
    </w:p>
    <w:p>
      <w:pPr>
        <w:jc w:val="center"/>
        <w:spacing w:before="50" w:after="50"/>
        <w:rPr>
          <w:sz w:val="44"/>
        </w:rPr>
      </w:pPr>
      <w:r>
        <w:rPr>
          <w:sz w:val="44"/>
        </w:rPr>
      </w:r>
      <w:r/>
    </w:p>
    <w:p>
      <w:pPr>
        <w:jc w:val="center"/>
        <w:spacing w:before="50" w:after="50"/>
        <w:rPr>
          <w:sz w:val="44"/>
        </w:rPr>
      </w:pPr>
      <w:r>
        <w:rPr>
          <w:sz w:val="44"/>
        </w:rPr>
      </w:r>
      <w:r/>
    </w:p>
    <w:p>
      <w:pPr>
        <w:jc w:val="center"/>
        <w:spacing w:before="50" w:after="50"/>
        <w:rPr>
          <w:sz w:val="44"/>
        </w:rPr>
      </w:pPr>
      <w:r>
        <w:rPr>
          <w:sz w:val="44"/>
        </w:rPr>
      </w:r>
      <w:r/>
    </w:p>
    <w:p>
      <w:pPr>
        <w:jc w:val="center"/>
        <w:spacing w:before="50" w:after="50"/>
        <w:rPr>
          <w:sz w:val="32"/>
          <w:szCs w:val="32"/>
        </w:rPr>
      </w:pPr>
      <w:r>
        <w:rPr>
          <w:sz w:val="32"/>
          <w:szCs w:val="32"/>
        </w:rPr>
        <w:t xml:space="preserve">三、符合性检查响应对照表（格式）</w:t>
      </w:r>
      <w:r/>
    </w:p>
    <w:p>
      <w:pPr>
        <w:ind w:firstLine="309"/>
      </w:pPr>
      <w:r>
        <w:t xml:space="preserve">投标人全称（加盖公章）：</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b/>
              </w:rPr>
            </w:pPr>
            <w:r>
              <w:rPr>
                <w:b/>
              </w:rPr>
              <w:t xml:space="preserve">序号</w:t>
            </w:r>
            <w:r/>
          </w:p>
        </w:tc>
        <w:tc>
          <w:tcPr>
            <w:tcW w:w="5447" w:type="dxa"/>
            <w:vAlign w:val="center"/>
            <w:textDirection w:val="lrTb"/>
            <w:noWrap w:val="false"/>
          </w:tcPr>
          <w:p>
            <w:pPr>
              <w:jc w:val="center"/>
              <w:spacing w:line="240" w:lineRule="atLeast"/>
              <w:rPr>
                <w:b/>
              </w:rPr>
            </w:pPr>
            <w:r>
              <w:rPr>
                <w:b/>
              </w:rPr>
              <w:t xml:space="preserve">符合性检查响应内容</w:t>
            </w:r>
            <w:r/>
          </w:p>
        </w:tc>
        <w:tc>
          <w:tcPr>
            <w:tcW w:w="1680" w:type="dxa"/>
            <w:vAlign w:val="center"/>
            <w:textDirection w:val="lrTb"/>
            <w:noWrap w:val="false"/>
          </w:tcPr>
          <w:p>
            <w:pPr>
              <w:jc w:val="center"/>
              <w:spacing w:line="240" w:lineRule="atLeast"/>
              <w:rPr>
                <w:b/>
              </w:rPr>
            </w:pPr>
            <w:r>
              <w:rPr>
                <w:b/>
              </w:rPr>
              <w:t xml:space="preserve">是否响应</w:t>
            </w:r>
            <w:r/>
          </w:p>
          <w:p>
            <w:pPr>
              <w:jc w:val="center"/>
              <w:spacing w:line="240" w:lineRule="atLeast"/>
              <w:rPr>
                <w:b/>
              </w:rPr>
            </w:pPr>
            <w:r>
              <w:rPr>
                <w:b/>
              </w:rPr>
              <w:t xml:space="preserve">（填是或者否）</w:t>
            </w:r>
            <w:r/>
          </w:p>
        </w:tc>
        <w:tc>
          <w:tcPr>
            <w:tcW w:w="1785" w:type="dxa"/>
            <w:vAlign w:val="center"/>
            <w:textDirection w:val="lrTb"/>
            <w:noWrap w:val="false"/>
          </w:tcPr>
          <w:p>
            <w:pPr>
              <w:jc w:val="center"/>
              <w:spacing w:line="240" w:lineRule="atLeast"/>
              <w:rPr>
                <w:b/>
              </w:rPr>
            </w:pPr>
            <w:r>
              <w:rPr>
                <w:b/>
              </w:rPr>
              <w:t xml:space="preserve">投标文件中的</w:t>
            </w:r>
            <w:r/>
          </w:p>
          <w:p>
            <w:pPr>
              <w:jc w:val="center"/>
              <w:spacing w:line="240" w:lineRule="atLeast"/>
              <w:rPr>
                <w:b/>
              </w:rPr>
            </w:pPr>
            <w:r>
              <w:rPr>
                <w:b/>
              </w:rPr>
              <w:t xml:space="preserve">页码位置</w:t>
            </w:r>
            <w:r/>
          </w:p>
        </w:tc>
      </w:tr>
      <w:tr>
        <w:trPr>
          <w:trHeight w:val="585"/>
        </w:trPr>
        <w:tc>
          <w:tcPr>
            <w:tcW w:w="646" w:type="dxa"/>
            <w:vAlign w:val="center"/>
            <w:textDirection w:val="lrTb"/>
            <w:noWrap w:val="false"/>
          </w:tcPr>
          <w:p>
            <w:pPr>
              <w:jc w:val="center"/>
              <w:rPr>
                <w:b/>
              </w:rPr>
            </w:pPr>
            <w:r>
              <w:rPr>
                <w:b/>
              </w:rPr>
              <w:t xml:space="preserve">1</w:t>
            </w:r>
            <w:r/>
          </w:p>
        </w:tc>
        <w:tc>
          <w:tcPr>
            <w:tcW w:w="5447" w:type="dxa"/>
            <w:vAlign w:val="center"/>
            <w:textDirection w:val="lrTb"/>
            <w:noWrap w:val="false"/>
          </w:tcPr>
          <w:p>
            <w:pPr>
              <w:jc w:val="center"/>
              <w:spacing w:line="480" w:lineRule="exact"/>
              <w:rPr>
                <w:iCs/>
              </w:rPr>
            </w:pPr>
            <w:r>
              <w:rPr>
                <w:iCs/>
              </w:rPr>
            </w:r>
            <w:r/>
          </w:p>
        </w:tc>
        <w:tc>
          <w:tcPr>
            <w:tcW w:w="1680" w:type="dxa"/>
            <w:vAlign w:val="center"/>
            <w:textDirection w:val="lrTb"/>
            <w:noWrap w:val="false"/>
          </w:tcPr>
          <w:p>
            <w:pPr>
              <w:rPr>
                <w:b/>
              </w:rPr>
            </w:pPr>
            <w:r>
              <w:rPr>
                <w:b/>
              </w:rPr>
            </w:r>
            <w:r/>
          </w:p>
        </w:tc>
        <w:tc>
          <w:tcPr>
            <w:tcW w:w="1785" w:type="dxa"/>
            <w:vAlign w:val="center"/>
            <w:textDirection w:val="lrTb"/>
            <w:noWrap w:val="false"/>
          </w:tcPr>
          <w:p>
            <w:pPr>
              <w:rPr>
                <w:b/>
              </w:rPr>
            </w:pPr>
            <w:r>
              <w:rPr>
                <w:b/>
              </w:rPr>
            </w:r>
            <w:r/>
          </w:p>
        </w:tc>
      </w:tr>
      <w:tr>
        <w:trPr>
          <w:trHeight w:val="585"/>
        </w:trPr>
        <w:tc>
          <w:tcPr>
            <w:tcW w:w="646" w:type="dxa"/>
            <w:vAlign w:val="center"/>
            <w:textDirection w:val="lrTb"/>
            <w:noWrap w:val="false"/>
          </w:tcPr>
          <w:p>
            <w:pPr>
              <w:jc w:val="center"/>
            </w:pPr>
            <w:r>
              <w:t xml:space="preserve">2</w:t>
            </w:r>
            <w:r/>
          </w:p>
        </w:tc>
        <w:tc>
          <w:tcPr>
            <w:tcW w:w="5447" w:type="dxa"/>
            <w:vAlign w:val="center"/>
            <w:textDirection w:val="lrTb"/>
            <w:noWrap w:val="false"/>
          </w:tcPr>
          <w:p>
            <w:pPr>
              <w:jc w:val="center"/>
              <w:spacing w:line="480" w:lineRule="exact"/>
              <w:rPr>
                <w:iCs/>
              </w:rPr>
            </w:pPr>
            <w:r>
              <w:rPr>
                <w:iCs/>
              </w:rPr>
            </w:r>
            <w:r/>
          </w:p>
        </w:tc>
        <w:tc>
          <w:tcPr>
            <w:tcW w:w="1680" w:type="dxa"/>
            <w:vAlign w:val="center"/>
            <w:textDirection w:val="lrTb"/>
            <w:noWrap w:val="false"/>
          </w:tcPr>
          <w:p>
            <w:r/>
            <w:r/>
          </w:p>
        </w:tc>
        <w:tc>
          <w:tcPr>
            <w:tcW w:w="1785" w:type="dxa"/>
            <w:vAlign w:val="center"/>
            <w:textDirection w:val="lrTb"/>
            <w:noWrap w:val="false"/>
          </w:tcPr>
          <w:p>
            <w:r/>
            <w:r/>
          </w:p>
        </w:tc>
      </w:tr>
      <w:tr>
        <w:trPr>
          <w:trHeight w:val="585"/>
        </w:trPr>
        <w:tc>
          <w:tcPr>
            <w:tcW w:w="646" w:type="dxa"/>
            <w:vAlign w:val="center"/>
            <w:textDirection w:val="lrTb"/>
            <w:noWrap w:val="false"/>
          </w:tcPr>
          <w:p>
            <w:pPr>
              <w:jc w:val="center"/>
            </w:pPr>
            <w:r>
              <w:t xml:space="preserve">3</w:t>
            </w:r>
            <w:r/>
          </w:p>
        </w:tc>
        <w:tc>
          <w:tcPr>
            <w:tcW w:w="5447" w:type="dxa"/>
            <w:vAlign w:val="center"/>
            <w:textDirection w:val="lrTb"/>
            <w:noWrap w:val="false"/>
          </w:tcPr>
          <w:p>
            <w:pPr>
              <w:jc w:val="center"/>
              <w:spacing w:line="480" w:lineRule="exact"/>
              <w:rPr>
                <w:iCs/>
              </w:rPr>
            </w:pPr>
            <w:r>
              <w:rPr>
                <w:iCs/>
              </w:rPr>
            </w:r>
            <w:r/>
          </w:p>
        </w:tc>
        <w:tc>
          <w:tcPr>
            <w:tcW w:w="1680" w:type="dxa"/>
            <w:vAlign w:val="center"/>
            <w:textDirection w:val="lrTb"/>
            <w:noWrap w:val="false"/>
          </w:tcPr>
          <w:p>
            <w:r/>
            <w:r/>
          </w:p>
        </w:tc>
        <w:tc>
          <w:tcPr>
            <w:tcW w:w="1785" w:type="dxa"/>
            <w:vAlign w:val="center"/>
            <w:textDirection w:val="lrTb"/>
            <w:noWrap w:val="false"/>
          </w:tcPr>
          <w:p>
            <w:r/>
            <w:r/>
          </w:p>
        </w:tc>
      </w:tr>
      <w:tr>
        <w:trPr>
          <w:trHeight w:val="886"/>
        </w:trPr>
        <w:tc>
          <w:tcPr>
            <w:tcW w:w="646" w:type="dxa"/>
            <w:vAlign w:val="center"/>
            <w:textDirection w:val="lrTb"/>
            <w:noWrap w:val="false"/>
          </w:tcPr>
          <w:p>
            <w:pPr>
              <w:jc w:val="center"/>
            </w:pPr>
            <w:r>
              <w:t xml:space="preserve">4</w:t>
            </w:r>
            <w:r/>
          </w:p>
        </w:tc>
        <w:tc>
          <w:tcPr>
            <w:tcW w:w="5447" w:type="dxa"/>
            <w:vAlign w:val="center"/>
            <w:textDirection w:val="lrTb"/>
            <w:noWrap w:val="false"/>
          </w:tcPr>
          <w:p>
            <w:pPr>
              <w:jc w:val="center"/>
              <w:spacing w:line="360" w:lineRule="auto"/>
              <w:rPr>
                <w:iCs/>
              </w:rPr>
            </w:pPr>
            <w:r>
              <w:rPr>
                <w:iCs/>
              </w:rPr>
            </w:r>
            <w:r/>
          </w:p>
        </w:tc>
        <w:tc>
          <w:tcPr>
            <w:tcW w:w="1680" w:type="dxa"/>
            <w:vAlign w:val="center"/>
            <w:textDirection w:val="lrTb"/>
            <w:noWrap w:val="false"/>
          </w:tcPr>
          <w:p>
            <w:r/>
            <w:r/>
          </w:p>
        </w:tc>
        <w:tc>
          <w:tcPr>
            <w:tcW w:w="1785" w:type="dxa"/>
            <w:vAlign w:val="center"/>
            <w:textDirection w:val="lrTb"/>
            <w:noWrap w:val="false"/>
          </w:tcPr>
          <w:p>
            <w:r/>
            <w:r/>
          </w:p>
        </w:tc>
      </w:tr>
      <w:tr>
        <w:trPr>
          <w:trHeight w:val="590"/>
        </w:trPr>
        <w:tc>
          <w:tcPr>
            <w:tcW w:w="646" w:type="dxa"/>
            <w:vAlign w:val="center"/>
            <w:textDirection w:val="lrTb"/>
            <w:noWrap w:val="false"/>
          </w:tcPr>
          <w:p>
            <w:pPr>
              <w:jc w:val="center"/>
            </w:pPr>
            <w:r>
              <w:t xml:space="preserve">5</w:t>
            </w:r>
            <w:r/>
          </w:p>
        </w:tc>
        <w:tc>
          <w:tcPr>
            <w:tcW w:w="5447" w:type="dxa"/>
            <w:vAlign w:val="center"/>
            <w:textDirection w:val="lrTb"/>
            <w:noWrap w:val="false"/>
          </w:tcPr>
          <w:p>
            <w:pPr>
              <w:jc w:val="center"/>
              <w:spacing w:line="590" w:lineRule="atLeast"/>
              <w:rPr>
                <w:iCs/>
              </w:rPr>
            </w:pPr>
            <w:r>
              <w:rPr>
                <w:iCs/>
              </w:rPr>
            </w:r>
            <w:r/>
          </w:p>
        </w:tc>
        <w:tc>
          <w:tcPr>
            <w:tcW w:w="1680" w:type="dxa"/>
            <w:vAlign w:val="center"/>
            <w:textDirection w:val="lrTb"/>
            <w:noWrap w:val="false"/>
          </w:tcPr>
          <w:p>
            <w:r/>
            <w:r/>
          </w:p>
        </w:tc>
        <w:tc>
          <w:tcPr>
            <w:tcW w:w="1785" w:type="dxa"/>
            <w:vAlign w:val="center"/>
            <w:textDirection w:val="lrTb"/>
            <w:noWrap w:val="false"/>
          </w:tcPr>
          <w:p>
            <w:r/>
            <w:r/>
          </w:p>
        </w:tc>
      </w:tr>
      <w:tr>
        <w:trPr>
          <w:trHeight w:val="90"/>
        </w:trPr>
        <w:tc>
          <w:tcPr>
            <w:tcW w:w="646" w:type="dxa"/>
            <w:vAlign w:val="center"/>
            <w:textDirection w:val="lrTb"/>
            <w:noWrap w:val="false"/>
          </w:tcPr>
          <w:p>
            <w:pPr>
              <w:jc w:val="center"/>
            </w:pPr>
            <w:r>
              <w:t xml:space="preserve">6</w:t>
            </w:r>
            <w:r/>
          </w:p>
        </w:tc>
        <w:tc>
          <w:tcPr>
            <w:tcW w:w="5447" w:type="dxa"/>
            <w:vAlign w:val="center"/>
            <w:textDirection w:val="lrTb"/>
            <w:noWrap w:val="false"/>
          </w:tcPr>
          <w:p>
            <w:pPr>
              <w:jc w:val="center"/>
              <w:spacing w:line="590" w:lineRule="atLeast"/>
              <w:rPr>
                <w:iCs/>
              </w:rPr>
            </w:pPr>
            <w:r>
              <w:rPr>
                <w:iCs/>
              </w:rPr>
            </w:r>
            <w:r/>
          </w:p>
        </w:tc>
        <w:tc>
          <w:tcPr>
            <w:tcW w:w="1680" w:type="dxa"/>
            <w:vAlign w:val="center"/>
            <w:textDirection w:val="lrTb"/>
            <w:noWrap w:val="false"/>
          </w:tcPr>
          <w:p>
            <w:r/>
            <w:r/>
          </w:p>
        </w:tc>
        <w:tc>
          <w:tcPr>
            <w:tcW w:w="1785" w:type="dxa"/>
            <w:vAlign w:val="center"/>
            <w:textDirection w:val="lrTb"/>
            <w:noWrap w:val="false"/>
          </w:tcPr>
          <w:p>
            <w:r/>
            <w:r/>
          </w:p>
        </w:tc>
      </w:tr>
      <w:tr>
        <w:trPr>
          <w:trHeight w:val="400"/>
        </w:trPr>
        <w:tc>
          <w:tcPr>
            <w:tcW w:w="646" w:type="dxa"/>
            <w:vAlign w:val="center"/>
            <w:textDirection w:val="lrTb"/>
            <w:noWrap w:val="false"/>
          </w:tcPr>
          <w:p>
            <w:pPr>
              <w:jc w:val="center"/>
            </w:pPr>
            <w:r>
              <w:t xml:space="preserve">7</w:t>
            </w:r>
            <w:r/>
          </w:p>
        </w:tc>
        <w:tc>
          <w:tcPr>
            <w:tcW w:w="5447" w:type="dxa"/>
            <w:vAlign w:val="center"/>
            <w:textDirection w:val="lrTb"/>
            <w:noWrap w:val="false"/>
          </w:tcPr>
          <w:p>
            <w:pPr>
              <w:jc w:val="center"/>
              <w:spacing w:line="590" w:lineRule="atLeast"/>
              <w:rPr>
                <w:iCs/>
              </w:rPr>
            </w:pPr>
            <w:r>
              <w:rPr>
                <w:iCs/>
              </w:rPr>
              <w:t xml:space="preserve">招标文件中的其他实质性要求</w:t>
            </w:r>
            <w:r/>
          </w:p>
        </w:tc>
        <w:tc>
          <w:tcPr>
            <w:tcW w:w="1680" w:type="dxa"/>
            <w:vAlign w:val="center"/>
            <w:textDirection w:val="lrTb"/>
            <w:noWrap w:val="false"/>
          </w:tcPr>
          <w:p>
            <w:r/>
            <w:r/>
          </w:p>
        </w:tc>
        <w:tc>
          <w:tcPr>
            <w:tcW w:w="1785" w:type="dxa"/>
            <w:vAlign w:val="center"/>
            <w:textDirection w:val="lrTb"/>
            <w:noWrap w:val="false"/>
          </w:tcPr>
          <w:p>
            <w:r/>
            <w:r/>
          </w:p>
        </w:tc>
      </w:tr>
    </w:tbl>
    <w:p>
      <w:pPr>
        <w:spacing w:before="50" w:after="50"/>
        <w:rPr>
          <w:sz w:val="32"/>
          <w:szCs w:val="32"/>
        </w:rPr>
      </w:pPr>
      <w:r/>
      <w:bookmarkStart w:id="55" w:name="_Toc120614284"/>
      <w:r/>
      <w:r/>
    </w:p>
    <w:p>
      <w:pPr>
        <w:rPr>
          <w:sz w:val="32"/>
          <w:szCs w:val="32"/>
        </w:rPr>
      </w:pPr>
      <w:r>
        <w:rPr>
          <w:sz w:val="32"/>
          <w:szCs w:val="32"/>
        </w:rPr>
        <w:br w:type="page" w:clear="all"/>
      </w:r>
      <w:r/>
    </w:p>
    <w:p>
      <w:pPr>
        <w:pStyle w:val="713"/>
        <w:jc w:val="center"/>
        <w:spacing w:before="120" w:after="120" w:line="460" w:lineRule="exact"/>
        <w:rPr>
          <w:rFonts w:ascii="Times New Roman" w:hAnsi="Times New Roman"/>
          <w:sz w:val="32"/>
          <w:szCs w:val="32"/>
          <w:lang w:bidi="th-TH"/>
        </w:rPr>
      </w:pPr>
      <w:r>
        <w:rPr>
          <w:rFonts w:ascii="Times New Roman" w:hAnsi="Times New Roman"/>
          <w:sz w:val="32"/>
          <w:szCs w:val="32"/>
        </w:rPr>
        <w:t xml:space="preserve">四、</w:t>
      </w:r>
      <w:r>
        <w:rPr>
          <w:rFonts w:ascii="Times New Roman" w:hAnsi="Times New Roman"/>
          <w:b w:val="0"/>
          <w:bCs/>
          <w:sz w:val="32"/>
          <w:szCs w:val="32"/>
        </w:rPr>
        <w:t xml:space="preserve">投标人的法定代表人身份证明书</w:t>
      </w:r>
      <w:r/>
    </w:p>
    <w:p>
      <w:pPr>
        <w:pStyle w:val="713"/>
        <w:jc w:val="left"/>
        <w:spacing w:before="120" w:after="120" w:line="460" w:lineRule="exact"/>
        <w:rPr>
          <w:rFonts w:ascii="Times New Roman" w:hAnsi="Times New Roman"/>
          <w:u w:val="single"/>
          <w:lang w:bidi="th-TH"/>
        </w:rPr>
      </w:pPr>
      <w:r>
        <w:rPr>
          <w:rFonts w:ascii="Times New Roman" w:hAnsi="Times New Roman"/>
          <w:lang w:bidi="th-TH"/>
        </w:rPr>
        <w:t xml:space="preserve">单位名称：</w:t>
      </w:r>
      <w:r>
        <w:rPr>
          <w:rFonts w:ascii="Times New Roman" w:hAnsi="Times New Roman"/>
          <w:u w:val="single"/>
          <w:lang w:bidi="th-TH"/>
        </w:rPr>
        <w:t xml:space="preserve">                                  </w:t>
      </w:r>
      <w:r/>
    </w:p>
    <w:p>
      <w:pPr>
        <w:pStyle w:val="713"/>
        <w:jc w:val="left"/>
        <w:spacing w:before="120" w:after="120" w:line="460" w:lineRule="exact"/>
        <w:rPr>
          <w:rFonts w:ascii="Times New Roman" w:hAnsi="Times New Roman"/>
          <w:u w:val="single"/>
          <w:lang w:bidi="th-TH"/>
        </w:rPr>
      </w:pPr>
      <w:r>
        <w:rPr>
          <w:rFonts w:ascii="Times New Roman" w:hAnsi="Times New Roman"/>
          <w:lang w:bidi="th-TH"/>
        </w:rPr>
        <w:t xml:space="preserve">单位性质：</w:t>
      </w:r>
      <w:r>
        <w:rPr>
          <w:rFonts w:ascii="Times New Roman" w:hAnsi="Times New Roman"/>
          <w:u w:val="single"/>
          <w:lang w:bidi="th-TH"/>
        </w:rPr>
        <w:t xml:space="preserve">                                 </w:t>
      </w:r>
      <w:r/>
    </w:p>
    <w:p>
      <w:pPr>
        <w:pStyle w:val="713"/>
        <w:jc w:val="left"/>
        <w:spacing w:before="120" w:after="120" w:line="460" w:lineRule="exact"/>
        <w:rPr>
          <w:rFonts w:ascii="Times New Roman" w:hAnsi="Times New Roman"/>
          <w:u w:val="single"/>
          <w:lang w:bidi="th-TH"/>
        </w:rPr>
      </w:pPr>
      <w:r>
        <w:rPr>
          <w:rFonts w:ascii="Times New Roman" w:hAnsi="Times New Roman"/>
          <w:lang w:bidi="th-TH"/>
        </w:rPr>
        <w:t xml:space="preserve">地址：</w:t>
      </w:r>
      <w:r>
        <w:rPr>
          <w:rFonts w:ascii="Times New Roman" w:hAnsi="Times New Roman"/>
          <w:u w:val="single"/>
          <w:lang w:bidi="th-TH"/>
        </w:rPr>
        <w:t xml:space="preserve">                                     </w:t>
      </w:r>
      <w:r/>
    </w:p>
    <w:p>
      <w:pPr>
        <w:pStyle w:val="713"/>
        <w:jc w:val="left"/>
        <w:spacing w:before="120" w:after="120" w:line="460" w:lineRule="exact"/>
        <w:rPr>
          <w:rFonts w:ascii="Times New Roman" w:hAnsi="Times New Roman"/>
          <w:lang w:bidi="th-TH"/>
        </w:rPr>
      </w:pPr>
      <w:r>
        <w:rPr>
          <w:rFonts w:ascii="Times New Roman" w:hAnsi="Times New Roman"/>
          <w:lang w:bidi="th-TH"/>
        </w:rPr>
        <w:t xml:space="preserve">成立时间：</w:t>
      </w:r>
      <w:r>
        <w:rPr>
          <w:rFonts w:ascii="Times New Roman" w:hAnsi="Times New Roman"/>
          <w:u w:val="single"/>
          <w:lang w:bidi="th-TH"/>
        </w:rPr>
        <w:t xml:space="preserve">       年    月      日</w:t>
      </w:r>
      <w:r/>
    </w:p>
    <w:p>
      <w:pPr>
        <w:pStyle w:val="713"/>
        <w:jc w:val="left"/>
        <w:spacing w:before="120" w:after="120" w:line="460" w:lineRule="exact"/>
        <w:rPr>
          <w:rFonts w:ascii="Times New Roman" w:hAnsi="Times New Roman"/>
          <w:lang w:bidi="th-TH"/>
        </w:rPr>
      </w:pPr>
      <w:r>
        <w:rPr>
          <w:rFonts w:ascii="Times New Roman" w:hAnsi="Times New Roman"/>
          <w:lang w:bidi="th-TH"/>
        </w:rPr>
        <w:t xml:space="preserve">经营期限：</w:t>
      </w:r>
      <w:r>
        <w:rPr>
          <w:rFonts w:ascii="Times New Roman" w:hAnsi="Times New Roman"/>
          <w:u w:val="single"/>
          <w:lang w:bidi="th-TH"/>
        </w:rPr>
        <w:t xml:space="preserve">                                  </w:t>
      </w:r>
      <w:r/>
    </w:p>
    <w:p>
      <w:pPr>
        <w:pStyle w:val="713"/>
        <w:jc w:val="left"/>
        <w:spacing w:before="120" w:after="120" w:line="460" w:lineRule="exact"/>
        <w:rPr>
          <w:rFonts w:ascii="Times New Roman" w:hAnsi="Times New Roman"/>
          <w:lang w:bidi="th-TH"/>
        </w:rPr>
      </w:pPr>
      <w:r>
        <w:rPr>
          <w:rFonts w:ascii="Times New Roman" w:hAnsi="Times New Roman"/>
          <w:lang w:bidi="th-TH"/>
        </w:rPr>
        <w:t xml:space="preserve">姓名： </w:t>
      </w:r>
      <w:r>
        <w:rPr>
          <w:rFonts w:ascii="Times New Roman" w:hAnsi="Times New Roman"/>
          <w:u w:val="single"/>
          <w:lang w:bidi="th-TH"/>
        </w:rPr>
        <w:t xml:space="preserve">      </w:t>
      </w:r>
      <w:r>
        <w:rPr>
          <w:rFonts w:ascii="Times New Roman" w:hAnsi="Times New Roman"/>
          <w:lang w:bidi="th-TH"/>
        </w:rPr>
        <w:t xml:space="preserve">性别：</w:t>
      </w:r>
      <w:r>
        <w:rPr>
          <w:rFonts w:ascii="Times New Roman" w:hAnsi="Times New Roman"/>
          <w:u w:val="single"/>
          <w:lang w:bidi="th-TH"/>
        </w:rPr>
        <w:t xml:space="preserve">      </w:t>
      </w:r>
      <w:r>
        <w:rPr>
          <w:rFonts w:ascii="Times New Roman" w:hAnsi="Times New Roman"/>
          <w:lang w:bidi="th-TH"/>
        </w:rPr>
        <w:t xml:space="preserve"> 年龄： </w:t>
      </w:r>
      <w:r>
        <w:rPr>
          <w:rFonts w:ascii="Times New Roman" w:hAnsi="Times New Roman"/>
          <w:u w:val="single"/>
          <w:lang w:bidi="th-TH"/>
        </w:rPr>
        <w:t xml:space="preserve">      </w:t>
      </w:r>
      <w:r>
        <w:rPr>
          <w:rFonts w:ascii="Times New Roman" w:hAnsi="Times New Roman"/>
          <w:lang w:bidi="th-TH"/>
        </w:rPr>
        <w:t xml:space="preserve">职务：</w:t>
      </w:r>
      <w:r>
        <w:rPr>
          <w:rFonts w:ascii="Times New Roman" w:hAnsi="Times New Roman"/>
          <w:u w:val="single"/>
          <w:lang w:bidi="th-TH"/>
        </w:rPr>
        <w:t xml:space="preserve">      </w:t>
      </w:r>
      <w:r/>
    </w:p>
    <w:p>
      <w:pPr>
        <w:pStyle w:val="713"/>
        <w:jc w:val="left"/>
        <w:spacing w:before="120" w:after="120" w:line="460" w:lineRule="exact"/>
        <w:rPr>
          <w:rFonts w:ascii="Times New Roman" w:hAnsi="Times New Roman"/>
          <w:lang w:bidi="th-TH"/>
        </w:rPr>
      </w:pPr>
      <w:r>
        <w:rPr>
          <w:rFonts w:ascii="Times New Roman" w:hAnsi="Times New Roman"/>
          <w:lang w:bidi="th-TH"/>
        </w:rPr>
        <w:t xml:space="preserve">系</w:t>
      </w:r>
      <w:r>
        <w:rPr>
          <w:rFonts w:ascii="Times New Roman" w:hAnsi="Times New Roman"/>
          <w:u w:val="single"/>
          <w:lang w:bidi="th-TH"/>
        </w:rPr>
        <w:t xml:space="preserve">（投标人）</w:t>
      </w:r>
      <w:r>
        <w:rPr>
          <w:rFonts w:ascii="Times New Roman" w:hAnsi="Times New Roman"/>
          <w:lang w:bidi="th-TH"/>
        </w:rPr>
        <w:t xml:space="preserve">的法定代表人。</w:t>
      </w:r>
      <w:r/>
    </w:p>
    <w:p>
      <w:pPr>
        <w:pStyle w:val="713"/>
        <w:jc w:val="left"/>
        <w:spacing w:before="120" w:after="120" w:line="460" w:lineRule="exact"/>
        <w:rPr>
          <w:rFonts w:ascii="Times New Roman" w:hAnsi="Times New Roman"/>
          <w:lang w:bidi="th-TH"/>
        </w:rPr>
      </w:pPr>
      <w:r>
        <w:rPr>
          <w:rFonts w:ascii="Times New Roman" w:hAnsi="Times New Roman"/>
          <w:lang w:bidi="th-TH"/>
        </w:rPr>
        <w:t xml:space="preserve">特此证明。</w:t>
      </w:r>
      <w:r/>
    </w:p>
    <w:p>
      <w:pPr>
        <w:pStyle w:val="713"/>
        <w:jc w:val="left"/>
        <w:spacing w:before="120" w:after="120" w:line="460" w:lineRule="exact"/>
        <w:rPr>
          <w:rFonts w:ascii="Times New Roman" w:hAnsi="Times New Roman"/>
          <w:lang w:bidi="th-TH"/>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19685</wp:posOffset>
                </wp:positionH>
                <wp:positionV relativeFrom="paragraph">
                  <wp:posOffset>113030</wp:posOffset>
                </wp:positionV>
                <wp:extent cx="1943100" cy="1089660"/>
                <wp:effectExtent l="5080" t="4445" r="13970" b="10795"/>
                <wp:wrapNone/>
                <wp:docPr id="2" name="矩形 2"/>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法定代表人身份证复印于此</w:t>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strokeweight="0.75pt">
                <v:stroke dashstyle="solid"/>
                <v:textbox inset="0,0,0,0">
                  <w:txbxContent>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法定代表人身份证复印于此</w:t>
                      </w:r>
                      <w:r/>
                    </w:p>
                  </w:txbxContent>
                </v:textbox>
              </v:shape>
            </w:pict>
          </mc:Fallback>
        </mc:AlternateContent>
      </w:r>
      <w:r/>
    </w:p>
    <w:p>
      <w:pPr>
        <w:pStyle w:val="713"/>
        <w:ind w:firstLine="4819"/>
        <w:jc w:val="left"/>
        <w:spacing w:before="120" w:after="120" w:line="460" w:lineRule="exact"/>
        <w:rPr>
          <w:rFonts w:ascii="Times New Roman" w:hAnsi="Times New Roman"/>
          <w:u w:val="single"/>
          <w:lang w:bidi="th-TH"/>
        </w:rPr>
      </w:pPr>
      <w:r>
        <w:rPr>
          <w:rFonts w:ascii="Times New Roman" w:hAnsi="Times New Roman"/>
          <w:lang w:bidi="th-TH"/>
        </w:rPr>
        <w:t xml:space="preserve">投标人（盖章）：</w:t>
      </w:r>
      <w:r>
        <w:rPr>
          <w:rFonts w:ascii="Times New Roman" w:hAnsi="Times New Roman"/>
          <w:u w:val="single"/>
          <w:lang w:bidi="th-TH"/>
        </w:rPr>
        <w:t xml:space="preserve">             </w:t>
      </w:r>
      <w:r/>
    </w:p>
    <w:p>
      <w:pPr>
        <w:pStyle w:val="713"/>
        <w:ind w:firstLine="4819"/>
        <w:jc w:val="left"/>
        <w:spacing w:before="120" w:after="120" w:line="460" w:lineRule="exact"/>
        <w:rPr>
          <w:rFonts w:ascii="Times New Roman" w:hAnsi="Times New Roman"/>
          <w:u w:val="single"/>
          <w:lang w:bidi="th-TH"/>
        </w:rPr>
      </w:pPr>
      <w:r>
        <w:rPr>
          <w:rFonts w:ascii="Times New Roman" w:hAnsi="Times New Roman"/>
          <w:lang w:bidi="th-TH"/>
        </w:rPr>
        <w:t xml:space="preserve">日期：</w:t>
      </w:r>
      <w:r>
        <w:rPr>
          <w:rFonts w:ascii="Times New Roman" w:hAnsi="Times New Roman"/>
          <w:u w:val="single"/>
          <w:lang w:bidi="th-TH"/>
        </w:rPr>
        <w:t xml:space="preserve">   年  月  日</w:t>
      </w:r>
      <w:r/>
    </w:p>
    <w:p>
      <w:pPr>
        <w:pStyle w:val="713"/>
        <w:ind w:firstLine="5508"/>
        <w:jc w:val="left"/>
        <w:spacing w:before="120" w:after="120" w:line="460" w:lineRule="exact"/>
        <w:rPr>
          <w:rFonts w:ascii="Times New Roman" w:hAnsi="Times New Roman"/>
          <w:sz w:val="24"/>
          <w:szCs w:val="24"/>
          <w:u w:val="single"/>
          <w:lang w:bidi="th-TH"/>
        </w:rPr>
      </w:pPr>
      <w:r>
        <w:rPr>
          <w:rFonts w:ascii="Times New Roman" w:hAnsi="Times New Roman"/>
          <w:sz w:val="24"/>
          <w:szCs w:val="24"/>
          <w:u w:val="single"/>
          <w:lang w:bidi="th-TH"/>
        </w:rPr>
      </w:r>
      <w:r/>
    </w:p>
    <w:p>
      <w:pPr>
        <w:pStyle w:val="713"/>
        <w:ind w:firstLine="5508"/>
        <w:jc w:val="left"/>
        <w:spacing w:before="120" w:after="120" w:line="460" w:lineRule="exact"/>
        <w:rPr>
          <w:rFonts w:ascii="Times New Roman" w:hAnsi="Times New Roman"/>
          <w:sz w:val="24"/>
          <w:szCs w:val="24"/>
          <w:u w:val="single"/>
          <w:lang w:bidi="th-TH"/>
        </w:rPr>
      </w:pPr>
      <w:r>
        <w:rPr>
          <w:rFonts w:ascii="Times New Roman" w:hAnsi="Times New Roman"/>
          <w:sz w:val="24"/>
          <w:szCs w:val="24"/>
          <w:u w:val="single"/>
          <w:lang w:bidi="th-TH"/>
        </w:rPr>
      </w:r>
      <w:r/>
    </w:p>
    <w:p>
      <w:pPr>
        <w:pStyle w:val="713"/>
        <w:ind w:firstLine="5508"/>
        <w:jc w:val="left"/>
        <w:spacing w:before="120" w:after="120" w:line="460" w:lineRule="exact"/>
        <w:rPr>
          <w:rFonts w:ascii="Times New Roman" w:hAnsi="Times New Roman"/>
          <w:sz w:val="24"/>
          <w:szCs w:val="24"/>
          <w:u w:val="single"/>
          <w:lang w:bidi="th-TH"/>
        </w:rPr>
      </w:pPr>
      <w:r>
        <w:rPr>
          <w:rFonts w:ascii="Times New Roman" w:hAnsi="Times New Roman"/>
          <w:sz w:val="24"/>
          <w:szCs w:val="24"/>
          <w:u w:val="single"/>
          <w:lang w:bidi="th-TH"/>
        </w:rPr>
      </w:r>
      <w:r/>
    </w:p>
    <w:p>
      <w:pPr>
        <w:pStyle w:val="713"/>
        <w:ind w:firstLine="5508"/>
        <w:jc w:val="left"/>
        <w:spacing w:before="120" w:after="120" w:line="460" w:lineRule="exact"/>
        <w:rPr>
          <w:rFonts w:ascii="Times New Roman" w:hAnsi="Times New Roman"/>
          <w:sz w:val="24"/>
          <w:szCs w:val="24"/>
          <w:u w:val="single"/>
          <w:lang w:bidi="th-TH"/>
        </w:rPr>
      </w:pPr>
      <w:r>
        <w:rPr>
          <w:rFonts w:ascii="Times New Roman" w:hAnsi="Times New Roman"/>
          <w:sz w:val="24"/>
          <w:szCs w:val="24"/>
          <w:u w:val="single"/>
          <w:lang w:bidi="th-TH"/>
        </w:rPr>
      </w:r>
      <w:r/>
    </w:p>
    <w:p>
      <w:pPr>
        <w:pStyle w:val="713"/>
        <w:ind w:firstLine="5508"/>
        <w:jc w:val="left"/>
        <w:spacing w:before="120" w:after="120" w:line="460" w:lineRule="exact"/>
        <w:rPr>
          <w:rFonts w:ascii="Times New Roman" w:hAnsi="Times New Roman"/>
          <w:sz w:val="24"/>
          <w:szCs w:val="24"/>
          <w:u w:val="single"/>
          <w:lang w:bidi="th-TH"/>
        </w:rPr>
      </w:pPr>
      <w:r>
        <w:rPr>
          <w:rFonts w:ascii="Times New Roman" w:hAnsi="Times New Roman"/>
          <w:sz w:val="24"/>
          <w:szCs w:val="24"/>
          <w:u w:val="single"/>
          <w:lang w:bidi="th-TH"/>
        </w:rPr>
      </w:r>
      <w:r/>
    </w:p>
    <w:p>
      <w:pPr>
        <w:pStyle w:val="713"/>
        <w:ind w:firstLine="5508"/>
        <w:jc w:val="left"/>
        <w:spacing w:before="120" w:after="120" w:line="460" w:lineRule="exact"/>
        <w:rPr>
          <w:rFonts w:ascii="Times New Roman" w:hAnsi="Times New Roman"/>
          <w:sz w:val="24"/>
          <w:szCs w:val="24"/>
          <w:u w:val="single"/>
          <w:lang w:bidi="th-TH"/>
        </w:rPr>
      </w:pPr>
      <w:r>
        <w:rPr>
          <w:rFonts w:ascii="Times New Roman" w:hAnsi="Times New Roman"/>
          <w:sz w:val="24"/>
          <w:szCs w:val="24"/>
          <w:u w:val="single"/>
          <w:lang w:bidi="th-TH"/>
        </w:rPr>
      </w:r>
      <w:r/>
    </w:p>
    <w:p>
      <w:pPr>
        <w:pStyle w:val="713"/>
        <w:ind w:firstLine="5508"/>
        <w:jc w:val="left"/>
        <w:spacing w:before="120" w:after="120" w:line="460" w:lineRule="exact"/>
        <w:rPr>
          <w:rFonts w:ascii="Times New Roman" w:hAnsi="Times New Roman"/>
          <w:sz w:val="24"/>
          <w:szCs w:val="24"/>
          <w:u w:val="single"/>
          <w:lang w:bidi="th-TH"/>
        </w:rPr>
      </w:pPr>
      <w:r>
        <w:rPr>
          <w:rFonts w:ascii="Times New Roman" w:hAnsi="Times New Roman"/>
          <w:sz w:val="24"/>
          <w:szCs w:val="24"/>
          <w:u w:val="single"/>
          <w:lang w:bidi="th-TH"/>
        </w:rPr>
      </w:r>
      <w:r/>
    </w:p>
    <w:p>
      <w:pPr>
        <w:pStyle w:val="713"/>
        <w:ind w:firstLine="5508"/>
        <w:jc w:val="left"/>
        <w:spacing w:before="120" w:after="120" w:line="460" w:lineRule="exact"/>
        <w:rPr>
          <w:rFonts w:ascii="Times New Roman" w:hAnsi="Times New Roman"/>
          <w:sz w:val="24"/>
          <w:szCs w:val="24"/>
          <w:u w:val="single"/>
          <w:lang w:bidi="th-TH"/>
        </w:rPr>
      </w:pPr>
      <w:r>
        <w:rPr>
          <w:rFonts w:ascii="Times New Roman" w:hAnsi="Times New Roman"/>
          <w:sz w:val="24"/>
          <w:szCs w:val="24"/>
          <w:u w:val="single"/>
          <w:lang w:bidi="th-TH"/>
        </w:rPr>
      </w:r>
      <w:r/>
    </w:p>
    <w:p>
      <w:pPr>
        <w:pStyle w:val="713"/>
        <w:ind w:firstLine="5508"/>
        <w:jc w:val="left"/>
        <w:spacing w:before="120" w:after="120" w:line="460" w:lineRule="exact"/>
        <w:rPr>
          <w:rFonts w:ascii="Times New Roman" w:hAnsi="Times New Roman"/>
          <w:sz w:val="24"/>
          <w:szCs w:val="24"/>
          <w:u w:val="single"/>
          <w:lang w:bidi="th-TH"/>
        </w:rPr>
      </w:pPr>
      <w:r>
        <w:rPr>
          <w:rFonts w:ascii="Times New Roman" w:hAnsi="Times New Roman"/>
          <w:sz w:val="24"/>
          <w:szCs w:val="24"/>
          <w:u w:val="single"/>
          <w:lang w:bidi="th-TH"/>
        </w:rPr>
      </w:r>
      <w:r/>
    </w:p>
    <w:p>
      <w:pPr>
        <w:pStyle w:val="713"/>
        <w:ind w:firstLine="5508"/>
        <w:jc w:val="left"/>
        <w:spacing w:before="120" w:after="120" w:line="460" w:lineRule="exact"/>
        <w:rPr>
          <w:rFonts w:ascii="Times New Roman" w:hAnsi="Times New Roman"/>
          <w:sz w:val="24"/>
          <w:szCs w:val="24"/>
          <w:u w:val="single"/>
          <w:lang w:bidi="th-TH"/>
        </w:rPr>
      </w:pPr>
      <w:r>
        <w:rPr>
          <w:rFonts w:ascii="Times New Roman" w:hAnsi="Times New Roman"/>
          <w:sz w:val="24"/>
          <w:szCs w:val="24"/>
          <w:u w:val="single"/>
          <w:lang w:bidi="th-TH"/>
        </w:rPr>
      </w:r>
      <w:r/>
    </w:p>
    <w:p>
      <w:pPr>
        <w:pStyle w:val="713"/>
        <w:ind w:firstLine="5508"/>
        <w:jc w:val="left"/>
        <w:spacing w:before="120" w:after="120" w:line="460" w:lineRule="exact"/>
        <w:rPr>
          <w:rFonts w:ascii="Times New Roman" w:hAnsi="Times New Roman"/>
          <w:sz w:val="24"/>
          <w:szCs w:val="24"/>
          <w:u w:val="single"/>
          <w:lang w:bidi="th-TH"/>
        </w:rPr>
      </w:pPr>
      <w:r>
        <w:rPr>
          <w:rFonts w:ascii="Times New Roman" w:hAnsi="Times New Roman"/>
          <w:sz w:val="24"/>
          <w:szCs w:val="24"/>
          <w:u w:val="single"/>
          <w:lang w:bidi="th-TH"/>
        </w:rPr>
      </w:r>
      <w:r/>
    </w:p>
    <w:p>
      <w:pPr>
        <w:pStyle w:val="713"/>
        <w:jc w:val="center"/>
        <w:spacing w:before="120" w:after="120" w:line="460" w:lineRule="exact"/>
        <w:rPr>
          <w:rFonts w:ascii="Times New Roman" w:hAnsi="Times New Roman"/>
          <w:b/>
          <w:szCs w:val="28"/>
        </w:rPr>
      </w:pPr>
      <w:r>
        <w:rPr>
          <w:rFonts w:ascii="Times New Roman" w:hAnsi="Times New Roman"/>
          <w:b/>
          <w:szCs w:val="28"/>
        </w:rPr>
      </w:r>
      <w:r/>
    </w:p>
    <w:p>
      <w:pPr>
        <w:pStyle w:val="713"/>
        <w:jc w:val="center"/>
        <w:spacing w:before="120" w:after="120" w:line="460" w:lineRule="exact"/>
        <w:rPr>
          <w:rFonts w:ascii="Times New Roman" w:hAnsi="Times New Roman"/>
          <w:b w:val="0"/>
          <w:bCs/>
          <w:sz w:val="32"/>
          <w:szCs w:val="32"/>
        </w:rPr>
      </w:pPr>
      <w:r>
        <w:rPr>
          <w:rFonts w:ascii="Times New Roman" w:hAnsi="Times New Roman"/>
          <w:b w:val="0"/>
          <w:bCs/>
          <w:sz w:val="32"/>
          <w:szCs w:val="32"/>
        </w:rPr>
        <w:t xml:space="preserve">投标人的法定代表人授权委托书</w:t>
      </w:r>
      <w:r/>
    </w:p>
    <w:p>
      <w:pPr>
        <w:pStyle w:val="713"/>
        <w:ind w:firstLine="420"/>
        <w:jc w:val="left"/>
        <w:spacing w:before="120" w:after="120" w:line="460" w:lineRule="exact"/>
        <w:rPr>
          <w:rFonts w:ascii="Times New Roman" w:hAnsi="Times New Roman"/>
          <w:lang w:bidi="th-TH"/>
        </w:rPr>
      </w:pPr>
      <w:r>
        <w:rPr>
          <w:rFonts w:ascii="Times New Roman" w:hAnsi="Times New Roman"/>
          <w:lang w:bidi="th-TH"/>
        </w:rPr>
        <w:t xml:space="preserve">本授权委托书声明：我</w:t>
      </w:r>
      <w:r>
        <w:rPr>
          <w:rFonts w:ascii="Times New Roman" w:hAnsi="Times New Roman"/>
          <w:u w:val="single"/>
          <w:lang w:bidi="th-TH"/>
        </w:rPr>
        <w:t xml:space="preserve">（姓名）</w:t>
      </w:r>
      <w:r>
        <w:rPr>
          <w:rFonts w:ascii="Times New Roman" w:hAnsi="Times New Roman"/>
          <w:lang w:bidi="th-TH"/>
        </w:rPr>
        <w:t xml:space="preserve">系</w:t>
      </w:r>
      <w:r>
        <w:rPr>
          <w:rFonts w:ascii="Times New Roman" w:hAnsi="Times New Roman"/>
          <w:u w:val="single"/>
          <w:lang w:bidi="th-TH"/>
        </w:rPr>
        <w:t xml:space="preserve">（投标人名称）</w:t>
      </w:r>
      <w:r>
        <w:rPr>
          <w:rFonts w:ascii="Times New Roman" w:hAnsi="Times New Roman"/>
          <w:lang w:bidi="th-TH"/>
        </w:rPr>
        <w:t xml:space="preserve">的法定代表人，现授权委托</w:t>
      </w:r>
      <w:r>
        <w:rPr>
          <w:rFonts w:ascii="Times New Roman" w:hAnsi="Times New Roman"/>
          <w:u w:val="single"/>
          <w:lang w:bidi="th-TH"/>
        </w:rPr>
        <w:t xml:space="preserve">（单位名称）</w:t>
      </w:r>
      <w:r>
        <w:rPr>
          <w:rFonts w:ascii="Times New Roman" w:hAnsi="Times New Roman"/>
          <w:lang w:bidi="th-TH"/>
        </w:rPr>
        <w:t xml:space="preserve">的</w:t>
      </w:r>
      <w:r>
        <w:rPr>
          <w:rFonts w:ascii="Times New Roman" w:hAnsi="Times New Roman"/>
          <w:u w:val="single"/>
          <w:lang w:bidi="th-TH"/>
        </w:rPr>
        <w:t xml:space="preserve">（姓名）</w:t>
      </w:r>
      <w:r>
        <w:rPr>
          <w:rFonts w:ascii="Times New Roman" w:hAnsi="Times New Roman"/>
          <w:lang w:bidi="th-TH"/>
        </w:rPr>
        <w:t xml:space="preserve">为我公司的代理人，以本公司的名义参加（</w:t>
      </w:r>
      <w:r>
        <w:rPr>
          <w:rFonts w:ascii="Times New Roman" w:hAnsi="Times New Roman"/>
          <w:u w:val="single"/>
          <w:lang w:bidi="th-TH"/>
        </w:rPr>
        <w:t xml:space="preserve">招标项目名称）</w:t>
      </w:r>
      <w:r>
        <w:rPr>
          <w:rFonts w:ascii="Times New Roman" w:hAnsi="Times New Roman"/>
          <w:lang w:bidi="th-TH"/>
        </w:rPr>
        <w:t xml:space="preserve">的投标活动。代理人在开标、评标、合同谈判过程中所签署的一切文件和处理与之有关的一切事务，我均予以承认。</w:t>
      </w:r>
      <w:r/>
    </w:p>
    <w:p>
      <w:pPr>
        <w:pStyle w:val="713"/>
        <w:jc w:val="left"/>
        <w:spacing w:before="120" w:after="120" w:line="460" w:lineRule="exact"/>
        <w:rPr>
          <w:rFonts w:ascii="Times New Roman" w:hAnsi="Times New Roman"/>
          <w:lang w:bidi="th-TH"/>
        </w:rPr>
      </w:pPr>
      <w:r>
        <w:rPr>
          <w:rFonts w:ascii="Times New Roman" w:hAnsi="Times New Roman"/>
          <w:lang w:bidi="th-TH"/>
        </w:rPr>
        <w:t xml:space="preserve">代理人：                性别：           年龄：        </w:t>
      </w:r>
      <w:r/>
    </w:p>
    <w:p>
      <w:pPr>
        <w:pStyle w:val="713"/>
        <w:jc w:val="left"/>
        <w:spacing w:before="120" w:after="120" w:line="460" w:lineRule="exact"/>
        <w:rPr>
          <w:rFonts w:ascii="Times New Roman" w:hAnsi="Times New Roman"/>
          <w:lang w:bidi="th-TH"/>
        </w:rPr>
      </w:pPr>
      <w:r>
        <w:rPr>
          <w:rFonts w:ascii="Times New Roman" w:hAnsi="Times New Roman"/>
          <w:lang w:bidi="th-TH"/>
        </w:rPr>
        <w:t xml:space="preserve">单位：                  部门：           职务：</w:t>
      </w:r>
      <w:r/>
    </w:p>
    <w:p>
      <w:pPr>
        <w:pStyle w:val="713"/>
        <w:jc w:val="left"/>
        <w:spacing w:before="120" w:after="120" w:line="460" w:lineRule="exact"/>
        <w:rPr>
          <w:rFonts w:ascii="Times New Roman" w:hAnsi="Times New Roman"/>
          <w:lang w:bidi="th-TH"/>
        </w:rPr>
      </w:pPr>
      <w:r>
        <w:rPr>
          <w:rFonts w:ascii="Times New Roman" w:hAnsi="Times New Roman"/>
          <w:lang w:bidi="th-TH"/>
        </w:rPr>
        <w:t xml:space="preserve">代理人无转委托权。特此委托。</w:t>
      </w:r>
      <w:r/>
    </w:p>
    <w:p>
      <w:pPr>
        <w:pStyle w:val="713"/>
        <w:jc w:val="left"/>
        <w:spacing w:before="120" w:after="120" w:line="460" w:lineRule="exact"/>
        <w:rPr>
          <w:rFonts w:ascii="Times New Roman" w:hAnsi="Times New Roman"/>
          <w:lang w:bidi="th-TH"/>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wp:posOffset>
                </wp:positionH>
                <wp:positionV relativeFrom="paragraph">
                  <wp:posOffset>22860</wp:posOffset>
                </wp:positionV>
                <wp:extent cx="1943100" cy="1089660"/>
                <wp:effectExtent l="5080" t="4445" r="13970" b="10795"/>
                <wp:wrapNone/>
                <wp:docPr id="3" name="矩形 3"/>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hAnsi="宋体"/>
                                <w:sz w:val="24"/>
                              </w:rPr>
                            </w:pPr>
                            <w:r>
                              <w:rPr>
                                <w:rFonts w:ascii="宋体" w:hAnsi="宋体"/>
                                <w:sz w:val="24"/>
                              </w:rPr>
                            </w:r>
                            <w:r/>
                          </w:p>
                          <w:p>
                            <w:pPr>
                              <w:jc w:val="center"/>
                              <w:rPr>
                                <w:rFonts w:ascii="宋体" w:hAnsi="宋体"/>
                              </w:rPr>
                            </w:pPr>
                            <w:r>
                              <w:rPr>
                                <w:rFonts w:hint="eastAsia" w:ascii="宋体" w:hAnsi="宋体"/>
                              </w:rPr>
                              <w:t xml:space="preserve">法定代表人及授权委托人身份证复印于此</w:t>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strokeweight="0.75pt">
                <v:stroke dashstyle="solid"/>
                <v:textbox inset="0,0,0,0">
                  <w:txbxContent>
                    <w:p>
                      <w:pPr>
                        <w:jc w:val="center"/>
                        <w:rPr>
                          <w:rFonts w:ascii="宋体" w:hAnsi="宋体"/>
                          <w:sz w:val="24"/>
                        </w:rPr>
                      </w:pPr>
                      <w:r>
                        <w:rPr>
                          <w:rFonts w:ascii="宋体" w:hAnsi="宋体"/>
                          <w:sz w:val="24"/>
                        </w:rPr>
                      </w:r>
                      <w:r/>
                    </w:p>
                    <w:p>
                      <w:pPr>
                        <w:jc w:val="center"/>
                        <w:rPr>
                          <w:rFonts w:ascii="宋体" w:hAnsi="宋体"/>
                        </w:rPr>
                      </w:pPr>
                      <w:r>
                        <w:rPr>
                          <w:rFonts w:hint="eastAsia" w:ascii="宋体" w:hAnsi="宋体"/>
                        </w:rPr>
                        <w:t xml:space="preserve">法定代表人及授权委托人身份证复印于此</w:t>
                      </w:r>
                      <w:r/>
                    </w:p>
                  </w:txbxContent>
                </v:textbox>
              </v:shape>
            </w:pict>
          </mc:Fallback>
        </mc:AlternateContent>
      </w:r>
      <w:r/>
    </w:p>
    <w:p>
      <w:pPr>
        <w:pStyle w:val="713"/>
        <w:jc w:val="left"/>
        <w:spacing w:before="120" w:after="120" w:line="460" w:lineRule="exact"/>
        <w:rPr>
          <w:rFonts w:ascii="Times New Roman" w:hAnsi="Times New Roman"/>
          <w:lang w:bidi="th-TH"/>
        </w:rPr>
      </w:pPr>
      <w:r>
        <w:rPr>
          <w:rFonts w:ascii="Times New Roman" w:hAnsi="Times New Roman"/>
          <w:lang w:bidi="th-TH"/>
        </w:rPr>
      </w:r>
      <w:r/>
    </w:p>
    <w:p>
      <w:pPr>
        <w:pStyle w:val="713"/>
        <w:jc w:val="left"/>
        <w:spacing w:before="120" w:after="120" w:line="460" w:lineRule="exact"/>
        <w:rPr>
          <w:rFonts w:ascii="Times New Roman" w:hAnsi="Times New Roman"/>
          <w:lang w:bidi="th-TH"/>
        </w:rPr>
      </w:pPr>
      <w:r>
        <w:rPr>
          <w:rFonts w:ascii="Times New Roman" w:hAnsi="Times New Roman"/>
          <w:lang w:bidi="th-TH"/>
        </w:rPr>
      </w:r>
      <w:r/>
    </w:p>
    <w:p>
      <w:pPr>
        <w:pStyle w:val="713"/>
        <w:jc w:val="left"/>
        <w:spacing w:before="120" w:after="120" w:line="460" w:lineRule="exact"/>
        <w:rPr>
          <w:rFonts w:ascii="Times New Roman" w:hAnsi="Times New Roman"/>
          <w:u w:val="single"/>
          <w:lang w:bidi="th-TH"/>
        </w:rPr>
      </w:pPr>
      <w:r>
        <w:rPr>
          <w:rFonts w:ascii="Times New Roman" w:hAnsi="Times New Roman"/>
          <w:lang w:bidi="th-TH"/>
        </w:rPr>
        <w:t xml:space="preserve">投标人（盖章）：</w:t>
      </w:r>
      <w:r>
        <w:rPr>
          <w:rFonts w:ascii="Times New Roman" w:hAnsi="Times New Roman"/>
          <w:u w:val="single"/>
          <w:lang w:bidi="th-TH"/>
        </w:rPr>
        <w:t xml:space="preserve">                 </w:t>
      </w:r>
      <w:r/>
    </w:p>
    <w:p>
      <w:pPr>
        <w:pStyle w:val="713"/>
        <w:jc w:val="left"/>
        <w:spacing w:before="120" w:after="120" w:line="460" w:lineRule="exact"/>
        <w:rPr>
          <w:rFonts w:ascii="Times New Roman" w:hAnsi="Times New Roman"/>
          <w:lang w:bidi="th-TH"/>
        </w:rPr>
      </w:pPr>
      <w:r>
        <w:rPr>
          <w:rFonts w:ascii="Times New Roman" w:hAnsi="Times New Roman"/>
          <w:lang w:bidi="th-TH"/>
        </w:rPr>
        <w:t xml:space="preserve">法定代表人（签字或盖章）：</w:t>
      </w:r>
      <w:r>
        <w:rPr>
          <w:rFonts w:ascii="Times New Roman" w:hAnsi="Times New Roman"/>
          <w:u w:val="single"/>
          <w:lang w:bidi="th-TH"/>
        </w:rPr>
        <w:t xml:space="preserve">        </w:t>
      </w:r>
      <w:r/>
    </w:p>
    <w:p>
      <w:pPr>
        <w:pStyle w:val="713"/>
        <w:jc w:val="left"/>
        <w:spacing w:before="120" w:after="120" w:line="460" w:lineRule="exact"/>
        <w:rPr>
          <w:rFonts w:ascii="Times New Roman" w:hAnsi="Times New Roman"/>
          <w:u w:val="single"/>
          <w:lang w:bidi="th-TH"/>
        </w:rPr>
      </w:pPr>
      <w:r>
        <w:rPr>
          <w:rFonts w:ascii="Times New Roman" w:hAnsi="Times New Roman"/>
          <w:lang w:bidi="th-TH"/>
        </w:rPr>
        <w:t xml:space="preserve">日期：</w:t>
      </w:r>
      <w:r>
        <w:rPr>
          <w:rFonts w:ascii="Times New Roman" w:hAnsi="Times New Roman"/>
          <w:u w:val="single"/>
          <w:lang w:bidi="th-TH"/>
        </w:rPr>
        <w:t xml:space="preserve">   年  月  日</w:t>
      </w:r>
      <w:r/>
    </w:p>
    <w:p>
      <w:pPr>
        <w:pStyle w:val="710"/>
        <w:ind w:left="1470" w:right="1470"/>
        <w:rPr>
          <w:sz w:val="32"/>
          <w:szCs w:val="32"/>
        </w:rPr>
      </w:pPr>
      <w:r>
        <w:rPr>
          <w:sz w:val="32"/>
          <w:szCs w:val="32"/>
        </w:rPr>
      </w:r>
      <w:r/>
    </w:p>
    <w:p>
      <w:pPr>
        <w:pStyle w:val="710"/>
        <w:ind w:left="1470" w:right="1470"/>
        <w:rPr>
          <w:sz w:val="32"/>
          <w:szCs w:val="32"/>
        </w:rPr>
      </w:pPr>
      <w:r>
        <w:rPr>
          <w:sz w:val="32"/>
          <w:szCs w:val="32"/>
        </w:rPr>
      </w:r>
      <w:r/>
    </w:p>
    <w:p>
      <w:pPr>
        <w:pStyle w:val="710"/>
        <w:ind w:left="1470" w:right="1470"/>
        <w:rPr>
          <w:sz w:val="32"/>
          <w:szCs w:val="32"/>
        </w:rPr>
      </w:pPr>
      <w:r>
        <w:rPr>
          <w:sz w:val="32"/>
          <w:szCs w:val="32"/>
        </w:rPr>
      </w:r>
      <w:r/>
    </w:p>
    <w:p>
      <w:pPr>
        <w:pStyle w:val="710"/>
        <w:ind w:left="1470" w:right="1470"/>
        <w:rPr>
          <w:sz w:val="32"/>
          <w:szCs w:val="32"/>
        </w:rPr>
      </w:pPr>
      <w:r>
        <w:rPr>
          <w:sz w:val="32"/>
          <w:szCs w:val="32"/>
        </w:rPr>
      </w:r>
      <w:r/>
    </w:p>
    <w:p>
      <w:pPr>
        <w:pStyle w:val="710"/>
        <w:ind w:left="1470" w:right="1470"/>
        <w:rPr>
          <w:sz w:val="32"/>
          <w:szCs w:val="32"/>
        </w:rPr>
      </w:pPr>
      <w:r>
        <w:rPr>
          <w:sz w:val="32"/>
          <w:szCs w:val="32"/>
        </w:rPr>
      </w:r>
      <w:r/>
    </w:p>
    <w:p>
      <w:pPr>
        <w:pStyle w:val="710"/>
        <w:ind w:left="1470" w:right="1470"/>
        <w:rPr>
          <w:sz w:val="32"/>
          <w:szCs w:val="32"/>
        </w:rPr>
      </w:pPr>
      <w:r>
        <w:rPr>
          <w:sz w:val="32"/>
          <w:szCs w:val="32"/>
        </w:rPr>
      </w:r>
      <w:r/>
    </w:p>
    <w:p>
      <w:pPr>
        <w:pStyle w:val="710"/>
        <w:ind w:left="0" w:right="1470"/>
        <w:rPr>
          <w:sz w:val="32"/>
          <w:szCs w:val="32"/>
        </w:rPr>
      </w:pPr>
      <w:r>
        <w:rPr>
          <w:sz w:val="32"/>
          <w:szCs w:val="32"/>
        </w:rPr>
      </w:r>
      <w:r/>
    </w:p>
    <w:p>
      <w:pPr>
        <w:rPr>
          <w:sz w:val="32"/>
          <w:szCs w:val="32"/>
        </w:rPr>
      </w:pPr>
      <w:r>
        <w:rPr>
          <w:sz w:val="32"/>
          <w:szCs w:val="32"/>
        </w:rPr>
        <w:br w:type="page" w:clear="all"/>
      </w:r>
      <w:r/>
    </w:p>
    <w:p>
      <w:pPr>
        <w:pStyle w:val="710"/>
        <w:ind w:left="1470" w:right="1470"/>
        <w:rPr>
          <w:sz w:val="32"/>
          <w:szCs w:val="32"/>
        </w:rPr>
      </w:pPr>
      <w:r>
        <w:rPr>
          <w:sz w:val="32"/>
          <w:szCs w:val="32"/>
        </w:rPr>
      </w:r>
      <w:r/>
    </w:p>
    <w:p>
      <w:pPr>
        <w:jc w:val="center"/>
        <w:spacing w:before="50" w:after="50"/>
        <w:rPr>
          <w:sz w:val="32"/>
          <w:szCs w:val="32"/>
        </w:rPr>
      </w:pPr>
      <w:r>
        <w:rPr>
          <w:sz w:val="32"/>
          <w:szCs w:val="32"/>
        </w:rPr>
        <w:t xml:space="preserve">五、投标函（格式）</w:t>
      </w:r>
      <w:r/>
    </w:p>
    <w:p>
      <w:pPr>
        <w:pStyle w:val="941"/>
        <w:ind w:firstLine="420"/>
        <w:spacing w:before="0" w:after="0" w:line="420" w:lineRule="exact"/>
        <w:rPr>
          <w:rFonts w:ascii="Times New Roman" w:hAnsi="Times New Roman"/>
          <w:sz w:val="21"/>
          <w:szCs w:val="21"/>
        </w:rPr>
      </w:pPr>
      <w:r>
        <w:rPr>
          <w:rFonts w:ascii="Times New Roman" w:hAnsi="Times New Roman"/>
          <w:sz w:val="21"/>
          <w:szCs w:val="21"/>
        </w:rPr>
        <w:t xml:space="preserve">致：盐城市大丰生态环境局根据贵方的</w:t>
      </w:r>
      <w:r>
        <w:rPr>
          <w:rFonts w:ascii="Times New Roman" w:hAnsi="Times New Roman"/>
          <w:b/>
          <w:sz w:val="21"/>
          <w:szCs w:val="21"/>
          <w:u w:val="single"/>
        </w:rPr>
        <w:t xml:space="preserve">           </w:t>
      </w:r>
      <w:r>
        <w:rPr>
          <w:rFonts w:ascii="Times New Roman" w:hAnsi="Times New Roman"/>
          <w:sz w:val="21"/>
          <w:szCs w:val="21"/>
        </w:rPr>
        <w:t xml:space="preserve">号招标文件，正式授权下述签字人</w:t>
      </w:r>
      <w:r>
        <w:rPr>
          <w:rFonts w:ascii="Times New Roman" w:hAnsi="Times New Roman"/>
          <w:b/>
          <w:bCs/>
          <w:sz w:val="21"/>
          <w:szCs w:val="21"/>
          <w:u w:val="single"/>
        </w:rPr>
        <w:t xml:space="preserve">                 </w:t>
      </w:r>
      <w:r>
        <w:rPr>
          <w:rFonts w:ascii="Times New Roman" w:hAnsi="Times New Roman"/>
          <w:sz w:val="21"/>
          <w:szCs w:val="21"/>
        </w:rPr>
        <w:t xml:space="preserve"> (姓名)代表我方</w:t>
      </w:r>
      <w:r>
        <w:rPr>
          <w:rFonts w:ascii="Times New Roman" w:hAnsi="Times New Roman"/>
          <w:sz w:val="21"/>
          <w:szCs w:val="21"/>
          <w:u w:val="single"/>
        </w:rPr>
        <w:t xml:space="preserve">              </w:t>
      </w:r>
      <w:r>
        <w:rPr>
          <w:rFonts w:ascii="Times New Roman" w:hAnsi="Times New Roman"/>
          <w:sz w:val="21"/>
          <w:szCs w:val="21"/>
        </w:rPr>
        <w:t xml:space="preserve">（投标人的名称），全权处理本次项目投标的有关事宜。</w:t>
      </w:r>
      <w:r/>
    </w:p>
    <w:p>
      <w:pPr>
        <w:pStyle w:val="941"/>
        <w:ind w:firstLine="420"/>
        <w:spacing w:before="0" w:after="0" w:line="420" w:lineRule="exact"/>
        <w:rPr>
          <w:rFonts w:ascii="Times New Roman" w:hAnsi="Times New Roman"/>
          <w:sz w:val="21"/>
          <w:szCs w:val="21"/>
        </w:rPr>
      </w:pPr>
      <w:r>
        <w:rPr>
          <w:rFonts w:ascii="Times New Roman" w:hAnsi="Times New Roman"/>
          <w:sz w:val="21"/>
          <w:szCs w:val="21"/>
        </w:rPr>
        <w:t xml:space="preserve">据此函，</w:t>
      </w:r>
      <w:r>
        <w:rPr>
          <w:rFonts w:ascii="Times New Roman" w:hAnsi="Times New Roman"/>
          <w:sz w:val="21"/>
          <w:szCs w:val="21"/>
          <w:u w:val="single"/>
        </w:rPr>
        <w:t xml:space="preserve">               </w:t>
      </w:r>
      <w:r>
        <w:rPr>
          <w:rFonts w:ascii="Times New Roman" w:hAnsi="Times New Roman"/>
          <w:sz w:val="21"/>
          <w:szCs w:val="21"/>
        </w:rPr>
        <w:t xml:space="preserve">签字人兹宣布同意如下：</w:t>
      </w:r>
      <w:r/>
    </w:p>
    <w:p>
      <w:pPr>
        <w:pStyle w:val="941"/>
        <w:spacing w:before="0" w:after="0" w:line="420" w:lineRule="exact"/>
        <w:rPr>
          <w:rFonts w:ascii="Times New Roman" w:hAnsi="Times New Roman"/>
          <w:sz w:val="21"/>
          <w:szCs w:val="21"/>
        </w:rPr>
      </w:pPr>
      <w:r>
        <w:rPr>
          <w:rFonts w:ascii="Times New Roman" w:hAnsi="Times New Roman"/>
          <w:sz w:val="21"/>
          <w:szCs w:val="21"/>
        </w:rPr>
        <w:t xml:space="preserve">1.按招标文件规定的各项要求，向买方提供所需货物与服务。</w:t>
      </w:r>
      <w:r/>
    </w:p>
    <w:p>
      <w:pPr>
        <w:pStyle w:val="941"/>
        <w:ind w:firstLine="420"/>
        <w:spacing w:before="0" w:after="0" w:line="420" w:lineRule="exact"/>
        <w:rPr>
          <w:rFonts w:ascii="Times New Roman" w:hAnsi="Times New Roman"/>
          <w:sz w:val="21"/>
          <w:szCs w:val="21"/>
        </w:rPr>
      </w:pPr>
      <w:r>
        <w:rPr>
          <w:rFonts w:ascii="Times New Roman" w:hAnsi="Times New Roman"/>
          <w:sz w:val="21"/>
          <w:szCs w:val="21"/>
        </w:rPr>
        <w:t xml:space="preserve">2.我们完全理解贵方不一定将合同授予最低报价的投标人。</w:t>
      </w:r>
      <w:r/>
    </w:p>
    <w:p>
      <w:pPr>
        <w:pStyle w:val="941"/>
        <w:ind w:firstLine="420"/>
        <w:spacing w:before="0" w:after="0" w:line="420" w:lineRule="exact"/>
        <w:rPr>
          <w:rFonts w:ascii="Times New Roman" w:hAnsi="Times New Roman"/>
          <w:sz w:val="21"/>
          <w:szCs w:val="21"/>
        </w:rPr>
      </w:pPr>
      <w:r>
        <w:rPr>
          <w:rFonts w:ascii="Times New Roman" w:hAnsi="Times New Roman"/>
          <w:sz w:val="21"/>
          <w:szCs w:val="21"/>
        </w:rPr>
        <w:t xml:space="preserve">3.我们已详细审核全部招标文件及其有效补充文件，我们知道必须放弃提出含糊不清或误解问题的权利。</w:t>
      </w:r>
      <w:r/>
    </w:p>
    <w:p>
      <w:pPr>
        <w:pStyle w:val="941"/>
        <w:spacing w:before="0" w:after="0" w:line="420" w:lineRule="exact"/>
        <w:rPr>
          <w:rFonts w:ascii="Times New Roman" w:hAnsi="Times New Roman"/>
          <w:sz w:val="21"/>
          <w:szCs w:val="21"/>
        </w:rPr>
      </w:pPr>
      <w:r>
        <w:rPr>
          <w:rFonts w:ascii="Times New Roman" w:hAnsi="Times New Roman"/>
          <w:sz w:val="21"/>
          <w:szCs w:val="21"/>
        </w:rPr>
        <w:t xml:space="preserve">4.我们同意从规定的开标日期起遵循本投标文件，并在规定的投标有效期期满之前均具有约束力。</w:t>
      </w:r>
      <w:r/>
    </w:p>
    <w:p>
      <w:pPr>
        <w:pStyle w:val="941"/>
        <w:spacing w:before="0" w:after="0" w:line="420" w:lineRule="exact"/>
        <w:rPr>
          <w:rFonts w:ascii="Times New Roman" w:hAnsi="Times New Roman"/>
          <w:sz w:val="21"/>
          <w:szCs w:val="21"/>
        </w:rPr>
      </w:pPr>
      <w:r>
        <w:rPr>
          <w:rFonts w:ascii="Times New Roman" w:hAnsi="Times New Roman"/>
          <w:sz w:val="21"/>
          <w:szCs w:val="21"/>
        </w:rPr>
        <w:t xml:space="preserve">5.如果在开标后规定的投标有效期内撤回投标或中标后拒绝签订合同，则按照国家相关法律法规受到相应处罚。</w:t>
      </w:r>
      <w:r/>
    </w:p>
    <w:p>
      <w:pPr>
        <w:pStyle w:val="941"/>
        <w:spacing w:before="0" w:after="0" w:line="420" w:lineRule="exact"/>
        <w:rPr>
          <w:rFonts w:ascii="Times New Roman" w:hAnsi="Times New Roman"/>
          <w:sz w:val="21"/>
          <w:szCs w:val="21"/>
        </w:rPr>
      </w:pPr>
      <w:r>
        <w:rPr>
          <w:rFonts w:ascii="Times New Roman" w:hAnsi="Times New Roman"/>
          <w:sz w:val="21"/>
          <w:szCs w:val="21"/>
        </w:rPr>
        <w:t xml:space="preserve">6.同意向贵方提供贵方可能另外要求的与投标有关的任何证据或资料，并保证我方已提供和将要提供的文件是真实的、准确的。</w:t>
      </w:r>
      <w:r/>
    </w:p>
    <w:p>
      <w:pPr>
        <w:pStyle w:val="941"/>
        <w:spacing w:before="0" w:after="0" w:line="420" w:lineRule="exact"/>
        <w:rPr>
          <w:rFonts w:ascii="Times New Roman" w:hAnsi="Times New Roman"/>
          <w:sz w:val="21"/>
          <w:szCs w:val="21"/>
        </w:rPr>
      </w:pPr>
      <w:r>
        <w:rPr>
          <w:rFonts w:ascii="Times New Roman" w:hAnsi="Times New Roman"/>
          <w:sz w:val="21"/>
          <w:szCs w:val="21"/>
        </w:rPr>
        <w:t xml:space="preserve">7.一旦我方中标,我方将根据招标文件的规定，严格履行合同的责任和义务,并保证在招标文件规定的时间完成项目，交付买方验收、使用。</w:t>
      </w:r>
      <w:r/>
    </w:p>
    <w:p>
      <w:pPr>
        <w:pStyle w:val="941"/>
        <w:ind w:left="425" w:firstLine="0"/>
        <w:spacing w:before="0" w:after="0" w:line="420" w:lineRule="exact"/>
        <w:rPr>
          <w:rFonts w:ascii="Times New Roman" w:hAnsi="Times New Roman"/>
          <w:sz w:val="21"/>
          <w:szCs w:val="21"/>
        </w:rPr>
      </w:pPr>
      <w:r>
        <w:rPr>
          <w:rFonts w:ascii="Times New Roman" w:hAnsi="Times New Roman"/>
          <w:sz w:val="21"/>
          <w:szCs w:val="21"/>
        </w:rPr>
        <w:t xml:space="preserve">8.与本投标有关的正式通讯地址为：</w:t>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t xml:space="preserve">地          址：</w:t>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t xml:space="preserve">邮          编：</w:t>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t xml:space="preserve">电          话：</w:t>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t xml:space="preserve">传          真：</w:t>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t xml:space="preserve">投标人开户行：</w:t>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t xml:space="preserve">账          户： </w:t>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t xml:space="preserve">投标人授权代表姓名（签字）： </w:t>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t xml:space="preserve">投标人名称（公章）： </w:t>
      </w:r>
      <w:r/>
    </w:p>
    <w:p>
      <w:pPr>
        <w:pStyle w:val="941"/>
        <w:ind w:left="420" w:firstLine="420"/>
        <w:spacing w:before="0" w:after="0" w:line="420" w:lineRule="exact"/>
        <w:rPr>
          <w:rFonts w:ascii="Times New Roman" w:hAnsi="Times New Roman"/>
          <w:sz w:val="21"/>
          <w:szCs w:val="21"/>
        </w:rPr>
      </w:pPr>
      <w:r>
        <w:rPr>
          <w:rFonts w:ascii="Times New Roman" w:hAnsi="Times New Roman"/>
          <w:sz w:val="21"/>
          <w:szCs w:val="21"/>
        </w:rPr>
        <w:t xml:space="preserve">日           期：________年____月____日</w:t>
      </w:r>
      <w:r/>
    </w:p>
    <w:p>
      <w:pPr>
        <w:jc w:val="left"/>
        <w:spacing w:before="50" w:after="145"/>
        <w:rPr>
          <w:sz w:val="24"/>
          <w:szCs w:val="20"/>
        </w:rPr>
      </w:pPr>
      <w:r>
        <w:rPr>
          <w:sz w:val="44"/>
        </w:rPr>
        <w:t xml:space="preserve">          </w:t>
      </w:r>
      <w:r/>
    </w:p>
    <w:p>
      <w:pPr>
        <w:pStyle w:val="710"/>
        <w:ind w:left="1470" w:right="1470"/>
      </w:pPr>
      <w:r/>
      <w:r/>
    </w:p>
    <w:p>
      <w:pPr>
        <w:jc w:val="center"/>
        <w:spacing w:before="50" w:after="50"/>
        <w:rPr>
          <w:sz w:val="32"/>
          <w:szCs w:val="32"/>
        </w:rPr>
      </w:pPr>
      <w:r>
        <w:rPr>
          <w:sz w:val="32"/>
          <w:szCs w:val="32"/>
        </w:rPr>
        <w:t xml:space="preserve">六、开标一览表（格式）</w:t>
      </w:r>
      <w:r/>
    </w:p>
    <w:p>
      <w:pPr>
        <w:jc w:val="center"/>
        <w:spacing w:before="50" w:after="50"/>
        <w:rPr>
          <w:sz w:val="32"/>
          <w:szCs w:val="32"/>
        </w:rPr>
      </w:pPr>
      <w:r>
        <w:rPr>
          <w:sz w:val="32"/>
          <w:szCs w:val="32"/>
        </w:rPr>
      </w:r>
      <w:r/>
    </w:p>
    <w:tbl>
      <w:tblPr>
        <w:tblStyle w:val="698"/>
        <w:tblW w:w="957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6879"/>
      </w:tblGrid>
      <w:tr>
        <w:trPr>
          <w:cantSplit/>
          <w:trHeight w:val="789"/>
        </w:trPr>
        <w:tc>
          <w:tcPr>
            <w:tcW w:w="2700" w:type="dxa"/>
            <w:vAlign w:val="center"/>
            <w:textDirection w:val="lrTb"/>
            <w:noWrap w:val="false"/>
          </w:tcPr>
          <w:p>
            <w:pPr>
              <w:ind w:firstLine="420"/>
              <w:rPr>
                <w:szCs w:val="28"/>
              </w:rPr>
            </w:pPr>
            <w:r>
              <w:rPr>
                <w:szCs w:val="28"/>
              </w:rPr>
              <w:t xml:space="preserve">项 目 编 号</w:t>
            </w:r>
            <w:r/>
          </w:p>
        </w:tc>
        <w:tc>
          <w:tcPr>
            <w:tcW w:w="6879" w:type="dxa"/>
            <w:vAlign w:val="center"/>
            <w:textDirection w:val="lrTb"/>
            <w:noWrap w:val="false"/>
          </w:tcPr>
          <w:p>
            <w:pPr>
              <w:pStyle w:val="689"/>
              <w:ind w:firstLine="689"/>
              <w:jc w:val="both"/>
              <w:rPr>
                <w:rFonts w:ascii="Times New Roman" w:hAnsi="Times New Roman" w:eastAsia="宋体" w:cs="Times New Roman"/>
                <w:sz w:val="28"/>
                <w:szCs w:val="28"/>
              </w:rPr>
            </w:pPr>
            <w:r>
              <w:rPr>
                <w:rFonts w:ascii="Times New Roman" w:hAnsi="Times New Roman" w:eastAsia="宋体" w:cs="Times New Roman"/>
                <w:sz w:val="28"/>
                <w:szCs w:val="28"/>
              </w:rPr>
            </w:r>
            <w:r/>
          </w:p>
        </w:tc>
      </w:tr>
      <w:tr>
        <w:trPr>
          <w:cantSplit/>
          <w:trHeight w:val="789"/>
        </w:trPr>
        <w:tc>
          <w:tcPr>
            <w:tcW w:w="2700" w:type="dxa"/>
            <w:vAlign w:val="center"/>
            <w:textDirection w:val="lrTb"/>
            <w:noWrap w:val="false"/>
          </w:tcPr>
          <w:p>
            <w:pPr>
              <w:ind w:firstLine="420"/>
              <w:rPr>
                <w:szCs w:val="28"/>
              </w:rPr>
            </w:pPr>
            <w:r>
              <w:rPr>
                <w:szCs w:val="28"/>
              </w:rPr>
              <w:t xml:space="preserve">项 目 名 称</w:t>
            </w:r>
            <w:r/>
          </w:p>
        </w:tc>
        <w:tc>
          <w:tcPr>
            <w:tcW w:w="6879" w:type="dxa"/>
            <w:vAlign w:val="center"/>
            <w:textDirection w:val="lrTb"/>
            <w:noWrap w:val="false"/>
          </w:tcPr>
          <w:p>
            <w:pPr>
              <w:pStyle w:val="689"/>
              <w:jc w:val="both"/>
              <w:rPr>
                <w:rFonts w:ascii="Times New Roman" w:hAnsi="Times New Roman" w:eastAsia="宋体" w:cs="Times New Roman"/>
                <w:sz w:val="28"/>
                <w:szCs w:val="28"/>
              </w:rPr>
            </w:pPr>
            <w:r>
              <w:rPr>
                <w:rFonts w:ascii="Times New Roman" w:hAnsi="Times New Roman" w:eastAsia="宋体" w:cs="Times New Roman"/>
                <w:sz w:val="28"/>
                <w:szCs w:val="28"/>
              </w:rPr>
              <w:t xml:space="preserve">盐城市大丰区大气环境质量管控服务项目</w:t>
            </w:r>
            <w:r/>
          </w:p>
        </w:tc>
      </w:tr>
      <w:tr>
        <w:trPr>
          <w:cantSplit/>
          <w:trHeight w:val="821"/>
        </w:trPr>
        <w:tc>
          <w:tcPr>
            <w:gridSpan w:val="2"/>
            <w:tcW w:w="9579" w:type="dxa"/>
            <w:vAlign w:val="center"/>
            <w:textDirection w:val="lrTb"/>
            <w:noWrap w:val="false"/>
          </w:tcPr>
          <w:p>
            <w:pPr>
              <w:rPr>
                <w:szCs w:val="28"/>
              </w:rPr>
            </w:pPr>
            <w:r>
              <w:rPr>
                <w:b/>
                <w:bCs/>
                <w:szCs w:val="28"/>
              </w:rPr>
              <w:t xml:space="preserve">项目投标报价：（大写）</w:t>
            </w:r>
            <w:r>
              <w:rPr>
                <w:b/>
                <w:bCs/>
                <w:szCs w:val="28"/>
                <w:u w:val="single"/>
              </w:rPr>
              <w:t xml:space="preserve">                       </w:t>
            </w:r>
            <w:r>
              <w:rPr>
                <w:b/>
                <w:bCs/>
                <w:szCs w:val="28"/>
              </w:rPr>
              <w:t xml:space="preserve">，小写：</w:t>
            </w:r>
            <w:r>
              <w:rPr>
                <w:b/>
                <w:bCs/>
                <w:szCs w:val="28"/>
                <w:u w:val="single"/>
              </w:rPr>
              <w:t xml:space="preserve">                     </w:t>
            </w:r>
            <w:r>
              <w:rPr>
                <w:b/>
                <w:bCs/>
                <w:szCs w:val="28"/>
              </w:rPr>
              <w:t xml:space="preserve"> 元</w:t>
            </w:r>
            <w:r/>
          </w:p>
        </w:tc>
      </w:tr>
      <w:tr>
        <w:trPr>
          <w:cantSplit/>
          <w:trHeight w:val="821"/>
        </w:trPr>
        <w:tc>
          <w:tcPr>
            <w:gridSpan w:val="2"/>
            <w:tcW w:w="9579" w:type="dxa"/>
            <w:vAlign w:val="center"/>
            <w:textDirection w:val="lrTb"/>
            <w:noWrap w:val="false"/>
          </w:tcPr>
          <w:p>
            <w:pPr>
              <w:rPr>
                <w:b/>
                <w:bCs/>
                <w:szCs w:val="28"/>
              </w:rPr>
            </w:pPr>
            <w:r>
              <w:rPr>
                <w:b/>
                <w:bCs/>
                <w:szCs w:val="28"/>
              </w:rPr>
              <w:t xml:space="preserve">是否提供《企业类型声明函》：</w:t>
            </w:r>
            <w:r>
              <w:rPr>
                <w:b/>
                <w:bCs/>
                <w:szCs w:val="28"/>
                <w:u w:val="single"/>
              </w:rPr>
              <w:t xml:space="preserve">  是/否   </w:t>
            </w:r>
            <w:r>
              <w:rPr>
                <w:b/>
                <w:bCs/>
                <w:szCs w:val="28"/>
              </w:rPr>
              <w:t xml:space="preserve">           见</w:t>
            </w:r>
            <w:r>
              <w:rPr>
                <w:b/>
                <w:bCs/>
                <w:szCs w:val="28"/>
                <w:u w:val="single"/>
              </w:rPr>
              <w:t xml:space="preserve">（          ）</w:t>
            </w:r>
            <w:r>
              <w:rPr>
                <w:b/>
                <w:bCs/>
                <w:szCs w:val="28"/>
              </w:rPr>
              <w:t xml:space="preserve">页</w:t>
            </w:r>
            <w:r/>
          </w:p>
        </w:tc>
      </w:tr>
      <w:tr>
        <w:trPr>
          <w:cantSplit/>
          <w:trHeight w:val="807"/>
        </w:trPr>
        <w:tc>
          <w:tcPr>
            <w:gridSpan w:val="2"/>
            <w:tcW w:w="9579" w:type="dxa"/>
            <w:vAlign w:val="center"/>
            <w:textDirection w:val="lrTb"/>
            <w:noWrap w:val="false"/>
          </w:tcPr>
          <w:p>
            <w:pPr>
              <w:rPr>
                <w:b/>
                <w:bCs/>
                <w:szCs w:val="28"/>
              </w:rPr>
            </w:pPr>
            <w:r>
              <w:rPr>
                <w:b/>
                <w:bCs/>
                <w:szCs w:val="28"/>
              </w:rPr>
              <w:t xml:space="preserve">服务期： </w:t>
            </w:r>
            <w:r/>
          </w:p>
        </w:tc>
      </w:tr>
    </w:tbl>
    <w:p>
      <w:pPr>
        <w:spacing w:line="180" w:lineRule="atLeast"/>
        <w:rPr>
          <w:sz w:val="28"/>
          <w:szCs w:val="28"/>
        </w:rPr>
      </w:pPr>
      <w:r>
        <w:rPr>
          <w:sz w:val="28"/>
          <w:szCs w:val="28"/>
        </w:rPr>
        <w:t xml:space="preserve">填写说明：</w:t>
      </w:r>
      <w:r/>
    </w:p>
    <w:p>
      <w:pPr>
        <w:numPr>
          <w:ilvl w:val="0"/>
          <w:numId w:val="6"/>
        </w:numPr>
        <w:rPr>
          <w:sz w:val="24"/>
        </w:rPr>
      </w:pPr>
      <w:r>
        <w:rPr>
          <w:sz w:val="24"/>
        </w:rPr>
        <w:t xml:space="preserve">开标一览表不得填报选择性报价，否则将作为无效投标；</w:t>
      </w:r>
      <w:r/>
    </w:p>
    <w:p>
      <w:pPr>
        <w:numPr>
          <w:ilvl w:val="0"/>
          <w:numId w:val="6"/>
        </w:numPr>
        <w:rPr>
          <w:sz w:val="24"/>
        </w:rPr>
      </w:pPr>
      <w:r>
        <w:rPr>
          <w:sz w:val="24"/>
        </w:rPr>
        <w:t xml:space="preserve">开标一览表中报价与投标分项明细报价表中不符时时，以开标一览表为准；</w:t>
      </w:r>
      <w:r/>
    </w:p>
    <w:p>
      <w:pPr>
        <w:ind w:firstLine="2640"/>
        <w:rPr>
          <w:sz w:val="44"/>
        </w:rPr>
      </w:pPr>
      <w:r>
        <w:rPr>
          <w:sz w:val="44"/>
        </w:rPr>
      </w:r>
      <w:r/>
    </w:p>
    <w:p>
      <w:pPr>
        <w:ind w:firstLine="480"/>
        <w:rPr>
          <w:sz w:val="24"/>
        </w:rPr>
      </w:pPr>
      <w:r>
        <w:rPr>
          <w:sz w:val="24"/>
        </w:rPr>
      </w:r>
      <w:r/>
    </w:p>
    <w:p>
      <w:pPr>
        <w:ind w:firstLine="480"/>
        <w:rPr>
          <w:sz w:val="24"/>
        </w:rPr>
      </w:pPr>
      <w:r>
        <w:rPr>
          <w:sz w:val="24"/>
        </w:rPr>
      </w:r>
      <w:r/>
    </w:p>
    <w:p>
      <w:pPr>
        <w:ind w:firstLine="4080"/>
        <w:rPr>
          <w:sz w:val="24"/>
        </w:rPr>
      </w:pPr>
      <w:r>
        <w:rPr>
          <w:bCs/>
          <w:sz w:val="24"/>
        </w:rPr>
        <w:t xml:space="preserve">供应商名称（公章）：</w:t>
      </w:r>
      <w:r/>
    </w:p>
    <w:p>
      <w:pPr>
        <w:ind w:firstLine="480"/>
        <w:rPr>
          <w:sz w:val="24"/>
        </w:rPr>
      </w:pPr>
      <w:r>
        <w:rPr>
          <w:sz w:val="24"/>
        </w:rPr>
        <w:t xml:space="preserve">                                           日期：  </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spacing w:before="50" w:after="50"/>
        <w:rPr>
          <w:sz w:val="32"/>
          <w:szCs w:val="32"/>
        </w:rPr>
      </w:pPr>
      <w:r>
        <w:rPr>
          <w:sz w:val="32"/>
          <w:szCs w:val="32"/>
        </w:rPr>
        <w:br w:type="page" w:clear="all"/>
      </w:r>
      <w:r>
        <w:rPr>
          <w:sz w:val="32"/>
          <w:szCs w:val="32"/>
        </w:rPr>
        <w:t xml:space="preserve">七、分项报价表（格式）</w:t>
      </w:r>
      <w:r/>
    </w:p>
    <w:p>
      <w:pPr>
        <w:jc w:val="center"/>
        <w:rPr>
          <w:sz w:val="24"/>
          <w:szCs w:val="24"/>
        </w:rPr>
      </w:pPr>
      <w:r>
        <w:rPr>
          <w:sz w:val="24"/>
          <w:szCs w:val="24"/>
        </w:rPr>
      </w:r>
      <w:r/>
    </w:p>
    <w:p>
      <w:r>
        <w:t xml:space="preserve">投标人全称（加盖公章）：</w:t>
      </w:r>
      <w:r/>
    </w:p>
    <w:tbl>
      <w:tblPr>
        <w:tblStyle w:val="698"/>
        <w:tblW w:w="9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5"/>
        <w:gridCol w:w="2167"/>
        <w:gridCol w:w="1092"/>
        <w:gridCol w:w="2140"/>
      </w:tblGrid>
      <w:tr>
        <w:trPr>
          <w:cantSplit/>
          <w:jc w:val="center"/>
          <w:trHeight w:val="567"/>
        </w:trPr>
        <w:tc>
          <w:tcPr>
            <w:tcW w:w="4185" w:type="dxa"/>
            <w:vAlign w:val="center"/>
            <w:textDirection w:val="lrTb"/>
            <w:noWrap w:val="false"/>
          </w:tcPr>
          <w:p>
            <w:pPr>
              <w:jc w:val="center"/>
              <w:rPr>
                <w:b/>
                <w:bCs/>
              </w:rPr>
            </w:pPr>
            <w:r>
              <w:rPr>
                <w:b/>
                <w:bCs/>
              </w:rPr>
              <w:t xml:space="preserve">1</w:t>
            </w:r>
            <w:r/>
          </w:p>
        </w:tc>
        <w:tc>
          <w:tcPr>
            <w:tcW w:w="2167" w:type="dxa"/>
            <w:vAlign w:val="center"/>
            <w:textDirection w:val="lrTb"/>
            <w:noWrap w:val="false"/>
          </w:tcPr>
          <w:p>
            <w:pPr>
              <w:jc w:val="center"/>
              <w:rPr>
                <w:b/>
                <w:bCs/>
              </w:rPr>
            </w:pPr>
            <w:r>
              <w:rPr>
                <w:b/>
                <w:bCs/>
              </w:rPr>
              <w:t xml:space="preserve">2</w:t>
            </w:r>
            <w:r/>
          </w:p>
        </w:tc>
        <w:tc>
          <w:tcPr>
            <w:tcW w:w="1092" w:type="dxa"/>
            <w:vAlign w:val="center"/>
            <w:textDirection w:val="lrTb"/>
            <w:noWrap w:val="false"/>
          </w:tcPr>
          <w:p>
            <w:pPr>
              <w:jc w:val="center"/>
              <w:rPr>
                <w:b/>
                <w:bCs/>
              </w:rPr>
            </w:pPr>
            <w:r>
              <w:rPr>
                <w:b/>
                <w:bCs/>
              </w:rPr>
              <w:t xml:space="preserve">3</w:t>
            </w:r>
            <w:r/>
          </w:p>
        </w:tc>
        <w:tc>
          <w:tcPr>
            <w:tcW w:w="2140" w:type="dxa"/>
            <w:vAlign w:val="center"/>
            <w:textDirection w:val="lrTb"/>
            <w:noWrap w:val="false"/>
          </w:tcPr>
          <w:p>
            <w:pPr>
              <w:jc w:val="center"/>
              <w:rPr>
                <w:b/>
                <w:bCs/>
              </w:rPr>
            </w:pPr>
            <w:r>
              <w:rPr>
                <w:b/>
                <w:bCs/>
              </w:rPr>
              <w:t xml:space="preserve">4</w:t>
            </w:r>
            <w:r/>
          </w:p>
        </w:tc>
      </w:tr>
      <w:tr>
        <w:trPr>
          <w:cantSplit/>
          <w:jc w:val="center"/>
          <w:trHeight w:val="567"/>
        </w:trPr>
        <w:tc>
          <w:tcPr>
            <w:tcW w:w="4185" w:type="dxa"/>
            <w:vAlign w:val="center"/>
            <w:textDirection w:val="lrTb"/>
            <w:noWrap w:val="false"/>
          </w:tcPr>
          <w:p>
            <w:pPr>
              <w:jc w:val="center"/>
            </w:pPr>
            <w:r>
              <w:t xml:space="preserve">服务内容</w:t>
            </w:r>
            <w:r/>
          </w:p>
        </w:tc>
        <w:tc>
          <w:tcPr>
            <w:tcW w:w="2167" w:type="dxa"/>
            <w:vAlign w:val="center"/>
            <w:textDirection w:val="lrTb"/>
            <w:noWrap w:val="false"/>
          </w:tcPr>
          <w:p>
            <w:pPr>
              <w:jc w:val="center"/>
            </w:pPr>
            <w:r>
              <w:t xml:space="preserve">数量</w:t>
            </w:r>
            <w:r/>
          </w:p>
        </w:tc>
        <w:tc>
          <w:tcPr>
            <w:tcW w:w="1092" w:type="dxa"/>
            <w:vAlign w:val="center"/>
            <w:textDirection w:val="lrTb"/>
            <w:noWrap w:val="false"/>
          </w:tcPr>
          <w:p>
            <w:pPr>
              <w:jc w:val="center"/>
            </w:pPr>
            <w:r>
              <w:t xml:space="preserve">单价</w:t>
            </w:r>
            <w:r/>
          </w:p>
        </w:tc>
        <w:tc>
          <w:tcPr>
            <w:tcW w:w="2140" w:type="dxa"/>
            <w:vAlign w:val="center"/>
            <w:textDirection w:val="lrTb"/>
            <w:noWrap w:val="false"/>
          </w:tcPr>
          <w:p>
            <w:pPr>
              <w:jc w:val="center"/>
            </w:pPr>
            <w:r>
              <w:t xml:space="preserve">总价</w:t>
            </w:r>
            <w:r/>
          </w:p>
        </w:tc>
      </w:tr>
      <w:tr>
        <w:trPr>
          <w:cantSplit/>
          <w:jc w:val="center"/>
          <w:trHeight w:val="567"/>
        </w:trPr>
        <w:tc>
          <w:tcPr>
            <w:tcW w:w="4185" w:type="dxa"/>
            <w:vAlign w:val="center"/>
            <w:textDirection w:val="lrTb"/>
            <w:noWrap w:val="false"/>
          </w:tcPr>
          <w:p>
            <w:r/>
            <w:r/>
          </w:p>
        </w:tc>
        <w:tc>
          <w:tcPr>
            <w:tcW w:w="2167" w:type="dxa"/>
            <w:vAlign w:val="center"/>
            <w:textDirection w:val="lrTb"/>
            <w:noWrap w:val="false"/>
          </w:tcPr>
          <w:p>
            <w:r/>
            <w:r/>
          </w:p>
        </w:tc>
        <w:tc>
          <w:tcPr>
            <w:tcW w:w="1092" w:type="dxa"/>
            <w:vAlign w:val="center"/>
            <w:textDirection w:val="lrTb"/>
            <w:noWrap w:val="false"/>
          </w:tcPr>
          <w:p>
            <w:r/>
            <w:r/>
          </w:p>
        </w:tc>
        <w:tc>
          <w:tcPr>
            <w:tcW w:w="2140" w:type="dxa"/>
            <w:vAlign w:val="center"/>
            <w:textDirection w:val="lrTb"/>
            <w:noWrap w:val="false"/>
          </w:tcPr>
          <w:p>
            <w:r/>
            <w:r/>
          </w:p>
        </w:tc>
      </w:tr>
      <w:tr>
        <w:trPr>
          <w:cantSplit/>
          <w:jc w:val="center"/>
          <w:trHeight w:val="567"/>
        </w:trPr>
        <w:tc>
          <w:tcPr>
            <w:tcW w:w="4185" w:type="dxa"/>
            <w:vAlign w:val="center"/>
            <w:textDirection w:val="lrTb"/>
            <w:noWrap w:val="false"/>
          </w:tcPr>
          <w:p>
            <w:r/>
            <w:r/>
          </w:p>
        </w:tc>
        <w:tc>
          <w:tcPr>
            <w:tcW w:w="2167" w:type="dxa"/>
            <w:vAlign w:val="center"/>
            <w:textDirection w:val="lrTb"/>
            <w:noWrap w:val="false"/>
          </w:tcPr>
          <w:p>
            <w:r/>
            <w:r/>
          </w:p>
        </w:tc>
        <w:tc>
          <w:tcPr>
            <w:tcW w:w="1092" w:type="dxa"/>
            <w:vAlign w:val="center"/>
            <w:textDirection w:val="lrTb"/>
            <w:noWrap w:val="false"/>
          </w:tcPr>
          <w:p>
            <w:r/>
            <w:r/>
          </w:p>
        </w:tc>
        <w:tc>
          <w:tcPr>
            <w:tcW w:w="2140" w:type="dxa"/>
            <w:vAlign w:val="center"/>
            <w:textDirection w:val="lrTb"/>
            <w:noWrap w:val="false"/>
          </w:tcPr>
          <w:p>
            <w:r/>
            <w:r/>
          </w:p>
        </w:tc>
      </w:tr>
      <w:tr>
        <w:trPr>
          <w:cantSplit/>
          <w:jc w:val="center"/>
          <w:trHeight w:val="567"/>
        </w:trPr>
        <w:tc>
          <w:tcPr>
            <w:tcW w:w="4185" w:type="dxa"/>
            <w:vAlign w:val="center"/>
            <w:textDirection w:val="lrTb"/>
            <w:noWrap w:val="false"/>
          </w:tcPr>
          <w:p>
            <w:r/>
            <w:r/>
          </w:p>
        </w:tc>
        <w:tc>
          <w:tcPr>
            <w:tcW w:w="2167" w:type="dxa"/>
            <w:vAlign w:val="center"/>
            <w:textDirection w:val="lrTb"/>
            <w:noWrap w:val="false"/>
          </w:tcPr>
          <w:p>
            <w:r/>
            <w:r/>
          </w:p>
        </w:tc>
        <w:tc>
          <w:tcPr>
            <w:tcW w:w="1092" w:type="dxa"/>
            <w:vAlign w:val="center"/>
            <w:textDirection w:val="lrTb"/>
            <w:noWrap w:val="false"/>
          </w:tcPr>
          <w:p>
            <w:r/>
            <w:r/>
          </w:p>
        </w:tc>
        <w:tc>
          <w:tcPr>
            <w:tcW w:w="2140" w:type="dxa"/>
            <w:vAlign w:val="center"/>
            <w:textDirection w:val="lrTb"/>
            <w:noWrap w:val="false"/>
          </w:tcPr>
          <w:p>
            <w:r/>
            <w:r/>
          </w:p>
        </w:tc>
      </w:tr>
      <w:tr>
        <w:trPr>
          <w:cantSplit/>
          <w:jc w:val="center"/>
          <w:trHeight w:val="567"/>
        </w:trPr>
        <w:tc>
          <w:tcPr>
            <w:tcW w:w="4185" w:type="dxa"/>
            <w:vAlign w:val="center"/>
            <w:textDirection w:val="lrTb"/>
            <w:noWrap w:val="false"/>
          </w:tcPr>
          <w:p>
            <w:r/>
            <w:r/>
          </w:p>
        </w:tc>
        <w:tc>
          <w:tcPr>
            <w:tcW w:w="2167" w:type="dxa"/>
            <w:vAlign w:val="center"/>
            <w:textDirection w:val="lrTb"/>
            <w:noWrap w:val="false"/>
          </w:tcPr>
          <w:p>
            <w:r/>
            <w:r/>
          </w:p>
        </w:tc>
        <w:tc>
          <w:tcPr>
            <w:tcW w:w="1092" w:type="dxa"/>
            <w:vAlign w:val="center"/>
            <w:textDirection w:val="lrTb"/>
            <w:noWrap w:val="false"/>
          </w:tcPr>
          <w:p>
            <w:r/>
            <w:r/>
          </w:p>
        </w:tc>
        <w:tc>
          <w:tcPr>
            <w:tcW w:w="2140" w:type="dxa"/>
            <w:vAlign w:val="center"/>
            <w:textDirection w:val="lrTb"/>
            <w:noWrap w:val="false"/>
          </w:tcPr>
          <w:p>
            <w:r/>
            <w:r/>
          </w:p>
        </w:tc>
      </w:tr>
      <w:tr>
        <w:trPr>
          <w:cantSplit/>
          <w:jc w:val="center"/>
          <w:trHeight w:val="1093"/>
        </w:trPr>
        <w:tc>
          <w:tcPr>
            <w:tcW w:w="4185" w:type="dxa"/>
            <w:vAlign w:val="center"/>
            <w:textDirection w:val="lrTb"/>
            <w:noWrap w:val="false"/>
          </w:tcPr>
          <w:p>
            <w:pPr>
              <w:jc w:val="center"/>
            </w:pPr>
            <w:r>
              <w:t xml:space="preserve">合计</w:t>
            </w:r>
            <w:r/>
          </w:p>
        </w:tc>
        <w:tc>
          <w:tcPr>
            <w:gridSpan w:val="3"/>
            <w:tcW w:w="5399" w:type="dxa"/>
            <w:textDirection w:val="lrTb"/>
            <w:noWrap w:val="false"/>
          </w:tcPr>
          <w:p>
            <w:r>
              <w:t xml:space="preserve"> </w:t>
            </w:r>
            <w:r/>
          </w:p>
        </w:tc>
      </w:tr>
    </w:tbl>
    <w:p>
      <w:r/>
      <w:r/>
    </w:p>
    <w:p>
      <w:pPr>
        <w:rPr>
          <w:b w:val="0"/>
          <w:bCs w:val="0"/>
          <w:color w:val="auto"/>
          <w:sz w:val="21"/>
          <w:szCs w:val="21"/>
        </w:rPr>
      </w:pPr>
      <w:r>
        <w:rPr>
          <w:b w:val="0"/>
          <w:bCs w:val="0"/>
          <w:color w:val="auto"/>
          <w:sz w:val="21"/>
          <w:szCs w:val="21"/>
        </w:rPr>
        <w:t xml:space="preserve">注：此报价表必须包含</w:t>
      </w:r>
      <w:r>
        <w:rPr>
          <w:b w:val="0"/>
          <w:bCs w:val="0"/>
          <w:color w:val="auto"/>
          <w:sz w:val="21"/>
          <w:szCs w:val="21"/>
          <w:u w:val="single"/>
        </w:rPr>
        <w:t xml:space="preserve">采购需求</w:t>
      </w:r>
      <w:r>
        <w:rPr>
          <w:b w:val="0"/>
          <w:bCs w:val="0"/>
          <w:color w:val="auto"/>
          <w:sz w:val="21"/>
          <w:szCs w:val="21"/>
        </w:rPr>
        <w:t xml:space="preserve">里面所有内容的报价</w:t>
      </w:r>
      <w:r/>
    </w:p>
    <w:p>
      <w:pPr>
        <w:pStyle w:val="706"/>
        <w:rPr>
          <w:rFonts w:ascii="Times New Roman" w:hAnsi="Times New Roman" w:eastAsia="宋体"/>
        </w:rPr>
      </w:pPr>
      <w:r>
        <w:rPr>
          <w:rFonts w:ascii="Times New Roman" w:hAnsi="Times New Roman" w:eastAsia="宋体"/>
        </w:rPr>
      </w:r>
      <w:r/>
    </w:p>
    <w:p>
      <w:pPr>
        <w:spacing w:line="360" w:lineRule="auto"/>
      </w:pPr>
      <w:r>
        <w:t xml:space="preserve">法定代表人或授权代表签字：</w:t>
      </w:r>
      <w:r/>
    </w:p>
    <w:p>
      <w:pPr>
        <w:pStyle w:val="706"/>
        <w:rPr>
          <w:rFonts w:ascii="Times New Roman" w:hAnsi="Times New Roman" w:eastAsia="宋体"/>
        </w:rPr>
      </w:pPr>
      <w:r>
        <w:rPr>
          <w:rFonts w:ascii="Times New Roman" w:hAnsi="Times New Roman" w:eastAsia="宋体"/>
        </w:rPr>
      </w:r>
      <w:r/>
    </w:p>
    <w:p>
      <w:pPr>
        <w:spacing w:line="360" w:lineRule="auto"/>
      </w:pPr>
      <w:r>
        <w:t xml:space="preserve">1、此表可以根据需要自行情况增减行数。</w:t>
      </w:r>
      <w:r/>
    </w:p>
    <w:p>
      <w:pPr>
        <w:spacing w:line="360" w:lineRule="auto"/>
      </w:pPr>
      <w:r>
        <w:t xml:space="preserve">2、项目如有分包，请各供应商按投报的分包分别列表。</w:t>
      </w:r>
      <w:r/>
    </w:p>
    <w:p>
      <w:pPr>
        <w:pStyle w:val="710"/>
        <w:ind w:left="0" w:right="1470"/>
        <w:spacing w:line="360" w:lineRule="auto"/>
      </w:pPr>
      <w:r>
        <w:t xml:space="preserve">3、格式仅供参考，可根据实际情况自制。</w:t>
      </w:r>
      <w:r/>
    </w:p>
    <w:p>
      <w:pPr>
        <w:rPr>
          <w:sz w:val="24"/>
          <w:szCs w:val="24"/>
        </w:rPr>
      </w:pPr>
      <w:r>
        <w:rPr>
          <w:sz w:val="24"/>
          <w:szCs w:val="24"/>
        </w:rPr>
      </w:r>
      <w:r/>
    </w:p>
    <w:p>
      <w:pPr>
        <w:rPr>
          <w:sz w:val="24"/>
          <w:szCs w:val="24"/>
        </w:rPr>
      </w:pPr>
      <w:r>
        <w:rPr>
          <w:sz w:val="24"/>
          <w:szCs w:val="24"/>
        </w:rPr>
      </w:r>
      <w:r/>
    </w:p>
    <w:p>
      <w:pPr>
        <w:rPr>
          <w:b/>
          <w:bCs/>
          <w:sz w:val="28"/>
          <w:szCs w:val="28"/>
        </w:rPr>
      </w:pPr>
      <w:r>
        <w:rPr>
          <w:sz w:val="24"/>
          <w:szCs w:val="24"/>
        </w:rPr>
        <w:br w:type="page" w:clear="all"/>
      </w:r>
      <w:r>
        <w:rPr>
          <w:b/>
          <w:bCs/>
        </w:rPr>
        <w:t xml:space="preserve">附</w:t>
      </w:r>
      <w:r/>
    </w:p>
    <w:p>
      <w:pPr>
        <w:jc w:val="center"/>
        <w:spacing w:line="560" w:lineRule="exact"/>
        <w:rPr>
          <w:b w:val="0"/>
          <w:bCs w:val="0"/>
          <w:sz w:val="32"/>
          <w:szCs w:val="32"/>
        </w:rPr>
      </w:pPr>
      <w:r>
        <w:rPr>
          <w:b w:val="0"/>
          <w:bCs w:val="0"/>
          <w:sz w:val="32"/>
          <w:szCs w:val="32"/>
        </w:rPr>
        <w:t xml:space="preserve">中小企业声明函（服务）</w:t>
      </w:r>
      <w:r/>
    </w:p>
    <w:p>
      <w:pPr>
        <w:spacing w:line="560" w:lineRule="exact"/>
        <w:rPr>
          <w:b/>
          <w:bCs/>
          <w:sz w:val="28"/>
          <w:szCs w:val="28"/>
        </w:rPr>
      </w:pPr>
      <w:r>
        <w:rPr>
          <w:b/>
          <w:bCs/>
          <w:sz w:val="28"/>
          <w:szCs w:val="28"/>
        </w:rPr>
      </w:r>
      <w:r/>
    </w:p>
    <w:p>
      <w:pPr>
        <w:ind w:firstLine="482"/>
        <w:jc w:val="left"/>
        <w:spacing w:line="500" w:lineRule="exact"/>
        <w:widowControl/>
        <w:rPr>
          <w:sz w:val="24"/>
          <w:szCs w:val="24"/>
        </w:rPr>
      </w:pPr>
      <w:r>
        <w:rPr>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7"/>
        </w:numPr>
        <w:ind w:firstLine="482"/>
        <w:jc w:val="left"/>
        <w:spacing w:line="500" w:lineRule="exact"/>
        <w:widowControl/>
        <w:rPr>
          <w:sz w:val="24"/>
          <w:szCs w:val="24"/>
        </w:rPr>
      </w:pPr>
      <w:r>
        <w:rPr>
          <w:sz w:val="24"/>
          <w:szCs w:val="24"/>
          <w:u w:val="single"/>
        </w:rPr>
        <w:t xml:space="preserve">（标的名称）</w:t>
      </w:r>
      <w:r>
        <w:rPr>
          <w:i/>
          <w:iCs/>
          <w:sz w:val="24"/>
          <w:szCs w:val="24"/>
          <w:u w:val="single"/>
        </w:rPr>
        <w:t xml:space="preserve"> </w:t>
      </w:r>
      <w:r>
        <w:rPr>
          <w:sz w:val="24"/>
          <w:szCs w:val="24"/>
        </w:rPr>
        <w:t xml:space="preserve">，属于</w:t>
      </w:r>
      <w:r>
        <w:rPr>
          <w:sz w:val="24"/>
          <w:szCs w:val="24"/>
          <w:u w:val="single"/>
        </w:rPr>
        <w:t xml:space="preserve">（采购文件中明确的所属行业）</w:t>
      </w:r>
      <w:r>
        <w:rPr>
          <w:sz w:val="24"/>
          <w:szCs w:val="24"/>
        </w:rPr>
        <w:t xml:space="preserve">行业；承接（承接）企业为</w:t>
      </w:r>
      <w:r>
        <w:rPr>
          <w:sz w:val="24"/>
          <w:szCs w:val="24"/>
          <w:u w:val="single"/>
        </w:rPr>
        <w:t xml:space="preserve">（企业名称）</w:t>
      </w:r>
      <w:r>
        <w:rPr>
          <w:sz w:val="24"/>
          <w:szCs w:val="24"/>
        </w:rPr>
        <w:t xml:space="preserve">，从业人员</w:t>
      </w:r>
      <w:r>
        <w:rPr>
          <w:i/>
          <w:iCs/>
          <w:sz w:val="24"/>
          <w:szCs w:val="24"/>
          <w:u w:val="single"/>
        </w:rPr>
        <w:t xml:space="preserve">        </w:t>
      </w:r>
      <w:r>
        <w:rPr>
          <w:sz w:val="24"/>
          <w:szCs w:val="24"/>
        </w:rPr>
        <w:t xml:space="preserve">人，营业收入为</w:t>
      </w:r>
      <w:r>
        <w:rPr>
          <w:i/>
          <w:iCs/>
          <w:sz w:val="24"/>
          <w:szCs w:val="24"/>
          <w:u w:val="single"/>
        </w:rPr>
        <w:t xml:space="preserve">        </w:t>
      </w:r>
      <w:r>
        <w:rPr>
          <w:sz w:val="24"/>
          <w:szCs w:val="24"/>
        </w:rPr>
        <w:t xml:space="preserve">万元，资产总额为</w:t>
      </w:r>
      <w:r>
        <w:rPr>
          <w:i/>
          <w:iCs/>
          <w:sz w:val="24"/>
          <w:szCs w:val="24"/>
          <w:u w:val="single"/>
        </w:rPr>
        <w:t xml:space="preserve">        </w:t>
      </w:r>
      <w:r>
        <w:rPr>
          <w:sz w:val="24"/>
          <w:szCs w:val="24"/>
        </w:rPr>
        <w:t xml:space="preserve">万元，属于</w:t>
      </w:r>
      <w:r>
        <w:rPr>
          <w:sz w:val="24"/>
          <w:szCs w:val="24"/>
          <w:u w:val="single"/>
        </w:rPr>
        <w:t xml:space="preserve">（中型企业、小型企业、微型企业）</w:t>
      </w:r>
      <w:r>
        <w:rPr>
          <w:sz w:val="24"/>
          <w:szCs w:val="24"/>
        </w:rPr>
        <w:t xml:space="preserve">；</w:t>
      </w:r>
      <w:r/>
    </w:p>
    <w:p>
      <w:pPr>
        <w:numPr>
          <w:ilvl w:val="0"/>
          <w:numId w:val="7"/>
        </w:numPr>
        <w:ind w:firstLine="482"/>
        <w:jc w:val="left"/>
        <w:spacing w:line="500" w:lineRule="exact"/>
        <w:widowControl/>
        <w:rPr>
          <w:sz w:val="24"/>
          <w:szCs w:val="24"/>
        </w:rPr>
      </w:pPr>
      <w:r>
        <w:rPr>
          <w:sz w:val="24"/>
          <w:szCs w:val="24"/>
          <w:u w:val="single"/>
        </w:rPr>
        <w:t xml:space="preserve">（标的名称） </w:t>
      </w:r>
      <w:r>
        <w:rPr>
          <w:sz w:val="24"/>
          <w:szCs w:val="24"/>
        </w:rPr>
        <w:t xml:space="preserve">，属于</w:t>
      </w:r>
      <w:r>
        <w:rPr>
          <w:sz w:val="24"/>
          <w:szCs w:val="24"/>
          <w:u w:val="single"/>
        </w:rPr>
        <w:t xml:space="preserve">（采购文件中明确的所属行业）</w:t>
      </w:r>
      <w:r>
        <w:rPr>
          <w:sz w:val="24"/>
          <w:szCs w:val="24"/>
        </w:rPr>
        <w:t xml:space="preserve">行业；承接（承接）企业为</w:t>
      </w:r>
      <w:r>
        <w:rPr>
          <w:sz w:val="24"/>
          <w:szCs w:val="24"/>
          <w:u w:val="single"/>
        </w:rPr>
        <w:t xml:space="preserve">（企业名称）</w:t>
      </w:r>
      <w:r>
        <w:rPr>
          <w:sz w:val="24"/>
          <w:szCs w:val="24"/>
        </w:rPr>
        <w:t xml:space="preserve">，从业人员</w:t>
      </w:r>
      <w:r>
        <w:rPr>
          <w:i/>
          <w:iCs/>
          <w:sz w:val="24"/>
          <w:szCs w:val="24"/>
          <w:u w:val="single"/>
        </w:rPr>
        <w:t xml:space="preserve">        </w:t>
      </w:r>
      <w:r>
        <w:rPr>
          <w:sz w:val="24"/>
          <w:szCs w:val="24"/>
        </w:rPr>
        <w:t xml:space="preserve">人，营业收入为</w:t>
      </w:r>
      <w:r>
        <w:rPr>
          <w:i/>
          <w:iCs/>
          <w:sz w:val="24"/>
          <w:szCs w:val="24"/>
          <w:u w:val="single"/>
        </w:rPr>
        <w:t xml:space="preserve">        </w:t>
      </w:r>
      <w:r>
        <w:rPr>
          <w:sz w:val="24"/>
          <w:szCs w:val="24"/>
        </w:rPr>
        <w:t xml:space="preserve">万元，资产总额为</w:t>
      </w:r>
      <w:r>
        <w:rPr>
          <w:i/>
          <w:iCs/>
          <w:sz w:val="24"/>
          <w:szCs w:val="24"/>
          <w:u w:val="single"/>
        </w:rPr>
        <w:t xml:space="preserve">        </w:t>
      </w:r>
      <w:r>
        <w:rPr>
          <w:sz w:val="24"/>
          <w:szCs w:val="24"/>
        </w:rPr>
        <w:t xml:space="preserve">万元，属于</w:t>
      </w:r>
      <w:r>
        <w:rPr>
          <w:sz w:val="24"/>
          <w:szCs w:val="24"/>
          <w:u w:val="single"/>
        </w:rPr>
        <w:t xml:space="preserve">（中型企业、小型企业、微型企业）</w:t>
      </w:r>
      <w:r>
        <w:rPr>
          <w:sz w:val="24"/>
          <w:szCs w:val="24"/>
        </w:rPr>
        <w:t xml:space="preserve">；</w:t>
      </w:r>
      <w:r/>
    </w:p>
    <w:p>
      <w:pPr>
        <w:ind w:firstLine="482"/>
        <w:jc w:val="left"/>
        <w:spacing w:line="500" w:lineRule="exact"/>
        <w:widowControl/>
        <w:rPr>
          <w:sz w:val="24"/>
          <w:szCs w:val="24"/>
        </w:rPr>
      </w:pPr>
      <w:r>
        <w:rPr>
          <w:sz w:val="24"/>
          <w:szCs w:val="24"/>
        </w:rPr>
        <w:t xml:space="preserve">……</w:t>
      </w:r>
      <w:r/>
    </w:p>
    <w:p>
      <w:pPr>
        <w:ind w:firstLine="482"/>
        <w:jc w:val="left"/>
        <w:spacing w:line="500" w:lineRule="exact"/>
        <w:widowControl/>
        <w:rPr>
          <w:sz w:val="24"/>
          <w:szCs w:val="24"/>
        </w:rPr>
      </w:pPr>
      <w:r>
        <w:rPr>
          <w:sz w:val="24"/>
          <w:szCs w:val="24"/>
        </w:rPr>
        <w:t xml:space="preserve">以上企业，不属于大企业的分支机构，不存在控股股东为大企业的情形，也不存在与大企业的负责人为同一人的情形。</w:t>
      </w:r>
      <w:r/>
    </w:p>
    <w:p>
      <w:pPr>
        <w:ind w:firstLine="482"/>
        <w:jc w:val="left"/>
        <w:spacing w:line="500" w:lineRule="exact"/>
        <w:widowControl/>
        <w:rPr>
          <w:sz w:val="24"/>
          <w:szCs w:val="24"/>
        </w:rPr>
      </w:pPr>
      <w:r>
        <w:rPr>
          <w:sz w:val="24"/>
          <w:szCs w:val="24"/>
        </w:rPr>
        <w:t xml:space="preserve">本企业对上述声明内容的真实性负责。如有虚假，将依法承担相应责任。</w:t>
      </w:r>
      <w:r/>
    </w:p>
    <w:p>
      <w:pPr>
        <w:ind w:firstLine="4080"/>
        <w:jc w:val="left"/>
        <w:widowControl/>
        <w:rPr>
          <w:sz w:val="24"/>
          <w:szCs w:val="24"/>
        </w:rPr>
      </w:pPr>
      <w:r>
        <w:rPr>
          <w:sz w:val="24"/>
          <w:szCs w:val="24"/>
        </w:rPr>
      </w:r>
      <w:r/>
    </w:p>
    <w:p>
      <w:pPr>
        <w:ind w:firstLine="4080"/>
        <w:jc w:val="left"/>
        <w:widowControl/>
        <w:rPr>
          <w:sz w:val="24"/>
          <w:szCs w:val="24"/>
        </w:rPr>
      </w:pPr>
      <w:r>
        <w:rPr>
          <w:sz w:val="24"/>
          <w:szCs w:val="24"/>
        </w:rPr>
      </w:r>
      <w:r/>
    </w:p>
    <w:p>
      <w:pPr>
        <w:ind w:firstLine="4080"/>
        <w:jc w:val="left"/>
        <w:widowControl/>
        <w:rPr>
          <w:sz w:val="24"/>
          <w:szCs w:val="24"/>
        </w:rPr>
      </w:pPr>
      <w:r>
        <w:rPr>
          <w:sz w:val="24"/>
          <w:szCs w:val="24"/>
        </w:rPr>
        <w:t xml:space="preserve">企业名称（盖章）：</w:t>
      </w:r>
      <w:r/>
    </w:p>
    <w:p>
      <w:pPr>
        <w:ind w:firstLine="4080"/>
        <w:jc w:val="left"/>
        <w:widowControl/>
        <w:rPr>
          <w:sz w:val="24"/>
          <w:szCs w:val="24"/>
        </w:rPr>
      </w:pPr>
      <w:r>
        <w:rPr>
          <w:sz w:val="24"/>
          <w:szCs w:val="24"/>
        </w:rPr>
        <w:t xml:space="preserve">日期：</w:t>
      </w:r>
      <w:r/>
    </w:p>
    <w:p>
      <w:pPr>
        <w:ind w:firstLine="4080"/>
        <w:jc w:val="left"/>
        <w:widowControl/>
        <w:rPr>
          <w:sz w:val="24"/>
          <w:szCs w:val="24"/>
        </w:rPr>
      </w:pPr>
      <w:r>
        <w:rPr>
          <w:sz w:val="24"/>
          <w:szCs w:val="24"/>
        </w:rPr>
      </w:r>
      <w:r/>
    </w:p>
    <w:p>
      <w:pPr>
        <w:jc w:val="center"/>
        <w:spacing w:line="560" w:lineRule="exact"/>
        <w:rPr>
          <w:b/>
          <w:bCs/>
        </w:rPr>
      </w:pPr>
      <w:r>
        <w:rPr>
          <w:b/>
          <w:bCs/>
        </w:rPr>
        <w:t xml:space="preserve">从业人员、营业收入、资产总额填报上一年度数据，无上一年度数据的新成立企业可不填报。</w:t>
      </w:r>
      <w:r/>
    </w:p>
    <w:p>
      <w:pPr>
        <w:jc w:val="center"/>
        <w:spacing w:line="360" w:lineRule="auto"/>
        <w:rPr>
          <w:sz w:val="32"/>
          <w:szCs w:val="32"/>
        </w:rPr>
      </w:pPr>
      <w:r>
        <w:rPr>
          <w:b/>
        </w:rPr>
        <w:br w:type="page" w:clear="all"/>
      </w:r>
      <w:r>
        <w:rPr>
          <w:b/>
        </w:rPr>
        <w:t xml:space="preserve">八</w:t>
      </w:r>
      <w:r>
        <w:rPr>
          <w:sz w:val="32"/>
          <w:szCs w:val="32"/>
        </w:rPr>
        <w:t xml:space="preserve">、服务内容响应及偏离表（如有）</w:t>
      </w:r>
      <w:r/>
    </w:p>
    <w:p>
      <w:pPr>
        <w:jc w:val="center"/>
        <w:rPr>
          <w:sz w:val="24"/>
          <w:szCs w:val="24"/>
        </w:rPr>
      </w:pPr>
      <w:r>
        <w:rPr>
          <w:sz w:val="24"/>
          <w:szCs w:val="24"/>
        </w:rPr>
      </w:r>
      <w:r/>
    </w:p>
    <w:p>
      <w:r>
        <w:t xml:space="preserve">投标人全称（加盖公章）：       </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pPr>
            <w:r>
              <w:t xml:space="preserve">序号</w:t>
            </w:r>
            <w:r/>
          </w:p>
        </w:tc>
        <w:tc>
          <w:tcPr>
            <w:tcW w:w="2852" w:type="dxa"/>
            <w:vAlign w:val="center"/>
            <w:textDirection w:val="lrTb"/>
            <w:noWrap w:val="false"/>
          </w:tcPr>
          <w:p>
            <w:pPr>
              <w:jc w:val="center"/>
            </w:pPr>
            <w:r>
              <w:t xml:space="preserve">招标要求</w:t>
            </w:r>
            <w:r/>
          </w:p>
        </w:tc>
        <w:tc>
          <w:tcPr>
            <w:tcW w:w="2852" w:type="dxa"/>
            <w:vAlign w:val="center"/>
            <w:textDirection w:val="lrTb"/>
            <w:noWrap w:val="false"/>
          </w:tcPr>
          <w:p>
            <w:pPr>
              <w:jc w:val="center"/>
            </w:pPr>
            <w:r>
              <w:t xml:space="preserve">投标响应</w:t>
            </w:r>
            <w:r/>
          </w:p>
        </w:tc>
        <w:tc>
          <w:tcPr>
            <w:tcW w:w="1308" w:type="dxa"/>
            <w:vAlign w:val="center"/>
            <w:textDirection w:val="lrTb"/>
            <w:noWrap w:val="false"/>
          </w:tcPr>
          <w:p>
            <w:pPr>
              <w:jc w:val="center"/>
            </w:pPr>
            <w:r>
              <w:t xml:space="preserve">超出、符合或偏离</w:t>
            </w:r>
            <w:r/>
          </w:p>
        </w:tc>
        <w:tc>
          <w:tcPr>
            <w:tcW w:w="1173" w:type="dxa"/>
            <w:vAlign w:val="center"/>
            <w:textDirection w:val="lrTb"/>
            <w:noWrap w:val="false"/>
          </w:tcPr>
          <w:p>
            <w:pPr>
              <w:jc w:val="center"/>
            </w:pPr>
            <w:r>
              <w:t xml:space="preserve">原因</w:t>
            </w:r>
            <w:r/>
          </w:p>
        </w:tc>
      </w:tr>
      <w:tr>
        <w:trPr>
          <w:cantSplit/>
          <w:trHeight w:val="640"/>
        </w:trPr>
        <w:tc>
          <w:tcPr>
            <w:tcW w:w="984" w:type="dxa"/>
            <w:textDirection w:val="lrTb"/>
            <w:noWrap w:val="false"/>
          </w:tcPr>
          <w:p>
            <w:pPr>
              <w:jc w:val="center"/>
            </w:pPr>
            <w:r/>
            <w:r/>
          </w:p>
        </w:tc>
        <w:tc>
          <w:tcPr>
            <w:tcW w:w="2852" w:type="dxa"/>
            <w:textDirection w:val="lrTb"/>
            <w:noWrap w:val="false"/>
          </w:tcPr>
          <w:p>
            <w:pPr>
              <w:jc w:val="center"/>
            </w:pPr>
            <w:r/>
            <w:r/>
          </w:p>
        </w:tc>
        <w:tc>
          <w:tcPr>
            <w:tcW w:w="2852" w:type="dxa"/>
            <w:textDirection w:val="lrTb"/>
            <w:noWrap w:val="false"/>
          </w:tcPr>
          <w:p>
            <w:pPr>
              <w:jc w:val="center"/>
            </w:pPr>
            <w:r/>
            <w:r/>
          </w:p>
        </w:tc>
        <w:tc>
          <w:tcPr>
            <w:tcW w:w="1308" w:type="dxa"/>
            <w:textDirection w:val="lrTb"/>
            <w:noWrap w:val="false"/>
          </w:tcPr>
          <w:p>
            <w:pPr>
              <w:jc w:val="center"/>
            </w:pPr>
            <w:r/>
            <w:r/>
          </w:p>
        </w:tc>
        <w:tc>
          <w:tcPr>
            <w:tcW w:w="1173" w:type="dxa"/>
            <w:textDirection w:val="lrTb"/>
            <w:noWrap w:val="false"/>
          </w:tcPr>
          <w:p>
            <w:pPr>
              <w:jc w:val="center"/>
            </w:pPr>
            <w:r/>
            <w:r/>
          </w:p>
        </w:tc>
      </w:tr>
      <w:tr>
        <w:trPr>
          <w:cantSplit/>
          <w:trHeight w:val="640"/>
        </w:trPr>
        <w:tc>
          <w:tcPr>
            <w:tcW w:w="984" w:type="dxa"/>
            <w:textDirection w:val="lrTb"/>
            <w:noWrap w:val="false"/>
          </w:tcPr>
          <w:p>
            <w:pPr>
              <w:jc w:val="center"/>
            </w:pPr>
            <w:r/>
            <w:r/>
          </w:p>
        </w:tc>
        <w:tc>
          <w:tcPr>
            <w:tcW w:w="2852" w:type="dxa"/>
            <w:textDirection w:val="lrTb"/>
            <w:noWrap w:val="false"/>
          </w:tcPr>
          <w:p>
            <w:pPr>
              <w:jc w:val="center"/>
            </w:pPr>
            <w:r/>
            <w:r/>
          </w:p>
        </w:tc>
        <w:tc>
          <w:tcPr>
            <w:tcW w:w="2852" w:type="dxa"/>
            <w:textDirection w:val="lrTb"/>
            <w:noWrap w:val="false"/>
          </w:tcPr>
          <w:p>
            <w:pPr>
              <w:jc w:val="center"/>
            </w:pPr>
            <w:r/>
            <w:r/>
          </w:p>
        </w:tc>
        <w:tc>
          <w:tcPr>
            <w:tcW w:w="1308" w:type="dxa"/>
            <w:textDirection w:val="lrTb"/>
            <w:noWrap w:val="false"/>
          </w:tcPr>
          <w:p>
            <w:pPr>
              <w:jc w:val="center"/>
            </w:pPr>
            <w:r/>
            <w:r/>
          </w:p>
        </w:tc>
        <w:tc>
          <w:tcPr>
            <w:tcW w:w="1173" w:type="dxa"/>
            <w:textDirection w:val="lrTb"/>
            <w:noWrap w:val="false"/>
          </w:tcPr>
          <w:p>
            <w:pPr>
              <w:jc w:val="center"/>
            </w:pPr>
            <w:r/>
            <w:r/>
          </w:p>
        </w:tc>
      </w:tr>
      <w:tr>
        <w:trPr>
          <w:cantSplit/>
          <w:trHeight w:val="640"/>
        </w:trPr>
        <w:tc>
          <w:tcPr>
            <w:tcW w:w="984" w:type="dxa"/>
            <w:textDirection w:val="lrTb"/>
            <w:noWrap w:val="false"/>
          </w:tcPr>
          <w:p>
            <w:pPr>
              <w:jc w:val="center"/>
            </w:pPr>
            <w:r/>
            <w:r/>
          </w:p>
        </w:tc>
        <w:tc>
          <w:tcPr>
            <w:tcW w:w="2852" w:type="dxa"/>
            <w:textDirection w:val="lrTb"/>
            <w:noWrap w:val="false"/>
          </w:tcPr>
          <w:p>
            <w:pPr>
              <w:jc w:val="center"/>
            </w:pPr>
            <w:r/>
            <w:r/>
          </w:p>
        </w:tc>
        <w:tc>
          <w:tcPr>
            <w:tcW w:w="2852" w:type="dxa"/>
            <w:textDirection w:val="lrTb"/>
            <w:noWrap w:val="false"/>
          </w:tcPr>
          <w:p>
            <w:pPr>
              <w:jc w:val="center"/>
            </w:pPr>
            <w:r/>
            <w:r/>
          </w:p>
        </w:tc>
        <w:tc>
          <w:tcPr>
            <w:tcW w:w="1308" w:type="dxa"/>
            <w:textDirection w:val="lrTb"/>
            <w:noWrap w:val="false"/>
          </w:tcPr>
          <w:p>
            <w:pPr>
              <w:jc w:val="center"/>
            </w:pPr>
            <w:r/>
            <w:r/>
          </w:p>
        </w:tc>
        <w:tc>
          <w:tcPr>
            <w:tcW w:w="1173" w:type="dxa"/>
            <w:textDirection w:val="lrTb"/>
            <w:noWrap w:val="false"/>
          </w:tcPr>
          <w:p>
            <w:pPr>
              <w:jc w:val="center"/>
            </w:pPr>
            <w:r/>
            <w:r/>
          </w:p>
        </w:tc>
      </w:tr>
      <w:tr>
        <w:trPr>
          <w:cantSplit/>
          <w:trHeight w:val="640"/>
        </w:trPr>
        <w:tc>
          <w:tcPr>
            <w:tcW w:w="984" w:type="dxa"/>
            <w:textDirection w:val="lrTb"/>
            <w:noWrap w:val="false"/>
          </w:tcPr>
          <w:p>
            <w:pPr>
              <w:jc w:val="center"/>
            </w:pPr>
            <w:r/>
            <w:r/>
          </w:p>
        </w:tc>
        <w:tc>
          <w:tcPr>
            <w:tcW w:w="2852" w:type="dxa"/>
            <w:textDirection w:val="lrTb"/>
            <w:noWrap w:val="false"/>
          </w:tcPr>
          <w:p>
            <w:pPr>
              <w:jc w:val="center"/>
            </w:pPr>
            <w:r/>
            <w:r/>
          </w:p>
        </w:tc>
        <w:tc>
          <w:tcPr>
            <w:tcW w:w="2852" w:type="dxa"/>
            <w:textDirection w:val="lrTb"/>
            <w:noWrap w:val="false"/>
          </w:tcPr>
          <w:p>
            <w:pPr>
              <w:jc w:val="center"/>
            </w:pPr>
            <w:r/>
            <w:r/>
          </w:p>
        </w:tc>
        <w:tc>
          <w:tcPr>
            <w:tcW w:w="1308" w:type="dxa"/>
            <w:textDirection w:val="lrTb"/>
            <w:noWrap w:val="false"/>
          </w:tcPr>
          <w:p>
            <w:pPr>
              <w:jc w:val="center"/>
            </w:pPr>
            <w:r/>
            <w:r/>
          </w:p>
        </w:tc>
        <w:tc>
          <w:tcPr>
            <w:tcW w:w="1173" w:type="dxa"/>
            <w:textDirection w:val="lrTb"/>
            <w:noWrap w:val="false"/>
          </w:tcPr>
          <w:p>
            <w:pPr>
              <w:jc w:val="center"/>
            </w:pPr>
            <w:r/>
            <w:r/>
          </w:p>
        </w:tc>
      </w:tr>
      <w:tr>
        <w:trPr>
          <w:cantSplit/>
          <w:trHeight w:val="640"/>
        </w:trPr>
        <w:tc>
          <w:tcPr>
            <w:tcW w:w="984" w:type="dxa"/>
            <w:textDirection w:val="lrTb"/>
            <w:noWrap w:val="false"/>
          </w:tcPr>
          <w:p>
            <w:pPr>
              <w:jc w:val="center"/>
            </w:pPr>
            <w:r/>
            <w:r/>
          </w:p>
        </w:tc>
        <w:tc>
          <w:tcPr>
            <w:tcW w:w="2852" w:type="dxa"/>
            <w:textDirection w:val="lrTb"/>
            <w:noWrap w:val="false"/>
          </w:tcPr>
          <w:p>
            <w:pPr>
              <w:jc w:val="center"/>
            </w:pPr>
            <w:r/>
            <w:r/>
          </w:p>
        </w:tc>
        <w:tc>
          <w:tcPr>
            <w:tcW w:w="2852" w:type="dxa"/>
            <w:textDirection w:val="lrTb"/>
            <w:noWrap w:val="false"/>
          </w:tcPr>
          <w:p>
            <w:pPr>
              <w:jc w:val="center"/>
            </w:pPr>
            <w:r/>
            <w:r/>
          </w:p>
        </w:tc>
        <w:tc>
          <w:tcPr>
            <w:tcW w:w="1308" w:type="dxa"/>
            <w:textDirection w:val="lrTb"/>
            <w:noWrap w:val="false"/>
          </w:tcPr>
          <w:p>
            <w:pPr>
              <w:jc w:val="center"/>
            </w:pPr>
            <w:r/>
            <w:r/>
          </w:p>
        </w:tc>
        <w:tc>
          <w:tcPr>
            <w:tcW w:w="1173" w:type="dxa"/>
            <w:textDirection w:val="lrTb"/>
            <w:noWrap w:val="false"/>
          </w:tcPr>
          <w:p>
            <w:pPr>
              <w:jc w:val="center"/>
            </w:pPr>
            <w:r/>
            <w:r/>
          </w:p>
        </w:tc>
      </w:tr>
      <w:tr>
        <w:trPr>
          <w:cantSplit/>
          <w:trHeight w:val="640"/>
        </w:trPr>
        <w:tc>
          <w:tcPr>
            <w:tcW w:w="984" w:type="dxa"/>
            <w:textDirection w:val="lrTb"/>
            <w:noWrap w:val="false"/>
          </w:tcPr>
          <w:p>
            <w:pPr>
              <w:jc w:val="center"/>
            </w:pPr>
            <w:r/>
            <w:r/>
          </w:p>
        </w:tc>
        <w:tc>
          <w:tcPr>
            <w:tcW w:w="2852" w:type="dxa"/>
            <w:textDirection w:val="lrTb"/>
            <w:noWrap w:val="false"/>
          </w:tcPr>
          <w:p>
            <w:pPr>
              <w:jc w:val="center"/>
            </w:pPr>
            <w:r/>
            <w:r/>
          </w:p>
        </w:tc>
        <w:tc>
          <w:tcPr>
            <w:tcW w:w="2852" w:type="dxa"/>
            <w:textDirection w:val="lrTb"/>
            <w:noWrap w:val="false"/>
          </w:tcPr>
          <w:p>
            <w:pPr>
              <w:jc w:val="center"/>
            </w:pPr>
            <w:r/>
            <w:r/>
          </w:p>
        </w:tc>
        <w:tc>
          <w:tcPr>
            <w:tcW w:w="1308" w:type="dxa"/>
            <w:textDirection w:val="lrTb"/>
            <w:noWrap w:val="false"/>
          </w:tcPr>
          <w:p>
            <w:pPr>
              <w:jc w:val="center"/>
            </w:pPr>
            <w:r/>
            <w:r/>
          </w:p>
        </w:tc>
        <w:tc>
          <w:tcPr>
            <w:tcW w:w="1173" w:type="dxa"/>
            <w:textDirection w:val="lrTb"/>
            <w:noWrap w:val="false"/>
          </w:tcPr>
          <w:p>
            <w:pPr>
              <w:jc w:val="center"/>
            </w:pPr>
            <w:r/>
            <w:r/>
          </w:p>
        </w:tc>
      </w:tr>
      <w:tr>
        <w:trPr>
          <w:cantSplit/>
          <w:trHeight w:val="640"/>
        </w:trPr>
        <w:tc>
          <w:tcPr>
            <w:tcW w:w="984" w:type="dxa"/>
            <w:textDirection w:val="lrTb"/>
            <w:noWrap w:val="false"/>
          </w:tcPr>
          <w:p>
            <w:pPr>
              <w:jc w:val="center"/>
            </w:pPr>
            <w:r/>
            <w:r/>
          </w:p>
        </w:tc>
        <w:tc>
          <w:tcPr>
            <w:tcW w:w="2852" w:type="dxa"/>
            <w:textDirection w:val="lrTb"/>
            <w:noWrap w:val="false"/>
          </w:tcPr>
          <w:p>
            <w:pPr>
              <w:jc w:val="center"/>
            </w:pPr>
            <w:r/>
            <w:r/>
          </w:p>
        </w:tc>
        <w:tc>
          <w:tcPr>
            <w:tcW w:w="2852" w:type="dxa"/>
            <w:textDirection w:val="lrTb"/>
            <w:noWrap w:val="false"/>
          </w:tcPr>
          <w:p>
            <w:pPr>
              <w:jc w:val="center"/>
            </w:pPr>
            <w:r/>
            <w:r/>
          </w:p>
        </w:tc>
        <w:tc>
          <w:tcPr>
            <w:tcW w:w="1308" w:type="dxa"/>
            <w:textDirection w:val="lrTb"/>
            <w:noWrap w:val="false"/>
          </w:tcPr>
          <w:p>
            <w:pPr>
              <w:jc w:val="center"/>
            </w:pPr>
            <w:r/>
            <w:r/>
          </w:p>
        </w:tc>
        <w:tc>
          <w:tcPr>
            <w:tcW w:w="1173" w:type="dxa"/>
            <w:textDirection w:val="lrTb"/>
            <w:noWrap w:val="false"/>
          </w:tcPr>
          <w:p>
            <w:pPr>
              <w:jc w:val="center"/>
            </w:pPr>
            <w:r/>
            <w:r/>
          </w:p>
        </w:tc>
      </w:tr>
      <w:tr>
        <w:trPr>
          <w:cantSplit/>
          <w:trHeight w:val="640"/>
        </w:trPr>
        <w:tc>
          <w:tcPr>
            <w:tcW w:w="984" w:type="dxa"/>
            <w:textDirection w:val="lrTb"/>
            <w:noWrap w:val="false"/>
          </w:tcPr>
          <w:p>
            <w:pPr>
              <w:jc w:val="center"/>
            </w:pPr>
            <w:r/>
            <w:r/>
          </w:p>
        </w:tc>
        <w:tc>
          <w:tcPr>
            <w:tcW w:w="2852" w:type="dxa"/>
            <w:textDirection w:val="lrTb"/>
            <w:noWrap w:val="false"/>
          </w:tcPr>
          <w:p>
            <w:pPr>
              <w:jc w:val="center"/>
            </w:pPr>
            <w:r/>
            <w:r/>
          </w:p>
        </w:tc>
        <w:tc>
          <w:tcPr>
            <w:tcW w:w="2852" w:type="dxa"/>
            <w:textDirection w:val="lrTb"/>
            <w:noWrap w:val="false"/>
          </w:tcPr>
          <w:p>
            <w:pPr>
              <w:jc w:val="center"/>
            </w:pPr>
            <w:r/>
            <w:r/>
          </w:p>
        </w:tc>
        <w:tc>
          <w:tcPr>
            <w:tcW w:w="1308" w:type="dxa"/>
            <w:textDirection w:val="lrTb"/>
            <w:noWrap w:val="false"/>
          </w:tcPr>
          <w:p>
            <w:pPr>
              <w:jc w:val="center"/>
            </w:pPr>
            <w:r/>
            <w:r/>
          </w:p>
        </w:tc>
        <w:tc>
          <w:tcPr>
            <w:tcW w:w="1173" w:type="dxa"/>
            <w:textDirection w:val="lrTb"/>
            <w:noWrap w:val="false"/>
          </w:tcPr>
          <w:p>
            <w:pPr>
              <w:jc w:val="center"/>
            </w:pPr>
            <w:r/>
            <w:r/>
          </w:p>
        </w:tc>
      </w:tr>
    </w:tbl>
    <w:p>
      <w:r>
        <w:t xml:space="preserve">法定代表人或授权代表签字：</w:t>
      </w:r>
      <w:r/>
    </w:p>
    <w:p>
      <w:r/>
      <w:r/>
    </w:p>
    <w:p>
      <w:r/>
      <w:r/>
    </w:p>
    <w:p>
      <w:r>
        <w:t xml:space="preserve">注：1、按照基本技术要求详细填列。</w:t>
      </w:r>
      <w:r/>
    </w:p>
    <w:p>
      <w:pPr>
        <w:numPr>
          <w:ilvl w:val="0"/>
          <w:numId w:val="8"/>
        </w:numPr>
      </w:pPr>
      <w:r>
        <w:t xml:space="preserve">行数不够，可自行添加。</w:t>
      </w:r>
      <w:r/>
    </w:p>
    <w:p>
      <w:pPr>
        <w:ind w:firstLine="480"/>
        <w:spacing w:line="360" w:lineRule="auto"/>
        <w:rPr>
          <w:bCs/>
        </w:rPr>
      </w:pPr>
      <w:r>
        <w:rPr>
          <w:bCs/>
        </w:rPr>
        <w:t xml:space="preserve">3、技术偏离表应针对项目需求逐条应答。</w:t>
      </w:r>
      <w:r/>
    </w:p>
    <w:p>
      <w:pPr>
        <w:rPr>
          <w:sz w:val="24"/>
          <w:szCs w:val="24"/>
        </w:rPr>
      </w:pPr>
      <w:r>
        <w:rPr>
          <w:sz w:val="24"/>
          <w:szCs w:val="24"/>
        </w:rPr>
      </w:r>
      <w:r/>
    </w:p>
    <w:p>
      <w:pPr>
        <w:jc w:val="center"/>
        <w:rPr>
          <w:b/>
          <w:sz w:val="36"/>
        </w:rPr>
      </w:pPr>
      <w:r>
        <w:rPr>
          <w:b/>
          <w:sz w:val="36"/>
        </w:rPr>
      </w:r>
      <w:r/>
    </w:p>
    <w:p>
      <w:pPr>
        <w:jc w:val="center"/>
        <w:rPr>
          <w:b/>
          <w:sz w:val="36"/>
        </w:rPr>
      </w:pPr>
      <w:r>
        <w:rPr>
          <w:b/>
          <w:sz w:val="36"/>
        </w:rPr>
      </w:r>
      <w:r/>
    </w:p>
    <w:p>
      <w:pPr>
        <w:pStyle w:val="706"/>
        <w:rPr>
          <w:rFonts w:ascii="Times New Roman" w:hAnsi="Times New Roman" w:eastAsia="宋体"/>
        </w:rPr>
      </w:pPr>
      <w:r>
        <w:rPr>
          <w:rFonts w:ascii="Times New Roman" w:hAnsi="Times New Roman" w:eastAsia="宋体"/>
        </w:rPr>
      </w:r>
      <w:r/>
    </w:p>
    <w:p>
      <w:r/>
      <w:r/>
    </w:p>
    <w:p>
      <w:r>
        <w:br w:type="page" w:clear="all"/>
      </w:r>
      <w:bookmarkEnd w:id="55"/>
      <w:r/>
      <w:r/>
    </w:p>
    <w:p>
      <w:pPr>
        <w:pStyle w:val="737"/>
        <w:ind w:firstLine="723"/>
        <w:rPr>
          <w:rFonts w:ascii="Times New Roman" w:hAnsi="Times New Roman" w:eastAsia="宋体"/>
          <w:b/>
          <w:sz w:val="36"/>
        </w:rPr>
      </w:pPr>
      <w:r>
        <w:rPr>
          <w:rFonts w:ascii="Times New Roman" w:hAnsi="Times New Roman" w:eastAsia="宋体"/>
          <w:b/>
          <w:sz w:val="36"/>
        </w:rPr>
      </w:r>
      <w:r/>
    </w:p>
    <w:p>
      <w:pPr>
        <w:jc w:val="center"/>
        <w:spacing w:before="50" w:after="50"/>
        <w:rPr>
          <w:sz w:val="32"/>
          <w:szCs w:val="32"/>
        </w:rPr>
      </w:pPr>
      <w:r/>
      <w:bookmarkStart w:id="56" w:name="_Hlt26955054"/>
      <w:r/>
      <w:bookmarkEnd w:id="56"/>
      <w:r>
        <w:rPr>
          <w:sz w:val="32"/>
          <w:szCs w:val="32"/>
        </w:rPr>
        <w:t xml:space="preserve">九、商务条款响应及偏离表（如有）</w:t>
      </w:r>
      <w:r/>
    </w:p>
    <w:p>
      <w:pPr>
        <w:jc w:val="center"/>
        <w:rPr>
          <w:sz w:val="24"/>
          <w:szCs w:val="24"/>
        </w:rPr>
      </w:pPr>
      <w:r>
        <w:rPr>
          <w:sz w:val="24"/>
          <w:szCs w:val="24"/>
        </w:rPr>
      </w:r>
      <w:r/>
    </w:p>
    <w:p>
      <w:r>
        <w:t xml:space="preserve">投标人全称（加盖公章）：        </w:t>
      </w:r>
      <w:r/>
    </w:p>
    <w:tbl>
      <w:tblPr>
        <w:tblStyle w:val="698"/>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2700"/>
        <w:gridCol w:w="1260"/>
        <w:gridCol w:w="3020"/>
      </w:tblGrid>
      <w:tr>
        <w:trPr>
          <w:trHeight w:val="642"/>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45"/>
            </w:pPr>
            <w:r>
              <w:t xml:space="preserve">项目</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45"/>
            </w:pPr>
            <w:r>
              <w:t xml:space="preserve">招标文件要求</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45"/>
            </w:pPr>
            <w:r>
              <w:t xml:space="preserve">是否响应</w:t>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45"/>
            </w:pPr>
            <w:r>
              <w:t xml:space="preserve">投标人的承诺或说明</w:t>
            </w:r>
            <w:r/>
          </w:p>
        </w:tc>
      </w:tr>
      <w:tr>
        <w:trPr>
          <w:trHeight w:val="719"/>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45"/>
            </w:pPr>
            <w:r>
              <w:t xml:space="preserve">售后技术服务要求</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45"/>
            </w:p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45"/>
            </w:p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45"/>
            </w:pPr>
            <w:r/>
            <w:r/>
          </w:p>
        </w:tc>
      </w:tr>
      <w:tr>
        <w:trPr>
          <w:trHeight w:val="5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45"/>
            </w:pPr>
            <w:r>
              <w:t xml:space="preserve">服务期</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45"/>
            </w:p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left="43"/>
              <w:spacing w:before="145"/>
            </w:p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ind w:left="43"/>
              <w:spacing w:before="145"/>
            </w:pPr>
            <w:r/>
            <w:r/>
          </w:p>
        </w:tc>
      </w:tr>
      <w:tr>
        <w:trPr>
          <w:trHeight w:val="82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45"/>
            </w:pPr>
            <w:r>
              <w:t xml:space="preserve">付款方式</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45"/>
            </w:p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45"/>
            </w:p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45"/>
            </w:pPr>
            <w:r/>
            <w:r/>
          </w:p>
        </w:tc>
      </w:tr>
      <w:tr>
        <w:trPr>
          <w:trHeight w:val="3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45"/>
            </w:pPr>
            <w:r>
              <w:t xml:space="preserve">投标货币</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45"/>
            </w:pPr>
            <w:r/>
            <w:r/>
          </w:p>
          <w:p>
            <w:pPr>
              <w:spacing w:before="145"/>
            </w:p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45"/>
            </w:p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45"/>
            </w:pPr>
            <w:r/>
            <w:r/>
          </w:p>
        </w:tc>
      </w:tr>
      <w:tr>
        <w:trPr>
          <w:trHeight w:val="40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45"/>
            </w:pPr>
            <w:r>
              <w:t xml:space="preserve">备品备件及耗材等要求</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45"/>
            </w:p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45"/>
            </w:p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45"/>
            </w:pPr>
            <w:r/>
            <w:r/>
          </w:p>
        </w:tc>
      </w:tr>
      <w:tr>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45"/>
            </w:pPr>
            <w:r>
              <w:t xml:space="preserve">其他</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45"/>
            </w:p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45"/>
            </w:p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45"/>
            </w:pPr>
            <w:r/>
            <w:r/>
          </w:p>
        </w:tc>
      </w:tr>
    </w:tbl>
    <w:p>
      <w:r>
        <w:t xml:space="preserve">法定代表人或授权代表签字：</w:t>
      </w:r>
      <w:r/>
    </w:p>
    <w:p>
      <w:pPr>
        <w:pStyle w:val="699"/>
      </w:pPr>
      <w:r/>
      <w:r/>
    </w:p>
    <w:p>
      <w:pPr>
        <w:pStyle w:val="699"/>
      </w:pPr>
      <w:r/>
      <w:r/>
    </w:p>
    <w:p>
      <w:pPr>
        <w:spacing w:line="480" w:lineRule="auto"/>
        <w:rPr>
          <w:sz w:val="30"/>
        </w:rPr>
      </w:pPr>
      <w:r/>
      <w:bookmarkStart w:id="57" w:name="_Hlt26671372"/>
      <w:r/>
      <w:bookmarkEnd w:id="57"/>
      <w:r/>
      <w:bookmarkStart w:id="58" w:name="_Hlt26671343"/>
      <w:r/>
      <w:bookmarkEnd w:id="58"/>
      <w:r/>
      <w:bookmarkStart w:id="59" w:name="_Hlt26955056"/>
      <w:r/>
      <w:bookmarkEnd w:id="59"/>
      <w:r/>
      <w:bookmarkStart w:id="60" w:name="_Hlt26955064"/>
      <w:r/>
      <w:bookmarkEnd w:id="60"/>
      <w:r/>
      <w:bookmarkStart w:id="61" w:name="_Hlt24879081"/>
      <w:r/>
      <w:bookmarkEnd w:id="61"/>
      <w:r/>
      <w:bookmarkStart w:id="62" w:name="_Hlt26782999"/>
      <w:r/>
      <w:bookmarkEnd w:id="62"/>
      <w:r/>
      <w:bookmarkStart w:id="63" w:name="_Hlt26609391"/>
      <w:r/>
      <w:bookmarkEnd w:id="63"/>
      <w:r/>
      <w:bookmarkStart w:id="64" w:name="_Hlt26580838"/>
      <w:r/>
      <w:bookmarkEnd w:id="64"/>
      <w:r>
        <w:rPr>
          <w:sz w:val="30"/>
        </w:rPr>
        <w:t xml:space="preserve">    </w:t>
      </w:r>
      <w:bookmarkStart w:id="65" w:name="_Hlt26609389"/>
      <w:r/>
      <w:bookmarkEnd w:id="65"/>
      <w:r/>
      <w:bookmarkStart w:id="66" w:name="_Hlt26955066"/>
      <w:r/>
      <w:bookmarkEnd w:id="66"/>
      <w:r/>
      <w:bookmarkStart w:id="67" w:name="_Hlt26671374"/>
      <w:r/>
      <w:bookmarkEnd w:id="67"/>
      <w:r/>
      <w:bookmarkStart w:id="68" w:name="_Toc462564146"/>
      <w:r/>
      <w:r/>
    </w:p>
    <w:p>
      <w:pPr>
        <w:pStyle w:val="699"/>
        <w:ind w:firstLine="0"/>
        <w:rPr>
          <w:sz w:val="24"/>
        </w:rPr>
      </w:pPr>
      <w:r>
        <w:rPr>
          <w:sz w:val="24"/>
        </w:rPr>
      </w:r>
      <w:r/>
    </w:p>
    <w:p>
      <w:pPr>
        <w:jc w:val="center"/>
        <w:spacing w:before="50" w:after="50"/>
        <w:rPr>
          <w:sz w:val="32"/>
          <w:szCs w:val="32"/>
        </w:rPr>
      </w:pPr>
      <w:r>
        <w:rPr>
          <w:sz w:val="32"/>
          <w:szCs w:val="32"/>
        </w:rPr>
        <w:br w:type="page" w:clear="all"/>
      </w:r>
      <w:r>
        <w:rPr>
          <w:sz w:val="32"/>
          <w:szCs w:val="32"/>
        </w:rPr>
        <w:t xml:space="preserve">十、</w:t>
      </w:r>
      <w:bookmarkEnd w:id="43"/>
      <w:r/>
      <w:bookmarkEnd w:id="44"/>
      <w:r/>
      <w:bookmarkEnd w:id="68"/>
      <w:r>
        <w:rPr>
          <w:sz w:val="32"/>
          <w:szCs w:val="32"/>
        </w:rPr>
        <w:t xml:space="preserve">技术部分、成功案例、项目管理配备及企业能力等内容</w:t>
      </w:r>
      <w:r/>
    </w:p>
    <w:p>
      <w:pPr>
        <w:jc w:val="center"/>
        <w:spacing w:before="50" w:after="50"/>
        <w:rPr>
          <w:sz w:val="32"/>
          <w:szCs w:val="32"/>
        </w:rPr>
      </w:pPr>
      <w:r>
        <w:rPr>
          <w:sz w:val="32"/>
          <w:szCs w:val="32"/>
        </w:rPr>
      </w:r>
      <w:r/>
    </w:p>
    <w:p>
      <w:pPr>
        <w:spacing w:before="50" w:after="50"/>
        <w:rPr>
          <w:sz w:val="32"/>
          <w:szCs w:val="32"/>
        </w:rPr>
      </w:pPr>
      <w:r>
        <w:rPr>
          <w:sz w:val="32"/>
          <w:szCs w:val="32"/>
        </w:rPr>
      </w:r>
      <w:r/>
    </w:p>
    <w:p>
      <w:pPr>
        <w:jc w:val="center"/>
        <w:rPr>
          <w:b/>
          <w:bCs/>
          <w:sz w:val="28"/>
          <w:szCs w:val="28"/>
        </w:rPr>
      </w:pPr>
      <w:r>
        <w:rPr>
          <w:b/>
          <w:bCs/>
          <w:sz w:val="28"/>
          <w:szCs w:val="28"/>
        </w:rPr>
        <w:t xml:space="preserve">拟投入的配备人员一览表</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205"/>
        <w:gridCol w:w="906"/>
        <w:gridCol w:w="713"/>
        <w:gridCol w:w="966"/>
        <w:gridCol w:w="2409"/>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b/>
                <w:sz w:val="24"/>
              </w:rPr>
            </w:pPr>
            <w:r>
              <w:rPr>
                <w:b/>
                <w:sz w:val="24"/>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b/>
                <w:sz w:val="24"/>
              </w:rPr>
            </w:pPr>
            <w:r>
              <w:rPr>
                <w:b/>
                <w:sz w:val="24"/>
              </w:rPr>
              <w:t xml:space="preserve">岗位</w:t>
            </w:r>
            <w:r/>
          </w:p>
        </w:tc>
        <w:tc>
          <w:tcPr>
            <w:tcBorders>
              <w:top w:val="single" w:color="000000" w:sz="2" w:space="0"/>
              <w:left w:val="single" w:color="auto" w:sz="4" w:space="0"/>
              <w:bottom w:val="single" w:color="000000" w:sz="2" w:space="0"/>
              <w:right w:val="single" w:color="000000" w:sz="2" w:space="0"/>
            </w:tcBorders>
            <w:tcW w:w="1205" w:type="dxa"/>
            <w:vAlign w:val="center"/>
            <w:textDirection w:val="lrTb"/>
            <w:noWrap w:val="false"/>
          </w:tcPr>
          <w:p>
            <w:pPr>
              <w:jc w:val="center"/>
              <w:rPr>
                <w:b/>
                <w:sz w:val="24"/>
              </w:rPr>
            </w:pPr>
            <w:r>
              <w:rPr>
                <w:b/>
                <w:sz w:val="24"/>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b/>
                <w:sz w:val="24"/>
              </w:rPr>
            </w:pPr>
            <w:r>
              <w:rPr>
                <w:b/>
                <w:sz w:val="24"/>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b/>
                <w:sz w:val="24"/>
              </w:rPr>
            </w:pPr>
            <w:r>
              <w:rPr>
                <w:b/>
                <w:sz w:val="24"/>
              </w:rPr>
              <w:t xml:space="preserve">年龄</w:t>
            </w:r>
            <w:r/>
          </w:p>
        </w:tc>
        <w:tc>
          <w:tcPr>
            <w:tcBorders>
              <w:top w:val="single" w:color="000000" w:sz="2" w:space="0"/>
              <w:left w:val="single" w:color="auto" w:sz="4" w:space="0"/>
              <w:bottom w:val="single" w:color="000000" w:sz="2" w:space="0"/>
              <w:right w:val="single" w:color="auto" w:sz="4" w:space="0"/>
            </w:tcBorders>
            <w:tcW w:w="966" w:type="dxa"/>
            <w:vAlign w:val="center"/>
            <w:textDirection w:val="lrTb"/>
            <w:noWrap w:val="false"/>
          </w:tcPr>
          <w:p>
            <w:pPr>
              <w:jc w:val="center"/>
              <w:rPr>
                <w:b/>
                <w:sz w:val="24"/>
              </w:rPr>
            </w:pPr>
            <w:r>
              <w:rPr>
                <w:b/>
                <w:sz w:val="24"/>
              </w:rPr>
              <w:t xml:space="preserve">学历</w:t>
            </w:r>
            <w:r/>
          </w:p>
        </w:tc>
        <w:tc>
          <w:tcPr>
            <w:tcBorders>
              <w:top w:val="single" w:color="000000" w:sz="2" w:space="0"/>
              <w:left w:val="single" w:color="auto" w:sz="4" w:space="0"/>
              <w:bottom w:val="single" w:color="000000" w:sz="2" w:space="0"/>
              <w:right w:val="single" w:color="000000" w:sz="2" w:space="0"/>
            </w:tcBorders>
            <w:tcW w:w="2409" w:type="dxa"/>
            <w:vAlign w:val="center"/>
            <w:textDirection w:val="lrTb"/>
            <w:noWrap w:val="false"/>
          </w:tcPr>
          <w:p>
            <w:pPr>
              <w:ind w:firstLine="482"/>
              <w:jc w:val="center"/>
              <w:rPr>
                <w:b/>
                <w:sz w:val="24"/>
              </w:rPr>
            </w:pPr>
            <w:r>
              <w:rPr>
                <w:b/>
                <w:sz w:val="24"/>
              </w:rPr>
              <w:t xml:space="preserve">身份证号码</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b/>
                <w:sz w:val="24"/>
              </w:rPr>
            </w:pPr>
            <w:r>
              <w:rPr>
                <w:b/>
                <w:sz w:val="24"/>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sz w:val="24"/>
              </w:rPr>
            </w:pPr>
            <w:r>
              <w:rPr>
                <w:sz w:val="24"/>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sz w:val="24"/>
              </w:rPr>
            </w:pPr>
            <w:r>
              <w:rPr>
                <w:sz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sz w:val="24"/>
              </w:rPr>
            </w:pPr>
            <w:r>
              <w:rPr>
                <w:sz w:val="24"/>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sz w:val="24"/>
              </w:rPr>
            </w:pPr>
            <w:r>
              <w:rPr>
                <w:sz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sz w:val="24"/>
              </w:rPr>
            </w:pPr>
            <w:r>
              <w:rPr>
                <w:sz w:val="24"/>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sz w:val="24"/>
              </w:rPr>
            </w:pPr>
            <w:r>
              <w:rPr>
                <w:sz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sz w:val="24"/>
              </w:rPr>
            </w:pPr>
            <w:r>
              <w:rPr>
                <w:sz w:val="24"/>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rPr>
                <w:sz w:val="24"/>
              </w:rPr>
            </w:pPr>
            <w:r>
              <w:rPr>
                <w:sz w:val="24"/>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sz w:val="24"/>
              </w:rPr>
            </w:pPr>
            <w:r>
              <w:rPr>
                <w:sz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sz w:val="24"/>
              </w:rPr>
            </w:pPr>
            <w:r>
              <w:rPr>
                <w:sz w:val="24"/>
              </w:rPr>
              <w:t xml:space="preserve">5</w:t>
            </w:r>
            <w:r/>
          </w:p>
        </w:tc>
        <w:tc>
          <w:tcPr>
            <w:tcBorders>
              <w:top w:val="single" w:color="auto" w:sz="4" w:space="0"/>
              <w:left w:val="single" w:color="auto" w:sz="4" w:space="0"/>
              <w:bottom w:val="single" w:color="000000" w:sz="2" w:space="0"/>
              <w:right w:val="single" w:color="auto" w:sz="4" w:space="0"/>
            </w:tcBorders>
            <w:tcW w:w="1260"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sz w:val="24"/>
              </w:rPr>
            </w:pPr>
            <w:r>
              <w:rPr>
                <w:sz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sz w:val="24"/>
              </w:rPr>
            </w:pPr>
            <w:r>
              <w:rPr>
                <w:sz w:val="24"/>
              </w:rPr>
              <w:t xml:space="preserve">6</w:t>
            </w:r>
            <w:r/>
          </w:p>
        </w:tc>
        <w:tc>
          <w:tcPr>
            <w:tcBorders>
              <w:top w:val="single" w:color="auto" w:sz="4" w:space="0"/>
              <w:left w:val="single" w:color="auto" w:sz="4" w:space="0"/>
              <w:bottom w:val="single" w:color="000000" w:sz="2" w:space="0"/>
              <w:right w:val="single" w:color="auto" w:sz="4" w:space="0"/>
            </w:tcBorders>
            <w:tcW w:w="1260"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sz w:val="24"/>
              </w:rPr>
            </w:pPr>
            <w:r>
              <w:rPr>
                <w:sz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sz w:val="24"/>
              </w:rPr>
            </w:pPr>
            <w:r>
              <w:rPr>
                <w:sz w:val="24"/>
              </w:rPr>
              <w:t xml:space="preserve">…</w:t>
            </w:r>
            <w:r/>
          </w:p>
        </w:tc>
        <w:tc>
          <w:tcPr>
            <w:tcBorders>
              <w:top w:val="single" w:color="auto" w:sz="4" w:space="0"/>
              <w:left w:val="single" w:color="auto" w:sz="4" w:space="0"/>
              <w:bottom w:val="single" w:color="000000" w:sz="2" w:space="0"/>
              <w:right w:val="single" w:color="auto" w:sz="4" w:space="0"/>
            </w:tcBorders>
            <w:tcW w:w="1260"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sz w:val="24"/>
              </w:rPr>
            </w:pPr>
            <w:r>
              <w:rPr>
                <w:sz w:val="24"/>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sz w:val="24"/>
              </w:rPr>
            </w:pPr>
            <w:r>
              <w:rPr>
                <w:sz w:val="24"/>
              </w:rPr>
            </w:r>
            <w:r/>
          </w:p>
        </w:tc>
      </w:tr>
    </w:tbl>
    <w:p>
      <w:pPr>
        <w:ind w:firstLine="480"/>
        <w:spacing w:line="360" w:lineRule="auto"/>
        <w:rPr>
          <w:sz w:val="24"/>
        </w:rPr>
      </w:pPr>
      <w:r>
        <w:rPr>
          <w:sz w:val="24"/>
        </w:rPr>
      </w:r>
      <w:r/>
    </w:p>
    <w:p>
      <w:pPr>
        <w:ind w:firstLine="480"/>
        <w:spacing w:line="360" w:lineRule="auto"/>
        <w:rPr>
          <w:sz w:val="24"/>
        </w:rPr>
      </w:pPr>
      <w:r>
        <w:rPr>
          <w:sz w:val="24"/>
        </w:rPr>
        <w:t xml:space="preserve">注：1.根据招标文件及评分标准相关要求填写，并提供相关的证明材料（</w:t>
      </w:r>
      <w:r>
        <w:rPr>
          <w:b/>
          <w:bCs/>
          <w:sz w:val="24"/>
        </w:rPr>
        <w:t xml:space="preserve">配备人员身份证扫描件等</w:t>
      </w:r>
      <w:r>
        <w:rPr>
          <w:sz w:val="24"/>
        </w:rPr>
        <w:t xml:space="preserve">）；</w:t>
      </w:r>
      <w:r/>
    </w:p>
    <w:p>
      <w:pPr>
        <w:ind w:firstLine="480"/>
        <w:spacing w:line="360" w:lineRule="auto"/>
        <w:rPr>
          <w:sz w:val="24"/>
        </w:rPr>
      </w:pPr>
      <w:r>
        <w:rPr>
          <w:sz w:val="24"/>
        </w:rPr>
        <w:t xml:space="preserve">2.表格不够填写可添加；</w:t>
      </w:r>
      <w:r/>
    </w:p>
    <w:p>
      <w:pPr>
        <w:ind w:firstLine="480"/>
      </w:pPr>
      <w:r>
        <w:rPr>
          <w:sz w:val="24"/>
        </w:rPr>
        <w:t xml:space="preserve">3.以上人员工资、社保须根据劳动法和盐城市相关要求缴纳；</w:t>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r>
      <w:r/>
    </w:p>
    <w:p>
      <w:pPr>
        <w:jc w:val="center"/>
        <w:spacing w:before="50" w:after="50"/>
        <w:rPr>
          <w:sz w:val="32"/>
          <w:szCs w:val="32"/>
        </w:rPr>
      </w:pPr>
      <w:r>
        <w:rPr>
          <w:sz w:val="32"/>
          <w:szCs w:val="32"/>
        </w:rPr>
        <w:t xml:space="preserve">十一、盐城市政府采购事前信用承诺书</w:t>
      </w:r>
      <w:r/>
    </w:p>
    <w:p>
      <w:pPr>
        <w:ind w:firstLine="420"/>
        <w:jc w:val="left"/>
        <w:spacing w:line="500" w:lineRule="exact"/>
        <w:widowControl/>
      </w:pPr>
      <w:r>
        <w:t xml:space="preserve">为营造我市公开、公平、公正、诚实守信的政府采购交易环境，树立诚信守法的投标人形象，本人代表本单位作出以下承诺：</w:t>
      </w:r>
      <w:r/>
    </w:p>
    <w:p>
      <w:pPr>
        <w:jc w:val="left"/>
        <w:spacing w:line="500" w:lineRule="exact"/>
        <w:widowControl/>
      </w:pPr>
      <w: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spacing w:line="500" w:lineRule="exact"/>
        <w:widowControl/>
      </w:pPr>
      <w: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pPr>
      <w:r>
        <w:t xml:space="preserve">   （三）严格依照国家和省、市关于政府采购的法律、法规、规章、规范性文件，参加政府采购投标活动；积极履行社会责任，促进廉政建设； </w:t>
      </w:r>
      <w:r/>
    </w:p>
    <w:p>
      <w:pPr>
        <w:jc w:val="left"/>
        <w:spacing w:line="500" w:lineRule="exact"/>
        <w:widowControl/>
      </w:pPr>
      <w:r>
        <w:t xml:space="preserve">   （四）严格遵守即时信息公示规定，及时维护和更新维护和更新盐城市政府采购网中与本单位相关的信息；</w:t>
      </w:r>
      <w:r/>
    </w:p>
    <w:p>
      <w:pPr>
        <w:jc w:val="left"/>
        <w:spacing w:line="500" w:lineRule="exact"/>
        <w:widowControl/>
      </w:pPr>
      <w: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pPr>
      <w:r>
        <w:t xml:space="preserve">   （六）自觉接受政府、行业组织、社会公众、新闻舆论的监督；</w:t>
      </w:r>
      <w:r/>
    </w:p>
    <w:p>
      <w:pPr>
        <w:ind w:firstLine="420"/>
        <w:jc w:val="left"/>
        <w:spacing w:line="500" w:lineRule="exact"/>
        <w:widowControl/>
      </w:pPr>
      <w: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pPr>
      <w:r>
        <w:t xml:space="preserve">   （八）本人已认真阅读了上述承诺，并向本单位员工作了宣传教育。</w:t>
      </w:r>
      <w:r/>
    </w:p>
    <w:p>
      <w:pPr>
        <w:jc w:val="left"/>
        <w:spacing w:line="500" w:lineRule="exact"/>
        <w:widowControl/>
      </w:pPr>
      <w:r/>
      <w:r/>
    </w:p>
    <w:p>
      <w:pPr>
        <w:jc w:val="center"/>
        <w:spacing w:line="500" w:lineRule="exact"/>
        <w:widowControl/>
      </w:pPr>
      <w:r>
        <w:t xml:space="preserve">                 法定代表人签名：</w:t>
      </w:r>
      <w:r/>
    </w:p>
    <w:p>
      <w:pPr>
        <w:jc w:val="center"/>
        <w:spacing w:line="500" w:lineRule="exact"/>
        <w:widowControl/>
      </w:pPr>
      <w:r>
        <w:t xml:space="preserve">                   单位名称（盖章）：</w:t>
      </w:r>
      <w:r/>
    </w:p>
    <w:p>
      <w:pPr>
        <w:jc w:val="center"/>
        <w:spacing w:line="500" w:lineRule="exact"/>
        <w:widowControl/>
      </w:pPr>
      <w:r>
        <w:t xml:space="preserve">                      年    月    日</w:t>
      </w:r>
      <w:r/>
    </w:p>
    <w:sectPr>
      <w:footerReference w:type="default" r:id="rId12"/>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Bookshelf Symbol 7">
    <w:panose1 w:val="05010101010101010101"/>
  </w:font>
  <w:font w:name="Symbol">
    <w:panose1 w:val="05050102010706020507"/>
  </w:font>
  <w:font w:name="Wingdings">
    <w:panose1 w:val="05000000000000000000"/>
  </w:font>
  <w:font w:name="Tahoma">
    <w:panose1 w:val="020B0604030504040204"/>
  </w:font>
  <w:font w:name="Cambria Math">
    <w:panose1 w:val="02040503050406030204"/>
  </w:font>
  <w:font w:name="Calibri">
    <w:panose1 w:val="020F0502020204030204"/>
  </w:font>
  <w:font w:name="方正黑体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rPr>
        <w:rStyle w:val="742"/>
      </w:rPr>
      <w:framePr w:wrap="around" w:vAnchor="text" w:hAnchor="margin" w:xAlign="center" w:y="1"/>
    </w:pPr>
    <w:r>
      <w:fldChar w:fldCharType="begin"/>
    </w:r>
    <w:r>
      <w:rPr>
        <w:rStyle w:val="742"/>
      </w:rPr>
      <w:instrText xml:space="preserve">PAGE  </w:instrText>
    </w:r>
    <w:r>
      <w:fldChar w:fldCharType="separate"/>
    </w:r>
    <w:r>
      <w:rPr>
        <w:rStyle w:val="742"/>
      </w:rPr>
      <w:t xml:space="preserve">1</w:t>
    </w:r>
    <w:r>
      <w:fldChar w:fldCharType="end"/>
    </w:r>
    <w:r/>
  </w:p>
  <w:p>
    <w:pPr>
      <w:pStyle w:val="7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719"/>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1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950"/>
      <w:isLgl w:val="false"/>
      <w:suff w:val="tab"/>
      <w:lvlText w:val=""/>
      <w:lvlJc w:val="left"/>
      <w:pPr>
        <w:ind w:left="602" w:hanging="245"/>
        <w:tabs>
          <w:tab w:val="left" w:pos="717" w:leader="none"/>
        </w:tabs>
      </w:pPr>
      <w:rPr>
        <w:rFonts w:hint="default" w:ascii="Wingdings" w:hAnsi="Wingdings"/>
      </w:rPr>
    </w:lvl>
    <w:lvl w:ilvl="1">
      <w:start w:val="1"/>
      <w:numFmt w:val="bullet"/>
      <w:isLgl w:val="false"/>
      <w:suff w:val="tab"/>
      <w:lvlText w:val=""/>
      <w:lvlJc w:val="left"/>
      <w:pPr>
        <w:ind w:left="1197" w:hanging="420"/>
        <w:tabs>
          <w:tab w:val="left" w:pos="1197" w:leader="none"/>
        </w:tabs>
      </w:pPr>
      <w:rPr>
        <w:rFonts w:hint="default" w:ascii="Bookshelf Symbol 7" w:hAnsi="Bookshelf Symbol 7"/>
      </w:rPr>
    </w:lvl>
    <w:lvl w:ilvl="2">
      <w:start w:val="1"/>
      <w:numFmt w:val="bullet"/>
      <w:isLgl w:val="false"/>
      <w:suff w:val="tab"/>
      <w:lvlText w:val=""/>
      <w:lvlJc w:val="left"/>
      <w:pPr>
        <w:ind w:left="1617" w:hanging="420"/>
        <w:tabs>
          <w:tab w:val="left" w:pos="1617" w:leader="none"/>
        </w:tabs>
      </w:pPr>
      <w:rPr>
        <w:rFonts w:hint="default" w:ascii="Bookshelf Symbol 7" w:hAnsi="Bookshelf Symbol 7"/>
      </w:rPr>
    </w:lvl>
    <w:lvl w:ilvl="3">
      <w:start w:val="1"/>
      <w:numFmt w:val="bullet"/>
      <w:isLgl w:val="false"/>
      <w:suff w:val="tab"/>
      <w:lvlText w:val=""/>
      <w:lvlJc w:val="left"/>
      <w:pPr>
        <w:ind w:left="2037" w:hanging="420"/>
        <w:tabs>
          <w:tab w:val="left" w:pos="2037" w:leader="none"/>
        </w:tabs>
      </w:pPr>
      <w:rPr>
        <w:rFonts w:hint="default" w:ascii="Bookshelf Symbol 7" w:hAnsi="Bookshelf Symbol 7"/>
      </w:rPr>
    </w:lvl>
    <w:lvl w:ilvl="4">
      <w:start w:val="1"/>
      <w:numFmt w:val="bullet"/>
      <w:isLgl w:val="false"/>
      <w:suff w:val="tab"/>
      <w:lvlText w:val=""/>
      <w:lvlJc w:val="left"/>
      <w:pPr>
        <w:ind w:left="2457" w:hanging="420"/>
        <w:tabs>
          <w:tab w:val="left" w:pos="2457" w:leader="none"/>
        </w:tabs>
      </w:pPr>
      <w:rPr>
        <w:rFonts w:hint="default" w:ascii="Bookshelf Symbol 7" w:hAnsi="Bookshelf Symbol 7"/>
      </w:rPr>
    </w:lvl>
    <w:lvl w:ilvl="5">
      <w:start w:val="1"/>
      <w:numFmt w:val="bullet"/>
      <w:isLgl w:val="false"/>
      <w:suff w:val="tab"/>
      <w:lvlText w:val=""/>
      <w:lvlJc w:val="left"/>
      <w:pPr>
        <w:ind w:left="2877" w:hanging="420"/>
        <w:tabs>
          <w:tab w:val="left" w:pos="2877" w:leader="none"/>
        </w:tabs>
      </w:pPr>
      <w:rPr>
        <w:rFonts w:hint="default" w:ascii="Bookshelf Symbol 7" w:hAnsi="Bookshelf Symbol 7"/>
      </w:rPr>
    </w:lvl>
    <w:lvl w:ilvl="6">
      <w:start w:val="1"/>
      <w:numFmt w:val="bullet"/>
      <w:isLgl w:val="false"/>
      <w:suff w:val="tab"/>
      <w:lvlText w:val=""/>
      <w:lvlJc w:val="left"/>
      <w:pPr>
        <w:ind w:left="3297" w:hanging="420"/>
        <w:tabs>
          <w:tab w:val="left" w:pos="3297" w:leader="none"/>
        </w:tabs>
      </w:pPr>
      <w:rPr>
        <w:rFonts w:hint="default" w:ascii="Bookshelf Symbol 7" w:hAnsi="Bookshelf Symbol 7"/>
      </w:rPr>
    </w:lvl>
    <w:lvl w:ilvl="7">
      <w:start w:val="1"/>
      <w:numFmt w:val="bullet"/>
      <w:isLgl w:val="false"/>
      <w:suff w:val="tab"/>
      <w:lvlText w:val=""/>
      <w:lvlJc w:val="left"/>
      <w:pPr>
        <w:ind w:left="3717" w:hanging="420"/>
        <w:tabs>
          <w:tab w:val="left" w:pos="3717" w:leader="none"/>
        </w:tabs>
      </w:pPr>
      <w:rPr>
        <w:rFonts w:hint="default" w:ascii="Bookshelf Symbol 7" w:hAnsi="Bookshelf Symbol 7"/>
      </w:rPr>
    </w:lvl>
    <w:lvl w:ilvl="8">
      <w:start w:val="1"/>
      <w:numFmt w:val="bullet"/>
      <w:isLgl w:val="false"/>
      <w:suff w:val="tab"/>
      <w:lvlText w:val=""/>
      <w:lvlJc w:val="left"/>
      <w:pPr>
        <w:ind w:left="4137" w:hanging="420"/>
        <w:tabs>
          <w:tab w:val="left" w:pos="4137" w:leader="none"/>
        </w:tabs>
      </w:pPr>
      <w:rPr>
        <w:rFonts w:hint="default" w:ascii="Bookshelf Symbol 7" w:hAnsi="Bookshelf Symbol 7"/>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93"/>
      <w:isLgl w:val="false"/>
      <w:suff w:val="nothing"/>
      <w:lvlText w:val=""/>
      <w:lvlJc w:val="left"/>
      <w:pPr>
        <w:ind w:left="0" w:firstLine="0"/>
      </w:pPr>
      <w:rPr>
        <w:rFonts w:hint="eastAsia"/>
      </w:rPr>
    </w:lvl>
    <w:lvl w:ilvl="6">
      <w:start w:val="1"/>
      <w:numFmt w:val="none"/>
      <w:pStyle w:val="694"/>
      <w:isLgl w:val="false"/>
      <w:suff w:val="nothing"/>
      <w:lvlText w:val=""/>
      <w:lvlJc w:val="left"/>
      <w:pPr>
        <w:ind w:left="0" w:firstLine="0"/>
      </w:pPr>
      <w:rPr>
        <w:rFonts w:hint="eastAsia"/>
      </w:rPr>
    </w:lvl>
    <w:lvl w:ilvl="7">
      <w:start w:val="1"/>
      <w:numFmt w:val="none"/>
      <w:pStyle w:val="695"/>
      <w:isLgl w:val="false"/>
      <w:suff w:val="nothing"/>
      <w:lvlText w:val=""/>
      <w:lvlJc w:val="left"/>
      <w:pPr>
        <w:ind w:left="0" w:firstLine="0"/>
      </w:pPr>
      <w:rPr>
        <w:rFonts w:hint="eastAsia"/>
      </w:rPr>
    </w:lvl>
    <w:lvl w:ilvl="8">
      <w:start w:val="1"/>
      <w:numFmt w:val="none"/>
      <w:pStyle w:val="696"/>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8">
    <w:name w:val="Heading 1"/>
    <w:basedOn w:val="687"/>
    <w:next w:val="687"/>
    <w:uiPriority w:val="0"/>
    <w:qFormat/>
    <w:pPr>
      <w:jc w:val="center"/>
      <w:keepNext/>
      <w:outlineLvl w:val="0"/>
    </w:pPr>
    <w:rPr>
      <w:rFonts w:ascii="楷体_GB2312" w:eastAsia="楷体_GB2312"/>
      <w:sz w:val="28"/>
      <w:szCs w:val="28"/>
    </w:rPr>
  </w:style>
  <w:style w:type="paragraph" w:styleId="689">
    <w:name w:val="Heading 2"/>
    <w:basedOn w:val="687"/>
    <w:next w:val="6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0">
    <w:name w:val="Heading 3"/>
    <w:basedOn w:val="687"/>
    <w:next w:val="699"/>
    <w:link w:val="922"/>
    <w:uiPriority w:val="0"/>
    <w:qFormat/>
    <w:pPr>
      <w:keepLines/>
      <w:keepNext/>
      <w:spacing w:before="260" w:after="260" w:line="416" w:lineRule="auto"/>
      <w:outlineLvl w:val="2"/>
    </w:pPr>
    <w:rPr>
      <w:b/>
      <w:bCs/>
      <w:sz w:val="32"/>
      <w:szCs w:val="32"/>
    </w:rPr>
  </w:style>
  <w:style w:type="paragraph" w:styleId="691">
    <w:name w:val="Heading 4"/>
    <w:basedOn w:val="687"/>
    <w:next w:val="699"/>
    <w:uiPriority w:val="0"/>
    <w:qFormat/>
    <w:pPr>
      <w:keepLines/>
      <w:keepNext/>
      <w:spacing w:before="280" w:after="290" w:line="376" w:lineRule="auto"/>
      <w:outlineLvl w:val="3"/>
    </w:pPr>
    <w:rPr>
      <w:rFonts w:ascii="Arial" w:hAnsi="Arial" w:eastAsia="黑体" w:cs="Arial"/>
      <w:b/>
      <w:bCs/>
      <w:sz w:val="28"/>
      <w:szCs w:val="28"/>
    </w:rPr>
  </w:style>
  <w:style w:type="paragraph" w:styleId="692">
    <w:name w:val="Heading 5"/>
    <w:basedOn w:val="687"/>
    <w:next w:val="699"/>
    <w:uiPriority w:val="0"/>
    <w:qFormat/>
    <w:pPr>
      <w:keepNext/>
      <w:outlineLvl w:val="4"/>
    </w:pPr>
    <w:rPr>
      <w:rFonts w:ascii="宋体"/>
      <w:color w:val="000000"/>
      <w:sz w:val="28"/>
      <w:szCs w:val="28"/>
    </w:rPr>
  </w:style>
  <w:style w:type="paragraph" w:styleId="693">
    <w:name w:val="Heading 6"/>
    <w:basedOn w:val="687"/>
    <w:next w:val="6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4">
    <w:name w:val="Heading 7"/>
    <w:basedOn w:val="687"/>
    <w:next w:val="687"/>
    <w:uiPriority w:val="0"/>
    <w:qFormat/>
    <w:pPr>
      <w:numPr>
        <w:ilvl w:val="6"/>
        <w:numId w:val="1"/>
      </w:numPr>
      <w:keepLines/>
      <w:keepNext/>
      <w:spacing w:before="240" w:after="64" w:line="320" w:lineRule="auto"/>
      <w:outlineLvl w:val="6"/>
    </w:pPr>
    <w:rPr>
      <w:b/>
      <w:bCs/>
      <w:sz w:val="24"/>
      <w:szCs w:val="24"/>
    </w:rPr>
  </w:style>
  <w:style w:type="paragraph" w:styleId="695">
    <w:name w:val="Heading 8"/>
    <w:basedOn w:val="687"/>
    <w:next w:val="68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6">
    <w:name w:val="Heading 9"/>
    <w:basedOn w:val="687"/>
    <w:next w:val="687"/>
    <w:uiPriority w:val="0"/>
    <w:qFormat/>
    <w:pPr>
      <w:numPr>
        <w:ilvl w:val="8"/>
        <w:numId w:val="1"/>
      </w:numPr>
      <w:keepLines/>
      <w:keepNext/>
      <w:spacing w:before="240" w:after="64" w:line="320" w:lineRule="auto"/>
      <w:outlineLvl w:val="8"/>
    </w:pPr>
    <w:rPr>
      <w:rFonts w:ascii="Arial" w:hAnsi="Arial" w:eastAsia="黑体"/>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Normal Indent"/>
    <w:basedOn w:val="687"/>
    <w:link w:val="921"/>
    <w:uiPriority w:val="0"/>
    <w:qFormat/>
    <w:pPr>
      <w:ind w:firstLine="420"/>
    </w:pPr>
  </w:style>
  <w:style w:type="paragraph" w:styleId="700">
    <w:name w:val="List 3"/>
    <w:basedOn w:val="687"/>
    <w:uiPriority w:val="0"/>
    <w:qFormat/>
    <w:pPr>
      <w:ind w:left="100" w:hanging="200"/>
    </w:pPr>
  </w:style>
  <w:style w:type="paragraph" w:styleId="701">
    <w:name w:val="toc 7"/>
    <w:basedOn w:val="687"/>
    <w:next w:val="687"/>
    <w:uiPriority w:val="0"/>
    <w:semiHidden/>
    <w:qFormat/>
    <w:pPr>
      <w:ind w:left="1260"/>
      <w:jc w:val="left"/>
    </w:pPr>
  </w:style>
  <w:style w:type="paragraph" w:styleId="702">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Document Map"/>
    <w:basedOn w:val="687"/>
    <w:link w:val="923"/>
    <w:uiPriority w:val="0"/>
    <w:semiHidden/>
    <w:qFormat/>
    <w:pPr>
      <w:shd w:val="clear" w:color="auto" w:fill="000080"/>
    </w:pPr>
  </w:style>
  <w:style w:type="paragraph" w:styleId="704">
    <w:name w:val="annotation text"/>
    <w:basedOn w:val="687"/>
    <w:uiPriority w:val="0"/>
    <w:semiHidden/>
    <w:qFormat/>
    <w:pPr>
      <w:jc w:val="left"/>
    </w:pPr>
  </w:style>
  <w:style w:type="paragraph" w:styleId="705">
    <w:name w:val="Body Text 3"/>
    <w:basedOn w:val="687"/>
    <w:uiPriority w:val="0"/>
    <w:qFormat/>
    <w:rPr>
      <w:rFonts w:ascii="仿宋_GB2312" w:hAnsi="Arial" w:eastAsia="仿宋_GB2312"/>
      <w:sz w:val="32"/>
      <w:szCs w:val="32"/>
    </w:rPr>
  </w:style>
  <w:style w:type="paragraph" w:styleId="706">
    <w:name w:val="Body Text"/>
    <w:basedOn w:val="687"/>
    <w:next w:val="687"/>
    <w:uiPriority w:val="0"/>
    <w:qFormat/>
    <w:rPr>
      <w:rFonts w:ascii="楷体_GB2312" w:hAnsi="Arial" w:eastAsia="楷体_GB2312"/>
      <w:sz w:val="28"/>
      <w:szCs w:val="28"/>
    </w:rPr>
  </w:style>
  <w:style w:type="paragraph" w:styleId="707">
    <w:name w:val="Body Text Indent"/>
    <w:basedOn w:val="687"/>
    <w:next w:val="708"/>
    <w:uiPriority w:val="0"/>
    <w:qFormat/>
    <w:pPr>
      <w:ind w:firstLine="645"/>
    </w:pPr>
    <w:rPr>
      <w:rFonts w:ascii="楷体_GB2312" w:eastAsia="楷体_GB2312"/>
      <w:sz w:val="32"/>
      <w:szCs w:val="32"/>
    </w:rPr>
  </w:style>
  <w:style w:type="paragraph" w:styleId="708">
    <w:name w:val="envelope return"/>
    <w:basedOn w:val="687"/>
    <w:uiPriority w:val="0"/>
    <w:qFormat/>
    <w:rPr>
      <w:rFonts w:ascii="Arial" w:hAnsi="Arial"/>
    </w:rPr>
  </w:style>
  <w:style w:type="paragraph" w:styleId="709">
    <w:name w:val="List 2"/>
    <w:basedOn w:val="687"/>
    <w:uiPriority w:val="0"/>
    <w:qFormat/>
    <w:pPr>
      <w:ind w:left="100" w:hanging="200"/>
    </w:pPr>
  </w:style>
  <w:style w:type="paragraph" w:styleId="710">
    <w:name w:val="Block Text"/>
    <w:basedOn w:val="687"/>
    <w:uiPriority w:val="99"/>
    <w:unhideWhenUsed/>
    <w:qFormat/>
    <w:pPr>
      <w:ind w:left="1440" w:right="1440"/>
      <w:spacing w:after="120"/>
    </w:pPr>
  </w:style>
  <w:style w:type="paragraph" w:styleId="711">
    <w:name w:val="toc 5"/>
    <w:basedOn w:val="687"/>
    <w:next w:val="687"/>
    <w:uiPriority w:val="0"/>
    <w:semiHidden/>
    <w:qFormat/>
    <w:pPr>
      <w:ind w:left="840"/>
      <w:jc w:val="left"/>
    </w:pPr>
  </w:style>
  <w:style w:type="paragraph" w:styleId="712">
    <w:name w:val="toc 3"/>
    <w:basedOn w:val="687"/>
    <w:next w:val="687"/>
    <w:uiPriority w:val="0"/>
    <w:semiHidden/>
    <w:qFormat/>
    <w:pPr>
      <w:ind w:left="420"/>
      <w:jc w:val="left"/>
    </w:pPr>
    <w:rPr>
      <w:i/>
      <w:iCs/>
      <w:szCs w:val="24"/>
    </w:rPr>
  </w:style>
  <w:style w:type="paragraph" w:styleId="713">
    <w:name w:val="Plain Text"/>
    <w:basedOn w:val="687"/>
    <w:link w:val="924"/>
    <w:uiPriority w:val="99"/>
    <w:qFormat/>
    <w:rPr>
      <w:rFonts w:ascii="宋体" w:hAnsi="Courier New"/>
    </w:rPr>
  </w:style>
  <w:style w:type="paragraph" w:styleId="714">
    <w:name w:val="toc 8"/>
    <w:basedOn w:val="687"/>
    <w:next w:val="687"/>
    <w:uiPriority w:val="0"/>
    <w:semiHidden/>
    <w:qFormat/>
    <w:pPr>
      <w:ind w:left="1470"/>
      <w:jc w:val="left"/>
    </w:pPr>
  </w:style>
  <w:style w:type="paragraph" w:styleId="715">
    <w:name w:val="Date"/>
    <w:basedOn w:val="687"/>
    <w:next w:val="687"/>
    <w:uiPriority w:val="0"/>
    <w:qFormat/>
    <w:rPr>
      <w:sz w:val="24"/>
      <w:szCs w:val="24"/>
    </w:rPr>
  </w:style>
  <w:style w:type="paragraph" w:styleId="716">
    <w:name w:val="Body Text Indent 2"/>
    <w:basedOn w:val="687"/>
    <w:uiPriority w:val="0"/>
    <w:qFormat/>
    <w:pPr>
      <w:ind w:left="630" w:firstLine="645"/>
    </w:pPr>
    <w:rPr>
      <w:rFonts w:ascii="Arial" w:hAnsi="Arial" w:eastAsia="仿宋_GB2312" w:cs="Arial"/>
      <w:sz w:val="32"/>
      <w:szCs w:val="32"/>
    </w:rPr>
  </w:style>
  <w:style w:type="paragraph" w:styleId="717">
    <w:name w:val="endnote text"/>
    <w:basedOn w:val="687"/>
    <w:link w:val="919"/>
    <w:uiPriority w:val="99"/>
    <w:semiHidden/>
    <w:unhideWhenUsed/>
    <w:qFormat/>
    <w:rPr>
      <w:sz w:val="20"/>
    </w:rPr>
  </w:style>
  <w:style w:type="paragraph" w:styleId="718">
    <w:name w:val="Balloon Text"/>
    <w:basedOn w:val="687"/>
    <w:uiPriority w:val="0"/>
    <w:semiHidden/>
    <w:qFormat/>
    <w:rPr>
      <w:sz w:val="18"/>
      <w:szCs w:val="18"/>
    </w:rPr>
  </w:style>
  <w:style w:type="paragraph" w:styleId="719">
    <w:name w:val="Footer"/>
    <w:basedOn w:val="687"/>
    <w:uiPriority w:val="0"/>
    <w:qFormat/>
    <w:pPr>
      <w:jc w:val="left"/>
      <w:tabs>
        <w:tab w:val="center" w:pos="4153" w:leader="none"/>
        <w:tab w:val="right" w:pos="8306" w:leader="none"/>
      </w:tabs>
    </w:pPr>
    <w:rPr>
      <w:sz w:val="18"/>
      <w:szCs w:val="18"/>
    </w:rPr>
  </w:style>
  <w:style w:type="paragraph" w:styleId="720">
    <w:name w:val="Header"/>
    <w:basedOn w:val="687"/>
    <w:uiPriority w:val="0"/>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87"/>
    <w:next w:val="687"/>
    <w:uiPriority w:val="39"/>
    <w:qFormat/>
    <w:pPr>
      <w:jc w:val="left"/>
      <w:spacing w:before="120" w:after="120" w:line="400" w:lineRule="exact"/>
      <w:tabs>
        <w:tab w:val="right" w:pos="8720" w:leader="dot"/>
      </w:tabs>
    </w:pPr>
    <w:rPr>
      <w:rFonts w:ascii="宋体" w:hAnsi="宋体"/>
      <w:caps/>
      <w:sz w:val="24"/>
      <w:szCs w:val="24"/>
    </w:rPr>
  </w:style>
  <w:style w:type="paragraph" w:styleId="722">
    <w:name w:val="toc 4"/>
    <w:basedOn w:val="687"/>
    <w:next w:val="687"/>
    <w:uiPriority w:val="0"/>
    <w:semiHidden/>
    <w:qFormat/>
    <w:pPr>
      <w:ind w:left="630"/>
      <w:jc w:val="left"/>
    </w:pPr>
  </w:style>
  <w:style w:type="paragraph" w:styleId="723">
    <w:name w:val="Subtitle"/>
    <w:basedOn w:val="687"/>
    <w:next w:val="687"/>
    <w:link w:val="785"/>
    <w:uiPriority w:val="11"/>
    <w:qFormat/>
    <w:pPr>
      <w:spacing w:before="200" w:after="200"/>
    </w:pPr>
    <w:rPr>
      <w:sz w:val="24"/>
      <w:szCs w:val="24"/>
    </w:rPr>
  </w:style>
  <w:style w:type="paragraph" w:styleId="724">
    <w:name w:val="List"/>
    <w:basedOn w:val="687"/>
    <w:uiPriority w:val="0"/>
    <w:qFormat/>
    <w:pPr>
      <w:ind w:left="200" w:hanging="200"/>
    </w:pPr>
  </w:style>
  <w:style w:type="paragraph" w:styleId="725">
    <w:name w:val="footnote text"/>
    <w:basedOn w:val="687"/>
    <w:link w:val="918"/>
    <w:uiPriority w:val="99"/>
    <w:semiHidden/>
    <w:unhideWhenUsed/>
    <w:qFormat/>
    <w:pPr>
      <w:spacing w:after="40"/>
    </w:pPr>
    <w:rPr>
      <w:sz w:val="18"/>
    </w:rPr>
  </w:style>
  <w:style w:type="paragraph" w:styleId="726">
    <w:name w:val="toc 6"/>
    <w:basedOn w:val="687"/>
    <w:next w:val="687"/>
    <w:uiPriority w:val="0"/>
    <w:semiHidden/>
    <w:qFormat/>
    <w:pPr>
      <w:ind w:left="1050"/>
      <w:jc w:val="left"/>
    </w:pPr>
  </w:style>
  <w:style w:type="paragraph" w:styleId="727">
    <w:name w:val="Body Text Indent 3"/>
    <w:basedOn w:val="687"/>
    <w:uiPriority w:val="0"/>
    <w:qFormat/>
    <w:pPr>
      <w:ind w:left="645" w:firstLine="645"/>
    </w:pPr>
    <w:rPr>
      <w:rFonts w:ascii="Arial" w:hAnsi="Arial" w:eastAsia="仿宋_GB2312" w:cs="Arial"/>
      <w:color w:val="ffff00"/>
      <w:sz w:val="32"/>
      <w:szCs w:val="32"/>
    </w:rPr>
  </w:style>
  <w:style w:type="paragraph" w:styleId="728">
    <w:name w:val="table of figures"/>
    <w:basedOn w:val="687"/>
    <w:next w:val="687"/>
    <w:uiPriority w:val="0"/>
    <w:semiHidden/>
    <w:qFormat/>
    <w:pPr>
      <w:ind w:left="840" w:hanging="420"/>
    </w:pPr>
  </w:style>
  <w:style w:type="paragraph" w:styleId="729">
    <w:name w:val="toc 2"/>
    <w:basedOn w:val="687"/>
    <w:next w:val="687"/>
    <w:uiPriority w:val="0"/>
    <w:semiHidden/>
    <w:qFormat/>
    <w:pPr>
      <w:ind w:left="210"/>
      <w:jc w:val="left"/>
    </w:pPr>
    <w:rPr>
      <w:smallCaps/>
      <w:szCs w:val="24"/>
    </w:rPr>
  </w:style>
  <w:style w:type="paragraph" w:styleId="730">
    <w:name w:val="toc 9"/>
    <w:basedOn w:val="687"/>
    <w:next w:val="687"/>
    <w:uiPriority w:val="0"/>
    <w:semiHidden/>
    <w:qFormat/>
    <w:pPr>
      <w:ind w:left="1680"/>
      <w:jc w:val="left"/>
    </w:pPr>
  </w:style>
  <w:style w:type="paragraph" w:styleId="731">
    <w:name w:val="Body Text 2"/>
    <w:basedOn w:val="687"/>
    <w:uiPriority w:val="0"/>
    <w:qFormat/>
    <w:pPr>
      <w:jc w:val="center"/>
      <w:widowControl/>
    </w:pPr>
    <w:rPr>
      <w:rFonts w:ascii="楷体_GB2312" w:eastAsia="楷体_GB2312"/>
      <w:sz w:val="28"/>
      <w:szCs w:val="28"/>
    </w:rPr>
  </w:style>
  <w:style w:type="paragraph" w:styleId="732">
    <w:name w:val="Message Header"/>
    <w:basedOn w:val="687"/>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33">
    <w:name w:val="Normal (Web)"/>
    <w:basedOn w:val="687"/>
    <w:uiPriority w:val="0"/>
    <w:qFormat/>
    <w:pPr>
      <w:jc w:val="left"/>
      <w:spacing w:before="100" w:beforeAutospacing="1" w:after="100" w:afterAutospacing="1"/>
      <w:widowControl/>
    </w:pPr>
    <w:rPr>
      <w:rFonts w:ascii="宋体" w:hAnsi="宋体" w:cs="宋体"/>
      <w:sz w:val="24"/>
      <w:szCs w:val="24"/>
    </w:rPr>
  </w:style>
  <w:style w:type="paragraph" w:styleId="734">
    <w:name w:val="index 1"/>
    <w:basedOn w:val="687"/>
    <w:next w:val="687"/>
    <w:uiPriority w:val="0"/>
    <w:semiHidden/>
    <w:qFormat/>
    <w:pPr>
      <w:spacing w:line="240" w:lineRule="atLeast"/>
    </w:pPr>
    <w:rPr>
      <w:b/>
      <w:bCs/>
    </w:rPr>
  </w:style>
  <w:style w:type="paragraph" w:styleId="735">
    <w:name w:val="Title"/>
    <w:basedOn w:val="687"/>
    <w:next w:val="687"/>
    <w:link w:val="784"/>
    <w:uiPriority w:val="10"/>
    <w:qFormat/>
    <w:pPr>
      <w:contextualSpacing/>
      <w:spacing w:before="300" w:after="200"/>
    </w:pPr>
    <w:rPr>
      <w:sz w:val="48"/>
      <w:szCs w:val="48"/>
    </w:rPr>
  </w:style>
  <w:style w:type="paragraph" w:styleId="736">
    <w:name w:val="annotation subject"/>
    <w:basedOn w:val="704"/>
    <w:next w:val="704"/>
    <w:uiPriority w:val="0"/>
    <w:semiHidden/>
    <w:qFormat/>
    <w:rPr>
      <w:b/>
      <w:bCs/>
    </w:rPr>
  </w:style>
  <w:style w:type="paragraph" w:styleId="737">
    <w:name w:val="Body Text First Indent"/>
    <w:basedOn w:val="706"/>
    <w:uiPriority w:val="0"/>
    <w:qFormat/>
    <w:pPr>
      <w:ind w:firstLine="200"/>
      <w:spacing w:line="360" w:lineRule="auto"/>
    </w:pPr>
    <w:rPr>
      <w:rFonts w:ascii="仿宋_GB2312" w:eastAsia="仿宋_GB2312"/>
      <w:sz w:val="30"/>
      <w:szCs w:val="30"/>
    </w:rPr>
  </w:style>
  <w:style w:type="paragraph" w:styleId="738">
    <w:name w:val="Body Text First Indent 2"/>
    <w:basedOn w:val="707"/>
    <w:next w:val="699"/>
    <w:uiPriority w:val="0"/>
    <w:qFormat/>
    <w:pPr>
      <w:ind w:firstLine="420"/>
      <w:spacing w:line="360" w:lineRule="auto"/>
    </w:pPr>
    <w:rPr>
      <w:rFonts w:ascii="宋体" w:hAnsi="宋体" w:eastAsia="宋体"/>
      <w:sz w:val="21"/>
      <w:szCs w:val="20"/>
    </w:rPr>
  </w:style>
  <w:style w:type="table" w:styleId="739">
    <w:name w:val="Table Grid"/>
    <w:basedOn w:val="69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uiPriority w:val="0"/>
    <w:qFormat/>
    <w:rPr>
      <w:b/>
      <w:bCs/>
    </w:rPr>
  </w:style>
  <w:style w:type="character" w:styleId="741">
    <w:name w:val="endnote reference"/>
    <w:basedOn w:val="697"/>
    <w:uiPriority w:val="99"/>
    <w:semiHidden/>
    <w:unhideWhenUsed/>
    <w:qFormat/>
    <w:rPr>
      <w:vertAlign w:val="superscript"/>
    </w:rPr>
  </w:style>
  <w:style w:type="character" w:styleId="742">
    <w:name w:val="page number"/>
    <w:uiPriority w:val="0"/>
    <w:qFormat/>
  </w:style>
  <w:style w:type="character" w:styleId="743">
    <w:name w:val="FollowedHyperlink"/>
    <w:basedOn w:val="697"/>
    <w:uiPriority w:val="0"/>
    <w:qFormat/>
    <w:rPr>
      <w:color w:val="333333"/>
      <w:u w:val="none"/>
    </w:rPr>
  </w:style>
  <w:style w:type="character" w:styleId="744">
    <w:name w:val="Emphasis"/>
    <w:uiPriority w:val="20"/>
    <w:qFormat/>
    <w:rPr>
      <w:i/>
    </w:rPr>
  </w:style>
  <w:style w:type="character" w:styleId="745">
    <w:name w:val="Hyperlink"/>
    <w:basedOn w:val="697"/>
    <w:uiPriority w:val="99"/>
    <w:qFormat/>
    <w:rPr>
      <w:color w:val="333333"/>
      <w:u w:val="none"/>
    </w:rPr>
  </w:style>
  <w:style w:type="character" w:styleId="746">
    <w:name w:val="annotation reference"/>
    <w:uiPriority w:val="0"/>
    <w:semiHidden/>
    <w:qFormat/>
    <w:rPr>
      <w:sz w:val="21"/>
      <w:szCs w:val="21"/>
    </w:rPr>
  </w:style>
  <w:style w:type="character" w:styleId="747">
    <w:name w:val="footnote reference"/>
    <w:basedOn w:val="697"/>
    <w:uiPriority w:val="99"/>
    <w:unhideWhenUsed/>
    <w:qFormat/>
    <w:rPr>
      <w:vertAlign w:val="superscript"/>
    </w:rPr>
  </w:style>
  <w:style w:type="character" w:styleId="748" w:customStyle="1">
    <w:name w:val="Title Char"/>
    <w:basedOn w:val="697"/>
    <w:uiPriority w:val="10"/>
    <w:qFormat/>
    <w:rPr>
      <w:sz w:val="48"/>
      <w:szCs w:val="48"/>
    </w:rPr>
  </w:style>
  <w:style w:type="character" w:styleId="749" w:customStyle="1">
    <w:name w:val="Subtitle Char"/>
    <w:basedOn w:val="697"/>
    <w:uiPriority w:val="11"/>
    <w:qFormat/>
    <w:rPr>
      <w:sz w:val="24"/>
      <w:szCs w:val="24"/>
    </w:rPr>
  </w:style>
  <w:style w:type="character" w:styleId="750" w:customStyle="1">
    <w:name w:val="Quote Char"/>
    <w:uiPriority w:val="29"/>
    <w:qFormat/>
    <w:rPr>
      <w:i/>
    </w:rPr>
  </w:style>
  <w:style w:type="character" w:styleId="751" w:customStyle="1">
    <w:name w:val="Intense Quote Char"/>
    <w:uiPriority w:val="30"/>
    <w:qFormat/>
    <w:rPr>
      <w:i/>
    </w:rPr>
  </w:style>
  <w:style w:type="table" w:styleId="752"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6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5 Dark"/>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6 Colorful"/>
    <w:basedOn w:val="6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7 Colorful"/>
    <w:basedOn w:val="6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List Table 1 Light"/>
    <w:basedOn w:val="6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2"/>
    <w:basedOn w:val="6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3"/>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5 Dark"/>
    <w:basedOn w:val="6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6 Colorful"/>
    <w:basedOn w:val="6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List Table 7 Colorful"/>
    <w:basedOn w:val="6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1" w:customStyle="1">
    <w:name w:val="Footnote Text Char"/>
    <w:uiPriority w:val="99"/>
    <w:qFormat/>
    <w:rPr>
      <w:sz w:val="18"/>
    </w:rPr>
  </w:style>
  <w:style w:type="character" w:styleId="772" w:customStyle="1">
    <w:name w:val="Endnote Text Char"/>
    <w:uiPriority w:val="99"/>
    <w:qFormat/>
    <w:rPr>
      <w:sz w:val="20"/>
    </w:rPr>
  </w:style>
  <w:style w:type="paragraph" w:styleId="773" w:customStyle="1">
    <w:name w:val="TOC Heading"/>
    <w:uiPriority w:val="39"/>
    <w:unhideWhenUsed/>
    <w:qFormat/>
    <w:rPr>
      <w:rFonts w:hint="default" w:ascii="Times New Roman" w:hAnsi="Times New Roman" w:eastAsia="宋体" w:cs="Times New Roman"/>
    </w:rPr>
  </w:style>
  <w:style w:type="character" w:styleId="774" w:customStyle="1">
    <w:name w:val="Heading 1 Char"/>
    <w:basedOn w:val="697"/>
    <w:uiPriority w:val="9"/>
    <w:qFormat/>
    <w:rPr>
      <w:rFonts w:ascii="Arial" w:hAnsi="Arial" w:eastAsia="Arial" w:cs="Arial"/>
      <w:sz w:val="40"/>
      <w:szCs w:val="40"/>
    </w:rPr>
  </w:style>
  <w:style w:type="character" w:styleId="775" w:customStyle="1">
    <w:name w:val="Heading 2 Char"/>
    <w:basedOn w:val="697"/>
    <w:uiPriority w:val="9"/>
    <w:qFormat/>
    <w:rPr>
      <w:rFonts w:ascii="Arial" w:hAnsi="Arial" w:eastAsia="Arial" w:cs="Arial"/>
      <w:sz w:val="34"/>
    </w:rPr>
  </w:style>
  <w:style w:type="character" w:styleId="776" w:customStyle="1">
    <w:name w:val="Heading 3 Char"/>
    <w:basedOn w:val="697"/>
    <w:uiPriority w:val="9"/>
    <w:qFormat/>
    <w:rPr>
      <w:rFonts w:ascii="Arial" w:hAnsi="Arial" w:eastAsia="Arial" w:cs="Arial"/>
      <w:sz w:val="30"/>
      <w:szCs w:val="30"/>
    </w:rPr>
  </w:style>
  <w:style w:type="character" w:styleId="777" w:customStyle="1">
    <w:name w:val="Heading 4 Char"/>
    <w:basedOn w:val="697"/>
    <w:uiPriority w:val="9"/>
    <w:qFormat/>
    <w:rPr>
      <w:rFonts w:ascii="Arial" w:hAnsi="Arial" w:eastAsia="Arial" w:cs="Arial"/>
      <w:b/>
      <w:bCs/>
      <w:sz w:val="26"/>
      <w:szCs w:val="26"/>
    </w:rPr>
  </w:style>
  <w:style w:type="character" w:styleId="778" w:customStyle="1">
    <w:name w:val="Heading 5 Char"/>
    <w:basedOn w:val="697"/>
    <w:uiPriority w:val="9"/>
    <w:qFormat/>
    <w:rPr>
      <w:rFonts w:ascii="Arial" w:hAnsi="Arial" w:eastAsia="Arial" w:cs="Arial"/>
      <w:b/>
      <w:bCs/>
      <w:sz w:val="24"/>
      <w:szCs w:val="24"/>
    </w:rPr>
  </w:style>
  <w:style w:type="character" w:styleId="779" w:customStyle="1">
    <w:name w:val="Heading 6 Char"/>
    <w:basedOn w:val="697"/>
    <w:uiPriority w:val="9"/>
    <w:qFormat/>
    <w:rPr>
      <w:rFonts w:ascii="Arial" w:hAnsi="Arial" w:eastAsia="Arial" w:cs="Arial"/>
      <w:b/>
      <w:bCs/>
      <w:sz w:val="22"/>
      <w:szCs w:val="22"/>
    </w:rPr>
  </w:style>
  <w:style w:type="character" w:styleId="780" w:customStyle="1">
    <w:name w:val="Heading 7 Char"/>
    <w:basedOn w:val="697"/>
    <w:uiPriority w:val="9"/>
    <w:qFormat/>
    <w:rPr>
      <w:rFonts w:ascii="Arial" w:hAnsi="Arial" w:eastAsia="Arial" w:cs="Arial"/>
      <w:b/>
      <w:bCs/>
      <w:i/>
      <w:iCs/>
      <w:sz w:val="22"/>
      <w:szCs w:val="22"/>
    </w:rPr>
  </w:style>
  <w:style w:type="character" w:styleId="781" w:customStyle="1">
    <w:name w:val="Heading 8 Char"/>
    <w:basedOn w:val="697"/>
    <w:uiPriority w:val="9"/>
    <w:qFormat/>
    <w:rPr>
      <w:rFonts w:ascii="Arial" w:hAnsi="Arial" w:eastAsia="Arial" w:cs="Arial"/>
      <w:i/>
      <w:iCs/>
      <w:sz w:val="22"/>
      <w:szCs w:val="22"/>
    </w:rPr>
  </w:style>
  <w:style w:type="character" w:styleId="782" w:customStyle="1">
    <w:name w:val="Heading 9 Char"/>
    <w:basedOn w:val="697"/>
    <w:uiPriority w:val="9"/>
    <w:qFormat/>
    <w:rPr>
      <w:rFonts w:ascii="Arial" w:hAnsi="Arial" w:eastAsia="Arial" w:cs="Arial"/>
      <w:i/>
      <w:iCs/>
      <w:sz w:val="21"/>
      <w:szCs w:val="21"/>
    </w:rPr>
  </w:style>
  <w:style w:type="paragraph" w:styleId="783">
    <w:name w:val="No Spacing"/>
    <w:uiPriority w:val="1"/>
    <w:qFormat/>
    <w:rPr>
      <w:rFonts w:hint="default" w:ascii="Times New Roman" w:hAnsi="Times New Roman" w:eastAsia="宋体" w:cs="Times New Roman"/>
      <w:lang w:val="en-US" w:eastAsia="zh-CN" w:bidi="ar-SA"/>
    </w:rPr>
  </w:style>
  <w:style w:type="character" w:styleId="784" w:customStyle="1">
    <w:name w:val="标题 字符"/>
    <w:basedOn w:val="697"/>
    <w:link w:val="735"/>
    <w:uiPriority w:val="10"/>
    <w:qFormat/>
    <w:rPr>
      <w:sz w:val="48"/>
      <w:szCs w:val="48"/>
    </w:rPr>
  </w:style>
  <w:style w:type="character" w:styleId="785" w:customStyle="1">
    <w:name w:val="副标题 字符"/>
    <w:basedOn w:val="697"/>
    <w:link w:val="723"/>
    <w:uiPriority w:val="11"/>
    <w:qFormat/>
    <w:rPr>
      <w:sz w:val="24"/>
      <w:szCs w:val="24"/>
    </w:rPr>
  </w:style>
  <w:style w:type="paragraph" w:styleId="786">
    <w:name w:val="Quote"/>
    <w:basedOn w:val="687"/>
    <w:next w:val="687"/>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687"/>
    <w:next w:val="687"/>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Header Char"/>
    <w:basedOn w:val="697"/>
    <w:uiPriority w:val="99"/>
    <w:qFormat/>
  </w:style>
  <w:style w:type="character" w:styleId="791" w:customStyle="1">
    <w:name w:val="Footer Char"/>
    <w:basedOn w:val="697"/>
    <w:uiPriority w:val="99"/>
    <w:qFormat/>
  </w:style>
  <w:style w:type="character" w:styleId="792" w:customStyle="1">
    <w:name w:val="Caption Char"/>
    <w:uiPriority w:val="99"/>
    <w:qFormat/>
  </w:style>
  <w:style w:type="table" w:styleId="793"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4" w:customStyle="1">
    <w:name w:val="无格式表格 1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69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basedOn w:val="69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basedOn w:val="69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basedOn w:val="69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basedOn w:val="69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basedOn w:val="69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basedOn w:val="69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69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69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basedOn w:val="69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69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69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69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69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69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69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69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69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69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69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69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69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69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basedOn w:val="69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basedOn w:val="69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basedOn w:val="69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basedOn w:val="69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basedOn w:val="69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69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69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69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69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69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basedOn w:val="69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basedOn w:val="69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basedOn w:val="69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basedOn w:val="69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basedOn w:val="69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basedOn w:val="69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basedOn w:val="69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basedOn w:val="69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basedOn w:val="69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basedOn w:val="69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basedOn w:val="69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basedOn w:val="69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basedOn w:val="69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basedOn w:val="69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basedOn w:val="69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basedOn w:val="69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basedOn w:val="69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69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69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69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69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69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69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69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basedOn w:val="69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basedOn w:val="69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basedOn w:val="69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basedOn w:val="69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basedOn w:val="69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字符"/>
    <w:link w:val="725"/>
    <w:uiPriority w:val="99"/>
    <w:qFormat/>
    <w:rPr>
      <w:sz w:val="18"/>
    </w:rPr>
  </w:style>
  <w:style w:type="character" w:styleId="919" w:customStyle="1">
    <w:name w:val="尾注文本 字符"/>
    <w:link w:val="717"/>
    <w:uiPriority w:val="99"/>
    <w:qFormat/>
    <w:rPr>
      <w:sz w:val="20"/>
    </w:rPr>
  </w:style>
  <w:style w:type="paragraph" w:styleId="920" w:customStyle="1">
    <w:name w:val="TOC 标题1"/>
    <w:uiPriority w:val="39"/>
    <w:unhideWhenUsed/>
    <w:qFormat/>
    <w:rPr>
      <w:rFonts w:hint="default" w:ascii="Times New Roman" w:hAnsi="Times New Roman" w:eastAsia="宋体" w:cs="Times New Roman"/>
      <w:lang w:val="en-US" w:eastAsia="zh-CN" w:bidi="ar-SA"/>
    </w:rPr>
  </w:style>
  <w:style w:type="character" w:styleId="921" w:customStyle="1">
    <w:name w:val="正文缩进 字符"/>
    <w:link w:val="699"/>
    <w:uiPriority w:val="0"/>
    <w:qFormat/>
    <w:rPr>
      <w:sz w:val="21"/>
      <w:szCs w:val="21"/>
    </w:rPr>
  </w:style>
  <w:style w:type="character" w:styleId="922" w:customStyle="1">
    <w:name w:val="标题 3 字符"/>
    <w:link w:val="690"/>
    <w:uiPriority w:val="0"/>
    <w:qFormat/>
    <w:rPr>
      <w:rFonts w:eastAsia="宋体"/>
      <w:b/>
      <w:bCs/>
      <w:sz w:val="32"/>
      <w:szCs w:val="32"/>
      <w:lang w:val="en-US" w:eastAsia="zh-CN" w:bidi="ar-SA"/>
    </w:rPr>
  </w:style>
  <w:style w:type="character" w:styleId="923" w:customStyle="1">
    <w:name w:val="文档结构图 字符"/>
    <w:link w:val="703"/>
    <w:uiPriority w:val="0"/>
    <w:qFormat/>
    <w:rPr>
      <w:rFonts w:eastAsia="宋体"/>
      <w:sz w:val="21"/>
      <w:szCs w:val="21"/>
      <w:lang w:val="en-US" w:eastAsia="zh-CN" w:bidi="ar-SA"/>
    </w:rPr>
  </w:style>
  <w:style w:type="character" w:styleId="924" w:customStyle="1">
    <w:name w:val="纯文本 字符"/>
    <w:link w:val="713"/>
    <w:uiPriority w:val="99"/>
    <w:qFormat/>
    <w:rPr>
      <w:rFonts w:ascii="宋体" w:hAnsi="Courier New" w:cs="Courier New"/>
      <w:sz w:val="21"/>
      <w:szCs w:val="21"/>
    </w:rPr>
  </w:style>
  <w:style w:type="paragraph" w:styleId="925" w:customStyle="1">
    <w:name w:val="首行缩进"/>
    <w:basedOn w:val="687"/>
    <w:uiPriority w:val="0"/>
    <w:qFormat/>
    <w:pPr>
      <w:ind w:firstLine="480"/>
    </w:pPr>
    <w:rPr>
      <w:szCs w:val="20"/>
      <w:lang w:val="zh-CN"/>
    </w:rPr>
  </w:style>
  <w:style w:type="paragraph" w:styleId="926" w:customStyle="1">
    <w:name w:val="Default"/>
    <w:basedOn w:val="687"/>
    <w:next w:val="927"/>
    <w:uiPriority w:val="0"/>
    <w:qFormat/>
    <w:pPr>
      <w:jc w:val="left"/>
    </w:pPr>
    <w:rPr>
      <w:rFonts w:ascii="宋体" w:hAnsi="Calibri" w:cs="宋体"/>
      <w:color w:val="000000"/>
      <w:sz w:val="24"/>
    </w:rPr>
  </w:style>
  <w:style w:type="paragraph" w:styleId="927" w:customStyle="1">
    <w:name w:val="TOC 71"/>
    <w:next w:val="687"/>
    <w:uiPriority w:val="0"/>
    <w:qFormat/>
    <w:pPr>
      <w:ind w:left="2550"/>
      <w:jc w:val="both"/>
    </w:pPr>
    <w:rPr>
      <w:rFonts w:hint="default" w:ascii="Times New Roman" w:hAnsi="Times New Roman" w:eastAsia="宋体" w:cs="Times New Roman"/>
      <w:sz w:val="21"/>
      <w:szCs w:val="22"/>
      <w:lang w:val="en-US" w:eastAsia="zh-CN" w:bidi="ar-SA"/>
    </w:rPr>
  </w:style>
  <w:style w:type="paragraph" w:styleId="928">
    <w:name w:val="List Paragraph"/>
    <w:basedOn w:val="687"/>
    <w:uiPriority w:val="34"/>
    <w:qFormat/>
    <w:pPr>
      <w:contextualSpacing/>
      <w:ind w:left="720"/>
      <w:jc w:val="left"/>
      <w:widowControl/>
    </w:pPr>
    <w:rPr>
      <w:rFonts w:ascii="Calibri" w:hAnsi="Calibri"/>
      <w:sz w:val="24"/>
      <w:szCs w:val="24"/>
      <w:lang w:eastAsia="en-US" w:bidi="en-US"/>
    </w:rPr>
  </w:style>
  <w:style w:type="character" w:styleId="929" w:customStyle="1">
    <w:name w:val="font41"/>
    <w:uiPriority w:val="0"/>
    <w:qFormat/>
    <w:rPr>
      <w:rFonts w:hint="eastAsia" w:ascii="宋体" w:hAnsi="宋体" w:eastAsia="宋体" w:cs="宋体"/>
      <w:b/>
      <w:bCs/>
      <w:color w:val="000000"/>
      <w:sz w:val="22"/>
      <w:szCs w:val="22"/>
      <w:u w:val="none"/>
    </w:rPr>
  </w:style>
  <w:style w:type="character" w:styleId="930" w:customStyle="1">
    <w:name w:val="列出段落 Char"/>
    <w:link w:val="931"/>
    <w:uiPriority w:val="0"/>
    <w:qFormat/>
    <w:rPr>
      <w:rFonts w:ascii="Calibri" w:hAnsi="Calibri"/>
      <w:sz w:val="24"/>
      <w:szCs w:val="24"/>
      <w:lang w:eastAsia="en-US" w:bidi="en-US"/>
    </w:rPr>
  </w:style>
  <w:style w:type="paragraph" w:styleId="931" w:customStyle="1">
    <w:name w:val="列出段落1"/>
    <w:basedOn w:val="687"/>
    <w:link w:val="930"/>
    <w:uiPriority w:val="0"/>
    <w:qFormat/>
    <w:pPr>
      <w:contextualSpacing/>
      <w:ind w:left="720"/>
      <w:jc w:val="left"/>
      <w:widowControl/>
    </w:pPr>
    <w:rPr>
      <w:rFonts w:ascii="Calibri" w:hAnsi="Calibri"/>
      <w:sz w:val="24"/>
      <w:szCs w:val="24"/>
      <w:lang w:eastAsia="en-US" w:bidi="en-US"/>
    </w:rPr>
  </w:style>
  <w:style w:type="character" w:styleId="932" w:customStyle="1">
    <w:name w:val="font71"/>
    <w:uiPriority w:val="0"/>
    <w:qFormat/>
    <w:rPr>
      <w:rFonts w:ascii="Cambria Math" w:hAnsi="Cambria Math" w:eastAsia="Cambria Math" w:cs="Cambria Math"/>
      <w:color w:val="000000"/>
      <w:sz w:val="22"/>
      <w:szCs w:val="22"/>
      <w:u w:val="none"/>
    </w:rPr>
  </w:style>
  <w:style w:type="character" w:styleId="933" w:customStyle="1">
    <w:name w:val="font91"/>
    <w:uiPriority w:val="0"/>
    <w:qFormat/>
    <w:rPr>
      <w:rFonts w:hint="eastAsia" w:ascii="宋体" w:hAnsi="宋体" w:eastAsia="宋体" w:cs="宋体"/>
      <w:color w:val="ff0000"/>
      <w:sz w:val="22"/>
      <w:szCs w:val="22"/>
      <w:u w:val="none"/>
    </w:rPr>
  </w:style>
  <w:style w:type="character" w:styleId="934" w:customStyle="1">
    <w:name w:val="font5 Char"/>
    <w:uiPriority w:val="0"/>
    <w:qFormat/>
    <w:rPr>
      <w:rFonts w:ascii="宋体" w:hAnsi="宋体" w:eastAsia="宋体"/>
      <w:sz w:val="28"/>
      <w:szCs w:val="28"/>
      <w:lang w:val="en-US" w:eastAsia="zh-CN" w:bidi="ar-SA"/>
    </w:rPr>
  </w:style>
  <w:style w:type="character" w:styleId="935" w:customStyle="1">
    <w:name w:val="二级目录 Char"/>
    <w:link w:val="936"/>
    <w:uiPriority w:val="0"/>
    <w:qFormat/>
    <w:rPr>
      <w:b/>
      <w:sz w:val="30"/>
      <w:szCs w:val="28"/>
    </w:rPr>
  </w:style>
  <w:style w:type="paragraph" w:styleId="936" w:customStyle="1">
    <w:name w:val="二级目录"/>
    <w:next w:val="687"/>
    <w:link w:val="93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7" w:customStyle="1">
    <w:name w:val="apple-converted-space"/>
    <w:uiPriority w:val="99"/>
    <w:qFormat/>
  </w:style>
  <w:style w:type="character" w:styleId="938" w:customStyle="1">
    <w:name w:val="Char Char Char Char Char"/>
    <w:link w:val="939"/>
    <w:uiPriority w:val="0"/>
    <w:qFormat/>
    <w:rPr>
      <w:rFonts w:ascii="Tahoma" w:hAnsi="Tahoma" w:eastAsia="宋体"/>
      <w:sz w:val="24"/>
      <w:szCs w:val="24"/>
      <w:lang w:val="en-US" w:eastAsia="zh-CN" w:bidi="ar-SA"/>
    </w:rPr>
  </w:style>
  <w:style w:type="paragraph" w:styleId="939" w:customStyle="1">
    <w:name w:val="Char Char Char Char"/>
    <w:basedOn w:val="703"/>
    <w:link w:val="938"/>
    <w:uiPriority w:val="0"/>
    <w:qFormat/>
    <w:pPr>
      <w:spacing w:line="360" w:lineRule="auto"/>
    </w:pPr>
    <w:rPr>
      <w:rFonts w:ascii="Tahoma" w:hAnsi="Tahoma"/>
      <w:sz w:val="24"/>
      <w:szCs w:val="24"/>
    </w:rPr>
  </w:style>
  <w:style w:type="character" w:styleId="940" w:customStyle="1">
    <w:name w:val="普通正文 Char"/>
    <w:link w:val="941"/>
    <w:uiPriority w:val="0"/>
    <w:qFormat/>
    <w:rPr>
      <w:rFonts w:ascii="Arial" w:hAnsi="Arial"/>
      <w:sz w:val="24"/>
      <w:szCs w:val="24"/>
    </w:rPr>
  </w:style>
  <w:style w:type="paragraph" w:styleId="941" w:customStyle="1">
    <w:name w:val="普通正文"/>
    <w:basedOn w:val="687"/>
    <w:link w:val="940"/>
    <w:uiPriority w:val="0"/>
    <w:qFormat/>
    <w:pPr>
      <w:ind w:firstLine="480"/>
      <w:jc w:val="left"/>
      <w:spacing w:before="120" w:after="120" w:line="360" w:lineRule="auto"/>
    </w:pPr>
    <w:rPr>
      <w:rFonts w:ascii="Arial" w:hAnsi="Arial"/>
      <w:sz w:val="24"/>
      <w:szCs w:val="24"/>
    </w:rPr>
  </w:style>
  <w:style w:type="character" w:styleId="942" w:customStyle="1">
    <w:name w:val="font51"/>
    <w:uiPriority w:val="0"/>
    <w:qFormat/>
    <w:rPr>
      <w:rFonts w:hint="eastAsia" w:ascii="宋体" w:hAnsi="宋体" w:eastAsia="宋体" w:cs="宋体"/>
      <w:color w:val="000000"/>
      <w:sz w:val="22"/>
      <w:szCs w:val="22"/>
      <w:u w:val="none"/>
    </w:rPr>
  </w:style>
  <w:style w:type="character" w:styleId="943" w:customStyle="1">
    <w:name w:val="font61"/>
    <w:uiPriority w:val="0"/>
    <w:qFormat/>
    <w:rPr>
      <w:rFonts w:ascii="Wingdings" w:hAnsi="Wingdings" w:cs="Wingdings"/>
      <w:color w:val="000000"/>
      <w:sz w:val="22"/>
      <w:szCs w:val="22"/>
      <w:u w:val="none"/>
    </w:rPr>
  </w:style>
  <w:style w:type="paragraph" w:styleId="944" w:customStyle="1">
    <w:name w:val="Body Text(ch)"/>
    <w:basedOn w:val="687"/>
    <w:next w:val="706"/>
    <w:uiPriority w:val="0"/>
    <w:qFormat/>
    <w:pPr>
      <w:spacing w:after="120"/>
    </w:pPr>
    <w:rPr>
      <w:rFonts w:ascii="宋体" w:hAnsi="Arial"/>
      <w:bCs/>
      <w:iCs/>
      <w:szCs w:val="24"/>
    </w:rPr>
  </w:style>
  <w:style w:type="paragraph" w:styleId="945" w:customStyle="1">
    <w:name w:val="普通 (Web)"/>
    <w:basedOn w:val="687"/>
    <w:uiPriority w:val="0"/>
    <w:qFormat/>
    <w:pPr>
      <w:jc w:val="left"/>
      <w:spacing w:before="100" w:beforeAutospacing="1" w:after="100" w:afterAutospacing="1"/>
      <w:widowControl/>
    </w:pPr>
    <w:rPr>
      <w:rFonts w:ascii="宋体" w:hAnsi="宋体"/>
      <w:sz w:val="24"/>
      <w:szCs w:val="24"/>
    </w:rPr>
  </w:style>
  <w:style w:type="paragraph" w:styleId="946" w:customStyle="1">
    <w:name w:val="xl24"/>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7" w:customStyle="1">
    <w:name w:val="xl28"/>
    <w:basedOn w:val="68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48" w:customStyle="1">
    <w:name w:val="标题1"/>
    <w:basedOn w:val="687"/>
    <w:next w:val="68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9" w:customStyle="1">
    <w:name w:val="table_1stline"/>
    <w:basedOn w:val="687"/>
    <w:uiPriority w:val="0"/>
    <w:qFormat/>
    <w:pPr>
      <w:jc w:val="left"/>
      <w:spacing w:before="120"/>
      <w:widowControl/>
    </w:pPr>
    <w:rPr>
      <w:bCs/>
      <w:sz w:val="20"/>
      <w:szCs w:val="20"/>
      <w:lang w:val="de-DE" w:eastAsia="de-DE"/>
    </w:rPr>
  </w:style>
  <w:style w:type="paragraph" w:styleId="950" w:customStyle="1">
    <w:name w:val="Achievement"/>
    <w:basedOn w:val="687"/>
    <w:uiPriority w:val="0"/>
    <w:qFormat/>
    <w:pPr>
      <w:numPr>
        <w:ilvl w:val="0"/>
        <w:numId w:val="2"/>
      </w:numPr>
      <w:jc w:val="left"/>
      <w:spacing w:before="60" w:after="60"/>
      <w:widowControl/>
    </w:pPr>
    <w:rPr>
      <w:sz w:val="20"/>
      <w:szCs w:val="20"/>
      <w:lang w:val="it-IT"/>
    </w:rPr>
  </w:style>
  <w:style w:type="paragraph" w:styleId="951" w:customStyle="1">
    <w:name w:val="_Style 3"/>
    <w:basedOn w:val="687"/>
    <w:uiPriority w:val="34"/>
    <w:qFormat/>
    <w:pPr>
      <w:ind w:firstLine="420"/>
    </w:pPr>
    <w:rPr>
      <w:szCs w:val="24"/>
    </w:rPr>
  </w:style>
  <w:style w:type="paragraph" w:styleId="952" w:customStyle="1">
    <w:name w:val="table_lines"/>
    <w:basedOn w:val="687"/>
    <w:uiPriority w:val="0"/>
    <w:qFormat/>
    <w:pPr>
      <w:jc w:val="left"/>
      <w:widowControl/>
    </w:pPr>
    <w:rPr>
      <w:sz w:val="20"/>
      <w:szCs w:val="20"/>
      <w:lang w:val="de-DE" w:eastAsia="de-DE"/>
    </w:rPr>
  </w:style>
  <w:style w:type="paragraph" w:styleId="953"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54" w:customStyle="1">
    <w:name w:val="Char"/>
    <w:basedOn w:val="687"/>
    <w:uiPriority w:val="0"/>
    <w:qFormat/>
    <w:pPr>
      <w:ind w:firstLine="200"/>
      <w:tabs>
        <w:tab w:val="left" w:pos="360" w:leader="none"/>
      </w:tabs>
    </w:pPr>
    <w:rPr>
      <w:sz w:val="28"/>
      <w:szCs w:val="30"/>
    </w:rPr>
  </w:style>
  <w:style w:type="paragraph" w:styleId="955" w:customStyle="1">
    <w:name w:val="样式1"/>
    <w:basedOn w:val="687"/>
    <w:uiPriority w:val="0"/>
    <w:qFormat/>
    <w:pPr>
      <w:numPr>
        <w:ilvl w:val="0"/>
        <w:numId w:val="4"/>
      </w:numPr>
    </w:pPr>
    <w:rPr>
      <w:rFonts w:ascii="宋体" w:hAnsi="宋体"/>
    </w:rPr>
  </w:style>
  <w:style w:type="paragraph" w:styleId="956" w:customStyle="1">
    <w:name w:val="font6"/>
    <w:basedOn w:val="687"/>
    <w:uiPriority w:val="0"/>
    <w:qFormat/>
    <w:pPr>
      <w:jc w:val="left"/>
      <w:spacing w:before="100" w:beforeAutospacing="1" w:after="100" w:afterAutospacing="1"/>
      <w:widowControl/>
    </w:pPr>
    <w:rPr>
      <w:rFonts w:hint="eastAsia" w:ascii="宋体" w:hAnsi="宋体"/>
      <w:sz w:val="28"/>
      <w:szCs w:val="28"/>
      <w:u w:val="single"/>
    </w:rPr>
  </w:style>
  <w:style w:type="paragraph" w:styleId="957" w:customStyle="1">
    <w:name w:val="标题3"/>
    <w:basedOn w:val="687"/>
    <w:next w:val="687"/>
    <w:uiPriority w:val="0"/>
    <w:qFormat/>
    <w:pPr>
      <w:ind w:firstLine="624"/>
      <w:spacing w:line="590" w:lineRule="atLeast"/>
    </w:pPr>
    <w:rPr>
      <w:rFonts w:ascii="方正黑体_GBK" w:eastAsia="方正黑体_GBK"/>
      <w:sz w:val="32"/>
      <w:szCs w:val="32"/>
    </w:rPr>
  </w:style>
  <w:style w:type="paragraph" w:styleId="958" w:customStyle="1">
    <w:name w:val="xl25"/>
    <w:basedOn w:val="6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customStyle="1">
    <w:name w:val="xl30"/>
    <w:basedOn w:val="687"/>
    <w:uiPriority w:val="0"/>
    <w:qFormat/>
    <w:pPr>
      <w:jc w:val="center"/>
      <w:spacing w:before="100" w:beforeAutospacing="1" w:after="100" w:afterAutospacing="1"/>
      <w:widowControl/>
    </w:pPr>
    <w:rPr>
      <w:rFonts w:ascii="宋体" w:hAnsi="宋体"/>
      <w:b/>
      <w:bCs/>
      <w:sz w:val="36"/>
      <w:szCs w:val="36"/>
    </w:rPr>
  </w:style>
  <w:style w:type="paragraph" w:styleId="960" w:customStyle="1">
    <w:name w:val="xl26"/>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1" w:customStyle="1">
    <w:name w:val="Table Paragraph"/>
    <w:basedOn w:val="687"/>
    <w:uiPriority w:val="1"/>
    <w:qFormat/>
    <w:pPr>
      <w:spacing w:line="276" w:lineRule="auto"/>
    </w:pPr>
    <w:rPr>
      <w:rFonts w:ascii="Calibri" w:hAnsi="Calibri" w:cs="Calibri"/>
      <w:szCs w:val="22"/>
    </w:rPr>
  </w:style>
  <w:style w:type="paragraph" w:styleId="962" w:customStyle="1">
    <w:name w:val="Char Char Char Char1"/>
    <w:basedOn w:val="703"/>
    <w:uiPriority w:val="0"/>
    <w:qFormat/>
    <w:pPr>
      <w:spacing w:line="360" w:lineRule="auto"/>
    </w:pPr>
    <w:rPr>
      <w:rFonts w:ascii="Tahoma" w:hAnsi="Tahoma"/>
      <w:sz w:val="24"/>
      <w:szCs w:val="24"/>
    </w:rPr>
  </w:style>
  <w:style w:type="paragraph" w:styleId="963" w:customStyle="1">
    <w:name w:val="_Style 5"/>
    <w:basedOn w:val="687"/>
    <w:next w:val="928"/>
    <w:uiPriority w:val="99"/>
    <w:qFormat/>
    <w:pPr>
      <w:ind w:firstLine="420"/>
    </w:pPr>
    <w:rPr>
      <w:szCs w:val="22"/>
    </w:rPr>
  </w:style>
  <w:style w:type="paragraph" w:styleId="964" w:customStyle="1">
    <w:name w:val="font5"/>
    <w:basedOn w:val="687"/>
    <w:uiPriority w:val="0"/>
    <w:qFormat/>
    <w:pPr>
      <w:jc w:val="left"/>
      <w:spacing w:before="100" w:beforeAutospacing="1" w:after="100" w:afterAutospacing="1"/>
      <w:widowControl/>
    </w:pPr>
    <w:rPr>
      <w:rFonts w:hint="eastAsia" w:ascii="宋体" w:hAnsi="宋体"/>
      <w:sz w:val="28"/>
      <w:szCs w:val="28"/>
    </w:rPr>
  </w:style>
  <w:style w:type="paragraph" w:styleId="965" w:customStyle="1">
    <w:name w:val="Other|1"/>
    <w:basedOn w:val="687"/>
    <w:uiPriority w:val="0"/>
    <w:qFormat/>
    <w:pPr>
      <w:spacing w:after="140" w:line="324" w:lineRule="auto"/>
    </w:pPr>
    <w:rPr>
      <w:rFonts w:ascii="宋体" w:hAnsi="宋体" w:cs="宋体"/>
      <w:sz w:val="20"/>
      <w:szCs w:val="20"/>
      <w:lang w:val="zh-TW" w:eastAsia="zh-TW" w:bidi="zh-TW"/>
    </w:rPr>
  </w:style>
  <w:style w:type="paragraph" w:styleId="966" w:customStyle="1">
    <w:name w:val="Char Char Char Char Char Char Char Char Char Char"/>
    <w:basedOn w:val="687"/>
    <w:uiPriority w:val="0"/>
    <w:qFormat/>
    <w:pPr>
      <w:spacing w:line="360" w:lineRule="auto"/>
    </w:pPr>
    <w:rPr>
      <w:sz w:val="24"/>
      <w:szCs w:val="20"/>
    </w:rPr>
  </w:style>
  <w:style w:type="paragraph" w:styleId="967" w:customStyle="1">
    <w:name w:val="xl29"/>
    <w:basedOn w:val="68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8" w:customStyle="1">
    <w:name w:val="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69" w:customStyle="1">
    <w:name w:val="xl27"/>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0" w:customStyle="1">
    <w:name w:val="font7"/>
    <w:basedOn w:val="687"/>
    <w:uiPriority w:val="0"/>
    <w:qFormat/>
    <w:pPr>
      <w:jc w:val="left"/>
      <w:spacing w:before="100" w:beforeAutospacing="1" w:after="100" w:afterAutospacing="1"/>
      <w:widowControl/>
    </w:pPr>
    <w:rPr>
      <w:rFonts w:hint="eastAsia" w:ascii="宋体" w:hAnsi="宋体"/>
      <w:sz w:val="18"/>
      <w:szCs w:val="18"/>
    </w:rPr>
  </w:style>
  <w:style w:type="paragraph" w:styleId="971" w:customStyle="1">
    <w:name w:val="图标"/>
    <w:basedOn w:val="687"/>
    <w:next w:val="68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2" w:customStyle="1">
    <w:name w:val="Char1"/>
    <w:basedOn w:val="703"/>
    <w:uiPriority w:val="0"/>
    <w:qFormat/>
    <w:rPr>
      <w:rFonts w:ascii="Tahoma" w:hAnsi="Tahoma"/>
      <w:sz w:val="24"/>
      <w:szCs w:val="24"/>
    </w:rPr>
  </w:style>
  <w:style w:type="paragraph" w:styleId="973" w:customStyle="1">
    <w:name w:val="4"/>
    <w:basedOn w:val="687"/>
    <w:next w:val="727"/>
    <w:uiPriority w:val="99"/>
    <w:qFormat/>
    <w:pPr>
      <w:ind w:firstLine="420"/>
      <w:spacing w:line="360" w:lineRule="auto"/>
    </w:pPr>
    <w:rPr>
      <w:color w:val="ff0000"/>
      <w:sz w:val="24"/>
      <w:szCs w:val="24"/>
    </w:rPr>
  </w:style>
  <w:style w:type="paragraph" w:styleId="974" w:customStyle="1">
    <w:name w:val="Char Char Char Char Char Char Char Char1"/>
    <w:basedOn w:val="687"/>
    <w:uiPriority w:val="0"/>
    <w:qFormat/>
    <w:pPr>
      <w:jc w:val="left"/>
      <w:spacing w:after="160" w:line="240" w:lineRule="exact"/>
      <w:widowControl/>
    </w:pPr>
    <w:rPr>
      <w:rFonts w:ascii="Verdana" w:hAnsi="Verdana"/>
      <w:sz w:val="20"/>
      <w:szCs w:val="20"/>
      <w:lang w:eastAsia="en-US"/>
    </w:rPr>
  </w:style>
  <w:style w:type="character" w:styleId="975" w:customStyle="1">
    <w:name w:val="font31"/>
    <w:uiPriority w:val="0"/>
    <w:qFormat/>
    <w:rPr>
      <w:rFonts w:hint="eastAsia" w:ascii="黑体" w:hAnsi="宋体" w:eastAsia="黑体" w:cs="黑体"/>
      <w:color w:val="000000"/>
      <w:sz w:val="13"/>
      <w:szCs w:val="13"/>
      <w:u w:val="none"/>
    </w:rPr>
  </w:style>
  <w:style w:type="table" w:styleId="976" w:customStyle="1">
    <w:name w:val="Table Normal"/>
    <w:uiPriority w:val="0"/>
    <w:unhideWhenUsed/>
    <w:qFormat/>
    <w:tblPr>
      <w:tblCellMar>
        <w:left w:w="0" w:type="dxa"/>
        <w:top w:w="0" w:type="dxa"/>
        <w:right w:w="0" w:type="dxa"/>
        <w:bottom w:w="0" w:type="dxa"/>
      </w:tblCellMar>
    </w:tblPr>
  </w:style>
  <w:style w:type="character" w:styleId="977" w:customStyle="1">
    <w:name w:val="active15"/>
    <w:basedOn w:val="697"/>
    <w:uiPriority w:val="0"/>
    <w:qFormat/>
    <w:rPr>
      <w:color w:val="ffffff"/>
      <w:shd w:val="clear" w:color="auto" w:fill="0f5bb9"/>
    </w:rPr>
  </w:style>
  <w:style w:type="numbering" w:styleId="8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沈红雨</cp:lastModifiedBy>
  <cp:revision>45</cp:revision>
  <dcterms:created xsi:type="dcterms:W3CDTF">2023-04-17T08:19:00Z</dcterms:created>
  <dcterms:modified xsi:type="dcterms:W3CDTF">2024-09-26T09:00:46Z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9F4F73C408354710814787E6A3F210D4_13</vt:lpwstr>
  </property>
</Properties>
</file>