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FBFD9">
      <w:pPr>
        <w:jc w:val="center"/>
        <w:rPr>
          <w:rFonts w:eastAsia="宋体"/>
          <w:b/>
          <w:bCs/>
          <w:color w:val="auto"/>
          <w:sz w:val="52"/>
          <w:szCs w:val="52"/>
          <w:highlight w:val="none"/>
        </w:rPr>
      </w:pPr>
    </w:p>
    <w:p w14:paraId="21B4E3B6">
      <w:pPr>
        <w:tabs>
          <w:tab w:val="left" w:pos="6300"/>
        </w:tabs>
        <w:spacing w:line="300" w:lineRule="auto"/>
        <w:jc w:val="center"/>
        <w:rPr>
          <w:rFonts w:eastAsia="宋体" w:cs="宋体"/>
          <w:color w:val="auto"/>
          <w:sz w:val="72"/>
          <w:szCs w:val="72"/>
          <w:highlight w:val="none"/>
        </w:rPr>
      </w:pPr>
      <w:r>
        <w:rPr>
          <w:rFonts w:hint="eastAsia" w:eastAsia="宋体" w:cs="宋体"/>
          <w:color w:val="auto"/>
          <w:sz w:val="72"/>
          <w:szCs w:val="72"/>
          <w:highlight w:val="none"/>
        </w:rPr>
        <w:t>封闭式框架协议采购</w:t>
      </w:r>
    </w:p>
    <w:p w14:paraId="794627C7">
      <w:pPr>
        <w:tabs>
          <w:tab w:val="left" w:pos="6300"/>
        </w:tabs>
        <w:spacing w:line="300" w:lineRule="auto"/>
        <w:jc w:val="center"/>
        <w:rPr>
          <w:rFonts w:eastAsia="宋体"/>
          <w:color w:val="auto"/>
          <w:sz w:val="72"/>
          <w:szCs w:val="72"/>
          <w:highlight w:val="none"/>
        </w:rPr>
      </w:pPr>
      <w:r>
        <w:rPr>
          <w:rFonts w:hint="eastAsia" w:eastAsia="宋体" w:cs="宋体"/>
          <w:color w:val="auto"/>
          <w:sz w:val="72"/>
          <w:szCs w:val="72"/>
          <w:highlight w:val="none"/>
        </w:rPr>
        <w:t>征集文件</w:t>
      </w:r>
    </w:p>
    <w:p w14:paraId="04BC4F45">
      <w:pPr>
        <w:spacing w:line="520" w:lineRule="exact"/>
        <w:jc w:val="center"/>
        <w:rPr>
          <w:rFonts w:eastAsia="宋体" w:cs="宋体"/>
          <w:color w:val="auto"/>
          <w:sz w:val="32"/>
          <w:szCs w:val="32"/>
          <w:highlight w:val="none"/>
        </w:rPr>
      </w:pPr>
    </w:p>
    <w:p w14:paraId="1043A2D2">
      <w:pPr>
        <w:spacing w:line="520" w:lineRule="exact"/>
        <w:jc w:val="left"/>
        <w:rPr>
          <w:rFonts w:eastAsia="宋体" w:cs="宋体"/>
          <w:color w:val="auto"/>
          <w:sz w:val="32"/>
          <w:szCs w:val="32"/>
          <w:highlight w:val="none"/>
        </w:rPr>
      </w:pPr>
    </w:p>
    <w:p w14:paraId="020B48D5">
      <w:pPr>
        <w:spacing w:line="520" w:lineRule="exact"/>
        <w:jc w:val="left"/>
        <w:rPr>
          <w:rFonts w:eastAsia="宋体" w:cs="宋体"/>
          <w:color w:val="auto"/>
          <w:sz w:val="32"/>
          <w:szCs w:val="32"/>
          <w:highlight w:val="none"/>
        </w:rPr>
      </w:pPr>
      <w:r>
        <w:rPr>
          <w:rFonts w:hint="eastAsia" w:eastAsia="宋体" w:cs="宋体"/>
          <w:color w:val="auto"/>
          <w:sz w:val="32"/>
          <w:szCs w:val="32"/>
          <w:highlight w:val="none"/>
        </w:rPr>
        <w:t>项目名称：如东县财政局政府投资建设项目协审服务框架协议采购项目</w:t>
      </w:r>
    </w:p>
    <w:p w14:paraId="7F518DAB">
      <w:pPr>
        <w:spacing w:line="520" w:lineRule="exact"/>
        <w:jc w:val="left"/>
        <w:rPr>
          <w:rFonts w:eastAsia="宋体"/>
          <w:color w:val="auto"/>
          <w:sz w:val="32"/>
          <w:szCs w:val="32"/>
          <w:highlight w:val="none"/>
        </w:rPr>
      </w:pPr>
      <w:r>
        <w:rPr>
          <w:rFonts w:hint="eastAsia" w:eastAsia="宋体" w:cs="宋体"/>
          <w:color w:val="auto"/>
          <w:sz w:val="32"/>
          <w:szCs w:val="32"/>
          <w:highlight w:val="none"/>
        </w:rPr>
        <w:t>项目编号：JSZC-320623-HSGL-K2025-0053</w:t>
      </w:r>
      <w:r>
        <w:rPr>
          <w:rFonts w:hint="eastAsia" w:eastAsia="宋体"/>
          <w:color w:val="auto"/>
          <w:sz w:val="32"/>
          <w:szCs w:val="32"/>
          <w:highlight w:val="none"/>
        </w:rPr>
        <w:t xml:space="preserve"> </w:t>
      </w:r>
    </w:p>
    <w:p w14:paraId="7EBFAC8E">
      <w:pPr>
        <w:spacing w:line="520" w:lineRule="exact"/>
        <w:jc w:val="center"/>
        <w:rPr>
          <w:rFonts w:eastAsia="宋体"/>
          <w:b/>
          <w:bCs/>
          <w:color w:val="auto"/>
          <w:sz w:val="32"/>
          <w:szCs w:val="32"/>
          <w:highlight w:val="none"/>
        </w:rPr>
      </w:pPr>
    </w:p>
    <w:p w14:paraId="520F3763">
      <w:pPr>
        <w:spacing w:line="520" w:lineRule="exact"/>
        <w:jc w:val="center"/>
        <w:rPr>
          <w:rFonts w:eastAsia="宋体"/>
          <w:b/>
          <w:bCs/>
          <w:color w:val="auto"/>
          <w:sz w:val="32"/>
          <w:szCs w:val="32"/>
          <w:highlight w:val="none"/>
        </w:rPr>
      </w:pPr>
    </w:p>
    <w:p w14:paraId="70BD97BC">
      <w:pPr>
        <w:spacing w:line="520" w:lineRule="exact"/>
        <w:jc w:val="center"/>
        <w:rPr>
          <w:rFonts w:eastAsia="宋体"/>
          <w:b/>
          <w:bCs/>
          <w:color w:val="auto"/>
          <w:sz w:val="32"/>
          <w:szCs w:val="32"/>
          <w:highlight w:val="none"/>
        </w:rPr>
      </w:pPr>
    </w:p>
    <w:p w14:paraId="209A3FC5">
      <w:pPr>
        <w:spacing w:line="520" w:lineRule="exact"/>
        <w:jc w:val="center"/>
        <w:rPr>
          <w:rFonts w:eastAsia="宋体"/>
          <w:b/>
          <w:bCs/>
          <w:color w:val="auto"/>
          <w:sz w:val="32"/>
          <w:szCs w:val="32"/>
          <w:highlight w:val="none"/>
        </w:rPr>
      </w:pPr>
    </w:p>
    <w:p w14:paraId="40D7BC0A">
      <w:pPr>
        <w:spacing w:line="520" w:lineRule="exact"/>
        <w:jc w:val="center"/>
        <w:rPr>
          <w:rFonts w:eastAsia="宋体"/>
          <w:b/>
          <w:bCs/>
          <w:color w:val="auto"/>
          <w:sz w:val="32"/>
          <w:szCs w:val="32"/>
          <w:highlight w:val="none"/>
        </w:rPr>
      </w:pPr>
    </w:p>
    <w:p w14:paraId="0B30D3B3">
      <w:pPr>
        <w:spacing w:line="520" w:lineRule="exact"/>
        <w:jc w:val="center"/>
        <w:rPr>
          <w:rFonts w:eastAsia="宋体"/>
          <w:b/>
          <w:bCs/>
          <w:color w:val="auto"/>
          <w:sz w:val="32"/>
          <w:szCs w:val="32"/>
          <w:highlight w:val="none"/>
        </w:rPr>
      </w:pPr>
    </w:p>
    <w:p w14:paraId="3FC390FF">
      <w:pPr>
        <w:spacing w:line="520" w:lineRule="exact"/>
        <w:jc w:val="center"/>
        <w:rPr>
          <w:rFonts w:eastAsia="宋体"/>
          <w:b/>
          <w:bCs/>
          <w:color w:val="auto"/>
          <w:sz w:val="32"/>
          <w:szCs w:val="32"/>
          <w:highlight w:val="none"/>
        </w:rPr>
      </w:pPr>
    </w:p>
    <w:p w14:paraId="6D2664A6">
      <w:pPr>
        <w:spacing w:line="520" w:lineRule="exact"/>
        <w:jc w:val="center"/>
        <w:rPr>
          <w:rFonts w:eastAsia="宋体"/>
          <w:b/>
          <w:bCs/>
          <w:color w:val="auto"/>
          <w:sz w:val="32"/>
          <w:szCs w:val="32"/>
          <w:highlight w:val="none"/>
        </w:rPr>
      </w:pPr>
    </w:p>
    <w:p w14:paraId="2025DEA7">
      <w:pPr>
        <w:spacing w:line="520" w:lineRule="exact"/>
        <w:jc w:val="center"/>
        <w:rPr>
          <w:rFonts w:eastAsia="宋体"/>
          <w:b/>
          <w:bCs/>
          <w:color w:val="auto"/>
          <w:sz w:val="32"/>
          <w:szCs w:val="32"/>
          <w:highlight w:val="none"/>
        </w:rPr>
      </w:pPr>
    </w:p>
    <w:p w14:paraId="0E8A561D">
      <w:pPr>
        <w:spacing w:line="520" w:lineRule="exact"/>
        <w:jc w:val="center"/>
        <w:rPr>
          <w:rFonts w:eastAsia="宋体"/>
          <w:b/>
          <w:bCs/>
          <w:color w:val="auto"/>
          <w:sz w:val="32"/>
          <w:szCs w:val="32"/>
          <w:highlight w:val="none"/>
        </w:rPr>
      </w:pPr>
    </w:p>
    <w:p w14:paraId="596219B3">
      <w:pPr>
        <w:spacing w:line="520" w:lineRule="exact"/>
        <w:jc w:val="center"/>
        <w:rPr>
          <w:rFonts w:eastAsia="宋体"/>
          <w:b/>
          <w:bCs/>
          <w:color w:val="auto"/>
          <w:sz w:val="32"/>
          <w:szCs w:val="32"/>
          <w:highlight w:val="none"/>
        </w:rPr>
      </w:pPr>
    </w:p>
    <w:p w14:paraId="0A7BD2A9">
      <w:pPr>
        <w:spacing w:line="520" w:lineRule="exact"/>
        <w:jc w:val="center"/>
        <w:rPr>
          <w:rFonts w:eastAsia="宋体"/>
          <w:b/>
          <w:bCs/>
          <w:color w:val="auto"/>
          <w:sz w:val="32"/>
          <w:szCs w:val="32"/>
          <w:highlight w:val="none"/>
        </w:rPr>
      </w:pPr>
    </w:p>
    <w:p w14:paraId="3AAA8602">
      <w:pPr>
        <w:tabs>
          <w:tab w:val="left" w:pos="1050"/>
          <w:tab w:val="right" w:leader="dot" w:pos="9402"/>
        </w:tabs>
        <w:spacing w:line="520" w:lineRule="exact"/>
        <w:jc w:val="center"/>
        <w:rPr>
          <w:rFonts w:eastAsia="宋体"/>
          <w:b/>
          <w:bCs/>
          <w:color w:val="auto"/>
          <w:sz w:val="32"/>
          <w:szCs w:val="32"/>
          <w:highlight w:val="none"/>
        </w:rPr>
      </w:pPr>
    </w:p>
    <w:p w14:paraId="6FCBCC59">
      <w:pPr>
        <w:tabs>
          <w:tab w:val="left" w:pos="1050"/>
          <w:tab w:val="right" w:leader="dot" w:pos="9402"/>
        </w:tabs>
        <w:spacing w:line="520" w:lineRule="exact"/>
        <w:jc w:val="center"/>
        <w:rPr>
          <w:rFonts w:eastAsia="宋体"/>
          <w:b/>
          <w:bCs/>
          <w:color w:val="auto"/>
          <w:sz w:val="32"/>
          <w:szCs w:val="32"/>
          <w:highlight w:val="none"/>
        </w:rPr>
      </w:pPr>
    </w:p>
    <w:p w14:paraId="23644982">
      <w:pPr>
        <w:tabs>
          <w:tab w:val="left" w:pos="1050"/>
          <w:tab w:val="right" w:leader="dot" w:pos="9402"/>
        </w:tabs>
        <w:spacing w:line="520" w:lineRule="exact"/>
        <w:jc w:val="center"/>
        <w:rPr>
          <w:rFonts w:eastAsia="宋体"/>
          <w:b/>
          <w:bCs/>
          <w:color w:val="auto"/>
          <w:sz w:val="32"/>
          <w:szCs w:val="32"/>
          <w:highlight w:val="none"/>
        </w:rPr>
      </w:pPr>
    </w:p>
    <w:p w14:paraId="071C7717">
      <w:pPr>
        <w:tabs>
          <w:tab w:val="left" w:pos="1050"/>
          <w:tab w:val="right" w:leader="dot" w:pos="9402"/>
        </w:tabs>
        <w:spacing w:line="520" w:lineRule="exact"/>
        <w:jc w:val="center"/>
        <w:rPr>
          <w:rFonts w:eastAsia="宋体"/>
          <w:b/>
          <w:bCs/>
          <w:color w:val="auto"/>
          <w:sz w:val="32"/>
          <w:szCs w:val="32"/>
          <w:highlight w:val="none"/>
        </w:rPr>
      </w:pPr>
    </w:p>
    <w:p w14:paraId="0069B9C7">
      <w:pPr>
        <w:tabs>
          <w:tab w:val="left" w:pos="1050"/>
          <w:tab w:val="right" w:leader="dot" w:pos="9402"/>
        </w:tabs>
        <w:spacing w:line="520" w:lineRule="exact"/>
        <w:jc w:val="center"/>
        <w:rPr>
          <w:rFonts w:eastAsia="宋体"/>
          <w:color w:val="auto"/>
          <w:sz w:val="32"/>
          <w:szCs w:val="32"/>
          <w:highlight w:val="none"/>
        </w:rPr>
      </w:pPr>
      <w:r>
        <w:rPr>
          <w:rFonts w:hint="eastAsia" w:eastAsia="宋体" w:cs="宋体"/>
          <w:color w:val="auto"/>
          <w:sz w:val="32"/>
          <w:szCs w:val="32"/>
          <w:highlight w:val="none"/>
        </w:rPr>
        <w:t>采购代理机构：江苏衡晟项目管理咨询有限公司</w:t>
      </w:r>
    </w:p>
    <w:p w14:paraId="456D3A98">
      <w:pPr>
        <w:tabs>
          <w:tab w:val="left" w:pos="1050"/>
          <w:tab w:val="right" w:leader="dot" w:pos="9402"/>
        </w:tabs>
        <w:spacing w:line="520" w:lineRule="exact"/>
        <w:jc w:val="center"/>
        <w:rPr>
          <w:rFonts w:eastAsia="宋体" w:cs="宋体"/>
          <w:color w:val="auto"/>
          <w:sz w:val="32"/>
          <w:szCs w:val="32"/>
          <w:highlight w:val="none"/>
        </w:rPr>
      </w:pPr>
      <w:r>
        <w:rPr>
          <w:rFonts w:hint="eastAsia" w:eastAsia="宋体" w:cs="宋体"/>
          <w:color w:val="auto"/>
          <w:sz w:val="32"/>
          <w:szCs w:val="32"/>
          <w:highlight w:val="none"/>
        </w:rPr>
        <w:t>二〇二五年</w:t>
      </w:r>
      <w:r>
        <w:rPr>
          <w:rFonts w:hint="eastAsia" w:eastAsia="宋体" w:cs="宋体"/>
          <w:color w:val="auto"/>
          <w:sz w:val="32"/>
          <w:szCs w:val="32"/>
          <w:highlight w:val="none"/>
          <w:lang w:val="en-US" w:eastAsia="zh-CN"/>
        </w:rPr>
        <w:t>八</w:t>
      </w:r>
      <w:r>
        <w:rPr>
          <w:rFonts w:hint="eastAsia" w:eastAsia="宋体" w:cs="宋体"/>
          <w:color w:val="auto"/>
          <w:sz w:val="32"/>
          <w:szCs w:val="32"/>
          <w:highlight w:val="none"/>
        </w:rPr>
        <w:t>月</w:t>
      </w:r>
    </w:p>
    <w:p w14:paraId="1E2E1FA0">
      <w:pPr>
        <w:tabs>
          <w:tab w:val="left" w:pos="1050"/>
          <w:tab w:val="right" w:leader="dot" w:pos="9402"/>
        </w:tabs>
        <w:spacing w:line="520" w:lineRule="exact"/>
        <w:jc w:val="center"/>
        <w:rPr>
          <w:rFonts w:eastAsia="宋体" w:cs="宋体"/>
          <w:color w:val="auto"/>
          <w:sz w:val="32"/>
          <w:szCs w:val="32"/>
          <w:highlight w:val="none"/>
        </w:rPr>
        <w:sectPr>
          <w:headerReference r:id="rId3" w:type="default"/>
          <w:footerReference r:id="rId4" w:type="default"/>
          <w:pgSz w:w="11906" w:h="16838"/>
          <w:pgMar w:top="851" w:right="851" w:bottom="851" w:left="1134" w:header="851" w:footer="471" w:gutter="0"/>
          <w:cols w:space="425" w:num="1"/>
          <w:docGrid w:linePitch="360" w:charSpace="0"/>
        </w:sectPr>
      </w:pPr>
    </w:p>
    <w:p w14:paraId="18097DD5">
      <w:pPr>
        <w:tabs>
          <w:tab w:val="left" w:pos="1050"/>
          <w:tab w:val="right" w:leader="dot" w:pos="9402"/>
        </w:tabs>
        <w:spacing w:line="520" w:lineRule="exact"/>
        <w:jc w:val="center"/>
        <w:rPr>
          <w:rFonts w:eastAsia="宋体" w:cs="宋体"/>
          <w:color w:val="auto"/>
          <w:sz w:val="32"/>
          <w:szCs w:val="32"/>
          <w:highlight w:val="none"/>
        </w:rPr>
      </w:pPr>
    </w:p>
    <w:p w14:paraId="0033B76D">
      <w:pPr>
        <w:tabs>
          <w:tab w:val="left" w:pos="1050"/>
          <w:tab w:val="right" w:leader="dot" w:pos="9402"/>
        </w:tabs>
        <w:spacing w:line="520" w:lineRule="exact"/>
        <w:jc w:val="center"/>
        <w:outlineLvl w:val="0"/>
        <w:rPr>
          <w:rFonts w:eastAsia="宋体"/>
          <w:b/>
          <w:bCs/>
          <w:color w:val="auto"/>
          <w:sz w:val="44"/>
          <w:szCs w:val="44"/>
          <w:highlight w:val="none"/>
        </w:rPr>
      </w:pPr>
      <w:r>
        <w:rPr>
          <w:rFonts w:hint="eastAsia" w:eastAsia="宋体" w:cs="宋体"/>
          <w:b/>
          <w:bCs/>
          <w:color w:val="auto"/>
          <w:sz w:val="44"/>
          <w:szCs w:val="44"/>
          <w:highlight w:val="none"/>
        </w:rPr>
        <w:t xml:space="preserve">目 </w:t>
      </w:r>
      <w:r>
        <w:rPr>
          <w:rFonts w:eastAsia="宋体" w:cs="宋体"/>
          <w:b/>
          <w:bCs/>
          <w:color w:val="auto"/>
          <w:sz w:val="44"/>
          <w:szCs w:val="44"/>
          <w:highlight w:val="none"/>
        </w:rPr>
        <w:t xml:space="preserve"> </w:t>
      </w:r>
      <w:r>
        <w:rPr>
          <w:rFonts w:hint="eastAsia" w:eastAsia="宋体" w:cs="宋体"/>
          <w:b/>
          <w:bCs/>
          <w:color w:val="auto"/>
          <w:sz w:val="44"/>
          <w:szCs w:val="44"/>
          <w:highlight w:val="none"/>
        </w:rPr>
        <w:t>录</w:t>
      </w:r>
    </w:p>
    <w:p w14:paraId="0CEAE712">
      <w:pPr>
        <w:tabs>
          <w:tab w:val="right" w:leader="dot" w:pos="9072"/>
        </w:tabs>
        <w:spacing w:line="1200" w:lineRule="exact"/>
        <w:ind w:right="-2"/>
        <w:jc w:val="center"/>
        <w:rPr>
          <w:rFonts w:eastAsia="宋体"/>
          <w:color w:val="auto"/>
          <w:sz w:val="32"/>
          <w:szCs w:val="32"/>
          <w:highlight w:val="none"/>
        </w:rPr>
      </w:pPr>
      <w:r>
        <w:rPr>
          <w:rFonts w:eastAsia="宋体"/>
          <w:b/>
          <w:bCs/>
          <w:color w:val="auto"/>
          <w:sz w:val="30"/>
          <w:szCs w:val="30"/>
          <w:highlight w:val="none"/>
        </w:rPr>
        <w:fldChar w:fldCharType="begin"/>
      </w:r>
      <w:r>
        <w:rPr>
          <w:rFonts w:eastAsia="宋体"/>
          <w:b/>
          <w:bCs/>
          <w:color w:val="auto"/>
          <w:sz w:val="30"/>
          <w:szCs w:val="30"/>
          <w:highlight w:val="none"/>
        </w:rPr>
        <w:instrText xml:space="preserve"> TOC \o "1-1" </w:instrText>
      </w:r>
      <w:r>
        <w:rPr>
          <w:rFonts w:eastAsia="宋体"/>
          <w:b/>
          <w:bCs/>
          <w:color w:val="auto"/>
          <w:sz w:val="30"/>
          <w:szCs w:val="30"/>
          <w:highlight w:val="none"/>
        </w:rPr>
        <w:fldChar w:fldCharType="separate"/>
      </w:r>
      <w:r>
        <w:rPr>
          <w:rFonts w:hint="eastAsia" w:eastAsia="宋体" w:cs="宋体"/>
          <w:color w:val="auto"/>
          <w:sz w:val="30"/>
          <w:szCs w:val="30"/>
          <w:highlight w:val="none"/>
        </w:rPr>
        <w:t>第一章 参加征集活动的邀请</w:t>
      </w:r>
      <w:r>
        <w:rPr>
          <w:rFonts w:eastAsia="宋体"/>
          <w:color w:val="auto"/>
          <w:sz w:val="30"/>
          <w:szCs w:val="30"/>
          <w:highlight w:val="none"/>
        </w:rPr>
        <w:tab/>
      </w:r>
      <w:r>
        <w:rPr>
          <w:rFonts w:eastAsia="宋体"/>
          <w:color w:val="auto"/>
          <w:sz w:val="30"/>
          <w:szCs w:val="30"/>
          <w:highlight w:val="none"/>
        </w:rPr>
        <w:t>3</w:t>
      </w:r>
    </w:p>
    <w:p w14:paraId="4C7BB171">
      <w:pPr>
        <w:tabs>
          <w:tab w:val="right" w:leader="dot" w:pos="9072"/>
        </w:tabs>
        <w:spacing w:line="1200" w:lineRule="exact"/>
        <w:ind w:right="-2"/>
        <w:jc w:val="center"/>
        <w:rPr>
          <w:rFonts w:eastAsia="宋体"/>
          <w:color w:val="auto"/>
          <w:sz w:val="30"/>
          <w:szCs w:val="30"/>
          <w:highlight w:val="none"/>
        </w:rPr>
      </w:pPr>
      <w:r>
        <w:rPr>
          <w:rFonts w:hint="eastAsia" w:eastAsia="宋体" w:cs="宋体"/>
          <w:color w:val="auto"/>
          <w:sz w:val="30"/>
          <w:szCs w:val="30"/>
          <w:highlight w:val="none"/>
        </w:rPr>
        <w:t>第二章 供应商须知</w:t>
      </w:r>
      <w:r>
        <w:rPr>
          <w:rFonts w:eastAsia="宋体"/>
          <w:color w:val="auto"/>
          <w:sz w:val="30"/>
          <w:szCs w:val="30"/>
          <w:highlight w:val="none"/>
        </w:rPr>
        <w:tab/>
      </w:r>
      <w:r>
        <w:rPr>
          <w:rFonts w:hint="eastAsia" w:eastAsia="宋体"/>
          <w:color w:val="auto"/>
          <w:sz w:val="30"/>
          <w:szCs w:val="30"/>
          <w:highlight w:val="none"/>
        </w:rPr>
        <w:t>6</w:t>
      </w:r>
    </w:p>
    <w:p w14:paraId="3CC19995">
      <w:pPr>
        <w:tabs>
          <w:tab w:val="right" w:leader="dot" w:pos="9072"/>
        </w:tabs>
        <w:spacing w:line="1200" w:lineRule="exact"/>
        <w:ind w:right="-2"/>
        <w:jc w:val="center"/>
        <w:rPr>
          <w:rFonts w:eastAsia="宋体"/>
          <w:color w:val="auto"/>
          <w:sz w:val="30"/>
          <w:szCs w:val="30"/>
          <w:highlight w:val="none"/>
        </w:rPr>
      </w:pPr>
      <w:r>
        <w:rPr>
          <w:rFonts w:hint="eastAsia" w:eastAsia="宋体" w:cs="宋体"/>
          <w:color w:val="auto"/>
          <w:sz w:val="30"/>
          <w:szCs w:val="30"/>
          <w:highlight w:val="none"/>
        </w:rPr>
        <w:t>第三章 采购需求</w:t>
      </w:r>
      <w:r>
        <w:rPr>
          <w:rFonts w:eastAsia="宋体"/>
          <w:color w:val="auto"/>
          <w:sz w:val="30"/>
          <w:szCs w:val="30"/>
          <w:highlight w:val="none"/>
        </w:rPr>
        <w:tab/>
      </w:r>
      <w:r>
        <w:rPr>
          <w:rFonts w:eastAsia="宋体"/>
          <w:color w:val="auto"/>
          <w:sz w:val="30"/>
          <w:szCs w:val="30"/>
          <w:highlight w:val="none"/>
        </w:rPr>
        <w:t>1</w:t>
      </w:r>
      <w:r>
        <w:rPr>
          <w:rFonts w:hint="eastAsia" w:eastAsia="宋体"/>
          <w:color w:val="auto"/>
          <w:sz w:val="30"/>
          <w:szCs w:val="30"/>
          <w:highlight w:val="none"/>
        </w:rPr>
        <w:t>5</w:t>
      </w:r>
    </w:p>
    <w:p w14:paraId="73CB9B0B">
      <w:pPr>
        <w:tabs>
          <w:tab w:val="right" w:leader="dot" w:pos="9072"/>
        </w:tabs>
        <w:spacing w:line="1200" w:lineRule="exact"/>
        <w:ind w:right="-2"/>
        <w:jc w:val="center"/>
        <w:rPr>
          <w:rFonts w:eastAsia="宋体"/>
          <w:color w:val="auto"/>
          <w:sz w:val="30"/>
          <w:szCs w:val="30"/>
          <w:highlight w:val="none"/>
        </w:rPr>
      </w:pPr>
      <w:r>
        <w:rPr>
          <w:rFonts w:hint="eastAsia" w:eastAsia="宋体" w:cs="宋体"/>
          <w:color w:val="auto"/>
          <w:sz w:val="30"/>
          <w:szCs w:val="30"/>
          <w:highlight w:val="none"/>
        </w:rPr>
        <w:t>第四章 确定入围供应商的方法</w:t>
      </w:r>
      <w:r>
        <w:rPr>
          <w:rFonts w:eastAsia="宋体"/>
          <w:color w:val="auto"/>
          <w:sz w:val="30"/>
          <w:szCs w:val="30"/>
          <w:highlight w:val="none"/>
        </w:rPr>
        <w:tab/>
      </w:r>
      <w:r>
        <w:rPr>
          <w:rFonts w:hint="eastAsia" w:eastAsia="宋体"/>
          <w:color w:val="auto"/>
          <w:sz w:val="30"/>
          <w:szCs w:val="30"/>
          <w:highlight w:val="none"/>
        </w:rPr>
        <w:t>23</w:t>
      </w:r>
    </w:p>
    <w:p w14:paraId="30F35A66">
      <w:pPr>
        <w:tabs>
          <w:tab w:val="right" w:leader="dot" w:pos="9072"/>
        </w:tabs>
        <w:spacing w:line="1200" w:lineRule="exact"/>
        <w:ind w:right="-2"/>
        <w:jc w:val="center"/>
        <w:rPr>
          <w:rFonts w:eastAsia="宋体"/>
          <w:color w:val="auto"/>
          <w:sz w:val="30"/>
          <w:szCs w:val="30"/>
          <w:highlight w:val="none"/>
        </w:rPr>
      </w:pPr>
      <w:r>
        <w:rPr>
          <w:rFonts w:hint="eastAsia" w:eastAsia="宋体" w:cs="宋体"/>
          <w:color w:val="auto"/>
          <w:sz w:val="30"/>
          <w:szCs w:val="30"/>
          <w:highlight w:val="none"/>
        </w:rPr>
        <w:t>第五章 框架协议文本</w:t>
      </w:r>
      <w:r>
        <w:rPr>
          <w:rFonts w:eastAsia="宋体"/>
          <w:color w:val="auto"/>
          <w:sz w:val="30"/>
          <w:szCs w:val="30"/>
          <w:highlight w:val="none"/>
        </w:rPr>
        <w:tab/>
      </w:r>
      <w:r>
        <w:rPr>
          <w:rFonts w:hint="eastAsia" w:eastAsia="宋体"/>
          <w:color w:val="auto"/>
          <w:sz w:val="30"/>
          <w:szCs w:val="30"/>
          <w:highlight w:val="none"/>
        </w:rPr>
        <w:t>31</w:t>
      </w:r>
    </w:p>
    <w:p w14:paraId="6B3453FE">
      <w:pPr>
        <w:tabs>
          <w:tab w:val="right" w:leader="dot" w:pos="9072"/>
        </w:tabs>
        <w:spacing w:line="1200" w:lineRule="exact"/>
        <w:ind w:right="-2"/>
        <w:jc w:val="center"/>
        <w:rPr>
          <w:rFonts w:eastAsia="宋体"/>
          <w:color w:val="auto"/>
          <w:sz w:val="30"/>
          <w:szCs w:val="30"/>
          <w:highlight w:val="none"/>
        </w:rPr>
      </w:pPr>
      <w:r>
        <w:rPr>
          <w:rFonts w:hint="eastAsia" w:eastAsia="宋体" w:cs="宋体"/>
          <w:color w:val="auto"/>
          <w:sz w:val="30"/>
          <w:szCs w:val="30"/>
          <w:highlight w:val="none"/>
        </w:rPr>
        <w:t>第六章 征集响应文件的组成和格式</w:t>
      </w:r>
      <w:r>
        <w:rPr>
          <w:rFonts w:eastAsia="宋体"/>
          <w:color w:val="auto"/>
          <w:sz w:val="30"/>
          <w:szCs w:val="30"/>
          <w:highlight w:val="none"/>
        </w:rPr>
        <w:tab/>
      </w:r>
      <w:r>
        <w:rPr>
          <w:rFonts w:hint="eastAsia" w:eastAsia="宋体"/>
          <w:color w:val="auto"/>
          <w:sz w:val="30"/>
          <w:szCs w:val="30"/>
          <w:highlight w:val="none"/>
        </w:rPr>
        <w:t>41</w:t>
      </w:r>
    </w:p>
    <w:p w14:paraId="0B00EC92">
      <w:pPr>
        <w:spacing w:line="420" w:lineRule="exact"/>
        <w:rPr>
          <w:rFonts w:eastAsia="宋体"/>
          <w:color w:val="auto"/>
          <w:highlight w:val="none"/>
        </w:rPr>
      </w:pPr>
      <w:r>
        <w:rPr>
          <w:rFonts w:eastAsia="宋体"/>
          <w:b/>
          <w:bCs/>
          <w:color w:val="auto"/>
          <w:sz w:val="30"/>
          <w:szCs w:val="30"/>
          <w:highlight w:val="none"/>
        </w:rPr>
        <w:fldChar w:fldCharType="end"/>
      </w:r>
    </w:p>
    <w:p w14:paraId="420EC170">
      <w:pPr>
        <w:spacing w:line="420" w:lineRule="exact"/>
        <w:rPr>
          <w:rFonts w:eastAsia="宋体"/>
          <w:color w:val="auto"/>
          <w:highlight w:val="none"/>
        </w:rPr>
      </w:pPr>
    </w:p>
    <w:p w14:paraId="57DF667E">
      <w:pPr>
        <w:spacing w:line="420" w:lineRule="exact"/>
        <w:rPr>
          <w:rFonts w:eastAsia="宋体"/>
          <w:color w:val="auto"/>
          <w:highlight w:val="none"/>
        </w:rPr>
      </w:pPr>
    </w:p>
    <w:p w14:paraId="040280FD">
      <w:pPr>
        <w:spacing w:line="420" w:lineRule="exact"/>
        <w:rPr>
          <w:rFonts w:eastAsia="宋体"/>
          <w:color w:val="auto"/>
          <w:highlight w:val="none"/>
        </w:rPr>
      </w:pPr>
    </w:p>
    <w:p w14:paraId="3C33666B">
      <w:pPr>
        <w:spacing w:line="420" w:lineRule="exact"/>
        <w:rPr>
          <w:rFonts w:eastAsia="宋体"/>
          <w:color w:val="auto"/>
          <w:highlight w:val="none"/>
        </w:rPr>
        <w:sectPr>
          <w:pgSz w:w="11906" w:h="16838"/>
          <w:pgMar w:top="851" w:right="851" w:bottom="851" w:left="1134" w:header="851" w:footer="471" w:gutter="0"/>
          <w:cols w:space="425" w:num="1"/>
          <w:docGrid w:linePitch="360" w:charSpace="0"/>
        </w:sectPr>
      </w:pPr>
    </w:p>
    <w:p w14:paraId="5720F76C">
      <w:pPr>
        <w:tabs>
          <w:tab w:val="left" w:pos="1050"/>
          <w:tab w:val="left" w:pos="2375"/>
          <w:tab w:val="center" w:pos="4818"/>
          <w:tab w:val="right" w:leader="dot" w:pos="9402"/>
        </w:tabs>
        <w:spacing w:line="600" w:lineRule="exact"/>
        <w:jc w:val="center"/>
        <w:outlineLvl w:val="0"/>
        <w:rPr>
          <w:rFonts w:eastAsia="宋体" w:cs="宋体"/>
          <w:b/>
          <w:bCs/>
          <w:color w:val="auto"/>
          <w:sz w:val="36"/>
          <w:szCs w:val="36"/>
          <w:highlight w:val="none"/>
        </w:rPr>
      </w:pPr>
      <w:bookmarkStart w:id="0" w:name="_Hlk183254676"/>
      <w:r>
        <w:rPr>
          <w:rFonts w:hint="eastAsia" w:eastAsia="宋体" w:cs="宋体"/>
          <w:b/>
          <w:bCs/>
          <w:color w:val="auto"/>
          <w:sz w:val="36"/>
          <w:szCs w:val="36"/>
          <w:highlight w:val="none"/>
        </w:rPr>
        <w:t>第一章 参加征集活动的邀请</w:t>
      </w:r>
      <w:bookmarkEnd w:id="0"/>
    </w:p>
    <w:p w14:paraId="404BDCB3">
      <w:pPr>
        <w:spacing w:after="240" w:line="420" w:lineRule="exact"/>
        <w:ind w:firstLine="425"/>
        <w:rPr>
          <w:rFonts w:eastAsia="宋体" w:cs="宋体"/>
          <w:color w:val="auto"/>
          <w:highlight w:val="none"/>
        </w:rPr>
      </w:pPr>
      <w:r>
        <w:rPr>
          <w:rFonts w:hint="eastAsia" w:eastAsia="宋体" w:cs="宋体"/>
          <w:color w:val="auto"/>
          <w:highlight w:val="none"/>
        </w:rPr>
        <w:t>江苏衡晟项目管理咨询有限公司受如东县财政局的委托，就如东县财政局政府投资建设项目协审服务框架协议采购项目(项目编号：JSZC-320623-HSGL-K2025-0053)征集供应商，欢迎符合条件的供应商参加本次框架协议采购活动。</w:t>
      </w:r>
    </w:p>
    <w:p w14:paraId="38872A41">
      <w:pPr>
        <w:pBdr>
          <w:top w:val="single" w:color="auto" w:sz="4" w:space="1"/>
          <w:left w:val="single" w:color="auto" w:sz="4" w:space="4"/>
          <w:bottom w:val="single" w:color="auto" w:sz="4" w:space="10"/>
          <w:right w:val="single" w:color="auto" w:sz="4" w:space="0"/>
        </w:pBdr>
        <w:spacing w:line="420" w:lineRule="exact"/>
        <w:ind w:firstLine="482"/>
        <w:rPr>
          <w:rFonts w:ascii="宋体" w:hAnsi="宋体" w:eastAsia="宋体"/>
          <w:b/>
          <w:bCs/>
          <w:color w:val="auto"/>
          <w:highlight w:val="none"/>
        </w:rPr>
      </w:pPr>
      <w:bookmarkStart w:id="1" w:name="_Hlk67480463"/>
      <w:bookmarkStart w:id="2" w:name="_Hlk179213609"/>
      <w:bookmarkStart w:id="3" w:name="_Hlk46362535"/>
      <w:bookmarkStart w:id="4" w:name="_Hlk55401191"/>
      <w:bookmarkStart w:id="5" w:name="_Hlk23325252"/>
      <w:bookmarkStart w:id="6" w:name="_Hlk60192575"/>
      <w:bookmarkStart w:id="7" w:name="_Hlk47464923"/>
      <w:bookmarkStart w:id="8" w:name="_Hlk22000923"/>
      <w:r>
        <w:rPr>
          <w:rFonts w:hint="eastAsia" w:ascii="宋体" w:hAnsi="宋体" w:eastAsia="宋体" w:cs="宋体"/>
          <w:b/>
          <w:bCs/>
          <w:color w:val="auto"/>
          <w:highlight w:val="none"/>
        </w:rPr>
        <w:t>项目概况</w:t>
      </w:r>
    </w:p>
    <w:p w14:paraId="2C363030">
      <w:pPr>
        <w:pBdr>
          <w:top w:val="single" w:color="auto" w:sz="4" w:space="1"/>
          <w:left w:val="single" w:color="auto" w:sz="4" w:space="4"/>
          <w:bottom w:val="single" w:color="auto" w:sz="4" w:space="10"/>
          <w:right w:val="single" w:color="auto" w:sz="4" w:space="0"/>
        </w:pBdr>
        <w:spacing w:line="420" w:lineRule="exact"/>
        <w:ind w:firstLine="482"/>
        <w:rPr>
          <w:rFonts w:eastAsia="宋体"/>
          <w:b/>
          <w:bCs/>
          <w:color w:val="auto"/>
          <w:highlight w:val="none"/>
        </w:rPr>
      </w:pPr>
      <w:r>
        <w:rPr>
          <w:rFonts w:hint="eastAsia" w:eastAsia="宋体" w:cs="宋体"/>
          <w:b/>
          <w:bCs/>
          <w:color w:val="auto"/>
          <w:highlight w:val="none"/>
          <w:u w:val="single"/>
        </w:rPr>
        <w:t>如东县财政局政府投资建设项目协审服务框架协议采购项目</w:t>
      </w:r>
      <w:r>
        <w:rPr>
          <w:rFonts w:hint="eastAsia" w:eastAsia="宋体" w:cs="宋体"/>
          <w:b/>
          <w:bCs/>
          <w:color w:val="auto"/>
          <w:highlight w:val="none"/>
        </w:rPr>
        <w:t>的潜在供应商应在</w:t>
      </w:r>
      <w:r>
        <w:rPr>
          <w:rFonts w:eastAsia="宋体"/>
          <w:b/>
          <w:bCs/>
          <w:color w:val="auto"/>
          <w:highlight w:val="none"/>
          <w:u w:val="single"/>
        </w:rPr>
        <w:t>“</w:t>
      </w:r>
      <w:r>
        <w:rPr>
          <w:rFonts w:hint="eastAsia" w:eastAsia="宋体" w:cs="宋体"/>
          <w:b/>
          <w:bCs/>
          <w:color w:val="auto"/>
          <w:highlight w:val="none"/>
          <w:u w:val="single"/>
        </w:rPr>
        <w:t>江苏政府采购网</w:t>
      </w:r>
      <w:r>
        <w:rPr>
          <w:rFonts w:eastAsia="宋体"/>
          <w:b/>
          <w:bCs/>
          <w:color w:val="auto"/>
          <w:highlight w:val="none"/>
          <w:u w:val="single"/>
        </w:rPr>
        <w:t>”</w:t>
      </w:r>
      <w:r>
        <w:rPr>
          <w:rFonts w:hint="eastAsia"/>
          <w:color w:val="auto"/>
          <w:highlight w:val="none"/>
        </w:rPr>
        <w:t xml:space="preserve"> </w:t>
      </w:r>
      <w:r>
        <w:rPr>
          <w:rFonts w:hint="eastAsia" w:eastAsia="宋体" w:cs="宋体"/>
          <w:b/>
          <w:bCs/>
          <w:color w:val="auto"/>
          <w:highlight w:val="none"/>
        </w:rPr>
        <w:t>自行免费下载征集文件，并于</w:t>
      </w:r>
      <w:r>
        <w:rPr>
          <w:rFonts w:eastAsia="宋体"/>
          <w:b/>
          <w:bCs/>
          <w:color w:val="auto"/>
          <w:highlight w:val="none"/>
          <w:u w:val="single"/>
        </w:rPr>
        <w:t>2025年</w:t>
      </w:r>
      <w:r>
        <w:rPr>
          <w:rFonts w:hint="eastAsia" w:eastAsia="宋体"/>
          <w:b/>
          <w:bCs/>
          <w:color w:val="auto"/>
          <w:highlight w:val="none"/>
          <w:u w:val="single"/>
          <w:lang w:val="en-US" w:eastAsia="zh-CN"/>
        </w:rPr>
        <w:t>8</w:t>
      </w:r>
      <w:r>
        <w:rPr>
          <w:rFonts w:eastAsia="宋体"/>
          <w:b/>
          <w:bCs/>
          <w:color w:val="auto"/>
          <w:highlight w:val="none"/>
          <w:u w:val="single"/>
        </w:rPr>
        <w:t>月</w:t>
      </w:r>
      <w:r>
        <w:rPr>
          <w:rFonts w:hint="eastAsia" w:eastAsia="宋体"/>
          <w:b/>
          <w:bCs/>
          <w:color w:val="auto"/>
          <w:highlight w:val="none"/>
          <w:u w:val="single"/>
          <w:lang w:val="en-US" w:eastAsia="zh-CN"/>
        </w:rPr>
        <w:t>27</w:t>
      </w:r>
      <w:r>
        <w:rPr>
          <w:rFonts w:hint="eastAsia" w:eastAsia="宋体" w:cs="宋体"/>
          <w:b/>
          <w:bCs/>
          <w:color w:val="auto"/>
          <w:highlight w:val="none"/>
          <w:u w:val="single"/>
        </w:rPr>
        <w:t>日</w:t>
      </w:r>
      <w:bookmarkStart w:id="9" w:name="_Hlk183084544"/>
      <w:r>
        <w:rPr>
          <w:rFonts w:hint="eastAsia" w:eastAsia="宋体" w:cs="宋体"/>
          <w:b/>
          <w:bCs/>
          <w:color w:val="auto"/>
          <w:highlight w:val="none"/>
          <w:u w:val="single"/>
        </w:rPr>
        <w:t>上午</w:t>
      </w:r>
      <w:r>
        <w:rPr>
          <w:rFonts w:hint="eastAsia" w:eastAsia="宋体"/>
          <w:b/>
          <w:bCs/>
          <w:color w:val="auto"/>
          <w:highlight w:val="none"/>
          <w:u w:val="single"/>
        </w:rPr>
        <w:t>09时00分</w:t>
      </w:r>
      <w:bookmarkEnd w:id="9"/>
      <w:r>
        <w:rPr>
          <w:rFonts w:hint="eastAsia" w:eastAsia="宋体" w:cs="宋体"/>
          <w:b/>
          <w:bCs/>
          <w:color w:val="auto"/>
          <w:highlight w:val="none"/>
        </w:rPr>
        <w:t>（北京时间，以下相同。）</w:t>
      </w:r>
      <w:r>
        <w:rPr>
          <w:rFonts w:hint="eastAsia" w:eastAsia="宋体"/>
          <w:b/>
          <w:bCs/>
          <w:color w:val="auto"/>
          <w:highlight w:val="none"/>
        </w:rPr>
        <w:t>前</w:t>
      </w:r>
      <w:r>
        <w:rPr>
          <w:rFonts w:hint="eastAsia" w:eastAsia="宋体" w:cs="宋体"/>
          <w:b/>
          <w:bCs/>
          <w:color w:val="auto"/>
          <w:highlight w:val="none"/>
        </w:rPr>
        <w:t>提交征集响应文件。</w:t>
      </w:r>
    </w:p>
    <w:bookmarkEnd w:id="1"/>
    <w:p w14:paraId="423ACD59">
      <w:pPr>
        <w:spacing w:before="240" w:line="420" w:lineRule="exact"/>
        <w:ind w:left="-2" w:firstLine="431"/>
        <w:outlineLvl w:val="1"/>
        <w:rPr>
          <w:rFonts w:eastAsia="宋体" w:cs="宋体"/>
          <w:b/>
          <w:bCs/>
          <w:color w:val="auto"/>
          <w:highlight w:val="none"/>
        </w:rPr>
      </w:pPr>
      <w:r>
        <w:rPr>
          <w:rFonts w:hint="eastAsia" w:eastAsia="宋体" w:cs="宋体"/>
          <w:b/>
          <w:bCs/>
          <w:color w:val="auto"/>
          <w:highlight w:val="none"/>
        </w:rPr>
        <w:t>一、项目基本情况</w:t>
      </w:r>
      <w:bookmarkEnd w:id="2"/>
    </w:p>
    <w:p w14:paraId="7B4D962E">
      <w:pPr>
        <w:spacing w:line="420" w:lineRule="exact"/>
        <w:ind w:firstLine="426"/>
        <w:rPr>
          <w:rFonts w:eastAsia="宋体" w:cs="宋体"/>
          <w:color w:val="auto"/>
          <w:highlight w:val="none"/>
        </w:rPr>
      </w:pPr>
      <w:r>
        <w:rPr>
          <w:rFonts w:hint="eastAsia" w:eastAsia="宋体" w:cs="宋体"/>
          <w:b/>
          <w:bCs/>
          <w:color w:val="auto"/>
          <w:highlight w:val="none"/>
        </w:rPr>
        <w:t>项目编号：</w:t>
      </w:r>
      <w:bookmarkStart w:id="10" w:name="_Hlk184249680"/>
      <w:r>
        <w:rPr>
          <w:rFonts w:hint="eastAsia" w:eastAsia="宋体" w:cs="宋体"/>
          <w:b/>
          <w:bCs/>
          <w:color w:val="auto"/>
          <w:highlight w:val="none"/>
        </w:rPr>
        <w:t>JSZC-320623-HSGL-K2025-0053</w:t>
      </w:r>
      <w:r>
        <w:rPr>
          <w:rFonts w:hint="eastAsia" w:eastAsia="宋体" w:cs="宋体"/>
          <w:b/>
          <w:bCs/>
          <w:color w:val="auto"/>
          <w:highlight w:val="none"/>
          <w:lang w:val="en-US" w:eastAsia="zh-CN"/>
        </w:rPr>
        <w:t xml:space="preserve">   </w:t>
      </w:r>
      <w:r>
        <w:rPr>
          <w:rFonts w:hint="eastAsia" w:eastAsia="宋体" w:cs="宋体"/>
          <w:color w:val="auto"/>
          <w:highlight w:val="none"/>
        </w:rPr>
        <w:t xml:space="preserve">  </w:t>
      </w:r>
    </w:p>
    <w:p w14:paraId="1BD600F8">
      <w:pPr>
        <w:spacing w:line="420" w:lineRule="exact"/>
        <w:ind w:firstLine="426"/>
        <w:rPr>
          <w:rFonts w:eastAsia="宋体" w:cs="宋体"/>
          <w:color w:val="auto"/>
          <w:highlight w:val="none"/>
        </w:rPr>
      </w:pPr>
      <w:r>
        <w:rPr>
          <w:rFonts w:hint="eastAsia" w:eastAsia="宋体" w:cs="宋体"/>
          <w:b/>
          <w:bCs/>
          <w:color w:val="auto"/>
          <w:highlight w:val="none"/>
        </w:rPr>
        <w:t>项目名称：</w:t>
      </w:r>
      <w:r>
        <w:rPr>
          <w:rFonts w:hint="eastAsia" w:eastAsia="宋体" w:cs="宋体"/>
          <w:color w:val="auto"/>
          <w:highlight w:val="none"/>
        </w:rPr>
        <w:t>如东县财政局政府投资建设项目协审服务框架协议采购项目</w:t>
      </w:r>
      <w:bookmarkEnd w:id="10"/>
    </w:p>
    <w:p w14:paraId="16C513A8">
      <w:pPr>
        <w:spacing w:line="420" w:lineRule="exact"/>
        <w:ind w:firstLine="426"/>
        <w:rPr>
          <w:rFonts w:eastAsia="宋体" w:cs="宋体"/>
          <w:b/>
          <w:bCs/>
          <w:color w:val="auto"/>
          <w:highlight w:val="none"/>
        </w:rPr>
      </w:pPr>
      <w:r>
        <w:rPr>
          <w:rFonts w:hint="eastAsia" w:eastAsia="宋体" w:cs="宋体"/>
          <w:b/>
          <w:bCs/>
          <w:color w:val="auto"/>
          <w:highlight w:val="none"/>
        </w:rPr>
        <w:t>预算金额：</w:t>
      </w:r>
      <w:r>
        <w:rPr>
          <w:rFonts w:hint="eastAsia" w:eastAsia="宋体" w:cs="宋体"/>
          <w:color w:val="auto"/>
          <w:highlight w:val="none"/>
        </w:rPr>
        <w:t>360万元。</w:t>
      </w:r>
    </w:p>
    <w:p w14:paraId="1DD2B22B">
      <w:pPr>
        <w:spacing w:line="420" w:lineRule="exact"/>
        <w:ind w:firstLine="426"/>
        <w:rPr>
          <w:rFonts w:eastAsia="宋体" w:cs="宋体"/>
          <w:color w:val="auto"/>
          <w:highlight w:val="none"/>
        </w:rPr>
      </w:pPr>
      <w:r>
        <w:rPr>
          <w:rFonts w:hint="eastAsia" w:eastAsia="宋体" w:cs="宋体"/>
          <w:b/>
          <w:bCs/>
          <w:color w:val="auto"/>
          <w:highlight w:val="none"/>
        </w:rPr>
        <w:t>最高限价：</w:t>
      </w:r>
      <w:r>
        <w:rPr>
          <w:rFonts w:hint="eastAsia" w:eastAsia="宋体" w:cs="宋体"/>
          <w:color w:val="auto"/>
          <w:highlight w:val="none"/>
        </w:rPr>
        <w:t>360万元。</w:t>
      </w:r>
    </w:p>
    <w:p w14:paraId="07E6AD49">
      <w:pPr>
        <w:spacing w:line="420" w:lineRule="exact"/>
        <w:ind w:firstLine="426"/>
        <w:rPr>
          <w:rFonts w:eastAsia="宋体" w:cs="宋体"/>
          <w:color w:val="auto"/>
          <w:highlight w:val="none"/>
        </w:rPr>
      </w:pPr>
      <w:r>
        <w:rPr>
          <w:rFonts w:hint="eastAsia" w:eastAsia="宋体" w:cs="宋体"/>
          <w:b/>
          <w:bCs/>
          <w:color w:val="auto"/>
          <w:highlight w:val="none"/>
        </w:rPr>
        <w:t>采购需求：</w:t>
      </w:r>
      <w:r>
        <w:rPr>
          <w:rFonts w:hint="eastAsia" w:eastAsia="宋体" w:cs="宋体"/>
          <w:color w:val="auto"/>
          <w:highlight w:val="none"/>
        </w:rPr>
        <w:t>为保证公平市场竞争，选择符合条件的中介机构签订框架协议，对采购人委托的工程项目在采购人的组织下进行评审，向采购人出具相应的咨询报告，并按采购人的要求编写相关文书、移交相关资料；适用本次框架协议的征集人或服务对象范围：如东县财政局；本项目的预估预算金额360万元</w:t>
      </w:r>
      <w:r>
        <w:rPr>
          <w:rFonts w:hint="eastAsia" w:eastAsia="宋体" w:cs="宋体"/>
          <w:color w:val="auto"/>
          <w:highlight w:val="none"/>
          <w:lang w:eastAsia="zh-CN"/>
        </w:rPr>
        <w:t>（</w:t>
      </w:r>
      <w:r>
        <w:rPr>
          <w:rFonts w:hint="eastAsia" w:eastAsia="宋体" w:cs="宋体"/>
          <w:color w:val="auto"/>
          <w:highlight w:val="none"/>
          <w:lang w:val="en-US" w:eastAsia="zh-CN"/>
        </w:rPr>
        <w:t>180万元/年</w:t>
      </w:r>
      <w:r>
        <w:rPr>
          <w:rFonts w:hint="eastAsia" w:eastAsia="宋体" w:cs="宋体"/>
          <w:color w:val="auto"/>
          <w:highlight w:val="none"/>
          <w:lang w:eastAsia="zh-CN"/>
        </w:rPr>
        <w:t>）</w:t>
      </w:r>
      <w:r>
        <w:rPr>
          <w:rFonts w:hint="eastAsia" w:eastAsia="宋体" w:cs="宋体"/>
          <w:color w:val="auto"/>
          <w:highlight w:val="none"/>
        </w:rPr>
        <w:t>。详见本征集文件第</w:t>
      </w:r>
      <w:r>
        <w:rPr>
          <w:rFonts w:hint="eastAsia" w:eastAsia="宋体" w:cs="宋体"/>
          <w:color w:val="auto"/>
          <w:highlight w:val="none"/>
          <w:lang w:val="en-US" w:eastAsia="zh-CN"/>
        </w:rPr>
        <w:t>三</w:t>
      </w:r>
      <w:r>
        <w:rPr>
          <w:rFonts w:hint="eastAsia" w:eastAsia="宋体" w:cs="宋体"/>
          <w:color w:val="auto"/>
          <w:highlight w:val="none"/>
        </w:rPr>
        <w:t>章。</w:t>
      </w:r>
    </w:p>
    <w:p w14:paraId="0BAF7F4D">
      <w:pPr>
        <w:spacing w:line="420" w:lineRule="exact"/>
        <w:ind w:firstLine="426"/>
        <w:rPr>
          <w:rFonts w:eastAsia="宋体" w:cs="宋体"/>
          <w:color w:val="auto"/>
          <w:highlight w:val="none"/>
        </w:rPr>
      </w:pPr>
      <w:bookmarkStart w:id="11" w:name="_Hlk183655501"/>
      <w:r>
        <w:rPr>
          <w:rFonts w:hint="eastAsia" w:eastAsia="宋体" w:cs="宋体"/>
          <w:b/>
          <w:bCs/>
          <w:color w:val="auto"/>
          <w:highlight w:val="none"/>
        </w:rPr>
        <w:t>合同履行期限：</w:t>
      </w:r>
      <w:r>
        <w:rPr>
          <w:rFonts w:hint="eastAsia" w:eastAsia="宋体" w:cs="宋体"/>
          <w:color w:val="auto"/>
          <w:highlight w:val="none"/>
        </w:rPr>
        <w:t>框架协议的期限</w:t>
      </w:r>
      <w:bookmarkEnd w:id="11"/>
      <w:r>
        <w:rPr>
          <w:rFonts w:hint="eastAsia" w:eastAsia="宋体" w:cs="宋体"/>
          <w:color w:val="auto"/>
          <w:highlight w:val="none"/>
        </w:rPr>
        <w:t>为自框架协议签订之日起计两年。</w:t>
      </w:r>
    </w:p>
    <w:p w14:paraId="36ADA34C">
      <w:pPr>
        <w:spacing w:line="420" w:lineRule="exact"/>
        <w:ind w:firstLine="431"/>
        <w:rPr>
          <w:rFonts w:eastAsia="宋体" w:cs="宋体"/>
          <w:color w:val="auto"/>
          <w:highlight w:val="none"/>
        </w:rPr>
      </w:pPr>
      <w:r>
        <w:rPr>
          <w:rFonts w:hint="eastAsia" w:eastAsia="宋体" w:cs="宋体"/>
          <w:b/>
          <w:bCs/>
          <w:color w:val="auto"/>
          <w:highlight w:val="none"/>
        </w:rPr>
        <w:t>本项目（是/否）接受联合体投标：</w:t>
      </w:r>
      <w:r>
        <w:rPr>
          <w:rFonts w:hint="eastAsia" w:eastAsia="宋体" w:cs="宋体"/>
          <w:color w:val="auto"/>
          <w:highlight w:val="none"/>
        </w:rPr>
        <w:t>不接受联合体。</w:t>
      </w:r>
    </w:p>
    <w:p w14:paraId="613654FF">
      <w:pPr>
        <w:spacing w:line="420" w:lineRule="exact"/>
        <w:ind w:left="-2" w:firstLine="431"/>
        <w:outlineLvl w:val="1"/>
        <w:rPr>
          <w:rFonts w:eastAsia="宋体"/>
          <w:color w:val="auto"/>
          <w:highlight w:val="none"/>
        </w:rPr>
      </w:pPr>
      <w:r>
        <w:rPr>
          <w:rFonts w:hint="eastAsia" w:eastAsia="宋体" w:cs="宋体"/>
          <w:b/>
          <w:bCs/>
          <w:color w:val="auto"/>
          <w:highlight w:val="none"/>
        </w:rPr>
        <w:t>二、供应商的资格要求</w:t>
      </w:r>
    </w:p>
    <w:p w14:paraId="67E7AC2A">
      <w:pPr>
        <w:spacing w:line="420" w:lineRule="exact"/>
        <w:ind w:left="-2" w:firstLine="429"/>
        <w:rPr>
          <w:rFonts w:eastAsia="宋体"/>
          <w:b/>
          <w:bCs/>
          <w:color w:val="auto"/>
          <w:highlight w:val="none"/>
        </w:rPr>
      </w:pPr>
      <w:r>
        <w:rPr>
          <w:rFonts w:hint="eastAsia" w:eastAsia="宋体"/>
          <w:b/>
          <w:bCs/>
          <w:color w:val="auto"/>
          <w:highlight w:val="none"/>
        </w:rPr>
        <w:t>（一）基本资格条件</w:t>
      </w:r>
    </w:p>
    <w:p w14:paraId="5363F732">
      <w:pPr>
        <w:spacing w:line="420" w:lineRule="exact"/>
        <w:ind w:left="-2" w:firstLine="429"/>
        <w:rPr>
          <w:rFonts w:eastAsia="宋体"/>
          <w:color w:val="auto"/>
          <w:highlight w:val="none"/>
        </w:rPr>
      </w:pPr>
      <w:r>
        <w:rPr>
          <w:rFonts w:hint="eastAsia" w:eastAsia="宋体"/>
          <w:color w:val="auto"/>
          <w:highlight w:val="none"/>
        </w:rPr>
        <w:t>1.资格文件的声明函。</w:t>
      </w:r>
    </w:p>
    <w:p w14:paraId="32012301">
      <w:pPr>
        <w:spacing w:line="420" w:lineRule="exact"/>
        <w:ind w:left="-2" w:firstLine="429"/>
        <w:rPr>
          <w:rFonts w:eastAsia="宋体"/>
          <w:color w:val="auto"/>
          <w:highlight w:val="none"/>
        </w:rPr>
      </w:pPr>
      <w:r>
        <w:rPr>
          <w:rFonts w:hint="eastAsia" w:eastAsia="宋体"/>
          <w:color w:val="auto"/>
          <w:highlight w:val="none"/>
        </w:rPr>
        <w:t>2.法人或者其他组织的营业执照等证明文件，自然人的身份证明。</w:t>
      </w:r>
    </w:p>
    <w:p w14:paraId="6C679576">
      <w:pPr>
        <w:spacing w:line="420" w:lineRule="exact"/>
        <w:ind w:left="-2" w:firstLine="429"/>
        <w:rPr>
          <w:rFonts w:eastAsia="宋体"/>
          <w:color w:val="auto"/>
          <w:highlight w:val="none"/>
        </w:rPr>
      </w:pPr>
      <w:r>
        <w:rPr>
          <w:rFonts w:hint="eastAsia" w:eastAsia="宋体"/>
          <w:color w:val="auto"/>
          <w:highlight w:val="none"/>
        </w:rPr>
        <w:t>3.法定代表人身份证明书。</w:t>
      </w:r>
    </w:p>
    <w:p w14:paraId="347BDE3A">
      <w:pPr>
        <w:spacing w:line="420" w:lineRule="exact"/>
        <w:ind w:left="-2" w:firstLine="429"/>
        <w:rPr>
          <w:rFonts w:eastAsia="宋体"/>
          <w:color w:val="auto"/>
          <w:highlight w:val="none"/>
        </w:rPr>
      </w:pPr>
      <w:r>
        <w:rPr>
          <w:rFonts w:hint="eastAsia" w:eastAsia="宋体"/>
          <w:color w:val="auto"/>
          <w:highlight w:val="none"/>
        </w:rPr>
        <w:t>4.法定代表人授权书。</w:t>
      </w:r>
    </w:p>
    <w:p w14:paraId="32C533A7">
      <w:pPr>
        <w:spacing w:line="420" w:lineRule="exact"/>
        <w:ind w:left="-2" w:firstLine="429"/>
        <w:rPr>
          <w:rFonts w:eastAsia="宋体"/>
          <w:color w:val="auto"/>
          <w:highlight w:val="none"/>
        </w:rPr>
      </w:pPr>
      <w:r>
        <w:rPr>
          <w:rFonts w:hint="eastAsia" w:eastAsia="宋体"/>
          <w:color w:val="auto"/>
          <w:highlight w:val="none"/>
        </w:rPr>
        <w:t>5.上一年度（即2024年度）的财务状况“负债表和利润表”（成立不满一年不需提供）。</w:t>
      </w:r>
    </w:p>
    <w:p w14:paraId="26759384">
      <w:pPr>
        <w:spacing w:line="420" w:lineRule="exact"/>
        <w:ind w:left="-2" w:firstLine="429"/>
        <w:rPr>
          <w:rFonts w:eastAsia="宋体"/>
          <w:color w:val="auto"/>
          <w:highlight w:val="none"/>
        </w:rPr>
      </w:pPr>
      <w:r>
        <w:rPr>
          <w:rFonts w:hint="eastAsia" w:eastAsia="宋体"/>
          <w:color w:val="auto"/>
          <w:highlight w:val="none"/>
        </w:rPr>
        <w:t>6.依法缴纳税收和社会保障资金的相关材料。</w:t>
      </w:r>
    </w:p>
    <w:p w14:paraId="1CCCB7C1">
      <w:pPr>
        <w:spacing w:line="420" w:lineRule="exact"/>
        <w:ind w:left="-2" w:firstLine="429"/>
        <w:rPr>
          <w:rFonts w:eastAsia="宋体"/>
          <w:color w:val="auto"/>
          <w:highlight w:val="none"/>
        </w:rPr>
      </w:pPr>
      <w:r>
        <w:rPr>
          <w:rFonts w:hint="eastAsia" w:eastAsia="宋体"/>
          <w:color w:val="auto"/>
          <w:highlight w:val="none"/>
        </w:rPr>
        <w:t>7.具备履行合同所必需的设备和专业技术能力的书面声明。</w:t>
      </w:r>
    </w:p>
    <w:p w14:paraId="5F79C7DD">
      <w:pPr>
        <w:spacing w:line="420" w:lineRule="exact"/>
        <w:ind w:left="-2" w:firstLine="429"/>
        <w:rPr>
          <w:rFonts w:eastAsia="宋体"/>
          <w:color w:val="auto"/>
          <w:highlight w:val="none"/>
        </w:rPr>
      </w:pPr>
      <w:r>
        <w:rPr>
          <w:rFonts w:hint="eastAsia" w:eastAsia="宋体"/>
          <w:color w:val="auto"/>
          <w:highlight w:val="none"/>
        </w:rPr>
        <w:t>8.参加政府采购活动前3年内在经营活动中没有重大违法记录的书面声明。</w:t>
      </w:r>
    </w:p>
    <w:p w14:paraId="7B87E6C1">
      <w:pPr>
        <w:spacing w:line="420" w:lineRule="exact"/>
        <w:ind w:firstLine="482"/>
        <w:outlineLvl w:val="3"/>
        <w:rPr>
          <w:rFonts w:eastAsia="宋体"/>
          <w:color w:val="auto"/>
          <w:highlight w:val="none"/>
        </w:rPr>
      </w:pPr>
      <w:r>
        <w:rPr>
          <w:rFonts w:hint="eastAsia" w:eastAsia="宋体" w:cs="宋体"/>
          <w:b w:val="0"/>
          <w:bCs w:val="0"/>
          <w:color w:val="auto"/>
          <w:highlight w:val="none"/>
          <w:lang w:val="en-US" w:eastAsia="zh-CN"/>
        </w:rPr>
        <w:t>9</w:t>
      </w:r>
      <w:r>
        <w:rPr>
          <w:rFonts w:hint="eastAsia" w:eastAsia="宋体" w:cs="宋体"/>
          <w:b w:val="0"/>
          <w:bCs w:val="0"/>
          <w:color w:val="auto"/>
          <w:highlight w:val="none"/>
        </w:rPr>
        <w:t>.未被“信用中国”网站（www.creditchina.gov.cn）列入失信被执行人、重大税收违法案件当事人名单、政府采购严重失信行为记录名单。</w:t>
      </w:r>
    </w:p>
    <w:p w14:paraId="7585D940">
      <w:pPr>
        <w:spacing w:line="420" w:lineRule="exact"/>
        <w:ind w:left="-2" w:firstLine="429"/>
        <w:rPr>
          <w:rFonts w:eastAsia="宋体"/>
          <w:b/>
          <w:bCs/>
          <w:color w:val="auto"/>
          <w:highlight w:val="none"/>
        </w:rPr>
      </w:pPr>
      <w:r>
        <w:rPr>
          <w:rFonts w:hint="eastAsia" w:eastAsia="宋体"/>
          <w:b/>
          <w:bCs/>
          <w:color w:val="auto"/>
          <w:highlight w:val="none"/>
        </w:rPr>
        <w:t>（二）落实政府采购政策需满足的资格要求</w:t>
      </w:r>
    </w:p>
    <w:p w14:paraId="1F425C2C">
      <w:pPr>
        <w:spacing w:line="420" w:lineRule="exact"/>
        <w:ind w:left="-2" w:firstLine="429"/>
        <w:rPr>
          <w:rFonts w:eastAsia="宋体"/>
          <w:bCs/>
          <w:color w:val="auto"/>
          <w:highlight w:val="none"/>
        </w:rPr>
      </w:pPr>
      <w:r>
        <w:rPr>
          <w:rFonts w:hint="eastAsia" w:eastAsia="宋体"/>
          <w:bCs/>
          <w:color w:val="auto"/>
          <w:highlight w:val="none"/>
        </w:rPr>
        <w:t>本项目专门面向中小微型企业采购，所属行业：其他未列明行业。残疾人福利性单位、监狱和戒毒企业（简称监狱企业）视同小型、微型企业。供应商按要求填写并提供《中小微企业声明函》或《残疾人福利性单位声明函》，或提供由省级以上监狱管理局、戒毒管理局(含新疆生产建设兵团)出具的属于监狱企业的证明文件。</w:t>
      </w:r>
    </w:p>
    <w:p w14:paraId="21FC8B4E">
      <w:pPr>
        <w:spacing w:line="420" w:lineRule="exact"/>
        <w:ind w:left="-2" w:firstLine="429"/>
        <w:rPr>
          <w:rFonts w:eastAsia="宋体"/>
          <w:b/>
          <w:bCs/>
          <w:color w:val="auto"/>
          <w:highlight w:val="none"/>
        </w:rPr>
      </w:pPr>
      <w:r>
        <w:rPr>
          <w:rFonts w:hint="eastAsia" w:eastAsia="宋体"/>
          <w:b/>
          <w:bCs/>
          <w:color w:val="auto"/>
          <w:highlight w:val="none"/>
        </w:rPr>
        <w:t xml:space="preserve">（三）特定资格要求： </w:t>
      </w:r>
    </w:p>
    <w:p w14:paraId="5F261023">
      <w:pPr>
        <w:spacing w:line="420" w:lineRule="exact"/>
        <w:ind w:firstLine="482"/>
        <w:outlineLvl w:val="3"/>
        <w:rPr>
          <w:rFonts w:eastAsia="宋体" w:cs="宋体"/>
          <w:b/>
          <w:bCs/>
          <w:color w:val="auto"/>
          <w:highlight w:val="none"/>
        </w:rPr>
      </w:pPr>
      <w:r>
        <w:rPr>
          <w:rFonts w:hint="eastAsia" w:eastAsia="宋体" w:cs="宋体"/>
          <w:b/>
          <w:bCs/>
          <w:color w:val="auto"/>
          <w:highlight w:val="none"/>
        </w:rPr>
        <w:t>项目负责人要求:</w:t>
      </w:r>
    </w:p>
    <w:p w14:paraId="63B46FCA">
      <w:pPr>
        <w:spacing w:line="420" w:lineRule="exact"/>
        <w:ind w:firstLine="480"/>
        <w:rPr>
          <w:rFonts w:eastAsia="宋体" w:cs="宋体"/>
          <w:color w:val="auto"/>
          <w:highlight w:val="none"/>
        </w:rPr>
      </w:pPr>
      <w:r>
        <w:rPr>
          <w:rFonts w:hint="eastAsia" w:eastAsia="宋体" w:cs="宋体"/>
          <w:color w:val="auto"/>
          <w:highlight w:val="none"/>
        </w:rPr>
        <w:t>①供应商拟派项目负责人应具有一级注册造价工程师资格。（注：土木建筑工程、安装工程、交通运输工程（公路或水运）、水利工程四类中的任意一种）</w:t>
      </w:r>
    </w:p>
    <w:p w14:paraId="2E6C8332">
      <w:pPr>
        <w:spacing w:line="420" w:lineRule="exact"/>
        <w:ind w:firstLine="480"/>
        <w:rPr>
          <w:rFonts w:eastAsia="宋体" w:cs="宋体"/>
          <w:color w:val="auto"/>
          <w:highlight w:val="none"/>
        </w:rPr>
      </w:pPr>
      <w:r>
        <w:rPr>
          <w:rFonts w:hint="eastAsia" w:eastAsia="宋体" w:cs="宋体"/>
          <w:color w:val="auto"/>
          <w:highlight w:val="none"/>
        </w:rPr>
        <w:t>②供应商拟派项目负责人必须为供应商的正式在职人员。（注：参与征集活动时，供应商应提供为其缴纳的2025年4月至2025年6月中任意1个月的社保证明扫描件）</w:t>
      </w:r>
    </w:p>
    <w:p w14:paraId="267861DB">
      <w:pPr>
        <w:spacing w:line="420" w:lineRule="exact"/>
        <w:ind w:firstLine="480"/>
        <w:rPr>
          <w:rFonts w:hint="eastAsia" w:eastAsia="宋体"/>
          <w:b/>
          <w:bCs/>
          <w:color w:val="auto"/>
          <w:highlight w:val="none"/>
        </w:rPr>
      </w:pPr>
      <w:r>
        <w:rPr>
          <w:rFonts w:hint="eastAsia" w:eastAsia="宋体" w:cs="宋体"/>
          <w:color w:val="auto"/>
          <w:highlight w:val="none"/>
        </w:rPr>
        <w:t>③供应商拟派项目负责人自2022年1月1日以来须在现投标单位任职期间负责或参与的工程结算审计业绩或项目估算、概算、预算评审业绩。【需提供中标通知书或网上中标公示截图、合同、造价咨询报告；业绩证明时间以造价咨询报告出具时间为准】</w:t>
      </w:r>
    </w:p>
    <w:p w14:paraId="62F651CC">
      <w:pPr>
        <w:spacing w:line="420" w:lineRule="exact"/>
        <w:ind w:firstLine="482"/>
        <w:outlineLvl w:val="1"/>
        <w:rPr>
          <w:rFonts w:eastAsia="宋体"/>
          <w:color w:val="auto"/>
          <w:highlight w:val="none"/>
        </w:rPr>
      </w:pPr>
      <w:r>
        <w:rPr>
          <w:rFonts w:hint="eastAsia" w:eastAsia="宋体"/>
          <w:b/>
          <w:bCs/>
          <w:color w:val="auto"/>
          <w:highlight w:val="none"/>
        </w:rPr>
        <w:t>三、获取征集文件</w:t>
      </w:r>
    </w:p>
    <w:p w14:paraId="3946027A">
      <w:pPr>
        <w:spacing w:line="420" w:lineRule="exact"/>
        <w:ind w:firstLine="482"/>
        <w:rPr>
          <w:rFonts w:eastAsia="宋体"/>
          <w:color w:val="auto"/>
          <w:highlight w:val="none"/>
        </w:rPr>
      </w:pPr>
      <w:r>
        <w:rPr>
          <w:rFonts w:hint="eastAsia" w:eastAsia="宋体"/>
          <w:color w:val="auto"/>
          <w:highlight w:val="none"/>
        </w:rPr>
        <w:t>1.时间：2025年</w:t>
      </w:r>
      <w:r>
        <w:rPr>
          <w:rFonts w:hint="eastAsia" w:eastAsia="宋体"/>
          <w:color w:val="auto"/>
          <w:highlight w:val="none"/>
          <w:lang w:val="en-US" w:eastAsia="zh-CN"/>
        </w:rPr>
        <w:t>8</w:t>
      </w:r>
      <w:r>
        <w:rPr>
          <w:rFonts w:hint="eastAsia" w:eastAsia="宋体"/>
          <w:color w:val="auto"/>
          <w:highlight w:val="none"/>
        </w:rPr>
        <w:t>月</w:t>
      </w:r>
      <w:r>
        <w:rPr>
          <w:rFonts w:hint="eastAsia" w:eastAsia="宋体"/>
          <w:color w:val="auto"/>
          <w:highlight w:val="none"/>
          <w:lang w:val="en-US" w:eastAsia="zh-CN"/>
        </w:rPr>
        <w:t>6</w:t>
      </w:r>
      <w:r>
        <w:rPr>
          <w:rFonts w:hint="eastAsia" w:eastAsia="宋体"/>
          <w:color w:val="auto"/>
          <w:highlight w:val="none"/>
        </w:rPr>
        <w:t>日至2025年</w:t>
      </w:r>
      <w:r>
        <w:rPr>
          <w:rFonts w:hint="eastAsia" w:eastAsia="宋体"/>
          <w:color w:val="auto"/>
          <w:highlight w:val="none"/>
          <w:lang w:val="en-US" w:eastAsia="zh-CN"/>
        </w:rPr>
        <w:t>8</w:t>
      </w:r>
      <w:r>
        <w:rPr>
          <w:rFonts w:hint="eastAsia" w:eastAsia="宋体"/>
          <w:color w:val="auto"/>
          <w:highlight w:val="none"/>
        </w:rPr>
        <w:t>月</w:t>
      </w:r>
      <w:r>
        <w:rPr>
          <w:rFonts w:hint="eastAsia" w:eastAsia="宋体"/>
          <w:color w:val="auto"/>
          <w:highlight w:val="none"/>
          <w:lang w:val="en-US" w:eastAsia="zh-CN"/>
        </w:rPr>
        <w:t>27</w:t>
      </w:r>
      <w:r>
        <w:rPr>
          <w:rFonts w:hint="eastAsia" w:eastAsia="宋体"/>
          <w:color w:val="auto"/>
          <w:highlight w:val="none"/>
        </w:rPr>
        <w:t>日</w:t>
      </w:r>
      <w:r>
        <w:rPr>
          <w:rFonts w:hint="eastAsia" w:eastAsia="宋体"/>
          <w:color w:val="auto"/>
          <w:highlight w:val="none"/>
          <w:lang w:val="en-US" w:eastAsia="zh-CN"/>
        </w:rPr>
        <w:t>上午</w:t>
      </w:r>
      <w:r>
        <w:rPr>
          <w:rFonts w:hint="eastAsia" w:eastAsia="宋体"/>
          <w:color w:val="auto"/>
          <w:highlight w:val="none"/>
        </w:rPr>
        <w:t>09时00分（北京时间，法定节假日除外）。</w:t>
      </w:r>
    </w:p>
    <w:p w14:paraId="02284E40">
      <w:pPr>
        <w:spacing w:line="420" w:lineRule="exact"/>
        <w:ind w:firstLine="482"/>
        <w:rPr>
          <w:rFonts w:eastAsia="宋体"/>
          <w:color w:val="auto"/>
          <w:highlight w:val="none"/>
        </w:rPr>
      </w:pPr>
      <w:r>
        <w:rPr>
          <w:rFonts w:hint="eastAsia" w:eastAsia="宋体"/>
          <w:color w:val="auto"/>
          <w:highlight w:val="none"/>
        </w:rPr>
        <w:t>2.地点：网上注册登记成功后系统内免费下载。</w:t>
      </w:r>
    </w:p>
    <w:p w14:paraId="560B46E5">
      <w:pPr>
        <w:spacing w:line="420" w:lineRule="exact"/>
        <w:ind w:firstLine="482"/>
        <w:rPr>
          <w:rFonts w:eastAsia="宋体"/>
          <w:color w:val="auto"/>
          <w:highlight w:val="none"/>
        </w:rPr>
      </w:pPr>
      <w:r>
        <w:rPr>
          <w:rFonts w:hint="eastAsia" w:eastAsia="宋体"/>
          <w:color w:val="auto"/>
          <w:highlight w:val="none"/>
        </w:rPr>
        <w:t>3.方式：本项目采用网上注册登记方式。凡有意参与投标的供应商须登录江苏省政府采购网首页点击“苏采云”→通过CA锁进行响应确认，并自行在征集文件有效获取期内及时下载获取。</w:t>
      </w:r>
    </w:p>
    <w:p w14:paraId="7F37AED0">
      <w:pPr>
        <w:spacing w:line="420" w:lineRule="exact"/>
        <w:ind w:firstLine="482"/>
        <w:rPr>
          <w:rFonts w:eastAsia="宋体"/>
          <w:color w:val="auto"/>
          <w:highlight w:val="none"/>
        </w:rPr>
      </w:pPr>
      <w:r>
        <w:rPr>
          <w:rFonts w:hint="eastAsia" w:eastAsia="宋体"/>
          <w:color w:val="auto"/>
          <w:highlight w:val="none"/>
        </w:rPr>
        <w:t>4.售价：0.00元。</w:t>
      </w:r>
    </w:p>
    <w:p w14:paraId="29AECF1E">
      <w:pPr>
        <w:spacing w:line="420" w:lineRule="exact"/>
        <w:ind w:firstLine="482"/>
        <w:outlineLvl w:val="1"/>
        <w:rPr>
          <w:rFonts w:eastAsia="宋体"/>
          <w:color w:val="auto"/>
          <w:highlight w:val="none"/>
        </w:rPr>
      </w:pPr>
      <w:r>
        <w:rPr>
          <w:rFonts w:hint="eastAsia" w:eastAsia="宋体"/>
          <w:b/>
          <w:bCs/>
          <w:color w:val="auto"/>
          <w:highlight w:val="none"/>
        </w:rPr>
        <w:t>四、响应文件的提交方式、截止时间和地点，开启方式、时间和地点</w:t>
      </w:r>
    </w:p>
    <w:p w14:paraId="3CBD67EE">
      <w:pPr>
        <w:spacing w:line="420" w:lineRule="exact"/>
        <w:ind w:firstLine="482"/>
        <w:rPr>
          <w:rFonts w:eastAsia="宋体"/>
          <w:color w:val="auto"/>
          <w:highlight w:val="none"/>
        </w:rPr>
      </w:pPr>
      <w:r>
        <w:rPr>
          <w:rFonts w:hint="eastAsia" w:eastAsia="宋体"/>
          <w:color w:val="auto"/>
          <w:highlight w:val="none"/>
        </w:rPr>
        <w:t>1.响应文件的提交截止时间及开启时间：2025年</w:t>
      </w:r>
      <w:r>
        <w:rPr>
          <w:rFonts w:hint="eastAsia" w:eastAsia="宋体"/>
          <w:color w:val="auto"/>
          <w:highlight w:val="none"/>
          <w:lang w:val="en-US" w:eastAsia="zh-CN"/>
        </w:rPr>
        <w:t>8</w:t>
      </w:r>
      <w:r>
        <w:rPr>
          <w:rFonts w:hint="eastAsia" w:eastAsia="宋体"/>
          <w:color w:val="auto"/>
          <w:highlight w:val="none"/>
        </w:rPr>
        <w:t>月</w:t>
      </w:r>
      <w:r>
        <w:rPr>
          <w:rFonts w:hint="eastAsia" w:eastAsia="宋体"/>
          <w:color w:val="auto"/>
          <w:highlight w:val="none"/>
          <w:lang w:val="en-US" w:eastAsia="zh-CN"/>
        </w:rPr>
        <w:t>27</w:t>
      </w:r>
      <w:r>
        <w:rPr>
          <w:rFonts w:hint="eastAsia" w:eastAsia="宋体"/>
          <w:color w:val="auto"/>
          <w:highlight w:val="none"/>
        </w:rPr>
        <w:t>日上午09时00分（北京时间）。逾时，交易系统将拒绝接受上传响应文件电子文档。</w:t>
      </w:r>
    </w:p>
    <w:p w14:paraId="4ECDD65B">
      <w:pPr>
        <w:spacing w:line="420" w:lineRule="exact"/>
        <w:ind w:firstLine="482"/>
        <w:rPr>
          <w:rFonts w:eastAsia="宋体"/>
          <w:color w:val="auto"/>
          <w:highlight w:val="none"/>
        </w:rPr>
      </w:pPr>
      <w:r>
        <w:rPr>
          <w:rFonts w:hint="eastAsia" w:eastAsia="宋体"/>
          <w:color w:val="auto"/>
          <w:highlight w:val="none"/>
        </w:rPr>
        <w:t>2.线上开标地点：“苏采云”系统（网址：http://jszfcg.jsczt.cn/）“开标大厅”。</w:t>
      </w:r>
    </w:p>
    <w:p w14:paraId="5A830D02">
      <w:pPr>
        <w:spacing w:line="420" w:lineRule="exact"/>
        <w:ind w:firstLine="482"/>
        <w:outlineLvl w:val="1"/>
        <w:rPr>
          <w:rFonts w:eastAsia="宋体"/>
          <w:color w:val="auto"/>
          <w:highlight w:val="none"/>
        </w:rPr>
      </w:pPr>
      <w:r>
        <w:rPr>
          <w:rFonts w:hint="eastAsia" w:eastAsia="宋体"/>
          <w:b/>
          <w:bCs/>
          <w:color w:val="auto"/>
          <w:highlight w:val="none"/>
        </w:rPr>
        <w:t>五、公告期限</w:t>
      </w:r>
    </w:p>
    <w:p w14:paraId="43224860">
      <w:pPr>
        <w:spacing w:line="420" w:lineRule="exact"/>
        <w:ind w:firstLine="480"/>
        <w:rPr>
          <w:rFonts w:eastAsia="宋体"/>
          <w:color w:val="auto"/>
          <w:highlight w:val="none"/>
        </w:rPr>
      </w:pPr>
      <w:r>
        <w:rPr>
          <w:rFonts w:hint="eastAsia" w:eastAsia="宋体"/>
          <w:color w:val="auto"/>
          <w:highlight w:val="none"/>
        </w:rPr>
        <w:t>自本项目征集公告发布之日起5个工作日。</w:t>
      </w:r>
    </w:p>
    <w:p w14:paraId="31AB8DA5">
      <w:pPr>
        <w:spacing w:line="420" w:lineRule="exact"/>
        <w:ind w:firstLine="482"/>
        <w:outlineLvl w:val="1"/>
        <w:rPr>
          <w:rFonts w:eastAsia="宋体"/>
          <w:color w:val="auto"/>
          <w:highlight w:val="none"/>
        </w:rPr>
      </w:pPr>
      <w:r>
        <w:rPr>
          <w:rFonts w:hint="eastAsia" w:eastAsia="宋体"/>
          <w:b/>
          <w:bCs/>
          <w:color w:val="auto"/>
          <w:highlight w:val="none"/>
        </w:rPr>
        <w:t>六、其他补充事宜</w:t>
      </w:r>
    </w:p>
    <w:p w14:paraId="11AD2CBD">
      <w:pPr>
        <w:spacing w:line="420" w:lineRule="exact"/>
        <w:ind w:firstLine="482"/>
        <w:rPr>
          <w:rFonts w:eastAsia="宋体"/>
          <w:color w:val="auto"/>
          <w:highlight w:val="none"/>
        </w:rPr>
      </w:pPr>
      <w:r>
        <w:rPr>
          <w:rFonts w:hint="eastAsia" w:eastAsia="宋体"/>
          <w:color w:val="auto"/>
          <w:highlight w:val="none"/>
        </w:rPr>
        <w:t>1.本项目协审费用按照本征集文件内“协审费用的结算及支付”要求执行，如参加响应视为接受本项目报价要求。供应商如果在制作征集响应文件或响应系统里面需要填写报价，一律按报价“100.00”元填写。</w:t>
      </w:r>
    </w:p>
    <w:p w14:paraId="0E1BCC6E">
      <w:pPr>
        <w:spacing w:line="420" w:lineRule="exact"/>
        <w:ind w:firstLine="480"/>
        <w:rPr>
          <w:rFonts w:eastAsia="宋体"/>
          <w:b/>
          <w:bCs/>
          <w:color w:val="auto"/>
          <w:highlight w:val="none"/>
        </w:rPr>
      </w:pPr>
      <w:r>
        <w:rPr>
          <w:rFonts w:hint="eastAsia" w:eastAsia="宋体"/>
          <w:b/>
          <w:bCs/>
          <w:color w:val="auto"/>
          <w:highlight w:val="none"/>
        </w:rPr>
        <w:t>2.“苏采云”系统操作过程中如遇问题，请致电“苏采云”客服0519-86722801。“苏采云”系统使用相关提醒，详见本征集文件第二章第八条第31点。</w:t>
      </w:r>
    </w:p>
    <w:p w14:paraId="289372F3">
      <w:pPr>
        <w:spacing w:line="420" w:lineRule="exact"/>
        <w:ind w:firstLine="480"/>
        <w:rPr>
          <w:rFonts w:eastAsia="宋体"/>
          <w:color w:val="auto"/>
          <w:highlight w:val="none"/>
        </w:rPr>
      </w:pPr>
      <w:r>
        <w:rPr>
          <w:rFonts w:hint="eastAsia" w:eastAsia="宋体"/>
          <w:color w:val="auto"/>
          <w:highlight w:val="none"/>
        </w:rPr>
        <w:t>3.本次征集活动不收取保证金。</w:t>
      </w:r>
    </w:p>
    <w:p w14:paraId="0A42A941">
      <w:pPr>
        <w:spacing w:line="420" w:lineRule="exact"/>
        <w:ind w:firstLine="480"/>
        <w:rPr>
          <w:rFonts w:eastAsia="宋体"/>
          <w:color w:val="auto"/>
          <w:highlight w:val="none"/>
        </w:rPr>
      </w:pPr>
      <w:r>
        <w:rPr>
          <w:rFonts w:hint="eastAsia" w:eastAsia="宋体"/>
          <w:color w:val="auto"/>
          <w:highlight w:val="none"/>
        </w:rPr>
        <w:t>4.项目演示、样品、答辩等：无。</w:t>
      </w:r>
    </w:p>
    <w:p w14:paraId="1B68A3F1">
      <w:pPr>
        <w:spacing w:line="420" w:lineRule="exact"/>
        <w:ind w:firstLine="480"/>
        <w:rPr>
          <w:rFonts w:eastAsia="宋体"/>
          <w:color w:val="auto"/>
          <w:highlight w:val="none"/>
        </w:rPr>
      </w:pPr>
      <w:r>
        <w:rPr>
          <w:rFonts w:hint="eastAsia" w:eastAsia="宋体"/>
          <w:color w:val="auto"/>
          <w:highlight w:val="none"/>
        </w:rPr>
        <w:t>5.对项目需求部分（供应商其他资格要求、项目需求、评分标准）的询问、质疑请向征集人提出，由征集人负责答复；对项目征集文件其它部分的询问请向征集人或项目联系人提出。</w:t>
      </w:r>
    </w:p>
    <w:p w14:paraId="77F11716">
      <w:pPr>
        <w:spacing w:line="420" w:lineRule="exact"/>
        <w:ind w:firstLine="480"/>
        <w:rPr>
          <w:rFonts w:eastAsia="宋体"/>
          <w:color w:val="auto"/>
          <w:highlight w:val="none"/>
        </w:rPr>
      </w:pPr>
      <w:r>
        <w:rPr>
          <w:rFonts w:hint="eastAsia" w:eastAsia="宋体"/>
          <w:color w:val="auto"/>
          <w:highlight w:val="none"/>
        </w:rPr>
        <w:t>6.有关本次封闭式框架协议采购的事项若存在变动或修改，敬请及时关注“江苏政府采购网”发布的信息更正公告。</w:t>
      </w:r>
    </w:p>
    <w:p w14:paraId="2AF94DDB">
      <w:pPr>
        <w:spacing w:line="420" w:lineRule="exact"/>
        <w:ind w:firstLine="480"/>
        <w:rPr>
          <w:rFonts w:eastAsia="宋体"/>
          <w:color w:val="auto"/>
          <w:highlight w:val="none"/>
        </w:rPr>
      </w:pPr>
      <w:r>
        <w:rPr>
          <w:rFonts w:hint="eastAsia" w:eastAsia="宋体"/>
          <w:color w:val="auto"/>
          <w:highlight w:val="none"/>
        </w:rPr>
        <w:t>7.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2C4BA85C">
      <w:pPr>
        <w:spacing w:line="420" w:lineRule="exact"/>
        <w:ind w:firstLine="482"/>
        <w:outlineLvl w:val="1"/>
        <w:rPr>
          <w:rFonts w:eastAsia="宋体"/>
          <w:color w:val="auto"/>
          <w:highlight w:val="none"/>
        </w:rPr>
      </w:pPr>
      <w:r>
        <w:rPr>
          <w:rFonts w:hint="eastAsia" w:eastAsia="宋体"/>
          <w:b/>
          <w:bCs/>
          <w:color w:val="auto"/>
          <w:highlight w:val="none"/>
        </w:rPr>
        <w:t>七、对本次征集提出询问，请按以下方式联系</w:t>
      </w:r>
    </w:p>
    <w:p w14:paraId="296F1F07">
      <w:pPr>
        <w:spacing w:line="420" w:lineRule="exact"/>
        <w:ind w:firstLine="480"/>
        <w:rPr>
          <w:rFonts w:eastAsia="宋体"/>
          <w:color w:val="auto"/>
          <w:highlight w:val="none"/>
        </w:rPr>
      </w:pPr>
      <w:r>
        <w:rPr>
          <w:rFonts w:hint="eastAsia" w:eastAsia="宋体"/>
          <w:color w:val="auto"/>
          <w:highlight w:val="none"/>
        </w:rPr>
        <w:t xml:space="preserve">1.征集人信息 </w:t>
      </w:r>
    </w:p>
    <w:p w14:paraId="7A32084F">
      <w:pPr>
        <w:spacing w:line="420" w:lineRule="exact"/>
        <w:ind w:firstLine="480"/>
        <w:rPr>
          <w:rFonts w:eastAsia="宋体"/>
          <w:color w:val="auto"/>
          <w:highlight w:val="none"/>
        </w:rPr>
      </w:pPr>
      <w:r>
        <w:rPr>
          <w:rFonts w:hint="eastAsia" w:eastAsia="宋体"/>
          <w:color w:val="auto"/>
          <w:highlight w:val="none"/>
        </w:rPr>
        <w:t xml:space="preserve">采购包 </w:t>
      </w:r>
    </w:p>
    <w:p w14:paraId="173BFCDC">
      <w:pPr>
        <w:spacing w:line="420" w:lineRule="exact"/>
        <w:ind w:firstLine="480"/>
        <w:rPr>
          <w:rFonts w:eastAsia="宋体"/>
          <w:color w:val="auto"/>
          <w:highlight w:val="none"/>
        </w:rPr>
      </w:pPr>
      <w:r>
        <w:rPr>
          <w:rFonts w:hint="eastAsia" w:eastAsia="宋体"/>
          <w:color w:val="auto"/>
          <w:highlight w:val="none"/>
        </w:rPr>
        <w:t>单位名称：如东县财政局；</w:t>
      </w:r>
    </w:p>
    <w:p w14:paraId="4BAFF04B">
      <w:pPr>
        <w:spacing w:line="420" w:lineRule="exact"/>
        <w:ind w:firstLine="480"/>
        <w:rPr>
          <w:rFonts w:eastAsia="宋体"/>
          <w:color w:val="auto"/>
          <w:highlight w:val="none"/>
        </w:rPr>
      </w:pPr>
      <w:r>
        <w:rPr>
          <w:rFonts w:hint="eastAsia" w:eastAsia="宋体"/>
          <w:color w:val="auto"/>
          <w:highlight w:val="none"/>
        </w:rPr>
        <w:t>地址：如东县城中街道人民桥北首；</w:t>
      </w:r>
    </w:p>
    <w:p w14:paraId="3CD44C68">
      <w:pPr>
        <w:spacing w:line="420" w:lineRule="exact"/>
        <w:ind w:firstLine="480"/>
        <w:rPr>
          <w:rFonts w:eastAsia="宋体"/>
          <w:color w:val="auto"/>
          <w:highlight w:val="none"/>
        </w:rPr>
      </w:pPr>
      <w:r>
        <w:rPr>
          <w:rFonts w:hint="eastAsia" w:eastAsia="宋体"/>
          <w:color w:val="auto"/>
          <w:highlight w:val="none"/>
        </w:rPr>
        <w:t>联系人：刘剑波；</w:t>
      </w:r>
    </w:p>
    <w:p w14:paraId="7355CCD2">
      <w:pPr>
        <w:spacing w:line="420" w:lineRule="exact"/>
        <w:ind w:firstLine="480"/>
        <w:rPr>
          <w:rFonts w:eastAsia="宋体"/>
          <w:color w:val="auto"/>
          <w:highlight w:val="none"/>
        </w:rPr>
      </w:pPr>
      <w:r>
        <w:rPr>
          <w:rFonts w:hint="eastAsia" w:eastAsia="宋体"/>
          <w:color w:val="auto"/>
          <w:highlight w:val="none"/>
        </w:rPr>
        <w:t>电话：13656293261。</w:t>
      </w:r>
    </w:p>
    <w:p w14:paraId="0007B09C">
      <w:pPr>
        <w:spacing w:line="420" w:lineRule="exact"/>
        <w:ind w:firstLine="480"/>
        <w:rPr>
          <w:rFonts w:eastAsia="宋体"/>
          <w:color w:val="auto"/>
          <w:highlight w:val="none"/>
        </w:rPr>
      </w:pPr>
      <w:r>
        <w:rPr>
          <w:rFonts w:hint="eastAsia" w:eastAsia="宋体"/>
          <w:color w:val="auto"/>
          <w:highlight w:val="none"/>
        </w:rPr>
        <w:t>2.采购代理机构信息</w:t>
      </w:r>
    </w:p>
    <w:p w14:paraId="0C0921EA">
      <w:pPr>
        <w:spacing w:line="420" w:lineRule="exact"/>
        <w:ind w:firstLine="480"/>
        <w:rPr>
          <w:rFonts w:eastAsia="宋体"/>
          <w:color w:val="auto"/>
          <w:highlight w:val="none"/>
        </w:rPr>
      </w:pPr>
      <w:r>
        <w:rPr>
          <w:rFonts w:hint="eastAsia" w:eastAsia="宋体"/>
          <w:color w:val="auto"/>
          <w:highlight w:val="none"/>
        </w:rPr>
        <w:t>代理单位：江苏衡晟项目管理咨询有限公司</w:t>
      </w:r>
    </w:p>
    <w:p w14:paraId="068C9492">
      <w:pPr>
        <w:spacing w:line="420" w:lineRule="exact"/>
        <w:ind w:firstLine="480"/>
        <w:rPr>
          <w:rFonts w:eastAsia="宋体"/>
          <w:color w:val="auto"/>
          <w:highlight w:val="none"/>
        </w:rPr>
      </w:pPr>
      <w:r>
        <w:rPr>
          <w:rFonts w:hint="eastAsia" w:eastAsia="宋体"/>
          <w:color w:val="auto"/>
          <w:highlight w:val="none"/>
        </w:rPr>
        <w:t>单位地址：如东县城中街道长江路；</w:t>
      </w:r>
    </w:p>
    <w:p w14:paraId="1CA6B75F">
      <w:pPr>
        <w:spacing w:line="420" w:lineRule="exact"/>
        <w:ind w:firstLine="480"/>
        <w:rPr>
          <w:rFonts w:eastAsia="宋体"/>
          <w:color w:val="auto"/>
          <w:highlight w:val="none"/>
        </w:rPr>
      </w:pPr>
      <w:r>
        <w:rPr>
          <w:rFonts w:hint="eastAsia" w:eastAsia="宋体"/>
          <w:color w:val="auto"/>
          <w:highlight w:val="none"/>
        </w:rPr>
        <w:t>联系人：王海军；</w:t>
      </w:r>
    </w:p>
    <w:p w14:paraId="174E1CF4">
      <w:pPr>
        <w:spacing w:line="420" w:lineRule="exact"/>
        <w:ind w:firstLine="480"/>
        <w:rPr>
          <w:rFonts w:eastAsia="宋体"/>
          <w:color w:val="auto"/>
          <w:highlight w:val="none"/>
        </w:rPr>
      </w:pPr>
      <w:r>
        <w:rPr>
          <w:rFonts w:hint="eastAsia" w:eastAsia="宋体"/>
          <w:color w:val="auto"/>
          <w:highlight w:val="none"/>
        </w:rPr>
        <w:t>联系电话：18662855686/15906291850。</w:t>
      </w:r>
    </w:p>
    <w:p w14:paraId="1555709F">
      <w:pPr>
        <w:spacing w:line="420" w:lineRule="exact"/>
        <w:ind w:firstLine="480"/>
        <w:rPr>
          <w:rFonts w:eastAsia="宋体"/>
          <w:color w:val="auto"/>
          <w:highlight w:val="none"/>
        </w:rPr>
      </w:pPr>
      <w:r>
        <w:rPr>
          <w:rFonts w:hint="eastAsia" w:eastAsia="宋体"/>
          <w:color w:val="auto"/>
          <w:highlight w:val="none"/>
        </w:rPr>
        <w:t>3.项目联系方式</w:t>
      </w:r>
    </w:p>
    <w:p w14:paraId="2F2EAABF">
      <w:pPr>
        <w:spacing w:line="420" w:lineRule="exact"/>
        <w:ind w:firstLine="480"/>
        <w:rPr>
          <w:rFonts w:eastAsia="宋体"/>
          <w:color w:val="auto"/>
          <w:highlight w:val="none"/>
        </w:rPr>
      </w:pPr>
      <w:r>
        <w:rPr>
          <w:rFonts w:hint="eastAsia" w:eastAsia="宋体"/>
          <w:color w:val="auto"/>
          <w:highlight w:val="none"/>
        </w:rPr>
        <w:t>项目联系人：薛鹏飞；</w:t>
      </w:r>
    </w:p>
    <w:p w14:paraId="4384313B">
      <w:pPr>
        <w:spacing w:line="420" w:lineRule="exact"/>
        <w:ind w:firstLine="480"/>
        <w:rPr>
          <w:rFonts w:eastAsia="宋体"/>
          <w:color w:val="auto"/>
          <w:highlight w:val="none"/>
        </w:rPr>
      </w:pPr>
      <w:r>
        <w:rPr>
          <w:rFonts w:hint="eastAsia" w:eastAsia="宋体"/>
          <w:color w:val="auto"/>
          <w:highlight w:val="none"/>
        </w:rPr>
        <w:t>电话：18068107901。</w:t>
      </w:r>
      <w:bookmarkEnd w:id="3"/>
      <w:bookmarkEnd w:id="4"/>
      <w:bookmarkEnd w:id="5"/>
      <w:bookmarkEnd w:id="6"/>
      <w:bookmarkEnd w:id="7"/>
      <w:bookmarkEnd w:id="8"/>
      <w:bookmarkStart w:id="12" w:name="_Toc363573854"/>
    </w:p>
    <w:p w14:paraId="4F5600A8">
      <w:pPr>
        <w:spacing w:line="400" w:lineRule="exact"/>
        <w:ind w:firstLine="425"/>
        <w:rPr>
          <w:rFonts w:eastAsia="宋体"/>
          <w:color w:val="auto"/>
          <w:highlight w:val="none"/>
        </w:rPr>
        <w:sectPr>
          <w:pgSz w:w="11906" w:h="16838"/>
          <w:pgMar w:top="851" w:right="851" w:bottom="851" w:left="1134" w:header="567" w:footer="471" w:gutter="0"/>
          <w:cols w:space="425" w:num="1"/>
          <w:docGrid w:linePitch="360" w:charSpace="0"/>
        </w:sectPr>
      </w:pPr>
    </w:p>
    <w:p w14:paraId="365B700F">
      <w:pPr>
        <w:tabs>
          <w:tab w:val="left" w:pos="1050"/>
          <w:tab w:val="left" w:pos="2375"/>
          <w:tab w:val="center" w:pos="4818"/>
          <w:tab w:val="right" w:leader="dot" w:pos="9402"/>
        </w:tabs>
        <w:spacing w:line="600" w:lineRule="exact"/>
        <w:jc w:val="center"/>
        <w:outlineLvl w:val="0"/>
        <w:rPr>
          <w:rFonts w:eastAsia="宋体"/>
          <w:b/>
          <w:bCs/>
          <w:color w:val="auto"/>
          <w:sz w:val="36"/>
          <w:szCs w:val="36"/>
          <w:highlight w:val="none"/>
        </w:rPr>
      </w:pPr>
      <w:r>
        <w:rPr>
          <w:rFonts w:hint="eastAsia" w:eastAsia="宋体" w:cs="宋体"/>
          <w:b/>
          <w:bCs/>
          <w:color w:val="auto"/>
          <w:sz w:val="36"/>
          <w:szCs w:val="36"/>
          <w:highlight w:val="none"/>
        </w:rPr>
        <w:t>第二章 供应商须知</w:t>
      </w:r>
      <w:bookmarkEnd w:id="12"/>
    </w:p>
    <w:p w14:paraId="20997B38">
      <w:pPr>
        <w:spacing w:after="120" w:line="420" w:lineRule="exact"/>
        <w:ind w:firstLine="488"/>
        <w:outlineLvl w:val="1"/>
        <w:rPr>
          <w:rFonts w:eastAsia="宋体"/>
          <w:b/>
          <w:bCs/>
          <w:color w:val="auto"/>
          <w:highlight w:val="none"/>
        </w:rPr>
      </w:pPr>
      <w:bookmarkStart w:id="13" w:name="_Toc20823275"/>
      <w:bookmarkStart w:id="14" w:name="_Toc513029203"/>
      <w:bookmarkStart w:id="15" w:name="_Toc120614214"/>
      <w:bookmarkStart w:id="16" w:name="_Toc16938519"/>
      <w:bookmarkStart w:id="17" w:name="_Toc20823308"/>
      <w:bookmarkStart w:id="18" w:name="_Toc120614220"/>
      <w:bookmarkStart w:id="19" w:name="_Toc16938552"/>
      <w:bookmarkStart w:id="20" w:name="_Toc513029236"/>
      <w:r>
        <w:rPr>
          <w:rFonts w:hint="eastAsia" w:eastAsia="宋体"/>
          <w:b/>
          <w:bCs/>
          <w:color w:val="auto"/>
          <w:highlight w:val="none"/>
        </w:rPr>
        <w:t>一、总则</w:t>
      </w:r>
      <w:bookmarkEnd w:id="13"/>
      <w:bookmarkEnd w:id="14"/>
      <w:bookmarkEnd w:id="15"/>
      <w:bookmarkEnd w:id="16"/>
    </w:p>
    <w:p w14:paraId="429FF871">
      <w:pPr>
        <w:spacing w:before="120" w:after="120" w:line="420" w:lineRule="exact"/>
        <w:ind w:firstLine="488"/>
        <w:outlineLvl w:val="2"/>
        <w:rPr>
          <w:rFonts w:eastAsia="宋体"/>
          <w:b/>
          <w:bCs/>
          <w:color w:val="auto"/>
          <w:highlight w:val="none"/>
        </w:rPr>
      </w:pPr>
      <w:bookmarkStart w:id="21" w:name="_Hlt16619475"/>
      <w:bookmarkEnd w:id="21"/>
      <w:bookmarkStart w:id="22" w:name="_Toc458694821"/>
      <w:bookmarkStart w:id="23" w:name="_Toc20823276"/>
      <w:bookmarkStart w:id="24" w:name="_Toc513029204"/>
      <w:bookmarkStart w:id="25" w:name="_Toc16938520"/>
      <w:r>
        <w:rPr>
          <w:rFonts w:hint="eastAsia" w:eastAsia="宋体"/>
          <w:b/>
          <w:bCs/>
          <w:color w:val="auto"/>
          <w:highlight w:val="none"/>
        </w:rPr>
        <w:t>1</w:t>
      </w:r>
      <w:bookmarkEnd w:id="22"/>
      <w:r>
        <w:rPr>
          <w:rFonts w:hint="eastAsia" w:eastAsia="宋体"/>
          <w:b/>
          <w:bCs/>
          <w:color w:val="auto"/>
          <w:highlight w:val="none"/>
        </w:rPr>
        <w:t>．采购方式</w:t>
      </w:r>
      <w:bookmarkEnd w:id="23"/>
      <w:bookmarkEnd w:id="24"/>
      <w:bookmarkEnd w:id="25"/>
    </w:p>
    <w:p w14:paraId="093DC68E">
      <w:pPr>
        <w:spacing w:line="420" w:lineRule="exact"/>
        <w:ind w:firstLine="485"/>
        <w:rPr>
          <w:rFonts w:eastAsia="宋体"/>
          <w:color w:val="auto"/>
          <w:highlight w:val="none"/>
        </w:rPr>
      </w:pPr>
      <w:r>
        <w:rPr>
          <w:rFonts w:hint="eastAsia" w:eastAsia="宋体"/>
          <w:color w:val="auto"/>
          <w:highlight w:val="none"/>
        </w:rPr>
        <w:t>1.1 本次项目采用封闭式框架协议采购方式，本征集文件仅适用于征集公告中所述项目。</w:t>
      </w:r>
    </w:p>
    <w:p w14:paraId="5680E846">
      <w:pPr>
        <w:spacing w:line="420" w:lineRule="exact"/>
        <w:ind w:firstLine="485"/>
        <w:rPr>
          <w:rFonts w:eastAsia="宋体"/>
          <w:color w:val="auto"/>
          <w:highlight w:val="none"/>
        </w:rPr>
      </w:pPr>
      <w:bookmarkStart w:id="26" w:name="_Toc16938521"/>
      <w:bookmarkStart w:id="27" w:name="_Toc20823277"/>
      <w:bookmarkStart w:id="28" w:name="_Toc513029205"/>
      <w:r>
        <w:rPr>
          <w:rFonts w:hint="eastAsia" w:eastAsia="宋体"/>
          <w:color w:val="auto"/>
          <w:highlight w:val="none"/>
        </w:rPr>
        <w:t>1.2框架协议采购：是指集中采购机构或者主管预算单位对技术、服务等标准明确、统一，需要多次重复采购的货物和服务，通过公开征集程序，确定第一阶段入围供应商并订立框架协议，征集人或者服务对象按照框架协议约定规则，在入围供应商范围内确定第二阶段成交供应商并订立采购合同的采购方式。</w:t>
      </w:r>
    </w:p>
    <w:p w14:paraId="4EC4C77D">
      <w:pPr>
        <w:spacing w:line="420" w:lineRule="exact"/>
        <w:ind w:firstLine="485"/>
        <w:rPr>
          <w:rFonts w:eastAsia="宋体"/>
          <w:color w:val="auto"/>
          <w:highlight w:val="none"/>
        </w:rPr>
      </w:pPr>
      <w:r>
        <w:rPr>
          <w:rFonts w:hint="eastAsia" w:eastAsia="宋体"/>
          <w:color w:val="auto"/>
          <w:highlight w:val="none"/>
        </w:rPr>
        <w:t>前款所称主管预算单位是指负有编制部门预算职责，向本级财政部门申报预算的国家机关、事业单位和团体组织。</w:t>
      </w:r>
    </w:p>
    <w:p w14:paraId="109D39B3">
      <w:pPr>
        <w:spacing w:before="120" w:after="120" w:line="420" w:lineRule="exact"/>
        <w:ind w:firstLine="488"/>
        <w:outlineLvl w:val="2"/>
        <w:rPr>
          <w:rFonts w:eastAsia="宋体"/>
          <w:b/>
          <w:bCs/>
          <w:color w:val="auto"/>
          <w:highlight w:val="none"/>
        </w:rPr>
      </w:pPr>
      <w:r>
        <w:rPr>
          <w:rFonts w:hint="eastAsia" w:eastAsia="宋体"/>
          <w:b/>
          <w:bCs/>
          <w:color w:val="auto"/>
          <w:highlight w:val="none"/>
        </w:rPr>
        <w:t>2．合格的</w:t>
      </w:r>
      <w:bookmarkEnd w:id="26"/>
      <w:bookmarkEnd w:id="27"/>
      <w:bookmarkEnd w:id="28"/>
      <w:r>
        <w:rPr>
          <w:rFonts w:hint="eastAsia" w:eastAsia="宋体"/>
          <w:b/>
          <w:bCs/>
          <w:color w:val="auto"/>
          <w:highlight w:val="none"/>
        </w:rPr>
        <w:t>供应商</w:t>
      </w:r>
    </w:p>
    <w:p w14:paraId="59CAA192">
      <w:pPr>
        <w:spacing w:line="420" w:lineRule="exact"/>
        <w:ind w:firstLine="485"/>
        <w:rPr>
          <w:rFonts w:eastAsia="宋体"/>
          <w:color w:val="auto"/>
          <w:highlight w:val="none"/>
        </w:rPr>
      </w:pPr>
      <w:r>
        <w:rPr>
          <w:rFonts w:hint="eastAsia" w:eastAsia="宋体"/>
          <w:color w:val="auto"/>
          <w:highlight w:val="none"/>
        </w:rPr>
        <w:t>2.1满足征集公告中供应商资格要求的规定。</w:t>
      </w:r>
    </w:p>
    <w:p w14:paraId="713D6539">
      <w:pPr>
        <w:spacing w:line="420" w:lineRule="exact"/>
        <w:ind w:firstLine="485"/>
        <w:rPr>
          <w:rFonts w:eastAsia="宋体"/>
          <w:color w:val="auto"/>
          <w:highlight w:val="none"/>
        </w:rPr>
      </w:pPr>
      <w:r>
        <w:rPr>
          <w:rFonts w:hint="eastAsia" w:eastAsia="宋体"/>
          <w:color w:val="auto"/>
          <w:highlight w:val="none"/>
        </w:rPr>
        <w:t>2.2 满足本征集文件实质性要求和条件的规定。</w:t>
      </w:r>
    </w:p>
    <w:p w14:paraId="46833009">
      <w:pPr>
        <w:spacing w:before="120" w:after="120" w:line="420" w:lineRule="exact"/>
        <w:ind w:firstLine="488"/>
        <w:outlineLvl w:val="2"/>
        <w:rPr>
          <w:rFonts w:eastAsia="宋体"/>
          <w:b/>
          <w:bCs/>
          <w:color w:val="auto"/>
          <w:highlight w:val="none"/>
        </w:rPr>
      </w:pPr>
      <w:bookmarkStart w:id="29" w:name="_Toc16938522"/>
      <w:bookmarkStart w:id="30" w:name="_Toc513029206"/>
      <w:bookmarkStart w:id="31" w:name="_Toc20823278"/>
      <w:r>
        <w:rPr>
          <w:rFonts w:hint="eastAsia" w:eastAsia="宋体"/>
          <w:b/>
          <w:bCs/>
          <w:color w:val="auto"/>
          <w:highlight w:val="none"/>
        </w:rPr>
        <w:t>3．适用法律</w:t>
      </w:r>
      <w:bookmarkEnd w:id="29"/>
      <w:bookmarkEnd w:id="30"/>
      <w:bookmarkEnd w:id="31"/>
    </w:p>
    <w:p w14:paraId="485B2674">
      <w:pPr>
        <w:spacing w:line="420" w:lineRule="exact"/>
        <w:ind w:firstLine="485"/>
        <w:rPr>
          <w:rFonts w:eastAsia="宋体"/>
          <w:color w:val="auto"/>
          <w:highlight w:val="none"/>
        </w:rPr>
      </w:pPr>
      <w:r>
        <w:rPr>
          <w:rFonts w:hint="eastAsia" w:eastAsia="宋体"/>
          <w:color w:val="auto"/>
          <w:highlight w:val="none"/>
        </w:rPr>
        <w:t>3.1 本次封闭式框架协议采购活动（以下简称采购活动）及由此产生的框架协议文本和采购合同文本受中华人民共和国有关的法律法规制约和保护。</w:t>
      </w:r>
    </w:p>
    <w:p w14:paraId="7A61AA68">
      <w:pPr>
        <w:spacing w:before="120" w:after="120" w:line="420" w:lineRule="exact"/>
        <w:ind w:firstLine="488"/>
        <w:outlineLvl w:val="2"/>
        <w:rPr>
          <w:rFonts w:eastAsia="宋体"/>
          <w:b/>
          <w:bCs/>
          <w:color w:val="auto"/>
          <w:highlight w:val="none"/>
        </w:rPr>
      </w:pPr>
      <w:bookmarkStart w:id="32" w:name="_Toc20823279"/>
      <w:bookmarkStart w:id="33" w:name="_Toc462564067"/>
      <w:bookmarkStart w:id="34" w:name="_Toc16938523"/>
      <w:bookmarkStart w:id="35" w:name="_Toc513029207"/>
      <w:r>
        <w:rPr>
          <w:rFonts w:hint="eastAsia" w:eastAsia="宋体"/>
          <w:b/>
          <w:bCs/>
          <w:color w:val="auto"/>
          <w:highlight w:val="none"/>
        </w:rPr>
        <w:t>4．参加采购活动的费用</w:t>
      </w:r>
      <w:bookmarkEnd w:id="32"/>
      <w:bookmarkEnd w:id="33"/>
      <w:bookmarkEnd w:id="34"/>
      <w:bookmarkEnd w:id="35"/>
    </w:p>
    <w:p w14:paraId="5275FD4D">
      <w:pPr>
        <w:spacing w:line="420" w:lineRule="exact"/>
        <w:ind w:firstLine="485"/>
        <w:rPr>
          <w:rFonts w:eastAsia="宋体"/>
          <w:color w:val="auto"/>
          <w:highlight w:val="none"/>
        </w:rPr>
      </w:pPr>
      <w:r>
        <w:rPr>
          <w:rFonts w:hint="eastAsia" w:eastAsia="宋体"/>
          <w:color w:val="auto"/>
          <w:highlight w:val="none"/>
        </w:rPr>
        <w:t>4.1 供应商应自行承担所有与参加采购活动有关的费用，无论采购活动过程中的做法和结果如何，征集人和采购代理机构在任何情况下均无义务和责任承担这些费用。</w:t>
      </w:r>
    </w:p>
    <w:p w14:paraId="7642FCBE">
      <w:pPr>
        <w:spacing w:line="420" w:lineRule="exact"/>
        <w:ind w:firstLine="485"/>
        <w:rPr>
          <w:rFonts w:eastAsia="宋体"/>
          <w:b/>
          <w:bCs/>
          <w:color w:val="auto"/>
          <w:highlight w:val="none"/>
        </w:rPr>
      </w:pPr>
      <w:r>
        <w:rPr>
          <w:rFonts w:hint="eastAsia" w:eastAsia="宋体"/>
          <w:b/>
          <w:bCs/>
          <w:color w:val="auto"/>
          <w:highlight w:val="none"/>
        </w:rPr>
        <w:t>4.2 本次采购活动不收取征集文件工本费。本项目征集活动，入围供应商共同承担并支付1.2万元的代理服务费。</w:t>
      </w:r>
    </w:p>
    <w:p w14:paraId="4E63DB1D">
      <w:pPr>
        <w:spacing w:before="120" w:after="120" w:line="420" w:lineRule="exact"/>
        <w:ind w:firstLine="488"/>
        <w:outlineLvl w:val="2"/>
        <w:rPr>
          <w:rFonts w:eastAsia="宋体"/>
          <w:b/>
          <w:bCs/>
          <w:color w:val="auto"/>
          <w:highlight w:val="none"/>
        </w:rPr>
      </w:pPr>
      <w:r>
        <w:rPr>
          <w:rFonts w:hint="eastAsia" w:eastAsia="宋体"/>
          <w:b/>
          <w:bCs/>
          <w:color w:val="auto"/>
          <w:highlight w:val="none"/>
        </w:rPr>
        <w:t>5．征集文件的约束力</w:t>
      </w:r>
    </w:p>
    <w:p w14:paraId="57D5B388">
      <w:pPr>
        <w:spacing w:line="420" w:lineRule="exact"/>
        <w:ind w:firstLine="485"/>
        <w:rPr>
          <w:rFonts w:eastAsia="宋体"/>
          <w:color w:val="auto"/>
          <w:highlight w:val="none"/>
        </w:rPr>
      </w:pPr>
      <w:r>
        <w:rPr>
          <w:rFonts w:hint="eastAsia" w:eastAsia="宋体"/>
          <w:color w:val="auto"/>
          <w:highlight w:val="none"/>
        </w:rPr>
        <w:t>5.1 供应商一旦参加本项目采购活动，即被认为接受了本征集文件的规定和约束。</w:t>
      </w:r>
    </w:p>
    <w:p w14:paraId="0B2D812E">
      <w:pPr>
        <w:spacing w:before="120" w:after="120" w:line="420" w:lineRule="exact"/>
        <w:ind w:firstLine="488"/>
        <w:outlineLvl w:val="1"/>
        <w:rPr>
          <w:rFonts w:eastAsia="宋体"/>
          <w:b/>
          <w:bCs/>
          <w:color w:val="auto"/>
          <w:highlight w:val="none"/>
        </w:rPr>
      </w:pPr>
      <w:bookmarkStart w:id="36" w:name="_Toc16938525"/>
      <w:bookmarkStart w:id="37" w:name="_Toc513029209"/>
      <w:bookmarkStart w:id="38" w:name="_Toc20823281"/>
      <w:bookmarkStart w:id="39" w:name="_Toc120614215"/>
      <w:r>
        <w:rPr>
          <w:rFonts w:hint="eastAsia" w:eastAsia="宋体"/>
          <w:b/>
          <w:bCs/>
          <w:color w:val="auto"/>
          <w:highlight w:val="none"/>
        </w:rPr>
        <w:t>二、征集文件</w:t>
      </w:r>
      <w:bookmarkEnd w:id="36"/>
      <w:bookmarkEnd w:id="37"/>
      <w:bookmarkEnd w:id="38"/>
      <w:bookmarkEnd w:id="39"/>
    </w:p>
    <w:p w14:paraId="14AEA983">
      <w:pPr>
        <w:spacing w:before="120" w:after="120" w:line="420" w:lineRule="exact"/>
        <w:ind w:firstLine="488"/>
        <w:outlineLvl w:val="2"/>
        <w:rPr>
          <w:rFonts w:eastAsia="宋体"/>
          <w:b/>
          <w:bCs/>
          <w:color w:val="auto"/>
          <w:highlight w:val="none"/>
        </w:rPr>
      </w:pPr>
      <w:bookmarkStart w:id="40" w:name="_Toc16938526"/>
      <w:bookmarkStart w:id="41" w:name="_Toc20823282"/>
      <w:bookmarkStart w:id="42" w:name="_Toc513029210"/>
      <w:r>
        <w:rPr>
          <w:rFonts w:hint="eastAsia" w:eastAsia="宋体"/>
          <w:b/>
          <w:bCs/>
          <w:color w:val="auto"/>
          <w:highlight w:val="none"/>
        </w:rPr>
        <w:t>6．征集文件构成</w:t>
      </w:r>
      <w:bookmarkEnd w:id="40"/>
      <w:bookmarkEnd w:id="41"/>
      <w:bookmarkEnd w:id="42"/>
    </w:p>
    <w:p w14:paraId="3A37FBAF">
      <w:pPr>
        <w:spacing w:line="420" w:lineRule="exact"/>
        <w:ind w:firstLine="488"/>
        <w:rPr>
          <w:rFonts w:eastAsia="宋体"/>
          <w:color w:val="auto"/>
          <w:highlight w:val="none"/>
        </w:rPr>
      </w:pPr>
      <w:r>
        <w:rPr>
          <w:rFonts w:hint="eastAsia" w:eastAsia="宋体"/>
          <w:color w:val="auto"/>
          <w:highlight w:val="none"/>
        </w:rPr>
        <w:t>6.1 征集文件由以下部分组成：</w:t>
      </w:r>
    </w:p>
    <w:p w14:paraId="4C35A7DD">
      <w:pPr>
        <w:spacing w:line="420" w:lineRule="exact"/>
        <w:ind w:firstLine="488"/>
        <w:rPr>
          <w:rFonts w:eastAsia="宋体"/>
          <w:color w:val="auto"/>
          <w:highlight w:val="none"/>
        </w:rPr>
      </w:pPr>
      <w:r>
        <w:rPr>
          <w:rFonts w:hint="eastAsia" w:eastAsia="宋体"/>
          <w:color w:val="auto"/>
          <w:highlight w:val="none"/>
        </w:rPr>
        <w:t>6.1.1参加征集活动的邀请</w:t>
      </w:r>
    </w:p>
    <w:p w14:paraId="24DBFDA4">
      <w:pPr>
        <w:spacing w:line="420" w:lineRule="exact"/>
        <w:ind w:firstLine="488"/>
        <w:rPr>
          <w:rFonts w:eastAsia="宋体"/>
          <w:color w:val="auto"/>
          <w:highlight w:val="none"/>
        </w:rPr>
      </w:pPr>
      <w:r>
        <w:rPr>
          <w:rFonts w:hint="eastAsia" w:eastAsia="宋体"/>
          <w:color w:val="auto"/>
          <w:highlight w:val="none"/>
        </w:rPr>
        <w:t>6.1.2供应商须知</w:t>
      </w:r>
    </w:p>
    <w:p w14:paraId="64324663">
      <w:pPr>
        <w:spacing w:line="420" w:lineRule="exact"/>
        <w:ind w:firstLine="488"/>
        <w:rPr>
          <w:rFonts w:eastAsia="宋体"/>
          <w:color w:val="auto"/>
          <w:highlight w:val="none"/>
        </w:rPr>
      </w:pPr>
      <w:r>
        <w:rPr>
          <w:rFonts w:hint="eastAsia" w:eastAsia="宋体"/>
          <w:color w:val="auto"/>
          <w:highlight w:val="none"/>
        </w:rPr>
        <w:t>6.1.3采购需求</w:t>
      </w:r>
    </w:p>
    <w:p w14:paraId="6E42FA3D">
      <w:pPr>
        <w:spacing w:line="420" w:lineRule="exact"/>
        <w:ind w:firstLine="488"/>
        <w:rPr>
          <w:rFonts w:eastAsia="宋体"/>
          <w:color w:val="auto"/>
          <w:highlight w:val="none"/>
        </w:rPr>
      </w:pPr>
      <w:r>
        <w:rPr>
          <w:rFonts w:hint="eastAsia" w:eastAsia="宋体"/>
          <w:color w:val="auto"/>
          <w:highlight w:val="none"/>
        </w:rPr>
        <w:t>6.1.4 确定入围供应商的方法</w:t>
      </w:r>
    </w:p>
    <w:p w14:paraId="5D50627B">
      <w:pPr>
        <w:spacing w:line="420" w:lineRule="exact"/>
        <w:ind w:firstLine="488"/>
        <w:rPr>
          <w:rFonts w:eastAsia="宋体"/>
          <w:color w:val="auto"/>
          <w:highlight w:val="none"/>
        </w:rPr>
      </w:pPr>
      <w:r>
        <w:rPr>
          <w:rFonts w:hint="eastAsia" w:eastAsia="宋体"/>
          <w:color w:val="auto"/>
          <w:highlight w:val="none"/>
        </w:rPr>
        <w:t>6.1.5 框架协议文本</w:t>
      </w:r>
    </w:p>
    <w:p w14:paraId="26DC0E0B">
      <w:pPr>
        <w:spacing w:line="420" w:lineRule="exact"/>
        <w:ind w:firstLine="485"/>
        <w:rPr>
          <w:rFonts w:eastAsia="宋体"/>
          <w:color w:val="auto"/>
          <w:highlight w:val="none"/>
        </w:rPr>
      </w:pPr>
      <w:r>
        <w:rPr>
          <w:rFonts w:hint="eastAsia" w:eastAsia="宋体"/>
          <w:color w:val="auto"/>
          <w:highlight w:val="none"/>
        </w:rPr>
        <w:t>6.1.6响应文件的组成和格式</w:t>
      </w:r>
    </w:p>
    <w:p w14:paraId="5A64EEE7">
      <w:pPr>
        <w:spacing w:line="420" w:lineRule="exact"/>
        <w:ind w:firstLine="485"/>
        <w:rPr>
          <w:rFonts w:eastAsia="宋体"/>
          <w:color w:val="auto"/>
          <w:highlight w:val="none"/>
        </w:rPr>
      </w:pPr>
      <w:r>
        <w:rPr>
          <w:rFonts w:hint="eastAsia" w:eastAsia="宋体"/>
          <w:color w:val="auto"/>
          <w:highlight w:val="none"/>
        </w:rPr>
        <w:t>请仔细检查征集文件是否齐全，如有缺漏请立即与采购代理机构联系解决。</w:t>
      </w:r>
    </w:p>
    <w:p w14:paraId="01565B07">
      <w:pPr>
        <w:spacing w:line="420" w:lineRule="exact"/>
        <w:ind w:firstLine="485"/>
        <w:rPr>
          <w:rFonts w:eastAsia="宋体"/>
          <w:color w:val="auto"/>
          <w:highlight w:val="none"/>
        </w:rPr>
      </w:pPr>
      <w:r>
        <w:rPr>
          <w:rFonts w:hint="eastAsia" w:eastAsia="宋体"/>
          <w:color w:val="auto"/>
          <w:highlight w:val="none"/>
        </w:rPr>
        <w:t>6.2 供应商应认真阅读征集文件中所有的事项、格式、条款和规范等要求。按征集文件的要求和规定编制响应文件，并保证所提供的全部资料的真实性，以使其响应文件对征集文件做出实质性响应，否则其风险由供应商自行承担。</w:t>
      </w:r>
    </w:p>
    <w:p w14:paraId="70A0A9F2">
      <w:pPr>
        <w:spacing w:before="120" w:after="120" w:line="420" w:lineRule="exact"/>
        <w:ind w:firstLine="488"/>
        <w:outlineLvl w:val="2"/>
        <w:rPr>
          <w:rFonts w:eastAsia="宋体"/>
          <w:b/>
          <w:bCs/>
          <w:color w:val="auto"/>
          <w:highlight w:val="none"/>
        </w:rPr>
      </w:pPr>
      <w:bookmarkStart w:id="43" w:name="_Toc462564070"/>
      <w:bookmarkStart w:id="44" w:name="_Toc20823283"/>
      <w:bookmarkStart w:id="45" w:name="_Toc16938527"/>
      <w:bookmarkStart w:id="46" w:name="_Toc513029211"/>
      <w:r>
        <w:rPr>
          <w:rFonts w:hint="eastAsia" w:eastAsia="宋体"/>
          <w:b/>
          <w:bCs/>
          <w:color w:val="auto"/>
          <w:highlight w:val="none"/>
        </w:rPr>
        <w:t>7．征集文件的澄清</w:t>
      </w:r>
      <w:bookmarkEnd w:id="43"/>
      <w:bookmarkEnd w:id="44"/>
      <w:bookmarkEnd w:id="45"/>
      <w:bookmarkEnd w:id="46"/>
    </w:p>
    <w:p w14:paraId="7EA3A20C">
      <w:pPr>
        <w:spacing w:line="420" w:lineRule="exact"/>
        <w:ind w:firstLine="485"/>
        <w:rPr>
          <w:rFonts w:eastAsia="宋体"/>
          <w:color w:val="auto"/>
          <w:highlight w:val="none"/>
        </w:rPr>
      </w:pPr>
      <w:r>
        <w:rPr>
          <w:rFonts w:hint="eastAsia" w:eastAsia="宋体"/>
          <w:color w:val="auto"/>
          <w:highlight w:val="none"/>
        </w:rPr>
        <w:t>7.1 任何要求对征集文件进行澄清的供应商，应在响应文件提交截止期十日前按征集公告中的通讯地址，以书面形式通知征集人。</w:t>
      </w:r>
    </w:p>
    <w:p w14:paraId="40BCF468">
      <w:pPr>
        <w:spacing w:before="120" w:after="120" w:line="420" w:lineRule="exact"/>
        <w:ind w:firstLine="488"/>
        <w:outlineLvl w:val="2"/>
        <w:rPr>
          <w:rFonts w:eastAsia="宋体"/>
          <w:b/>
          <w:bCs/>
          <w:color w:val="auto"/>
          <w:highlight w:val="none"/>
        </w:rPr>
      </w:pPr>
      <w:bookmarkStart w:id="47" w:name="_Toc513029212"/>
      <w:bookmarkStart w:id="48" w:name="_Toc20823284"/>
      <w:bookmarkStart w:id="49" w:name="_Toc16938528"/>
      <w:bookmarkStart w:id="50" w:name="_Toc462564071"/>
      <w:r>
        <w:rPr>
          <w:rFonts w:hint="eastAsia" w:eastAsia="宋体"/>
          <w:b/>
          <w:bCs/>
          <w:color w:val="auto"/>
          <w:highlight w:val="none"/>
        </w:rPr>
        <w:t>8．征集文件的修改</w:t>
      </w:r>
      <w:bookmarkEnd w:id="47"/>
      <w:bookmarkEnd w:id="48"/>
      <w:bookmarkEnd w:id="49"/>
      <w:bookmarkEnd w:id="50"/>
    </w:p>
    <w:p w14:paraId="0340B82B">
      <w:pPr>
        <w:spacing w:line="420" w:lineRule="exact"/>
        <w:ind w:firstLine="485"/>
        <w:rPr>
          <w:rFonts w:eastAsia="宋体"/>
          <w:color w:val="auto"/>
          <w:highlight w:val="none"/>
        </w:rPr>
      </w:pPr>
      <w:r>
        <w:rPr>
          <w:rFonts w:hint="eastAsia" w:eastAsia="宋体"/>
          <w:color w:val="auto"/>
          <w:highlight w:val="none"/>
        </w:rPr>
        <w:t>8.1 在响应文件提交截止时间前，采购代理机构可以对征集文件进行修改。</w:t>
      </w:r>
    </w:p>
    <w:p w14:paraId="5AE46132">
      <w:pPr>
        <w:spacing w:line="420" w:lineRule="exact"/>
        <w:ind w:firstLine="485"/>
        <w:rPr>
          <w:rFonts w:eastAsia="宋体"/>
          <w:color w:val="auto"/>
          <w:highlight w:val="none"/>
        </w:rPr>
      </w:pPr>
      <w:r>
        <w:rPr>
          <w:rFonts w:hint="eastAsia" w:eastAsia="宋体"/>
          <w:color w:val="auto"/>
          <w:highlight w:val="none"/>
        </w:rPr>
        <w:t>8.2 采购代理机构有权按照法定的要求推迟响应文件提交截止日期和开启日期。</w:t>
      </w:r>
    </w:p>
    <w:p w14:paraId="6503BD69">
      <w:pPr>
        <w:spacing w:line="420" w:lineRule="exact"/>
        <w:ind w:firstLine="485"/>
        <w:rPr>
          <w:rFonts w:eastAsia="宋体"/>
          <w:color w:val="auto"/>
          <w:highlight w:val="none"/>
        </w:rPr>
      </w:pPr>
      <w:r>
        <w:rPr>
          <w:rFonts w:hint="eastAsia" w:eastAsia="宋体"/>
          <w:color w:val="auto"/>
          <w:highlight w:val="none"/>
        </w:rPr>
        <w:t>8.3 征集文件的修改将在“江苏政府采购网”公布，补充文件将作为征集文件的组成部分，并对供应商具有约束力。</w:t>
      </w:r>
    </w:p>
    <w:p w14:paraId="2CB713C4">
      <w:pPr>
        <w:spacing w:before="120" w:after="120" w:line="420" w:lineRule="exact"/>
        <w:ind w:firstLine="488"/>
        <w:outlineLvl w:val="1"/>
        <w:rPr>
          <w:rFonts w:eastAsia="宋体"/>
          <w:b/>
          <w:bCs/>
          <w:color w:val="auto"/>
          <w:highlight w:val="none"/>
        </w:rPr>
      </w:pPr>
      <w:bookmarkStart w:id="51" w:name="_Toc20823285"/>
      <w:bookmarkStart w:id="52" w:name="_Toc16938529"/>
      <w:bookmarkStart w:id="53" w:name="_Toc513029213"/>
      <w:bookmarkStart w:id="54" w:name="_Toc462564072"/>
      <w:bookmarkStart w:id="55" w:name="_Toc120614216"/>
      <w:r>
        <w:rPr>
          <w:rFonts w:hint="eastAsia" w:eastAsia="宋体"/>
          <w:b/>
          <w:bCs/>
          <w:color w:val="auto"/>
          <w:highlight w:val="none"/>
        </w:rPr>
        <w:t>三、响应文件的编制</w:t>
      </w:r>
      <w:bookmarkEnd w:id="51"/>
      <w:bookmarkEnd w:id="52"/>
      <w:bookmarkEnd w:id="53"/>
      <w:bookmarkEnd w:id="54"/>
      <w:bookmarkEnd w:id="55"/>
    </w:p>
    <w:p w14:paraId="4B063635">
      <w:pPr>
        <w:spacing w:before="120" w:after="120" w:line="420" w:lineRule="exact"/>
        <w:ind w:firstLine="488"/>
        <w:outlineLvl w:val="2"/>
        <w:rPr>
          <w:rFonts w:eastAsia="宋体"/>
          <w:b/>
          <w:bCs/>
          <w:color w:val="auto"/>
          <w:highlight w:val="none"/>
        </w:rPr>
      </w:pPr>
      <w:bookmarkStart w:id="56" w:name="_Toc462564073"/>
      <w:bookmarkStart w:id="57" w:name="_Toc20823286"/>
      <w:bookmarkStart w:id="58" w:name="_Toc16938530"/>
      <w:bookmarkStart w:id="59" w:name="_Toc513029214"/>
      <w:r>
        <w:rPr>
          <w:rFonts w:hint="eastAsia" w:eastAsia="宋体"/>
          <w:b/>
          <w:bCs/>
          <w:color w:val="auto"/>
          <w:highlight w:val="none"/>
        </w:rPr>
        <w:t>9．响应文件的语言及度量衡单位</w:t>
      </w:r>
      <w:bookmarkEnd w:id="56"/>
      <w:bookmarkEnd w:id="57"/>
      <w:bookmarkEnd w:id="58"/>
      <w:bookmarkEnd w:id="59"/>
    </w:p>
    <w:p w14:paraId="591BC623">
      <w:pPr>
        <w:spacing w:line="420" w:lineRule="exact"/>
        <w:ind w:firstLine="485"/>
        <w:rPr>
          <w:rFonts w:eastAsia="宋体"/>
          <w:color w:val="auto"/>
          <w:highlight w:val="none"/>
        </w:rPr>
      </w:pPr>
      <w:r>
        <w:rPr>
          <w:rFonts w:hint="eastAsia" w:eastAsia="宋体"/>
          <w:color w:val="auto"/>
          <w:highlight w:val="none"/>
        </w:rPr>
        <w:t>9.1 供应商提交的响应文件以及供应商与采购代理机构及征集人就采购活动的所有来往通知、函件和文件均应使用简体中文。</w:t>
      </w:r>
    </w:p>
    <w:p w14:paraId="2B5A0102">
      <w:pPr>
        <w:spacing w:line="420" w:lineRule="exact"/>
        <w:ind w:firstLine="485"/>
        <w:rPr>
          <w:rFonts w:eastAsia="宋体"/>
          <w:color w:val="auto"/>
          <w:highlight w:val="none"/>
        </w:rPr>
      </w:pPr>
      <w:r>
        <w:rPr>
          <w:rFonts w:hint="eastAsia" w:eastAsia="宋体"/>
          <w:color w:val="auto"/>
          <w:highlight w:val="none"/>
        </w:rPr>
        <w:t>9.2 除技术性能另有规定外，响应文件所使用的度量衡单位，均须采用国家法定计量单位。</w:t>
      </w:r>
    </w:p>
    <w:p w14:paraId="286D629A">
      <w:pPr>
        <w:spacing w:before="120" w:after="120" w:line="420" w:lineRule="exact"/>
        <w:ind w:firstLine="488"/>
        <w:outlineLvl w:val="2"/>
        <w:rPr>
          <w:rFonts w:eastAsia="宋体"/>
          <w:b/>
          <w:bCs/>
          <w:color w:val="auto"/>
          <w:highlight w:val="none"/>
        </w:rPr>
      </w:pPr>
      <w:bookmarkStart w:id="60" w:name="_Toc20823287"/>
      <w:bookmarkStart w:id="61" w:name="_Toc513029215"/>
      <w:bookmarkStart w:id="62" w:name="_Toc462564074"/>
      <w:bookmarkStart w:id="63" w:name="_Toc16938531"/>
      <w:r>
        <w:rPr>
          <w:rFonts w:hint="eastAsia" w:eastAsia="宋体"/>
          <w:b/>
          <w:bCs/>
          <w:color w:val="auto"/>
          <w:highlight w:val="none"/>
        </w:rPr>
        <w:t>10．响应文件构成</w:t>
      </w:r>
      <w:bookmarkEnd w:id="60"/>
      <w:bookmarkEnd w:id="61"/>
      <w:bookmarkEnd w:id="62"/>
      <w:bookmarkEnd w:id="63"/>
    </w:p>
    <w:p w14:paraId="2D0493F7">
      <w:pPr>
        <w:spacing w:line="420" w:lineRule="exact"/>
        <w:ind w:firstLine="485"/>
        <w:rPr>
          <w:rFonts w:eastAsia="宋体"/>
          <w:color w:val="auto"/>
          <w:highlight w:val="none"/>
        </w:rPr>
      </w:pPr>
      <w:r>
        <w:rPr>
          <w:rFonts w:hint="eastAsia" w:eastAsia="宋体"/>
          <w:color w:val="auto"/>
          <w:highlight w:val="none"/>
        </w:rPr>
        <w:t>10.1 供应商编写的响应文件应包括资格证明文件、符合性证明文件、技术要求响应及偏离表、商务要求响应及偏离表、其他证明文件、响应函等部分。</w:t>
      </w:r>
    </w:p>
    <w:p w14:paraId="0946E284">
      <w:pPr>
        <w:spacing w:line="420" w:lineRule="exact"/>
        <w:ind w:firstLine="485"/>
        <w:rPr>
          <w:rFonts w:eastAsia="宋体"/>
          <w:color w:val="auto"/>
          <w:highlight w:val="none"/>
        </w:rPr>
      </w:pPr>
      <w:r>
        <w:rPr>
          <w:rFonts w:hint="eastAsia" w:eastAsia="宋体"/>
          <w:color w:val="auto"/>
          <w:highlight w:val="none"/>
        </w:rPr>
        <w:t>10.2 如征集响应文件制作工具中格式和内容与“江苏政府采购网”发布的征集文件不一致，请以“江苏政府采购网”发布的征集文件为准。</w:t>
      </w:r>
    </w:p>
    <w:p w14:paraId="0503C8E8">
      <w:pPr>
        <w:spacing w:before="120" w:after="120" w:line="420" w:lineRule="exact"/>
        <w:ind w:firstLine="488"/>
        <w:outlineLvl w:val="2"/>
        <w:rPr>
          <w:rFonts w:eastAsia="宋体"/>
          <w:b/>
          <w:bCs/>
          <w:color w:val="auto"/>
          <w:highlight w:val="none"/>
        </w:rPr>
      </w:pPr>
      <w:bookmarkStart w:id="64" w:name="_Hlt26670360"/>
      <w:bookmarkEnd w:id="64"/>
      <w:bookmarkStart w:id="65" w:name="_Hlt26668975"/>
      <w:bookmarkEnd w:id="65"/>
      <w:bookmarkStart w:id="66" w:name="_Hlt26670486"/>
      <w:bookmarkEnd w:id="66"/>
      <w:bookmarkStart w:id="67" w:name="_Hlt26954838"/>
      <w:bookmarkEnd w:id="67"/>
      <w:bookmarkStart w:id="68" w:name="_Hlt26954731"/>
      <w:bookmarkEnd w:id="68"/>
      <w:bookmarkStart w:id="69" w:name="_Hlt26954848"/>
      <w:bookmarkEnd w:id="69"/>
      <w:bookmarkStart w:id="70" w:name="_Hlt26670482"/>
      <w:bookmarkEnd w:id="70"/>
      <w:bookmarkStart w:id="71" w:name="_Hlt26954846"/>
      <w:bookmarkEnd w:id="71"/>
      <w:r>
        <w:rPr>
          <w:rFonts w:hint="eastAsia" w:eastAsia="宋体"/>
          <w:b/>
          <w:bCs/>
          <w:color w:val="auto"/>
          <w:highlight w:val="none"/>
        </w:rPr>
        <w:t>11．技术要求响应及偏离表、商务要求响应及偏离表</w:t>
      </w:r>
    </w:p>
    <w:p w14:paraId="56E3245B">
      <w:pPr>
        <w:spacing w:line="420" w:lineRule="exact"/>
        <w:ind w:firstLine="485"/>
        <w:rPr>
          <w:rFonts w:eastAsia="宋体"/>
          <w:color w:val="auto"/>
          <w:highlight w:val="none"/>
        </w:rPr>
      </w:pPr>
      <w:r>
        <w:rPr>
          <w:rFonts w:hint="eastAsia" w:eastAsia="宋体"/>
          <w:color w:val="auto"/>
          <w:highlight w:val="none"/>
        </w:rPr>
        <w:t>11.1供应商需对征集文件中的技术要求与商务要求逐项做出响应或偏离，并说明原因。供应商响应的技术、商务等条件不得低于采购需求。</w:t>
      </w:r>
    </w:p>
    <w:p w14:paraId="3CE20021">
      <w:pPr>
        <w:spacing w:line="420" w:lineRule="exact"/>
        <w:ind w:firstLine="485"/>
        <w:rPr>
          <w:rFonts w:eastAsia="宋体"/>
          <w:color w:val="auto"/>
          <w:highlight w:val="none"/>
        </w:rPr>
      </w:pPr>
      <w:r>
        <w:rPr>
          <w:rFonts w:hint="eastAsia" w:eastAsia="宋体"/>
          <w:color w:val="auto"/>
          <w:highlight w:val="none"/>
        </w:rPr>
        <w:t>11.2 供应商可在响应文件中提供认为需要的其他技术文件或说明。</w:t>
      </w:r>
    </w:p>
    <w:p w14:paraId="33FD575C">
      <w:pPr>
        <w:spacing w:before="120" w:after="120" w:line="420" w:lineRule="exact"/>
        <w:ind w:firstLine="488"/>
        <w:outlineLvl w:val="2"/>
        <w:rPr>
          <w:rFonts w:eastAsia="宋体"/>
          <w:b/>
          <w:bCs/>
          <w:color w:val="auto"/>
          <w:highlight w:val="none"/>
        </w:rPr>
      </w:pPr>
      <w:r>
        <w:rPr>
          <w:rFonts w:hint="eastAsia" w:eastAsia="宋体"/>
          <w:b/>
          <w:bCs/>
          <w:color w:val="auto"/>
          <w:highlight w:val="none"/>
        </w:rPr>
        <w:t>12．服务承诺</w:t>
      </w:r>
    </w:p>
    <w:p w14:paraId="27F617D7">
      <w:pPr>
        <w:spacing w:line="420" w:lineRule="exact"/>
        <w:ind w:firstLine="485"/>
        <w:rPr>
          <w:rFonts w:eastAsia="宋体"/>
          <w:color w:val="auto"/>
          <w:highlight w:val="none"/>
        </w:rPr>
      </w:pPr>
      <w:r>
        <w:rPr>
          <w:rFonts w:hint="eastAsia" w:eastAsia="宋体"/>
          <w:color w:val="auto"/>
          <w:highlight w:val="none"/>
        </w:rPr>
        <w:t>12.1 供应商需根据征集文件要求提供有关售后服务的管理制度，售后服务机构的分布情况，售后服务人员的数量、素质、技术水平及售后服务的反应能力等。</w:t>
      </w:r>
    </w:p>
    <w:p w14:paraId="2CFA8EBC">
      <w:pPr>
        <w:spacing w:before="120" w:after="120" w:line="420" w:lineRule="exact"/>
        <w:ind w:firstLine="488"/>
        <w:outlineLvl w:val="2"/>
        <w:rPr>
          <w:rFonts w:eastAsia="宋体"/>
          <w:b/>
          <w:bCs/>
          <w:color w:val="auto"/>
          <w:highlight w:val="none"/>
        </w:rPr>
      </w:pPr>
      <w:bookmarkStart w:id="72" w:name="_Toc14577359"/>
      <w:bookmarkStart w:id="73" w:name="_Toc49090510"/>
      <w:r>
        <w:rPr>
          <w:rFonts w:hint="eastAsia" w:eastAsia="宋体"/>
          <w:b/>
          <w:bCs/>
          <w:color w:val="auto"/>
          <w:highlight w:val="none"/>
        </w:rPr>
        <w:t>13．响应函</w:t>
      </w:r>
    </w:p>
    <w:p w14:paraId="51FD797D">
      <w:pPr>
        <w:spacing w:line="420" w:lineRule="exact"/>
        <w:ind w:firstLine="485"/>
        <w:rPr>
          <w:rFonts w:eastAsia="宋体"/>
          <w:color w:val="auto"/>
          <w:highlight w:val="none"/>
        </w:rPr>
      </w:pPr>
      <w:r>
        <w:rPr>
          <w:rFonts w:hint="eastAsia" w:eastAsia="宋体"/>
          <w:color w:val="auto"/>
          <w:highlight w:val="none"/>
        </w:rPr>
        <w:t>13.1 供应商应按照征集文件中提供的格式完整、正确填写响应函。</w:t>
      </w:r>
    </w:p>
    <w:bookmarkEnd w:id="72"/>
    <w:bookmarkEnd w:id="73"/>
    <w:p w14:paraId="72DA70F1">
      <w:pPr>
        <w:spacing w:before="120" w:after="120" w:line="420" w:lineRule="exact"/>
        <w:ind w:firstLine="488"/>
        <w:outlineLvl w:val="2"/>
        <w:rPr>
          <w:rFonts w:eastAsia="宋体"/>
          <w:b/>
          <w:bCs/>
          <w:color w:val="auto"/>
          <w:highlight w:val="none"/>
        </w:rPr>
      </w:pPr>
      <w:bookmarkStart w:id="74" w:name="_Toc49090511"/>
      <w:bookmarkStart w:id="75" w:name="_Toc14577360"/>
      <w:r>
        <w:rPr>
          <w:rFonts w:hint="eastAsia" w:eastAsia="宋体"/>
          <w:b/>
          <w:bCs/>
          <w:color w:val="auto"/>
          <w:highlight w:val="none"/>
        </w:rPr>
        <w:t>14．响应文件有效期</w:t>
      </w:r>
      <w:bookmarkEnd w:id="74"/>
      <w:bookmarkEnd w:id="75"/>
    </w:p>
    <w:p w14:paraId="44F6182C">
      <w:pPr>
        <w:spacing w:line="420" w:lineRule="exact"/>
        <w:ind w:firstLine="485"/>
        <w:rPr>
          <w:rFonts w:eastAsia="宋体"/>
          <w:color w:val="auto"/>
          <w:highlight w:val="none"/>
        </w:rPr>
      </w:pPr>
      <w:r>
        <w:rPr>
          <w:rFonts w:hint="eastAsia" w:eastAsia="宋体"/>
          <w:color w:val="auto"/>
          <w:highlight w:val="none"/>
        </w:rPr>
        <w:t>14.1响应文件有效期为采购代理机构规定的响应文件提交截止时间之日后九十（90）天。响应文件有效期比规定短的将被视为未实质性响应征集文件而予以拒绝。</w:t>
      </w:r>
    </w:p>
    <w:p w14:paraId="6633AF4F">
      <w:pPr>
        <w:spacing w:before="120" w:after="120" w:line="420" w:lineRule="exact"/>
        <w:ind w:firstLine="488"/>
        <w:outlineLvl w:val="2"/>
        <w:rPr>
          <w:rFonts w:eastAsia="宋体"/>
          <w:b/>
          <w:bCs/>
          <w:color w:val="auto"/>
          <w:highlight w:val="none"/>
        </w:rPr>
      </w:pPr>
      <w:r>
        <w:rPr>
          <w:rFonts w:hint="eastAsia" w:eastAsia="宋体"/>
          <w:b/>
          <w:bCs/>
          <w:color w:val="auto"/>
          <w:highlight w:val="none"/>
        </w:rPr>
        <w:t>15．响应文件有效期的延长</w:t>
      </w:r>
    </w:p>
    <w:p w14:paraId="049C2B1E">
      <w:pPr>
        <w:spacing w:line="420" w:lineRule="exact"/>
        <w:ind w:firstLine="485"/>
        <w:rPr>
          <w:rFonts w:eastAsia="宋体"/>
          <w:color w:val="auto"/>
          <w:highlight w:val="none"/>
        </w:rPr>
      </w:pPr>
      <w:r>
        <w:rPr>
          <w:rFonts w:hint="eastAsia" w:eastAsia="宋体"/>
          <w:color w:val="auto"/>
          <w:highlight w:val="none"/>
        </w:rPr>
        <w:t>15.1在特殊情况下，采购代理机构于原响应文件有效期满之前，可向供应商提出延长响应文件有效期的要求。这种要求与答复均应采用书面形式。供应商可以拒绝采购代理机构的这一要求而放弃参加采购活动，同意延长响应文件有效期的供应商既不能要求也不允许修改其响应文件。受响应文件有效期约束的所有权利与义务均延长至新的有效期。</w:t>
      </w:r>
    </w:p>
    <w:p w14:paraId="349E7846">
      <w:pPr>
        <w:spacing w:before="120" w:after="120" w:line="420" w:lineRule="exact"/>
        <w:ind w:firstLine="488"/>
        <w:outlineLvl w:val="1"/>
        <w:rPr>
          <w:rFonts w:eastAsia="宋体"/>
          <w:b/>
          <w:bCs/>
          <w:color w:val="auto"/>
          <w:highlight w:val="none"/>
        </w:rPr>
      </w:pPr>
      <w:bookmarkStart w:id="76" w:name="_Hlt26954739"/>
      <w:bookmarkEnd w:id="76"/>
      <w:bookmarkStart w:id="77" w:name="_Hlt26954852"/>
      <w:bookmarkEnd w:id="77"/>
      <w:bookmarkStart w:id="78" w:name="_Toc20823296"/>
      <w:bookmarkStart w:id="79" w:name="_Toc120614217"/>
      <w:bookmarkStart w:id="80" w:name="_Toc16938540"/>
      <w:bookmarkStart w:id="81" w:name="_Toc513029224"/>
      <w:r>
        <w:rPr>
          <w:rFonts w:hint="eastAsia" w:eastAsia="宋体"/>
          <w:b/>
          <w:bCs/>
          <w:color w:val="auto"/>
          <w:highlight w:val="none"/>
        </w:rPr>
        <w:t>四、响应文件的递交</w:t>
      </w:r>
      <w:bookmarkEnd w:id="78"/>
      <w:bookmarkEnd w:id="79"/>
      <w:bookmarkEnd w:id="80"/>
      <w:bookmarkEnd w:id="81"/>
    </w:p>
    <w:p w14:paraId="1A9BE186">
      <w:pPr>
        <w:spacing w:before="120" w:after="120" w:line="420" w:lineRule="exact"/>
        <w:ind w:firstLine="488"/>
        <w:outlineLvl w:val="2"/>
        <w:rPr>
          <w:rFonts w:eastAsia="宋体"/>
          <w:b/>
          <w:bCs/>
          <w:color w:val="auto"/>
          <w:highlight w:val="none"/>
        </w:rPr>
      </w:pPr>
      <w:bookmarkStart w:id="82" w:name="_Toc462564084"/>
      <w:bookmarkStart w:id="83" w:name="_Toc16938541"/>
      <w:bookmarkStart w:id="84" w:name="_Toc20823297"/>
      <w:bookmarkStart w:id="85" w:name="_Toc513029225"/>
      <w:r>
        <w:rPr>
          <w:rFonts w:hint="eastAsia" w:eastAsia="宋体"/>
          <w:b/>
          <w:bCs/>
          <w:color w:val="auto"/>
          <w:highlight w:val="none"/>
        </w:rPr>
        <w:t>16．电子响应文件</w:t>
      </w:r>
      <w:bookmarkEnd w:id="82"/>
      <w:bookmarkEnd w:id="83"/>
      <w:bookmarkEnd w:id="84"/>
      <w:bookmarkEnd w:id="85"/>
      <w:r>
        <w:rPr>
          <w:rFonts w:hint="eastAsia" w:eastAsia="宋体"/>
          <w:b/>
          <w:bCs/>
          <w:color w:val="auto"/>
          <w:highlight w:val="none"/>
        </w:rPr>
        <w:t>的递交</w:t>
      </w:r>
    </w:p>
    <w:p w14:paraId="766A46CA">
      <w:pPr>
        <w:spacing w:line="420" w:lineRule="exact"/>
        <w:ind w:firstLine="485"/>
        <w:rPr>
          <w:rFonts w:eastAsia="宋体"/>
          <w:color w:val="auto"/>
          <w:highlight w:val="none"/>
        </w:rPr>
      </w:pPr>
      <w:r>
        <w:rPr>
          <w:rFonts w:hint="eastAsia" w:eastAsia="宋体"/>
          <w:color w:val="auto"/>
          <w:highlight w:val="none"/>
        </w:rPr>
        <w:t>16.1 供应商应当按照《操作手册》规定，在响应文件提交截止时间前，制作并上传电子响应文件。</w:t>
      </w:r>
      <w:bookmarkStart w:id="86" w:name="_Toc20823298"/>
      <w:bookmarkStart w:id="87" w:name="_Toc513029226"/>
      <w:bookmarkStart w:id="88" w:name="_Toc16938542"/>
    </w:p>
    <w:p w14:paraId="6C3E65F3">
      <w:pPr>
        <w:spacing w:before="120" w:after="120" w:line="420" w:lineRule="exact"/>
        <w:ind w:firstLine="488"/>
        <w:outlineLvl w:val="2"/>
        <w:rPr>
          <w:rFonts w:eastAsia="宋体"/>
          <w:b/>
          <w:bCs/>
          <w:color w:val="auto"/>
          <w:highlight w:val="none"/>
        </w:rPr>
      </w:pPr>
      <w:r>
        <w:rPr>
          <w:rFonts w:eastAsia="宋体"/>
          <w:b/>
          <w:bCs/>
          <w:color w:val="auto"/>
          <w:highlight w:val="none"/>
        </w:rPr>
        <w:t>1</w:t>
      </w:r>
      <w:r>
        <w:rPr>
          <w:rFonts w:hint="eastAsia" w:eastAsia="宋体"/>
          <w:b/>
          <w:bCs/>
          <w:color w:val="auto"/>
          <w:highlight w:val="none"/>
        </w:rPr>
        <w:t>7．</w:t>
      </w:r>
      <w:bookmarkEnd w:id="86"/>
      <w:bookmarkEnd w:id="87"/>
      <w:bookmarkEnd w:id="88"/>
      <w:r>
        <w:rPr>
          <w:rFonts w:hint="eastAsia" w:eastAsia="宋体"/>
          <w:b/>
          <w:bCs/>
          <w:color w:val="auto"/>
          <w:highlight w:val="none"/>
        </w:rPr>
        <w:t>响应文件提交截止时间</w:t>
      </w:r>
    </w:p>
    <w:p w14:paraId="7BCDDC77">
      <w:pPr>
        <w:spacing w:line="420" w:lineRule="exact"/>
        <w:ind w:firstLine="485"/>
        <w:rPr>
          <w:rFonts w:eastAsia="宋体"/>
          <w:color w:val="auto"/>
          <w:highlight w:val="none"/>
        </w:rPr>
      </w:pPr>
      <w:r>
        <w:rPr>
          <w:rFonts w:hint="eastAsia" w:eastAsia="宋体"/>
          <w:color w:val="auto"/>
          <w:highlight w:val="none"/>
        </w:rPr>
        <w:t>17.1 供应商上传电子响应文件的时间不得迟于征集公告中规定的截止时间。</w:t>
      </w:r>
    </w:p>
    <w:p w14:paraId="5878BF00">
      <w:pPr>
        <w:spacing w:line="420" w:lineRule="exact"/>
        <w:ind w:firstLine="485"/>
        <w:rPr>
          <w:rFonts w:eastAsia="宋体"/>
          <w:color w:val="auto"/>
          <w:highlight w:val="none"/>
        </w:rPr>
      </w:pPr>
      <w:r>
        <w:rPr>
          <w:rFonts w:hint="eastAsia" w:eastAsia="宋体"/>
          <w:color w:val="auto"/>
          <w:highlight w:val="none"/>
        </w:rPr>
        <w:t>供应商应充分考虑到网络环境、网络带宽等风险因素，如因供应商自身原因造成的电子响应文件上传不成功的按照本征集文件第二章第25点规定做无效响应处理。</w:t>
      </w:r>
    </w:p>
    <w:p w14:paraId="74F050E3">
      <w:pPr>
        <w:spacing w:line="420" w:lineRule="exact"/>
        <w:ind w:firstLine="485"/>
        <w:rPr>
          <w:rFonts w:eastAsia="宋体"/>
          <w:color w:val="auto"/>
          <w:highlight w:val="none"/>
        </w:rPr>
      </w:pPr>
      <w:r>
        <w:rPr>
          <w:rFonts w:hint="eastAsia" w:eastAsia="宋体"/>
          <w:color w:val="auto"/>
          <w:highlight w:val="none"/>
        </w:rPr>
        <w:t>17.2</w:t>
      </w:r>
      <w:r>
        <w:rPr>
          <w:rFonts w:eastAsia="宋体"/>
          <w:color w:val="auto"/>
          <w:highlight w:val="none"/>
        </w:rPr>
        <w:t xml:space="preserve"> </w:t>
      </w:r>
      <w:r>
        <w:rPr>
          <w:rFonts w:hint="eastAsia" w:eastAsia="宋体"/>
          <w:color w:val="auto"/>
          <w:highlight w:val="none"/>
        </w:rPr>
        <w:t>采购代理机构可以按照规定，通过修改征集文件酌情延长截止日期，在此情况下，供应商的所有权利和义务以及供应商受制的截止日期均应以延长后新的截止日期为准。</w:t>
      </w:r>
    </w:p>
    <w:p w14:paraId="088FA349">
      <w:pPr>
        <w:spacing w:before="120" w:after="120" w:line="420" w:lineRule="exact"/>
        <w:ind w:firstLine="488"/>
        <w:outlineLvl w:val="2"/>
        <w:rPr>
          <w:rFonts w:eastAsia="宋体"/>
          <w:b/>
          <w:bCs/>
          <w:color w:val="auto"/>
          <w:highlight w:val="none"/>
        </w:rPr>
      </w:pPr>
      <w:bookmarkStart w:id="89" w:name="_Toc20823299"/>
      <w:bookmarkStart w:id="90" w:name="_Toc16938543"/>
      <w:bookmarkStart w:id="91" w:name="_Toc513029227"/>
      <w:r>
        <w:rPr>
          <w:rFonts w:hint="eastAsia" w:eastAsia="宋体"/>
          <w:b/>
          <w:bCs/>
          <w:color w:val="auto"/>
          <w:highlight w:val="none"/>
        </w:rPr>
        <w:t>1</w:t>
      </w:r>
      <w:bookmarkEnd w:id="89"/>
      <w:bookmarkEnd w:id="90"/>
      <w:bookmarkEnd w:id="91"/>
      <w:r>
        <w:rPr>
          <w:rFonts w:hint="eastAsia" w:eastAsia="宋体"/>
          <w:b/>
          <w:bCs/>
          <w:color w:val="auto"/>
          <w:highlight w:val="none"/>
        </w:rPr>
        <w:t>8．响应文件的拒收</w:t>
      </w:r>
    </w:p>
    <w:p w14:paraId="60257EAF">
      <w:pPr>
        <w:spacing w:line="420" w:lineRule="exact"/>
        <w:ind w:firstLine="485"/>
        <w:rPr>
          <w:rFonts w:eastAsia="宋体"/>
          <w:color w:val="auto"/>
          <w:highlight w:val="none"/>
        </w:rPr>
      </w:pPr>
      <w:r>
        <w:rPr>
          <w:rFonts w:hint="eastAsia" w:eastAsia="宋体"/>
          <w:color w:val="auto"/>
          <w:highlight w:val="none"/>
        </w:rPr>
        <w:t>18.1 采购代理机构拒绝接收在其规定的响应文件提交截止时间后上传的任何响应文件。</w:t>
      </w:r>
    </w:p>
    <w:p w14:paraId="12A4C449">
      <w:pPr>
        <w:spacing w:before="120" w:after="120" w:line="420" w:lineRule="exact"/>
        <w:ind w:firstLine="488"/>
        <w:outlineLvl w:val="2"/>
        <w:rPr>
          <w:rFonts w:eastAsia="宋体"/>
          <w:b/>
          <w:bCs/>
          <w:color w:val="auto"/>
          <w:highlight w:val="none"/>
        </w:rPr>
      </w:pPr>
      <w:bookmarkStart w:id="92" w:name="_Toc16938544"/>
      <w:bookmarkStart w:id="93" w:name="_Toc20823300"/>
      <w:bookmarkStart w:id="94" w:name="_Toc513029228"/>
      <w:r>
        <w:rPr>
          <w:rFonts w:hint="eastAsia" w:eastAsia="宋体"/>
          <w:b/>
          <w:bCs/>
          <w:color w:val="auto"/>
          <w:highlight w:val="none"/>
        </w:rPr>
        <w:t>19．响应文件的撤回和修改</w:t>
      </w:r>
      <w:bookmarkEnd w:id="92"/>
      <w:bookmarkEnd w:id="93"/>
      <w:bookmarkEnd w:id="94"/>
    </w:p>
    <w:p w14:paraId="6E6BE1D7">
      <w:pPr>
        <w:spacing w:line="420" w:lineRule="exact"/>
        <w:ind w:firstLine="485"/>
        <w:rPr>
          <w:rFonts w:eastAsia="宋体"/>
          <w:color w:val="auto"/>
          <w:highlight w:val="none"/>
        </w:rPr>
      </w:pPr>
      <w:r>
        <w:rPr>
          <w:rFonts w:hint="eastAsia" w:eastAsia="宋体"/>
          <w:color w:val="auto"/>
          <w:highlight w:val="none"/>
        </w:rPr>
        <w:t>19.1 响应文件的撤回</w:t>
      </w:r>
    </w:p>
    <w:p w14:paraId="6FA69482">
      <w:pPr>
        <w:spacing w:line="420" w:lineRule="exact"/>
        <w:ind w:firstLine="485"/>
        <w:rPr>
          <w:rFonts w:eastAsia="宋体"/>
          <w:color w:val="auto"/>
          <w:highlight w:val="none"/>
        </w:rPr>
      </w:pPr>
      <w:r>
        <w:rPr>
          <w:rFonts w:hint="eastAsia" w:eastAsia="宋体"/>
          <w:color w:val="auto"/>
          <w:highlight w:val="none"/>
        </w:rPr>
        <w:t>19.1.1 电子响应文件的撤回</w:t>
      </w:r>
    </w:p>
    <w:p w14:paraId="330EB01F">
      <w:pPr>
        <w:spacing w:line="420" w:lineRule="exact"/>
        <w:ind w:firstLine="485"/>
        <w:rPr>
          <w:rFonts w:eastAsia="宋体"/>
          <w:color w:val="auto"/>
          <w:highlight w:val="none"/>
        </w:rPr>
      </w:pPr>
      <w:r>
        <w:rPr>
          <w:rFonts w:hint="eastAsia" w:eastAsia="宋体"/>
          <w:color w:val="auto"/>
          <w:highlight w:val="none"/>
        </w:rPr>
        <w:t>供应商可在响应文件提交截止时间前，撤回其电子响应文件，具体操作方法见《操作手册》。</w:t>
      </w:r>
    </w:p>
    <w:p w14:paraId="7FCA124F">
      <w:pPr>
        <w:spacing w:line="420" w:lineRule="exact"/>
        <w:ind w:firstLine="485"/>
        <w:rPr>
          <w:rFonts w:eastAsia="宋体"/>
          <w:color w:val="auto"/>
          <w:highlight w:val="none"/>
        </w:rPr>
      </w:pPr>
      <w:r>
        <w:rPr>
          <w:rFonts w:hint="eastAsia" w:eastAsia="宋体"/>
          <w:color w:val="auto"/>
          <w:highlight w:val="none"/>
        </w:rPr>
        <w:t>19.1.2 供应商撤回电子响应文件，则认为其不再参与本项采购活动。</w:t>
      </w:r>
    </w:p>
    <w:p w14:paraId="259438C9">
      <w:pPr>
        <w:spacing w:line="420" w:lineRule="exact"/>
        <w:ind w:firstLine="485"/>
        <w:rPr>
          <w:rFonts w:eastAsia="宋体"/>
          <w:color w:val="auto"/>
          <w:highlight w:val="none"/>
        </w:rPr>
      </w:pPr>
      <w:r>
        <w:rPr>
          <w:rFonts w:hint="eastAsia" w:eastAsia="宋体"/>
          <w:color w:val="auto"/>
          <w:highlight w:val="none"/>
        </w:rPr>
        <w:t>19.2 响应文件的修改</w:t>
      </w:r>
    </w:p>
    <w:p w14:paraId="593C301B">
      <w:pPr>
        <w:spacing w:line="420" w:lineRule="exact"/>
        <w:ind w:firstLine="485"/>
        <w:rPr>
          <w:rFonts w:eastAsia="宋体"/>
          <w:color w:val="auto"/>
          <w:highlight w:val="none"/>
        </w:rPr>
      </w:pPr>
      <w:r>
        <w:rPr>
          <w:rFonts w:hint="eastAsia" w:eastAsia="宋体"/>
          <w:color w:val="auto"/>
          <w:highlight w:val="none"/>
        </w:rPr>
        <w:t>供应商可在响应文件提交截止时间前，对其电子响应文件进行修改，具体操作方法见《操作手册》。</w:t>
      </w:r>
    </w:p>
    <w:p w14:paraId="1F7D9C09">
      <w:pPr>
        <w:spacing w:line="420" w:lineRule="exact"/>
        <w:ind w:firstLine="485"/>
        <w:rPr>
          <w:rFonts w:eastAsia="宋体"/>
          <w:color w:val="auto"/>
          <w:highlight w:val="none"/>
        </w:rPr>
      </w:pPr>
      <w:r>
        <w:rPr>
          <w:rFonts w:hint="eastAsia" w:eastAsia="宋体"/>
          <w:color w:val="auto"/>
          <w:highlight w:val="none"/>
        </w:rPr>
        <w:t>19.3 在响应文件提交截止时间之后，供应商不得对其电子响应文件作任何修改。</w:t>
      </w:r>
    </w:p>
    <w:p w14:paraId="338E718D">
      <w:pPr>
        <w:spacing w:line="420" w:lineRule="exact"/>
        <w:ind w:firstLine="485"/>
        <w:rPr>
          <w:rFonts w:eastAsia="宋体"/>
          <w:color w:val="auto"/>
          <w:highlight w:val="none"/>
        </w:rPr>
      </w:pPr>
      <w:r>
        <w:rPr>
          <w:rFonts w:hint="eastAsia" w:eastAsia="宋体"/>
          <w:color w:val="auto"/>
          <w:highlight w:val="none"/>
        </w:rPr>
        <w:t>19.4 在响应文件提交截止时间至征集文件中规定的响应文件有效期满之间的这段时间内，供应商不得撤回其电子响应文件。</w:t>
      </w:r>
    </w:p>
    <w:p w14:paraId="010140BB">
      <w:pPr>
        <w:spacing w:before="120" w:after="120" w:line="420" w:lineRule="exact"/>
        <w:ind w:firstLine="488"/>
        <w:outlineLvl w:val="1"/>
        <w:rPr>
          <w:rFonts w:eastAsia="宋体"/>
          <w:b/>
          <w:bCs/>
          <w:color w:val="auto"/>
          <w:highlight w:val="none"/>
        </w:rPr>
      </w:pPr>
      <w:bookmarkStart w:id="95" w:name="_Toc120614218"/>
      <w:bookmarkStart w:id="96" w:name="_Toc513029229"/>
      <w:bookmarkStart w:id="97" w:name="_Toc20823301"/>
      <w:bookmarkStart w:id="98" w:name="_Toc16938545"/>
      <w:r>
        <w:rPr>
          <w:rFonts w:hint="eastAsia" w:eastAsia="宋体"/>
          <w:b/>
          <w:bCs/>
          <w:color w:val="auto"/>
          <w:highlight w:val="none"/>
        </w:rPr>
        <w:t>五、响应文件</w:t>
      </w:r>
      <w:r>
        <w:rPr>
          <w:rFonts w:eastAsia="宋体"/>
          <w:b/>
          <w:bCs/>
          <w:color w:val="auto"/>
          <w:highlight w:val="none"/>
        </w:rPr>
        <w:t>的开启</w:t>
      </w:r>
      <w:r>
        <w:rPr>
          <w:rFonts w:hint="eastAsia" w:eastAsia="宋体"/>
          <w:b/>
          <w:bCs/>
          <w:color w:val="auto"/>
          <w:highlight w:val="none"/>
        </w:rPr>
        <w:t>与</w:t>
      </w:r>
      <w:bookmarkEnd w:id="95"/>
      <w:bookmarkEnd w:id="96"/>
      <w:bookmarkEnd w:id="97"/>
      <w:bookmarkEnd w:id="98"/>
      <w:r>
        <w:rPr>
          <w:rFonts w:hint="eastAsia" w:eastAsia="宋体"/>
          <w:b/>
          <w:bCs/>
          <w:color w:val="auto"/>
          <w:highlight w:val="none"/>
        </w:rPr>
        <w:t>评审</w:t>
      </w:r>
    </w:p>
    <w:p w14:paraId="1F9E5818">
      <w:pPr>
        <w:spacing w:before="120" w:after="120" w:line="420" w:lineRule="exact"/>
        <w:ind w:firstLine="488"/>
        <w:outlineLvl w:val="2"/>
        <w:rPr>
          <w:rFonts w:eastAsia="宋体"/>
          <w:b/>
          <w:bCs/>
          <w:color w:val="auto"/>
          <w:highlight w:val="none"/>
        </w:rPr>
      </w:pPr>
      <w:bookmarkStart w:id="99" w:name="_Toc16938546"/>
      <w:bookmarkStart w:id="100" w:name="_Toc20823302"/>
      <w:bookmarkStart w:id="101" w:name="_Toc513029230"/>
      <w:r>
        <w:rPr>
          <w:rFonts w:hint="eastAsia" w:eastAsia="宋体"/>
          <w:b/>
          <w:bCs/>
          <w:color w:val="auto"/>
          <w:highlight w:val="none"/>
        </w:rPr>
        <w:t>2</w:t>
      </w:r>
      <w:bookmarkEnd w:id="99"/>
      <w:bookmarkEnd w:id="100"/>
      <w:bookmarkEnd w:id="101"/>
      <w:r>
        <w:rPr>
          <w:rFonts w:hint="eastAsia" w:eastAsia="宋体"/>
          <w:b/>
          <w:bCs/>
          <w:color w:val="auto"/>
          <w:highlight w:val="none"/>
        </w:rPr>
        <w:t>0．响应</w:t>
      </w:r>
      <w:r>
        <w:rPr>
          <w:rFonts w:eastAsia="宋体"/>
          <w:b/>
          <w:bCs/>
          <w:color w:val="auto"/>
          <w:highlight w:val="none"/>
        </w:rPr>
        <w:t>文件的开启</w:t>
      </w:r>
    </w:p>
    <w:p w14:paraId="1BD0BE43">
      <w:pPr>
        <w:spacing w:line="420" w:lineRule="exact"/>
        <w:ind w:firstLine="485"/>
        <w:rPr>
          <w:rFonts w:eastAsia="宋体"/>
          <w:color w:val="auto"/>
          <w:highlight w:val="none"/>
        </w:rPr>
      </w:pPr>
      <w:r>
        <w:rPr>
          <w:rFonts w:hint="eastAsia" w:eastAsia="宋体"/>
          <w:color w:val="auto"/>
          <w:highlight w:val="none"/>
        </w:rPr>
        <w:t>20.1 采购代理机构将在征集公告中规定的时间和地点组织开启响应文件。供应商应当按照《操作手册》规定，参加响应文件开启和在“苏采云”系统规定的时间（30分钟）内对电子响应文件进行解密。</w:t>
      </w:r>
    </w:p>
    <w:p w14:paraId="6FEF2999">
      <w:pPr>
        <w:spacing w:line="420" w:lineRule="exact"/>
        <w:ind w:firstLine="485"/>
        <w:rPr>
          <w:rFonts w:eastAsia="宋体"/>
          <w:color w:val="auto"/>
          <w:highlight w:val="none"/>
        </w:rPr>
      </w:pPr>
      <w:r>
        <w:rPr>
          <w:rFonts w:hint="eastAsia" w:eastAsia="宋体"/>
          <w:color w:val="auto"/>
          <w:highlight w:val="none"/>
        </w:rPr>
        <w:t>20.2响应文件开启仪式由采购代理机构组织, “苏采云”系统将自动公布各供应商的报价。</w:t>
      </w:r>
    </w:p>
    <w:p w14:paraId="2483F335">
      <w:pPr>
        <w:spacing w:line="420" w:lineRule="exact"/>
        <w:ind w:firstLine="485"/>
        <w:rPr>
          <w:rFonts w:eastAsia="宋体"/>
          <w:color w:val="auto"/>
          <w:highlight w:val="none"/>
        </w:rPr>
      </w:pPr>
      <w:r>
        <w:rPr>
          <w:rFonts w:hint="eastAsia" w:eastAsia="宋体"/>
          <w:color w:val="auto"/>
          <w:highlight w:val="none"/>
        </w:rPr>
        <w:t>20.3供应商在响应文件开启过程中涉及到的响应文件解密、结果确认等工作，应按照《操作手册》规定执行。</w:t>
      </w:r>
    </w:p>
    <w:p w14:paraId="12BE9BD9">
      <w:pPr>
        <w:spacing w:line="420" w:lineRule="exact"/>
        <w:ind w:firstLine="485"/>
        <w:rPr>
          <w:rFonts w:eastAsia="宋体"/>
          <w:color w:val="auto"/>
          <w:highlight w:val="none"/>
        </w:rPr>
      </w:pPr>
      <w:r>
        <w:rPr>
          <w:rFonts w:hint="eastAsia" w:eastAsia="宋体"/>
          <w:color w:val="auto"/>
          <w:highlight w:val="none"/>
        </w:rPr>
        <w:t>20.4供应商如果对响应文件开启过程和开启记录有疑义，应当根据《操作手册》规定提出，如“苏采云”系统中《报价记录表》宣布后5分钟内未提出的，视同认可开启结果。</w:t>
      </w:r>
    </w:p>
    <w:p w14:paraId="1110F3C2">
      <w:pPr>
        <w:spacing w:before="120" w:after="120" w:line="420" w:lineRule="exact"/>
        <w:ind w:firstLine="488"/>
        <w:outlineLvl w:val="2"/>
        <w:rPr>
          <w:rFonts w:eastAsia="宋体"/>
          <w:b/>
          <w:bCs/>
          <w:color w:val="auto"/>
          <w:highlight w:val="none"/>
        </w:rPr>
      </w:pPr>
      <w:bookmarkStart w:id="102" w:name="_Toc20823303"/>
      <w:bookmarkStart w:id="103" w:name="_Toc513029231"/>
      <w:bookmarkStart w:id="104" w:name="_Toc16938547"/>
      <w:r>
        <w:rPr>
          <w:rFonts w:hint="eastAsia" w:eastAsia="宋体"/>
          <w:b/>
          <w:bCs/>
          <w:color w:val="auto"/>
          <w:highlight w:val="none"/>
        </w:rPr>
        <w:t>21．评审小组</w:t>
      </w:r>
    </w:p>
    <w:p w14:paraId="0FAB41AF">
      <w:pPr>
        <w:spacing w:line="420" w:lineRule="exact"/>
        <w:ind w:firstLine="488"/>
        <w:rPr>
          <w:rFonts w:eastAsia="宋体"/>
          <w:color w:val="auto"/>
          <w:highlight w:val="none"/>
        </w:rPr>
      </w:pPr>
      <w:r>
        <w:rPr>
          <w:rFonts w:hint="eastAsia" w:eastAsia="宋体"/>
          <w:color w:val="auto"/>
          <w:highlight w:val="none"/>
        </w:rPr>
        <w:t>21.1响应文件开启后，采购代理机构将立即组织评审小组进行项目评审。</w:t>
      </w:r>
    </w:p>
    <w:p w14:paraId="11AA1CC9">
      <w:pPr>
        <w:spacing w:line="420" w:lineRule="exact"/>
        <w:ind w:firstLine="488"/>
        <w:rPr>
          <w:rFonts w:eastAsia="宋体"/>
          <w:color w:val="auto"/>
          <w:highlight w:val="none"/>
        </w:rPr>
      </w:pPr>
      <w:r>
        <w:rPr>
          <w:rFonts w:hint="eastAsia" w:eastAsia="宋体"/>
          <w:color w:val="auto"/>
          <w:highlight w:val="none"/>
        </w:rPr>
        <w:t>21.2 评审小组由技术、经济等方面的专家组成，由符合政府采购有关规定的人员构成。</w:t>
      </w:r>
    </w:p>
    <w:p w14:paraId="5A97B82A">
      <w:pPr>
        <w:spacing w:line="420" w:lineRule="exact"/>
        <w:ind w:firstLine="488"/>
        <w:rPr>
          <w:rFonts w:eastAsia="宋体"/>
          <w:color w:val="auto"/>
          <w:highlight w:val="none"/>
        </w:rPr>
      </w:pPr>
      <w:r>
        <w:rPr>
          <w:rFonts w:hint="eastAsia" w:eastAsia="宋体"/>
          <w:color w:val="auto"/>
          <w:highlight w:val="none"/>
        </w:rPr>
        <w:t>21.3评审小组独立工作，负责评审所有响应文件并确定入围供应商。</w:t>
      </w:r>
    </w:p>
    <w:p w14:paraId="7D2DF61E">
      <w:pPr>
        <w:spacing w:before="120" w:after="120" w:line="420" w:lineRule="exact"/>
        <w:ind w:firstLine="488"/>
        <w:outlineLvl w:val="2"/>
        <w:rPr>
          <w:rFonts w:eastAsia="宋体"/>
          <w:b/>
          <w:bCs/>
          <w:color w:val="auto"/>
          <w:highlight w:val="none"/>
        </w:rPr>
      </w:pPr>
      <w:r>
        <w:rPr>
          <w:rFonts w:hint="eastAsia" w:eastAsia="宋体"/>
          <w:b/>
          <w:bCs/>
          <w:color w:val="auto"/>
          <w:highlight w:val="none"/>
        </w:rPr>
        <w:t>22．评审过程的保密与公正</w:t>
      </w:r>
      <w:bookmarkEnd w:id="102"/>
      <w:bookmarkEnd w:id="103"/>
      <w:bookmarkEnd w:id="104"/>
    </w:p>
    <w:p w14:paraId="24F06067">
      <w:pPr>
        <w:spacing w:line="420" w:lineRule="exact"/>
        <w:ind w:firstLine="485"/>
        <w:rPr>
          <w:rFonts w:eastAsia="宋体"/>
          <w:color w:val="auto"/>
          <w:highlight w:val="none"/>
        </w:rPr>
      </w:pPr>
      <w:r>
        <w:rPr>
          <w:rFonts w:hint="eastAsia" w:eastAsia="宋体"/>
          <w:color w:val="auto"/>
          <w:highlight w:val="none"/>
        </w:rPr>
        <w:t>22.1凡是与审查、澄清、评价和比较的有关资料以及授标建议等，评审小组成员、采购代理机构均不得向供应商或与评审工作无关的其他人员透露。</w:t>
      </w:r>
    </w:p>
    <w:p w14:paraId="58D5DB18">
      <w:pPr>
        <w:spacing w:line="420" w:lineRule="exact"/>
        <w:ind w:firstLine="485"/>
        <w:rPr>
          <w:rFonts w:eastAsia="宋体"/>
          <w:color w:val="auto"/>
          <w:highlight w:val="none"/>
        </w:rPr>
      </w:pPr>
      <w:r>
        <w:rPr>
          <w:rFonts w:hint="eastAsia" w:eastAsia="宋体"/>
          <w:color w:val="auto"/>
          <w:highlight w:val="none"/>
        </w:rPr>
        <w:t>22.2在评审过程中，供应商不得以任何行为影响评审过程，否则其响应文件将被作为无效响应文件。</w:t>
      </w:r>
    </w:p>
    <w:p w14:paraId="4F805052">
      <w:pPr>
        <w:spacing w:line="420" w:lineRule="exact"/>
        <w:ind w:firstLine="485"/>
        <w:rPr>
          <w:rFonts w:eastAsia="宋体"/>
          <w:color w:val="auto"/>
          <w:highlight w:val="none"/>
        </w:rPr>
      </w:pPr>
      <w:r>
        <w:rPr>
          <w:rFonts w:hint="eastAsia" w:eastAsia="宋体"/>
          <w:color w:val="auto"/>
          <w:highlight w:val="none"/>
        </w:rPr>
        <w:t>22.3在评审期间，采购代理机构将设专门人员与供应商联系。</w:t>
      </w:r>
    </w:p>
    <w:p w14:paraId="7569D347">
      <w:pPr>
        <w:spacing w:before="120" w:after="120" w:line="420" w:lineRule="exact"/>
        <w:ind w:firstLine="488"/>
        <w:outlineLvl w:val="2"/>
        <w:rPr>
          <w:rFonts w:eastAsia="宋体"/>
          <w:b/>
          <w:bCs/>
          <w:color w:val="auto"/>
          <w:highlight w:val="none"/>
        </w:rPr>
      </w:pPr>
      <w:bookmarkStart w:id="105" w:name="_Toc20823304"/>
      <w:bookmarkStart w:id="106" w:name="_Toc16938548"/>
      <w:bookmarkStart w:id="107" w:name="_Toc513029232"/>
      <w:r>
        <w:rPr>
          <w:rFonts w:hint="eastAsia" w:eastAsia="宋体"/>
          <w:b/>
          <w:bCs/>
          <w:color w:val="auto"/>
          <w:highlight w:val="none"/>
        </w:rPr>
        <w:t>23．响应文件的澄清</w:t>
      </w:r>
      <w:bookmarkEnd w:id="105"/>
      <w:bookmarkEnd w:id="106"/>
      <w:bookmarkEnd w:id="107"/>
    </w:p>
    <w:p w14:paraId="0B106679">
      <w:pPr>
        <w:spacing w:line="420" w:lineRule="exact"/>
        <w:ind w:firstLine="485"/>
        <w:rPr>
          <w:rFonts w:eastAsia="宋体"/>
          <w:color w:val="auto"/>
          <w:highlight w:val="none"/>
        </w:rPr>
      </w:pPr>
      <w:bookmarkStart w:id="108" w:name="_Toc513029233"/>
      <w:bookmarkStart w:id="109" w:name="_Toc20823305"/>
      <w:bookmarkStart w:id="110" w:name="_Toc16938549"/>
      <w:r>
        <w:rPr>
          <w:rFonts w:hint="eastAsia" w:eastAsia="宋体"/>
          <w:color w:val="auto"/>
          <w:highlight w:val="none"/>
        </w:rPr>
        <w:t>23.1评审期间，对于响应文件中含义不明确、同类问题表述不一致或者有明显文字和计算错误的内容，评审小组将在“苏采云”系统中要求供应商做出必要的澄清、说明和补正。</w:t>
      </w:r>
    </w:p>
    <w:p w14:paraId="25A8533D">
      <w:pPr>
        <w:spacing w:line="420" w:lineRule="exact"/>
        <w:ind w:firstLine="485"/>
        <w:rPr>
          <w:rFonts w:eastAsia="宋体"/>
          <w:color w:val="auto"/>
          <w:highlight w:val="none"/>
        </w:rPr>
      </w:pPr>
      <w:r>
        <w:rPr>
          <w:rFonts w:hint="eastAsia" w:eastAsia="宋体"/>
          <w:color w:val="auto"/>
          <w:highlight w:val="none"/>
        </w:rPr>
        <w:t>23.2收到评审小组澄清、说明和补正要求的供应商应派人按评审小组规定的时间和格式在“苏采云”系统中做出澄清、说明和补正，并加盖CA电子公章。澄清、说明或者补正不得超出征集文件的范围或者改变响应文件的实质性内容。具体操作方式见《操作手册》。</w:t>
      </w:r>
    </w:p>
    <w:p w14:paraId="1B3740EC">
      <w:pPr>
        <w:spacing w:line="420" w:lineRule="exact"/>
        <w:ind w:firstLine="485"/>
        <w:rPr>
          <w:rFonts w:eastAsia="宋体"/>
          <w:color w:val="auto"/>
          <w:highlight w:val="none"/>
        </w:rPr>
      </w:pPr>
      <w:r>
        <w:rPr>
          <w:rFonts w:hint="eastAsia" w:eastAsia="宋体"/>
          <w:color w:val="auto"/>
          <w:highlight w:val="none"/>
        </w:rPr>
        <w:t>23.3供应商如未按规定做出澄清、说明和补正，其风险由供应商自行承担。</w:t>
      </w:r>
    </w:p>
    <w:p w14:paraId="387526E3">
      <w:pPr>
        <w:spacing w:before="120" w:after="120" w:line="420" w:lineRule="exact"/>
        <w:ind w:firstLine="488"/>
        <w:outlineLvl w:val="2"/>
        <w:rPr>
          <w:rFonts w:eastAsia="宋体"/>
          <w:b/>
          <w:bCs/>
          <w:color w:val="auto"/>
          <w:highlight w:val="none"/>
        </w:rPr>
      </w:pPr>
      <w:r>
        <w:rPr>
          <w:rFonts w:hint="eastAsia" w:eastAsia="宋体"/>
          <w:b/>
          <w:bCs/>
          <w:color w:val="auto"/>
          <w:highlight w:val="none"/>
        </w:rPr>
        <w:t>24．对响应文件的初审</w:t>
      </w:r>
      <w:bookmarkEnd w:id="108"/>
      <w:bookmarkEnd w:id="109"/>
      <w:bookmarkEnd w:id="110"/>
    </w:p>
    <w:p w14:paraId="35842989">
      <w:pPr>
        <w:spacing w:line="420" w:lineRule="exact"/>
        <w:ind w:firstLine="485"/>
        <w:rPr>
          <w:rFonts w:eastAsia="宋体"/>
          <w:color w:val="auto"/>
          <w:highlight w:val="none"/>
        </w:rPr>
      </w:pPr>
      <w:r>
        <w:rPr>
          <w:rFonts w:hint="eastAsia" w:eastAsia="宋体"/>
          <w:color w:val="auto"/>
          <w:highlight w:val="none"/>
        </w:rPr>
        <w:t>24.1响应文件初审分为资格审查和符合性审查。</w:t>
      </w:r>
    </w:p>
    <w:p w14:paraId="4EDD34A2">
      <w:pPr>
        <w:spacing w:line="420" w:lineRule="exact"/>
        <w:ind w:firstLine="485"/>
        <w:rPr>
          <w:rFonts w:eastAsia="宋体"/>
          <w:color w:val="auto"/>
          <w:highlight w:val="none"/>
        </w:rPr>
      </w:pPr>
      <w:r>
        <w:rPr>
          <w:rFonts w:hint="eastAsia" w:eastAsia="宋体"/>
          <w:color w:val="auto"/>
          <w:highlight w:val="none"/>
        </w:rPr>
        <w:t>24.1.1 资格审查：依据法律法规和征集文件规定的资格要求对供应商的资格证明文件进行审查。</w:t>
      </w:r>
    </w:p>
    <w:p w14:paraId="4FB9BCEE">
      <w:pPr>
        <w:spacing w:line="420" w:lineRule="exact"/>
        <w:ind w:firstLine="485"/>
        <w:rPr>
          <w:rFonts w:eastAsia="宋体"/>
          <w:color w:val="auto"/>
          <w:highlight w:val="none"/>
        </w:rPr>
      </w:pPr>
      <w:r>
        <w:rPr>
          <w:rFonts w:hint="eastAsia" w:eastAsia="宋体"/>
          <w:color w:val="auto"/>
          <w:highlight w:val="none"/>
        </w:rPr>
        <w:t>在进行资格审查的同时，采购代理机构将在“信用中国”网站（www.creditchina.gov.cn）查询供应商的信用记录，以确定供应商是否具备参加本次采购活动的资格。查询结果将以网页打印的形式留存并归档。</w:t>
      </w:r>
    </w:p>
    <w:p w14:paraId="5A3DF2EC">
      <w:pPr>
        <w:spacing w:line="420" w:lineRule="exact"/>
        <w:ind w:firstLine="485"/>
        <w:rPr>
          <w:rFonts w:eastAsia="宋体"/>
          <w:color w:val="auto"/>
          <w:highlight w:val="none"/>
        </w:rPr>
      </w:pPr>
      <w:r>
        <w:rPr>
          <w:rFonts w:hint="eastAsia" w:eastAsia="宋体"/>
          <w:color w:val="auto"/>
          <w:highlight w:val="none"/>
        </w:rPr>
        <w:t>24.1.2 符合性审查：依据征集活动的规定，由评审小组从响应文件的有效性、完整性和对征集文件的响应程度进行审查，以确定是否对征集文件的实质性要求做出响应。</w:t>
      </w:r>
    </w:p>
    <w:p w14:paraId="05E480DA">
      <w:pPr>
        <w:spacing w:line="420" w:lineRule="exact"/>
        <w:ind w:firstLine="485"/>
        <w:rPr>
          <w:rFonts w:eastAsia="宋体"/>
          <w:color w:val="auto"/>
          <w:highlight w:val="none"/>
        </w:rPr>
      </w:pPr>
      <w:r>
        <w:rPr>
          <w:rFonts w:hint="eastAsia" w:eastAsia="宋体"/>
          <w:color w:val="auto"/>
          <w:highlight w:val="none"/>
        </w:rPr>
        <w:t>24.1.3 未通过资格审查或符合性审查的供应商，采购代理机构将在“苏采云”系统中告知未通过资格审查或符合性审查的原因，评审结束后，采购代理机构将不再告知未通过资格审查或符合性审查的原因。</w:t>
      </w:r>
    </w:p>
    <w:p w14:paraId="68CF916B">
      <w:pPr>
        <w:spacing w:line="420" w:lineRule="exact"/>
        <w:ind w:firstLine="485"/>
        <w:rPr>
          <w:rFonts w:eastAsia="宋体"/>
          <w:color w:val="auto"/>
          <w:highlight w:val="none"/>
        </w:rPr>
      </w:pPr>
      <w:r>
        <w:rPr>
          <w:rFonts w:hint="eastAsia" w:eastAsia="宋体"/>
          <w:color w:val="auto"/>
          <w:highlight w:val="none"/>
        </w:rPr>
        <w:t>24.2在详细评审之前，评审小组将首先审查每份响应文件是否实质性响应了征集文件的要求。实质性响应是与征集文件要求的全部条款、条件和规格相符，没有重大偏离或保留的响应。</w:t>
      </w:r>
    </w:p>
    <w:p w14:paraId="69995D40">
      <w:pPr>
        <w:spacing w:line="420" w:lineRule="exact"/>
        <w:ind w:firstLine="485"/>
        <w:rPr>
          <w:rFonts w:eastAsia="宋体"/>
          <w:color w:val="auto"/>
          <w:highlight w:val="none"/>
        </w:rPr>
      </w:pPr>
      <w:r>
        <w:rPr>
          <w:rFonts w:hint="eastAsia" w:eastAsia="宋体"/>
          <w:color w:val="auto"/>
          <w:highlight w:val="none"/>
        </w:rPr>
        <w:t>所谓重大偏离或保留是指与征集文件规定的实质性要求存在负偏离，或者在实质上与征集文件不一致，而且限制了框架协议中征集人的权利或入围供应商的义务，纠正这些偏离或保留将会对其他实质性响应要求的供应商的竞争地位产生不公正的影响。</w:t>
      </w:r>
    </w:p>
    <w:p w14:paraId="5BA151EF">
      <w:pPr>
        <w:spacing w:line="420" w:lineRule="exact"/>
        <w:ind w:firstLine="485"/>
        <w:rPr>
          <w:rFonts w:eastAsia="宋体"/>
          <w:color w:val="auto"/>
          <w:highlight w:val="none"/>
        </w:rPr>
      </w:pPr>
      <w:r>
        <w:rPr>
          <w:rFonts w:hint="eastAsia" w:eastAsia="宋体"/>
          <w:color w:val="auto"/>
          <w:highlight w:val="none"/>
        </w:rPr>
        <w:t>重大偏离的认定需经过评审小组以少数服从多数的原则做出结论。</w:t>
      </w:r>
    </w:p>
    <w:p w14:paraId="72E3C9B7">
      <w:pPr>
        <w:spacing w:line="420" w:lineRule="exact"/>
        <w:ind w:firstLine="485"/>
        <w:rPr>
          <w:rFonts w:eastAsia="宋体"/>
          <w:color w:val="auto"/>
          <w:highlight w:val="none"/>
        </w:rPr>
      </w:pPr>
      <w:r>
        <w:rPr>
          <w:rFonts w:hint="eastAsia" w:eastAsia="宋体"/>
          <w:color w:val="auto"/>
          <w:highlight w:val="none"/>
        </w:rPr>
        <w:t>评审小组决定响应文件的响应性，只根据响应文件本身的内容，而不寻求外部的证据。</w:t>
      </w:r>
    </w:p>
    <w:p w14:paraId="3B5806D8">
      <w:pPr>
        <w:spacing w:line="420" w:lineRule="exact"/>
        <w:ind w:firstLine="485"/>
        <w:rPr>
          <w:rFonts w:eastAsia="宋体"/>
          <w:color w:val="auto"/>
          <w:highlight w:val="none"/>
        </w:rPr>
      </w:pPr>
      <w:r>
        <w:rPr>
          <w:rFonts w:hint="eastAsia" w:eastAsia="宋体"/>
          <w:color w:val="auto"/>
          <w:highlight w:val="none"/>
        </w:rPr>
        <w:t>24.3如果响应文件实质上没有响应征集文件的要求，评审小组将予以拒绝，供应商不得通过修改或撤销不合要求的偏离或保留而使其响应文件成为实质性响应文件。</w:t>
      </w:r>
    </w:p>
    <w:p w14:paraId="71E7E6CF">
      <w:pPr>
        <w:spacing w:line="420" w:lineRule="exact"/>
        <w:ind w:firstLine="485"/>
        <w:rPr>
          <w:rFonts w:eastAsia="宋体"/>
          <w:color w:val="auto"/>
          <w:highlight w:val="none"/>
        </w:rPr>
      </w:pPr>
      <w:r>
        <w:rPr>
          <w:rFonts w:hint="eastAsia" w:eastAsia="宋体"/>
          <w:color w:val="auto"/>
          <w:highlight w:val="none"/>
        </w:rPr>
        <w:t>24.4评审小组将允许修正响应文件中不构成重大偏离的、微小的、非正规的、不一致的或不规则的地方，但这些修改不能影响任何供应商的名次排列。</w:t>
      </w:r>
    </w:p>
    <w:p w14:paraId="044F5160">
      <w:pPr>
        <w:spacing w:line="420" w:lineRule="exact"/>
        <w:ind w:firstLine="485"/>
        <w:rPr>
          <w:rFonts w:eastAsia="宋体"/>
          <w:color w:val="auto"/>
          <w:highlight w:val="none"/>
        </w:rPr>
      </w:pPr>
      <w:bookmarkStart w:id="111" w:name="_Toc20823306"/>
      <w:bookmarkStart w:id="112" w:name="_Toc513029234"/>
      <w:bookmarkStart w:id="113" w:name="_Toc16938550"/>
      <w:r>
        <w:rPr>
          <w:rFonts w:hint="eastAsia" w:eastAsia="宋体"/>
          <w:color w:val="auto"/>
          <w:highlight w:val="none"/>
        </w:rPr>
        <w:t>24.5 供应商在响应文件开启及项目评审全过程中应保持通讯畅通，及时登录“苏采云”系统查阅、答复相关信息，并安排专人与采购代理机构及评审小组联系。</w:t>
      </w:r>
    </w:p>
    <w:p w14:paraId="54F4CCD7">
      <w:pPr>
        <w:spacing w:before="120" w:after="120" w:line="420" w:lineRule="exact"/>
        <w:ind w:firstLine="488"/>
        <w:outlineLvl w:val="2"/>
        <w:rPr>
          <w:rFonts w:eastAsia="宋体"/>
          <w:b/>
          <w:bCs/>
          <w:color w:val="auto"/>
          <w:highlight w:val="none"/>
        </w:rPr>
      </w:pPr>
      <w:r>
        <w:rPr>
          <w:rFonts w:hint="eastAsia" w:eastAsia="宋体"/>
          <w:b/>
          <w:bCs/>
          <w:color w:val="auto"/>
          <w:highlight w:val="none"/>
        </w:rPr>
        <w:t>2</w:t>
      </w:r>
      <w:bookmarkEnd w:id="111"/>
      <w:bookmarkEnd w:id="112"/>
      <w:bookmarkEnd w:id="113"/>
      <w:r>
        <w:rPr>
          <w:rFonts w:hint="eastAsia" w:eastAsia="宋体"/>
          <w:b/>
          <w:bCs/>
          <w:color w:val="auto"/>
          <w:highlight w:val="none"/>
        </w:rPr>
        <w:t>5．无效响应条款和采购活动终止条款</w:t>
      </w:r>
    </w:p>
    <w:p w14:paraId="5AAF09C3">
      <w:pPr>
        <w:spacing w:line="420" w:lineRule="exact"/>
        <w:ind w:firstLine="485"/>
        <w:rPr>
          <w:rFonts w:eastAsia="宋体"/>
          <w:color w:val="auto"/>
          <w:highlight w:val="none"/>
        </w:rPr>
      </w:pPr>
      <w:bookmarkStart w:id="114" w:name="_Toc120614219"/>
      <w:bookmarkStart w:id="115" w:name="_Toc513029235"/>
      <w:bookmarkStart w:id="116" w:name="_Toc20823307"/>
      <w:bookmarkStart w:id="117" w:name="_Toc16938551"/>
      <w:r>
        <w:rPr>
          <w:rFonts w:hint="eastAsia" w:eastAsia="宋体"/>
          <w:color w:val="auto"/>
          <w:highlight w:val="none"/>
        </w:rPr>
        <w:t>25.1无效响应条款</w:t>
      </w:r>
    </w:p>
    <w:p w14:paraId="7A9A440F">
      <w:pPr>
        <w:spacing w:line="420" w:lineRule="exact"/>
        <w:ind w:firstLine="485"/>
        <w:rPr>
          <w:rFonts w:eastAsia="宋体"/>
          <w:color w:val="auto"/>
          <w:highlight w:val="none"/>
        </w:rPr>
      </w:pPr>
      <w:r>
        <w:rPr>
          <w:rFonts w:hint="eastAsia" w:eastAsia="宋体"/>
          <w:color w:val="auto"/>
          <w:highlight w:val="none"/>
        </w:rPr>
        <w:t>25.1.1供应商在“苏采云”系统规定的时间内未成功解密电子响应文件的。</w:t>
      </w:r>
    </w:p>
    <w:p w14:paraId="11519F9B">
      <w:pPr>
        <w:spacing w:line="420" w:lineRule="exact"/>
        <w:ind w:firstLine="488"/>
        <w:rPr>
          <w:rFonts w:eastAsia="宋体"/>
          <w:color w:val="auto"/>
          <w:highlight w:val="none"/>
        </w:rPr>
      </w:pPr>
      <w:r>
        <w:rPr>
          <w:rFonts w:hint="eastAsia" w:eastAsia="宋体"/>
          <w:color w:val="auto"/>
          <w:highlight w:val="none"/>
        </w:rPr>
        <w:t>25.1.2 供应商未按照征集文件要求上传电子响应文件的。</w:t>
      </w:r>
    </w:p>
    <w:p w14:paraId="5E7AEF63">
      <w:pPr>
        <w:spacing w:line="420" w:lineRule="exact"/>
        <w:ind w:firstLine="488"/>
        <w:rPr>
          <w:rFonts w:eastAsia="宋体"/>
          <w:color w:val="auto"/>
          <w:highlight w:val="none"/>
        </w:rPr>
      </w:pPr>
      <w:r>
        <w:rPr>
          <w:rFonts w:hint="eastAsia" w:eastAsia="宋体"/>
          <w:color w:val="auto"/>
          <w:highlight w:val="none"/>
        </w:rPr>
        <w:t>25.1.3供应商不具备征集文件中规定资格要求的。</w:t>
      </w:r>
    </w:p>
    <w:p w14:paraId="577EABA0">
      <w:pPr>
        <w:spacing w:line="420" w:lineRule="exact"/>
        <w:ind w:firstLine="488"/>
        <w:rPr>
          <w:rFonts w:eastAsia="宋体"/>
          <w:color w:val="auto"/>
          <w:highlight w:val="none"/>
        </w:rPr>
      </w:pPr>
      <w:r>
        <w:rPr>
          <w:rFonts w:hint="eastAsia" w:eastAsia="宋体"/>
          <w:color w:val="auto"/>
          <w:highlight w:val="none"/>
        </w:rPr>
        <w:t>25.1.4供应商未通过符合性审查的。</w:t>
      </w:r>
    </w:p>
    <w:p w14:paraId="60F30620">
      <w:pPr>
        <w:spacing w:line="420" w:lineRule="exact"/>
        <w:ind w:firstLine="488"/>
        <w:rPr>
          <w:rFonts w:eastAsia="宋体"/>
          <w:color w:val="auto"/>
          <w:highlight w:val="none"/>
        </w:rPr>
      </w:pPr>
      <w:r>
        <w:rPr>
          <w:rFonts w:hint="eastAsia" w:eastAsia="宋体"/>
          <w:color w:val="auto"/>
          <w:highlight w:val="none"/>
        </w:rPr>
        <w:t>25.1.5不符合征集文件中规定的实质性要求和条件的。</w:t>
      </w:r>
    </w:p>
    <w:p w14:paraId="6886669C">
      <w:pPr>
        <w:spacing w:line="420" w:lineRule="exact"/>
        <w:ind w:firstLine="488"/>
        <w:rPr>
          <w:rFonts w:eastAsia="宋体"/>
          <w:color w:val="auto"/>
          <w:highlight w:val="none"/>
        </w:rPr>
      </w:pPr>
      <w:r>
        <w:rPr>
          <w:rFonts w:hint="eastAsia" w:eastAsia="宋体"/>
          <w:color w:val="auto"/>
          <w:highlight w:val="none"/>
        </w:rPr>
        <w:t>25.1.6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9861E83">
      <w:pPr>
        <w:spacing w:line="420" w:lineRule="exact"/>
        <w:ind w:firstLine="488"/>
        <w:rPr>
          <w:rFonts w:eastAsia="宋体"/>
          <w:color w:val="auto"/>
          <w:highlight w:val="none"/>
        </w:rPr>
      </w:pPr>
      <w:r>
        <w:rPr>
          <w:rFonts w:hint="eastAsia" w:eastAsia="宋体"/>
          <w:color w:val="auto"/>
          <w:highlight w:val="none"/>
        </w:rPr>
        <w:t>25.1.7 响应文件含有征集人不能接受的附加条件的。</w:t>
      </w:r>
    </w:p>
    <w:p w14:paraId="62738A00">
      <w:pPr>
        <w:spacing w:line="420" w:lineRule="exact"/>
        <w:ind w:firstLine="488"/>
        <w:rPr>
          <w:rFonts w:eastAsia="宋体"/>
          <w:color w:val="auto"/>
          <w:highlight w:val="none"/>
        </w:rPr>
      </w:pPr>
      <w:r>
        <w:rPr>
          <w:rFonts w:hint="eastAsia" w:eastAsia="宋体"/>
          <w:color w:val="auto"/>
          <w:highlight w:val="none"/>
        </w:rPr>
        <w:t>25.1.8 响应文件未按照征集文件要求加盖电子签章。</w:t>
      </w:r>
    </w:p>
    <w:p w14:paraId="09ED55FF">
      <w:pPr>
        <w:spacing w:line="420" w:lineRule="exact"/>
        <w:ind w:firstLine="488"/>
        <w:rPr>
          <w:rFonts w:eastAsia="宋体"/>
          <w:color w:val="auto"/>
          <w:highlight w:val="none"/>
        </w:rPr>
      </w:pPr>
      <w:r>
        <w:rPr>
          <w:rFonts w:hint="eastAsia" w:eastAsia="宋体"/>
          <w:color w:val="auto"/>
          <w:highlight w:val="none"/>
        </w:rPr>
        <w:t>25.1.9 其他法律、法规及本征集文件规定的属无效响应的情形。</w:t>
      </w:r>
    </w:p>
    <w:p w14:paraId="504F922A">
      <w:pPr>
        <w:spacing w:line="420" w:lineRule="exact"/>
        <w:ind w:firstLine="488"/>
        <w:rPr>
          <w:rFonts w:eastAsia="宋体"/>
          <w:color w:val="auto"/>
          <w:highlight w:val="none"/>
        </w:rPr>
      </w:pPr>
      <w:r>
        <w:rPr>
          <w:rFonts w:hint="eastAsia" w:eastAsia="宋体"/>
          <w:color w:val="auto"/>
          <w:highlight w:val="none"/>
        </w:rPr>
        <w:t>25.2采购活动终止条款</w:t>
      </w:r>
    </w:p>
    <w:p w14:paraId="74D0B5E5">
      <w:pPr>
        <w:spacing w:line="420" w:lineRule="exact"/>
        <w:ind w:firstLine="485"/>
        <w:rPr>
          <w:rFonts w:eastAsia="宋体"/>
          <w:color w:val="auto"/>
          <w:highlight w:val="none"/>
        </w:rPr>
      </w:pPr>
      <w:r>
        <w:rPr>
          <w:rFonts w:hint="eastAsia" w:eastAsia="宋体"/>
          <w:color w:val="auto"/>
          <w:highlight w:val="none"/>
        </w:rPr>
        <w:t>25.2.1出现影响采购公正的违法、违规行为。</w:t>
      </w:r>
    </w:p>
    <w:p w14:paraId="463240E0">
      <w:pPr>
        <w:spacing w:line="420" w:lineRule="exact"/>
        <w:ind w:firstLine="485"/>
        <w:rPr>
          <w:rFonts w:eastAsia="宋体"/>
          <w:color w:val="auto"/>
          <w:highlight w:val="none"/>
        </w:rPr>
      </w:pPr>
      <w:r>
        <w:rPr>
          <w:rFonts w:hint="eastAsia" w:eastAsia="宋体"/>
          <w:color w:val="auto"/>
          <w:highlight w:val="none"/>
        </w:rPr>
        <w:t>25.2.2因重大变故，采购任务取消的。</w:t>
      </w:r>
    </w:p>
    <w:p w14:paraId="28FA28B6">
      <w:pPr>
        <w:spacing w:line="420" w:lineRule="exact"/>
        <w:ind w:firstLine="485"/>
        <w:rPr>
          <w:rFonts w:eastAsia="宋体"/>
          <w:color w:val="auto"/>
          <w:highlight w:val="none"/>
        </w:rPr>
      </w:pPr>
      <w:r>
        <w:rPr>
          <w:rFonts w:hint="eastAsia" w:eastAsia="宋体"/>
          <w:color w:val="auto"/>
          <w:highlight w:val="none"/>
        </w:rPr>
        <w:t>25.2.3评审小组认定征集文件存在歧义、重大缺陷导致评审工作无法进行。</w:t>
      </w:r>
    </w:p>
    <w:p w14:paraId="7094F74E">
      <w:pPr>
        <w:spacing w:line="420" w:lineRule="exact"/>
        <w:ind w:firstLine="485"/>
        <w:rPr>
          <w:rFonts w:eastAsia="宋体"/>
          <w:color w:val="auto"/>
          <w:highlight w:val="none"/>
        </w:rPr>
      </w:pPr>
      <w:r>
        <w:rPr>
          <w:rFonts w:hint="eastAsia" w:eastAsia="宋体"/>
          <w:color w:val="auto"/>
          <w:highlight w:val="none"/>
        </w:rPr>
        <w:t>25.2.4 因“苏采云”系统故障原因造成响应文件开启不成功的。</w:t>
      </w:r>
    </w:p>
    <w:p w14:paraId="0F21A850">
      <w:pPr>
        <w:spacing w:line="420" w:lineRule="exact"/>
        <w:ind w:firstLine="485"/>
        <w:rPr>
          <w:rFonts w:eastAsia="宋体"/>
          <w:color w:val="auto"/>
          <w:highlight w:val="none"/>
        </w:rPr>
      </w:pPr>
      <w:r>
        <w:rPr>
          <w:rFonts w:hint="eastAsia" w:eastAsia="宋体"/>
          <w:color w:val="auto"/>
          <w:highlight w:val="none"/>
        </w:rPr>
        <w:t>25.2.5 提交响应文件和通过资格审查、符合性审查的供应商数量少于2家。</w:t>
      </w:r>
    </w:p>
    <w:p w14:paraId="36E252FE">
      <w:pPr>
        <w:spacing w:before="120" w:after="120" w:line="420" w:lineRule="exact"/>
        <w:ind w:firstLine="488"/>
        <w:outlineLvl w:val="1"/>
        <w:rPr>
          <w:rFonts w:eastAsia="宋体"/>
          <w:b/>
          <w:bCs/>
          <w:color w:val="auto"/>
          <w:highlight w:val="none"/>
        </w:rPr>
      </w:pPr>
      <w:r>
        <w:rPr>
          <w:rFonts w:hint="eastAsia" w:eastAsia="宋体"/>
          <w:b/>
          <w:bCs/>
          <w:color w:val="auto"/>
          <w:highlight w:val="none"/>
        </w:rPr>
        <w:t>六、</w:t>
      </w:r>
      <w:bookmarkEnd w:id="114"/>
      <w:bookmarkEnd w:id="115"/>
      <w:bookmarkEnd w:id="116"/>
      <w:bookmarkEnd w:id="117"/>
      <w:r>
        <w:rPr>
          <w:rFonts w:hint="eastAsia" w:eastAsia="宋体"/>
          <w:b/>
          <w:bCs/>
          <w:color w:val="auto"/>
          <w:highlight w:val="none"/>
        </w:rPr>
        <w:t>入围</w:t>
      </w:r>
    </w:p>
    <w:p w14:paraId="405E0AA4">
      <w:pPr>
        <w:spacing w:before="120" w:after="120" w:line="420" w:lineRule="exact"/>
        <w:ind w:firstLine="488"/>
        <w:outlineLvl w:val="2"/>
        <w:rPr>
          <w:rFonts w:eastAsia="宋体"/>
          <w:b/>
          <w:bCs/>
          <w:color w:val="auto"/>
          <w:highlight w:val="none"/>
        </w:rPr>
      </w:pPr>
      <w:bookmarkStart w:id="118" w:name="_Toc513029238"/>
      <w:bookmarkStart w:id="119" w:name="_Toc20823310"/>
      <w:bookmarkStart w:id="120" w:name="_Toc16938554"/>
      <w:r>
        <w:rPr>
          <w:rFonts w:hint="eastAsia" w:eastAsia="宋体"/>
          <w:b/>
          <w:bCs/>
          <w:color w:val="auto"/>
          <w:highlight w:val="none"/>
        </w:rPr>
        <w:t>2</w:t>
      </w:r>
      <w:bookmarkEnd w:id="118"/>
      <w:r>
        <w:rPr>
          <w:rFonts w:hint="eastAsia" w:eastAsia="宋体"/>
          <w:b/>
          <w:bCs/>
          <w:color w:val="auto"/>
          <w:highlight w:val="none"/>
        </w:rPr>
        <w:t>6．确定</w:t>
      </w:r>
      <w:bookmarkEnd w:id="119"/>
      <w:bookmarkEnd w:id="120"/>
      <w:r>
        <w:rPr>
          <w:rFonts w:hint="eastAsia" w:eastAsia="宋体"/>
          <w:b/>
          <w:bCs/>
          <w:color w:val="auto"/>
          <w:highlight w:val="none"/>
        </w:rPr>
        <w:t>入围供应商</w:t>
      </w:r>
    </w:p>
    <w:p w14:paraId="3E31DC85">
      <w:pPr>
        <w:spacing w:line="420" w:lineRule="exact"/>
        <w:ind w:firstLine="485"/>
        <w:rPr>
          <w:rFonts w:eastAsia="宋体"/>
          <w:color w:val="auto"/>
          <w:highlight w:val="none"/>
        </w:rPr>
      </w:pPr>
      <w:r>
        <w:rPr>
          <w:rFonts w:hint="eastAsia" w:eastAsia="宋体"/>
          <w:color w:val="auto"/>
          <w:highlight w:val="none"/>
        </w:rPr>
        <w:t>26.1入围供应商的选取原则和数量见征集文件第四章规定。</w:t>
      </w:r>
    </w:p>
    <w:p w14:paraId="1CAE0D6E">
      <w:pPr>
        <w:spacing w:line="420" w:lineRule="exact"/>
        <w:ind w:firstLine="485"/>
        <w:rPr>
          <w:rFonts w:eastAsia="宋体"/>
          <w:color w:val="auto"/>
          <w:highlight w:val="none"/>
        </w:rPr>
      </w:pPr>
      <w:r>
        <w:rPr>
          <w:rFonts w:hint="eastAsia" w:eastAsia="宋体"/>
          <w:color w:val="auto"/>
          <w:highlight w:val="none"/>
        </w:rPr>
        <w:t>26.2采购代理机构将在“江苏政府采购网”发布“入围结果公告”，公告期限为1个工作日。</w:t>
      </w:r>
    </w:p>
    <w:p w14:paraId="32DE7A60">
      <w:pPr>
        <w:spacing w:line="420" w:lineRule="exact"/>
        <w:ind w:firstLine="485"/>
        <w:rPr>
          <w:rFonts w:eastAsia="宋体"/>
          <w:color w:val="auto"/>
          <w:highlight w:val="none"/>
        </w:rPr>
      </w:pPr>
      <w:r>
        <w:rPr>
          <w:rFonts w:hint="eastAsia" w:eastAsia="宋体"/>
          <w:color w:val="auto"/>
          <w:highlight w:val="none"/>
        </w:rPr>
        <w:t>26.3入围供应商有下列情形之一，尚未签订框架协议的，取消其入围资格；已经签订框架协议的，解除与其签订的框架协议：</w:t>
      </w:r>
    </w:p>
    <w:p w14:paraId="65FDE7B5">
      <w:pPr>
        <w:spacing w:line="420" w:lineRule="exact"/>
        <w:ind w:firstLine="485"/>
        <w:rPr>
          <w:rFonts w:eastAsia="宋体"/>
          <w:color w:val="auto"/>
          <w:highlight w:val="none"/>
        </w:rPr>
      </w:pPr>
      <w:r>
        <w:rPr>
          <w:rFonts w:hint="eastAsia" w:eastAsia="宋体"/>
          <w:color w:val="auto"/>
          <w:highlight w:val="none"/>
        </w:rPr>
        <w:t>26.3.1恶意串通谋取入围或者合同成交的。</w:t>
      </w:r>
    </w:p>
    <w:p w14:paraId="6147BF3F">
      <w:pPr>
        <w:spacing w:line="420" w:lineRule="exact"/>
        <w:ind w:firstLine="485"/>
        <w:rPr>
          <w:rFonts w:eastAsia="宋体"/>
          <w:color w:val="auto"/>
          <w:highlight w:val="none"/>
        </w:rPr>
      </w:pPr>
      <w:r>
        <w:rPr>
          <w:rFonts w:hint="eastAsia" w:eastAsia="宋体"/>
          <w:color w:val="auto"/>
          <w:highlight w:val="none"/>
        </w:rPr>
        <w:t>26.3.2提供虚假材料谋取入围或者合同成交的。</w:t>
      </w:r>
    </w:p>
    <w:p w14:paraId="1CC6C07D">
      <w:pPr>
        <w:spacing w:line="420" w:lineRule="exact"/>
        <w:ind w:firstLine="485"/>
        <w:rPr>
          <w:rFonts w:eastAsia="宋体"/>
          <w:color w:val="auto"/>
          <w:highlight w:val="none"/>
        </w:rPr>
      </w:pPr>
      <w:r>
        <w:rPr>
          <w:rFonts w:hint="eastAsia" w:eastAsia="宋体"/>
          <w:color w:val="auto"/>
          <w:highlight w:val="none"/>
        </w:rPr>
        <w:t>26.3.3无正当理由拒不接受合同授予的。</w:t>
      </w:r>
    </w:p>
    <w:p w14:paraId="405A0540">
      <w:pPr>
        <w:spacing w:line="420" w:lineRule="exact"/>
        <w:ind w:firstLine="485"/>
        <w:rPr>
          <w:rFonts w:eastAsia="宋体"/>
          <w:color w:val="auto"/>
          <w:highlight w:val="none"/>
        </w:rPr>
      </w:pPr>
      <w:r>
        <w:rPr>
          <w:rFonts w:hint="eastAsia" w:eastAsia="宋体"/>
          <w:color w:val="auto"/>
          <w:highlight w:val="none"/>
        </w:rPr>
        <w:t>26.3.4不履行合同义务或者履行合同义务不符合约定，经征集人要求履行后仍不履行或者仍未按约定履行的。</w:t>
      </w:r>
    </w:p>
    <w:p w14:paraId="33EF6AB6">
      <w:pPr>
        <w:spacing w:line="420" w:lineRule="exact"/>
        <w:ind w:firstLine="485"/>
        <w:rPr>
          <w:rFonts w:eastAsia="宋体"/>
          <w:color w:val="auto"/>
          <w:highlight w:val="none"/>
        </w:rPr>
      </w:pPr>
      <w:r>
        <w:rPr>
          <w:rFonts w:hint="eastAsia" w:eastAsia="宋体"/>
          <w:color w:val="auto"/>
          <w:highlight w:val="none"/>
        </w:rPr>
        <w:t>26.3.5框架协议有效期内，因违法行为被禁止或限制参加政府采购活动的。</w:t>
      </w:r>
    </w:p>
    <w:p w14:paraId="1C17C252">
      <w:pPr>
        <w:spacing w:line="420" w:lineRule="exact"/>
        <w:ind w:firstLine="485"/>
        <w:rPr>
          <w:rFonts w:eastAsia="宋体"/>
          <w:color w:val="auto"/>
          <w:highlight w:val="none"/>
        </w:rPr>
      </w:pPr>
      <w:r>
        <w:rPr>
          <w:rFonts w:hint="eastAsia" w:eastAsia="宋体"/>
          <w:color w:val="auto"/>
          <w:highlight w:val="none"/>
        </w:rPr>
        <w:t>26.3.6 框架协议约定的其他情形。</w:t>
      </w:r>
    </w:p>
    <w:p w14:paraId="3141C371">
      <w:pPr>
        <w:spacing w:line="420" w:lineRule="exact"/>
        <w:ind w:firstLine="485"/>
        <w:rPr>
          <w:rFonts w:eastAsia="宋体"/>
          <w:color w:val="auto"/>
          <w:highlight w:val="none"/>
        </w:rPr>
      </w:pPr>
      <w:r>
        <w:rPr>
          <w:rFonts w:hint="eastAsia" w:eastAsia="宋体"/>
          <w:color w:val="auto"/>
          <w:highlight w:val="none"/>
        </w:rPr>
        <w:t>被取消入围资格或者被解除框架协议的供应商不得参加同一封闭式框架协议补充征集（本项目不涉及）。</w:t>
      </w:r>
    </w:p>
    <w:p w14:paraId="32FBD8B1">
      <w:pPr>
        <w:spacing w:line="420" w:lineRule="exact"/>
        <w:ind w:firstLine="485"/>
        <w:rPr>
          <w:rFonts w:eastAsia="宋体"/>
          <w:color w:val="auto"/>
          <w:highlight w:val="none"/>
        </w:rPr>
      </w:pPr>
      <w:r>
        <w:rPr>
          <w:rFonts w:hint="eastAsia" w:eastAsia="宋体"/>
          <w:color w:val="auto"/>
          <w:highlight w:val="none"/>
        </w:rPr>
        <w:t>26.4入围供应商在2年内应当以不高于其报价的价格向适用框架协议的征集人供应专用耗材（如果有）。</w:t>
      </w:r>
    </w:p>
    <w:p w14:paraId="2E4C5395">
      <w:pPr>
        <w:spacing w:before="120" w:after="120" w:line="420" w:lineRule="exact"/>
        <w:ind w:firstLine="488"/>
        <w:outlineLvl w:val="2"/>
        <w:rPr>
          <w:rFonts w:eastAsia="宋体"/>
          <w:b/>
          <w:bCs/>
          <w:color w:val="auto"/>
          <w:highlight w:val="none"/>
        </w:rPr>
      </w:pPr>
      <w:bookmarkStart w:id="121" w:name="_Toc200451960"/>
      <w:r>
        <w:rPr>
          <w:rFonts w:eastAsia="宋体"/>
          <w:b/>
          <w:bCs/>
          <w:color w:val="auto"/>
          <w:highlight w:val="none"/>
        </w:rPr>
        <w:t>2</w:t>
      </w:r>
      <w:r>
        <w:rPr>
          <w:rFonts w:hint="eastAsia" w:eastAsia="宋体"/>
          <w:b/>
          <w:bCs/>
          <w:color w:val="auto"/>
          <w:highlight w:val="none"/>
        </w:rPr>
        <w:t>7．质疑处理</w:t>
      </w:r>
      <w:bookmarkEnd w:id="121"/>
    </w:p>
    <w:p w14:paraId="6AC1189D">
      <w:pPr>
        <w:spacing w:line="420" w:lineRule="exact"/>
        <w:ind w:firstLine="485"/>
        <w:rPr>
          <w:rFonts w:eastAsia="宋体"/>
          <w:color w:val="auto"/>
          <w:highlight w:val="none"/>
        </w:rPr>
      </w:pPr>
      <w:r>
        <w:rPr>
          <w:rFonts w:hint="eastAsia" w:eastAsia="宋体"/>
          <w:color w:val="auto"/>
          <w:highlight w:val="none"/>
        </w:rPr>
        <w:t>27.1 提出质疑的供应商应当是参与所质疑封闭式框架协议采购项目采购活动的供应商。潜在供应商依法获取其可质疑的征集文件的，可以对征集文件提出质疑。</w:t>
      </w:r>
    </w:p>
    <w:p w14:paraId="1CD17714">
      <w:pPr>
        <w:spacing w:line="420" w:lineRule="exact"/>
        <w:ind w:firstLine="485"/>
        <w:rPr>
          <w:rFonts w:eastAsia="宋体"/>
          <w:color w:val="auto"/>
          <w:highlight w:val="none"/>
        </w:rPr>
      </w:pPr>
      <w:r>
        <w:rPr>
          <w:rFonts w:hint="eastAsia" w:eastAsia="宋体"/>
          <w:color w:val="auto"/>
          <w:highlight w:val="none"/>
        </w:rPr>
        <w:t>27.2供应商认为征集文件、</w:t>
      </w:r>
      <w:bookmarkStart w:id="122" w:name="_Hlk182207586"/>
      <w:r>
        <w:rPr>
          <w:rFonts w:hint="eastAsia" w:eastAsia="宋体"/>
          <w:color w:val="auto"/>
          <w:highlight w:val="none"/>
        </w:rPr>
        <w:t>采购过程</w:t>
      </w:r>
      <w:bookmarkEnd w:id="122"/>
      <w:r>
        <w:rPr>
          <w:rFonts w:hint="eastAsia" w:eastAsia="宋体"/>
          <w:color w:val="auto"/>
          <w:highlight w:val="none"/>
        </w:rPr>
        <w:t>、入围结果使自己的权益受到损害的，</w:t>
      </w:r>
      <w:bookmarkStart w:id="123" w:name="_Hlk182207673"/>
      <w:r>
        <w:rPr>
          <w:rFonts w:hint="eastAsia" w:eastAsia="宋体"/>
          <w:color w:val="auto"/>
          <w:highlight w:val="none"/>
        </w:rPr>
        <w:t>可以</w:t>
      </w:r>
      <w:bookmarkStart w:id="124" w:name="_Hlk182207027"/>
      <w:r>
        <w:rPr>
          <w:rFonts w:hint="eastAsia" w:eastAsia="宋体"/>
          <w:color w:val="auto"/>
          <w:highlight w:val="none"/>
        </w:rPr>
        <w:t>在</w:t>
      </w:r>
      <w:bookmarkEnd w:id="123"/>
      <w:r>
        <w:rPr>
          <w:rFonts w:hint="eastAsia" w:eastAsia="宋体"/>
          <w:color w:val="auto"/>
          <w:highlight w:val="none"/>
        </w:rPr>
        <w:t>知道或应知其权益受到损害之日起七个工作日内，以书面形式向</w:t>
      </w:r>
      <w:r>
        <w:rPr>
          <w:rFonts w:eastAsia="宋体"/>
          <w:color w:val="auto"/>
          <w:highlight w:val="none"/>
        </w:rPr>
        <w:t>采购代理机构或</w:t>
      </w:r>
      <w:r>
        <w:rPr>
          <w:rFonts w:hint="eastAsia" w:eastAsia="宋体"/>
          <w:color w:val="auto"/>
          <w:highlight w:val="none"/>
        </w:rPr>
        <w:t>征集</w:t>
      </w:r>
      <w:r>
        <w:rPr>
          <w:rFonts w:eastAsia="宋体"/>
          <w:color w:val="auto"/>
          <w:highlight w:val="none"/>
        </w:rPr>
        <w:t>人</w:t>
      </w:r>
      <w:r>
        <w:rPr>
          <w:rFonts w:hint="eastAsia" w:eastAsia="宋体"/>
          <w:color w:val="auto"/>
          <w:highlight w:val="none"/>
        </w:rPr>
        <w:t>提出质疑</w:t>
      </w:r>
      <w:bookmarkEnd w:id="124"/>
      <w:r>
        <w:rPr>
          <w:rFonts w:hint="eastAsia" w:eastAsia="宋体"/>
          <w:color w:val="auto"/>
          <w:highlight w:val="none"/>
        </w:rPr>
        <w:t>。上述应知其权益受到损害之日，是指：</w:t>
      </w:r>
    </w:p>
    <w:p w14:paraId="29D62D25">
      <w:pPr>
        <w:spacing w:line="420" w:lineRule="exact"/>
        <w:ind w:firstLine="485"/>
        <w:rPr>
          <w:rFonts w:eastAsia="宋体"/>
          <w:color w:val="auto"/>
          <w:highlight w:val="none"/>
        </w:rPr>
      </w:pPr>
      <w:r>
        <w:rPr>
          <w:rFonts w:hint="eastAsia" w:eastAsia="宋体"/>
          <w:color w:val="auto"/>
          <w:highlight w:val="none"/>
        </w:rPr>
        <w:t>27.2.1对可以质疑的征集文件提出质疑的，为收到征集文件之日或者征集公告期限届满之日；</w:t>
      </w:r>
    </w:p>
    <w:p w14:paraId="3583AD73">
      <w:pPr>
        <w:spacing w:line="420" w:lineRule="exact"/>
        <w:ind w:firstLine="485"/>
        <w:rPr>
          <w:rFonts w:eastAsia="宋体"/>
          <w:color w:val="auto"/>
          <w:highlight w:val="none"/>
        </w:rPr>
      </w:pPr>
      <w:r>
        <w:rPr>
          <w:rFonts w:hint="eastAsia" w:eastAsia="宋体"/>
          <w:color w:val="auto"/>
          <w:highlight w:val="none"/>
        </w:rPr>
        <w:t>27.2.2对采购过程提出质疑的，为各采购程序环节结束之日；</w:t>
      </w:r>
    </w:p>
    <w:p w14:paraId="0DA95F98">
      <w:pPr>
        <w:spacing w:line="420" w:lineRule="exact"/>
        <w:ind w:firstLine="485"/>
        <w:rPr>
          <w:rFonts w:eastAsia="宋体"/>
          <w:color w:val="auto"/>
          <w:highlight w:val="none"/>
        </w:rPr>
      </w:pPr>
      <w:r>
        <w:rPr>
          <w:rFonts w:hint="eastAsia" w:eastAsia="宋体"/>
          <w:color w:val="auto"/>
          <w:highlight w:val="none"/>
        </w:rPr>
        <w:t>27.2.3对入围结果提出质疑的，为入围结果公告期限届满之日。</w:t>
      </w:r>
    </w:p>
    <w:p w14:paraId="4B6DB416">
      <w:pPr>
        <w:spacing w:line="420" w:lineRule="exact"/>
        <w:ind w:firstLine="485"/>
        <w:rPr>
          <w:rFonts w:eastAsia="宋体"/>
          <w:color w:val="auto"/>
          <w:highlight w:val="none"/>
        </w:rPr>
      </w:pPr>
      <w:r>
        <w:rPr>
          <w:rFonts w:hint="eastAsia" w:eastAsia="宋体"/>
          <w:color w:val="auto"/>
          <w:highlight w:val="none"/>
        </w:rPr>
        <w:t>供应商应当在法定质疑期内一次性提出针对同一采购程序环节的质疑。供应商如在法定期限内对同一采购程序环节提出多次质疑的，</w:t>
      </w:r>
      <w:r>
        <w:rPr>
          <w:rFonts w:eastAsia="宋体"/>
          <w:color w:val="auto"/>
          <w:highlight w:val="none"/>
        </w:rPr>
        <w:t>采购代理机构或</w:t>
      </w:r>
      <w:r>
        <w:rPr>
          <w:rFonts w:hint="eastAsia" w:eastAsia="宋体"/>
          <w:color w:val="auto"/>
          <w:highlight w:val="none"/>
        </w:rPr>
        <w:t>征集</w:t>
      </w:r>
      <w:r>
        <w:rPr>
          <w:rFonts w:eastAsia="宋体"/>
          <w:color w:val="auto"/>
          <w:highlight w:val="none"/>
        </w:rPr>
        <w:t>人</w:t>
      </w:r>
      <w:r>
        <w:rPr>
          <w:rFonts w:hint="eastAsia" w:eastAsia="宋体"/>
          <w:color w:val="auto"/>
          <w:highlight w:val="none"/>
        </w:rPr>
        <w:t>只对供应商第一次质疑作出答复。</w:t>
      </w:r>
    </w:p>
    <w:p w14:paraId="1D62637B">
      <w:pPr>
        <w:spacing w:line="420" w:lineRule="exact"/>
        <w:ind w:firstLine="485"/>
        <w:rPr>
          <w:rFonts w:eastAsia="宋体"/>
          <w:color w:val="auto"/>
          <w:highlight w:val="none"/>
        </w:rPr>
      </w:pPr>
      <w:r>
        <w:rPr>
          <w:rFonts w:hint="eastAsia" w:eastAsia="宋体"/>
          <w:color w:val="auto"/>
          <w:highlight w:val="none"/>
        </w:rPr>
        <w:t>27.3质疑函必须按照本征集文件中《质疑函范本》要求的格式和内容进行填写，并按《质疑函范本》中要求签字、盖章、加盖公章。</w:t>
      </w:r>
    </w:p>
    <w:p w14:paraId="7F0DF6C1">
      <w:pPr>
        <w:spacing w:line="420" w:lineRule="exact"/>
        <w:ind w:firstLine="485"/>
        <w:rPr>
          <w:rFonts w:eastAsia="宋体"/>
          <w:color w:val="auto"/>
          <w:highlight w:val="none"/>
        </w:rPr>
      </w:pPr>
      <w:r>
        <w:rPr>
          <w:rFonts w:hint="eastAsia" w:eastAsia="宋体"/>
          <w:color w:val="auto"/>
          <w:highlight w:val="none"/>
        </w:rPr>
        <w:t>27.4</w:t>
      </w:r>
      <w:r>
        <w:rPr>
          <w:rFonts w:eastAsia="宋体"/>
          <w:color w:val="auto"/>
          <w:highlight w:val="none"/>
        </w:rPr>
        <w:t>采购代理机构或</w:t>
      </w:r>
      <w:r>
        <w:rPr>
          <w:rFonts w:hint="eastAsia" w:eastAsia="宋体"/>
          <w:color w:val="auto"/>
          <w:highlight w:val="none"/>
        </w:rPr>
        <w:t>征集</w:t>
      </w:r>
      <w:r>
        <w:rPr>
          <w:rFonts w:eastAsia="宋体"/>
          <w:color w:val="auto"/>
          <w:highlight w:val="none"/>
        </w:rPr>
        <w:t>人</w:t>
      </w:r>
      <w:r>
        <w:rPr>
          <w:rFonts w:hint="eastAsia" w:eastAsia="宋体"/>
          <w:color w:val="auto"/>
          <w:highlight w:val="none"/>
        </w:rPr>
        <w:t>只接收以纸质原件形式送达的质疑。</w:t>
      </w:r>
    </w:p>
    <w:p w14:paraId="59F95C2D">
      <w:pPr>
        <w:spacing w:line="420" w:lineRule="exact"/>
        <w:ind w:firstLine="485"/>
        <w:rPr>
          <w:rFonts w:eastAsia="宋体"/>
          <w:color w:val="auto"/>
          <w:highlight w:val="none"/>
        </w:rPr>
      </w:pPr>
      <w:r>
        <w:rPr>
          <w:rFonts w:hint="eastAsia" w:eastAsia="宋体"/>
          <w:color w:val="auto"/>
          <w:highlight w:val="none"/>
        </w:rPr>
        <w:t>27.5 以下情形的质疑不予受理</w:t>
      </w:r>
    </w:p>
    <w:p w14:paraId="20611EB8">
      <w:pPr>
        <w:spacing w:line="420" w:lineRule="exact"/>
        <w:ind w:firstLine="485"/>
        <w:rPr>
          <w:rFonts w:eastAsia="宋体"/>
          <w:color w:val="auto"/>
          <w:highlight w:val="none"/>
        </w:rPr>
      </w:pPr>
      <w:r>
        <w:rPr>
          <w:rFonts w:hint="eastAsia" w:eastAsia="宋体"/>
          <w:color w:val="auto"/>
          <w:highlight w:val="none"/>
        </w:rPr>
        <w:t>27.5.1 内容不符合《政府采购质疑和投诉办法》第十二条规定的质疑。</w:t>
      </w:r>
    </w:p>
    <w:p w14:paraId="2BC483B4">
      <w:pPr>
        <w:spacing w:line="420" w:lineRule="exact"/>
        <w:ind w:firstLine="485"/>
        <w:rPr>
          <w:rFonts w:eastAsia="宋体"/>
          <w:color w:val="auto"/>
          <w:highlight w:val="none"/>
        </w:rPr>
      </w:pPr>
      <w:r>
        <w:rPr>
          <w:rFonts w:hint="eastAsia" w:eastAsia="宋体"/>
          <w:color w:val="auto"/>
          <w:highlight w:val="none"/>
        </w:rPr>
        <w:t>27.5.2 超出政府采购法定期限的质疑。</w:t>
      </w:r>
    </w:p>
    <w:p w14:paraId="28AA0735">
      <w:pPr>
        <w:spacing w:line="420" w:lineRule="exact"/>
        <w:ind w:firstLine="485"/>
        <w:rPr>
          <w:rFonts w:eastAsia="宋体"/>
          <w:color w:val="auto"/>
          <w:highlight w:val="none"/>
        </w:rPr>
      </w:pPr>
      <w:r>
        <w:rPr>
          <w:rFonts w:hint="eastAsia" w:eastAsia="宋体"/>
          <w:color w:val="auto"/>
          <w:highlight w:val="none"/>
        </w:rPr>
        <w:t>27.5.3 以传真、电子邮件等方式递交的非原件形式的质疑。</w:t>
      </w:r>
    </w:p>
    <w:p w14:paraId="0FD1931A">
      <w:pPr>
        <w:spacing w:line="420" w:lineRule="exact"/>
        <w:ind w:firstLine="485"/>
        <w:rPr>
          <w:rFonts w:eastAsia="宋体"/>
          <w:color w:val="auto"/>
          <w:highlight w:val="none"/>
        </w:rPr>
      </w:pPr>
      <w:r>
        <w:rPr>
          <w:rFonts w:hint="eastAsia" w:eastAsia="宋体"/>
          <w:color w:val="auto"/>
          <w:highlight w:val="none"/>
        </w:rPr>
        <w:t>27.5.4 未参加采购活动的供应商或在采购活动中自身权益未受到损害的供应商所提出的质疑。</w:t>
      </w:r>
    </w:p>
    <w:p w14:paraId="5C1A61AE">
      <w:pPr>
        <w:spacing w:line="420" w:lineRule="exact"/>
        <w:ind w:firstLine="485"/>
        <w:rPr>
          <w:rFonts w:eastAsia="宋体"/>
          <w:color w:val="auto"/>
          <w:highlight w:val="none"/>
        </w:rPr>
      </w:pPr>
      <w:r>
        <w:rPr>
          <w:rFonts w:hint="eastAsia" w:eastAsia="宋体"/>
          <w:color w:val="auto"/>
          <w:highlight w:val="none"/>
        </w:rPr>
        <w:t>27.6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67D63C24">
      <w:pPr>
        <w:spacing w:before="120" w:after="120" w:line="420" w:lineRule="exact"/>
        <w:ind w:firstLine="488"/>
        <w:outlineLvl w:val="2"/>
        <w:rPr>
          <w:rFonts w:eastAsia="宋体"/>
          <w:b/>
          <w:bCs/>
          <w:color w:val="auto"/>
          <w:highlight w:val="none"/>
        </w:rPr>
      </w:pPr>
      <w:r>
        <w:rPr>
          <w:rFonts w:hint="eastAsia" w:eastAsia="宋体"/>
          <w:b/>
          <w:bCs/>
          <w:color w:val="auto"/>
          <w:highlight w:val="none"/>
        </w:rPr>
        <w:t>28．入围通知书</w:t>
      </w:r>
    </w:p>
    <w:p w14:paraId="6C819D35">
      <w:pPr>
        <w:spacing w:line="420" w:lineRule="exact"/>
        <w:ind w:firstLine="485"/>
        <w:rPr>
          <w:rFonts w:eastAsia="宋体"/>
          <w:color w:val="auto"/>
          <w:highlight w:val="none"/>
        </w:rPr>
      </w:pPr>
      <w:r>
        <w:rPr>
          <w:rFonts w:hint="eastAsia" w:eastAsia="宋体"/>
          <w:color w:val="auto"/>
          <w:highlight w:val="none"/>
        </w:rPr>
        <w:t>28.1入围结果确定后，采购代理机构将向入围供应商发出入围通知书。</w:t>
      </w:r>
    </w:p>
    <w:p w14:paraId="3CE7E177">
      <w:pPr>
        <w:spacing w:line="420" w:lineRule="exact"/>
        <w:ind w:firstLine="485"/>
        <w:rPr>
          <w:rFonts w:eastAsia="宋体"/>
          <w:color w:val="auto"/>
          <w:highlight w:val="none"/>
        </w:rPr>
      </w:pPr>
      <w:r>
        <w:rPr>
          <w:rFonts w:hint="eastAsia" w:eastAsia="宋体"/>
          <w:color w:val="auto"/>
          <w:highlight w:val="none"/>
        </w:rPr>
        <w:t>28.2入围通知书将是框架协议的一个组成部分。对征集人和入围供应商均具有法律效力。入围通知书发出后，入围供应商无正当理由，不得主动放弃入围资格或者退出框架协议，否则应当依法承担法律责任。</w:t>
      </w:r>
    </w:p>
    <w:p w14:paraId="5437D00B">
      <w:pPr>
        <w:spacing w:before="120" w:after="120" w:line="420" w:lineRule="exact"/>
        <w:ind w:firstLine="488"/>
        <w:outlineLvl w:val="1"/>
        <w:rPr>
          <w:rFonts w:eastAsia="宋体"/>
          <w:b/>
          <w:bCs/>
          <w:color w:val="auto"/>
          <w:highlight w:val="none"/>
        </w:rPr>
      </w:pPr>
      <w:r>
        <w:rPr>
          <w:rFonts w:hint="eastAsia" w:eastAsia="宋体"/>
          <w:b/>
          <w:bCs/>
          <w:color w:val="auto"/>
          <w:highlight w:val="none"/>
        </w:rPr>
        <w:t>七、签订框架协议</w:t>
      </w:r>
    </w:p>
    <w:p w14:paraId="79B60B6F">
      <w:pPr>
        <w:spacing w:before="120" w:after="120" w:line="420" w:lineRule="exact"/>
        <w:ind w:firstLine="488"/>
        <w:outlineLvl w:val="2"/>
        <w:rPr>
          <w:rFonts w:eastAsia="宋体"/>
          <w:b/>
          <w:bCs/>
          <w:color w:val="auto"/>
          <w:highlight w:val="none"/>
        </w:rPr>
      </w:pPr>
      <w:bookmarkStart w:id="125" w:name="_Toc513029237"/>
      <w:bookmarkStart w:id="126" w:name="_Toc20823309"/>
      <w:bookmarkStart w:id="127" w:name="_Toc16938553"/>
      <w:r>
        <w:rPr>
          <w:rFonts w:hint="eastAsia" w:eastAsia="宋体"/>
          <w:b/>
          <w:bCs/>
          <w:color w:val="auto"/>
          <w:highlight w:val="none"/>
        </w:rPr>
        <w:t>29．签订框架协议</w:t>
      </w:r>
    </w:p>
    <w:p w14:paraId="553BB721">
      <w:pPr>
        <w:spacing w:line="420" w:lineRule="exact"/>
        <w:ind w:firstLine="485"/>
        <w:rPr>
          <w:rFonts w:eastAsia="宋体"/>
          <w:color w:val="auto"/>
          <w:highlight w:val="none"/>
        </w:rPr>
      </w:pPr>
      <w:r>
        <w:rPr>
          <w:rFonts w:hint="eastAsia" w:eastAsia="宋体"/>
          <w:color w:val="auto"/>
          <w:highlight w:val="none"/>
        </w:rPr>
        <w:t>29.l 征集人在入围通知书发出之日起30日内和入围供应商签订电子框架协议，入围供应商在接到征集人通知后需及时使用CA数字证书登录“苏采云”系统完成电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14:paraId="56B1E62D">
      <w:pPr>
        <w:spacing w:line="420" w:lineRule="exact"/>
        <w:ind w:firstLine="485"/>
        <w:rPr>
          <w:rFonts w:eastAsia="宋体"/>
          <w:color w:val="auto"/>
          <w:highlight w:val="none"/>
        </w:rPr>
      </w:pPr>
      <w:r>
        <w:rPr>
          <w:rFonts w:hint="eastAsia" w:eastAsia="宋体"/>
          <w:color w:val="auto"/>
          <w:highlight w:val="none"/>
        </w:rPr>
        <w:t>29.2征集文件、入围供应商的响应文件及评审过程中有关澄清、承诺文件均应作为框架协议的附件。</w:t>
      </w:r>
    </w:p>
    <w:p w14:paraId="5ADDF77A">
      <w:pPr>
        <w:spacing w:line="420" w:lineRule="exact"/>
        <w:ind w:firstLine="485"/>
        <w:rPr>
          <w:rFonts w:eastAsia="宋体"/>
          <w:color w:val="auto"/>
          <w:highlight w:val="none"/>
        </w:rPr>
      </w:pPr>
      <w:r>
        <w:rPr>
          <w:rFonts w:hint="eastAsia" w:eastAsia="宋体"/>
          <w:color w:val="auto"/>
          <w:highlight w:val="none"/>
        </w:rPr>
        <w:t>29.3 签订框架协议后，入围供应商不得将服务（包含与服务相关的货物）进行转包。未经征集人同意，入围供应商也不得采用分包的形式履行合同，否则征集人有权终止框架协议，征集人有权终止采购合同。转包或分包造成征集人损失的，入围供应商应承担相应赔偿责任。</w:t>
      </w:r>
      <w:bookmarkEnd w:id="125"/>
      <w:bookmarkEnd w:id="126"/>
      <w:bookmarkEnd w:id="127"/>
    </w:p>
    <w:p w14:paraId="37DF6BB1">
      <w:pPr>
        <w:spacing w:before="120" w:after="120" w:line="420" w:lineRule="exact"/>
        <w:ind w:firstLine="488"/>
        <w:outlineLvl w:val="1"/>
        <w:rPr>
          <w:rFonts w:eastAsia="宋体"/>
          <w:b/>
          <w:bCs/>
          <w:color w:val="auto"/>
          <w:highlight w:val="none"/>
        </w:rPr>
      </w:pPr>
      <w:r>
        <w:rPr>
          <w:rFonts w:hint="eastAsia" w:eastAsia="宋体"/>
          <w:b/>
          <w:bCs/>
          <w:color w:val="auto"/>
          <w:highlight w:val="none"/>
        </w:rPr>
        <w:t>八、其他</w:t>
      </w:r>
    </w:p>
    <w:p w14:paraId="7D94DD25">
      <w:pPr>
        <w:spacing w:before="120" w:after="120" w:line="420" w:lineRule="exact"/>
        <w:ind w:firstLine="488"/>
        <w:outlineLvl w:val="2"/>
        <w:rPr>
          <w:rFonts w:eastAsia="宋体"/>
          <w:b/>
          <w:bCs/>
          <w:color w:val="auto"/>
          <w:highlight w:val="none"/>
        </w:rPr>
      </w:pPr>
      <w:r>
        <w:rPr>
          <w:rFonts w:hint="eastAsia" w:eastAsia="宋体"/>
          <w:b/>
          <w:bCs/>
          <w:color w:val="auto"/>
          <w:highlight w:val="none"/>
        </w:rPr>
        <w:t>30．反馈和评价机制</w:t>
      </w:r>
    </w:p>
    <w:p w14:paraId="482EBF7E">
      <w:pPr>
        <w:spacing w:line="420" w:lineRule="exact"/>
        <w:ind w:firstLine="485"/>
        <w:rPr>
          <w:rFonts w:eastAsia="宋体"/>
          <w:color w:val="auto"/>
          <w:highlight w:val="none"/>
        </w:rPr>
      </w:pPr>
      <w:r>
        <w:rPr>
          <w:rFonts w:hint="eastAsia" w:eastAsia="宋体"/>
          <w:color w:val="auto"/>
          <w:highlight w:val="none"/>
        </w:rPr>
        <w:t>30.1建立采购人反馈和评价机制，接受采购人对入围供应商履行框架协议和采购合同情况的反馈与评价，并作为第二阶段选定成交供应商的参考。</w:t>
      </w:r>
    </w:p>
    <w:p w14:paraId="1956C321">
      <w:pPr>
        <w:spacing w:before="120" w:after="120" w:line="420" w:lineRule="exact"/>
        <w:ind w:firstLine="488"/>
        <w:outlineLvl w:val="2"/>
        <w:rPr>
          <w:rFonts w:eastAsia="宋体"/>
          <w:b/>
          <w:bCs/>
          <w:color w:val="auto"/>
          <w:highlight w:val="none"/>
        </w:rPr>
      </w:pPr>
      <w:r>
        <w:rPr>
          <w:rFonts w:hint="eastAsia" w:eastAsia="宋体"/>
          <w:b/>
          <w:bCs/>
          <w:color w:val="auto"/>
          <w:highlight w:val="none"/>
        </w:rPr>
        <w:t>31. “苏采云”系统使用相关提醒</w:t>
      </w:r>
    </w:p>
    <w:p w14:paraId="5738746C">
      <w:pPr>
        <w:spacing w:line="420" w:lineRule="exact"/>
        <w:ind w:firstLine="485"/>
        <w:rPr>
          <w:rFonts w:eastAsia="宋体"/>
          <w:color w:val="auto"/>
          <w:highlight w:val="none"/>
        </w:rPr>
      </w:pPr>
      <w:r>
        <w:rPr>
          <w:rFonts w:hint="eastAsia" w:eastAsia="宋体"/>
          <w:color w:val="auto"/>
          <w:highlight w:val="none"/>
        </w:rPr>
        <w:t>31.1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w:t>
      </w:r>
    </w:p>
    <w:p w14:paraId="2AD8F0F2">
      <w:pPr>
        <w:spacing w:line="420" w:lineRule="exact"/>
        <w:ind w:firstLine="485"/>
        <w:rPr>
          <w:rFonts w:eastAsia="宋体"/>
          <w:color w:val="auto"/>
          <w:highlight w:val="none"/>
        </w:rPr>
      </w:pPr>
      <w:r>
        <w:rPr>
          <w:rFonts w:hint="eastAsia" w:eastAsia="宋体"/>
          <w:color w:val="auto"/>
          <w:highlight w:val="none"/>
        </w:rPr>
        <w:t>如果供应商通过苏采云系统参与政府采购项目，需要更换CA数字证书和电子签章。</w:t>
      </w:r>
    </w:p>
    <w:p w14:paraId="1583F99C">
      <w:pPr>
        <w:spacing w:line="420" w:lineRule="exact"/>
        <w:ind w:firstLine="485"/>
        <w:rPr>
          <w:rFonts w:eastAsia="宋体"/>
          <w:color w:val="auto"/>
          <w:highlight w:val="none"/>
        </w:rPr>
      </w:pPr>
      <w:r>
        <w:rPr>
          <w:rFonts w:hint="eastAsia" w:eastAsia="宋体"/>
          <w:color w:val="auto"/>
          <w:highlight w:val="none"/>
        </w:rPr>
        <w:t>具体办理指南和操作手册见链接：</w:t>
      </w:r>
    </w:p>
    <w:p w14:paraId="3FDF1161">
      <w:pPr>
        <w:spacing w:line="420" w:lineRule="exact"/>
        <w:ind w:firstLine="485"/>
        <w:rPr>
          <w:rFonts w:eastAsia="宋体"/>
          <w:color w:val="auto"/>
          <w:highlight w:val="none"/>
        </w:rPr>
      </w:pPr>
      <w:r>
        <w:rPr>
          <w:rFonts w:hint="eastAsia" w:eastAsia="宋体"/>
          <w:color w:val="auto"/>
          <w:highlight w:val="none"/>
        </w:rPr>
        <w:t>http://www.ccgp-jiangsu.gov.cn/jiangsu/zlxz/ee/ee3a4bc5a3454aa2b0d9312230633ce9.html。</w:t>
      </w:r>
    </w:p>
    <w:p w14:paraId="66A40219">
      <w:pPr>
        <w:spacing w:line="420" w:lineRule="exact"/>
        <w:ind w:firstLine="485"/>
        <w:rPr>
          <w:rFonts w:eastAsia="宋体"/>
          <w:color w:val="auto"/>
          <w:highlight w:val="none"/>
        </w:rPr>
      </w:pPr>
      <w:r>
        <w:rPr>
          <w:rFonts w:hint="eastAsia" w:eastAsia="宋体"/>
          <w:color w:val="auto"/>
          <w:highlight w:val="none"/>
        </w:rPr>
        <w:t>31.2领取CA和办理电子签章请至南通市政务服务中心裙楼四楼（南通市公共资源交中心）CA办理窗口办理，详见《江苏省政府采购数字证书(供应商) CA及电子签章办理指南》），请及时进行注册并按要求制作、上传电子征集响应文件。</w:t>
      </w:r>
    </w:p>
    <w:p w14:paraId="5BE644DE">
      <w:pPr>
        <w:spacing w:line="420" w:lineRule="exact"/>
        <w:ind w:firstLine="485"/>
        <w:rPr>
          <w:rFonts w:eastAsia="宋体"/>
          <w:color w:val="auto"/>
          <w:highlight w:val="none"/>
        </w:rPr>
      </w:pPr>
      <w:r>
        <w:rPr>
          <w:rFonts w:hint="eastAsia" w:eastAsia="宋体"/>
          <w:color w:val="auto"/>
          <w:highlight w:val="none"/>
        </w:rPr>
        <w:t>31.3潜在供应商访问电子招标响应交易平台的网络地址和方法：</w:t>
      </w:r>
    </w:p>
    <w:p w14:paraId="7A2F5273">
      <w:pPr>
        <w:spacing w:line="420" w:lineRule="exact"/>
        <w:ind w:firstLine="485"/>
        <w:rPr>
          <w:rFonts w:eastAsia="宋体"/>
          <w:color w:val="auto"/>
          <w:highlight w:val="none"/>
        </w:rPr>
      </w:pPr>
      <w:r>
        <w:rPr>
          <w:rFonts w:hint="eastAsia" w:eastAsia="宋体"/>
          <w:color w:val="auto"/>
          <w:highlight w:val="none"/>
        </w:rPr>
        <w:t>“苏采云”系统用户注册--获取“CA数字证书”--CA绑定与登录--网上报名--下载征集文件（后缀名为“.kedt”）--将后缀名为“.kedt”的征集文件导入政府采购客户端工具--制作响应文件--导出加密的响应文件（后缀名为zip）--通过“苏采云”系统上传响应文件。具体见江苏政府采购网—资料下载中《江苏省政府采购管理交易系统（苏采云）供应商操作手册》。</w:t>
      </w:r>
    </w:p>
    <w:p w14:paraId="0DA21808">
      <w:pPr>
        <w:spacing w:line="420" w:lineRule="exact"/>
        <w:ind w:firstLine="485"/>
        <w:rPr>
          <w:rFonts w:eastAsia="宋体"/>
          <w:color w:val="auto"/>
          <w:highlight w:val="none"/>
        </w:rPr>
      </w:pPr>
      <w:r>
        <w:rPr>
          <w:rFonts w:hint="eastAsia" w:eastAsia="宋体"/>
          <w:color w:val="auto"/>
          <w:highlight w:val="none"/>
        </w:rPr>
        <w:t>31.4潜在供应商访问“苏采云”系统的网络地址和方法：</w:t>
      </w:r>
    </w:p>
    <w:p w14:paraId="4EE81284">
      <w:pPr>
        <w:spacing w:line="420" w:lineRule="exact"/>
        <w:ind w:firstLine="485"/>
        <w:rPr>
          <w:rFonts w:eastAsia="宋体"/>
          <w:color w:val="auto"/>
          <w:highlight w:val="none"/>
        </w:rPr>
      </w:pPr>
      <w:r>
        <w:rPr>
          <w:rFonts w:hint="eastAsia" w:eastAsia="宋体"/>
          <w:color w:val="auto"/>
          <w:highlight w:val="none"/>
        </w:rPr>
        <w:t>“苏采云”系统的网址：http://jszfcg.jsczt.cn/。</w:t>
      </w:r>
    </w:p>
    <w:p w14:paraId="4203A76D">
      <w:pPr>
        <w:spacing w:line="420" w:lineRule="exact"/>
        <w:ind w:firstLine="485"/>
        <w:rPr>
          <w:rFonts w:eastAsia="宋体"/>
          <w:color w:val="auto"/>
          <w:highlight w:val="none"/>
        </w:rPr>
      </w:pPr>
      <w:r>
        <w:rPr>
          <w:rFonts w:hint="eastAsia" w:eastAsia="宋体"/>
          <w:color w:val="auto"/>
          <w:highlight w:val="none"/>
        </w:rPr>
        <w:t>31.5“CA数字证书”的获取：</w:t>
      </w:r>
    </w:p>
    <w:p w14:paraId="551656F5">
      <w:pPr>
        <w:spacing w:line="420" w:lineRule="exact"/>
        <w:ind w:firstLine="485"/>
        <w:rPr>
          <w:rFonts w:eastAsia="宋体"/>
          <w:color w:val="auto"/>
          <w:highlight w:val="none"/>
        </w:rPr>
      </w:pPr>
      <w:r>
        <w:rPr>
          <w:rFonts w:hint="eastAsia" w:eastAsia="宋体"/>
          <w:color w:val="auto"/>
          <w:highlight w:val="none"/>
        </w:rPr>
        <w:t>供应商需办理CA锁，“苏采云”系统目前仅支持政务CA、方正签章，省内各地区办理的用于“苏采云”平台的政务CA、方正签章全省通用。“CA数字证书”的办理方法详见江苏政府采购网—资料下载中《江苏省政府采购数字证书（供应商）CA及电子签章办理指南》。</w:t>
      </w:r>
    </w:p>
    <w:p w14:paraId="16F1963D">
      <w:pPr>
        <w:spacing w:line="420" w:lineRule="exact"/>
        <w:ind w:firstLine="485"/>
        <w:rPr>
          <w:rFonts w:eastAsia="宋体"/>
          <w:color w:val="auto"/>
          <w:highlight w:val="none"/>
        </w:rPr>
      </w:pPr>
      <w:r>
        <w:rPr>
          <w:rFonts w:hint="eastAsia" w:eastAsia="宋体"/>
          <w:color w:val="auto"/>
          <w:highlight w:val="none"/>
        </w:rPr>
        <w:t>31.6征集文件（后缀名为“.kedt”）、供应商操作手册及政府采购客户端工具可通过“苏采云”系统--已报名项目--报名详情页面内相应链接进行下载。</w:t>
      </w:r>
    </w:p>
    <w:p w14:paraId="662B9CA4">
      <w:pPr>
        <w:spacing w:line="420" w:lineRule="exact"/>
        <w:ind w:firstLine="485"/>
        <w:rPr>
          <w:rFonts w:eastAsia="宋体"/>
          <w:color w:val="auto"/>
          <w:highlight w:val="none"/>
        </w:rPr>
      </w:pPr>
      <w:r>
        <w:rPr>
          <w:rFonts w:hint="eastAsia" w:eastAsia="宋体"/>
          <w:color w:val="auto"/>
          <w:highlight w:val="none"/>
        </w:rPr>
        <w:t>31.7采购代理机构将数据电文形式的征集文件加载至“苏采云”系统，供潜在供应商下载或者查阅。</w:t>
      </w:r>
    </w:p>
    <w:p w14:paraId="692BDCBA">
      <w:pPr>
        <w:spacing w:line="420" w:lineRule="exact"/>
        <w:ind w:firstLine="485"/>
        <w:rPr>
          <w:rFonts w:eastAsia="宋体"/>
          <w:color w:val="auto"/>
          <w:highlight w:val="none"/>
        </w:rPr>
      </w:pPr>
      <w:r>
        <w:rPr>
          <w:rFonts w:hint="eastAsia" w:eastAsia="宋体"/>
          <w:color w:val="auto"/>
          <w:highlight w:val="none"/>
        </w:rPr>
        <w:t>31.8请潜在供应商提前安装工程相应的控件（详见《江苏省政府采购管理交易系统（苏采云）供应商操作手册》）并使用谷歌浏览器登录“苏采云”系统参与不见面开评标。</w:t>
      </w:r>
    </w:p>
    <w:p w14:paraId="748D06BC">
      <w:pPr>
        <w:spacing w:line="420" w:lineRule="exact"/>
        <w:ind w:firstLine="485"/>
        <w:rPr>
          <w:rFonts w:eastAsia="宋体"/>
          <w:b/>
          <w:bCs/>
          <w:color w:val="auto"/>
          <w:highlight w:val="none"/>
        </w:rPr>
      </w:pPr>
      <w:r>
        <w:rPr>
          <w:rFonts w:hint="eastAsia" w:eastAsia="宋体"/>
          <w:b/>
          <w:bCs/>
          <w:color w:val="auto"/>
          <w:highlight w:val="none"/>
        </w:rPr>
        <w:t>注：如潜在供应商未按上述要求操作，将自行承担所产生的风险。</w:t>
      </w:r>
    </w:p>
    <w:p w14:paraId="09778E7D">
      <w:pPr>
        <w:spacing w:line="420" w:lineRule="exact"/>
        <w:ind w:firstLine="485"/>
        <w:rPr>
          <w:rFonts w:eastAsia="宋体"/>
          <w:color w:val="auto"/>
          <w:highlight w:val="none"/>
        </w:rPr>
      </w:pPr>
      <w:r>
        <w:rPr>
          <w:rFonts w:hint="eastAsia" w:eastAsia="宋体"/>
          <w:color w:val="auto"/>
          <w:highlight w:val="none"/>
        </w:rPr>
        <w:t>31.9开标当天，供应商应及时登录“苏采云”不见面开标大厅，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风险由供应商自行承担；因征集人原因或网上招投标平台发生故障，导致无法按时完成响应文件解密或开、评标工作无法进行的，可根据实际情况相应延迟解密时间或调整开、评标时间。</w:t>
      </w:r>
    </w:p>
    <w:bookmarkEnd w:id="17"/>
    <w:bookmarkEnd w:id="18"/>
    <w:bookmarkEnd w:id="19"/>
    <w:bookmarkEnd w:id="20"/>
    <w:p w14:paraId="774FB89A">
      <w:pPr>
        <w:tabs>
          <w:tab w:val="left" w:pos="1050"/>
          <w:tab w:val="left" w:pos="2375"/>
          <w:tab w:val="center" w:pos="4818"/>
          <w:tab w:val="right" w:leader="dot" w:pos="9402"/>
        </w:tabs>
        <w:spacing w:line="600" w:lineRule="exact"/>
        <w:jc w:val="center"/>
        <w:outlineLvl w:val="0"/>
        <w:rPr>
          <w:rFonts w:eastAsia="宋体" w:cs="宋体"/>
          <w:b/>
          <w:bCs/>
          <w:color w:val="auto"/>
          <w:sz w:val="36"/>
          <w:szCs w:val="36"/>
          <w:highlight w:val="none"/>
        </w:rPr>
        <w:sectPr>
          <w:pgSz w:w="11906" w:h="16838"/>
          <w:pgMar w:top="851" w:right="851" w:bottom="851" w:left="1134" w:header="567" w:footer="471" w:gutter="0"/>
          <w:cols w:space="425" w:num="1"/>
          <w:docGrid w:linePitch="360" w:charSpace="0"/>
        </w:sectPr>
      </w:pPr>
      <w:bookmarkStart w:id="128" w:name="_Toc363573855"/>
    </w:p>
    <w:bookmarkEnd w:id="128"/>
    <w:p w14:paraId="4E65BC69">
      <w:pPr>
        <w:tabs>
          <w:tab w:val="left" w:pos="1050"/>
          <w:tab w:val="left" w:pos="2375"/>
          <w:tab w:val="center" w:pos="4818"/>
          <w:tab w:val="right" w:leader="dot" w:pos="9402"/>
        </w:tabs>
        <w:spacing w:line="600" w:lineRule="exact"/>
        <w:jc w:val="center"/>
        <w:outlineLvl w:val="0"/>
        <w:rPr>
          <w:rFonts w:eastAsia="宋体"/>
          <w:b/>
          <w:bCs/>
          <w:color w:val="auto"/>
          <w:sz w:val="36"/>
          <w:szCs w:val="36"/>
          <w:highlight w:val="none"/>
        </w:rPr>
      </w:pPr>
      <w:bookmarkStart w:id="129" w:name="_Hlk183657124"/>
      <w:bookmarkStart w:id="130" w:name="_Hlk77688522"/>
      <w:r>
        <w:rPr>
          <w:rFonts w:hint="eastAsia" w:eastAsia="宋体" w:cs="宋体"/>
          <w:b/>
          <w:bCs/>
          <w:color w:val="auto"/>
          <w:sz w:val="36"/>
          <w:szCs w:val="36"/>
          <w:highlight w:val="none"/>
        </w:rPr>
        <w:t>第三章 采购需求</w:t>
      </w:r>
    </w:p>
    <w:p w14:paraId="2E864FB4">
      <w:pPr>
        <w:spacing w:line="420" w:lineRule="exact"/>
        <w:ind w:firstLine="482"/>
        <w:outlineLvl w:val="1"/>
        <w:rPr>
          <w:rFonts w:eastAsia="宋体" w:cs="宋体"/>
          <w:b/>
          <w:bCs/>
          <w:color w:val="auto"/>
          <w:highlight w:val="none"/>
        </w:rPr>
      </w:pPr>
      <w:r>
        <w:rPr>
          <w:rFonts w:hint="eastAsia" w:eastAsia="宋体" w:cs="宋体"/>
          <w:b/>
          <w:bCs/>
          <w:color w:val="auto"/>
          <w:highlight w:val="none"/>
        </w:rPr>
        <w:t>一、项目需求</w:t>
      </w:r>
    </w:p>
    <w:p w14:paraId="09EB1C1E">
      <w:pPr>
        <w:spacing w:line="420" w:lineRule="exact"/>
        <w:ind w:firstLine="482"/>
        <w:outlineLvl w:val="2"/>
        <w:rPr>
          <w:rFonts w:eastAsia="宋体" w:cs="宋体"/>
          <w:b/>
          <w:bCs/>
          <w:color w:val="auto"/>
          <w:highlight w:val="none"/>
        </w:rPr>
      </w:pPr>
      <w:r>
        <w:rPr>
          <w:rFonts w:hint="eastAsia" w:eastAsia="宋体" w:cs="宋体"/>
          <w:b/>
          <w:bCs/>
          <w:color w:val="auto"/>
          <w:highlight w:val="none"/>
        </w:rPr>
        <w:t>（一）项目背景</w:t>
      </w:r>
    </w:p>
    <w:p w14:paraId="7402472E">
      <w:pPr>
        <w:spacing w:line="420" w:lineRule="exact"/>
        <w:ind w:firstLine="480"/>
        <w:rPr>
          <w:rFonts w:eastAsia="宋体" w:cs="宋体"/>
          <w:color w:val="auto"/>
          <w:highlight w:val="none"/>
        </w:rPr>
      </w:pPr>
      <w:r>
        <w:rPr>
          <w:rFonts w:hint="eastAsia" w:eastAsia="宋体" w:cs="宋体"/>
          <w:color w:val="auto"/>
          <w:highlight w:val="none"/>
        </w:rPr>
        <w:t>根据国务院《中华人民共和国政府采购法实施条例》（国务院658号令）、《优化营商环境条例》（国务院722号令）、财政部《关于促进政府采购公平竞争优化营商环境的通知》（财库〔2019〕38号）、《政府采购框架协议采购方式管理暂行办法》（财政部令第110号）、江苏省财政厅《关于取消江苏省省级政府采购会计服务等入围供应商库的通告》（苏财购〔2019〕48号）等文件要求，为保证公平市场竞争，选择符合条件的中介机构。</w:t>
      </w:r>
    </w:p>
    <w:p w14:paraId="27B13AFD">
      <w:pPr>
        <w:spacing w:line="420" w:lineRule="exact"/>
        <w:ind w:firstLine="482"/>
        <w:outlineLvl w:val="2"/>
        <w:rPr>
          <w:rFonts w:eastAsia="宋体" w:cs="宋体"/>
          <w:b/>
          <w:bCs/>
          <w:color w:val="auto"/>
          <w:highlight w:val="none"/>
        </w:rPr>
      </w:pPr>
      <w:r>
        <w:rPr>
          <w:rFonts w:hint="eastAsia" w:eastAsia="宋体" w:cs="宋体"/>
          <w:b/>
          <w:bCs/>
          <w:color w:val="auto"/>
          <w:highlight w:val="none"/>
        </w:rPr>
        <w:t>（二）项目需求</w:t>
      </w:r>
    </w:p>
    <w:p w14:paraId="4CD44631">
      <w:pPr>
        <w:spacing w:line="420" w:lineRule="exact"/>
        <w:ind w:firstLine="482"/>
        <w:outlineLvl w:val="3"/>
        <w:rPr>
          <w:rFonts w:eastAsia="宋体" w:cs="宋体"/>
          <w:b/>
          <w:bCs/>
          <w:color w:val="auto"/>
          <w:highlight w:val="none"/>
        </w:rPr>
      </w:pPr>
      <w:r>
        <w:rPr>
          <w:rFonts w:hint="eastAsia" w:eastAsia="宋体" w:cs="宋体"/>
          <w:b/>
          <w:bCs/>
          <w:color w:val="auto"/>
          <w:highlight w:val="none"/>
        </w:rPr>
        <w:t>1.评审范围</w:t>
      </w:r>
    </w:p>
    <w:p w14:paraId="28A46792">
      <w:pPr>
        <w:spacing w:line="420" w:lineRule="exact"/>
        <w:ind w:firstLine="480"/>
        <w:rPr>
          <w:rFonts w:eastAsia="宋体" w:cs="宋体"/>
          <w:color w:val="auto"/>
          <w:highlight w:val="none"/>
        </w:rPr>
      </w:pPr>
      <w:r>
        <w:rPr>
          <w:rFonts w:hint="eastAsia" w:eastAsia="宋体" w:cs="宋体"/>
          <w:color w:val="auto"/>
          <w:highlight w:val="none"/>
        </w:rPr>
        <w:t>①投资估算评审；②项目概算、预算评审；③工程变更评审</w:t>
      </w:r>
      <w:r>
        <w:rPr>
          <w:rFonts w:eastAsia="宋体" w:cs="宋体"/>
          <w:color w:val="auto"/>
          <w:highlight w:val="none"/>
        </w:rPr>
        <w:t>。</w:t>
      </w:r>
    </w:p>
    <w:p w14:paraId="51296EB3">
      <w:pPr>
        <w:spacing w:line="420" w:lineRule="exact"/>
        <w:ind w:firstLine="482"/>
        <w:outlineLvl w:val="3"/>
        <w:rPr>
          <w:rFonts w:eastAsia="宋体" w:cs="宋体"/>
          <w:b/>
          <w:bCs/>
          <w:color w:val="auto"/>
          <w:highlight w:val="none"/>
        </w:rPr>
      </w:pPr>
      <w:r>
        <w:rPr>
          <w:rFonts w:hint="eastAsia" w:eastAsia="宋体" w:cs="宋体"/>
          <w:b/>
          <w:bCs/>
          <w:color w:val="auto"/>
          <w:highlight w:val="none"/>
        </w:rPr>
        <w:t>2.评审内容</w:t>
      </w:r>
    </w:p>
    <w:p w14:paraId="1D2FED85">
      <w:pPr>
        <w:spacing w:line="420" w:lineRule="exact"/>
        <w:ind w:firstLine="480"/>
        <w:rPr>
          <w:rFonts w:eastAsia="宋体" w:cs="宋体"/>
          <w:color w:val="auto"/>
          <w:highlight w:val="none"/>
        </w:rPr>
      </w:pPr>
      <w:r>
        <w:rPr>
          <w:rFonts w:hint="eastAsia" w:eastAsia="宋体" w:cs="宋体"/>
          <w:color w:val="auto"/>
          <w:highlight w:val="none"/>
        </w:rPr>
        <w:t>①投资估算评审：对项目使用功能、建设内容、规模、标准、估算指标等方面进行评审，出具项目估算初步评审报告。</w:t>
      </w:r>
    </w:p>
    <w:p w14:paraId="5CE9925E">
      <w:pPr>
        <w:spacing w:line="420" w:lineRule="exact"/>
        <w:ind w:firstLine="480"/>
        <w:rPr>
          <w:rFonts w:eastAsia="宋体" w:cs="宋体"/>
          <w:color w:val="auto"/>
          <w:highlight w:val="none"/>
        </w:rPr>
      </w:pPr>
      <w:r>
        <w:rPr>
          <w:rFonts w:hint="eastAsia" w:eastAsia="宋体" w:cs="宋体"/>
          <w:color w:val="auto"/>
          <w:highlight w:val="none"/>
        </w:rPr>
        <w:t>②项目概算、预算评审：对工程量计算、材料价格、材料暂估价、概算、预算定额套用、取费、工程前后期相关规费和其它费用等进行评审，出具项目概算、预算初步评审报告或意见。</w:t>
      </w:r>
    </w:p>
    <w:p w14:paraId="110F3D28">
      <w:pPr>
        <w:spacing w:line="420" w:lineRule="exact"/>
        <w:ind w:firstLine="480"/>
        <w:rPr>
          <w:rFonts w:eastAsia="宋体" w:cs="宋体"/>
          <w:color w:val="auto"/>
          <w:highlight w:val="none"/>
        </w:rPr>
      </w:pPr>
      <w:r>
        <w:rPr>
          <w:rFonts w:hint="eastAsia" w:eastAsia="宋体" w:cs="宋体"/>
          <w:color w:val="auto"/>
          <w:highlight w:val="none"/>
        </w:rPr>
        <w:t>③工程变更评审：审查设计变更手续是否完备，变更是否必要、真实，签证资料是否真实、准确；费用是否按照合同约定、相关会商意见执行，相关定额、材料设备价格等是否准确合理，出具评审报告。</w:t>
      </w:r>
    </w:p>
    <w:p w14:paraId="7A6F497A">
      <w:pPr>
        <w:spacing w:line="420" w:lineRule="exact"/>
        <w:ind w:firstLine="480"/>
        <w:rPr>
          <w:rFonts w:eastAsia="宋体" w:cs="宋体"/>
          <w:color w:val="auto"/>
          <w:highlight w:val="none"/>
        </w:rPr>
      </w:pPr>
      <w:r>
        <w:rPr>
          <w:rFonts w:hint="eastAsia" w:eastAsia="宋体" w:cs="宋体"/>
          <w:color w:val="auto"/>
          <w:highlight w:val="none"/>
        </w:rPr>
        <w:t>④法律、法规、规章要求评审的其它事项。</w:t>
      </w:r>
    </w:p>
    <w:p w14:paraId="3CAED760">
      <w:pPr>
        <w:spacing w:line="420" w:lineRule="exact"/>
        <w:ind w:firstLine="482"/>
        <w:outlineLvl w:val="3"/>
        <w:rPr>
          <w:rFonts w:eastAsia="宋体" w:cs="宋体"/>
          <w:b/>
          <w:bCs/>
          <w:color w:val="auto"/>
          <w:highlight w:val="none"/>
        </w:rPr>
      </w:pPr>
      <w:r>
        <w:rPr>
          <w:rFonts w:hint="eastAsia" w:eastAsia="宋体" w:cs="宋体"/>
          <w:b/>
          <w:bCs/>
          <w:color w:val="auto"/>
          <w:highlight w:val="none"/>
        </w:rPr>
        <w:t>3.评审进度要求</w:t>
      </w:r>
    </w:p>
    <w:p w14:paraId="5AFD8734">
      <w:pPr>
        <w:spacing w:line="420" w:lineRule="exact"/>
        <w:ind w:firstLine="480"/>
        <w:rPr>
          <w:rFonts w:eastAsia="宋体" w:cs="宋体"/>
          <w:color w:val="auto"/>
          <w:highlight w:val="none"/>
        </w:rPr>
      </w:pPr>
      <w:r>
        <w:rPr>
          <w:rFonts w:hint="eastAsia" w:eastAsia="宋体" w:cs="宋体"/>
          <w:color w:val="auto"/>
          <w:highlight w:val="none"/>
        </w:rPr>
        <w:t>①估算、概算、预算，供应商接收评审资料之日起2个工作日内，反馈资料缺失情况。</w:t>
      </w:r>
    </w:p>
    <w:p w14:paraId="7E180DA4">
      <w:pPr>
        <w:spacing w:line="420" w:lineRule="exact"/>
        <w:ind w:firstLine="480"/>
        <w:rPr>
          <w:rFonts w:eastAsia="宋体" w:cs="宋体"/>
          <w:color w:val="auto"/>
          <w:highlight w:val="none"/>
        </w:rPr>
      </w:pPr>
      <w:r>
        <w:rPr>
          <w:rFonts w:hint="eastAsia" w:eastAsia="宋体" w:cs="宋体"/>
          <w:color w:val="auto"/>
          <w:highlight w:val="none"/>
        </w:rPr>
        <w:t>②供应商在接收完整资料后，应在下表规定的期间内完成委托任务，并出具书面咨询报告。非供应商原因不能按时完成的，应向采购人书面报告。若所需资料评审未能及时提供齐全，供应商应就已提供的资料先行推进评审工作，不可因资料不全而完全停止工作。</w:t>
      </w:r>
    </w:p>
    <w:p w14:paraId="6E91FC0A">
      <w:pPr>
        <w:spacing w:line="420" w:lineRule="exact"/>
        <w:ind w:firstLine="480"/>
        <w:rPr>
          <w:rFonts w:eastAsia="宋体" w:cs="宋体"/>
          <w:color w:val="auto"/>
          <w:highlight w:val="none"/>
        </w:rPr>
      </w:pPr>
      <w:r>
        <w:rPr>
          <w:rFonts w:hint="eastAsia" w:eastAsia="宋体" w:cs="宋体"/>
          <w:color w:val="auto"/>
          <w:highlight w:val="none"/>
        </w:rPr>
        <w:t>③进度时间要求详见下表：</w:t>
      </w:r>
    </w:p>
    <w:tbl>
      <w:tblPr>
        <w:tblStyle w:val="89"/>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1701"/>
        <w:gridCol w:w="1701"/>
        <w:gridCol w:w="1417"/>
      </w:tblGrid>
      <w:tr w14:paraId="7B11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661" w:type="dxa"/>
            <w:tcBorders>
              <w:top w:val="single" w:color="auto" w:sz="4" w:space="0"/>
              <w:left w:val="single" w:color="auto" w:sz="4" w:space="0"/>
              <w:bottom w:val="single" w:color="auto" w:sz="4" w:space="0"/>
              <w:right w:val="single" w:color="auto" w:sz="4" w:space="0"/>
            </w:tcBorders>
            <w:shd w:val="clear" w:color="auto" w:fill="auto"/>
            <w:vAlign w:val="center"/>
          </w:tcPr>
          <w:p w14:paraId="0CCD0181">
            <w:pPr>
              <w:snapToGrid w:val="0"/>
              <w:spacing w:line="500" w:lineRule="exact"/>
              <w:ind w:firstLine="960" w:firstLineChars="400"/>
              <w:rPr>
                <w:rFonts w:ascii="宋体" w:hAnsi="Calibri" w:eastAsia="宋体"/>
                <w:color w:val="auto"/>
                <w:kern w:val="2"/>
                <w:highlight w:val="none"/>
              </w:rPr>
            </w:pPr>
            <w:bookmarkStart w:id="131" w:name="OLE_LINK13"/>
            <w:bookmarkStart w:id="132" w:name="OLE_LINK14"/>
            <w:r>
              <w:rPr>
                <w:rFonts w:hint="eastAsia" w:ascii="宋体" w:hAnsi="宋体" w:eastAsia="宋体" w:cs="宋体"/>
                <w:color w:val="auto"/>
                <w:kern w:val="2"/>
                <w:highlight w:val="none"/>
                <w:lang w:bidi="ar"/>
              </w:rPr>
              <w:t>评审项目送审金额</w:t>
            </w:r>
          </w:p>
        </w:tc>
        <w:tc>
          <w:tcPr>
            <w:tcW w:w="1701" w:type="dxa"/>
            <w:tcBorders>
              <w:top w:val="single" w:color="auto" w:sz="4" w:space="0"/>
              <w:left w:val="nil"/>
              <w:bottom w:val="single" w:color="auto" w:sz="4" w:space="0"/>
              <w:right w:val="single" w:color="auto" w:sz="4" w:space="0"/>
            </w:tcBorders>
            <w:shd w:val="clear" w:color="auto" w:fill="auto"/>
            <w:vAlign w:val="center"/>
          </w:tcPr>
          <w:p w14:paraId="1345CC1D">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估算</w:t>
            </w:r>
          </w:p>
        </w:tc>
        <w:tc>
          <w:tcPr>
            <w:tcW w:w="1701" w:type="dxa"/>
            <w:tcBorders>
              <w:top w:val="single" w:color="auto" w:sz="4" w:space="0"/>
              <w:left w:val="nil"/>
              <w:bottom w:val="single" w:color="auto" w:sz="4" w:space="0"/>
              <w:right w:val="single" w:color="auto" w:sz="4" w:space="0"/>
            </w:tcBorders>
            <w:shd w:val="clear" w:color="auto" w:fill="auto"/>
            <w:vAlign w:val="center"/>
          </w:tcPr>
          <w:p w14:paraId="0B588D2D">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概算</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044DD3">
            <w:pPr>
              <w:snapToGrid w:val="0"/>
              <w:spacing w:line="500" w:lineRule="exact"/>
              <w:jc w:val="center"/>
              <w:rPr>
                <w:rFonts w:ascii="宋体" w:hAnsi="宋体" w:eastAsia="宋体"/>
                <w:color w:val="auto"/>
                <w:kern w:val="2"/>
                <w:highlight w:val="none"/>
              </w:rPr>
            </w:pPr>
            <w:r>
              <w:rPr>
                <w:rFonts w:hint="eastAsia" w:ascii="宋体" w:hAnsi="宋体" w:eastAsia="宋体" w:cs="宋体"/>
                <w:color w:val="auto"/>
                <w:kern w:val="2"/>
                <w:highlight w:val="none"/>
                <w:lang w:bidi="ar"/>
              </w:rPr>
              <w:t>预算</w:t>
            </w:r>
          </w:p>
        </w:tc>
      </w:tr>
      <w:tr w14:paraId="46E6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661" w:type="dxa"/>
            <w:tcBorders>
              <w:top w:val="single" w:color="auto" w:sz="4" w:space="0"/>
              <w:left w:val="single" w:color="auto" w:sz="4" w:space="0"/>
              <w:bottom w:val="single" w:color="auto" w:sz="4" w:space="0"/>
              <w:right w:val="single" w:color="auto" w:sz="4" w:space="0"/>
            </w:tcBorders>
            <w:shd w:val="clear" w:color="auto" w:fill="auto"/>
            <w:vAlign w:val="center"/>
          </w:tcPr>
          <w:p w14:paraId="3327FA84">
            <w:pPr>
              <w:snapToGrid w:val="0"/>
              <w:spacing w:line="500" w:lineRule="exact"/>
              <w:ind w:firstLine="1200" w:firstLineChars="500"/>
              <w:rPr>
                <w:rFonts w:ascii="宋体" w:hAnsi="Calibri" w:eastAsia="宋体"/>
                <w:color w:val="auto"/>
                <w:kern w:val="2"/>
                <w:highlight w:val="none"/>
              </w:rPr>
            </w:pPr>
            <w:r>
              <w:rPr>
                <w:rFonts w:hint="eastAsia" w:ascii="宋体" w:hAnsi="宋体" w:eastAsia="宋体" w:cs="宋体"/>
                <w:color w:val="auto"/>
                <w:kern w:val="2"/>
                <w:highlight w:val="none"/>
                <w:lang w:bidi="ar"/>
              </w:rPr>
              <w:t>500万元以下</w:t>
            </w:r>
          </w:p>
        </w:tc>
        <w:tc>
          <w:tcPr>
            <w:tcW w:w="1701" w:type="dxa"/>
            <w:tcBorders>
              <w:top w:val="single" w:color="auto" w:sz="4" w:space="0"/>
              <w:left w:val="nil"/>
              <w:bottom w:val="single" w:color="auto" w:sz="4" w:space="0"/>
              <w:right w:val="single" w:color="auto" w:sz="4" w:space="0"/>
            </w:tcBorders>
            <w:shd w:val="clear" w:color="auto" w:fill="auto"/>
            <w:vAlign w:val="center"/>
          </w:tcPr>
          <w:p w14:paraId="14BF8E36">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701" w:type="dxa"/>
            <w:tcBorders>
              <w:top w:val="single" w:color="auto" w:sz="4" w:space="0"/>
              <w:left w:val="nil"/>
              <w:bottom w:val="single" w:color="auto" w:sz="4" w:space="0"/>
              <w:right w:val="single" w:color="auto" w:sz="4" w:space="0"/>
            </w:tcBorders>
            <w:shd w:val="clear" w:color="auto" w:fill="auto"/>
            <w:vAlign w:val="center"/>
          </w:tcPr>
          <w:p w14:paraId="18691DF4">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5工作日</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F9AFFA">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5工作日</w:t>
            </w:r>
          </w:p>
        </w:tc>
      </w:tr>
      <w:tr w14:paraId="6E40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1" w:type="dxa"/>
            <w:tcBorders>
              <w:top w:val="single" w:color="auto" w:sz="4" w:space="0"/>
              <w:left w:val="single" w:color="auto" w:sz="4" w:space="0"/>
              <w:bottom w:val="single" w:color="auto" w:sz="4" w:space="0"/>
              <w:right w:val="single" w:color="auto" w:sz="4" w:space="0"/>
            </w:tcBorders>
            <w:shd w:val="clear" w:color="auto" w:fill="auto"/>
            <w:vAlign w:val="center"/>
          </w:tcPr>
          <w:p w14:paraId="5AE4E662">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500万元-2000万元</w:t>
            </w:r>
          </w:p>
          <w:p w14:paraId="64C3D5E4">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（含500万元）</w:t>
            </w:r>
          </w:p>
        </w:tc>
        <w:tc>
          <w:tcPr>
            <w:tcW w:w="1701" w:type="dxa"/>
            <w:tcBorders>
              <w:top w:val="single" w:color="auto" w:sz="4" w:space="0"/>
              <w:left w:val="nil"/>
              <w:bottom w:val="single" w:color="auto" w:sz="4" w:space="0"/>
              <w:right w:val="single" w:color="auto" w:sz="4" w:space="0"/>
            </w:tcBorders>
            <w:shd w:val="clear" w:color="auto" w:fill="auto"/>
            <w:vAlign w:val="center"/>
          </w:tcPr>
          <w:p w14:paraId="4FA95931">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701" w:type="dxa"/>
            <w:tcBorders>
              <w:top w:val="single" w:color="auto" w:sz="4" w:space="0"/>
              <w:left w:val="nil"/>
              <w:bottom w:val="single" w:color="auto" w:sz="4" w:space="0"/>
              <w:right w:val="single" w:color="auto" w:sz="4" w:space="0"/>
            </w:tcBorders>
            <w:shd w:val="clear" w:color="auto" w:fill="auto"/>
            <w:vAlign w:val="center"/>
          </w:tcPr>
          <w:p w14:paraId="6FD24E45">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7工作日</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1B63A7">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7工作日</w:t>
            </w:r>
          </w:p>
        </w:tc>
      </w:tr>
      <w:tr w14:paraId="6D28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61" w:type="dxa"/>
            <w:tcBorders>
              <w:top w:val="single" w:color="auto" w:sz="4" w:space="0"/>
              <w:left w:val="single" w:color="auto" w:sz="4" w:space="0"/>
              <w:bottom w:val="single" w:color="auto" w:sz="4" w:space="0"/>
              <w:right w:val="single" w:color="auto" w:sz="4" w:space="0"/>
            </w:tcBorders>
            <w:shd w:val="clear" w:color="auto" w:fill="auto"/>
            <w:vAlign w:val="center"/>
          </w:tcPr>
          <w:p w14:paraId="3FDAF6F1">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2000万元-5000万元</w:t>
            </w:r>
          </w:p>
          <w:p w14:paraId="13F4CC94">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（含2000万元）</w:t>
            </w:r>
          </w:p>
        </w:tc>
        <w:tc>
          <w:tcPr>
            <w:tcW w:w="1701" w:type="dxa"/>
            <w:tcBorders>
              <w:top w:val="single" w:color="auto" w:sz="4" w:space="0"/>
              <w:left w:val="nil"/>
              <w:bottom w:val="single" w:color="auto" w:sz="4" w:space="0"/>
              <w:right w:val="single" w:color="auto" w:sz="4" w:space="0"/>
            </w:tcBorders>
            <w:shd w:val="clear" w:color="auto" w:fill="auto"/>
            <w:vAlign w:val="center"/>
          </w:tcPr>
          <w:p w14:paraId="1F590EB1">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701" w:type="dxa"/>
            <w:tcBorders>
              <w:top w:val="single" w:color="auto" w:sz="4" w:space="0"/>
              <w:left w:val="nil"/>
              <w:bottom w:val="single" w:color="auto" w:sz="4" w:space="0"/>
              <w:right w:val="single" w:color="auto" w:sz="4" w:space="0"/>
            </w:tcBorders>
            <w:shd w:val="clear" w:color="auto" w:fill="auto"/>
            <w:vAlign w:val="center"/>
          </w:tcPr>
          <w:p w14:paraId="1A353CCD">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9工作日</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A9C85E">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9工作日</w:t>
            </w:r>
          </w:p>
        </w:tc>
      </w:tr>
      <w:tr w14:paraId="59DB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661" w:type="dxa"/>
            <w:tcBorders>
              <w:top w:val="single" w:color="auto" w:sz="4" w:space="0"/>
              <w:left w:val="single" w:color="auto" w:sz="4" w:space="0"/>
              <w:bottom w:val="single" w:color="auto" w:sz="4" w:space="0"/>
              <w:right w:val="single" w:color="auto" w:sz="4" w:space="0"/>
            </w:tcBorders>
            <w:shd w:val="clear" w:color="auto" w:fill="auto"/>
            <w:vAlign w:val="center"/>
          </w:tcPr>
          <w:p w14:paraId="6303E959">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5000万元以上</w:t>
            </w:r>
          </w:p>
          <w:p w14:paraId="203EF775">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（含5000万元）</w:t>
            </w:r>
          </w:p>
        </w:tc>
        <w:tc>
          <w:tcPr>
            <w:tcW w:w="1701" w:type="dxa"/>
            <w:tcBorders>
              <w:top w:val="single" w:color="auto" w:sz="4" w:space="0"/>
              <w:left w:val="nil"/>
              <w:bottom w:val="single" w:color="auto" w:sz="4" w:space="0"/>
              <w:right w:val="single" w:color="auto" w:sz="4" w:space="0"/>
            </w:tcBorders>
            <w:shd w:val="clear" w:color="auto" w:fill="auto"/>
            <w:vAlign w:val="center"/>
          </w:tcPr>
          <w:p w14:paraId="3390CE37">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701" w:type="dxa"/>
            <w:tcBorders>
              <w:top w:val="single" w:color="auto" w:sz="4" w:space="0"/>
              <w:left w:val="nil"/>
              <w:bottom w:val="single" w:color="auto" w:sz="4" w:space="0"/>
              <w:right w:val="single" w:color="auto" w:sz="4" w:space="0"/>
            </w:tcBorders>
            <w:shd w:val="clear" w:color="auto" w:fill="auto"/>
            <w:vAlign w:val="center"/>
          </w:tcPr>
          <w:p w14:paraId="56794DE8">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11工作日</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B44C20">
            <w:pPr>
              <w:snapToGrid w:val="0"/>
              <w:spacing w:line="500" w:lineRule="exact"/>
              <w:jc w:val="center"/>
              <w:rPr>
                <w:rFonts w:ascii="宋体" w:hAnsi="宋体" w:eastAsia="宋体" w:cs="宋体"/>
                <w:color w:val="auto"/>
                <w:kern w:val="2"/>
                <w:highlight w:val="none"/>
                <w:lang w:bidi="ar"/>
              </w:rPr>
            </w:pPr>
            <w:r>
              <w:rPr>
                <w:rFonts w:hint="eastAsia" w:ascii="宋体" w:hAnsi="宋体" w:eastAsia="宋体" w:cs="宋体"/>
                <w:color w:val="auto"/>
                <w:kern w:val="2"/>
                <w:highlight w:val="none"/>
                <w:lang w:bidi="ar"/>
              </w:rPr>
              <w:t>11工作日</w:t>
            </w:r>
          </w:p>
        </w:tc>
      </w:tr>
    </w:tbl>
    <w:p w14:paraId="30EFBB10">
      <w:pPr>
        <w:spacing w:line="420" w:lineRule="exact"/>
        <w:ind w:firstLine="482"/>
        <w:outlineLvl w:val="3"/>
        <w:rPr>
          <w:rFonts w:eastAsia="宋体" w:cs="宋体"/>
          <w:b/>
          <w:bCs/>
          <w:color w:val="auto"/>
          <w:highlight w:val="none"/>
        </w:rPr>
      </w:pPr>
      <w:r>
        <w:rPr>
          <w:rFonts w:hint="eastAsia" w:eastAsia="宋体" w:cs="宋体"/>
          <w:b/>
          <w:bCs/>
          <w:color w:val="auto"/>
          <w:highlight w:val="none"/>
        </w:rPr>
        <w:t>注：开始时间以采购人协审委派单次日计算。</w:t>
      </w:r>
    </w:p>
    <w:bookmarkEnd w:id="131"/>
    <w:bookmarkEnd w:id="132"/>
    <w:p w14:paraId="4A74F307">
      <w:pPr>
        <w:spacing w:line="420" w:lineRule="exact"/>
        <w:ind w:firstLine="482"/>
        <w:outlineLvl w:val="3"/>
        <w:rPr>
          <w:rFonts w:eastAsia="宋体" w:cs="宋体"/>
          <w:b/>
          <w:bCs/>
          <w:color w:val="auto"/>
          <w:highlight w:val="none"/>
        </w:rPr>
      </w:pPr>
      <w:r>
        <w:rPr>
          <w:rFonts w:hint="eastAsia" w:eastAsia="宋体" w:cs="宋体"/>
          <w:b/>
          <w:bCs/>
          <w:color w:val="auto"/>
          <w:highlight w:val="none"/>
        </w:rPr>
        <w:t>4.评审质量要求</w:t>
      </w:r>
    </w:p>
    <w:p w14:paraId="51DA8A0A">
      <w:pPr>
        <w:spacing w:line="420" w:lineRule="exact"/>
        <w:ind w:firstLine="480"/>
        <w:rPr>
          <w:rFonts w:eastAsia="宋体" w:cs="宋体"/>
          <w:color w:val="auto"/>
          <w:highlight w:val="none"/>
        </w:rPr>
      </w:pPr>
      <w:r>
        <w:rPr>
          <w:rFonts w:hint="eastAsia" w:eastAsia="宋体" w:cs="宋体"/>
          <w:color w:val="auto"/>
          <w:highlight w:val="none"/>
        </w:rPr>
        <w:t>①各协审单位在协审过程中应按照造价咨询执业规范和采购人的要求，接受采购人的执业质量监督。</w:t>
      </w:r>
    </w:p>
    <w:p w14:paraId="0562D5A4">
      <w:pPr>
        <w:spacing w:line="420" w:lineRule="exact"/>
        <w:ind w:firstLine="480"/>
        <w:rPr>
          <w:rFonts w:eastAsia="宋体" w:cs="宋体"/>
          <w:color w:val="auto"/>
          <w:highlight w:val="none"/>
        </w:rPr>
      </w:pPr>
      <w:r>
        <w:rPr>
          <w:rFonts w:hint="eastAsia" w:eastAsia="宋体" w:cs="宋体"/>
          <w:color w:val="auto"/>
          <w:highlight w:val="none"/>
        </w:rPr>
        <w:t>②估算、概算、预算评审工作要求：各协审单位应强化内部制度，督促协审人员根据方案设计文件，结合项目规模、使用功能、估算费用、资金使用等方面对投资估算进行评审；根据初步设计文件，对项目概算的工程量、计价依据、材料价格等进行评审。根据施工图设计文件，对项目预算的工程量、计价依据、材料价格等进行审核。 必要时须查勘现场，对非标产品进行询价，确保评审报告科学、合理。</w:t>
      </w:r>
    </w:p>
    <w:p w14:paraId="46323CDC">
      <w:pPr>
        <w:spacing w:line="420" w:lineRule="exact"/>
        <w:ind w:firstLine="480"/>
        <w:rPr>
          <w:rFonts w:eastAsia="宋体" w:cs="宋体"/>
          <w:color w:val="auto"/>
          <w:highlight w:val="none"/>
        </w:rPr>
      </w:pPr>
      <w:r>
        <w:rPr>
          <w:rFonts w:hint="eastAsia" w:eastAsia="宋体" w:cs="宋体"/>
          <w:color w:val="auto"/>
          <w:highlight w:val="none"/>
        </w:rPr>
        <w:t>③各协审单位应认真做好内部复核工作，做到每个协审项目初稿在送采购人前，都应有技术负责人严格把关，努力提高协审质量。</w:t>
      </w:r>
    </w:p>
    <w:p w14:paraId="0378B8C6">
      <w:pPr>
        <w:spacing w:line="420" w:lineRule="exact"/>
        <w:ind w:firstLine="480"/>
        <w:rPr>
          <w:rFonts w:eastAsia="宋体" w:cs="宋体"/>
          <w:color w:val="auto"/>
          <w:highlight w:val="none"/>
        </w:rPr>
      </w:pPr>
      <w:r>
        <w:rPr>
          <w:rFonts w:hint="eastAsia" w:eastAsia="宋体" w:cs="宋体"/>
          <w:color w:val="auto"/>
          <w:highlight w:val="none"/>
        </w:rPr>
        <w:t>④采购人对参与协审的供应商进行动态管理。采购人以供应商每一个参审工程为单位，对供应商完成的项目进行考核。</w:t>
      </w:r>
    </w:p>
    <w:p w14:paraId="7A44D022">
      <w:pPr>
        <w:spacing w:line="420" w:lineRule="exact"/>
        <w:ind w:firstLine="482"/>
        <w:outlineLvl w:val="3"/>
        <w:rPr>
          <w:rFonts w:eastAsia="宋体" w:cs="宋体"/>
          <w:b/>
          <w:bCs/>
          <w:color w:val="auto"/>
          <w:highlight w:val="none"/>
        </w:rPr>
      </w:pPr>
      <w:r>
        <w:rPr>
          <w:rFonts w:hint="eastAsia" w:eastAsia="宋体" w:cs="宋体"/>
          <w:b/>
          <w:bCs/>
          <w:color w:val="auto"/>
          <w:highlight w:val="none"/>
        </w:rPr>
        <w:t>5.项目负责人要求</w:t>
      </w:r>
    </w:p>
    <w:p w14:paraId="655A2AF0">
      <w:pPr>
        <w:spacing w:line="420" w:lineRule="exact"/>
        <w:ind w:firstLine="480"/>
        <w:rPr>
          <w:rFonts w:eastAsia="宋体" w:cs="宋体"/>
          <w:color w:val="auto"/>
          <w:highlight w:val="none"/>
        </w:rPr>
      </w:pPr>
      <w:r>
        <w:rPr>
          <w:rFonts w:hint="eastAsia" w:eastAsia="宋体" w:cs="宋体"/>
          <w:color w:val="auto"/>
          <w:highlight w:val="none"/>
        </w:rPr>
        <w:t>①供应商拟派项目负责人应具有一级注册造价工程师资质。（注：土木建筑工程、安装工程、交通运输工程（公路、水运）、水利工程四类中的任意一种）</w:t>
      </w:r>
    </w:p>
    <w:p w14:paraId="4558A73E">
      <w:pPr>
        <w:spacing w:line="420" w:lineRule="exact"/>
        <w:ind w:firstLine="480"/>
        <w:rPr>
          <w:rFonts w:eastAsia="宋体" w:cs="宋体"/>
          <w:color w:val="auto"/>
          <w:highlight w:val="none"/>
        </w:rPr>
      </w:pPr>
      <w:bookmarkStart w:id="133" w:name="_Hlk184248600"/>
      <w:r>
        <w:rPr>
          <w:rFonts w:hint="eastAsia" w:eastAsia="宋体" w:cs="宋体"/>
          <w:color w:val="auto"/>
          <w:highlight w:val="none"/>
        </w:rPr>
        <w:t>②供应商拟派项目负责人必须为供应商的正式在职人员。（注：参与征集活动时，供应商应提供为其缴纳的2025年4月至6月内任意一个月的社保证明并加盖供应商CA公章。）</w:t>
      </w:r>
    </w:p>
    <w:p w14:paraId="2AD24E88">
      <w:pPr>
        <w:spacing w:line="420" w:lineRule="exact"/>
        <w:ind w:firstLine="480"/>
        <w:rPr>
          <w:rFonts w:eastAsia="宋体"/>
          <w:color w:val="auto"/>
          <w:highlight w:val="none"/>
        </w:rPr>
      </w:pPr>
      <w:r>
        <w:rPr>
          <w:rFonts w:hint="eastAsia" w:eastAsia="宋体" w:cs="宋体"/>
          <w:color w:val="auto"/>
          <w:highlight w:val="none"/>
        </w:rPr>
        <w:t>③供应商拟派项目负责人自2022年1月1日以来须在现投标单位任职期间负责或参与的工程结算审计业绩或项目估算、概算、预算评审业绩。</w:t>
      </w:r>
      <w:bookmarkStart w:id="134" w:name="_Hlk184464846"/>
      <w:r>
        <w:rPr>
          <w:rFonts w:hint="eastAsia" w:eastAsia="宋体" w:cs="宋体"/>
          <w:color w:val="auto"/>
          <w:highlight w:val="none"/>
        </w:rPr>
        <w:t>【需提供中标通知书或网上中标公示截图、合同、造价咨询报告；业绩证明时间以造价咨询报告出具时间为准】</w:t>
      </w:r>
    </w:p>
    <w:p w14:paraId="5F530CF1">
      <w:pPr>
        <w:spacing w:line="420" w:lineRule="exact"/>
        <w:ind w:firstLine="480"/>
        <w:rPr>
          <w:rFonts w:eastAsia="宋体" w:cs="宋体"/>
          <w:color w:val="auto"/>
          <w:highlight w:val="none"/>
        </w:rPr>
      </w:pPr>
      <w:r>
        <w:rPr>
          <w:rFonts w:hint="eastAsia" w:eastAsia="宋体" w:cs="宋体"/>
          <w:color w:val="auto"/>
          <w:highlight w:val="none"/>
        </w:rPr>
        <w:t>④因项目负责人辞职、生病等原因，需另行选择项目负责人的，其资质应当不低于被替换人员的资质，并向采购人书面申请和报送另行选择项目负责人的资质证明材料，取得采购人同意后方可更换。</w:t>
      </w:r>
    </w:p>
    <w:bookmarkEnd w:id="133"/>
    <w:bookmarkEnd w:id="134"/>
    <w:p w14:paraId="27834CE7">
      <w:pPr>
        <w:spacing w:line="420" w:lineRule="exact"/>
        <w:ind w:firstLine="482"/>
        <w:outlineLvl w:val="1"/>
        <w:rPr>
          <w:rFonts w:eastAsia="宋体" w:cs="宋体"/>
          <w:b/>
          <w:bCs/>
          <w:color w:val="auto"/>
          <w:highlight w:val="none"/>
        </w:rPr>
      </w:pPr>
      <w:r>
        <w:rPr>
          <w:rFonts w:hint="eastAsia" w:eastAsia="宋体" w:cs="宋体"/>
          <w:b/>
          <w:bCs/>
          <w:color w:val="auto"/>
          <w:highlight w:val="none"/>
        </w:rPr>
        <w:t>二、协审费用的结算</w:t>
      </w:r>
      <w:r>
        <w:rPr>
          <w:rFonts w:hint="eastAsia" w:eastAsia="宋体" w:cs="宋体"/>
          <w:b/>
          <w:bCs/>
          <w:color w:val="auto"/>
          <w:highlight w:val="none"/>
          <w:lang w:val="en-US" w:eastAsia="zh-CN"/>
        </w:rPr>
        <w:t>及</w:t>
      </w:r>
      <w:r>
        <w:rPr>
          <w:rFonts w:hint="eastAsia" w:eastAsia="宋体" w:cs="宋体"/>
          <w:b/>
          <w:bCs/>
          <w:color w:val="auto"/>
          <w:highlight w:val="none"/>
        </w:rPr>
        <w:t>支付</w:t>
      </w:r>
    </w:p>
    <w:p w14:paraId="643B6328">
      <w:pPr>
        <w:spacing w:line="420" w:lineRule="exact"/>
        <w:ind w:firstLine="482"/>
        <w:outlineLvl w:val="3"/>
        <w:rPr>
          <w:rFonts w:eastAsia="宋体" w:cs="宋体"/>
          <w:b/>
          <w:bCs/>
          <w:color w:val="auto"/>
          <w:highlight w:val="none"/>
        </w:rPr>
      </w:pPr>
      <w:bookmarkStart w:id="135" w:name="OLE_LINK11"/>
      <w:bookmarkStart w:id="136" w:name="OLE_LINK9"/>
      <w:bookmarkStart w:id="137" w:name="OLE_LINK15"/>
      <w:r>
        <w:rPr>
          <w:rFonts w:hint="eastAsia" w:eastAsia="宋体" w:cs="宋体"/>
          <w:b/>
          <w:bCs/>
          <w:color w:val="auto"/>
          <w:highlight w:val="none"/>
        </w:rPr>
        <w:t>1.估算、概算、预算协审费用结算</w:t>
      </w:r>
    </w:p>
    <w:bookmarkEnd w:id="135"/>
    <w:bookmarkEnd w:id="136"/>
    <w:tbl>
      <w:tblPr>
        <w:tblStyle w:val="89"/>
        <w:tblW w:w="5000" w:type="pct"/>
        <w:tblInd w:w="93" w:type="dxa"/>
        <w:tblLayout w:type="autofit"/>
        <w:tblCellMar>
          <w:top w:w="0" w:type="dxa"/>
          <w:left w:w="108" w:type="dxa"/>
          <w:bottom w:w="0" w:type="dxa"/>
          <w:right w:w="108" w:type="dxa"/>
        </w:tblCellMar>
      </w:tblPr>
      <w:tblGrid>
        <w:gridCol w:w="633"/>
        <w:gridCol w:w="1369"/>
        <w:gridCol w:w="1051"/>
        <w:gridCol w:w="1236"/>
        <w:gridCol w:w="1252"/>
        <w:gridCol w:w="1236"/>
        <w:gridCol w:w="919"/>
        <w:gridCol w:w="864"/>
        <w:gridCol w:w="1391"/>
      </w:tblGrid>
      <w:tr w14:paraId="6F276B09">
        <w:tblPrEx>
          <w:tblCellMar>
            <w:top w:w="0" w:type="dxa"/>
            <w:left w:w="108" w:type="dxa"/>
            <w:bottom w:w="0" w:type="dxa"/>
            <w:right w:w="108" w:type="dxa"/>
          </w:tblCellMar>
        </w:tblPrEx>
        <w:trPr>
          <w:trHeight w:val="630"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38234EFF">
            <w:pPr>
              <w:widowControl/>
              <w:ind w:firstLine="2891" w:firstLineChars="9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 xml:space="preserve">    协审费基准费率标准 ‰</w:t>
            </w:r>
          </w:p>
        </w:tc>
      </w:tr>
      <w:tr w14:paraId="1F461EE5">
        <w:tblPrEx>
          <w:tblCellMar>
            <w:top w:w="0" w:type="dxa"/>
            <w:left w:w="108" w:type="dxa"/>
            <w:bottom w:w="0" w:type="dxa"/>
            <w:right w:w="108" w:type="dxa"/>
          </w:tblCellMar>
        </w:tblPrEx>
        <w:trPr>
          <w:trHeight w:val="480" w:hRule="atLeast"/>
        </w:trPr>
        <w:tc>
          <w:tcPr>
            <w:tcW w:w="318" w:type="pct"/>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14:paraId="3E583C59">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类别</w:t>
            </w:r>
          </w:p>
        </w:tc>
        <w:tc>
          <w:tcPr>
            <w:tcW w:w="688" w:type="pct"/>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14:paraId="3838E4DD">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收费基数</w:t>
            </w:r>
          </w:p>
        </w:tc>
        <w:tc>
          <w:tcPr>
            <w:tcW w:w="528"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6E7C422A">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500万以内</w:t>
            </w:r>
          </w:p>
        </w:tc>
        <w:tc>
          <w:tcPr>
            <w:tcW w:w="621"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0452D758">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501-1000万</w:t>
            </w:r>
          </w:p>
        </w:tc>
        <w:tc>
          <w:tcPr>
            <w:tcW w:w="629"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6F0FC6AE">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1001-5000万</w:t>
            </w:r>
          </w:p>
        </w:tc>
        <w:tc>
          <w:tcPr>
            <w:tcW w:w="621"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6ED8EDAB">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5001万-1亿</w:t>
            </w:r>
          </w:p>
        </w:tc>
        <w:tc>
          <w:tcPr>
            <w:tcW w:w="462"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2BE94957">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1亿-5亿</w:t>
            </w:r>
          </w:p>
        </w:tc>
        <w:tc>
          <w:tcPr>
            <w:tcW w:w="434" w:type="pct"/>
            <w:tcBorders>
              <w:top w:val="single" w:color="000000" w:sz="12" w:space="0"/>
              <w:left w:val="nil"/>
              <w:bottom w:val="nil"/>
              <w:right w:val="single" w:color="000000" w:sz="12" w:space="0"/>
            </w:tcBorders>
            <w:shd w:val="clear" w:color="auto" w:fill="auto"/>
            <w:tcMar>
              <w:top w:w="15" w:type="dxa"/>
              <w:left w:w="15" w:type="dxa"/>
              <w:bottom w:w="15" w:type="dxa"/>
              <w:right w:w="15" w:type="dxa"/>
            </w:tcMar>
            <w:vAlign w:val="center"/>
          </w:tcPr>
          <w:p w14:paraId="533D2F95">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5亿以上</w:t>
            </w:r>
          </w:p>
        </w:tc>
        <w:tc>
          <w:tcPr>
            <w:tcW w:w="696" w:type="pct"/>
            <w:tcBorders>
              <w:top w:val="single" w:color="000000" w:sz="12" w:space="0"/>
              <w:left w:val="nil"/>
              <w:bottom w:val="nil"/>
              <w:right w:val="single" w:color="000000" w:sz="12" w:space="0"/>
            </w:tcBorders>
            <w:shd w:val="clear" w:color="auto" w:fill="auto"/>
            <w:tcMar>
              <w:top w:w="15" w:type="dxa"/>
              <w:left w:w="15" w:type="dxa"/>
              <w:bottom w:w="15" w:type="dxa"/>
              <w:right w:w="15" w:type="dxa"/>
            </w:tcMar>
            <w:vAlign w:val="center"/>
          </w:tcPr>
          <w:p w14:paraId="5EB5BAAE">
            <w:pPr>
              <w:widowControl/>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备注</w:t>
            </w:r>
          </w:p>
        </w:tc>
      </w:tr>
      <w:tr w14:paraId="561D87D5">
        <w:tblPrEx>
          <w:tblCellMar>
            <w:top w:w="0" w:type="dxa"/>
            <w:left w:w="108" w:type="dxa"/>
            <w:bottom w:w="0" w:type="dxa"/>
            <w:right w:w="108" w:type="dxa"/>
          </w:tblCellMar>
        </w:tblPrEx>
        <w:trPr>
          <w:trHeight w:val="648"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24638B">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投资估算审核</w:t>
            </w:r>
          </w:p>
        </w:tc>
        <w:tc>
          <w:tcPr>
            <w:tcW w:w="68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58CE1C7">
            <w:pPr>
              <w:widowControl/>
              <w:jc w:val="left"/>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总投资（不含土地费、拆迁费）</w:t>
            </w:r>
          </w:p>
        </w:tc>
        <w:tc>
          <w:tcPr>
            <w:tcW w:w="52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75FBE40">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0.2</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750300AC">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0.16</w:t>
            </w:r>
          </w:p>
        </w:tc>
        <w:tc>
          <w:tcPr>
            <w:tcW w:w="629"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4D2A0C3">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0.12</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91F77A3">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0.08</w:t>
            </w:r>
          </w:p>
        </w:tc>
        <w:tc>
          <w:tcPr>
            <w:tcW w:w="462"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ACF556D">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0.06</w:t>
            </w:r>
          </w:p>
        </w:tc>
        <w:tc>
          <w:tcPr>
            <w:tcW w:w="434"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2E30F29C">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0.04</w:t>
            </w:r>
          </w:p>
        </w:tc>
        <w:tc>
          <w:tcPr>
            <w:tcW w:w="696"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D38C267">
            <w:pPr>
              <w:widowControl/>
              <w:jc w:val="left"/>
              <w:rPr>
                <w:rFonts w:ascii="宋体" w:hAnsi="宋体" w:eastAsia="宋体" w:cs="宋体"/>
                <w:b/>
                <w:color w:val="auto"/>
                <w:sz w:val="20"/>
                <w:szCs w:val="20"/>
                <w:highlight w:val="none"/>
              </w:rPr>
            </w:pPr>
          </w:p>
        </w:tc>
      </w:tr>
      <w:tr w14:paraId="0F19FB3A">
        <w:tblPrEx>
          <w:tblCellMar>
            <w:top w:w="0" w:type="dxa"/>
            <w:left w:w="108" w:type="dxa"/>
            <w:bottom w:w="0" w:type="dxa"/>
            <w:right w:w="108" w:type="dxa"/>
          </w:tblCellMar>
        </w:tblPrEx>
        <w:trPr>
          <w:trHeight w:val="648"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FC4EE4">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工程初步设计概算审核</w:t>
            </w:r>
          </w:p>
        </w:tc>
        <w:tc>
          <w:tcPr>
            <w:tcW w:w="68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5D62D87">
            <w:pPr>
              <w:widowControl/>
              <w:ind w:firstLine="100" w:firstLineChars="50"/>
              <w:jc w:val="left"/>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送审概算价（不含土地费、拆迁费）</w:t>
            </w:r>
          </w:p>
        </w:tc>
        <w:tc>
          <w:tcPr>
            <w:tcW w:w="52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E8E15EF">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0.60</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DBFB382">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0.50</w:t>
            </w:r>
          </w:p>
        </w:tc>
        <w:tc>
          <w:tcPr>
            <w:tcW w:w="629"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13D1C304">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0.40</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3B01BF4D">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0.35</w:t>
            </w:r>
          </w:p>
        </w:tc>
        <w:tc>
          <w:tcPr>
            <w:tcW w:w="462"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A106842">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0.15</w:t>
            </w:r>
          </w:p>
        </w:tc>
        <w:tc>
          <w:tcPr>
            <w:tcW w:w="434"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0B6AE5E">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0.10</w:t>
            </w:r>
          </w:p>
        </w:tc>
        <w:tc>
          <w:tcPr>
            <w:tcW w:w="696"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115788B9">
            <w:pPr>
              <w:widowControl/>
              <w:jc w:val="left"/>
              <w:rPr>
                <w:rFonts w:ascii="宋体" w:hAnsi="宋体" w:eastAsia="宋体" w:cs="宋体"/>
                <w:b/>
                <w:color w:val="auto"/>
                <w:sz w:val="20"/>
                <w:szCs w:val="20"/>
                <w:highlight w:val="none"/>
              </w:rPr>
            </w:pPr>
          </w:p>
        </w:tc>
      </w:tr>
      <w:tr w14:paraId="3D973829">
        <w:tblPrEx>
          <w:tblCellMar>
            <w:top w:w="0" w:type="dxa"/>
            <w:left w:w="108" w:type="dxa"/>
            <w:bottom w:w="0" w:type="dxa"/>
            <w:right w:w="108" w:type="dxa"/>
          </w:tblCellMar>
        </w:tblPrEx>
        <w:trPr>
          <w:trHeight w:val="1039"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6FD1ED">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工程预算审核</w:t>
            </w:r>
          </w:p>
        </w:tc>
        <w:tc>
          <w:tcPr>
            <w:tcW w:w="68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250E25B6">
            <w:pPr>
              <w:widowControl/>
              <w:jc w:val="left"/>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送审价（不含暂列金）</w:t>
            </w:r>
          </w:p>
        </w:tc>
        <w:tc>
          <w:tcPr>
            <w:tcW w:w="52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0669339">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0.70 </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7E598A6F">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0.60 </w:t>
            </w:r>
          </w:p>
        </w:tc>
        <w:tc>
          <w:tcPr>
            <w:tcW w:w="629"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32A550F">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0.55 </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16EC7BEE">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0.45 </w:t>
            </w:r>
          </w:p>
        </w:tc>
        <w:tc>
          <w:tcPr>
            <w:tcW w:w="462"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69A1FA1B">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0.22 </w:t>
            </w:r>
          </w:p>
        </w:tc>
        <w:tc>
          <w:tcPr>
            <w:tcW w:w="434"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0981E72">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0.15 </w:t>
            </w:r>
          </w:p>
        </w:tc>
        <w:tc>
          <w:tcPr>
            <w:tcW w:w="696"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03C2D93">
            <w:pPr>
              <w:widowControl/>
              <w:jc w:val="left"/>
              <w:rPr>
                <w:rFonts w:ascii="宋体" w:hAnsi="宋体" w:eastAsia="宋体" w:cs="宋体"/>
                <w:b/>
                <w:bCs/>
                <w:color w:val="auto"/>
                <w:sz w:val="20"/>
                <w:szCs w:val="20"/>
                <w:highlight w:val="none"/>
              </w:rPr>
            </w:pPr>
          </w:p>
        </w:tc>
      </w:tr>
      <w:tr w14:paraId="0A935EDF">
        <w:tblPrEx>
          <w:tblCellMar>
            <w:top w:w="0" w:type="dxa"/>
            <w:left w:w="108" w:type="dxa"/>
            <w:bottom w:w="0" w:type="dxa"/>
            <w:right w:w="108" w:type="dxa"/>
          </w:tblCellMar>
        </w:tblPrEx>
        <w:trPr>
          <w:trHeight w:val="964"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7557290">
            <w:pPr>
              <w:widowControl/>
              <w:jc w:val="left"/>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协审费用计算方法：   </w:t>
            </w:r>
          </w:p>
          <w:p w14:paraId="012B8AC8">
            <w:pPr>
              <w:widowControl/>
              <w:jc w:val="left"/>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以上表费率计算出的费用作为基准费。协审费用分为基本费和奖励费组成。基本费为基准费的50%，奖励费为核减部分的3%但不能大于基本费的1倍。评审总额不足1000元的按1000元计算。</w:t>
            </w:r>
          </w:p>
        </w:tc>
      </w:tr>
      <w:tr w14:paraId="1128D407">
        <w:tblPrEx>
          <w:tblCellMar>
            <w:top w:w="0" w:type="dxa"/>
            <w:left w:w="108" w:type="dxa"/>
            <w:bottom w:w="0" w:type="dxa"/>
            <w:right w:w="108" w:type="dxa"/>
          </w:tblCellMar>
        </w:tblPrEx>
        <w:trPr>
          <w:trHeight w:val="522"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566B7BDF">
            <w:pPr>
              <w:spacing w:line="360" w:lineRule="auto"/>
              <w:rPr>
                <w:rFonts w:ascii="宋体" w:hAnsi="宋体" w:eastAsia="宋体" w:cs="Arial"/>
                <w:color w:val="auto"/>
                <w:highlight w:val="none"/>
              </w:rPr>
            </w:pPr>
            <w:r>
              <w:rPr>
                <w:rFonts w:hint="eastAsia" w:ascii="宋体" w:hAnsi="宋体" w:eastAsia="宋体" w:cs="宋体"/>
                <w:color w:val="auto"/>
                <w:highlight w:val="none"/>
                <w:lang w:bidi="ar"/>
              </w:rPr>
              <w:t xml:space="preserve">说明：  </w:t>
            </w:r>
          </w:p>
        </w:tc>
      </w:tr>
      <w:tr w14:paraId="616A4294">
        <w:tblPrEx>
          <w:tblCellMar>
            <w:top w:w="0" w:type="dxa"/>
            <w:left w:w="108" w:type="dxa"/>
            <w:bottom w:w="0" w:type="dxa"/>
            <w:right w:w="108" w:type="dxa"/>
          </w:tblCellMar>
        </w:tblPrEx>
        <w:trPr>
          <w:trHeight w:val="281"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0158C91D">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1.钢筋、铁件的工程量审核不再另行计算费用。</w:t>
            </w:r>
          </w:p>
        </w:tc>
      </w:tr>
      <w:tr w14:paraId="75AFC291">
        <w:tblPrEx>
          <w:tblCellMar>
            <w:top w:w="0" w:type="dxa"/>
            <w:left w:w="108" w:type="dxa"/>
            <w:bottom w:w="0" w:type="dxa"/>
            <w:right w:w="108" w:type="dxa"/>
          </w:tblCellMar>
        </w:tblPrEx>
        <w:trPr>
          <w:trHeight w:val="290"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127171FE">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2.单个委托项目总费用最高限价10万元。</w:t>
            </w:r>
          </w:p>
        </w:tc>
      </w:tr>
      <w:tr w14:paraId="1ED77D4E">
        <w:tblPrEx>
          <w:tblCellMar>
            <w:top w:w="0" w:type="dxa"/>
            <w:left w:w="108" w:type="dxa"/>
            <w:bottom w:w="0" w:type="dxa"/>
            <w:right w:w="108" w:type="dxa"/>
          </w:tblCellMar>
        </w:tblPrEx>
        <w:trPr>
          <w:trHeight w:val="296"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4261B626">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3.当单项目工程服务收费不足1000元的按1000元计。</w:t>
            </w:r>
          </w:p>
        </w:tc>
      </w:tr>
      <w:tr w14:paraId="467540EB">
        <w:tblPrEx>
          <w:tblCellMar>
            <w:top w:w="0" w:type="dxa"/>
            <w:left w:w="108" w:type="dxa"/>
            <w:bottom w:w="0" w:type="dxa"/>
            <w:right w:w="108" w:type="dxa"/>
          </w:tblCellMar>
        </w:tblPrEx>
        <w:trPr>
          <w:trHeight w:val="161"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3A674E25">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4.计费采用差额定率分档累进制法。</w:t>
            </w:r>
          </w:p>
          <w:p w14:paraId="4D60B024">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5.根据工程实际，如需要协审机构进行现场踏勘，其必须积极配合，费用自理。</w:t>
            </w:r>
          </w:p>
          <w:p w14:paraId="4D7C41CB">
            <w:pPr>
              <w:spacing w:line="360" w:lineRule="auto"/>
              <w:ind w:firstLine="120" w:firstLineChars="50"/>
              <w:rPr>
                <w:rFonts w:eastAsia="宋体"/>
                <w:color w:val="auto"/>
                <w:kern w:val="2"/>
                <w:sz w:val="21"/>
                <w:szCs w:val="21"/>
                <w:highlight w:val="none"/>
              </w:rPr>
            </w:pPr>
            <w:r>
              <w:rPr>
                <w:rFonts w:hint="eastAsia" w:ascii="宋体" w:hAnsi="宋体" w:eastAsia="宋体" w:cs="宋体"/>
                <w:color w:val="auto"/>
                <w:highlight w:val="none"/>
                <w:lang w:bidi="ar"/>
              </w:rPr>
              <w:t>6.上述报酬均含税，支付报酬时需提供完税发票。</w:t>
            </w:r>
          </w:p>
        </w:tc>
      </w:tr>
      <w:bookmarkEnd w:id="137"/>
    </w:tbl>
    <w:p w14:paraId="13B8E0AD">
      <w:pPr>
        <w:spacing w:line="420" w:lineRule="exact"/>
        <w:ind w:firstLine="482"/>
        <w:outlineLvl w:val="3"/>
        <w:rPr>
          <w:rFonts w:eastAsia="宋体" w:cs="宋体"/>
          <w:b/>
          <w:bCs/>
          <w:color w:val="auto"/>
          <w:highlight w:val="none"/>
        </w:rPr>
      </w:pPr>
      <w:r>
        <w:rPr>
          <w:rFonts w:hint="eastAsia" w:eastAsia="宋体" w:cs="宋体"/>
          <w:b/>
          <w:bCs/>
          <w:color w:val="auto"/>
          <w:highlight w:val="none"/>
        </w:rPr>
        <w:t>2.协审费用的支付</w:t>
      </w:r>
    </w:p>
    <w:p w14:paraId="3ADE26E4">
      <w:pPr>
        <w:spacing w:line="420" w:lineRule="exact"/>
        <w:ind w:firstLine="480"/>
        <w:rPr>
          <w:rFonts w:eastAsia="宋体" w:cs="宋体"/>
          <w:b/>
          <w:bCs/>
          <w:color w:val="auto"/>
          <w:highlight w:val="none"/>
        </w:rPr>
      </w:pPr>
      <w:r>
        <w:rPr>
          <w:rFonts w:hint="eastAsia" w:eastAsia="宋体" w:cs="宋体"/>
          <w:b/>
          <w:bCs/>
          <w:color w:val="auto"/>
          <w:highlight w:val="none"/>
          <w:u w:val="single"/>
        </w:rPr>
        <w:t>协审费用由供应商按规定申报，经采购人审批后，凭正式发票，每半年结算一次</w:t>
      </w:r>
      <w:r>
        <w:rPr>
          <w:rFonts w:hint="eastAsia" w:eastAsia="宋体" w:cs="宋体"/>
          <w:b/>
          <w:bCs/>
          <w:color w:val="auto"/>
          <w:highlight w:val="none"/>
        </w:rPr>
        <w:t>。</w:t>
      </w:r>
    </w:p>
    <w:p w14:paraId="21C3D8FB">
      <w:pPr>
        <w:spacing w:line="420" w:lineRule="exact"/>
        <w:ind w:firstLine="482"/>
        <w:outlineLvl w:val="2"/>
        <w:rPr>
          <w:rFonts w:eastAsia="宋体" w:cs="宋体"/>
          <w:b/>
          <w:bCs/>
          <w:color w:val="auto"/>
          <w:highlight w:val="none"/>
        </w:rPr>
      </w:pPr>
      <w:r>
        <w:rPr>
          <w:rFonts w:hint="eastAsia" w:eastAsia="宋体" w:cs="宋体"/>
          <w:b/>
          <w:bCs/>
          <w:color w:val="auto"/>
          <w:highlight w:val="none"/>
        </w:rPr>
        <w:t>三、纪律要求</w:t>
      </w:r>
    </w:p>
    <w:p w14:paraId="00608B96">
      <w:pPr>
        <w:spacing w:line="420" w:lineRule="exact"/>
        <w:ind w:firstLine="480"/>
        <w:rPr>
          <w:rFonts w:eastAsia="宋体" w:cs="宋体"/>
          <w:color w:val="auto"/>
          <w:highlight w:val="none"/>
        </w:rPr>
      </w:pPr>
      <w:r>
        <w:rPr>
          <w:rFonts w:hint="eastAsia" w:eastAsia="宋体" w:cs="宋体"/>
          <w:color w:val="auto"/>
          <w:highlight w:val="none"/>
        </w:rPr>
        <w:t>1.供应商的协审人员不得私下接收被评审单位补充评审资料,对争议事项、增加造价、延长评审时间等重要情况应与服务对象及时沟通,并应如实反映评审中发现的问题。</w:t>
      </w:r>
    </w:p>
    <w:p w14:paraId="44D3BAAA">
      <w:pPr>
        <w:spacing w:line="420" w:lineRule="exact"/>
        <w:ind w:firstLine="480"/>
        <w:rPr>
          <w:rFonts w:eastAsia="宋体" w:cs="宋体"/>
          <w:color w:val="auto"/>
          <w:highlight w:val="none"/>
        </w:rPr>
      </w:pPr>
      <w:r>
        <w:rPr>
          <w:rFonts w:hint="eastAsia" w:eastAsia="宋体" w:cs="宋体"/>
          <w:color w:val="auto"/>
          <w:highlight w:val="none"/>
        </w:rPr>
        <w:t>2.供应商在执行委托评审业务过程中须严守评审工作纪律，廉洁从审，实事求是，并负有评审资料的保管及保密责任。供应商与采购人就委托的单个“协审项目”在签订委托合同时须签订“廉洁协审协议”，在评审过程中，应严守职业道德和廉洁协审纪律，主动接受</w:t>
      </w:r>
      <w:r>
        <w:rPr>
          <w:rFonts w:hint="eastAsia" w:eastAsia="宋体" w:cs="宋体"/>
          <w:bCs/>
          <w:color w:val="auto"/>
          <w:highlight w:val="none"/>
        </w:rPr>
        <w:t>相关部门</w:t>
      </w:r>
      <w:r>
        <w:rPr>
          <w:rFonts w:hint="eastAsia" w:eastAsia="宋体" w:cs="宋体"/>
          <w:color w:val="auto"/>
          <w:highlight w:val="none"/>
        </w:rPr>
        <w:t>的指导和监督。</w:t>
      </w:r>
    </w:p>
    <w:p w14:paraId="5C9119BB">
      <w:pPr>
        <w:spacing w:line="420" w:lineRule="exact"/>
        <w:ind w:firstLine="480"/>
        <w:rPr>
          <w:rFonts w:eastAsia="宋体" w:cs="宋体"/>
          <w:color w:val="auto"/>
          <w:highlight w:val="none"/>
        </w:rPr>
      </w:pPr>
      <w:r>
        <w:rPr>
          <w:rFonts w:hint="eastAsia" w:eastAsia="宋体" w:cs="宋体"/>
          <w:color w:val="auto"/>
          <w:highlight w:val="none"/>
        </w:rPr>
        <w:t>3.供应商和协审人员与服务对象、被评审单位有关人员之间有夫妻关系、直系血亲关系、三代以内旁系血亲以及近姻亲关系的；与服务对象、被评审单位或者评审事项有经济利益关系的，可能影响评审质量的；</w:t>
      </w:r>
      <w:bookmarkStart w:id="138" w:name="OLE_LINK4"/>
      <w:bookmarkStart w:id="139" w:name="OLE_LINK3"/>
      <w:r>
        <w:rPr>
          <w:rFonts w:hint="eastAsia" w:eastAsia="宋体" w:cs="宋体"/>
          <w:color w:val="auto"/>
          <w:highlight w:val="none"/>
        </w:rPr>
        <w:t>遇有承担过建设单位委托的工程估算编制、概算编制、招标代理、招标控制价编制、预算编制、施工监理、全过程咨询、工程竣工价款结算编制等业务的，供应商和协审人员应主动提出</w:t>
      </w:r>
      <w:bookmarkStart w:id="140" w:name="OLE_LINK5"/>
      <w:bookmarkStart w:id="141" w:name="OLE_LINK6"/>
      <w:r>
        <w:rPr>
          <w:rFonts w:hint="eastAsia" w:eastAsia="宋体" w:cs="宋体"/>
          <w:color w:val="auto"/>
          <w:highlight w:val="none"/>
        </w:rPr>
        <w:t>回避</w:t>
      </w:r>
      <w:bookmarkEnd w:id="140"/>
      <w:bookmarkEnd w:id="141"/>
      <w:r>
        <w:rPr>
          <w:rFonts w:hint="eastAsia" w:eastAsia="宋体" w:cs="宋体"/>
          <w:color w:val="auto"/>
          <w:highlight w:val="none"/>
        </w:rPr>
        <w:t>。</w:t>
      </w:r>
    </w:p>
    <w:bookmarkEnd w:id="138"/>
    <w:bookmarkEnd w:id="139"/>
    <w:p w14:paraId="00B5DB32">
      <w:pPr>
        <w:spacing w:line="420" w:lineRule="exact"/>
        <w:ind w:firstLine="480"/>
        <w:rPr>
          <w:rFonts w:eastAsia="宋体" w:cs="宋体"/>
          <w:color w:val="auto"/>
          <w:highlight w:val="none"/>
        </w:rPr>
      </w:pPr>
      <w:r>
        <w:rPr>
          <w:rFonts w:hint="eastAsia" w:eastAsia="宋体" w:cs="宋体"/>
          <w:color w:val="auto"/>
          <w:highlight w:val="none"/>
        </w:rPr>
        <w:t>4.供应商不得将评审业务转托给其它机构或个人，也不得私自向被评审单位收取任何费用。</w:t>
      </w:r>
    </w:p>
    <w:p w14:paraId="4217B9BF">
      <w:pPr>
        <w:spacing w:line="420" w:lineRule="exact"/>
        <w:ind w:firstLine="482"/>
        <w:outlineLvl w:val="2"/>
        <w:rPr>
          <w:rFonts w:eastAsia="宋体" w:cs="宋体"/>
          <w:b/>
          <w:bCs/>
          <w:color w:val="auto"/>
          <w:highlight w:val="none"/>
        </w:rPr>
      </w:pPr>
      <w:r>
        <w:rPr>
          <w:rFonts w:hint="eastAsia" w:eastAsia="宋体" w:cs="宋体"/>
          <w:b/>
          <w:bCs/>
          <w:color w:val="auto"/>
          <w:highlight w:val="none"/>
        </w:rPr>
        <w:t>四、资料要求</w:t>
      </w:r>
    </w:p>
    <w:p w14:paraId="08278431">
      <w:pPr>
        <w:spacing w:line="420" w:lineRule="exact"/>
        <w:ind w:firstLine="480"/>
        <w:rPr>
          <w:rFonts w:eastAsia="宋体" w:cs="宋体"/>
          <w:color w:val="auto"/>
          <w:highlight w:val="none"/>
        </w:rPr>
      </w:pPr>
      <w:r>
        <w:rPr>
          <w:rFonts w:hint="eastAsia" w:eastAsia="宋体" w:cs="宋体"/>
          <w:color w:val="auto"/>
          <w:highlight w:val="none"/>
        </w:rPr>
        <w:t>供应商不得遗失、损坏、篡改各类资料，亦不得将受托项目的评审资料交于他人，如发生此类情况，供应商应承担相应责任。同时服务对象有权中止与其签订的采购合同，并做出相应的处罚。</w:t>
      </w:r>
    </w:p>
    <w:p w14:paraId="7618CE09">
      <w:pPr>
        <w:spacing w:line="420" w:lineRule="exact"/>
        <w:ind w:firstLine="482"/>
        <w:outlineLvl w:val="1"/>
        <w:rPr>
          <w:rFonts w:eastAsia="宋体" w:cs="宋体"/>
          <w:b/>
          <w:bCs/>
          <w:color w:val="auto"/>
          <w:highlight w:val="none"/>
        </w:rPr>
      </w:pPr>
      <w:r>
        <w:rPr>
          <w:rFonts w:hint="eastAsia" w:eastAsia="宋体" w:cs="宋体"/>
          <w:b/>
          <w:bCs/>
          <w:color w:val="auto"/>
          <w:highlight w:val="none"/>
        </w:rPr>
        <w:t>五、封闭式框架协议的订立</w:t>
      </w:r>
    </w:p>
    <w:p w14:paraId="7659B2BA">
      <w:pPr>
        <w:spacing w:line="420" w:lineRule="exact"/>
        <w:ind w:firstLine="482"/>
        <w:outlineLvl w:val="1"/>
        <w:rPr>
          <w:rFonts w:eastAsia="宋体" w:cs="宋体"/>
          <w:b/>
          <w:bCs/>
          <w:color w:val="auto"/>
          <w:highlight w:val="none"/>
        </w:rPr>
      </w:pPr>
      <w:r>
        <w:rPr>
          <w:rFonts w:hint="eastAsia" w:eastAsia="宋体" w:cs="宋体"/>
          <w:b/>
          <w:bCs/>
          <w:color w:val="auto"/>
          <w:highlight w:val="none"/>
        </w:rPr>
        <w:t>1.框架协议的签订</w:t>
      </w:r>
    </w:p>
    <w:p w14:paraId="019F3191">
      <w:pPr>
        <w:spacing w:line="420" w:lineRule="exact"/>
        <w:ind w:firstLine="480"/>
        <w:rPr>
          <w:rFonts w:eastAsia="宋体" w:cs="宋体"/>
          <w:color w:val="auto"/>
          <w:highlight w:val="none"/>
        </w:rPr>
      </w:pPr>
      <w:r>
        <w:rPr>
          <w:rFonts w:hint="eastAsia" w:eastAsia="宋体" w:cs="宋体"/>
          <w:color w:val="auto"/>
          <w:highlight w:val="none"/>
        </w:rPr>
        <w:t>（1）入围供应商应当在入围通知书发出之日起30日内，和征集人签订框架协议。框架协议不得对征集文件确定的事项以及入围供应商的响应文件作实质性修改。</w:t>
      </w:r>
    </w:p>
    <w:p w14:paraId="0AF658CC">
      <w:pPr>
        <w:spacing w:line="420" w:lineRule="exact"/>
        <w:ind w:firstLine="480"/>
        <w:rPr>
          <w:rFonts w:eastAsia="宋体" w:cs="宋体"/>
          <w:color w:val="auto"/>
          <w:highlight w:val="none"/>
        </w:rPr>
      </w:pPr>
      <w:r>
        <w:rPr>
          <w:rFonts w:hint="eastAsia" w:eastAsia="宋体" w:cs="宋体"/>
          <w:color w:val="auto"/>
          <w:highlight w:val="none"/>
        </w:rPr>
        <w:t>（2）第一阶段入围供应商的协议价格是采购人确定第二阶段成交供应商的最高限价。</w:t>
      </w:r>
    </w:p>
    <w:p w14:paraId="5D23AA7A">
      <w:pPr>
        <w:spacing w:line="420" w:lineRule="exact"/>
        <w:ind w:firstLine="480"/>
        <w:rPr>
          <w:rFonts w:eastAsia="宋体" w:cs="宋体"/>
          <w:color w:val="auto"/>
          <w:highlight w:val="none"/>
        </w:rPr>
      </w:pPr>
      <w:r>
        <w:rPr>
          <w:rFonts w:hint="eastAsia" w:eastAsia="宋体" w:cs="宋体"/>
          <w:color w:val="auto"/>
          <w:highlight w:val="none"/>
        </w:rPr>
        <w:t>（3）征集人在框架协议签订后7个工作日内，将框架协议副本报本级财政部门备案。同时，征集人应当在框架协议签订后3个工作日内，通过电子化采购系统将入围信息告知适用框架协议的所有采购人或者服务对象。</w:t>
      </w:r>
    </w:p>
    <w:p w14:paraId="447B8D43">
      <w:pPr>
        <w:spacing w:line="420" w:lineRule="exact"/>
        <w:ind w:firstLine="482"/>
        <w:outlineLvl w:val="1"/>
        <w:rPr>
          <w:rFonts w:eastAsia="宋体" w:cs="宋体"/>
          <w:b/>
          <w:bCs/>
          <w:color w:val="auto"/>
          <w:highlight w:val="none"/>
        </w:rPr>
      </w:pPr>
      <w:r>
        <w:rPr>
          <w:rFonts w:hint="eastAsia" w:eastAsia="宋体" w:cs="宋体"/>
          <w:color w:val="auto"/>
          <w:highlight w:val="none"/>
        </w:rPr>
        <w:t>2.</w:t>
      </w:r>
      <w:r>
        <w:rPr>
          <w:rFonts w:hint="eastAsia" w:eastAsia="宋体" w:cs="宋体"/>
          <w:b/>
          <w:bCs/>
          <w:color w:val="auto"/>
          <w:highlight w:val="none"/>
        </w:rPr>
        <w:t>入围服务要求</w:t>
      </w:r>
    </w:p>
    <w:p w14:paraId="608ABFCF">
      <w:pPr>
        <w:spacing w:line="420" w:lineRule="exact"/>
        <w:ind w:firstLine="480"/>
        <w:rPr>
          <w:rFonts w:eastAsia="宋体" w:cs="宋体"/>
          <w:color w:val="auto"/>
          <w:highlight w:val="none"/>
        </w:rPr>
      </w:pPr>
      <w:r>
        <w:rPr>
          <w:rFonts w:hint="eastAsia" w:eastAsia="宋体" w:cs="宋体"/>
          <w:color w:val="auto"/>
          <w:highlight w:val="none"/>
        </w:rPr>
        <w:t>（1）供应商响应的服务的技术、商务等条件不得低于采购需求。</w:t>
      </w:r>
    </w:p>
    <w:p w14:paraId="15E0C932">
      <w:pPr>
        <w:spacing w:line="420" w:lineRule="exact"/>
        <w:ind w:firstLine="480"/>
        <w:rPr>
          <w:rFonts w:eastAsia="宋体" w:cs="宋体"/>
          <w:color w:val="auto"/>
          <w:highlight w:val="none"/>
        </w:rPr>
      </w:pPr>
      <w:r>
        <w:rPr>
          <w:rFonts w:hint="eastAsia" w:eastAsia="宋体" w:cs="宋体"/>
          <w:color w:val="auto"/>
          <w:highlight w:val="none"/>
        </w:rPr>
        <w:t>（2）入围供应商在框架协议采购系统填报服务信息，执行框架协议，所填报服务信息应与响应文件服务信息一致。</w:t>
      </w:r>
    </w:p>
    <w:p w14:paraId="1970C6FF">
      <w:pPr>
        <w:spacing w:line="420" w:lineRule="exact"/>
        <w:ind w:firstLine="482"/>
        <w:outlineLvl w:val="1"/>
        <w:rPr>
          <w:rFonts w:eastAsia="宋体" w:cs="宋体"/>
          <w:b/>
          <w:bCs/>
          <w:color w:val="auto"/>
          <w:highlight w:val="none"/>
        </w:rPr>
      </w:pPr>
      <w:r>
        <w:rPr>
          <w:rFonts w:hint="eastAsia" w:eastAsia="宋体" w:cs="宋体"/>
          <w:b/>
          <w:bCs/>
          <w:color w:val="auto"/>
          <w:highlight w:val="none"/>
        </w:rPr>
        <w:t>3.入围供应商服务要求</w:t>
      </w:r>
    </w:p>
    <w:p w14:paraId="45B61AFC">
      <w:pPr>
        <w:spacing w:line="420" w:lineRule="exact"/>
        <w:ind w:firstLine="480"/>
        <w:rPr>
          <w:rFonts w:eastAsia="宋体" w:cs="宋体"/>
          <w:color w:val="auto"/>
          <w:highlight w:val="none"/>
        </w:rPr>
      </w:pPr>
      <w:r>
        <w:rPr>
          <w:rFonts w:hint="eastAsia" w:eastAsia="宋体" w:cs="宋体"/>
          <w:color w:val="auto"/>
          <w:highlight w:val="none"/>
        </w:rPr>
        <w:t>（1）保证本次框架协议服务入围价是真实的，可考量的，接受征集人的监督、检查。</w:t>
      </w:r>
    </w:p>
    <w:p w14:paraId="56EF4402">
      <w:pPr>
        <w:spacing w:line="420" w:lineRule="exact"/>
        <w:ind w:firstLine="480"/>
        <w:rPr>
          <w:rFonts w:eastAsia="宋体" w:cs="宋体"/>
          <w:color w:val="auto"/>
          <w:highlight w:val="none"/>
        </w:rPr>
      </w:pPr>
      <w:r>
        <w:rPr>
          <w:rFonts w:hint="eastAsia" w:eastAsia="宋体" w:cs="宋体"/>
          <w:color w:val="auto"/>
          <w:highlight w:val="none"/>
        </w:rPr>
        <w:t>（2）保证所提供的服务符合国家有关质量技术标准及相关法律、法规规定的要求。</w:t>
      </w:r>
    </w:p>
    <w:p w14:paraId="0ED6CDA5">
      <w:pPr>
        <w:spacing w:line="420" w:lineRule="exact"/>
        <w:ind w:firstLine="480"/>
        <w:rPr>
          <w:rFonts w:eastAsia="宋体" w:cs="宋体"/>
          <w:color w:val="auto"/>
          <w:highlight w:val="none"/>
        </w:rPr>
      </w:pPr>
      <w:r>
        <w:rPr>
          <w:rFonts w:hint="eastAsia" w:eastAsia="宋体" w:cs="宋体"/>
          <w:color w:val="auto"/>
          <w:highlight w:val="none"/>
        </w:rPr>
        <w:t>（3）保证本项目征集人优先享受各项服务。</w:t>
      </w:r>
    </w:p>
    <w:p w14:paraId="7F4A617E">
      <w:pPr>
        <w:spacing w:line="420" w:lineRule="exact"/>
        <w:ind w:firstLine="480"/>
        <w:rPr>
          <w:rFonts w:eastAsia="宋体" w:cs="宋体"/>
          <w:color w:val="auto"/>
          <w:highlight w:val="none"/>
        </w:rPr>
      </w:pPr>
      <w:r>
        <w:rPr>
          <w:rFonts w:hint="eastAsia" w:eastAsia="宋体" w:cs="宋体"/>
          <w:color w:val="auto"/>
          <w:highlight w:val="none"/>
        </w:rPr>
        <w:t>（4）针对本项目成立服务小组，指派专人负责日常管理及联络工作。</w:t>
      </w:r>
    </w:p>
    <w:p w14:paraId="0856FE20">
      <w:pPr>
        <w:spacing w:line="420" w:lineRule="exact"/>
        <w:ind w:firstLine="480"/>
        <w:rPr>
          <w:rFonts w:eastAsia="宋体" w:cs="宋体"/>
          <w:color w:val="auto"/>
          <w:highlight w:val="none"/>
        </w:rPr>
      </w:pPr>
      <w:r>
        <w:rPr>
          <w:rFonts w:hint="eastAsia" w:eastAsia="宋体" w:cs="宋体"/>
          <w:color w:val="auto"/>
          <w:highlight w:val="none"/>
        </w:rPr>
        <w:t>（5）建立征集人投诉及处理台帐，记录投诉内容及协调处理方法，有效督促严格履约。</w:t>
      </w:r>
    </w:p>
    <w:p w14:paraId="2451CB04">
      <w:pPr>
        <w:spacing w:line="420" w:lineRule="exact"/>
        <w:ind w:firstLine="480"/>
        <w:rPr>
          <w:rFonts w:eastAsia="宋体" w:cs="宋体"/>
          <w:color w:val="auto"/>
          <w:highlight w:val="none"/>
        </w:rPr>
      </w:pPr>
      <w:r>
        <w:rPr>
          <w:rFonts w:hint="eastAsia" w:eastAsia="宋体" w:cs="宋体"/>
          <w:color w:val="auto"/>
          <w:highlight w:val="none"/>
        </w:rPr>
        <w:t>（6）提供技术服务热线（7×24小时），负责解答征集人遇到的问题。</w:t>
      </w:r>
    </w:p>
    <w:p w14:paraId="1109FD8B">
      <w:pPr>
        <w:spacing w:line="420" w:lineRule="exact"/>
        <w:ind w:firstLine="480"/>
        <w:rPr>
          <w:rFonts w:eastAsia="宋体" w:cs="宋体"/>
          <w:color w:val="auto"/>
          <w:highlight w:val="none"/>
        </w:rPr>
      </w:pPr>
      <w:r>
        <w:rPr>
          <w:rFonts w:hint="eastAsia" w:eastAsia="宋体" w:cs="宋体"/>
          <w:color w:val="auto"/>
          <w:highlight w:val="none"/>
        </w:rPr>
        <w:t>（7）服从征集人管理要求，通过江苏省框架协议采购系统执行本次框架协议采购合同。</w:t>
      </w:r>
    </w:p>
    <w:p w14:paraId="3B3488CD">
      <w:pPr>
        <w:spacing w:line="420" w:lineRule="exact"/>
        <w:ind w:firstLine="480"/>
        <w:rPr>
          <w:rFonts w:eastAsia="宋体" w:cs="宋体"/>
          <w:color w:val="auto"/>
          <w:highlight w:val="none"/>
        </w:rPr>
      </w:pPr>
      <w:r>
        <w:rPr>
          <w:rFonts w:hint="eastAsia" w:eastAsia="宋体" w:cs="宋体"/>
          <w:color w:val="auto"/>
          <w:highlight w:val="none"/>
        </w:rPr>
        <w:t>（8）协助有关部门做好廉政工作，防止腐败现象的出现。</w:t>
      </w:r>
    </w:p>
    <w:p w14:paraId="4D1F3C71">
      <w:pPr>
        <w:spacing w:line="420" w:lineRule="exact"/>
        <w:ind w:firstLine="480"/>
        <w:rPr>
          <w:rFonts w:eastAsia="宋体" w:cs="宋体"/>
          <w:color w:val="auto"/>
          <w:highlight w:val="none"/>
        </w:rPr>
      </w:pPr>
      <w:r>
        <w:rPr>
          <w:rFonts w:hint="eastAsia" w:eastAsia="宋体" w:cs="宋体"/>
          <w:color w:val="auto"/>
          <w:highlight w:val="none"/>
        </w:rPr>
        <w:t>（9）供应商提供的其他服务承诺。</w:t>
      </w:r>
    </w:p>
    <w:p w14:paraId="35AAAAE8">
      <w:pPr>
        <w:spacing w:line="420" w:lineRule="exact"/>
        <w:ind w:firstLine="480"/>
        <w:rPr>
          <w:rFonts w:eastAsia="宋体" w:cs="宋体"/>
          <w:color w:val="auto"/>
          <w:highlight w:val="none"/>
        </w:rPr>
      </w:pPr>
      <w:r>
        <w:rPr>
          <w:rFonts w:hint="eastAsia" w:eastAsia="宋体" w:cs="宋体"/>
          <w:color w:val="auto"/>
          <w:highlight w:val="none"/>
        </w:rPr>
        <w:t>（10）入围供应商应按照框架协议管理相关规定，主动配合征集人和各级财政部门的管理，按照相关的要求实施框架协议采购，并应做好信息维护、履约管理等工作。</w:t>
      </w:r>
    </w:p>
    <w:p w14:paraId="76DFB851">
      <w:pPr>
        <w:spacing w:line="420" w:lineRule="exact"/>
        <w:ind w:firstLine="480"/>
        <w:rPr>
          <w:rFonts w:eastAsia="宋体" w:cs="宋体"/>
          <w:color w:val="auto"/>
          <w:highlight w:val="none"/>
        </w:rPr>
      </w:pPr>
      <w:r>
        <w:rPr>
          <w:rFonts w:hint="eastAsia" w:eastAsia="宋体" w:cs="宋体"/>
          <w:color w:val="auto"/>
          <w:highlight w:val="none"/>
        </w:rPr>
        <w:t>（11）框架协议期限：两年（自框架协议签订之日起两年）。</w:t>
      </w:r>
    </w:p>
    <w:p w14:paraId="34D03417">
      <w:pPr>
        <w:spacing w:line="420" w:lineRule="exact"/>
        <w:ind w:firstLine="480"/>
        <w:rPr>
          <w:rFonts w:eastAsia="宋体" w:cs="宋体"/>
          <w:color w:val="auto"/>
          <w:highlight w:val="none"/>
        </w:rPr>
      </w:pPr>
      <w:r>
        <w:rPr>
          <w:rFonts w:hint="eastAsia" w:eastAsia="宋体" w:cs="宋体"/>
          <w:color w:val="auto"/>
          <w:highlight w:val="none"/>
        </w:rPr>
        <w:t>（12）入围供应商在“苏采云”系统框架协议采购管理模块（http://jszfcg.jsczt.cn/jszc/login）填报信息，执行框架协议，所填报信息应与响应文件信息一致。</w:t>
      </w:r>
    </w:p>
    <w:p w14:paraId="13F2283E">
      <w:pPr>
        <w:spacing w:line="420" w:lineRule="exact"/>
        <w:ind w:firstLine="482"/>
        <w:outlineLvl w:val="1"/>
        <w:rPr>
          <w:rFonts w:eastAsia="宋体" w:cs="宋体"/>
          <w:b/>
          <w:bCs/>
          <w:color w:val="auto"/>
          <w:highlight w:val="none"/>
        </w:rPr>
      </w:pPr>
      <w:r>
        <w:rPr>
          <w:rFonts w:hint="eastAsia" w:eastAsia="宋体" w:cs="宋体"/>
          <w:b/>
          <w:bCs/>
          <w:color w:val="auto"/>
          <w:highlight w:val="none"/>
        </w:rPr>
        <w:t>六、采购合同的授予</w:t>
      </w:r>
    </w:p>
    <w:p w14:paraId="6F25134D">
      <w:pPr>
        <w:spacing w:line="420" w:lineRule="exact"/>
        <w:ind w:firstLine="482"/>
        <w:outlineLvl w:val="2"/>
        <w:rPr>
          <w:rFonts w:eastAsia="宋体" w:cs="宋体"/>
          <w:b/>
          <w:bCs/>
          <w:color w:val="auto"/>
          <w:highlight w:val="none"/>
        </w:rPr>
      </w:pPr>
      <w:r>
        <w:rPr>
          <w:rFonts w:hint="eastAsia" w:eastAsia="宋体" w:cs="宋体"/>
          <w:b/>
          <w:bCs/>
          <w:color w:val="auto"/>
          <w:highlight w:val="none"/>
        </w:rPr>
        <w:t>（一）确定第二阶段成交供应商的方式</w:t>
      </w:r>
    </w:p>
    <w:p w14:paraId="7D1D180E">
      <w:pPr>
        <w:spacing w:line="420" w:lineRule="exact"/>
        <w:ind w:firstLine="480"/>
        <w:rPr>
          <w:rFonts w:eastAsia="宋体" w:cs="宋体"/>
          <w:color w:val="auto"/>
          <w:highlight w:val="none"/>
        </w:rPr>
      </w:pPr>
      <w:r>
        <w:rPr>
          <w:rFonts w:hint="eastAsia" w:eastAsia="宋体" w:cs="宋体"/>
          <w:color w:val="auto"/>
          <w:highlight w:val="none"/>
        </w:rPr>
        <w:t>1.采购人采购框架协议约定的服务，应当将第二阶段的采购合同授予入围供应商，且双方应当按照框架协议中规定的“采购合同文本”格式签订电子采购合同，不得擅自改变框架协议约定的合同实质性条款。</w:t>
      </w:r>
    </w:p>
    <w:p w14:paraId="44053AD4">
      <w:pPr>
        <w:spacing w:line="420" w:lineRule="exact"/>
        <w:ind w:firstLine="480"/>
        <w:rPr>
          <w:rFonts w:eastAsia="宋体" w:cs="宋体"/>
          <w:color w:val="auto"/>
          <w:highlight w:val="none"/>
        </w:rPr>
      </w:pPr>
      <w:r>
        <w:rPr>
          <w:rFonts w:hint="eastAsia" w:eastAsia="宋体" w:cs="宋体"/>
          <w:color w:val="auto"/>
          <w:highlight w:val="none"/>
        </w:rPr>
        <w:t>2.采购人依据入围服务价格、质量、经营活动中重大违法记录情况、以及服务便利性、用户评价等因素，从第一阶段入围供应商中直接选定。</w:t>
      </w:r>
    </w:p>
    <w:p w14:paraId="655F1B26">
      <w:pPr>
        <w:spacing w:line="420" w:lineRule="exact"/>
        <w:ind w:firstLine="480"/>
        <w:rPr>
          <w:rFonts w:eastAsia="宋体" w:cs="宋体"/>
          <w:color w:val="auto"/>
          <w:highlight w:val="none"/>
        </w:rPr>
      </w:pPr>
      <w:r>
        <w:rPr>
          <w:rFonts w:hint="eastAsia" w:eastAsia="宋体" w:cs="宋体"/>
          <w:color w:val="auto"/>
          <w:highlight w:val="none"/>
        </w:rPr>
        <w:t>3.服务时间地点：采购人与供应商根据合同约定完成。</w:t>
      </w:r>
    </w:p>
    <w:p w14:paraId="72835E3E">
      <w:pPr>
        <w:spacing w:line="420" w:lineRule="exact"/>
        <w:ind w:firstLine="480"/>
        <w:rPr>
          <w:rFonts w:eastAsia="宋体" w:cs="宋体"/>
          <w:color w:val="auto"/>
          <w:highlight w:val="none"/>
        </w:rPr>
      </w:pPr>
      <w:r>
        <w:rPr>
          <w:rFonts w:hint="eastAsia" w:eastAsia="宋体" w:cs="宋体"/>
          <w:color w:val="auto"/>
          <w:highlight w:val="none"/>
        </w:rPr>
        <w:t>4.验收：采购人根据合同约定组织验收。</w:t>
      </w:r>
    </w:p>
    <w:p w14:paraId="2EF4B5C0">
      <w:pPr>
        <w:spacing w:line="420" w:lineRule="exact"/>
        <w:ind w:firstLine="480"/>
        <w:rPr>
          <w:rFonts w:eastAsia="宋体" w:cs="宋体"/>
          <w:color w:val="auto"/>
          <w:highlight w:val="none"/>
        </w:rPr>
      </w:pPr>
      <w:r>
        <w:rPr>
          <w:rFonts w:hint="eastAsia" w:eastAsia="宋体" w:cs="宋体"/>
          <w:color w:val="auto"/>
          <w:highlight w:val="none"/>
        </w:rPr>
        <w:t>5.付款要求：由采购人和供应商按合同约定执行。</w:t>
      </w:r>
    </w:p>
    <w:p w14:paraId="0FEF82A7">
      <w:pPr>
        <w:spacing w:line="420" w:lineRule="exact"/>
        <w:ind w:firstLine="480"/>
        <w:rPr>
          <w:rFonts w:eastAsia="宋体" w:cs="宋体"/>
          <w:color w:val="auto"/>
          <w:highlight w:val="none"/>
        </w:rPr>
      </w:pPr>
      <w:r>
        <w:rPr>
          <w:rFonts w:hint="eastAsia" w:eastAsia="宋体"/>
          <w:color w:val="auto"/>
          <w:highlight w:val="none"/>
          <w:lang w:bidi="ar"/>
        </w:rPr>
        <w:t>6</w:t>
      </w:r>
      <w:r>
        <w:rPr>
          <w:rFonts w:eastAsia="宋体"/>
          <w:color w:val="auto"/>
          <w:highlight w:val="none"/>
          <w:lang w:bidi="ar"/>
        </w:rPr>
        <w:t>.</w:t>
      </w:r>
      <w:r>
        <w:rPr>
          <w:rFonts w:hint="eastAsia" w:ascii="宋体" w:hAnsi="宋体" w:eastAsia="宋体" w:cs="宋体"/>
          <w:color w:val="auto"/>
          <w:highlight w:val="none"/>
          <w:lang w:bidi="ar"/>
        </w:rPr>
        <w:t>其它事项：对于重要项目，采购人可择优选择供应商。</w:t>
      </w:r>
    </w:p>
    <w:bookmarkEnd w:id="129"/>
    <w:bookmarkEnd w:id="130"/>
    <w:p w14:paraId="0E4DDA18">
      <w:pPr>
        <w:spacing w:line="420" w:lineRule="exact"/>
        <w:ind w:firstLine="482"/>
        <w:outlineLvl w:val="2"/>
        <w:rPr>
          <w:rFonts w:eastAsia="宋体" w:cs="宋体"/>
          <w:b/>
          <w:bCs/>
          <w:color w:val="auto"/>
          <w:highlight w:val="none"/>
        </w:rPr>
      </w:pPr>
      <w:r>
        <w:rPr>
          <w:rFonts w:hint="eastAsia" w:eastAsia="宋体" w:cs="宋体"/>
          <w:b/>
          <w:bCs/>
          <w:color w:val="auto"/>
          <w:highlight w:val="none"/>
        </w:rPr>
        <w:t>（二）单笔成交结果的公告</w:t>
      </w:r>
    </w:p>
    <w:p w14:paraId="055DB9A0">
      <w:pPr>
        <w:spacing w:line="420" w:lineRule="exact"/>
        <w:ind w:firstLine="482"/>
        <w:outlineLvl w:val="2"/>
        <w:rPr>
          <w:rFonts w:eastAsia="宋体" w:cs="宋体"/>
          <w:color w:val="auto"/>
          <w:highlight w:val="none"/>
        </w:rPr>
      </w:pPr>
      <w:r>
        <w:rPr>
          <w:rFonts w:hint="eastAsia" w:eastAsia="宋体" w:cs="宋体"/>
          <w:color w:val="auto"/>
          <w:highlight w:val="none"/>
        </w:rPr>
        <w:t>采购人依据入围服务价格、质量、经营活动中重大违法记录情况、以及服务便利性、用户评价等因素，从第一阶段入围供应商中直接选定。采购人应当在成交供应商确定后的2个工作日内，在江苏政府采购网“框架协议”栏目，发布成交结果公告。</w:t>
      </w:r>
    </w:p>
    <w:p w14:paraId="13FC1A53">
      <w:pPr>
        <w:spacing w:line="420" w:lineRule="exact"/>
        <w:ind w:firstLine="482"/>
        <w:outlineLvl w:val="2"/>
        <w:rPr>
          <w:rFonts w:eastAsia="宋体" w:cs="宋体"/>
          <w:b/>
          <w:bCs/>
          <w:color w:val="auto"/>
          <w:highlight w:val="none"/>
        </w:rPr>
      </w:pPr>
      <w:r>
        <w:rPr>
          <w:rFonts w:hint="eastAsia" w:eastAsia="宋体" w:cs="宋体"/>
          <w:b/>
          <w:bCs/>
          <w:color w:val="auto"/>
          <w:highlight w:val="none"/>
        </w:rPr>
        <w:t>（三）采购合同授予的价格</w:t>
      </w:r>
    </w:p>
    <w:p w14:paraId="6B0D4D99">
      <w:pPr>
        <w:spacing w:line="420" w:lineRule="exact"/>
        <w:ind w:firstLine="480"/>
        <w:rPr>
          <w:rFonts w:eastAsia="宋体" w:cs="宋体"/>
          <w:color w:val="auto"/>
          <w:highlight w:val="none"/>
        </w:rPr>
      </w:pPr>
      <w:r>
        <w:rPr>
          <w:rFonts w:hint="eastAsia" w:eastAsia="宋体" w:cs="宋体"/>
          <w:color w:val="auto"/>
          <w:highlight w:val="none"/>
        </w:rPr>
        <w:t>1. 框架协议采购应当订立固定</w:t>
      </w:r>
      <w:r>
        <w:rPr>
          <w:rFonts w:hint="eastAsia" w:eastAsia="宋体" w:cs="宋体"/>
          <w:color w:val="auto"/>
          <w:highlight w:val="none"/>
          <w:lang w:val="en-US" w:eastAsia="zh-CN"/>
        </w:rPr>
        <w:t>费率</w:t>
      </w:r>
      <w:r>
        <w:rPr>
          <w:rFonts w:hint="eastAsia" w:eastAsia="宋体" w:cs="宋体"/>
          <w:color w:val="auto"/>
          <w:highlight w:val="none"/>
        </w:rPr>
        <w:t>合同，且在履约期间不得变更单价。因此，在框架协议期间，采购合同授予阶段的价格为入围服务确定的价格，不得上调。</w:t>
      </w:r>
    </w:p>
    <w:p w14:paraId="45556E31">
      <w:pPr>
        <w:spacing w:line="420" w:lineRule="exact"/>
        <w:ind w:firstLine="480"/>
        <w:rPr>
          <w:rFonts w:eastAsia="宋体" w:cs="宋体"/>
          <w:b/>
          <w:bCs/>
          <w:color w:val="auto"/>
          <w:highlight w:val="none"/>
        </w:rPr>
      </w:pPr>
      <w:r>
        <w:rPr>
          <w:rFonts w:hint="eastAsia" w:eastAsia="宋体" w:cs="宋体"/>
          <w:b/>
          <w:bCs/>
          <w:color w:val="auto"/>
          <w:highlight w:val="none"/>
        </w:rPr>
        <w:t>2.价格要求：按照本征集文件</w:t>
      </w:r>
      <w:r>
        <w:rPr>
          <w:rFonts w:hint="eastAsia" w:eastAsia="宋体" w:cs="宋体"/>
          <w:b/>
          <w:bCs/>
          <w:color w:val="auto"/>
          <w:highlight w:val="none"/>
          <w:lang w:eastAsia="zh-CN"/>
        </w:rPr>
        <w:t>第三章第二条</w:t>
      </w:r>
      <w:r>
        <w:rPr>
          <w:rFonts w:hint="eastAsia" w:eastAsia="宋体" w:cs="宋体"/>
          <w:b/>
          <w:bCs/>
          <w:color w:val="auto"/>
          <w:highlight w:val="none"/>
        </w:rPr>
        <w:t>“协审费用的结算</w:t>
      </w:r>
      <w:r>
        <w:rPr>
          <w:rFonts w:hint="eastAsia" w:eastAsia="宋体" w:cs="宋体"/>
          <w:b/>
          <w:bCs/>
          <w:color w:val="auto"/>
          <w:highlight w:val="none"/>
          <w:lang w:val="en-US" w:eastAsia="zh-CN"/>
        </w:rPr>
        <w:t>及</w:t>
      </w:r>
      <w:r>
        <w:rPr>
          <w:rFonts w:hint="eastAsia" w:eastAsia="宋体" w:cs="宋体"/>
          <w:b/>
          <w:bCs/>
          <w:color w:val="auto"/>
          <w:highlight w:val="none"/>
        </w:rPr>
        <w:t>支付”要求执行。</w:t>
      </w:r>
    </w:p>
    <w:p w14:paraId="3D990C0B">
      <w:pPr>
        <w:spacing w:line="420" w:lineRule="exact"/>
        <w:ind w:firstLine="482"/>
        <w:outlineLvl w:val="2"/>
        <w:rPr>
          <w:rFonts w:eastAsia="宋体" w:cs="宋体"/>
          <w:b/>
          <w:bCs/>
          <w:color w:val="auto"/>
          <w:highlight w:val="none"/>
        </w:rPr>
      </w:pPr>
      <w:r>
        <w:rPr>
          <w:rFonts w:hint="eastAsia" w:eastAsia="宋体" w:cs="宋体"/>
          <w:b/>
          <w:bCs/>
          <w:color w:val="auto"/>
          <w:highlight w:val="none"/>
        </w:rPr>
        <w:t>（四）特殊情形的处理</w:t>
      </w:r>
    </w:p>
    <w:p w14:paraId="6CB5E716">
      <w:pPr>
        <w:spacing w:line="420" w:lineRule="exact"/>
        <w:ind w:firstLine="480"/>
        <w:rPr>
          <w:rFonts w:eastAsia="宋体" w:cs="宋体"/>
          <w:color w:val="auto"/>
          <w:highlight w:val="none"/>
        </w:rPr>
      </w:pPr>
      <w:r>
        <w:rPr>
          <w:rFonts w:hint="eastAsia" w:eastAsia="宋体" w:cs="宋体"/>
          <w:color w:val="auto"/>
          <w:highlight w:val="none"/>
        </w:rPr>
        <w:t>1.采购人原则上不得采购框架协议采购范围以外的服务。如框架协议范围内产品确实无法满足采购人的工作需要，应由当地财政部门履行核实及确认手续后组织采购。</w:t>
      </w:r>
    </w:p>
    <w:p w14:paraId="60756977">
      <w:pPr>
        <w:spacing w:line="420" w:lineRule="exact"/>
        <w:ind w:firstLine="480"/>
        <w:rPr>
          <w:rFonts w:eastAsia="宋体" w:cs="宋体"/>
          <w:color w:val="auto"/>
          <w:highlight w:val="none"/>
        </w:rPr>
      </w:pPr>
      <w:r>
        <w:rPr>
          <w:rFonts w:hint="eastAsia" w:eastAsia="宋体" w:cs="宋体"/>
          <w:color w:val="auto"/>
          <w:highlight w:val="none"/>
        </w:rPr>
        <w:t>2.对于框架协议入围供应商，采购人证明能够以更低价格向非入围供应商采购相同服务，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p w14:paraId="7CB1813C">
      <w:pPr>
        <w:spacing w:line="420" w:lineRule="exact"/>
        <w:ind w:firstLine="482"/>
        <w:outlineLvl w:val="1"/>
        <w:rPr>
          <w:rFonts w:eastAsia="宋体" w:cs="宋体"/>
          <w:b/>
          <w:bCs/>
          <w:color w:val="auto"/>
          <w:highlight w:val="none"/>
        </w:rPr>
      </w:pPr>
      <w:r>
        <w:rPr>
          <w:rFonts w:hint="eastAsia" w:eastAsia="宋体" w:cs="宋体"/>
          <w:b/>
          <w:bCs/>
          <w:color w:val="auto"/>
          <w:highlight w:val="none"/>
        </w:rPr>
        <w:t>七、履约管理要求</w:t>
      </w:r>
    </w:p>
    <w:p w14:paraId="4F89CFD4">
      <w:pPr>
        <w:spacing w:line="420" w:lineRule="exact"/>
        <w:ind w:firstLine="482"/>
        <w:outlineLvl w:val="2"/>
        <w:rPr>
          <w:rFonts w:eastAsia="宋体" w:cs="宋体"/>
          <w:b/>
          <w:bCs/>
          <w:color w:val="auto"/>
          <w:highlight w:val="none"/>
        </w:rPr>
      </w:pPr>
      <w:r>
        <w:rPr>
          <w:rFonts w:hint="eastAsia" w:eastAsia="宋体" w:cs="宋体"/>
          <w:b/>
          <w:bCs/>
          <w:color w:val="auto"/>
          <w:highlight w:val="none"/>
        </w:rPr>
        <w:t>1.管理形式</w:t>
      </w:r>
    </w:p>
    <w:p w14:paraId="616737F6">
      <w:pPr>
        <w:spacing w:line="420" w:lineRule="exact"/>
        <w:ind w:firstLine="480"/>
        <w:rPr>
          <w:rFonts w:eastAsia="宋体" w:cs="宋体"/>
          <w:color w:val="auto"/>
          <w:highlight w:val="none"/>
        </w:rPr>
      </w:pPr>
      <w:r>
        <w:rPr>
          <w:rFonts w:hint="eastAsia" w:eastAsia="宋体" w:cs="宋体"/>
          <w:color w:val="auto"/>
          <w:highlight w:val="none"/>
        </w:rPr>
        <w:t>征集人通过考核管理方式，对框架协议入围供应商开展履约及售后服务监督，检查和处理结果将在框架协议系统公布。</w:t>
      </w:r>
    </w:p>
    <w:p w14:paraId="2E83348A">
      <w:pPr>
        <w:spacing w:line="420" w:lineRule="exact"/>
        <w:ind w:firstLine="482"/>
        <w:outlineLvl w:val="2"/>
        <w:rPr>
          <w:rFonts w:eastAsia="宋体" w:cs="宋体"/>
          <w:b/>
          <w:bCs/>
          <w:color w:val="auto"/>
          <w:highlight w:val="none"/>
        </w:rPr>
      </w:pPr>
      <w:r>
        <w:rPr>
          <w:rFonts w:hint="eastAsia" w:eastAsia="宋体" w:cs="宋体"/>
          <w:b/>
          <w:bCs/>
          <w:color w:val="auto"/>
          <w:highlight w:val="none"/>
        </w:rPr>
        <w:t>2.考核管理</w:t>
      </w:r>
    </w:p>
    <w:p w14:paraId="5B9DA6A3">
      <w:pPr>
        <w:spacing w:line="420" w:lineRule="exact"/>
        <w:ind w:firstLine="480"/>
        <w:rPr>
          <w:rFonts w:eastAsia="宋体" w:cs="宋体"/>
          <w:color w:val="auto"/>
          <w:highlight w:val="none"/>
        </w:rPr>
      </w:pPr>
      <w:r>
        <w:rPr>
          <w:rFonts w:hint="eastAsia" w:eastAsia="宋体" w:cs="宋体"/>
          <w:color w:val="auto"/>
          <w:highlight w:val="none"/>
        </w:rPr>
        <w:t>（1）征集人对入围框架协议供应商和参审人员</w:t>
      </w:r>
      <w:bookmarkStart w:id="142" w:name="_Hlk183656589"/>
      <w:r>
        <w:rPr>
          <w:rFonts w:hint="eastAsia" w:eastAsia="宋体" w:cs="宋体"/>
          <w:color w:val="auto"/>
          <w:highlight w:val="none"/>
        </w:rPr>
        <w:t>按</w:t>
      </w:r>
      <w:bookmarkStart w:id="143" w:name="_Hlk184466319"/>
      <w:r>
        <w:rPr>
          <w:rFonts w:hint="eastAsia" w:eastAsia="宋体" w:cs="宋体"/>
          <w:b/>
          <w:bCs/>
          <w:color w:val="auto"/>
          <w:highlight w:val="none"/>
        </w:rPr>
        <w:t>《协审单位考核管理评分表》</w:t>
      </w:r>
      <w:bookmarkEnd w:id="142"/>
      <w:bookmarkEnd w:id="143"/>
      <w:r>
        <w:rPr>
          <w:rFonts w:hint="eastAsia" w:eastAsia="宋体" w:cs="宋体"/>
          <w:color w:val="auto"/>
          <w:highlight w:val="none"/>
        </w:rPr>
        <w:t>进行考核。</w:t>
      </w:r>
    </w:p>
    <w:p w14:paraId="2D6FA7F1">
      <w:pPr>
        <w:spacing w:line="420" w:lineRule="exact"/>
        <w:ind w:firstLine="480"/>
        <w:rPr>
          <w:rFonts w:eastAsia="宋体" w:cs="宋体"/>
          <w:color w:val="auto"/>
          <w:highlight w:val="none"/>
        </w:rPr>
      </w:pPr>
      <w:r>
        <w:rPr>
          <w:rFonts w:hint="eastAsia" w:eastAsia="宋体" w:cs="宋体"/>
          <w:color w:val="auto"/>
          <w:highlight w:val="none"/>
        </w:rPr>
        <w:t>（2）考核实行百分制和“一审一评”制。考核结果作为框架协议内，项目结算的依据。</w:t>
      </w:r>
    </w:p>
    <w:p w14:paraId="25A0B5A5">
      <w:pPr>
        <w:spacing w:line="420" w:lineRule="exact"/>
        <w:ind w:firstLine="480"/>
        <w:rPr>
          <w:rFonts w:eastAsia="宋体" w:cs="宋体"/>
          <w:color w:val="auto"/>
          <w:highlight w:val="none"/>
        </w:rPr>
      </w:pPr>
      <w:r>
        <w:rPr>
          <w:rFonts w:hint="eastAsia" w:eastAsia="宋体" w:cs="宋体"/>
          <w:color w:val="auto"/>
          <w:highlight w:val="none"/>
        </w:rPr>
        <w:t>（3）考核得分≥80分的，按协议约定标准支付协审费用；70分≤考核得分＜80分的，按约定标准×95%支付协审费用；60分≤考核得分＜70分的，按约定标准×90%支付协审费用；考核得分＜60分的，按约定标准×80%支付协审费用。</w:t>
      </w:r>
    </w:p>
    <w:p w14:paraId="776E52D4">
      <w:pPr>
        <w:spacing w:line="420" w:lineRule="exact"/>
        <w:ind w:firstLine="480"/>
        <w:rPr>
          <w:rFonts w:eastAsia="宋体" w:cs="宋体"/>
          <w:color w:val="auto"/>
          <w:highlight w:val="none"/>
        </w:rPr>
      </w:pPr>
      <w:r>
        <w:rPr>
          <w:rFonts w:hint="eastAsia" w:eastAsia="宋体" w:cs="宋体"/>
          <w:color w:val="auto"/>
          <w:highlight w:val="none"/>
        </w:rPr>
        <w:t>（4）考核得分＜60分的，解除协审委托协议并立即取消框架协议的入围资格；</w:t>
      </w:r>
    </w:p>
    <w:p w14:paraId="26788671">
      <w:pPr>
        <w:spacing w:line="420" w:lineRule="exact"/>
        <w:ind w:firstLine="482"/>
        <w:outlineLvl w:val="2"/>
        <w:rPr>
          <w:rFonts w:eastAsia="宋体" w:cs="宋体"/>
          <w:color w:val="auto"/>
          <w:highlight w:val="none"/>
          <w:u w:val="single"/>
        </w:rPr>
      </w:pPr>
      <w:r>
        <w:rPr>
          <w:rFonts w:hint="eastAsia" w:eastAsia="宋体" w:cs="宋体"/>
          <w:b/>
          <w:bCs/>
          <w:color w:val="auto"/>
          <w:highlight w:val="none"/>
          <w:u w:val="single"/>
        </w:rPr>
        <w:t>3.涉及考核管理的其他未尽事宜，根据征集人制定的相关考核管理制度执行。</w:t>
      </w:r>
    </w:p>
    <w:p w14:paraId="091E887B">
      <w:pPr>
        <w:spacing w:line="420" w:lineRule="exact"/>
        <w:ind w:firstLine="482"/>
        <w:outlineLvl w:val="2"/>
        <w:rPr>
          <w:rFonts w:eastAsia="宋体" w:cs="宋体"/>
          <w:b/>
          <w:bCs/>
          <w:color w:val="auto"/>
          <w:highlight w:val="none"/>
        </w:rPr>
      </w:pPr>
      <w:r>
        <w:rPr>
          <w:rFonts w:hint="eastAsia" w:eastAsia="宋体" w:cs="宋体"/>
          <w:b/>
          <w:bCs/>
          <w:color w:val="auto"/>
          <w:highlight w:val="none"/>
        </w:rPr>
        <w:t>4.责任追究</w:t>
      </w:r>
    </w:p>
    <w:p w14:paraId="2DD07489">
      <w:pPr>
        <w:spacing w:line="420" w:lineRule="exact"/>
        <w:ind w:firstLine="480"/>
        <w:rPr>
          <w:rFonts w:eastAsia="宋体" w:cs="宋体"/>
          <w:b/>
          <w:bCs/>
          <w:color w:val="auto"/>
          <w:highlight w:val="none"/>
        </w:rPr>
      </w:pPr>
      <w:r>
        <w:rPr>
          <w:rFonts w:hint="eastAsia" w:eastAsia="宋体" w:cs="宋体"/>
          <w:b/>
          <w:bCs/>
          <w:color w:val="auto"/>
          <w:highlight w:val="none"/>
        </w:rPr>
        <w:t>（1）《政府采购框架协议采购方式管理暂行办法》（财政部令第110号）第十九条：入围供应商有下列情形之一，尚未签订框架协议的，征集人取消其入围资格；已经签订框架协议的，征集人解除与其签订的框架协议：</w:t>
      </w:r>
    </w:p>
    <w:p w14:paraId="4878BC90">
      <w:pPr>
        <w:spacing w:line="420" w:lineRule="exact"/>
        <w:ind w:firstLine="480" w:firstLineChars="200"/>
        <w:jc w:val="left"/>
        <w:rPr>
          <w:rFonts w:eastAsia="宋体" w:cs="宋体"/>
          <w:color w:val="auto"/>
          <w:highlight w:val="none"/>
        </w:rPr>
      </w:pPr>
      <w:r>
        <w:rPr>
          <w:rFonts w:hint="eastAsia" w:eastAsia="宋体" w:cs="宋体"/>
          <w:color w:val="auto"/>
          <w:highlight w:val="none"/>
        </w:rPr>
        <w:t>①恶意串通谋取入围或者合同成交的；</w:t>
      </w:r>
    </w:p>
    <w:p w14:paraId="1E0AFC57">
      <w:pPr>
        <w:spacing w:line="420" w:lineRule="exact"/>
        <w:ind w:firstLine="480" w:firstLineChars="200"/>
        <w:jc w:val="left"/>
        <w:rPr>
          <w:rFonts w:eastAsia="宋体" w:cs="宋体"/>
          <w:color w:val="auto"/>
          <w:highlight w:val="none"/>
        </w:rPr>
      </w:pPr>
      <w:r>
        <w:rPr>
          <w:rFonts w:hint="eastAsia" w:eastAsia="宋体" w:cs="宋体"/>
          <w:color w:val="auto"/>
          <w:highlight w:val="none"/>
        </w:rPr>
        <w:t>②提供虚假材料谋取入围或者合同成交的；</w:t>
      </w:r>
    </w:p>
    <w:p w14:paraId="16BDCA9A">
      <w:pPr>
        <w:spacing w:line="420" w:lineRule="exact"/>
        <w:ind w:firstLine="480" w:firstLineChars="200"/>
        <w:jc w:val="left"/>
        <w:rPr>
          <w:rFonts w:eastAsia="宋体" w:cs="宋体"/>
          <w:color w:val="auto"/>
          <w:highlight w:val="none"/>
        </w:rPr>
      </w:pPr>
      <w:r>
        <w:rPr>
          <w:rFonts w:hint="eastAsia" w:eastAsia="宋体" w:cs="宋体"/>
          <w:color w:val="auto"/>
          <w:highlight w:val="none"/>
        </w:rPr>
        <w:t>③无正当理由拒不接受合同授予的；</w:t>
      </w:r>
    </w:p>
    <w:p w14:paraId="48E4FF2A">
      <w:pPr>
        <w:spacing w:line="420" w:lineRule="exact"/>
        <w:ind w:firstLine="480" w:firstLineChars="200"/>
        <w:jc w:val="left"/>
        <w:rPr>
          <w:rFonts w:eastAsia="宋体" w:cs="宋体"/>
          <w:color w:val="auto"/>
          <w:highlight w:val="none"/>
        </w:rPr>
      </w:pPr>
      <w:r>
        <w:rPr>
          <w:rFonts w:hint="eastAsia" w:eastAsia="宋体" w:cs="宋体"/>
          <w:color w:val="auto"/>
          <w:highlight w:val="none"/>
        </w:rPr>
        <w:t>④不履行合同义务或者履行合同义务不符合约定，经采购人请求履行后仍不履行或者仍未按约定履行的；</w:t>
      </w:r>
    </w:p>
    <w:p w14:paraId="54B62772">
      <w:pPr>
        <w:spacing w:line="420" w:lineRule="exact"/>
        <w:ind w:firstLine="480" w:firstLineChars="200"/>
        <w:jc w:val="left"/>
        <w:rPr>
          <w:rFonts w:eastAsia="宋体" w:cs="宋体"/>
          <w:color w:val="auto"/>
          <w:highlight w:val="none"/>
        </w:rPr>
      </w:pPr>
      <w:r>
        <w:rPr>
          <w:rFonts w:hint="eastAsia" w:eastAsia="宋体" w:cs="宋体"/>
          <w:color w:val="auto"/>
          <w:highlight w:val="none"/>
        </w:rPr>
        <w:t>⑤框架协议有效期内，因违法行为被禁止或限制参加政府采购活动的；</w:t>
      </w:r>
    </w:p>
    <w:p w14:paraId="12037907">
      <w:pPr>
        <w:spacing w:line="420" w:lineRule="exact"/>
        <w:ind w:firstLine="480" w:firstLineChars="200"/>
        <w:jc w:val="left"/>
        <w:rPr>
          <w:rFonts w:eastAsia="宋体" w:cs="宋体"/>
          <w:color w:val="auto"/>
          <w:highlight w:val="none"/>
        </w:rPr>
      </w:pPr>
      <w:r>
        <w:rPr>
          <w:rFonts w:hint="eastAsia" w:eastAsia="宋体" w:cs="宋体"/>
          <w:color w:val="auto"/>
          <w:highlight w:val="none"/>
        </w:rPr>
        <w:t>⑥框架协议约定的其他情形。</w:t>
      </w:r>
    </w:p>
    <w:p w14:paraId="74E85922">
      <w:pPr>
        <w:spacing w:line="420" w:lineRule="exact"/>
        <w:ind w:firstLine="480" w:firstLineChars="200"/>
        <w:jc w:val="left"/>
        <w:rPr>
          <w:rFonts w:eastAsia="宋体" w:cs="宋体"/>
          <w:color w:val="auto"/>
          <w:highlight w:val="none"/>
        </w:rPr>
      </w:pPr>
      <w:r>
        <w:rPr>
          <w:rFonts w:hint="eastAsia" w:eastAsia="宋体" w:cs="宋体"/>
          <w:color w:val="auto"/>
          <w:highlight w:val="none"/>
        </w:rPr>
        <w:t>被取消入围资格或者被解除框架协议的供应商不得参加</w:t>
      </w:r>
      <w:bookmarkStart w:id="144" w:name="_Hlk184225519"/>
      <w:r>
        <w:rPr>
          <w:rFonts w:hint="eastAsia" w:eastAsia="宋体" w:cs="宋体"/>
          <w:color w:val="auto"/>
          <w:highlight w:val="none"/>
        </w:rPr>
        <w:t>同一封闭式框架协议</w:t>
      </w:r>
      <w:bookmarkEnd w:id="144"/>
      <w:r>
        <w:rPr>
          <w:rFonts w:hint="eastAsia" w:eastAsia="宋体" w:cs="宋体"/>
          <w:color w:val="auto"/>
          <w:highlight w:val="none"/>
        </w:rPr>
        <w:t>补充征集，或者重新申请加入同一开放式框架协议。</w:t>
      </w:r>
    </w:p>
    <w:p w14:paraId="73ECF38B">
      <w:pPr>
        <w:spacing w:line="420" w:lineRule="exact"/>
        <w:ind w:firstLine="480"/>
        <w:rPr>
          <w:rFonts w:eastAsia="宋体" w:cs="宋体"/>
          <w:b/>
          <w:bCs/>
          <w:color w:val="auto"/>
          <w:highlight w:val="none"/>
        </w:rPr>
      </w:pPr>
      <w:r>
        <w:rPr>
          <w:rFonts w:hint="eastAsia" w:eastAsia="宋体" w:cs="宋体"/>
          <w:b/>
          <w:bCs/>
          <w:color w:val="auto"/>
          <w:highlight w:val="none"/>
        </w:rPr>
        <w:t>（2）协审供应商或协审人员有下列情形之一的，采购人解除协审委托协议，征集人取消供应商框架协议的入围资格。</w:t>
      </w:r>
    </w:p>
    <w:p w14:paraId="29B52D3F">
      <w:pPr>
        <w:spacing w:line="420" w:lineRule="exact"/>
        <w:ind w:firstLine="480" w:firstLineChars="200"/>
        <w:jc w:val="left"/>
        <w:rPr>
          <w:rFonts w:eastAsia="宋体" w:cs="宋体"/>
          <w:color w:val="auto"/>
          <w:highlight w:val="none"/>
        </w:rPr>
      </w:pPr>
      <w:r>
        <w:rPr>
          <w:rFonts w:hint="eastAsia" w:eastAsia="宋体" w:cs="宋体"/>
          <w:color w:val="auto"/>
          <w:highlight w:val="none"/>
        </w:rPr>
        <w:t>①协审中介机构发生变更、注销，协审人员发生执业资格注销、暂停等情形时，未及时通知采购人的；</w:t>
      </w:r>
    </w:p>
    <w:p w14:paraId="7238B018">
      <w:pPr>
        <w:spacing w:line="420" w:lineRule="exact"/>
        <w:ind w:firstLine="480" w:firstLineChars="200"/>
        <w:jc w:val="left"/>
        <w:rPr>
          <w:rFonts w:eastAsia="宋体" w:cs="宋体"/>
          <w:color w:val="auto"/>
          <w:highlight w:val="none"/>
        </w:rPr>
      </w:pPr>
      <w:r>
        <w:rPr>
          <w:rFonts w:hint="eastAsia" w:eastAsia="宋体" w:cs="宋体"/>
          <w:color w:val="auto"/>
          <w:highlight w:val="none"/>
        </w:rPr>
        <w:t>②擅自变更项目负责人，或</w:t>
      </w:r>
      <w:bookmarkStart w:id="145" w:name="_Hlk183655617"/>
      <w:r>
        <w:rPr>
          <w:rFonts w:hint="eastAsia" w:eastAsia="宋体" w:cs="宋体"/>
          <w:color w:val="auto"/>
          <w:highlight w:val="none"/>
        </w:rPr>
        <w:t>在框架协议的服务期限内</w:t>
      </w:r>
      <w:bookmarkEnd w:id="145"/>
      <w:r>
        <w:rPr>
          <w:rFonts w:hint="eastAsia" w:eastAsia="宋体" w:cs="宋体"/>
          <w:color w:val="auto"/>
          <w:highlight w:val="none"/>
        </w:rPr>
        <w:t>，累计2次被发现协审人员未正常履职的；</w:t>
      </w:r>
    </w:p>
    <w:p w14:paraId="0358D985">
      <w:pPr>
        <w:spacing w:line="420" w:lineRule="exact"/>
        <w:ind w:firstLine="480" w:firstLineChars="200"/>
        <w:jc w:val="left"/>
        <w:rPr>
          <w:rFonts w:eastAsia="宋体" w:cs="宋体"/>
          <w:color w:val="auto"/>
          <w:highlight w:val="none"/>
        </w:rPr>
      </w:pPr>
      <w:r>
        <w:rPr>
          <w:rFonts w:hint="eastAsia" w:eastAsia="宋体" w:cs="宋体"/>
          <w:color w:val="auto"/>
          <w:highlight w:val="none"/>
        </w:rPr>
        <w:t>③接通知后未按时领取协审资料且无故拖延2个工作日以上的；</w:t>
      </w:r>
    </w:p>
    <w:p w14:paraId="7AB0F385">
      <w:pPr>
        <w:spacing w:line="420" w:lineRule="exact"/>
        <w:ind w:firstLine="480" w:firstLineChars="200"/>
        <w:jc w:val="left"/>
        <w:rPr>
          <w:rFonts w:eastAsia="宋体" w:cs="宋体"/>
          <w:color w:val="auto"/>
          <w:highlight w:val="none"/>
        </w:rPr>
      </w:pPr>
      <w:r>
        <w:rPr>
          <w:rFonts w:hint="eastAsia" w:eastAsia="宋体" w:cs="宋体"/>
          <w:color w:val="auto"/>
          <w:highlight w:val="none"/>
        </w:rPr>
        <w:t>④接收</w:t>
      </w:r>
      <w:r>
        <w:rPr>
          <w:rFonts w:hint="eastAsia" w:eastAsia="宋体" w:cs="宋体"/>
          <w:b/>
          <w:color w:val="auto"/>
          <w:highlight w:val="none"/>
        </w:rPr>
        <w:t>协审</w:t>
      </w:r>
      <w:r>
        <w:rPr>
          <w:rFonts w:hint="eastAsia" w:eastAsia="宋体" w:cs="宋体"/>
          <w:color w:val="auto"/>
          <w:highlight w:val="none"/>
        </w:rPr>
        <w:t>资料后未按时反馈资料缺失情况且无故拖延5个工作日以上的；</w:t>
      </w:r>
    </w:p>
    <w:p w14:paraId="6560CA2B">
      <w:pPr>
        <w:spacing w:line="420" w:lineRule="exact"/>
        <w:ind w:firstLine="480" w:firstLineChars="200"/>
        <w:jc w:val="left"/>
        <w:rPr>
          <w:rFonts w:eastAsia="宋体" w:cs="宋体"/>
          <w:color w:val="auto"/>
          <w:highlight w:val="none"/>
        </w:rPr>
      </w:pPr>
      <w:r>
        <w:rPr>
          <w:rFonts w:hint="eastAsia" w:eastAsia="宋体" w:cs="宋体"/>
          <w:color w:val="auto"/>
          <w:highlight w:val="none"/>
        </w:rPr>
        <w:t>⑤因协审供应商原因未按时完成协审任务且无故拖延4周以上的；</w:t>
      </w:r>
    </w:p>
    <w:p w14:paraId="624694F0">
      <w:pPr>
        <w:spacing w:line="420" w:lineRule="exact"/>
        <w:ind w:firstLine="480" w:firstLineChars="200"/>
        <w:jc w:val="left"/>
        <w:rPr>
          <w:rFonts w:eastAsia="宋体" w:cs="宋体"/>
          <w:color w:val="auto"/>
          <w:highlight w:val="none"/>
        </w:rPr>
      </w:pPr>
      <w:r>
        <w:rPr>
          <w:rFonts w:hint="eastAsia" w:eastAsia="宋体" w:cs="宋体"/>
          <w:color w:val="auto"/>
          <w:highlight w:val="none"/>
        </w:rPr>
        <w:t>⑥出具正式结果后未按时报送整理完备的协审资料且无故拖延10个工作日以上的；</w:t>
      </w:r>
    </w:p>
    <w:p w14:paraId="5D6267BC">
      <w:pPr>
        <w:spacing w:line="420" w:lineRule="exact"/>
        <w:ind w:firstLine="480" w:firstLineChars="200"/>
        <w:jc w:val="left"/>
        <w:rPr>
          <w:rFonts w:eastAsia="宋体" w:cs="宋体"/>
          <w:color w:val="auto"/>
          <w:highlight w:val="none"/>
        </w:rPr>
      </w:pPr>
      <w:r>
        <w:rPr>
          <w:rFonts w:hint="eastAsia" w:eastAsia="宋体" w:cs="宋体"/>
          <w:color w:val="auto"/>
          <w:highlight w:val="none"/>
        </w:rPr>
        <w:t>⑦在项目协审过程中，协审资料未按规定从采购人处获取，直接向建设单位、施工单位索取的；</w:t>
      </w:r>
    </w:p>
    <w:p w14:paraId="3AFFBF9B">
      <w:pPr>
        <w:spacing w:line="420" w:lineRule="exact"/>
        <w:ind w:firstLine="480" w:firstLineChars="200"/>
        <w:jc w:val="left"/>
        <w:rPr>
          <w:rFonts w:eastAsia="宋体" w:cs="宋体"/>
          <w:color w:val="auto"/>
          <w:highlight w:val="none"/>
        </w:rPr>
      </w:pPr>
      <w:r>
        <w:rPr>
          <w:rFonts w:hint="eastAsia" w:eastAsia="宋体" w:cs="宋体"/>
          <w:color w:val="auto"/>
          <w:highlight w:val="none"/>
        </w:rPr>
        <w:t>⑧协审过程中，未经采购人的工作人员同意，擅自与建设单位、施工单位人员进行数据核对或交换意见的；</w:t>
      </w:r>
    </w:p>
    <w:p w14:paraId="5F5FD713">
      <w:pPr>
        <w:spacing w:line="420" w:lineRule="exact"/>
        <w:ind w:firstLine="480" w:firstLineChars="200"/>
        <w:jc w:val="left"/>
        <w:rPr>
          <w:rFonts w:eastAsia="宋体" w:cs="宋体"/>
          <w:color w:val="auto"/>
          <w:highlight w:val="none"/>
        </w:rPr>
      </w:pPr>
      <w:r>
        <w:rPr>
          <w:rFonts w:hint="eastAsia" w:eastAsia="宋体" w:cs="宋体"/>
          <w:color w:val="auto"/>
          <w:highlight w:val="none"/>
        </w:rPr>
        <w:t>⑨存在协审资料遗失情况的；</w:t>
      </w:r>
    </w:p>
    <w:p w14:paraId="59324EC4">
      <w:pPr>
        <w:spacing w:line="420" w:lineRule="exact"/>
        <w:ind w:firstLine="480" w:firstLineChars="200"/>
        <w:jc w:val="left"/>
        <w:rPr>
          <w:rFonts w:eastAsia="宋体" w:cs="宋体"/>
          <w:color w:val="auto"/>
          <w:highlight w:val="none"/>
        </w:rPr>
      </w:pPr>
      <w:r>
        <w:rPr>
          <w:rFonts w:hint="eastAsia" w:eastAsia="宋体" w:cs="宋体"/>
          <w:color w:val="auto"/>
          <w:highlight w:val="none"/>
        </w:rPr>
        <w:t>⑩在框架协议的服务期限内，累计2次不能做到协审事项积极主动与主审沟通、重要事项及时与主审联系会商、紧急项目加班加点、严格按照采购人要求开展相关工作、积极协商处理不一致意见等事项中任一项的；</w:t>
      </w:r>
    </w:p>
    <w:p w14:paraId="0A1D0F1C">
      <w:pPr>
        <w:spacing w:line="420" w:lineRule="exact"/>
        <w:ind w:firstLine="480" w:firstLineChars="200"/>
        <w:jc w:val="left"/>
        <w:rPr>
          <w:rFonts w:eastAsia="宋体" w:cs="宋体"/>
          <w:color w:val="auto"/>
          <w:highlight w:val="none"/>
        </w:rPr>
      </w:pPr>
      <w:r>
        <w:rPr>
          <w:rFonts w:hint="eastAsia" w:eastAsia="宋体" w:cs="宋体"/>
          <w:color w:val="auto"/>
          <w:highlight w:val="none"/>
        </w:rPr>
        <w:t>⑪其他不严格执行协审程序的情形。</w:t>
      </w:r>
    </w:p>
    <w:p w14:paraId="441E565B">
      <w:pPr>
        <w:spacing w:line="420" w:lineRule="exact"/>
        <w:ind w:firstLine="480"/>
        <w:rPr>
          <w:rFonts w:eastAsia="宋体" w:cs="宋体"/>
          <w:b/>
          <w:bCs/>
          <w:color w:val="auto"/>
          <w:highlight w:val="none"/>
        </w:rPr>
      </w:pPr>
      <w:r>
        <w:rPr>
          <w:rFonts w:hint="eastAsia" w:eastAsia="宋体" w:cs="宋体"/>
          <w:b/>
          <w:bCs/>
          <w:color w:val="auto"/>
          <w:highlight w:val="none"/>
        </w:rPr>
        <w:t>（3）协审供应商或协审人员有下列情形之一的，采购人解除协审委托协议</w:t>
      </w:r>
      <w:bookmarkStart w:id="146" w:name="_Hlk184336741"/>
      <w:r>
        <w:rPr>
          <w:rFonts w:hint="eastAsia" w:eastAsia="宋体" w:cs="宋体"/>
          <w:b/>
          <w:bCs/>
          <w:color w:val="auto"/>
          <w:highlight w:val="none"/>
        </w:rPr>
        <w:t>，</w:t>
      </w:r>
      <w:bookmarkStart w:id="147" w:name="_Hlk184225596"/>
      <w:r>
        <w:rPr>
          <w:rFonts w:hint="eastAsia" w:eastAsia="宋体" w:cs="宋体"/>
          <w:b/>
          <w:bCs/>
          <w:color w:val="auto"/>
          <w:highlight w:val="none"/>
        </w:rPr>
        <w:t>征集人取消供应商框架协议的入围资格，</w:t>
      </w:r>
      <w:bookmarkStart w:id="148" w:name="_Hlk183656022"/>
      <w:r>
        <w:rPr>
          <w:rFonts w:hint="eastAsia" w:eastAsia="宋体" w:cs="宋体"/>
          <w:b/>
          <w:bCs/>
          <w:color w:val="auto"/>
          <w:highlight w:val="none"/>
        </w:rPr>
        <w:t>征集人3年内不再接受协审供应商参与就同一封闭式框架协议采购开展的征集活动</w:t>
      </w:r>
      <w:bookmarkEnd w:id="147"/>
      <w:bookmarkEnd w:id="148"/>
      <w:r>
        <w:rPr>
          <w:rFonts w:hint="eastAsia" w:eastAsia="宋体" w:cs="宋体"/>
          <w:b/>
          <w:bCs/>
          <w:color w:val="auto"/>
          <w:highlight w:val="none"/>
        </w:rPr>
        <w:t>。</w:t>
      </w:r>
      <w:bookmarkEnd w:id="146"/>
    </w:p>
    <w:p w14:paraId="31EE7898">
      <w:pPr>
        <w:spacing w:line="420" w:lineRule="exact"/>
        <w:ind w:firstLine="480" w:firstLineChars="200"/>
        <w:jc w:val="left"/>
        <w:rPr>
          <w:rFonts w:eastAsia="宋体" w:cs="宋体"/>
          <w:color w:val="auto"/>
          <w:highlight w:val="none"/>
        </w:rPr>
      </w:pPr>
      <w:r>
        <w:rPr>
          <w:rFonts w:hint="eastAsia" w:eastAsia="宋体" w:cs="宋体"/>
          <w:color w:val="auto"/>
          <w:highlight w:val="none"/>
        </w:rPr>
        <w:t>①遇有应当回避的情况时，未主动提出回避的；</w:t>
      </w:r>
    </w:p>
    <w:p w14:paraId="22B9ABC9">
      <w:pPr>
        <w:spacing w:line="420" w:lineRule="exact"/>
        <w:ind w:firstLine="480" w:firstLineChars="200"/>
        <w:jc w:val="left"/>
        <w:rPr>
          <w:rFonts w:eastAsia="宋体" w:cs="宋体"/>
          <w:color w:val="auto"/>
          <w:highlight w:val="none"/>
        </w:rPr>
      </w:pPr>
      <w:r>
        <w:rPr>
          <w:rFonts w:hint="eastAsia" w:eastAsia="宋体" w:cs="宋体"/>
          <w:color w:val="auto"/>
          <w:highlight w:val="none"/>
        </w:rPr>
        <w:t>②拒绝接受采购人的指导和监督的；</w:t>
      </w:r>
    </w:p>
    <w:p w14:paraId="3ACE87A7">
      <w:pPr>
        <w:spacing w:line="420" w:lineRule="exact"/>
        <w:ind w:firstLine="480" w:firstLineChars="200"/>
        <w:jc w:val="left"/>
        <w:rPr>
          <w:rFonts w:eastAsia="宋体" w:cs="宋体"/>
          <w:color w:val="auto"/>
          <w:highlight w:val="none"/>
        </w:rPr>
      </w:pPr>
      <w:r>
        <w:rPr>
          <w:rFonts w:hint="eastAsia" w:eastAsia="宋体" w:cs="宋体"/>
          <w:color w:val="auto"/>
          <w:highlight w:val="none"/>
        </w:rPr>
        <w:t>③隐瞒、变更协审发现的问题的；</w:t>
      </w:r>
    </w:p>
    <w:p w14:paraId="24F28BF1">
      <w:pPr>
        <w:spacing w:line="420" w:lineRule="exact"/>
        <w:ind w:firstLine="480" w:firstLineChars="200"/>
        <w:jc w:val="left"/>
        <w:rPr>
          <w:rFonts w:eastAsia="宋体" w:cs="宋体"/>
          <w:color w:val="auto"/>
          <w:highlight w:val="none"/>
        </w:rPr>
      </w:pPr>
      <w:r>
        <w:rPr>
          <w:rFonts w:hint="eastAsia" w:eastAsia="宋体" w:cs="宋体"/>
          <w:color w:val="auto"/>
          <w:highlight w:val="none"/>
        </w:rPr>
        <w:t xml:space="preserve">④不遵守协审保密纪律，出现泄密事件的； </w:t>
      </w:r>
    </w:p>
    <w:p w14:paraId="6AE8CDA1">
      <w:pPr>
        <w:spacing w:line="420" w:lineRule="exact"/>
        <w:ind w:firstLine="480" w:firstLineChars="200"/>
        <w:jc w:val="left"/>
        <w:rPr>
          <w:rFonts w:eastAsia="宋体" w:cs="宋体"/>
          <w:color w:val="auto"/>
          <w:highlight w:val="none"/>
        </w:rPr>
      </w:pPr>
      <w:r>
        <w:rPr>
          <w:rFonts w:hint="eastAsia" w:eastAsia="宋体" w:cs="宋体"/>
          <w:color w:val="auto"/>
          <w:highlight w:val="none"/>
        </w:rPr>
        <w:t>⑤将采购人分派的协审任务转包或分包给其他单位或个人的；</w:t>
      </w:r>
    </w:p>
    <w:p w14:paraId="08A53272">
      <w:pPr>
        <w:spacing w:line="420" w:lineRule="exact"/>
        <w:ind w:firstLine="480" w:firstLineChars="200"/>
        <w:jc w:val="left"/>
        <w:rPr>
          <w:rFonts w:eastAsia="宋体" w:cs="宋体"/>
          <w:color w:val="auto"/>
          <w:highlight w:val="none"/>
        </w:rPr>
      </w:pPr>
      <w:r>
        <w:rPr>
          <w:rFonts w:hint="eastAsia" w:eastAsia="宋体" w:cs="宋体"/>
          <w:color w:val="auto"/>
          <w:highlight w:val="none"/>
        </w:rPr>
        <w:t>⑥采取非正常手段处理不一致意见的；</w:t>
      </w:r>
    </w:p>
    <w:p w14:paraId="57950365">
      <w:pPr>
        <w:spacing w:line="420" w:lineRule="exact"/>
        <w:ind w:firstLine="480" w:firstLineChars="200"/>
        <w:jc w:val="left"/>
        <w:rPr>
          <w:rFonts w:eastAsia="宋体" w:cs="宋体"/>
          <w:color w:val="auto"/>
          <w:highlight w:val="none"/>
        </w:rPr>
      </w:pPr>
      <w:r>
        <w:rPr>
          <w:rFonts w:hint="eastAsia" w:eastAsia="宋体" w:cs="宋体"/>
          <w:color w:val="auto"/>
          <w:highlight w:val="none"/>
        </w:rPr>
        <w:t>⑦协审资料遗失情况严重的；</w:t>
      </w:r>
    </w:p>
    <w:p w14:paraId="7B1CF4A3">
      <w:pPr>
        <w:spacing w:line="420" w:lineRule="exact"/>
        <w:ind w:firstLine="480" w:firstLineChars="200"/>
        <w:jc w:val="left"/>
        <w:rPr>
          <w:rFonts w:eastAsia="宋体" w:cs="宋体"/>
          <w:color w:val="auto"/>
          <w:highlight w:val="none"/>
        </w:rPr>
      </w:pPr>
      <w:r>
        <w:rPr>
          <w:rFonts w:hint="eastAsia" w:eastAsia="宋体" w:cs="宋体"/>
          <w:color w:val="auto"/>
          <w:highlight w:val="none"/>
        </w:rPr>
        <w:t>⑧其他严重违反职业道德，或不履行协议规定义务的情形。</w:t>
      </w:r>
    </w:p>
    <w:p w14:paraId="53473D4E">
      <w:pPr>
        <w:spacing w:line="420" w:lineRule="exact"/>
        <w:ind w:firstLine="480"/>
        <w:rPr>
          <w:rFonts w:eastAsia="宋体" w:cs="宋体"/>
          <w:b/>
          <w:bCs/>
          <w:color w:val="auto"/>
          <w:highlight w:val="none"/>
        </w:rPr>
      </w:pPr>
      <w:r>
        <w:rPr>
          <w:rFonts w:hint="eastAsia" w:eastAsia="宋体" w:cs="宋体"/>
          <w:b/>
          <w:bCs/>
          <w:color w:val="auto"/>
          <w:highlight w:val="none"/>
        </w:rPr>
        <w:t>（4）协审供应商或</w:t>
      </w:r>
      <w:bookmarkStart w:id="149" w:name="OLE_LINK8"/>
      <w:r>
        <w:rPr>
          <w:rFonts w:hint="eastAsia" w:eastAsia="宋体" w:cs="宋体"/>
          <w:b/>
          <w:bCs/>
          <w:color w:val="auto"/>
          <w:highlight w:val="none"/>
        </w:rPr>
        <w:t>协审人员</w:t>
      </w:r>
      <w:bookmarkEnd w:id="149"/>
      <w:r>
        <w:rPr>
          <w:rFonts w:hint="eastAsia" w:eastAsia="宋体" w:cs="宋体"/>
          <w:b/>
          <w:bCs/>
          <w:color w:val="auto"/>
          <w:highlight w:val="none"/>
        </w:rPr>
        <w:t>违反相关法律法规，有下列情形之一的，征集人取消供应商框架协议的入围资格，且征集人3年内不再接受协审供应商参与就同一封闭式框架协议采购开展的征集活动，并提请相关行政主管部门依法对协审供应商和相关责任人予以处理、处罚；情节严重构成犯罪的，依法移交司法机关处理。</w:t>
      </w:r>
    </w:p>
    <w:p w14:paraId="10FD6557">
      <w:pPr>
        <w:spacing w:line="420" w:lineRule="exact"/>
        <w:ind w:firstLine="480" w:firstLineChars="200"/>
        <w:jc w:val="left"/>
        <w:rPr>
          <w:rFonts w:eastAsia="宋体" w:cs="宋体"/>
          <w:color w:val="auto"/>
          <w:highlight w:val="none"/>
        </w:rPr>
      </w:pPr>
      <w:r>
        <w:rPr>
          <w:rFonts w:hint="eastAsia" w:eastAsia="宋体" w:cs="宋体"/>
          <w:color w:val="auto"/>
          <w:highlight w:val="none"/>
        </w:rPr>
        <w:t>①与相关单位串通舞弊的；</w:t>
      </w:r>
    </w:p>
    <w:p w14:paraId="62657B17">
      <w:pPr>
        <w:spacing w:line="420" w:lineRule="exact"/>
        <w:ind w:firstLine="480" w:firstLineChars="200"/>
        <w:jc w:val="left"/>
        <w:rPr>
          <w:rFonts w:eastAsia="宋体" w:cs="宋体"/>
          <w:color w:val="auto"/>
          <w:highlight w:val="none"/>
        </w:rPr>
      </w:pPr>
      <w:r>
        <w:rPr>
          <w:rFonts w:hint="eastAsia" w:eastAsia="宋体" w:cs="宋体"/>
          <w:color w:val="auto"/>
          <w:highlight w:val="none"/>
        </w:rPr>
        <w:t>②利用受聘工作从相关单位获取不正当利益的；</w:t>
      </w:r>
    </w:p>
    <w:p w14:paraId="06BC84EA">
      <w:pPr>
        <w:spacing w:line="420" w:lineRule="exact"/>
        <w:ind w:firstLine="480" w:firstLineChars="200"/>
        <w:jc w:val="left"/>
        <w:rPr>
          <w:rFonts w:eastAsia="宋体" w:cs="宋体"/>
          <w:color w:val="auto"/>
          <w:highlight w:val="none"/>
        </w:rPr>
      </w:pPr>
      <w:r>
        <w:rPr>
          <w:rFonts w:hint="eastAsia" w:eastAsia="宋体" w:cs="宋体"/>
          <w:color w:val="auto"/>
          <w:highlight w:val="none"/>
        </w:rPr>
        <w:t>③违背客观、公正和诚实信用原则出具工程造价咨询成果文件的；</w:t>
      </w:r>
    </w:p>
    <w:p w14:paraId="459427FA">
      <w:pPr>
        <w:spacing w:line="420" w:lineRule="exact"/>
        <w:ind w:firstLine="480" w:firstLineChars="200"/>
        <w:jc w:val="left"/>
        <w:rPr>
          <w:rFonts w:eastAsia="宋体" w:cs="宋体"/>
          <w:color w:val="auto"/>
          <w:highlight w:val="none"/>
        </w:rPr>
      </w:pPr>
      <w:r>
        <w:rPr>
          <w:rFonts w:hint="eastAsia" w:eastAsia="宋体" w:cs="宋体"/>
          <w:color w:val="auto"/>
          <w:highlight w:val="none"/>
        </w:rPr>
        <w:t>④因协审质量问题给征集人、相关单位造成经济损失或诉讼的；</w:t>
      </w:r>
    </w:p>
    <w:p w14:paraId="2D3C36AE">
      <w:pPr>
        <w:spacing w:line="420" w:lineRule="exact"/>
        <w:ind w:firstLine="480" w:firstLineChars="200"/>
        <w:jc w:val="left"/>
        <w:rPr>
          <w:rFonts w:ascii="宋体" w:hAnsi="宋体" w:eastAsia="宋体" w:cs="宋体"/>
          <w:b/>
          <w:bCs/>
          <w:color w:val="auto"/>
          <w:highlight w:val="none"/>
          <w:lang w:bidi="ar"/>
        </w:rPr>
      </w:pPr>
      <w:r>
        <w:rPr>
          <w:rFonts w:hint="eastAsia" w:eastAsia="宋体" w:cs="宋体"/>
          <w:color w:val="auto"/>
          <w:highlight w:val="none"/>
        </w:rPr>
        <w:t>⑤其他滥用职权，徇私舞弊，玩忽职守的行为。</w:t>
      </w:r>
    </w:p>
    <w:p w14:paraId="7FF6FBB6">
      <w:pPr>
        <w:spacing w:line="500" w:lineRule="exact"/>
        <w:ind w:firstLine="482"/>
        <w:jc w:val="center"/>
        <w:rPr>
          <w:rFonts w:ascii="宋体" w:hAnsi="宋体" w:eastAsia="宋体" w:cs="宋体"/>
          <w:b/>
          <w:bCs/>
          <w:color w:val="auto"/>
          <w:highlight w:val="none"/>
          <w:lang w:bidi="ar"/>
        </w:rPr>
      </w:pPr>
    </w:p>
    <w:p w14:paraId="34CF2073">
      <w:pPr>
        <w:spacing w:line="500" w:lineRule="exact"/>
        <w:ind w:firstLine="482"/>
        <w:jc w:val="center"/>
        <w:rPr>
          <w:rFonts w:ascii="宋体" w:hAnsi="宋体" w:eastAsia="宋体" w:cs="宋体"/>
          <w:b/>
          <w:bCs/>
          <w:color w:val="auto"/>
          <w:highlight w:val="none"/>
          <w:lang w:bidi="ar"/>
        </w:rPr>
      </w:pPr>
    </w:p>
    <w:p w14:paraId="6AE54B07">
      <w:pPr>
        <w:spacing w:line="500" w:lineRule="exact"/>
        <w:ind w:firstLine="482"/>
        <w:jc w:val="center"/>
        <w:rPr>
          <w:rFonts w:ascii="宋体" w:hAnsi="宋体" w:eastAsia="宋体" w:cs="宋体"/>
          <w:b/>
          <w:bCs/>
          <w:color w:val="auto"/>
          <w:highlight w:val="none"/>
          <w:lang w:bidi="ar"/>
        </w:rPr>
      </w:pPr>
    </w:p>
    <w:p w14:paraId="2A6CD863">
      <w:pPr>
        <w:spacing w:line="500" w:lineRule="exact"/>
        <w:ind w:firstLine="482"/>
        <w:jc w:val="center"/>
        <w:rPr>
          <w:rFonts w:ascii="宋体" w:hAnsi="宋体" w:eastAsia="宋体" w:cs="宋体"/>
          <w:b/>
          <w:bCs/>
          <w:color w:val="auto"/>
          <w:highlight w:val="none"/>
          <w:lang w:bidi="ar"/>
        </w:rPr>
      </w:pPr>
    </w:p>
    <w:p w14:paraId="7DC55AA8">
      <w:pPr>
        <w:spacing w:line="500" w:lineRule="exact"/>
        <w:ind w:firstLine="482"/>
        <w:jc w:val="center"/>
        <w:rPr>
          <w:rFonts w:ascii="宋体" w:hAnsi="宋体" w:eastAsia="宋体" w:cs="宋体"/>
          <w:b/>
          <w:bCs/>
          <w:color w:val="auto"/>
          <w:highlight w:val="none"/>
          <w:lang w:bidi="ar"/>
        </w:rPr>
      </w:pPr>
    </w:p>
    <w:p w14:paraId="6F856980">
      <w:pPr>
        <w:spacing w:line="500" w:lineRule="exact"/>
        <w:ind w:firstLine="482"/>
        <w:jc w:val="center"/>
        <w:rPr>
          <w:rFonts w:ascii="宋体" w:hAnsi="宋体" w:eastAsia="宋体" w:cs="宋体"/>
          <w:b/>
          <w:bCs/>
          <w:color w:val="auto"/>
          <w:highlight w:val="none"/>
          <w:lang w:bidi="ar"/>
        </w:rPr>
      </w:pPr>
    </w:p>
    <w:p w14:paraId="535BED81">
      <w:pPr>
        <w:spacing w:line="500" w:lineRule="exact"/>
        <w:ind w:firstLine="482"/>
        <w:jc w:val="center"/>
        <w:rPr>
          <w:rFonts w:ascii="宋体" w:hAnsi="宋体" w:eastAsia="宋体" w:cs="宋体"/>
          <w:b/>
          <w:bCs/>
          <w:color w:val="auto"/>
          <w:highlight w:val="none"/>
          <w:lang w:bidi="ar"/>
        </w:rPr>
      </w:pPr>
    </w:p>
    <w:p w14:paraId="7D6B8BD2">
      <w:pPr>
        <w:spacing w:line="500" w:lineRule="exact"/>
        <w:ind w:firstLine="482"/>
        <w:jc w:val="center"/>
        <w:rPr>
          <w:rFonts w:ascii="宋体" w:hAnsi="宋体" w:eastAsia="宋体" w:cs="宋体"/>
          <w:b/>
          <w:bCs/>
          <w:color w:val="auto"/>
          <w:highlight w:val="none"/>
          <w:lang w:bidi="ar"/>
        </w:rPr>
      </w:pPr>
    </w:p>
    <w:p w14:paraId="75FFC2EA">
      <w:pPr>
        <w:spacing w:line="500" w:lineRule="exact"/>
        <w:ind w:firstLine="482"/>
        <w:jc w:val="center"/>
        <w:rPr>
          <w:rFonts w:ascii="宋体" w:hAnsi="宋体" w:eastAsia="宋体" w:cs="宋体"/>
          <w:b/>
          <w:bCs/>
          <w:color w:val="auto"/>
          <w:highlight w:val="none"/>
          <w:lang w:bidi="ar"/>
        </w:rPr>
      </w:pPr>
    </w:p>
    <w:p w14:paraId="582FF830">
      <w:pPr>
        <w:spacing w:line="500" w:lineRule="exact"/>
        <w:ind w:firstLine="482"/>
        <w:jc w:val="center"/>
        <w:rPr>
          <w:rFonts w:ascii="宋体" w:hAnsi="宋体" w:eastAsia="宋体" w:cs="宋体"/>
          <w:b/>
          <w:bCs/>
          <w:color w:val="auto"/>
          <w:highlight w:val="none"/>
          <w:lang w:bidi="ar"/>
        </w:rPr>
      </w:pPr>
    </w:p>
    <w:p w14:paraId="593D972F">
      <w:pPr>
        <w:spacing w:line="500" w:lineRule="exact"/>
        <w:ind w:firstLine="482"/>
        <w:jc w:val="center"/>
        <w:rPr>
          <w:rFonts w:ascii="宋体" w:hAnsi="宋体" w:eastAsia="宋体" w:cs="宋体"/>
          <w:b/>
          <w:bCs/>
          <w:color w:val="auto"/>
          <w:highlight w:val="none"/>
          <w:lang w:bidi="ar"/>
        </w:rPr>
      </w:pPr>
    </w:p>
    <w:p w14:paraId="3A49EB10">
      <w:pPr>
        <w:spacing w:line="500" w:lineRule="exact"/>
        <w:ind w:firstLine="482"/>
        <w:jc w:val="center"/>
        <w:rPr>
          <w:rFonts w:ascii="宋体" w:hAnsi="宋体" w:eastAsia="宋体" w:cs="宋体"/>
          <w:b/>
          <w:bCs/>
          <w:color w:val="auto"/>
          <w:highlight w:val="none"/>
          <w:lang w:bidi="ar"/>
        </w:rPr>
      </w:pPr>
    </w:p>
    <w:p w14:paraId="5A4F5824">
      <w:pPr>
        <w:spacing w:line="500" w:lineRule="exact"/>
        <w:ind w:firstLine="482"/>
        <w:jc w:val="center"/>
        <w:rPr>
          <w:rFonts w:ascii="宋体" w:hAnsi="宋体" w:eastAsia="宋体" w:cs="宋体"/>
          <w:b/>
          <w:bCs/>
          <w:color w:val="auto"/>
          <w:highlight w:val="none"/>
          <w:lang w:bidi="ar"/>
        </w:rPr>
      </w:pPr>
    </w:p>
    <w:p w14:paraId="0F7063C1">
      <w:pPr>
        <w:spacing w:line="500" w:lineRule="exact"/>
        <w:ind w:firstLine="482"/>
        <w:jc w:val="center"/>
        <w:rPr>
          <w:rFonts w:ascii="宋体" w:hAnsi="宋体" w:eastAsia="宋体" w:cs="宋体"/>
          <w:b/>
          <w:bCs/>
          <w:color w:val="auto"/>
          <w:highlight w:val="none"/>
          <w:lang w:bidi="ar"/>
        </w:rPr>
      </w:pPr>
    </w:p>
    <w:p w14:paraId="30D16D68">
      <w:pPr>
        <w:spacing w:line="500" w:lineRule="exact"/>
        <w:ind w:firstLine="482"/>
        <w:jc w:val="center"/>
        <w:rPr>
          <w:rFonts w:ascii="宋体" w:hAnsi="宋体" w:eastAsia="宋体" w:cs="宋体"/>
          <w:b/>
          <w:bCs/>
          <w:color w:val="auto"/>
          <w:highlight w:val="none"/>
          <w:lang w:bidi="ar"/>
        </w:rPr>
      </w:pPr>
    </w:p>
    <w:p w14:paraId="5D06DEBA">
      <w:pPr>
        <w:spacing w:line="500" w:lineRule="exact"/>
        <w:ind w:firstLine="482"/>
        <w:jc w:val="center"/>
        <w:rPr>
          <w:rFonts w:ascii="宋体" w:hAnsi="宋体" w:eastAsia="宋体" w:cs="宋体"/>
          <w:b/>
          <w:bCs/>
          <w:color w:val="auto"/>
          <w:highlight w:val="none"/>
          <w:lang w:bidi="ar"/>
        </w:rPr>
      </w:pPr>
    </w:p>
    <w:p w14:paraId="1DF50D63">
      <w:pPr>
        <w:spacing w:line="500" w:lineRule="exact"/>
        <w:ind w:firstLine="482"/>
        <w:jc w:val="center"/>
        <w:rPr>
          <w:rFonts w:ascii="宋体" w:hAnsi="宋体" w:eastAsia="宋体" w:cs="宋体"/>
          <w:b/>
          <w:bCs/>
          <w:color w:val="auto"/>
          <w:highlight w:val="none"/>
          <w:lang w:bidi="ar"/>
        </w:rPr>
      </w:pPr>
    </w:p>
    <w:p w14:paraId="0BF654C5">
      <w:pPr>
        <w:spacing w:line="500" w:lineRule="exact"/>
        <w:ind w:firstLine="482"/>
        <w:jc w:val="center"/>
        <w:rPr>
          <w:rFonts w:ascii="宋体" w:hAnsi="宋体" w:eastAsia="宋体" w:cs="宋体"/>
          <w:b/>
          <w:bCs/>
          <w:color w:val="auto"/>
          <w:highlight w:val="none"/>
          <w:lang w:bidi="ar"/>
        </w:rPr>
      </w:pPr>
    </w:p>
    <w:p w14:paraId="3343D066">
      <w:pPr>
        <w:spacing w:line="500" w:lineRule="exact"/>
        <w:ind w:firstLine="482"/>
        <w:jc w:val="center"/>
        <w:rPr>
          <w:rFonts w:ascii="宋体" w:hAnsi="宋体" w:eastAsia="宋体" w:cs="宋体"/>
          <w:b/>
          <w:bCs/>
          <w:color w:val="auto"/>
          <w:highlight w:val="none"/>
          <w:lang w:bidi="ar"/>
        </w:rPr>
      </w:pPr>
    </w:p>
    <w:p w14:paraId="35AC9BEE">
      <w:pPr>
        <w:spacing w:line="500" w:lineRule="exact"/>
        <w:ind w:firstLine="482"/>
        <w:jc w:val="center"/>
        <w:rPr>
          <w:rFonts w:ascii="宋体" w:hAnsi="宋体" w:eastAsia="宋体" w:cs="宋体"/>
          <w:b/>
          <w:bCs/>
          <w:color w:val="auto"/>
          <w:highlight w:val="none"/>
          <w:lang w:bidi="ar"/>
        </w:rPr>
      </w:pPr>
    </w:p>
    <w:p w14:paraId="47D840CD">
      <w:pPr>
        <w:spacing w:line="500" w:lineRule="exact"/>
        <w:ind w:firstLine="482"/>
        <w:jc w:val="center"/>
        <w:rPr>
          <w:rFonts w:ascii="宋体" w:hAnsi="宋体" w:eastAsia="宋体" w:cs="宋体"/>
          <w:b/>
          <w:bCs/>
          <w:color w:val="auto"/>
          <w:highlight w:val="none"/>
          <w:lang w:bidi="ar"/>
        </w:rPr>
      </w:pPr>
    </w:p>
    <w:p w14:paraId="57B14C5D">
      <w:pPr>
        <w:spacing w:line="500" w:lineRule="exact"/>
        <w:ind w:firstLine="482"/>
        <w:jc w:val="center"/>
        <w:rPr>
          <w:rFonts w:ascii="宋体" w:hAnsi="宋体" w:eastAsia="宋体" w:cs="宋体"/>
          <w:b/>
          <w:bCs/>
          <w:color w:val="auto"/>
          <w:highlight w:val="none"/>
          <w:lang w:bidi="ar"/>
        </w:rPr>
      </w:pPr>
    </w:p>
    <w:p w14:paraId="65CFECAE">
      <w:pPr>
        <w:spacing w:line="500" w:lineRule="exact"/>
        <w:ind w:firstLine="482"/>
        <w:jc w:val="center"/>
        <w:rPr>
          <w:rFonts w:ascii="宋体" w:hAnsi="宋体" w:eastAsia="宋体" w:cs="宋体"/>
          <w:b/>
          <w:bCs/>
          <w:color w:val="auto"/>
          <w:highlight w:val="none"/>
          <w:lang w:bidi="ar"/>
        </w:rPr>
      </w:pPr>
    </w:p>
    <w:p w14:paraId="757B99D5">
      <w:pPr>
        <w:spacing w:line="500" w:lineRule="exact"/>
        <w:ind w:firstLine="482"/>
        <w:jc w:val="center"/>
        <w:rPr>
          <w:rFonts w:ascii="宋体" w:hAnsi="宋体" w:eastAsia="宋体" w:cs="宋体"/>
          <w:b/>
          <w:bCs/>
          <w:color w:val="auto"/>
          <w:highlight w:val="none"/>
          <w:lang w:bidi="ar"/>
        </w:rPr>
      </w:pPr>
    </w:p>
    <w:p w14:paraId="74AAB88A">
      <w:pPr>
        <w:spacing w:line="500" w:lineRule="exact"/>
        <w:ind w:firstLine="482"/>
        <w:jc w:val="center"/>
        <w:rPr>
          <w:rFonts w:ascii="宋体" w:hAnsi="宋体" w:eastAsia="宋体" w:cs="宋体"/>
          <w:b/>
          <w:bCs/>
          <w:color w:val="auto"/>
          <w:highlight w:val="none"/>
          <w:lang w:bidi="ar"/>
        </w:rPr>
      </w:pPr>
    </w:p>
    <w:p w14:paraId="1E31331B">
      <w:pPr>
        <w:spacing w:line="500" w:lineRule="exact"/>
        <w:ind w:firstLine="482"/>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bidi="ar"/>
        </w:rPr>
        <w:t>协审单位考核管理评分表（估算、概算、预算）</w:t>
      </w:r>
    </w:p>
    <w:p w14:paraId="020F37D0">
      <w:pPr>
        <w:spacing w:line="500" w:lineRule="exact"/>
        <w:ind w:firstLine="482"/>
        <w:jc w:val="left"/>
        <w:rPr>
          <w:rFonts w:ascii="宋体" w:hAnsi="宋体" w:eastAsia="宋体" w:cs="宋体"/>
          <w:b/>
          <w:bCs/>
          <w:color w:val="auto"/>
          <w:highlight w:val="none"/>
        </w:rPr>
      </w:pPr>
      <w:r>
        <w:rPr>
          <w:rFonts w:hint="eastAsia" w:ascii="宋体" w:hAnsi="宋体" w:eastAsia="宋体" w:cs="宋体"/>
          <w:b/>
          <w:bCs/>
          <w:color w:val="auto"/>
          <w:highlight w:val="none"/>
          <w:lang w:bidi="ar"/>
        </w:rPr>
        <w:t>评审机构：</w:t>
      </w:r>
      <w:r>
        <w:rPr>
          <w:rFonts w:hint="eastAsia" w:ascii="宋体" w:hAnsi="宋体" w:eastAsia="宋体" w:cs="宋体"/>
          <w:b/>
          <w:bCs/>
          <w:color w:val="auto"/>
          <w:highlight w:val="none"/>
          <w:u w:val="single"/>
          <w:lang w:bidi="ar"/>
        </w:rPr>
        <w:t xml:space="preserve">                        </w:t>
      </w:r>
      <w:r>
        <w:rPr>
          <w:rFonts w:hint="eastAsia" w:ascii="宋体" w:hAnsi="宋体" w:eastAsia="宋体" w:cs="宋体"/>
          <w:b/>
          <w:bCs/>
          <w:color w:val="auto"/>
          <w:highlight w:val="none"/>
          <w:lang w:bidi="ar"/>
        </w:rPr>
        <w:t xml:space="preserve"> 项目名称：</w:t>
      </w:r>
      <w:r>
        <w:rPr>
          <w:rFonts w:hint="eastAsia" w:ascii="宋体" w:hAnsi="宋体" w:eastAsia="宋体" w:cs="宋体"/>
          <w:b/>
          <w:bCs/>
          <w:color w:val="auto"/>
          <w:highlight w:val="none"/>
          <w:u w:val="single"/>
          <w:lang w:bidi="ar"/>
        </w:rPr>
        <w:t xml:space="preserve">                         </w:t>
      </w:r>
    </w:p>
    <w:tbl>
      <w:tblPr>
        <w:tblStyle w:val="89"/>
        <w:tblW w:w="4999" w:type="pct"/>
        <w:tblInd w:w="0" w:type="dxa"/>
        <w:tblLayout w:type="autofit"/>
        <w:tblCellMar>
          <w:top w:w="0" w:type="dxa"/>
          <w:left w:w="108" w:type="dxa"/>
          <w:bottom w:w="0" w:type="dxa"/>
          <w:right w:w="108" w:type="dxa"/>
        </w:tblCellMar>
      </w:tblPr>
      <w:tblGrid>
        <w:gridCol w:w="550"/>
        <w:gridCol w:w="1640"/>
        <w:gridCol w:w="4165"/>
        <w:gridCol w:w="939"/>
        <w:gridCol w:w="939"/>
        <w:gridCol w:w="939"/>
        <w:gridCol w:w="963"/>
      </w:tblGrid>
      <w:tr w14:paraId="4B4A8259">
        <w:tblPrEx>
          <w:tblCellMar>
            <w:top w:w="0" w:type="dxa"/>
            <w:left w:w="108" w:type="dxa"/>
            <w:bottom w:w="0" w:type="dxa"/>
            <w:right w:w="108" w:type="dxa"/>
          </w:tblCellMar>
        </w:tblPrEx>
        <w:trPr>
          <w:trHeight w:val="110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C7373">
            <w:pPr>
              <w:widowControl/>
              <w:spacing w:line="360" w:lineRule="exact"/>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序号</w:t>
            </w:r>
          </w:p>
        </w:tc>
        <w:tc>
          <w:tcPr>
            <w:tcW w:w="809" w:type="pct"/>
            <w:tcBorders>
              <w:top w:val="single" w:color="000000" w:sz="4" w:space="0"/>
              <w:left w:val="nil"/>
              <w:bottom w:val="single" w:color="000000" w:sz="4" w:space="0"/>
              <w:right w:val="single" w:color="000000" w:sz="4" w:space="0"/>
            </w:tcBorders>
            <w:shd w:val="clear" w:color="auto" w:fill="auto"/>
            <w:vAlign w:val="center"/>
          </w:tcPr>
          <w:p w14:paraId="273F3DA2">
            <w:pPr>
              <w:widowControl/>
              <w:spacing w:line="360" w:lineRule="exact"/>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考核项目</w:t>
            </w:r>
          </w:p>
        </w:tc>
        <w:tc>
          <w:tcPr>
            <w:tcW w:w="2054" w:type="pct"/>
            <w:tcBorders>
              <w:top w:val="single" w:color="000000" w:sz="4" w:space="0"/>
              <w:left w:val="nil"/>
              <w:bottom w:val="single" w:color="000000" w:sz="4" w:space="0"/>
              <w:right w:val="single" w:color="000000" w:sz="4" w:space="0"/>
            </w:tcBorders>
            <w:shd w:val="clear" w:color="auto" w:fill="auto"/>
            <w:vAlign w:val="center"/>
          </w:tcPr>
          <w:p w14:paraId="279F95CA">
            <w:pPr>
              <w:widowControl/>
              <w:spacing w:line="360" w:lineRule="exact"/>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 xml:space="preserve">考核内容与评分标准 </w:t>
            </w:r>
          </w:p>
        </w:tc>
        <w:tc>
          <w:tcPr>
            <w:tcW w:w="463" w:type="pct"/>
            <w:tcBorders>
              <w:top w:val="single" w:color="000000" w:sz="4" w:space="0"/>
              <w:left w:val="nil"/>
              <w:bottom w:val="single" w:color="000000" w:sz="4" w:space="0"/>
              <w:right w:val="single" w:color="000000" w:sz="4" w:space="0"/>
            </w:tcBorders>
            <w:shd w:val="clear" w:color="auto" w:fill="auto"/>
            <w:vAlign w:val="center"/>
          </w:tcPr>
          <w:p w14:paraId="18643DAC">
            <w:pPr>
              <w:widowControl/>
              <w:spacing w:line="360" w:lineRule="exact"/>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分值（分）</w:t>
            </w:r>
          </w:p>
        </w:tc>
        <w:tc>
          <w:tcPr>
            <w:tcW w:w="463" w:type="pct"/>
            <w:tcBorders>
              <w:top w:val="single" w:color="000000" w:sz="4" w:space="0"/>
              <w:left w:val="nil"/>
              <w:bottom w:val="single" w:color="000000" w:sz="4" w:space="0"/>
              <w:right w:val="single" w:color="000000" w:sz="4" w:space="0"/>
            </w:tcBorders>
            <w:shd w:val="clear" w:color="auto" w:fill="auto"/>
            <w:vAlign w:val="center"/>
          </w:tcPr>
          <w:p w14:paraId="43B4F880">
            <w:pPr>
              <w:widowControl/>
              <w:spacing w:line="360" w:lineRule="exact"/>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扣分（分）</w:t>
            </w:r>
          </w:p>
        </w:tc>
        <w:tc>
          <w:tcPr>
            <w:tcW w:w="463" w:type="pct"/>
            <w:tcBorders>
              <w:top w:val="single" w:color="000000" w:sz="4" w:space="0"/>
              <w:left w:val="nil"/>
              <w:bottom w:val="single" w:color="000000" w:sz="4" w:space="0"/>
              <w:right w:val="single" w:color="000000" w:sz="4" w:space="0"/>
            </w:tcBorders>
            <w:shd w:val="clear" w:color="auto" w:fill="auto"/>
            <w:vAlign w:val="center"/>
          </w:tcPr>
          <w:p w14:paraId="644E1D80">
            <w:pPr>
              <w:widowControl/>
              <w:spacing w:line="360" w:lineRule="exact"/>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 xml:space="preserve">考核得分（分） </w:t>
            </w:r>
          </w:p>
        </w:tc>
        <w:tc>
          <w:tcPr>
            <w:tcW w:w="475" w:type="pct"/>
            <w:tcBorders>
              <w:top w:val="single" w:color="000000" w:sz="4" w:space="0"/>
              <w:left w:val="nil"/>
              <w:bottom w:val="single" w:color="000000" w:sz="4" w:space="0"/>
              <w:right w:val="single" w:color="000000" w:sz="4" w:space="0"/>
            </w:tcBorders>
            <w:shd w:val="clear" w:color="auto" w:fill="auto"/>
            <w:vAlign w:val="center"/>
          </w:tcPr>
          <w:p w14:paraId="5C308046">
            <w:pPr>
              <w:widowControl/>
              <w:spacing w:line="360" w:lineRule="exact"/>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备注</w:t>
            </w:r>
          </w:p>
        </w:tc>
      </w:tr>
      <w:tr w14:paraId="1F0B76DC">
        <w:tblPrEx>
          <w:tblCellMar>
            <w:top w:w="0" w:type="dxa"/>
            <w:left w:w="108" w:type="dxa"/>
            <w:bottom w:w="0" w:type="dxa"/>
            <w:right w:w="108" w:type="dxa"/>
          </w:tblCellMar>
        </w:tblPrEx>
        <w:trPr>
          <w:trHeight w:val="728" w:hRule="atLeast"/>
        </w:trPr>
        <w:tc>
          <w:tcPr>
            <w:tcW w:w="271" w:type="pct"/>
            <w:tcBorders>
              <w:top w:val="nil"/>
              <w:left w:val="single" w:color="000000" w:sz="4" w:space="0"/>
              <w:bottom w:val="single" w:color="000000" w:sz="4" w:space="0"/>
              <w:right w:val="single" w:color="000000" w:sz="4" w:space="0"/>
            </w:tcBorders>
            <w:shd w:val="clear" w:color="auto" w:fill="auto"/>
            <w:vAlign w:val="center"/>
          </w:tcPr>
          <w:p w14:paraId="4A8A8328">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一</w:t>
            </w:r>
          </w:p>
        </w:tc>
        <w:tc>
          <w:tcPr>
            <w:tcW w:w="809" w:type="pct"/>
            <w:tcBorders>
              <w:top w:val="single" w:color="000000" w:sz="4" w:space="0"/>
              <w:left w:val="nil"/>
              <w:bottom w:val="single" w:color="000000" w:sz="4" w:space="0"/>
              <w:right w:val="single" w:color="000000" w:sz="4" w:space="0"/>
            </w:tcBorders>
            <w:shd w:val="clear" w:color="auto" w:fill="auto"/>
            <w:vAlign w:val="center"/>
          </w:tcPr>
          <w:p w14:paraId="3B0FD75C">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 xml:space="preserve">现场查勘  </w:t>
            </w:r>
          </w:p>
        </w:tc>
        <w:tc>
          <w:tcPr>
            <w:tcW w:w="2054" w:type="pct"/>
            <w:tcBorders>
              <w:top w:val="nil"/>
              <w:left w:val="nil"/>
              <w:bottom w:val="single" w:color="000000" w:sz="4" w:space="0"/>
              <w:right w:val="single" w:color="000000" w:sz="4" w:space="0"/>
            </w:tcBorders>
            <w:shd w:val="clear" w:color="auto" w:fill="auto"/>
            <w:vAlign w:val="center"/>
          </w:tcPr>
          <w:p w14:paraId="7787B8AE">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实施现场实地勘测，并有现场勘察记录资料的，不扣分。（如有需要）</w:t>
            </w:r>
          </w:p>
        </w:tc>
        <w:tc>
          <w:tcPr>
            <w:tcW w:w="463" w:type="pct"/>
            <w:tcBorders>
              <w:top w:val="nil"/>
              <w:left w:val="nil"/>
              <w:bottom w:val="single" w:color="000000" w:sz="4" w:space="0"/>
              <w:right w:val="single" w:color="000000" w:sz="4" w:space="0"/>
            </w:tcBorders>
            <w:shd w:val="clear" w:color="auto" w:fill="auto"/>
            <w:vAlign w:val="center"/>
          </w:tcPr>
          <w:p w14:paraId="091C3AD3">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5</w:t>
            </w:r>
          </w:p>
        </w:tc>
        <w:tc>
          <w:tcPr>
            <w:tcW w:w="463" w:type="pct"/>
            <w:tcBorders>
              <w:top w:val="nil"/>
              <w:left w:val="nil"/>
              <w:bottom w:val="single" w:color="000000" w:sz="4" w:space="0"/>
              <w:right w:val="single" w:color="000000" w:sz="4" w:space="0"/>
            </w:tcBorders>
            <w:shd w:val="clear" w:color="auto" w:fill="auto"/>
            <w:vAlign w:val="center"/>
          </w:tcPr>
          <w:p w14:paraId="0947923E">
            <w:pPr>
              <w:widowControl/>
              <w:spacing w:line="360" w:lineRule="exact"/>
              <w:jc w:val="center"/>
              <w:rPr>
                <w:rFonts w:ascii="宋体" w:hAnsi="宋体" w:eastAsia="宋体" w:cs="宋体"/>
                <w:b/>
                <w:bCs/>
                <w:color w:val="auto"/>
                <w:highlight w:val="none"/>
              </w:rPr>
            </w:pPr>
          </w:p>
        </w:tc>
        <w:tc>
          <w:tcPr>
            <w:tcW w:w="463" w:type="pct"/>
            <w:tcBorders>
              <w:top w:val="nil"/>
              <w:left w:val="nil"/>
              <w:bottom w:val="single" w:color="000000" w:sz="4" w:space="0"/>
              <w:right w:val="single" w:color="000000" w:sz="4" w:space="0"/>
            </w:tcBorders>
            <w:shd w:val="clear" w:color="auto" w:fill="auto"/>
            <w:vAlign w:val="center"/>
          </w:tcPr>
          <w:p w14:paraId="0B682CE6">
            <w:pPr>
              <w:widowControl/>
              <w:spacing w:line="360" w:lineRule="exact"/>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　</w:t>
            </w:r>
          </w:p>
        </w:tc>
        <w:tc>
          <w:tcPr>
            <w:tcW w:w="475" w:type="pct"/>
            <w:tcBorders>
              <w:top w:val="nil"/>
              <w:left w:val="nil"/>
              <w:bottom w:val="single" w:color="000000" w:sz="4" w:space="0"/>
              <w:right w:val="single" w:color="000000" w:sz="4" w:space="0"/>
            </w:tcBorders>
            <w:shd w:val="clear" w:color="auto" w:fill="auto"/>
            <w:vAlign w:val="center"/>
          </w:tcPr>
          <w:p w14:paraId="767E2EFD">
            <w:pPr>
              <w:widowControl/>
              <w:spacing w:line="360" w:lineRule="exact"/>
              <w:rPr>
                <w:rFonts w:ascii="宋体" w:hAnsi="宋体" w:eastAsia="宋体" w:cs="宋体"/>
                <w:b/>
                <w:bCs/>
                <w:color w:val="auto"/>
                <w:highlight w:val="none"/>
              </w:rPr>
            </w:pPr>
            <w:r>
              <w:rPr>
                <w:rFonts w:hint="eastAsia" w:ascii="宋体" w:hAnsi="宋体" w:eastAsia="宋体" w:cs="宋体"/>
                <w:b/>
                <w:bCs/>
                <w:color w:val="auto"/>
                <w:highlight w:val="none"/>
                <w:lang w:bidi="ar"/>
              </w:rPr>
              <w:t>　</w:t>
            </w:r>
          </w:p>
        </w:tc>
      </w:tr>
      <w:tr w14:paraId="2C88BC86">
        <w:tblPrEx>
          <w:tblCellMar>
            <w:top w:w="0" w:type="dxa"/>
            <w:left w:w="108" w:type="dxa"/>
            <w:bottom w:w="0" w:type="dxa"/>
            <w:right w:w="108" w:type="dxa"/>
          </w:tblCellMar>
        </w:tblPrEx>
        <w:trPr>
          <w:trHeight w:val="1400" w:hRule="atLeast"/>
        </w:trPr>
        <w:tc>
          <w:tcPr>
            <w:tcW w:w="271" w:type="pct"/>
            <w:tcBorders>
              <w:top w:val="nil"/>
              <w:left w:val="single" w:color="000000" w:sz="4" w:space="0"/>
              <w:bottom w:val="single" w:color="000000" w:sz="4" w:space="0"/>
              <w:right w:val="single" w:color="000000" w:sz="4" w:space="0"/>
            </w:tcBorders>
            <w:shd w:val="clear" w:color="auto" w:fill="auto"/>
            <w:vAlign w:val="center"/>
          </w:tcPr>
          <w:p w14:paraId="0014A991">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二</w:t>
            </w:r>
          </w:p>
        </w:tc>
        <w:tc>
          <w:tcPr>
            <w:tcW w:w="809" w:type="pct"/>
            <w:tcBorders>
              <w:top w:val="single" w:color="000000" w:sz="4" w:space="0"/>
              <w:left w:val="nil"/>
              <w:bottom w:val="single" w:color="000000" w:sz="4" w:space="0"/>
              <w:right w:val="single" w:color="000000" w:sz="4" w:space="0"/>
            </w:tcBorders>
            <w:shd w:val="clear" w:color="auto" w:fill="auto"/>
            <w:vAlign w:val="center"/>
          </w:tcPr>
          <w:p w14:paraId="0044598B">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工作要求</w:t>
            </w:r>
          </w:p>
        </w:tc>
        <w:tc>
          <w:tcPr>
            <w:tcW w:w="2054" w:type="pct"/>
            <w:tcBorders>
              <w:top w:val="nil"/>
              <w:left w:val="nil"/>
              <w:bottom w:val="single" w:color="000000" w:sz="4" w:space="0"/>
              <w:right w:val="single" w:color="000000" w:sz="4" w:space="0"/>
            </w:tcBorders>
            <w:shd w:val="clear" w:color="auto" w:fill="auto"/>
            <w:vAlign w:val="center"/>
          </w:tcPr>
          <w:p w14:paraId="1DABA57F">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1、评审规范等运用不合理的，发现一次扣2分；</w:t>
            </w:r>
          </w:p>
          <w:p w14:paraId="0E87CB9A">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2、协审人员与投标人员不一致的，（投标人员按规定履行变更手续的除外）每发现一次扣2分；</w:t>
            </w:r>
          </w:p>
        </w:tc>
        <w:tc>
          <w:tcPr>
            <w:tcW w:w="463" w:type="pct"/>
            <w:tcBorders>
              <w:top w:val="nil"/>
              <w:left w:val="nil"/>
              <w:bottom w:val="single" w:color="000000" w:sz="4" w:space="0"/>
              <w:right w:val="single" w:color="000000" w:sz="4" w:space="0"/>
            </w:tcBorders>
            <w:shd w:val="clear" w:color="auto" w:fill="auto"/>
            <w:vAlign w:val="center"/>
          </w:tcPr>
          <w:p w14:paraId="31CE6F3D">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30</w:t>
            </w:r>
          </w:p>
        </w:tc>
        <w:tc>
          <w:tcPr>
            <w:tcW w:w="463" w:type="pct"/>
            <w:tcBorders>
              <w:top w:val="nil"/>
              <w:left w:val="nil"/>
              <w:bottom w:val="single" w:color="000000" w:sz="4" w:space="0"/>
              <w:right w:val="single" w:color="000000" w:sz="4" w:space="0"/>
            </w:tcBorders>
            <w:shd w:val="clear" w:color="auto" w:fill="auto"/>
            <w:vAlign w:val="center"/>
          </w:tcPr>
          <w:p w14:paraId="3D3A3034">
            <w:pPr>
              <w:widowControl/>
              <w:spacing w:line="360" w:lineRule="exact"/>
              <w:jc w:val="center"/>
              <w:rPr>
                <w:rFonts w:ascii="宋体" w:hAnsi="宋体" w:eastAsia="宋体" w:cs="宋体"/>
                <w:color w:val="auto"/>
                <w:highlight w:val="none"/>
              </w:rPr>
            </w:pPr>
          </w:p>
        </w:tc>
        <w:tc>
          <w:tcPr>
            <w:tcW w:w="463" w:type="pct"/>
            <w:tcBorders>
              <w:top w:val="nil"/>
              <w:left w:val="nil"/>
              <w:bottom w:val="single" w:color="000000" w:sz="4" w:space="0"/>
              <w:right w:val="single" w:color="000000" w:sz="4" w:space="0"/>
            </w:tcBorders>
            <w:shd w:val="clear" w:color="auto" w:fill="auto"/>
            <w:vAlign w:val="center"/>
          </w:tcPr>
          <w:p w14:paraId="5FD42F5F">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c>
          <w:tcPr>
            <w:tcW w:w="475" w:type="pct"/>
            <w:tcBorders>
              <w:top w:val="nil"/>
              <w:left w:val="nil"/>
              <w:bottom w:val="single" w:color="000000" w:sz="4" w:space="0"/>
              <w:right w:val="single" w:color="000000" w:sz="4" w:space="0"/>
            </w:tcBorders>
            <w:shd w:val="clear" w:color="auto" w:fill="auto"/>
            <w:vAlign w:val="center"/>
          </w:tcPr>
          <w:p w14:paraId="351B9F2D">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r>
      <w:tr w14:paraId="53C4649C">
        <w:tblPrEx>
          <w:tblCellMar>
            <w:top w:w="0" w:type="dxa"/>
            <w:left w:w="108" w:type="dxa"/>
            <w:bottom w:w="0" w:type="dxa"/>
            <w:right w:w="108" w:type="dxa"/>
          </w:tblCellMar>
        </w:tblPrEx>
        <w:trPr>
          <w:trHeight w:val="1400" w:hRule="atLeast"/>
        </w:trPr>
        <w:tc>
          <w:tcPr>
            <w:tcW w:w="271" w:type="pct"/>
            <w:tcBorders>
              <w:top w:val="nil"/>
              <w:left w:val="single" w:color="000000" w:sz="4" w:space="0"/>
              <w:bottom w:val="single" w:color="000000" w:sz="4" w:space="0"/>
              <w:right w:val="single" w:color="000000" w:sz="4" w:space="0"/>
            </w:tcBorders>
            <w:shd w:val="clear" w:color="auto" w:fill="auto"/>
            <w:vAlign w:val="center"/>
          </w:tcPr>
          <w:p w14:paraId="0E6F66B6">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三</w:t>
            </w:r>
          </w:p>
        </w:tc>
        <w:tc>
          <w:tcPr>
            <w:tcW w:w="809" w:type="pct"/>
            <w:tcBorders>
              <w:top w:val="single" w:color="000000" w:sz="4" w:space="0"/>
              <w:left w:val="nil"/>
              <w:bottom w:val="single" w:color="000000" w:sz="4" w:space="0"/>
              <w:right w:val="single" w:color="000000" w:sz="4" w:space="0"/>
            </w:tcBorders>
            <w:shd w:val="clear" w:color="auto" w:fill="auto"/>
            <w:vAlign w:val="center"/>
          </w:tcPr>
          <w:p w14:paraId="44E13BB7">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评审质量</w:t>
            </w:r>
          </w:p>
        </w:tc>
        <w:tc>
          <w:tcPr>
            <w:tcW w:w="2054" w:type="pct"/>
            <w:tcBorders>
              <w:top w:val="nil"/>
              <w:left w:val="nil"/>
              <w:bottom w:val="single" w:color="000000" w:sz="4" w:space="0"/>
              <w:right w:val="single" w:color="000000" w:sz="4" w:space="0"/>
            </w:tcBorders>
            <w:shd w:val="clear" w:color="auto" w:fill="auto"/>
            <w:vAlign w:val="center"/>
          </w:tcPr>
          <w:p w14:paraId="381A223F">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1、工程量</w:t>
            </w:r>
            <w:r>
              <w:rPr>
                <w:rFonts w:hint="eastAsia" w:eastAsia="宋体" w:cs="宋体"/>
                <w:color w:val="auto"/>
                <w:highlight w:val="none"/>
              </w:rPr>
              <w:t>评审</w:t>
            </w:r>
            <w:r>
              <w:rPr>
                <w:rFonts w:hint="eastAsia" w:ascii="宋体" w:hAnsi="宋体" w:eastAsia="宋体" w:cs="宋体"/>
                <w:color w:val="auto"/>
                <w:highlight w:val="none"/>
                <w:lang w:bidi="ar"/>
              </w:rPr>
              <w:t>：根据设计图纸结合现场勘测等方式进行工程量复核。工程量未复核（与送审工程量完全一致）或有重大漏项、工程量误差较大等，每发现一个子目扣2分；</w:t>
            </w:r>
          </w:p>
          <w:p w14:paraId="5F18E3F4">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2、定额运用不合理，每发现一个子目扣2分；</w:t>
            </w:r>
          </w:p>
          <w:p w14:paraId="1D49A50F">
            <w:pPr>
              <w:widowControl/>
              <w:spacing w:line="360" w:lineRule="exact"/>
              <w:jc w:val="left"/>
              <w:rPr>
                <w:rFonts w:ascii="宋体" w:hAnsi="宋体" w:eastAsia="宋体" w:cs="宋体"/>
                <w:color w:val="auto"/>
                <w:highlight w:val="none"/>
                <w:lang w:bidi="ar"/>
              </w:rPr>
            </w:pPr>
            <w:r>
              <w:rPr>
                <w:rFonts w:hint="eastAsia" w:ascii="宋体" w:hAnsi="宋体" w:eastAsia="宋体" w:cs="宋体"/>
                <w:color w:val="auto"/>
                <w:highlight w:val="none"/>
                <w:lang w:bidi="ar"/>
              </w:rPr>
              <w:t>3、取费等项目，</w:t>
            </w:r>
            <w:r>
              <w:rPr>
                <w:rFonts w:hint="eastAsia" w:eastAsia="宋体" w:cs="宋体"/>
                <w:color w:val="auto"/>
                <w:highlight w:val="none"/>
              </w:rPr>
              <w:t>评审</w:t>
            </w:r>
            <w:r>
              <w:rPr>
                <w:rFonts w:hint="eastAsia" w:ascii="宋体" w:hAnsi="宋体" w:eastAsia="宋体" w:cs="宋体"/>
                <w:color w:val="auto"/>
                <w:highlight w:val="none"/>
                <w:lang w:bidi="ar"/>
              </w:rPr>
              <w:t>不合理，每发现一处扣2分；</w:t>
            </w:r>
          </w:p>
          <w:p w14:paraId="317E1884">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4、评审报告未三级复核并签字的，每发现一次扣2分；</w:t>
            </w:r>
          </w:p>
        </w:tc>
        <w:tc>
          <w:tcPr>
            <w:tcW w:w="463" w:type="pct"/>
            <w:tcBorders>
              <w:top w:val="nil"/>
              <w:left w:val="nil"/>
              <w:bottom w:val="single" w:color="000000" w:sz="4" w:space="0"/>
              <w:right w:val="single" w:color="000000" w:sz="4" w:space="0"/>
            </w:tcBorders>
            <w:shd w:val="clear" w:color="auto" w:fill="auto"/>
            <w:vAlign w:val="center"/>
          </w:tcPr>
          <w:p w14:paraId="26A0C2C3">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40</w:t>
            </w:r>
          </w:p>
        </w:tc>
        <w:tc>
          <w:tcPr>
            <w:tcW w:w="463" w:type="pct"/>
            <w:tcBorders>
              <w:top w:val="nil"/>
              <w:left w:val="nil"/>
              <w:bottom w:val="single" w:color="000000" w:sz="4" w:space="0"/>
              <w:right w:val="single" w:color="000000" w:sz="4" w:space="0"/>
            </w:tcBorders>
            <w:shd w:val="clear" w:color="auto" w:fill="auto"/>
            <w:vAlign w:val="center"/>
          </w:tcPr>
          <w:p w14:paraId="4AEFBA76">
            <w:pPr>
              <w:widowControl/>
              <w:spacing w:line="360" w:lineRule="exact"/>
              <w:jc w:val="center"/>
              <w:rPr>
                <w:rFonts w:ascii="宋体" w:hAnsi="宋体" w:eastAsia="宋体" w:cs="宋体"/>
                <w:color w:val="auto"/>
                <w:highlight w:val="none"/>
              </w:rPr>
            </w:pPr>
          </w:p>
        </w:tc>
        <w:tc>
          <w:tcPr>
            <w:tcW w:w="463" w:type="pct"/>
            <w:tcBorders>
              <w:top w:val="nil"/>
              <w:left w:val="nil"/>
              <w:bottom w:val="single" w:color="000000" w:sz="4" w:space="0"/>
              <w:right w:val="single" w:color="000000" w:sz="4" w:space="0"/>
            </w:tcBorders>
            <w:shd w:val="clear" w:color="auto" w:fill="auto"/>
            <w:vAlign w:val="center"/>
          </w:tcPr>
          <w:p w14:paraId="2381C6B9">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c>
          <w:tcPr>
            <w:tcW w:w="475" w:type="pct"/>
            <w:tcBorders>
              <w:top w:val="nil"/>
              <w:left w:val="nil"/>
              <w:bottom w:val="single" w:color="000000" w:sz="4" w:space="0"/>
              <w:right w:val="single" w:color="000000" w:sz="4" w:space="0"/>
            </w:tcBorders>
            <w:shd w:val="clear" w:color="auto" w:fill="auto"/>
            <w:vAlign w:val="center"/>
          </w:tcPr>
          <w:p w14:paraId="548EE37A">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r>
      <w:tr w14:paraId="5F7E732D">
        <w:tblPrEx>
          <w:tblCellMar>
            <w:top w:w="0" w:type="dxa"/>
            <w:left w:w="108" w:type="dxa"/>
            <w:bottom w:w="0" w:type="dxa"/>
            <w:right w:w="108" w:type="dxa"/>
          </w:tblCellMar>
        </w:tblPrEx>
        <w:trPr>
          <w:trHeight w:val="810" w:hRule="atLeast"/>
        </w:trPr>
        <w:tc>
          <w:tcPr>
            <w:tcW w:w="271" w:type="pct"/>
            <w:tcBorders>
              <w:top w:val="nil"/>
              <w:left w:val="single" w:color="000000" w:sz="4" w:space="0"/>
              <w:bottom w:val="single" w:color="000000" w:sz="4" w:space="0"/>
              <w:right w:val="single" w:color="000000" w:sz="4" w:space="0"/>
            </w:tcBorders>
            <w:shd w:val="clear" w:color="auto" w:fill="auto"/>
            <w:vAlign w:val="center"/>
          </w:tcPr>
          <w:p w14:paraId="4F032842">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四</w:t>
            </w:r>
          </w:p>
        </w:tc>
        <w:tc>
          <w:tcPr>
            <w:tcW w:w="809" w:type="pct"/>
            <w:tcBorders>
              <w:top w:val="single" w:color="000000" w:sz="4" w:space="0"/>
              <w:left w:val="nil"/>
              <w:bottom w:val="single" w:color="000000" w:sz="4" w:space="0"/>
              <w:right w:val="single" w:color="000000" w:sz="4" w:space="0"/>
            </w:tcBorders>
            <w:shd w:val="clear" w:color="auto" w:fill="auto"/>
            <w:vAlign w:val="center"/>
          </w:tcPr>
          <w:p w14:paraId="73A783D7">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执行效率</w:t>
            </w:r>
          </w:p>
        </w:tc>
        <w:tc>
          <w:tcPr>
            <w:tcW w:w="2054" w:type="pct"/>
            <w:tcBorders>
              <w:top w:val="nil"/>
              <w:left w:val="nil"/>
              <w:bottom w:val="single" w:color="000000" w:sz="4" w:space="0"/>
              <w:right w:val="single" w:color="000000" w:sz="4" w:space="0"/>
            </w:tcBorders>
            <w:shd w:val="clear" w:color="auto" w:fill="auto"/>
            <w:vAlign w:val="center"/>
          </w:tcPr>
          <w:p w14:paraId="4471B9D7">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未按时完成的每延期一天扣2分。</w:t>
            </w:r>
          </w:p>
        </w:tc>
        <w:tc>
          <w:tcPr>
            <w:tcW w:w="463" w:type="pct"/>
            <w:tcBorders>
              <w:top w:val="nil"/>
              <w:left w:val="nil"/>
              <w:bottom w:val="single" w:color="000000" w:sz="4" w:space="0"/>
              <w:right w:val="single" w:color="000000" w:sz="4" w:space="0"/>
            </w:tcBorders>
            <w:shd w:val="clear" w:color="auto" w:fill="auto"/>
            <w:vAlign w:val="center"/>
          </w:tcPr>
          <w:p w14:paraId="3EE72F75">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10</w:t>
            </w:r>
          </w:p>
        </w:tc>
        <w:tc>
          <w:tcPr>
            <w:tcW w:w="463" w:type="pct"/>
            <w:tcBorders>
              <w:top w:val="nil"/>
              <w:left w:val="nil"/>
              <w:bottom w:val="single" w:color="000000" w:sz="4" w:space="0"/>
              <w:right w:val="single" w:color="000000" w:sz="4" w:space="0"/>
            </w:tcBorders>
            <w:shd w:val="clear" w:color="auto" w:fill="auto"/>
            <w:vAlign w:val="center"/>
          </w:tcPr>
          <w:p w14:paraId="2B7BA7BF">
            <w:pPr>
              <w:widowControl/>
              <w:spacing w:line="360" w:lineRule="exact"/>
              <w:jc w:val="center"/>
              <w:rPr>
                <w:rFonts w:ascii="宋体" w:hAnsi="宋体" w:eastAsia="宋体" w:cs="宋体"/>
                <w:color w:val="auto"/>
                <w:highlight w:val="none"/>
              </w:rPr>
            </w:pPr>
          </w:p>
        </w:tc>
        <w:tc>
          <w:tcPr>
            <w:tcW w:w="463" w:type="pct"/>
            <w:tcBorders>
              <w:top w:val="nil"/>
              <w:left w:val="nil"/>
              <w:bottom w:val="single" w:color="000000" w:sz="4" w:space="0"/>
              <w:right w:val="single" w:color="000000" w:sz="4" w:space="0"/>
            </w:tcBorders>
            <w:shd w:val="clear" w:color="auto" w:fill="auto"/>
            <w:vAlign w:val="center"/>
          </w:tcPr>
          <w:p w14:paraId="08197343">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c>
          <w:tcPr>
            <w:tcW w:w="475" w:type="pct"/>
            <w:tcBorders>
              <w:top w:val="nil"/>
              <w:left w:val="nil"/>
              <w:bottom w:val="single" w:color="000000" w:sz="4" w:space="0"/>
              <w:right w:val="single" w:color="000000" w:sz="4" w:space="0"/>
            </w:tcBorders>
            <w:shd w:val="clear" w:color="auto" w:fill="auto"/>
            <w:vAlign w:val="center"/>
          </w:tcPr>
          <w:p w14:paraId="61977DC5">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r>
      <w:tr w14:paraId="378F0CCC">
        <w:tblPrEx>
          <w:tblCellMar>
            <w:top w:w="0" w:type="dxa"/>
            <w:left w:w="108" w:type="dxa"/>
            <w:bottom w:w="0" w:type="dxa"/>
            <w:right w:w="108" w:type="dxa"/>
          </w:tblCellMar>
        </w:tblPrEx>
        <w:trPr>
          <w:trHeight w:val="1242" w:hRule="atLeast"/>
        </w:trPr>
        <w:tc>
          <w:tcPr>
            <w:tcW w:w="271" w:type="pct"/>
            <w:tcBorders>
              <w:top w:val="nil"/>
              <w:left w:val="single" w:color="000000" w:sz="4" w:space="0"/>
              <w:bottom w:val="single" w:color="000000" w:sz="4" w:space="0"/>
              <w:right w:val="single" w:color="000000" w:sz="4" w:space="0"/>
            </w:tcBorders>
            <w:shd w:val="clear" w:color="auto" w:fill="auto"/>
            <w:vAlign w:val="center"/>
          </w:tcPr>
          <w:p w14:paraId="55423218">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五</w:t>
            </w:r>
          </w:p>
        </w:tc>
        <w:tc>
          <w:tcPr>
            <w:tcW w:w="809" w:type="pct"/>
            <w:tcBorders>
              <w:top w:val="single" w:color="000000" w:sz="4" w:space="0"/>
              <w:left w:val="nil"/>
              <w:bottom w:val="single" w:color="000000" w:sz="4" w:space="0"/>
              <w:right w:val="single" w:color="000000" w:sz="4" w:space="0"/>
            </w:tcBorders>
            <w:shd w:val="clear" w:color="auto" w:fill="auto"/>
            <w:vAlign w:val="center"/>
          </w:tcPr>
          <w:p w14:paraId="0FE43681">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资料管理</w:t>
            </w:r>
          </w:p>
        </w:tc>
        <w:tc>
          <w:tcPr>
            <w:tcW w:w="2054" w:type="pct"/>
            <w:tcBorders>
              <w:top w:val="nil"/>
              <w:left w:val="nil"/>
              <w:bottom w:val="single" w:color="000000" w:sz="4" w:space="0"/>
              <w:right w:val="single" w:color="000000" w:sz="4" w:space="0"/>
            </w:tcBorders>
            <w:shd w:val="clear" w:color="auto" w:fill="auto"/>
            <w:vAlign w:val="center"/>
          </w:tcPr>
          <w:p w14:paraId="013411A9">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评审任务完成后，应将工程资料全部返还评审中心。若有资料遗失，本项不得分。</w:t>
            </w:r>
          </w:p>
        </w:tc>
        <w:tc>
          <w:tcPr>
            <w:tcW w:w="463" w:type="pct"/>
            <w:tcBorders>
              <w:top w:val="nil"/>
              <w:left w:val="nil"/>
              <w:bottom w:val="single" w:color="000000" w:sz="4" w:space="0"/>
              <w:right w:val="single" w:color="000000" w:sz="4" w:space="0"/>
            </w:tcBorders>
            <w:shd w:val="clear" w:color="auto" w:fill="auto"/>
            <w:vAlign w:val="center"/>
          </w:tcPr>
          <w:p w14:paraId="53778A91">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5</w:t>
            </w:r>
          </w:p>
        </w:tc>
        <w:tc>
          <w:tcPr>
            <w:tcW w:w="463" w:type="pct"/>
            <w:tcBorders>
              <w:top w:val="nil"/>
              <w:left w:val="nil"/>
              <w:bottom w:val="single" w:color="000000" w:sz="4" w:space="0"/>
              <w:right w:val="single" w:color="000000" w:sz="4" w:space="0"/>
            </w:tcBorders>
            <w:shd w:val="clear" w:color="auto" w:fill="auto"/>
            <w:vAlign w:val="center"/>
          </w:tcPr>
          <w:p w14:paraId="3A6FD559">
            <w:pPr>
              <w:widowControl/>
              <w:spacing w:line="360" w:lineRule="exact"/>
              <w:jc w:val="center"/>
              <w:rPr>
                <w:rFonts w:ascii="宋体" w:hAnsi="宋体" w:eastAsia="宋体" w:cs="宋体"/>
                <w:color w:val="auto"/>
                <w:highlight w:val="none"/>
              </w:rPr>
            </w:pPr>
          </w:p>
        </w:tc>
        <w:tc>
          <w:tcPr>
            <w:tcW w:w="463" w:type="pct"/>
            <w:tcBorders>
              <w:top w:val="nil"/>
              <w:left w:val="nil"/>
              <w:bottom w:val="single" w:color="000000" w:sz="4" w:space="0"/>
              <w:right w:val="single" w:color="000000" w:sz="4" w:space="0"/>
            </w:tcBorders>
            <w:shd w:val="clear" w:color="auto" w:fill="auto"/>
            <w:vAlign w:val="center"/>
          </w:tcPr>
          <w:p w14:paraId="2E238588">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c>
          <w:tcPr>
            <w:tcW w:w="475" w:type="pct"/>
            <w:tcBorders>
              <w:top w:val="nil"/>
              <w:left w:val="nil"/>
              <w:bottom w:val="single" w:color="000000" w:sz="4" w:space="0"/>
              <w:right w:val="single" w:color="000000" w:sz="4" w:space="0"/>
            </w:tcBorders>
            <w:shd w:val="clear" w:color="auto" w:fill="auto"/>
            <w:vAlign w:val="center"/>
          </w:tcPr>
          <w:p w14:paraId="5A04B5F1">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r>
      <w:tr w14:paraId="77D0759C">
        <w:tblPrEx>
          <w:tblCellMar>
            <w:top w:w="0" w:type="dxa"/>
            <w:left w:w="108" w:type="dxa"/>
            <w:bottom w:w="0" w:type="dxa"/>
            <w:right w:w="108" w:type="dxa"/>
          </w:tblCellMar>
        </w:tblPrEx>
        <w:trPr>
          <w:trHeight w:val="1147" w:hRule="atLeast"/>
        </w:trPr>
        <w:tc>
          <w:tcPr>
            <w:tcW w:w="271" w:type="pct"/>
            <w:tcBorders>
              <w:top w:val="nil"/>
              <w:left w:val="single" w:color="000000" w:sz="4" w:space="0"/>
              <w:bottom w:val="single" w:color="auto" w:sz="4" w:space="0"/>
              <w:right w:val="single" w:color="000000" w:sz="4" w:space="0"/>
            </w:tcBorders>
            <w:shd w:val="clear" w:color="auto" w:fill="auto"/>
            <w:vAlign w:val="center"/>
          </w:tcPr>
          <w:p w14:paraId="677F453C">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六</w:t>
            </w:r>
          </w:p>
        </w:tc>
        <w:tc>
          <w:tcPr>
            <w:tcW w:w="809" w:type="pct"/>
            <w:tcBorders>
              <w:top w:val="single" w:color="000000" w:sz="4" w:space="0"/>
              <w:left w:val="nil"/>
              <w:bottom w:val="single" w:color="auto" w:sz="4" w:space="0"/>
              <w:right w:val="single" w:color="000000" w:sz="4" w:space="0"/>
            </w:tcBorders>
            <w:shd w:val="clear" w:color="auto" w:fill="auto"/>
            <w:vAlign w:val="center"/>
          </w:tcPr>
          <w:p w14:paraId="4E53F454">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满意度</w:t>
            </w:r>
          </w:p>
        </w:tc>
        <w:tc>
          <w:tcPr>
            <w:tcW w:w="2054" w:type="pct"/>
            <w:tcBorders>
              <w:top w:val="nil"/>
              <w:left w:val="nil"/>
              <w:bottom w:val="single" w:color="auto" w:sz="4" w:space="0"/>
              <w:right w:val="single" w:color="000000" w:sz="4" w:space="0"/>
            </w:tcBorders>
            <w:shd w:val="clear" w:color="auto" w:fill="auto"/>
            <w:vAlign w:val="center"/>
          </w:tcPr>
          <w:p w14:paraId="5EA3CB6F">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根据评审质量、效率、资料归档完整等综合情况酌情打分。</w:t>
            </w:r>
          </w:p>
        </w:tc>
        <w:tc>
          <w:tcPr>
            <w:tcW w:w="463" w:type="pct"/>
            <w:tcBorders>
              <w:top w:val="nil"/>
              <w:left w:val="nil"/>
              <w:bottom w:val="single" w:color="auto" w:sz="4" w:space="0"/>
              <w:right w:val="single" w:color="000000" w:sz="4" w:space="0"/>
            </w:tcBorders>
            <w:shd w:val="clear" w:color="auto" w:fill="auto"/>
            <w:vAlign w:val="center"/>
          </w:tcPr>
          <w:p w14:paraId="23F4A725">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10</w:t>
            </w:r>
          </w:p>
        </w:tc>
        <w:tc>
          <w:tcPr>
            <w:tcW w:w="463" w:type="pct"/>
            <w:tcBorders>
              <w:top w:val="nil"/>
              <w:left w:val="nil"/>
              <w:bottom w:val="single" w:color="auto" w:sz="4" w:space="0"/>
              <w:right w:val="single" w:color="000000" w:sz="4" w:space="0"/>
            </w:tcBorders>
            <w:shd w:val="clear" w:color="auto" w:fill="auto"/>
            <w:vAlign w:val="center"/>
          </w:tcPr>
          <w:p w14:paraId="768AC65B">
            <w:pPr>
              <w:widowControl/>
              <w:spacing w:line="360" w:lineRule="exact"/>
              <w:jc w:val="center"/>
              <w:rPr>
                <w:rFonts w:ascii="宋体" w:hAnsi="宋体" w:eastAsia="宋体" w:cs="宋体"/>
                <w:color w:val="auto"/>
                <w:highlight w:val="none"/>
              </w:rPr>
            </w:pPr>
          </w:p>
        </w:tc>
        <w:tc>
          <w:tcPr>
            <w:tcW w:w="463" w:type="pct"/>
            <w:tcBorders>
              <w:top w:val="nil"/>
              <w:left w:val="nil"/>
              <w:bottom w:val="single" w:color="auto" w:sz="4" w:space="0"/>
              <w:right w:val="single" w:color="000000" w:sz="4" w:space="0"/>
            </w:tcBorders>
            <w:shd w:val="clear" w:color="auto" w:fill="auto"/>
            <w:vAlign w:val="center"/>
          </w:tcPr>
          <w:p w14:paraId="25FF3CA2">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c>
          <w:tcPr>
            <w:tcW w:w="475" w:type="pct"/>
            <w:tcBorders>
              <w:top w:val="nil"/>
              <w:left w:val="nil"/>
              <w:bottom w:val="single" w:color="auto" w:sz="4" w:space="0"/>
              <w:right w:val="single" w:color="000000" w:sz="4" w:space="0"/>
            </w:tcBorders>
            <w:shd w:val="clear" w:color="auto" w:fill="auto"/>
            <w:vAlign w:val="center"/>
          </w:tcPr>
          <w:p w14:paraId="5C4B5E9D">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r>
      <w:tr w14:paraId="2B5C1744">
        <w:tblPrEx>
          <w:tblCellMar>
            <w:top w:w="0" w:type="dxa"/>
            <w:left w:w="108" w:type="dxa"/>
            <w:bottom w:w="0" w:type="dxa"/>
            <w:right w:w="108" w:type="dxa"/>
          </w:tblCellMar>
        </w:tblPrEx>
        <w:trPr>
          <w:trHeight w:val="89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3438991">
            <w:pPr>
              <w:widowControl/>
              <w:spacing w:line="360" w:lineRule="exact"/>
              <w:jc w:val="left"/>
              <w:rPr>
                <w:rFonts w:ascii="宋体" w:hAnsi="宋体" w:eastAsia="宋体" w:cs="宋体"/>
                <w:color w:val="auto"/>
                <w:highlight w:val="none"/>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5BCE1078">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合计</w:t>
            </w:r>
          </w:p>
        </w:tc>
        <w:tc>
          <w:tcPr>
            <w:tcW w:w="2054" w:type="pct"/>
            <w:tcBorders>
              <w:top w:val="single" w:color="auto" w:sz="4" w:space="0"/>
              <w:left w:val="single" w:color="auto" w:sz="4" w:space="0"/>
              <w:bottom w:val="single" w:color="auto" w:sz="4" w:space="0"/>
              <w:right w:val="single" w:color="auto" w:sz="4" w:space="0"/>
            </w:tcBorders>
            <w:shd w:val="clear" w:color="auto" w:fill="auto"/>
            <w:vAlign w:val="center"/>
          </w:tcPr>
          <w:p w14:paraId="5A02AD75">
            <w:pPr>
              <w:widowControl/>
              <w:spacing w:line="36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综合得分</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2534B046">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100</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533D401D">
            <w:pPr>
              <w:widowControl/>
              <w:spacing w:line="360" w:lineRule="exact"/>
              <w:jc w:val="center"/>
              <w:rPr>
                <w:rFonts w:ascii="宋体" w:hAnsi="宋体" w:eastAsia="宋体" w:cs="宋体"/>
                <w:color w:val="auto"/>
                <w:highlight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4A1942F7">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1860BDB6">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w:t>
            </w:r>
          </w:p>
        </w:tc>
      </w:tr>
      <w:tr w14:paraId="485C5C7D">
        <w:tblPrEx>
          <w:tblCellMar>
            <w:top w:w="0" w:type="dxa"/>
            <w:left w:w="108" w:type="dxa"/>
            <w:bottom w:w="0" w:type="dxa"/>
            <w:right w:w="108" w:type="dxa"/>
          </w:tblCellMar>
        </w:tblPrEx>
        <w:trPr>
          <w:trHeight w:val="78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03D8ADF">
            <w:pPr>
              <w:widowControl/>
              <w:spacing w:line="360" w:lineRule="exact"/>
              <w:jc w:val="center"/>
              <w:rPr>
                <w:rFonts w:ascii="宋体" w:hAnsi="宋体" w:eastAsia="宋体" w:cs="宋体"/>
                <w:color w:val="auto"/>
                <w:highlight w:val="none"/>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32223384">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 xml:space="preserve">考核人： </w:t>
            </w:r>
          </w:p>
        </w:tc>
        <w:tc>
          <w:tcPr>
            <w:tcW w:w="2054" w:type="pct"/>
            <w:tcBorders>
              <w:top w:val="single" w:color="auto" w:sz="4" w:space="0"/>
              <w:left w:val="single" w:color="auto" w:sz="4" w:space="0"/>
              <w:bottom w:val="single" w:color="auto" w:sz="4" w:space="0"/>
              <w:right w:val="single" w:color="auto" w:sz="4" w:space="0"/>
            </w:tcBorders>
            <w:shd w:val="clear" w:color="auto" w:fill="auto"/>
            <w:vAlign w:val="center"/>
          </w:tcPr>
          <w:p w14:paraId="09CF5685">
            <w:pPr>
              <w:widowControl/>
              <w:spacing w:line="360" w:lineRule="exact"/>
              <w:jc w:val="center"/>
              <w:rPr>
                <w:rFonts w:ascii="宋体" w:hAnsi="宋体" w:eastAsia="宋体" w:cs="宋体"/>
                <w:color w:val="auto"/>
                <w:highlight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28CEC81C">
            <w:pPr>
              <w:widowControl/>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bidi="ar"/>
              </w:rPr>
              <w:t>日期：</w:t>
            </w:r>
          </w:p>
        </w:tc>
        <w:tc>
          <w:tcPr>
            <w:tcW w:w="14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DC2596">
            <w:pPr>
              <w:rPr>
                <w:color w:val="auto"/>
                <w:sz w:val="20"/>
                <w:szCs w:val="20"/>
                <w:highlight w:val="none"/>
              </w:rPr>
            </w:pPr>
          </w:p>
        </w:tc>
      </w:tr>
    </w:tbl>
    <w:p w14:paraId="6F8EF71C">
      <w:pPr>
        <w:spacing w:line="420" w:lineRule="exact"/>
        <w:ind w:firstLine="480"/>
        <w:rPr>
          <w:rFonts w:eastAsia="宋体" w:cs="宋体"/>
          <w:color w:val="auto"/>
          <w:highlight w:val="none"/>
          <w:u w:val="single"/>
        </w:rPr>
      </w:pPr>
      <w:r>
        <w:rPr>
          <w:rFonts w:hint="eastAsia" w:eastAsia="宋体" w:cs="宋体"/>
          <w:color w:val="auto"/>
          <w:highlight w:val="none"/>
          <w:u w:val="single"/>
        </w:rPr>
        <w:t xml:space="preserve">注：无需踏勘现场的项目评分结果按照（总分/95）*100计。                                  </w:t>
      </w:r>
    </w:p>
    <w:p w14:paraId="01FA27DE">
      <w:pPr>
        <w:spacing w:line="420" w:lineRule="exact"/>
        <w:ind w:firstLine="480"/>
        <w:rPr>
          <w:rFonts w:eastAsia="宋体" w:cs="宋体"/>
          <w:color w:val="auto"/>
          <w:highlight w:val="none"/>
        </w:rPr>
        <w:sectPr>
          <w:pgSz w:w="11906" w:h="16838"/>
          <w:pgMar w:top="851" w:right="851" w:bottom="851" w:left="1134" w:header="567" w:footer="471" w:gutter="0"/>
          <w:cols w:space="425" w:num="1"/>
          <w:docGrid w:linePitch="360" w:charSpace="0"/>
        </w:sectPr>
      </w:pPr>
      <w:r>
        <w:rPr>
          <w:rFonts w:hint="eastAsia" w:eastAsia="宋体" w:cs="宋体"/>
          <w:color w:val="auto"/>
          <w:highlight w:val="none"/>
        </w:rPr>
        <w:t xml:space="preserve"> </w:t>
      </w:r>
    </w:p>
    <w:p w14:paraId="5EE36EC9">
      <w:pPr>
        <w:tabs>
          <w:tab w:val="left" w:pos="1050"/>
          <w:tab w:val="right" w:leader="dot" w:pos="9402"/>
        </w:tabs>
        <w:spacing w:line="600" w:lineRule="exact"/>
        <w:jc w:val="center"/>
        <w:outlineLvl w:val="0"/>
        <w:rPr>
          <w:rFonts w:eastAsia="宋体"/>
          <w:b/>
          <w:bCs/>
          <w:color w:val="auto"/>
          <w:sz w:val="36"/>
          <w:szCs w:val="36"/>
          <w:highlight w:val="none"/>
        </w:rPr>
      </w:pPr>
      <w:r>
        <w:rPr>
          <w:rFonts w:hint="eastAsia" w:eastAsia="宋体" w:cs="宋体"/>
          <w:b/>
          <w:bCs/>
          <w:color w:val="auto"/>
          <w:sz w:val="36"/>
          <w:szCs w:val="36"/>
          <w:highlight w:val="none"/>
        </w:rPr>
        <w:t>第四章</w:t>
      </w:r>
      <w:bookmarkStart w:id="150" w:name="_Toc182848996"/>
      <w:r>
        <w:rPr>
          <w:rFonts w:hint="eastAsia" w:eastAsia="宋体" w:cs="宋体"/>
          <w:b/>
          <w:bCs/>
          <w:color w:val="auto"/>
          <w:sz w:val="36"/>
          <w:szCs w:val="36"/>
          <w:highlight w:val="none"/>
        </w:rPr>
        <w:t xml:space="preserve"> </w:t>
      </w:r>
      <w:bookmarkStart w:id="151" w:name="_Hlk183164125"/>
      <w:r>
        <w:rPr>
          <w:rFonts w:hint="eastAsia" w:eastAsia="宋体" w:cs="宋体"/>
          <w:b/>
          <w:bCs/>
          <w:color w:val="auto"/>
          <w:sz w:val="36"/>
          <w:szCs w:val="36"/>
          <w:highlight w:val="none"/>
        </w:rPr>
        <w:t>确定入围供应商</w:t>
      </w:r>
      <w:bookmarkEnd w:id="151"/>
      <w:r>
        <w:rPr>
          <w:rFonts w:hint="eastAsia" w:eastAsia="宋体" w:cs="宋体"/>
          <w:b/>
          <w:bCs/>
          <w:color w:val="auto"/>
          <w:sz w:val="36"/>
          <w:szCs w:val="36"/>
          <w:highlight w:val="none"/>
        </w:rPr>
        <w:t>的方法</w:t>
      </w:r>
    </w:p>
    <w:p w14:paraId="41C50C56">
      <w:pPr>
        <w:spacing w:line="420" w:lineRule="exact"/>
        <w:ind w:firstLine="487"/>
        <w:outlineLvl w:val="1"/>
        <w:rPr>
          <w:rFonts w:eastAsia="宋体" w:cs="宋体"/>
          <w:b/>
          <w:bCs/>
          <w:color w:val="auto"/>
          <w:highlight w:val="none"/>
        </w:rPr>
      </w:pPr>
      <w:r>
        <w:rPr>
          <w:rFonts w:hint="eastAsia" w:eastAsia="宋体" w:cs="宋体"/>
          <w:b/>
          <w:bCs/>
          <w:color w:val="auto"/>
          <w:highlight w:val="none"/>
        </w:rPr>
        <w:t>一、框架协议确定第一阶段入围供应商的评审方法</w:t>
      </w:r>
    </w:p>
    <w:p w14:paraId="0E722D5E">
      <w:pPr>
        <w:spacing w:line="420" w:lineRule="exact"/>
        <w:ind w:firstLine="485"/>
        <w:rPr>
          <w:rFonts w:eastAsia="宋体"/>
          <w:b/>
          <w:bCs/>
          <w:color w:val="auto"/>
          <w:highlight w:val="none"/>
        </w:rPr>
      </w:pPr>
      <w:r>
        <w:rPr>
          <w:rFonts w:hint="eastAsia" w:eastAsia="宋体"/>
          <w:b/>
          <w:bCs/>
          <w:color w:val="auto"/>
          <w:highlight w:val="none"/>
        </w:rPr>
        <w:t>1.确定第一阶段入围供应商的评审方法为质量优先法</w:t>
      </w:r>
    </w:p>
    <w:p w14:paraId="6777CD81">
      <w:pPr>
        <w:spacing w:line="420" w:lineRule="exact"/>
        <w:ind w:firstLine="485"/>
        <w:rPr>
          <w:rFonts w:eastAsia="宋体"/>
          <w:color w:val="auto"/>
          <w:highlight w:val="none"/>
        </w:rPr>
      </w:pPr>
      <w:r>
        <w:rPr>
          <w:rFonts w:hint="eastAsia" w:eastAsia="宋体"/>
          <w:color w:val="auto"/>
          <w:highlight w:val="none"/>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40B5819B">
      <w:pPr>
        <w:spacing w:line="420" w:lineRule="exact"/>
        <w:ind w:firstLine="485"/>
        <w:rPr>
          <w:rFonts w:eastAsia="宋体"/>
          <w:b/>
          <w:bCs/>
          <w:color w:val="auto"/>
          <w:highlight w:val="none"/>
        </w:rPr>
      </w:pPr>
      <w:r>
        <w:rPr>
          <w:rFonts w:hint="eastAsia" w:eastAsia="宋体"/>
          <w:b/>
          <w:bCs/>
          <w:color w:val="auto"/>
          <w:highlight w:val="none"/>
        </w:rPr>
        <w:t>2.提交响应文件和符合资格条件、实质性要求的供应商应当均不少于2家，否则采购活动终止。</w:t>
      </w:r>
    </w:p>
    <w:p w14:paraId="3D4B2F09">
      <w:pPr>
        <w:spacing w:line="420" w:lineRule="exact"/>
        <w:ind w:firstLine="485"/>
        <w:rPr>
          <w:rFonts w:eastAsia="宋体"/>
          <w:color w:val="auto"/>
          <w:highlight w:val="none"/>
        </w:rPr>
      </w:pPr>
      <w:r>
        <w:rPr>
          <w:rFonts w:hint="eastAsia" w:eastAsia="宋体"/>
          <w:color w:val="auto"/>
          <w:highlight w:val="none"/>
        </w:rPr>
        <w:t>3.评审小组遵循公平、公正、择优原则，独立按照评分标准分别评定供应商的分值；</w:t>
      </w:r>
    </w:p>
    <w:p w14:paraId="2AB95E64">
      <w:pPr>
        <w:spacing w:line="420" w:lineRule="exact"/>
        <w:ind w:firstLine="485"/>
        <w:rPr>
          <w:rFonts w:eastAsia="宋体"/>
          <w:color w:val="auto"/>
          <w:highlight w:val="none"/>
        </w:rPr>
      </w:pPr>
      <w:r>
        <w:rPr>
          <w:rFonts w:hint="eastAsia" w:eastAsia="宋体"/>
          <w:color w:val="auto"/>
          <w:highlight w:val="none"/>
        </w:rPr>
        <w:t>4.各供应商的最终得分为各评委所评定分值累计后的平均值（分值保留小数点后两位）。</w:t>
      </w:r>
    </w:p>
    <w:p w14:paraId="55103F85">
      <w:pPr>
        <w:spacing w:line="420" w:lineRule="exact"/>
        <w:ind w:firstLine="487"/>
        <w:outlineLvl w:val="1"/>
        <w:rPr>
          <w:rFonts w:eastAsia="宋体" w:cs="宋体"/>
          <w:b/>
          <w:bCs/>
          <w:color w:val="auto"/>
          <w:highlight w:val="none"/>
        </w:rPr>
      </w:pPr>
      <w:r>
        <w:rPr>
          <w:rFonts w:hint="eastAsia" w:eastAsia="宋体" w:cs="宋体"/>
          <w:b/>
          <w:bCs/>
          <w:color w:val="auto"/>
          <w:highlight w:val="none"/>
        </w:rPr>
        <w:t>二、框架协议入围供应商数量</w:t>
      </w:r>
    </w:p>
    <w:p w14:paraId="4B2A1DD6">
      <w:pPr>
        <w:spacing w:line="420" w:lineRule="exact"/>
        <w:ind w:firstLine="485"/>
        <w:rPr>
          <w:rFonts w:eastAsia="宋体"/>
          <w:b/>
          <w:bCs/>
          <w:color w:val="auto"/>
          <w:highlight w:val="none"/>
        </w:rPr>
      </w:pPr>
      <w:r>
        <w:rPr>
          <w:rFonts w:hint="eastAsia" w:eastAsia="宋体"/>
          <w:b/>
          <w:bCs/>
          <w:color w:val="auto"/>
          <w:highlight w:val="none"/>
        </w:rPr>
        <w:t>1.确定第一阶段入围供应商的数量最多为30家，同时需满足“入围供应商的淘汰比例不低于20%（计算结果精确到整数，</w:t>
      </w:r>
      <w:r>
        <w:rPr>
          <w:rFonts w:hint="eastAsia" w:eastAsia="宋体"/>
          <w:b/>
          <w:bCs/>
          <w:color w:val="auto"/>
          <w:highlight w:val="none"/>
          <w:lang w:val="en-US" w:eastAsia="zh-CN"/>
        </w:rPr>
        <w:t>出现小数则逢点进位</w:t>
      </w:r>
      <w:r>
        <w:rPr>
          <w:rFonts w:hint="eastAsia" w:eastAsia="宋体"/>
          <w:b/>
          <w:bCs/>
          <w:color w:val="auto"/>
          <w:highlight w:val="none"/>
        </w:rPr>
        <w:t>，取整数</w:t>
      </w:r>
      <w:r>
        <w:rPr>
          <w:rFonts w:hint="eastAsia" w:eastAsia="宋体"/>
          <w:b/>
          <w:bCs/>
          <w:color w:val="auto"/>
          <w:highlight w:val="none"/>
          <w:lang w:eastAsia="zh-CN"/>
        </w:rPr>
        <w:t>，</w:t>
      </w:r>
      <w:r>
        <w:rPr>
          <w:rFonts w:hint="eastAsia" w:eastAsia="宋体"/>
          <w:b/>
          <w:bCs/>
          <w:color w:val="auto"/>
          <w:highlight w:val="none"/>
          <w:lang w:val="en-US" w:eastAsia="zh-CN"/>
        </w:rPr>
        <w:t>如计算结果为3.2，则取整为4，淘汰4家</w:t>
      </w:r>
      <w:r>
        <w:rPr>
          <w:rFonts w:hint="eastAsia" w:eastAsia="宋体"/>
          <w:b/>
          <w:bCs/>
          <w:color w:val="auto"/>
          <w:highlight w:val="none"/>
        </w:rPr>
        <w:t>），且至少淘汰一家供应商。”</w:t>
      </w:r>
    </w:p>
    <w:p w14:paraId="7AFDCEE4">
      <w:pPr>
        <w:spacing w:line="420" w:lineRule="exact"/>
        <w:ind w:firstLine="485"/>
        <w:rPr>
          <w:rFonts w:eastAsia="宋体"/>
          <w:b/>
          <w:bCs/>
          <w:color w:val="auto"/>
          <w:highlight w:val="none"/>
        </w:rPr>
      </w:pPr>
      <w:r>
        <w:rPr>
          <w:rFonts w:hint="eastAsia" w:eastAsia="宋体"/>
          <w:b/>
          <w:bCs/>
          <w:color w:val="auto"/>
          <w:highlight w:val="none"/>
        </w:rPr>
        <w:t>2.按照得分由高到低排列，并依次确定入围候选单位。</w:t>
      </w:r>
    </w:p>
    <w:p w14:paraId="1DD214A0">
      <w:pPr>
        <w:spacing w:line="420" w:lineRule="exact"/>
        <w:ind w:firstLine="485"/>
        <w:rPr>
          <w:rFonts w:eastAsia="宋体"/>
          <w:b/>
          <w:bCs/>
          <w:color w:val="auto"/>
          <w:highlight w:val="none"/>
        </w:rPr>
      </w:pPr>
      <w:r>
        <w:rPr>
          <w:rFonts w:hint="eastAsia" w:eastAsia="宋体"/>
          <w:b/>
          <w:bCs/>
          <w:color w:val="auto"/>
          <w:highlight w:val="none"/>
        </w:rPr>
        <w:t>3.得分排名的特殊情形处理：</w:t>
      </w:r>
    </w:p>
    <w:p w14:paraId="44910283">
      <w:pPr>
        <w:spacing w:line="420" w:lineRule="exact"/>
        <w:ind w:firstLine="485"/>
        <w:rPr>
          <w:rFonts w:eastAsia="宋体"/>
          <w:color w:val="auto"/>
          <w:highlight w:val="none"/>
        </w:rPr>
      </w:pPr>
      <w:r>
        <w:rPr>
          <w:rFonts w:hint="eastAsia" w:eastAsia="宋体"/>
          <w:color w:val="auto"/>
          <w:highlight w:val="none"/>
        </w:rPr>
        <w:t>3.2.1若得分相同，并列；</w:t>
      </w:r>
    </w:p>
    <w:p w14:paraId="5B05CC22">
      <w:pPr>
        <w:spacing w:line="420" w:lineRule="exact"/>
        <w:ind w:firstLine="485"/>
        <w:rPr>
          <w:rFonts w:eastAsia="宋体"/>
          <w:color w:val="auto"/>
          <w:highlight w:val="none"/>
        </w:rPr>
      </w:pPr>
      <w:bookmarkStart w:id="152" w:name="_Hlk184222986"/>
      <w:r>
        <w:rPr>
          <w:rFonts w:hint="eastAsia" w:eastAsia="宋体"/>
          <w:color w:val="auto"/>
          <w:highlight w:val="none"/>
        </w:rPr>
        <w:t>3.2.2得分并列的，</w:t>
      </w:r>
      <w:bookmarkEnd w:id="152"/>
      <w:bookmarkStart w:id="153" w:name="_Hlk184227308"/>
      <w:r>
        <w:rPr>
          <w:rFonts w:hint="eastAsia" w:eastAsia="宋体"/>
          <w:color w:val="auto"/>
          <w:highlight w:val="none"/>
        </w:rPr>
        <w:t>按</w:t>
      </w:r>
      <w:bookmarkStart w:id="154" w:name="_Hlk184227279"/>
      <w:r>
        <w:rPr>
          <w:rFonts w:hint="eastAsia" w:eastAsia="宋体"/>
          <w:color w:val="auto"/>
          <w:highlight w:val="none"/>
        </w:rPr>
        <w:t>“人员配备”</w:t>
      </w:r>
      <w:bookmarkEnd w:id="154"/>
      <w:r>
        <w:rPr>
          <w:rFonts w:hint="eastAsia" w:eastAsia="宋体"/>
          <w:color w:val="auto"/>
          <w:highlight w:val="none"/>
        </w:rPr>
        <w:t>得分由高到低排列；</w:t>
      </w:r>
      <w:bookmarkEnd w:id="153"/>
      <w:r>
        <w:rPr>
          <w:rFonts w:hint="eastAsia" w:eastAsia="宋体"/>
          <w:color w:val="auto"/>
          <w:highlight w:val="none"/>
        </w:rPr>
        <w:t xml:space="preserve"> </w:t>
      </w:r>
    </w:p>
    <w:p w14:paraId="73426749">
      <w:pPr>
        <w:spacing w:line="420" w:lineRule="exact"/>
        <w:ind w:firstLine="485"/>
        <w:rPr>
          <w:rFonts w:eastAsia="宋体"/>
          <w:color w:val="auto"/>
          <w:highlight w:val="none"/>
        </w:rPr>
      </w:pPr>
      <w:r>
        <w:rPr>
          <w:rFonts w:hint="eastAsia" w:eastAsia="宋体"/>
          <w:color w:val="auto"/>
          <w:highlight w:val="none"/>
        </w:rPr>
        <w:t>3.2.3若“人员配备”得分相同的，按“人员业绩”得分由高到低排列；</w:t>
      </w:r>
    </w:p>
    <w:p w14:paraId="7E7CDB77">
      <w:pPr>
        <w:spacing w:line="420" w:lineRule="exact"/>
        <w:ind w:firstLine="485"/>
        <w:rPr>
          <w:rFonts w:eastAsia="宋体"/>
          <w:color w:val="auto"/>
          <w:highlight w:val="none"/>
        </w:rPr>
      </w:pPr>
      <w:r>
        <w:rPr>
          <w:rFonts w:hint="eastAsia" w:eastAsia="宋体"/>
          <w:color w:val="auto"/>
          <w:highlight w:val="none"/>
        </w:rPr>
        <w:t>3.2.4若</w:t>
      </w:r>
      <w:bookmarkStart w:id="155" w:name="_Hlk184227424"/>
      <w:r>
        <w:rPr>
          <w:rFonts w:hint="eastAsia" w:eastAsia="宋体"/>
          <w:color w:val="auto"/>
          <w:highlight w:val="none"/>
        </w:rPr>
        <w:t>“人员配备”、“人员业绩”</w:t>
      </w:r>
      <w:bookmarkEnd w:id="155"/>
      <w:r>
        <w:rPr>
          <w:rFonts w:hint="eastAsia" w:eastAsia="宋体"/>
          <w:color w:val="auto"/>
          <w:highlight w:val="none"/>
        </w:rPr>
        <w:t>得分均相同的，按供应商“企业业绩”得分由高到低排列；</w:t>
      </w:r>
    </w:p>
    <w:p w14:paraId="432D708E">
      <w:pPr>
        <w:spacing w:line="420" w:lineRule="exact"/>
        <w:ind w:firstLine="485"/>
        <w:rPr>
          <w:rFonts w:eastAsia="宋体"/>
          <w:color w:val="auto"/>
          <w:highlight w:val="none"/>
        </w:rPr>
      </w:pPr>
      <w:r>
        <w:rPr>
          <w:rFonts w:hint="eastAsia" w:eastAsia="宋体"/>
          <w:color w:val="auto"/>
          <w:highlight w:val="none"/>
        </w:rPr>
        <w:t>3.2.5若“人员配备”、“人员业绩”、“企业业绩”得分均相同的，按“协审方案”得分由高到低排列；</w:t>
      </w:r>
    </w:p>
    <w:p w14:paraId="68FECA91">
      <w:pPr>
        <w:spacing w:line="420" w:lineRule="exact"/>
        <w:ind w:firstLine="485"/>
        <w:rPr>
          <w:rFonts w:eastAsia="宋体"/>
          <w:color w:val="auto"/>
          <w:highlight w:val="none"/>
        </w:rPr>
      </w:pPr>
      <w:r>
        <w:rPr>
          <w:rFonts w:hint="eastAsia" w:eastAsia="宋体"/>
          <w:color w:val="auto"/>
          <w:highlight w:val="none"/>
        </w:rPr>
        <w:t>3.2.6若“人员配备”、“人员业绩”、“企业业绩”、“协审方案”得分均相同的，按</w:t>
      </w:r>
      <w:bookmarkStart w:id="156" w:name="_Hlk184395007"/>
      <w:r>
        <w:rPr>
          <w:rFonts w:hint="eastAsia" w:eastAsia="宋体"/>
          <w:color w:val="auto"/>
          <w:highlight w:val="none"/>
        </w:rPr>
        <w:t>“派出人员项目经验分析”</w:t>
      </w:r>
      <w:bookmarkEnd w:id="156"/>
      <w:r>
        <w:rPr>
          <w:rFonts w:hint="eastAsia" w:eastAsia="宋体"/>
          <w:color w:val="auto"/>
          <w:highlight w:val="none"/>
        </w:rPr>
        <w:t>得分由高到低排列。</w:t>
      </w:r>
    </w:p>
    <w:p w14:paraId="7E6228F7">
      <w:pPr>
        <w:spacing w:line="420" w:lineRule="exact"/>
        <w:ind w:firstLine="485"/>
        <w:rPr>
          <w:rFonts w:eastAsia="宋体"/>
          <w:color w:val="auto"/>
          <w:highlight w:val="none"/>
        </w:rPr>
      </w:pPr>
      <w:r>
        <w:rPr>
          <w:rFonts w:hint="eastAsia" w:eastAsia="宋体"/>
          <w:color w:val="auto"/>
          <w:highlight w:val="none"/>
        </w:rPr>
        <w:t>3.2.7若“人员配备”、“人员业绩”、“企业业绩”、“协审方案”、“派出人员项目经验分析”得分均相同的，按“质量管理”得分由高到低排列。</w:t>
      </w:r>
    </w:p>
    <w:p w14:paraId="405C6FE5">
      <w:pPr>
        <w:spacing w:line="420" w:lineRule="exact"/>
        <w:ind w:firstLine="485"/>
        <w:rPr>
          <w:rFonts w:eastAsia="宋体"/>
          <w:color w:val="auto"/>
          <w:highlight w:val="none"/>
        </w:rPr>
      </w:pPr>
      <w:r>
        <w:rPr>
          <w:rFonts w:hint="eastAsia" w:eastAsia="宋体"/>
          <w:color w:val="auto"/>
          <w:highlight w:val="none"/>
        </w:rPr>
        <w:t>3.2.8若“人员配备”、“人员业绩”、“企业业绩”、“协审方案”、“派出人员项目经验分析”、“质量管理”、得分均相同的，按“项目进度管理”得分由高到低排列。</w:t>
      </w:r>
    </w:p>
    <w:p w14:paraId="46B7AF3E">
      <w:pPr>
        <w:spacing w:line="420" w:lineRule="exact"/>
        <w:ind w:firstLine="485"/>
        <w:rPr>
          <w:rFonts w:eastAsia="宋体"/>
          <w:color w:val="auto"/>
          <w:highlight w:val="none"/>
        </w:rPr>
      </w:pPr>
      <w:r>
        <w:rPr>
          <w:rFonts w:hint="eastAsia" w:eastAsia="宋体"/>
          <w:color w:val="auto"/>
          <w:highlight w:val="none"/>
        </w:rPr>
        <w:t>3.2.9若“人员配备”、“人员业绩”、“企业业绩”、“协审方案”、“派出人员项目经验分析”、“质量管理”、“项目进度管理”得分均相同的，按</w:t>
      </w:r>
      <w:bookmarkStart w:id="157" w:name="_Hlk184395173"/>
      <w:r>
        <w:rPr>
          <w:rFonts w:hint="eastAsia" w:eastAsia="宋体"/>
          <w:color w:val="auto"/>
          <w:highlight w:val="none"/>
        </w:rPr>
        <w:t>“管理制度建设”</w:t>
      </w:r>
      <w:bookmarkEnd w:id="157"/>
      <w:r>
        <w:rPr>
          <w:rFonts w:hint="eastAsia" w:eastAsia="宋体"/>
          <w:color w:val="auto"/>
          <w:highlight w:val="none"/>
        </w:rPr>
        <w:t>得分由高到低排列。</w:t>
      </w:r>
    </w:p>
    <w:p w14:paraId="66D170B2">
      <w:pPr>
        <w:spacing w:line="420" w:lineRule="exact"/>
        <w:ind w:firstLine="485"/>
        <w:rPr>
          <w:rFonts w:eastAsia="宋体"/>
          <w:color w:val="auto"/>
          <w:highlight w:val="none"/>
        </w:rPr>
      </w:pPr>
      <w:r>
        <w:rPr>
          <w:rFonts w:hint="eastAsia" w:eastAsia="宋体"/>
          <w:color w:val="auto"/>
          <w:highlight w:val="none"/>
        </w:rPr>
        <w:t>3.2.10若“人员配备”、“人员业绩”、“企业业绩”、“协审方案”、“派出人员项目经验分析”、“质量管理”、“项目进度管理”、“管理制度建设”得分均相同的，按“档案管理建设”得分由高到低排列。</w:t>
      </w:r>
    </w:p>
    <w:p w14:paraId="63C62257">
      <w:pPr>
        <w:spacing w:line="420" w:lineRule="exact"/>
        <w:ind w:firstLine="485"/>
        <w:rPr>
          <w:color w:val="auto"/>
          <w:highlight w:val="none"/>
        </w:rPr>
      </w:pPr>
      <w:r>
        <w:rPr>
          <w:rFonts w:hint="eastAsia" w:eastAsia="宋体"/>
          <w:color w:val="auto"/>
          <w:highlight w:val="none"/>
        </w:rPr>
        <w:t>3.2.11若“人员配备”、“人员业绩”、“企业业绩”、“协审方案”、“派出人员项目经验分析”、“质量管理”、“项目进度管理”、“管理制度建设”、“档案管理建设”得分均相同的，按“廉洁从审”得分由高到低排列。</w:t>
      </w:r>
    </w:p>
    <w:p w14:paraId="4048FEAA">
      <w:pPr>
        <w:spacing w:line="420" w:lineRule="exact"/>
        <w:ind w:firstLine="485"/>
        <w:rPr>
          <w:rFonts w:eastAsia="宋体"/>
          <w:b/>
          <w:color w:val="auto"/>
          <w:highlight w:val="none"/>
        </w:rPr>
      </w:pPr>
      <w:r>
        <w:rPr>
          <w:rFonts w:hint="eastAsia" w:eastAsia="宋体"/>
          <w:b/>
          <w:color w:val="auto"/>
          <w:highlight w:val="none"/>
        </w:rPr>
        <w:t>三、评分标准</w:t>
      </w:r>
    </w:p>
    <w:p w14:paraId="7427CE1B">
      <w:pPr>
        <w:spacing w:line="420" w:lineRule="exact"/>
        <w:ind w:firstLine="488"/>
        <w:outlineLvl w:val="2"/>
        <w:rPr>
          <w:rFonts w:eastAsia="宋体"/>
          <w:b/>
          <w:bCs/>
          <w:color w:val="auto"/>
          <w:highlight w:val="none"/>
        </w:rPr>
      </w:pPr>
      <w:r>
        <w:rPr>
          <w:rFonts w:hint="eastAsia" w:eastAsia="宋体"/>
          <w:b/>
          <w:bCs/>
          <w:color w:val="auto"/>
          <w:highlight w:val="none"/>
        </w:rPr>
        <w:t>1.价格分：0分</w:t>
      </w:r>
    </w:p>
    <w:p w14:paraId="15667B69">
      <w:pPr>
        <w:spacing w:line="420" w:lineRule="exact"/>
        <w:ind w:firstLine="485"/>
        <w:rPr>
          <w:rFonts w:eastAsia="宋体"/>
          <w:color w:val="auto"/>
          <w:highlight w:val="none"/>
        </w:rPr>
      </w:pPr>
      <w:r>
        <w:rPr>
          <w:rFonts w:hint="eastAsia" w:eastAsia="宋体"/>
          <w:color w:val="auto"/>
          <w:highlight w:val="none"/>
        </w:rPr>
        <w:t>价格分统一采用低价优先法计算，即满足征集文件要求且投标价格最低的投标报价为评标基准价，其价格分为满分。其他响应供应商的价格分统一按照下列公式计算：</w:t>
      </w:r>
    </w:p>
    <w:p w14:paraId="04F6F593">
      <w:pPr>
        <w:spacing w:line="420" w:lineRule="exact"/>
        <w:ind w:firstLine="485"/>
        <w:rPr>
          <w:rFonts w:eastAsia="宋体"/>
          <w:color w:val="auto"/>
          <w:highlight w:val="none"/>
        </w:rPr>
      </w:pPr>
      <w:r>
        <w:rPr>
          <w:rFonts w:hint="eastAsia" w:eastAsia="宋体"/>
          <w:color w:val="auto"/>
          <w:highlight w:val="none"/>
        </w:rPr>
        <w:t>投标报价得分=（评标基准价/投标报价）×价格权值×100</w:t>
      </w:r>
    </w:p>
    <w:p w14:paraId="3D169F64">
      <w:pPr>
        <w:spacing w:line="420" w:lineRule="exact"/>
        <w:ind w:firstLine="485"/>
        <w:rPr>
          <w:rFonts w:eastAsia="宋体"/>
          <w:bCs/>
          <w:color w:val="auto"/>
          <w:highlight w:val="none"/>
        </w:rPr>
      </w:pPr>
      <w:r>
        <w:rPr>
          <w:rFonts w:hint="eastAsia" w:eastAsia="宋体"/>
          <w:bCs/>
          <w:color w:val="auto"/>
          <w:highlight w:val="none"/>
        </w:rPr>
        <w:t>评标委员会认为响应供应商的报价明显低于其他通过符合性审查响应供应商的报价，有可能影响产品质量或者不能诚信履约的，将通过苏采云系统要求其在30分钟内提供书面说明，必要时提交相关证明材料；响应供应商不能证明其报价合理性的，评标委员会应当将其作为无效响应处理。</w:t>
      </w:r>
    </w:p>
    <w:p w14:paraId="27720A55">
      <w:pPr>
        <w:spacing w:line="420" w:lineRule="exact"/>
        <w:ind w:firstLine="485"/>
        <w:rPr>
          <w:rFonts w:eastAsia="宋体"/>
          <w:bCs/>
          <w:color w:val="auto"/>
          <w:highlight w:val="none"/>
        </w:rPr>
      </w:pPr>
      <w:bookmarkStart w:id="158" w:name="_Hlk184249622"/>
      <w:r>
        <w:rPr>
          <w:rFonts w:hint="eastAsia" w:eastAsia="宋体"/>
          <w:b/>
          <w:bCs/>
          <w:color w:val="auto"/>
          <w:highlight w:val="none"/>
          <w:u w:val="single"/>
        </w:rPr>
        <w:t>本项目协审费用按照本征集文件内“协审费用的结算及支付”要求执行，如参加响应视为接受本项目报价要求。供应商如果在制作征集响应文件或响应系统里面需要填写报价，一律按报价</w:t>
      </w:r>
      <w:r>
        <w:rPr>
          <w:rFonts w:hint="eastAsia" w:eastAsia="宋体"/>
          <w:b/>
          <w:bCs/>
          <w:color w:val="auto"/>
          <w:sz w:val="32"/>
          <w:szCs w:val="32"/>
          <w:highlight w:val="none"/>
          <w:u w:val="single"/>
        </w:rPr>
        <w:t>“100.00”</w:t>
      </w:r>
      <w:r>
        <w:rPr>
          <w:rFonts w:hint="eastAsia" w:eastAsia="宋体"/>
          <w:b/>
          <w:bCs/>
          <w:color w:val="auto"/>
          <w:highlight w:val="none"/>
          <w:u w:val="single"/>
        </w:rPr>
        <w:t>元填写</w:t>
      </w:r>
      <w:bookmarkEnd w:id="158"/>
      <w:r>
        <w:rPr>
          <w:rFonts w:hint="eastAsia" w:eastAsia="宋体"/>
          <w:b/>
          <w:bCs/>
          <w:color w:val="auto"/>
          <w:highlight w:val="none"/>
        </w:rPr>
        <w:t>。</w:t>
      </w:r>
    </w:p>
    <w:p w14:paraId="47C86B39">
      <w:pPr>
        <w:spacing w:line="420" w:lineRule="exact"/>
        <w:ind w:firstLine="488"/>
        <w:outlineLvl w:val="2"/>
        <w:rPr>
          <w:rFonts w:eastAsia="宋体"/>
          <w:b/>
          <w:bCs/>
          <w:color w:val="auto"/>
          <w:highlight w:val="none"/>
        </w:rPr>
      </w:pPr>
      <w:r>
        <w:rPr>
          <w:rFonts w:eastAsia="宋体"/>
          <w:b/>
          <w:bCs/>
          <w:color w:val="auto"/>
          <w:highlight w:val="none"/>
          <w:lang w:bidi="ar"/>
        </w:rPr>
        <w:t>2.</w:t>
      </w:r>
      <w:r>
        <w:rPr>
          <w:rFonts w:hint="eastAsia" w:ascii="宋体" w:hAnsi="宋体" w:eastAsia="宋体" w:cs="宋体"/>
          <w:b/>
          <w:bCs/>
          <w:color w:val="auto"/>
          <w:highlight w:val="none"/>
          <w:lang w:bidi="ar"/>
        </w:rPr>
        <w:t>技术分：</w:t>
      </w:r>
      <w:r>
        <w:rPr>
          <w:rFonts w:eastAsia="宋体"/>
          <w:b/>
          <w:bCs/>
          <w:color w:val="auto"/>
          <w:highlight w:val="none"/>
          <w:lang w:bidi="ar"/>
        </w:rPr>
        <w:t>40</w:t>
      </w:r>
      <w:r>
        <w:rPr>
          <w:rFonts w:hint="eastAsia" w:ascii="宋体" w:hAnsi="宋体" w:eastAsia="宋体" w:cs="宋体"/>
          <w:b/>
          <w:bCs/>
          <w:color w:val="auto"/>
          <w:highlight w:val="none"/>
          <w:lang w:bidi="ar"/>
        </w:rPr>
        <w:t>分</w:t>
      </w:r>
    </w:p>
    <w:tbl>
      <w:tblPr>
        <w:tblStyle w:val="8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225"/>
        <w:gridCol w:w="6379"/>
        <w:gridCol w:w="850"/>
        <w:gridCol w:w="851"/>
      </w:tblGrid>
      <w:tr w14:paraId="0680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85E07">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序号</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592D0">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评分项名称</w:t>
            </w:r>
          </w:p>
        </w:tc>
        <w:tc>
          <w:tcPr>
            <w:tcW w:w="6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4B6AB">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评分标准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89F3875">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分值</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DA2AB4">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主</w:t>
            </w:r>
            <w:r>
              <w:rPr>
                <w:rFonts w:eastAsia="宋体"/>
                <w:b/>
                <w:color w:val="auto"/>
                <w:highlight w:val="none"/>
                <w:lang w:bidi="ar"/>
              </w:rPr>
              <w:t>/</w:t>
            </w:r>
            <w:r>
              <w:rPr>
                <w:rFonts w:hint="eastAsia" w:ascii="宋体" w:hAnsi="宋体" w:eastAsia="宋体" w:cs="宋体"/>
                <w:b/>
                <w:color w:val="auto"/>
                <w:highlight w:val="none"/>
                <w:lang w:bidi="ar"/>
              </w:rPr>
              <w:t>客观分</w:t>
            </w:r>
          </w:p>
        </w:tc>
      </w:tr>
      <w:tr w14:paraId="6E1D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1CDB826">
            <w:pPr>
              <w:widowControl/>
              <w:spacing w:line="420" w:lineRule="exact"/>
              <w:jc w:val="center"/>
              <w:rPr>
                <w:rFonts w:eastAsia="宋体"/>
                <w:bCs/>
                <w:color w:val="auto"/>
                <w:highlight w:val="none"/>
                <w:lang w:bidi="ar"/>
              </w:rPr>
            </w:pPr>
            <w:r>
              <w:rPr>
                <w:rFonts w:hint="eastAsia" w:eastAsia="宋体"/>
                <w:bCs/>
                <w:color w:val="auto"/>
                <w:highlight w:val="none"/>
                <w:lang w:bidi="ar"/>
              </w:rPr>
              <w:t>1</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15A15053">
            <w:pPr>
              <w:widowControl/>
              <w:spacing w:line="420" w:lineRule="exact"/>
              <w:jc w:val="center"/>
              <w:rPr>
                <w:rFonts w:ascii="宋体" w:hAnsi="宋体" w:eastAsia="宋体" w:cs="宋体"/>
                <w:b/>
                <w:color w:val="auto"/>
                <w:highlight w:val="none"/>
                <w:lang w:bidi="ar"/>
              </w:rPr>
            </w:pPr>
            <w:r>
              <w:rPr>
                <w:rFonts w:hint="eastAsia" w:ascii="宋体" w:hAnsi="宋体" w:eastAsia="宋体" w:cs="宋体"/>
                <w:b/>
                <w:color w:val="auto"/>
                <w:highlight w:val="none"/>
                <w:lang w:bidi="ar"/>
              </w:rPr>
              <w:t>派出人员项目经验分析</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7E95624F">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以2020年7月1日至投标截止日供应商参与的某项</w:t>
            </w:r>
            <w:r>
              <w:rPr>
                <w:rFonts w:hint="eastAsia" w:ascii="宋体" w:hAnsi="宋体" w:eastAsia="宋体" w:cs="宋体"/>
                <w:bCs/>
                <w:color w:val="auto"/>
                <w:highlight w:val="none"/>
                <w:lang w:val="en-US" w:eastAsia="zh-CN" w:bidi="ar"/>
              </w:rPr>
              <w:t>政府投资工程或国有企业</w:t>
            </w:r>
            <w:r>
              <w:rPr>
                <w:rFonts w:hint="eastAsia" w:ascii="宋体" w:hAnsi="宋体" w:eastAsia="宋体" w:cs="宋体"/>
                <w:bCs/>
                <w:color w:val="auto"/>
                <w:highlight w:val="none"/>
                <w:lang w:bidi="ar"/>
              </w:rPr>
              <w:t>工程</w:t>
            </w:r>
            <w:r>
              <w:rPr>
                <w:rFonts w:hint="eastAsia" w:ascii="宋体" w:hAnsi="宋体" w:eastAsia="宋体" w:cs="宋体"/>
                <w:bCs/>
                <w:color w:val="auto"/>
                <w:highlight w:val="none"/>
                <w:lang w:val="en-US" w:eastAsia="zh-CN" w:bidi="ar"/>
              </w:rPr>
              <w:t>评审或审计</w:t>
            </w:r>
            <w:r>
              <w:rPr>
                <w:rFonts w:hint="eastAsia" w:ascii="宋体" w:hAnsi="宋体" w:eastAsia="宋体" w:cs="宋体"/>
                <w:bCs/>
                <w:color w:val="auto"/>
                <w:highlight w:val="none"/>
                <w:lang w:bidi="ar"/>
              </w:rPr>
              <w:t>服务为例，如实总结评审的经验做法、自身的技术优势等。</w:t>
            </w:r>
          </w:p>
          <w:p w14:paraId="1F40D397">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做法详细、贴合项目实际情况，技术优势强的得3分；</w:t>
            </w:r>
          </w:p>
          <w:p w14:paraId="603766CB">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做法比较详细、比较贴合项目实际情况，技术优势较强的得2分；</w:t>
            </w:r>
          </w:p>
          <w:p w14:paraId="0A7229EA">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做法普通，技术优势一般的得1分；</w:t>
            </w:r>
          </w:p>
          <w:p w14:paraId="7A4A4C4A">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该项最高得</w:t>
            </w:r>
            <w:r>
              <w:rPr>
                <w:rFonts w:hint="eastAsia" w:eastAsia="宋体"/>
                <w:b/>
                <w:color w:val="auto"/>
                <w:highlight w:val="none"/>
                <w:lang w:bidi="ar"/>
              </w:rPr>
              <w:t>3</w:t>
            </w:r>
            <w:r>
              <w:rPr>
                <w:rFonts w:hint="eastAsia" w:ascii="宋体" w:hAnsi="宋体" w:eastAsia="宋体" w:cs="宋体"/>
                <w:b/>
                <w:color w:val="auto"/>
                <w:highlight w:val="none"/>
                <w:lang w:bidi="ar"/>
              </w:rPr>
              <w:t>分，以上没有内容不得分。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BC9FD88">
            <w:pPr>
              <w:widowControl/>
              <w:spacing w:line="420" w:lineRule="exact"/>
              <w:jc w:val="center"/>
              <w:rPr>
                <w:rFonts w:eastAsia="宋体"/>
                <w:bCs/>
                <w:color w:val="auto"/>
                <w:highlight w:val="none"/>
                <w:lang w:bidi="ar"/>
              </w:rPr>
            </w:pPr>
            <w:r>
              <w:rPr>
                <w:rFonts w:hint="eastAsia" w:eastAsia="宋体"/>
                <w:bCs/>
                <w:color w:val="auto"/>
                <w:highlight w:val="none"/>
                <w:lang w:bidi="ar"/>
              </w:rPr>
              <w:t>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517414">
            <w:pPr>
              <w:widowControl/>
              <w:spacing w:line="420" w:lineRule="exact"/>
              <w:jc w:val="center"/>
              <w:rPr>
                <w:rFonts w:ascii="宋体" w:hAnsi="宋体" w:eastAsia="宋体" w:cs="宋体"/>
                <w:bCs/>
                <w:color w:val="auto"/>
                <w:highlight w:val="none"/>
                <w:lang w:bidi="ar"/>
              </w:rPr>
            </w:pPr>
            <w:r>
              <w:rPr>
                <w:rFonts w:hint="eastAsia" w:ascii="宋体" w:hAnsi="宋体" w:eastAsia="宋体" w:cs="宋体"/>
                <w:bCs/>
                <w:color w:val="auto"/>
                <w:highlight w:val="none"/>
                <w:lang w:bidi="ar"/>
              </w:rPr>
              <w:t>主观分</w:t>
            </w:r>
          </w:p>
        </w:tc>
      </w:tr>
      <w:tr w14:paraId="16FC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C32EB21">
            <w:pPr>
              <w:widowControl/>
              <w:spacing w:line="420" w:lineRule="exact"/>
              <w:jc w:val="center"/>
              <w:rPr>
                <w:rFonts w:eastAsia="宋体"/>
                <w:bCs/>
                <w:color w:val="auto"/>
                <w:highlight w:val="none"/>
              </w:rPr>
            </w:pPr>
            <w:r>
              <w:rPr>
                <w:rFonts w:hint="eastAsia" w:eastAsia="宋体"/>
                <w:bCs/>
                <w:color w:val="auto"/>
                <w:highlight w:val="none"/>
                <w:lang w:bidi="ar"/>
              </w:rPr>
              <w:t>2</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33BFECC1">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协审方案</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0B35C678">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评委根据供应商提供的协审方案进行评分：</w:t>
            </w:r>
          </w:p>
          <w:p w14:paraId="45ACD961">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①协审方案应当结合政府投资建设工程的特点编制；</w:t>
            </w:r>
          </w:p>
          <w:p w14:paraId="356A0CDF">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协审方案要点分析思路清晰，内容及流程完整性、合理性、科学性、针对性强的的得3分；</w:t>
            </w:r>
          </w:p>
          <w:p w14:paraId="7C5AC7DF">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协审方案要点分析思路相对清晰，内容及流程完整性、合理性、科学性较强的，得2分；</w:t>
            </w:r>
          </w:p>
          <w:p w14:paraId="2FA8A043">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协审方案要点分析思路不清晰，内容及流程完整性、合理性、科学性较差的</w:t>
            </w:r>
            <w:r>
              <w:rPr>
                <w:rFonts w:hint="eastAsia" w:ascii="宋体" w:hAnsi="宋体" w:eastAsia="宋体" w:cs="宋体"/>
                <w:bCs/>
                <w:color w:val="auto"/>
                <w:highlight w:val="none"/>
                <w:lang w:eastAsia="zh-CN" w:bidi="ar"/>
              </w:rPr>
              <w:t>，</w:t>
            </w:r>
            <w:r>
              <w:rPr>
                <w:rFonts w:hint="eastAsia" w:ascii="宋体" w:hAnsi="宋体" w:eastAsia="宋体" w:cs="宋体"/>
                <w:bCs/>
                <w:color w:val="auto"/>
                <w:highlight w:val="none"/>
                <w:lang w:bidi="ar"/>
              </w:rPr>
              <w:t>得1分；</w:t>
            </w:r>
          </w:p>
          <w:p w14:paraId="3A58DC3A">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②重点介绍协审工作思路和目标，对重点、难点进行分析，并有对应解决方案；</w:t>
            </w:r>
          </w:p>
          <w:p w14:paraId="3F7EB090">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能很好的介绍协审工作思路和目标，对重点、难点分析全面、细致且针对性强的得3分；</w:t>
            </w:r>
          </w:p>
          <w:p w14:paraId="205EFC33">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能较好的介绍协审工作思路和目标，对重点、难点分析较全面、较细致且针对性较强的得2分；</w:t>
            </w:r>
          </w:p>
          <w:p w14:paraId="0B99E9B0">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介绍协审工作思路和目标一般，对重点、难点分析一般且针对性一般的得1分；</w:t>
            </w:r>
          </w:p>
          <w:p w14:paraId="5D75C1BD">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③要点分析思路清晰、科学可行，满足征集人咨询服务的要求；</w:t>
            </w:r>
          </w:p>
          <w:p w14:paraId="1067647F">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要点分析思路清晰、科学可行，完全满足征集人咨询服务的要求的得3分；</w:t>
            </w:r>
          </w:p>
          <w:p w14:paraId="152C7703">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要点分析思路较清晰、较科学可行，基本满足征集人咨询服务的要求的得2分；</w:t>
            </w:r>
          </w:p>
          <w:p w14:paraId="4B4F7B71">
            <w:pPr>
              <w:widowControl/>
              <w:spacing w:line="420" w:lineRule="exact"/>
              <w:rPr>
                <w:rFonts w:ascii="宋体" w:hAnsi="宋体" w:eastAsia="宋体" w:cs="宋体"/>
                <w:b/>
                <w:color w:val="auto"/>
                <w:highlight w:val="none"/>
                <w:lang w:bidi="ar"/>
              </w:rPr>
            </w:pPr>
            <w:r>
              <w:rPr>
                <w:rFonts w:hint="eastAsia" w:ascii="宋体" w:hAnsi="宋体" w:eastAsia="宋体" w:cs="宋体"/>
                <w:bCs/>
                <w:color w:val="auto"/>
                <w:highlight w:val="none"/>
                <w:lang w:bidi="ar"/>
              </w:rPr>
              <w:t>要点分析思路一般，一般满足征集人咨询服务的要求得1分；</w:t>
            </w:r>
          </w:p>
          <w:p w14:paraId="7D20F980">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评分项内每小项最多得</w:t>
            </w:r>
            <w:r>
              <w:rPr>
                <w:rFonts w:hint="eastAsia" w:eastAsia="宋体"/>
                <w:b/>
                <w:color w:val="auto"/>
                <w:highlight w:val="none"/>
                <w:lang w:bidi="ar"/>
              </w:rPr>
              <w:t>3</w:t>
            </w:r>
            <w:r>
              <w:rPr>
                <w:rFonts w:hint="eastAsia" w:ascii="宋体" w:hAnsi="宋体" w:eastAsia="宋体" w:cs="宋体"/>
                <w:b/>
                <w:color w:val="auto"/>
                <w:highlight w:val="none"/>
                <w:lang w:bidi="ar"/>
              </w:rPr>
              <w:t>分，该项最高得</w:t>
            </w:r>
            <w:r>
              <w:rPr>
                <w:rFonts w:hint="eastAsia" w:eastAsia="宋体"/>
                <w:b/>
                <w:color w:val="auto"/>
                <w:highlight w:val="none"/>
                <w:lang w:bidi="ar"/>
              </w:rPr>
              <w:t>9</w:t>
            </w:r>
            <w:r>
              <w:rPr>
                <w:rFonts w:hint="eastAsia" w:ascii="宋体" w:hAnsi="宋体" w:eastAsia="宋体" w:cs="宋体"/>
                <w:b/>
                <w:color w:val="auto"/>
                <w:highlight w:val="none"/>
                <w:lang w:bidi="ar"/>
              </w:rPr>
              <w:t>分。</w:t>
            </w:r>
          </w:p>
          <w:p w14:paraId="6BDA4C4B">
            <w:pPr>
              <w:widowControl/>
              <w:spacing w:line="420" w:lineRule="exact"/>
              <w:rPr>
                <w:rFonts w:eastAsia="宋体"/>
                <w:bCs/>
                <w:color w:val="auto"/>
                <w:highlight w:val="none"/>
              </w:rPr>
            </w:pPr>
            <w:r>
              <w:rPr>
                <w:rFonts w:hint="eastAsia" w:ascii="宋体" w:hAnsi="宋体" w:eastAsia="宋体" w:cs="宋体"/>
                <w:b/>
                <w:color w:val="auto"/>
                <w:highlight w:val="none"/>
                <w:lang w:bidi="ar"/>
              </w:rPr>
              <w:t>以上没有内容不得分。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03FE82E">
            <w:pPr>
              <w:widowControl/>
              <w:spacing w:line="420" w:lineRule="exact"/>
              <w:jc w:val="center"/>
              <w:rPr>
                <w:rFonts w:eastAsia="宋体"/>
                <w:bCs/>
                <w:color w:val="auto"/>
                <w:highlight w:val="none"/>
              </w:rPr>
            </w:pPr>
            <w:r>
              <w:rPr>
                <w:rFonts w:hint="eastAsia" w:eastAsia="宋体"/>
                <w:bCs/>
                <w:color w:val="auto"/>
                <w:highlight w:val="none"/>
                <w:lang w:bidi="ar"/>
              </w:rPr>
              <w:t>9</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F409C2">
            <w:pPr>
              <w:widowControl/>
              <w:spacing w:line="420" w:lineRule="exact"/>
              <w:jc w:val="center"/>
              <w:rPr>
                <w:rFonts w:eastAsia="宋体"/>
                <w:bCs/>
                <w:color w:val="auto"/>
                <w:highlight w:val="none"/>
              </w:rPr>
            </w:pPr>
            <w:r>
              <w:rPr>
                <w:rFonts w:hint="eastAsia" w:ascii="宋体" w:hAnsi="宋体" w:eastAsia="宋体" w:cs="宋体"/>
                <w:bCs/>
                <w:color w:val="auto"/>
                <w:highlight w:val="none"/>
                <w:lang w:bidi="ar"/>
              </w:rPr>
              <w:t>主观分</w:t>
            </w:r>
          </w:p>
        </w:tc>
      </w:tr>
      <w:tr w14:paraId="285E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3AE4D606">
            <w:pPr>
              <w:widowControl/>
              <w:spacing w:line="420" w:lineRule="exact"/>
              <w:jc w:val="center"/>
              <w:rPr>
                <w:rFonts w:eastAsia="宋体"/>
                <w:bCs/>
                <w:color w:val="auto"/>
                <w:highlight w:val="none"/>
              </w:rPr>
            </w:pPr>
            <w:r>
              <w:rPr>
                <w:rFonts w:hint="eastAsia" w:eastAsia="宋体"/>
                <w:bCs/>
                <w:color w:val="auto"/>
                <w:highlight w:val="none"/>
                <w:lang w:bidi="ar"/>
              </w:rPr>
              <w:t>3</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0979B4BF">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管理制度建设</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475BEE23">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主要简述单位内部各项管理制度的制定和执行情况，附相关制度文件等进行评分：</w:t>
            </w:r>
          </w:p>
          <w:p w14:paraId="020DCA67">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①</w:t>
            </w:r>
            <w:r>
              <w:rPr>
                <w:rFonts w:ascii="宋体" w:hAnsi="宋体" w:eastAsia="宋体" w:cs="宋体"/>
                <w:b/>
                <w:color w:val="auto"/>
                <w:highlight w:val="none"/>
                <w:lang w:bidi="ar"/>
              </w:rPr>
              <w:t>企业人事、财务、培训、档案等管理制度</w:t>
            </w:r>
            <w:r>
              <w:rPr>
                <w:rFonts w:hint="eastAsia" w:ascii="宋体" w:hAnsi="宋体" w:eastAsia="宋体" w:cs="宋体"/>
                <w:b/>
                <w:color w:val="auto"/>
                <w:highlight w:val="none"/>
                <w:lang w:bidi="ar"/>
              </w:rPr>
              <w:t>；</w:t>
            </w:r>
          </w:p>
          <w:p w14:paraId="6EB300AC">
            <w:pPr>
              <w:widowControl/>
              <w:spacing w:line="420" w:lineRule="exact"/>
              <w:rPr>
                <w:rFonts w:ascii="宋体" w:hAnsi="宋体" w:eastAsia="宋体" w:cs="宋体"/>
                <w:bCs/>
                <w:color w:val="auto"/>
                <w:highlight w:val="none"/>
                <w:lang w:bidi="ar"/>
              </w:rPr>
            </w:pPr>
            <w:r>
              <w:rPr>
                <w:rFonts w:ascii="宋体" w:hAnsi="宋体" w:eastAsia="宋体" w:cs="宋体"/>
                <w:bCs/>
                <w:color w:val="auto"/>
                <w:highlight w:val="none"/>
                <w:lang w:bidi="ar"/>
              </w:rPr>
              <w:t>企业制度</w:t>
            </w:r>
            <w:r>
              <w:rPr>
                <w:rFonts w:hint="eastAsia" w:ascii="宋体" w:hAnsi="宋体" w:eastAsia="宋体" w:cs="宋体"/>
                <w:bCs/>
                <w:color w:val="auto"/>
                <w:highlight w:val="none"/>
                <w:lang w:val="en-US" w:eastAsia="zh-CN" w:bidi="ar"/>
              </w:rPr>
              <w:t>健全完整</w:t>
            </w:r>
            <w:r>
              <w:rPr>
                <w:rFonts w:ascii="宋体" w:hAnsi="宋体" w:eastAsia="宋体" w:cs="宋体"/>
                <w:bCs/>
                <w:color w:val="auto"/>
                <w:highlight w:val="none"/>
                <w:lang w:bidi="ar"/>
              </w:rPr>
              <w:t>，管理流程控制到位的得</w:t>
            </w:r>
            <w:r>
              <w:rPr>
                <w:rFonts w:hint="eastAsia" w:ascii="宋体" w:hAnsi="宋体" w:eastAsia="宋体" w:cs="宋体"/>
                <w:bCs/>
                <w:color w:val="auto"/>
                <w:highlight w:val="none"/>
                <w:lang w:bidi="ar"/>
              </w:rPr>
              <w:t>3</w:t>
            </w:r>
            <w:r>
              <w:rPr>
                <w:rFonts w:ascii="宋体" w:hAnsi="宋体" w:eastAsia="宋体" w:cs="宋体"/>
                <w:bCs/>
                <w:color w:val="auto"/>
                <w:highlight w:val="none"/>
                <w:lang w:bidi="ar"/>
              </w:rPr>
              <w:t>分；</w:t>
            </w:r>
          </w:p>
          <w:p w14:paraId="5642C043">
            <w:pPr>
              <w:widowControl/>
              <w:spacing w:line="420" w:lineRule="exact"/>
              <w:rPr>
                <w:rFonts w:ascii="宋体" w:hAnsi="宋体" w:eastAsia="宋体" w:cs="宋体"/>
                <w:bCs/>
                <w:color w:val="auto"/>
                <w:highlight w:val="none"/>
                <w:lang w:bidi="ar"/>
              </w:rPr>
            </w:pPr>
            <w:r>
              <w:rPr>
                <w:rFonts w:ascii="宋体" w:hAnsi="宋体" w:eastAsia="宋体" w:cs="宋体"/>
                <w:bCs/>
                <w:color w:val="auto"/>
                <w:highlight w:val="none"/>
                <w:lang w:bidi="ar"/>
              </w:rPr>
              <w:t>企业制度</w:t>
            </w:r>
            <w:r>
              <w:rPr>
                <w:rFonts w:hint="eastAsia" w:ascii="宋体" w:hAnsi="宋体" w:eastAsia="宋体" w:cs="宋体"/>
                <w:bCs/>
                <w:color w:val="auto"/>
                <w:highlight w:val="none"/>
                <w:lang w:val="en-US" w:eastAsia="zh-CN" w:bidi="ar"/>
              </w:rPr>
              <w:t>基本健全</w:t>
            </w:r>
            <w:r>
              <w:rPr>
                <w:rFonts w:ascii="宋体" w:hAnsi="宋体" w:eastAsia="宋体" w:cs="宋体"/>
                <w:bCs/>
                <w:color w:val="auto"/>
                <w:highlight w:val="none"/>
                <w:lang w:bidi="ar"/>
              </w:rPr>
              <w:t>，内部管理基本到位的得</w:t>
            </w:r>
            <w:r>
              <w:rPr>
                <w:rFonts w:hint="eastAsia" w:ascii="宋体" w:hAnsi="宋体" w:eastAsia="宋体" w:cs="宋体"/>
                <w:bCs/>
                <w:color w:val="auto"/>
                <w:highlight w:val="none"/>
                <w:lang w:bidi="ar"/>
              </w:rPr>
              <w:t>2</w:t>
            </w:r>
            <w:r>
              <w:rPr>
                <w:rFonts w:ascii="宋体" w:hAnsi="宋体" w:eastAsia="宋体" w:cs="宋体"/>
                <w:bCs/>
                <w:color w:val="auto"/>
                <w:highlight w:val="none"/>
                <w:lang w:bidi="ar"/>
              </w:rPr>
              <w:t>分；</w:t>
            </w:r>
          </w:p>
          <w:p w14:paraId="149980F2">
            <w:pPr>
              <w:widowControl/>
              <w:spacing w:line="420" w:lineRule="exact"/>
              <w:rPr>
                <w:rFonts w:ascii="宋体" w:hAnsi="宋体" w:eastAsia="宋体" w:cs="宋体"/>
                <w:bCs/>
                <w:color w:val="auto"/>
                <w:highlight w:val="none"/>
                <w:lang w:bidi="ar"/>
              </w:rPr>
            </w:pPr>
            <w:r>
              <w:rPr>
                <w:rFonts w:ascii="宋体" w:hAnsi="宋体" w:eastAsia="宋体" w:cs="宋体"/>
                <w:bCs/>
                <w:color w:val="auto"/>
                <w:highlight w:val="none"/>
                <w:lang w:bidi="ar"/>
              </w:rPr>
              <w:t>企业管理制度简单片面，内部管理不到位的得1分；</w:t>
            </w:r>
          </w:p>
          <w:p w14:paraId="65BA7EE3">
            <w:pPr>
              <w:widowControl/>
              <w:spacing w:line="420" w:lineRule="exact"/>
              <w:rPr>
                <w:rFonts w:ascii="宋体" w:hAnsi="宋体" w:eastAsia="宋体" w:cs="宋体"/>
                <w:bCs/>
                <w:color w:val="auto"/>
                <w:highlight w:val="none"/>
                <w:lang w:bidi="ar"/>
              </w:rPr>
            </w:pPr>
            <w:r>
              <w:rPr>
                <w:rFonts w:hint="eastAsia" w:ascii="宋体" w:hAnsi="宋体" w:eastAsia="宋体" w:cs="宋体"/>
                <w:b/>
                <w:color w:val="auto"/>
                <w:highlight w:val="none"/>
                <w:lang w:bidi="ar"/>
              </w:rPr>
              <w:t>②企业内控制度，包括企业执业操守、风险识别、风险控制措施等。</w:t>
            </w:r>
          </w:p>
          <w:p w14:paraId="155E727F">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企业具备完整内控制度，识别工作流程风险点并配套风控措施，可操作性强的得3分；</w:t>
            </w:r>
          </w:p>
          <w:p w14:paraId="621EF81D">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企业内控制度基本完善，风险识别和控制措施较好的得2分；</w:t>
            </w:r>
          </w:p>
          <w:p w14:paraId="41AC859B">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企业内控制度</w:t>
            </w:r>
            <w:r>
              <w:rPr>
                <w:rFonts w:hint="eastAsia" w:ascii="宋体" w:hAnsi="宋体" w:eastAsia="宋体" w:cs="宋体"/>
                <w:bCs/>
                <w:color w:val="auto"/>
                <w:highlight w:val="none"/>
                <w:lang w:val="en-US" w:eastAsia="zh-CN" w:bidi="ar"/>
              </w:rPr>
              <w:t>粗糙、不完整</w:t>
            </w:r>
            <w:r>
              <w:rPr>
                <w:rFonts w:hint="eastAsia" w:ascii="宋体" w:hAnsi="宋体" w:eastAsia="宋体" w:cs="宋体"/>
                <w:bCs/>
                <w:color w:val="auto"/>
                <w:highlight w:val="none"/>
                <w:lang w:bidi="ar"/>
              </w:rPr>
              <w:t>，风险识别和控制措施不完善的得1分；</w:t>
            </w:r>
          </w:p>
          <w:p w14:paraId="1FC8C8BE">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评分项内每小项最多得</w:t>
            </w:r>
            <w:r>
              <w:rPr>
                <w:rFonts w:eastAsia="宋体"/>
                <w:b/>
                <w:color w:val="auto"/>
                <w:highlight w:val="none"/>
                <w:lang w:bidi="ar"/>
              </w:rPr>
              <w:t>3</w:t>
            </w:r>
            <w:r>
              <w:rPr>
                <w:rFonts w:hint="eastAsia" w:ascii="宋体" w:hAnsi="宋体" w:eastAsia="宋体" w:cs="宋体"/>
                <w:b/>
                <w:color w:val="auto"/>
                <w:highlight w:val="none"/>
                <w:lang w:bidi="ar"/>
              </w:rPr>
              <w:t>分，该项最高得</w:t>
            </w:r>
            <w:r>
              <w:rPr>
                <w:rFonts w:eastAsia="宋体"/>
                <w:b/>
                <w:color w:val="auto"/>
                <w:highlight w:val="none"/>
                <w:lang w:bidi="ar"/>
              </w:rPr>
              <w:t>6</w:t>
            </w:r>
            <w:r>
              <w:rPr>
                <w:rFonts w:hint="eastAsia" w:ascii="宋体" w:hAnsi="宋体" w:eastAsia="宋体" w:cs="宋体"/>
                <w:b/>
                <w:color w:val="auto"/>
                <w:highlight w:val="none"/>
                <w:lang w:bidi="ar"/>
              </w:rPr>
              <w:t>分。</w:t>
            </w:r>
          </w:p>
          <w:p w14:paraId="57ACD6CF">
            <w:pPr>
              <w:widowControl/>
              <w:spacing w:line="420" w:lineRule="exact"/>
              <w:rPr>
                <w:rFonts w:eastAsia="宋体"/>
                <w:bCs/>
                <w:color w:val="auto"/>
                <w:highlight w:val="none"/>
              </w:rPr>
            </w:pPr>
            <w:r>
              <w:rPr>
                <w:rFonts w:hint="eastAsia" w:ascii="宋体" w:hAnsi="宋体" w:eastAsia="宋体" w:cs="宋体"/>
                <w:b/>
                <w:color w:val="auto"/>
                <w:highlight w:val="none"/>
                <w:lang w:bidi="ar"/>
              </w:rPr>
              <w:t>以上没有内容不得分。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A7A1B2C">
            <w:pPr>
              <w:widowControl/>
              <w:spacing w:line="420" w:lineRule="exact"/>
              <w:jc w:val="center"/>
              <w:rPr>
                <w:rFonts w:eastAsia="宋体"/>
                <w:bCs/>
                <w:color w:val="auto"/>
                <w:highlight w:val="none"/>
              </w:rPr>
            </w:pPr>
            <w:r>
              <w:rPr>
                <w:rFonts w:eastAsia="宋体"/>
                <w:bCs/>
                <w:color w:val="auto"/>
                <w:highlight w:val="none"/>
                <w:lang w:bidi="ar"/>
              </w:rPr>
              <w:t>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C6A643">
            <w:pPr>
              <w:widowControl/>
              <w:spacing w:line="420" w:lineRule="exact"/>
              <w:jc w:val="center"/>
              <w:rPr>
                <w:rFonts w:eastAsia="宋体"/>
                <w:bCs/>
                <w:color w:val="auto"/>
                <w:highlight w:val="none"/>
              </w:rPr>
            </w:pPr>
            <w:r>
              <w:rPr>
                <w:rFonts w:hint="eastAsia" w:ascii="宋体" w:hAnsi="宋体" w:eastAsia="宋体" w:cs="宋体"/>
                <w:bCs/>
                <w:color w:val="auto"/>
                <w:highlight w:val="none"/>
                <w:lang w:bidi="ar"/>
              </w:rPr>
              <w:t>主观分</w:t>
            </w:r>
          </w:p>
        </w:tc>
      </w:tr>
      <w:tr w14:paraId="1F1A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6E01E0BB">
            <w:pPr>
              <w:widowControl/>
              <w:spacing w:line="420" w:lineRule="exact"/>
              <w:jc w:val="center"/>
              <w:rPr>
                <w:rFonts w:eastAsia="宋体"/>
                <w:bCs/>
                <w:color w:val="auto"/>
                <w:highlight w:val="none"/>
              </w:rPr>
            </w:pPr>
            <w:r>
              <w:rPr>
                <w:rFonts w:hint="eastAsia" w:eastAsia="宋体"/>
                <w:bCs/>
                <w:color w:val="auto"/>
                <w:highlight w:val="none"/>
                <w:lang w:bidi="ar"/>
              </w:rPr>
              <w:t>4</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0447C077">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质量管理</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299489F3">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评委针对协审方案内的质量管理进行评审：</w:t>
            </w:r>
          </w:p>
          <w:p w14:paraId="32D727B1">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①质量管理包含内控制度、保障措施、复核机制等的叙述，其内容应完整；</w:t>
            </w:r>
          </w:p>
          <w:p w14:paraId="488AED93">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质量管理内容完整、齐全的得3分；</w:t>
            </w:r>
          </w:p>
          <w:p w14:paraId="423E00D4">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质量管理内容较完整、较齐全的得2分；</w:t>
            </w:r>
          </w:p>
          <w:p w14:paraId="51A1F459">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质量管理内容一般的得1分；</w:t>
            </w:r>
          </w:p>
          <w:p w14:paraId="0B4B570C">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②质量管理制度与措施应能够反映出质量控制针对性强且重点突出；</w:t>
            </w:r>
          </w:p>
          <w:p w14:paraId="153D6419">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质量管理制度能够反映出质量控制针对性强且重点突出的得3分；</w:t>
            </w:r>
          </w:p>
          <w:p w14:paraId="364AABE9">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质量管理制度反映出质量控制针对性较强且重点较突出的得2分；</w:t>
            </w:r>
          </w:p>
          <w:p w14:paraId="2795FD8D">
            <w:pPr>
              <w:widowControl/>
              <w:spacing w:line="420" w:lineRule="exact"/>
              <w:rPr>
                <w:rFonts w:ascii="宋体" w:hAnsi="宋体" w:eastAsia="宋体" w:cs="宋体"/>
                <w:b/>
                <w:color w:val="auto"/>
                <w:highlight w:val="none"/>
                <w:lang w:bidi="ar"/>
              </w:rPr>
            </w:pPr>
            <w:r>
              <w:rPr>
                <w:rFonts w:hint="eastAsia" w:ascii="宋体" w:hAnsi="宋体" w:eastAsia="宋体" w:cs="宋体"/>
                <w:bCs/>
                <w:color w:val="auto"/>
                <w:highlight w:val="none"/>
                <w:lang w:bidi="ar"/>
              </w:rPr>
              <w:t>质量管理制度反映出质量控制一般的得1分；</w:t>
            </w:r>
          </w:p>
          <w:p w14:paraId="3D7CD304">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评分项内每小项最多得</w:t>
            </w:r>
            <w:r>
              <w:rPr>
                <w:rFonts w:eastAsia="宋体"/>
                <w:b/>
                <w:color w:val="auto"/>
                <w:highlight w:val="none"/>
                <w:lang w:bidi="ar"/>
              </w:rPr>
              <w:t>3</w:t>
            </w:r>
            <w:r>
              <w:rPr>
                <w:rFonts w:hint="eastAsia" w:ascii="宋体" w:hAnsi="宋体" w:eastAsia="宋体" w:cs="宋体"/>
                <w:b/>
                <w:color w:val="auto"/>
                <w:highlight w:val="none"/>
                <w:lang w:bidi="ar"/>
              </w:rPr>
              <w:t>分，该项最高得</w:t>
            </w:r>
            <w:r>
              <w:rPr>
                <w:rFonts w:eastAsia="宋体"/>
                <w:b/>
                <w:color w:val="auto"/>
                <w:highlight w:val="none"/>
                <w:lang w:bidi="ar"/>
              </w:rPr>
              <w:t>6</w:t>
            </w:r>
            <w:r>
              <w:rPr>
                <w:rFonts w:hint="eastAsia" w:ascii="宋体" w:hAnsi="宋体" w:eastAsia="宋体" w:cs="宋体"/>
                <w:b/>
                <w:color w:val="auto"/>
                <w:highlight w:val="none"/>
                <w:lang w:bidi="ar"/>
              </w:rPr>
              <w:t>分。</w:t>
            </w:r>
          </w:p>
          <w:p w14:paraId="6E492ED6">
            <w:pPr>
              <w:widowControl/>
              <w:spacing w:line="420" w:lineRule="exact"/>
              <w:rPr>
                <w:rFonts w:eastAsia="宋体"/>
                <w:bCs/>
                <w:color w:val="auto"/>
                <w:highlight w:val="none"/>
              </w:rPr>
            </w:pPr>
            <w:r>
              <w:rPr>
                <w:rFonts w:hint="eastAsia" w:ascii="宋体" w:hAnsi="宋体" w:eastAsia="宋体" w:cs="宋体"/>
                <w:b/>
                <w:color w:val="auto"/>
                <w:highlight w:val="none"/>
                <w:lang w:bidi="ar"/>
              </w:rPr>
              <w:t>以上没有内容不得分。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F72207A">
            <w:pPr>
              <w:widowControl/>
              <w:spacing w:line="420" w:lineRule="exact"/>
              <w:jc w:val="center"/>
              <w:rPr>
                <w:rFonts w:eastAsia="宋体"/>
                <w:bCs/>
                <w:color w:val="auto"/>
                <w:highlight w:val="none"/>
              </w:rPr>
            </w:pPr>
            <w:r>
              <w:rPr>
                <w:rFonts w:eastAsia="宋体"/>
                <w:bCs/>
                <w:color w:val="auto"/>
                <w:highlight w:val="none"/>
                <w:lang w:bidi="ar"/>
              </w:rPr>
              <w:t>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BDBA7E">
            <w:pPr>
              <w:widowControl/>
              <w:spacing w:line="420" w:lineRule="exact"/>
              <w:jc w:val="center"/>
              <w:rPr>
                <w:rFonts w:eastAsia="宋体"/>
                <w:bCs/>
                <w:color w:val="auto"/>
                <w:highlight w:val="none"/>
              </w:rPr>
            </w:pPr>
            <w:r>
              <w:rPr>
                <w:rFonts w:hint="eastAsia" w:ascii="宋体" w:hAnsi="宋体" w:eastAsia="宋体" w:cs="宋体"/>
                <w:bCs/>
                <w:color w:val="auto"/>
                <w:highlight w:val="none"/>
                <w:lang w:bidi="ar"/>
              </w:rPr>
              <w:t>主观分</w:t>
            </w:r>
          </w:p>
        </w:tc>
      </w:tr>
      <w:tr w14:paraId="7F1F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334FE2F6">
            <w:pPr>
              <w:widowControl/>
              <w:spacing w:line="420" w:lineRule="exact"/>
              <w:jc w:val="center"/>
              <w:rPr>
                <w:rFonts w:eastAsia="宋体"/>
                <w:bCs/>
                <w:color w:val="auto"/>
                <w:highlight w:val="none"/>
              </w:rPr>
            </w:pPr>
            <w:r>
              <w:rPr>
                <w:rFonts w:hint="eastAsia" w:eastAsia="宋体"/>
                <w:bCs/>
                <w:color w:val="auto"/>
                <w:highlight w:val="none"/>
                <w:lang w:bidi="ar"/>
              </w:rPr>
              <w:t>5</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71B57ACA">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项目进度管理</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30A7C93E">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评委针对协审方案内的项目进度管理进行评审：</w:t>
            </w:r>
          </w:p>
          <w:p w14:paraId="5708265F">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①项目进度管理应包含进度计划、过程管理、预警措施等的详尽叙述；</w:t>
            </w:r>
          </w:p>
          <w:p w14:paraId="6BC1CA3A">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项目进度管理包含的内容完整、齐全且叙述全面的得3分；</w:t>
            </w:r>
          </w:p>
          <w:p w14:paraId="69762E42">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项目进度管理包含的内容较完整、较齐全且叙述较全面的得2分；</w:t>
            </w:r>
          </w:p>
          <w:p w14:paraId="29FA1631">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项目进度管理包含的内容一般且叙述一般的得1分；</w:t>
            </w:r>
          </w:p>
          <w:p w14:paraId="102789F8">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②项目进度应能明确各进度环节的控制内容；</w:t>
            </w:r>
          </w:p>
          <w:p w14:paraId="334913DC">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项目进度能明确各进度环节的控制内容的得3分；</w:t>
            </w:r>
          </w:p>
          <w:p w14:paraId="5BAEA2C6">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项目进度基本能明确各进度环节的控制内容的得2分；</w:t>
            </w:r>
          </w:p>
          <w:p w14:paraId="6E6D4596">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项目进度明确各进度环节的控制内容一般的得1分；</w:t>
            </w:r>
          </w:p>
          <w:p w14:paraId="6AA1D903">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③进度流程应完整、合理、针对性强；</w:t>
            </w:r>
          </w:p>
          <w:p w14:paraId="263864BC">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进度流程完整、合理、针对性强的得3分；</w:t>
            </w:r>
          </w:p>
          <w:p w14:paraId="3E42AE97">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进度流程较完整、较合理、针对性较强的得2分；</w:t>
            </w:r>
          </w:p>
          <w:p w14:paraId="21EA688B">
            <w:pPr>
              <w:widowControl/>
              <w:spacing w:line="420" w:lineRule="exact"/>
              <w:rPr>
                <w:rFonts w:ascii="宋体" w:hAnsi="宋体" w:eastAsia="宋体" w:cs="宋体"/>
                <w:b/>
                <w:color w:val="auto"/>
                <w:highlight w:val="none"/>
                <w:lang w:bidi="ar"/>
              </w:rPr>
            </w:pPr>
            <w:r>
              <w:rPr>
                <w:rFonts w:hint="eastAsia" w:ascii="宋体" w:hAnsi="宋体" w:eastAsia="宋体" w:cs="宋体"/>
                <w:bCs/>
                <w:color w:val="auto"/>
                <w:highlight w:val="none"/>
                <w:lang w:bidi="ar"/>
              </w:rPr>
              <w:t>进度流程一般、针对性一般的得1分；</w:t>
            </w:r>
          </w:p>
          <w:p w14:paraId="17FA4048">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评分项内每小项最多得</w:t>
            </w:r>
            <w:r>
              <w:rPr>
                <w:rFonts w:eastAsia="宋体"/>
                <w:b/>
                <w:color w:val="auto"/>
                <w:highlight w:val="none"/>
                <w:lang w:bidi="ar"/>
              </w:rPr>
              <w:t>3</w:t>
            </w:r>
            <w:r>
              <w:rPr>
                <w:rFonts w:hint="eastAsia" w:ascii="宋体" w:hAnsi="宋体" w:eastAsia="宋体" w:cs="宋体"/>
                <w:b/>
                <w:color w:val="auto"/>
                <w:highlight w:val="none"/>
                <w:lang w:bidi="ar"/>
              </w:rPr>
              <w:t>分，该项最高得</w:t>
            </w:r>
            <w:r>
              <w:rPr>
                <w:rFonts w:eastAsia="宋体"/>
                <w:b/>
                <w:color w:val="auto"/>
                <w:highlight w:val="none"/>
                <w:lang w:bidi="ar"/>
              </w:rPr>
              <w:t>9</w:t>
            </w:r>
            <w:r>
              <w:rPr>
                <w:rFonts w:hint="eastAsia" w:ascii="宋体" w:hAnsi="宋体" w:eastAsia="宋体" w:cs="宋体"/>
                <w:b/>
                <w:color w:val="auto"/>
                <w:highlight w:val="none"/>
                <w:lang w:bidi="ar"/>
              </w:rPr>
              <w:t>分。</w:t>
            </w:r>
          </w:p>
          <w:p w14:paraId="38E8BB84">
            <w:pPr>
              <w:widowControl/>
              <w:spacing w:line="420" w:lineRule="exact"/>
              <w:rPr>
                <w:rFonts w:eastAsia="宋体"/>
                <w:bCs/>
                <w:color w:val="auto"/>
                <w:highlight w:val="none"/>
              </w:rPr>
            </w:pPr>
            <w:r>
              <w:rPr>
                <w:rFonts w:hint="eastAsia" w:ascii="宋体" w:hAnsi="宋体" w:eastAsia="宋体" w:cs="宋体"/>
                <w:b/>
                <w:color w:val="auto"/>
                <w:highlight w:val="none"/>
                <w:lang w:bidi="ar"/>
              </w:rPr>
              <w:t xml:space="preserve">以上没有内容不得分。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C8E372C">
            <w:pPr>
              <w:widowControl/>
              <w:spacing w:line="420" w:lineRule="exact"/>
              <w:jc w:val="center"/>
              <w:rPr>
                <w:rFonts w:eastAsia="宋体"/>
                <w:bCs/>
                <w:color w:val="auto"/>
                <w:highlight w:val="none"/>
              </w:rPr>
            </w:pPr>
            <w:r>
              <w:rPr>
                <w:rFonts w:eastAsia="宋体"/>
                <w:bCs/>
                <w:color w:val="auto"/>
                <w:highlight w:val="none"/>
                <w:lang w:bidi="ar"/>
              </w:rPr>
              <w:t>9</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D7C84B">
            <w:pPr>
              <w:widowControl/>
              <w:spacing w:line="420" w:lineRule="exact"/>
              <w:jc w:val="center"/>
              <w:rPr>
                <w:rFonts w:eastAsia="宋体"/>
                <w:bCs/>
                <w:color w:val="auto"/>
                <w:highlight w:val="none"/>
              </w:rPr>
            </w:pPr>
            <w:r>
              <w:rPr>
                <w:rFonts w:hint="eastAsia" w:ascii="宋体" w:hAnsi="宋体" w:eastAsia="宋体" w:cs="宋体"/>
                <w:bCs/>
                <w:color w:val="auto"/>
                <w:highlight w:val="none"/>
                <w:lang w:bidi="ar"/>
              </w:rPr>
              <w:t>主观分</w:t>
            </w:r>
          </w:p>
        </w:tc>
      </w:tr>
      <w:tr w14:paraId="0C23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4AE276A6">
            <w:pPr>
              <w:widowControl/>
              <w:spacing w:line="420" w:lineRule="exact"/>
              <w:jc w:val="center"/>
              <w:rPr>
                <w:rFonts w:eastAsia="宋体"/>
                <w:bCs/>
                <w:color w:val="auto"/>
                <w:highlight w:val="none"/>
              </w:rPr>
            </w:pPr>
            <w:r>
              <w:rPr>
                <w:rFonts w:hint="eastAsia" w:eastAsia="宋体"/>
                <w:bCs/>
                <w:color w:val="auto"/>
                <w:highlight w:val="none"/>
                <w:lang w:bidi="ar"/>
              </w:rPr>
              <w:t>6</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5129AE9D">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档案管理建设</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02584281">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根据供应商提供的档案管理建设进行评分：</w:t>
            </w:r>
          </w:p>
          <w:p w14:paraId="302D99D0">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①档案管理制度应当健全；</w:t>
            </w:r>
          </w:p>
          <w:p w14:paraId="52E63341">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档案管理制度健全的得1分；</w:t>
            </w:r>
          </w:p>
          <w:p w14:paraId="1B392FD9">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档案管理制度较健全的得0.7分；</w:t>
            </w:r>
          </w:p>
          <w:p w14:paraId="665582B5">
            <w:pPr>
              <w:widowControl/>
              <w:spacing w:line="420" w:lineRule="exact"/>
              <w:rPr>
                <w:rFonts w:ascii="宋体" w:hAnsi="宋体" w:eastAsia="宋体" w:cs="宋体"/>
                <w:b/>
                <w:color w:val="auto"/>
                <w:highlight w:val="none"/>
                <w:lang w:bidi="ar"/>
              </w:rPr>
            </w:pPr>
            <w:r>
              <w:rPr>
                <w:rFonts w:hint="eastAsia" w:ascii="宋体" w:hAnsi="宋体" w:eastAsia="宋体" w:cs="宋体"/>
                <w:bCs/>
                <w:color w:val="auto"/>
                <w:highlight w:val="none"/>
                <w:lang w:bidi="ar"/>
              </w:rPr>
              <w:t>档案管理制度一般的得0.4分；</w:t>
            </w:r>
          </w:p>
          <w:p w14:paraId="50BDA521">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②档案资料的保存和整理应当规范且建立有相应的归档资料台账目录；</w:t>
            </w:r>
          </w:p>
          <w:p w14:paraId="2ABF65EE">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档案资料的保存和整理规范且建立有相应的归档资料台账目录的得1分；</w:t>
            </w:r>
          </w:p>
          <w:p w14:paraId="218B392A">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档案资料的保存和整理较规范且建立有较相应的归档资料台账目录的得0.7分；</w:t>
            </w:r>
          </w:p>
          <w:p w14:paraId="7CFBE7DC">
            <w:pPr>
              <w:widowControl/>
              <w:spacing w:line="420" w:lineRule="exact"/>
              <w:rPr>
                <w:rFonts w:ascii="宋体" w:hAnsi="宋体" w:eastAsia="宋体" w:cs="宋体"/>
                <w:b/>
                <w:color w:val="auto"/>
                <w:highlight w:val="none"/>
                <w:lang w:bidi="ar"/>
              </w:rPr>
            </w:pPr>
            <w:r>
              <w:rPr>
                <w:rFonts w:hint="eastAsia" w:ascii="宋体" w:hAnsi="宋体" w:eastAsia="宋体" w:cs="宋体"/>
                <w:bCs/>
                <w:color w:val="auto"/>
                <w:highlight w:val="none"/>
                <w:lang w:bidi="ar"/>
              </w:rPr>
              <w:t>档案资料的保存和整理一般且建立的归档资料台账目录一般的得0.4分；</w:t>
            </w:r>
          </w:p>
          <w:p w14:paraId="061DA6A9">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③能反映企业实现档案电子化；</w:t>
            </w:r>
          </w:p>
          <w:p w14:paraId="68D9762E">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能充分反映企业实现档案电子化的得1分；</w:t>
            </w:r>
          </w:p>
          <w:p w14:paraId="1E625D7E">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能基本反映企业实现档案电子化的得0.7分；</w:t>
            </w:r>
          </w:p>
          <w:p w14:paraId="786DC514">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能一般反映企业实现档案电子化的得0.4分；</w:t>
            </w:r>
          </w:p>
          <w:p w14:paraId="06943F2B">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评分项内每小项最多得</w:t>
            </w:r>
            <w:r>
              <w:rPr>
                <w:rFonts w:eastAsia="宋体"/>
                <w:b/>
                <w:color w:val="auto"/>
                <w:highlight w:val="none"/>
                <w:lang w:bidi="ar"/>
              </w:rPr>
              <w:t>1</w:t>
            </w:r>
            <w:r>
              <w:rPr>
                <w:rFonts w:hint="eastAsia" w:ascii="宋体" w:hAnsi="宋体" w:eastAsia="宋体" w:cs="宋体"/>
                <w:b/>
                <w:color w:val="auto"/>
                <w:highlight w:val="none"/>
                <w:lang w:bidi="ar"/>
              </w:rPr>
              <w:t>分，该项最高得</w:t>
            </w:r>
            <w:r>
              <w:rPr>
                <w:rFonts w:eastAsia="宋体"/>
                <w:b/>
                <w:color w:val="auto"/>
                <w:highlight w:val="none"/>
                <w:lang w:bidi="ar"/>
              </w:rPr>
              <w:t>3</w:t>
            </w:r>
            <w:r>
              <w:rPr>
                <w:rFonts w:hint="eastAsia" w:ascii="宋体" w:hAnsi="宋体" w:eastAsia="宋体" w:cs="宋体"/>
                <w:b/>
                <w:color w:val="auto"/>
                <w:highlight w:val="none"/>
                <w:lang w:bidi="ar"/>
              </w:rPr>
              <w:t>分。</w:t>
            </w:r>
          </w:p>
          <w:p w14:paraId="1B331CA0">
            <w:pPr>
              <w:widowControl/>
              <w:spacing w:line="420" w:lineRule="exact"/>
              <w:rPr>
                <w:rFonts w:eastAsia="宋体"/>
                <w:bCs/>
                <w:color w:val="auto"/>
                <w:highlight w:val="none"/>
              </w:rPr>
            </w:pPr>
            <w:r>
              <w:rPr>
                <w:rFonts w:hint="eastAsia" w:ascii="宋体" w:hAnsi="宋体" w:eastAsia="宋体" w:cs="宋体"/>
                <w:b/>
                <w:color w:val="auto"/>
                <w:highlight w:val="none"/>
                <w:lang w:bidi="ar"/>
              </w:rPr>
              <w:t>以上没有内容不得分。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B735D8B">
            <w:pPr>
              <w:widowControl/>
              <w:spacing w:line="420" w:lineRule="exact"/>
              <w:jc w:val="center"/>
              <w:rPr>
                <w:rFonts w:eastAsia="宋体"/>
                <w:bCs/>
                <w:color w:val="auto"/>
                <w:highlight w:val="none"/>
              </w:rPr>
            </w:pPr>
            <w:r>
              <w:rPr>
                <w:rFonts w:eastAsia="宋体"/>
                <w:bCs/>
                <w:color w:val="auto"/>
                <w:highlight w:val="none"/>
                <w:lang w:bidi="ar"/>
              </w:rPr>
              <w:t>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D29D80">
            <w:pPr>
              <w:widowControl/>
              <w:spacing w:line="420" w:lineRule="exact"/>
              <w:jc w:val="center"/>
              <w:rPr>
                <w:rFonts w:eastAsia="宋体"/>
                <w:bCs/>
                <w:color w:val="auto"/>
                <w:highlight w:val="none"/>
              </w:rPr>
            </w:pPr>
            <w:r>
              <w:rPr>
                <w:rFonts w:hint="eastAsia" w:ascii="宋体" w:hAnsi="宋体" w:eastAsia="宋体" w:cs="宋体"/>
                <w:bCs/>
                <w:color w:val="auto"/>
                <w:highlight w:val="none"/>
                <w:lang w:bidi="ar"/>
              </w:rPr>
              <w:t>主观分</w:t>
            </w:r>
          </w:p>
        </w:tc>
      </w:tr>
      <w:tr w14:paraId="2290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3A83BF9A">
            <w:pPr>
              <w:widowControl/>
              <w:spacing w:line="420" w:lineRule="exact"/>
              <w:jc w:val="center"/>
              <w:rPr>
                <w:rFonts w:eastAsia="宋体"/>
                <w:bCs/>
                <w:color w:val="auto"/>
                <w:highlight w:val="none"/>
              </w:rPr>
            </w:pPr>
            <w:r>
              <w:rPr>
                <w:rFonts w:hint="eastAsia" w:eastAsia="宋体"/>
                <w:bCs/>
                <w:color w:val="auto"/>
                <w:highlight w:val="none"/>
                <w:lang w:bidi="ar"/>
              </w:rPr>
              <w:t>7</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2C342677">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廉洁从审</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57DECC65">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评委针对协审方案内的廉洁从审进行评审：</w:t>
            </w:r>
          </w:p>
          <w:p w14:paraId="6CB5C9FA">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①廉洁从审的叙述应包含完整的廉政教育、监督措施、惩罚制度；</w:t>
            </w:r>
          </w:p>
          <w:p w14:paraId="54C8EADF">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廉洁从审的叙述内容完整、齐全且针对性强的得2分；</w:t>
            </w:r>
          </w:p>
          <w:p w14:paraId="66FB8A21">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廉洁从审的叙述内容较完整、较齐全且针对性较强的得1.5分；</w:t>
            </w:r>
          </w:p>
          <w:p w14:paraId="4F12DD9C">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廉洁从审的叙述内容一般且针对性一般的得1分；</w:t>
            </w:r>
          </w:p>
          <w:p w14:paraId="6AA559E2">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②应能体现措施有针对性且操作性强；</w:t>
            </w:r>
          </w:p>
          <w:p w14:paraId="66F13D5A">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措施方案有针对性且操作性强的得2分；</w:t>
            </w:r>
          </w:p>
          <w:p w14:paraId="36153691">
            <w:pPr>
              <w:widowControl/>
              <w:spacing w:line="420" w:lineRule="exact"/>
              <w:rPr>
                <w:rFonts w:ascii="宋体" w:hAnsi="宋体" w:eastAsia="宋体" w:cs="宋体"/>
                <w:bCs/>
                <w:color w:val="auto"/>
                <w:highlight w:val="none"/>
                <w:lang w:bidi="ar"/>
              </w:rPr>
            </w:pPr>
            <w:r>
              <w:rPr>
                <w:rFonts w:hint="eastAsia" w:ascii="宋体" w:hAnsi="宋体" w:eastAsia="宋体" w:cs="宋体"/>
                <w:bCs/>
                <w:color w:val="auto"/>
                <w:highlight w:val="none"/>
                <w:lang w:bidi="ar"/>
              </w:rPr>
              <w:t>措施方案较有针对性且操作性较强的得1.5分；</w:t>
            </w:r>
          </w:p>
          <w:p w14:paraId="0F3B514A">
            <w:pPr>
              <w:widowControl/>
              <w:spacing w:line="420" w:lineRule="exact"/>
              <w:rPr>
                <w:rFonts w:ascii="宋体" w:hAnsi="宋体" w:eastAsia="宋体" w:cs="宋体"/>
                <w:b/>
                <w:color w:val="auto"/>
                <w:highlight w:val="none"/>
                <w:lang w:bidi="ar"/>
              </w:rPr>
            </w:pPr>
            <w:r>
              <w:rPr>
                <w:rFonts w:hint="eastAsia" w:ascii="宋体" w:hAnsi="宋体" w:eastAsia="宋体" w:cs="宋体"/>
                <w:bCs/>
                <w:color w:val="auto"/>
                <w:highlight w:val="none"/>
                <w:lang w:bidi="ar"/>
              </w:rPr>
              <w:t>措施方案针对性一般且操作性一般的得1分；</w:t>
            </w:r>
          </w:p>
          <w:p w14:paraId="5FD722F3">
            <w:pPr>
              <w:widowControl/>
              <w:spacing w:line="420" w:lineRule="exact"/>
              <w:rPr>
                <w:rFonts w:ascii="宋体" w:hAnsi="宋体" w:eastAsia="宋体" w:cs="宋体"/>
                <w:b/>
                <w:color w:val="auto"/>
                <w:highlight w:val="none"/>
                <w:lang w:bidi="ar"/>
              </w:rPr>
            </w:pPr>
            <w:r>
              <w:rPr>
                <w:rFonts w:hint="eastAsia" w:ascii="宋体" w:hAnsi="宋体" w:eastAsia="宋体" w:cs="宋体"/>
                <w:b/>
                <w:color w:val="auto"/>
                <w:highlight w:val="none"/>
                <w:lang w:bidi="ar"/>
              </w:rPr>
              <w:t>评分项内每小项最多得</w:t>
            </w:r>
            <w:r>
              <w:rPr>
                <w:rFonts w:eastAsia="宋体"/>
                <w:b/>
                <w:color w:val="auto"/>
                <w:highlight w:val="none"/>
                <w:lang w:bidi="ar"/>
              </w:rPr>
              <w:t>2</w:t>
            </w:r>
            <w:r>
              <w:rPr>
                <w:rFonts w:hint="eastAsia" w:ascii="宋体" w:hAnsi="宋体" w:eastAsia="宋体" w:cs="宋体"/>
                <w:b/>
                <w:color w:val="auto"/>
                <w:highlight w:val="none"/>
                <w:lang w:bidi="ar"/>
              </w:rPr>
              <w:t>分，该项最高得</w:t>
            </w:r>
            <w:r>
              <w:rPr>
                <w:rFonts w:eastAsia="宋体"/>
                <w:b/>
                <w:color w:val="auto"/>
                <w:highlight w:val="none"/>
                <w:lang w:bidi="ar"/>
              </w:rPr>
              <w:t>4</w:t>
            </w:r>
            <w:r>
              <w:rPr>
                <w:rFonts w:hint="eastAsia" w:ascii="宋体" w:hAnsi="宋体" w:eastAsia="宋体" w:cs="宋体"/>
                <w:b/>
                <w:color w:val="auto"/>
                <w:highlight w:val="none"/>
                <w:lang w:bidi="ar"/>
              </w:rPr>
              <w:t>分。</w:t>
            </w:r>
          </w:p>
          <w:p w14:paraId="1F3CC6F8">
            <w:pPr>
              <w:widowControl/>
              <w:spacing w:line="420" w:lineRule="exact"/>
              <w:rPr>
                <w:rFonts w:eastAsia="宋体"/>
                <w:bCs/>
                <w:color w:val="auto"/>
                <w:highlight w:val="none"/>
              </w:rPr>
            </w:pPr>
            <w:r>
              <w:rPr>
                <w:rFonts w:hint="eastAsia" w:ascii="宋体" w:hAnsi="宋体" w:eastAsia="宋体" w:cs="宋体"/>
                <w:b/>
                <w:color w:val="auto"/>
                <w:highlight w:val="none"/>
                <w:lang w:bidi="ar"/>
              </w:rPr>
              <w:t>以上没有内容不得分。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DDEB3E">
            <w:pPr>
              <w:widowControl/>
              <w:spacing w:line="420" w:lineRule="exact"/>
              <w:jc w:val="center"/>
              <w:rPr>
                <w:rFonts w:eastAsia="宋体"/>
                <w:bCs/>
                <w:color w:val="auto"/>
                <w:highlight w:val="none"/>
              </w:rPr>
            </w:pPr>
            <w:r>
              <w:rPr>
                <w:rFonts w:eastAsia="宋体"/>
                <w:bCs/>
                <w:color w:val="auto"/>
                <w:highlight w:val="none"/>
                <w:lang w:bidi="ar"/>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0C1628">
            <w:pPr>
              <w:widowControl/>
              <w:spacing w:line="420" w:lineRule="exact"/>
              <w:jc w:val="center"/>
              <w:rPr>
                <w:rFonts w:eastAsia="宋体"/>
                <w:bCs/>
                <w:color w:val="auto"/>
                <w:highlight w:val="none"/>
              </w:rPr>
            </w:pPr>
            <w:r>
              <w:rPr>
                <w:rFonts w:hint="eastAsia" w:ascii="宋体" w:hAnsi="宋体" w:eastAsia="宋体" w:cs="宋体"/>
                <w:bCs/>
                <w:color w:val="auto"/>
                <w:highlight w:val="none"/>
                <w:lang w:bidi="ar"/>
              </w:rPr>
              <w:t>主观分</w:t>
            </w:r>
          </w:p>
        </w:tc>
      </w:tr>
    </w:tbl>
    <w:p w14:paraId="608F2975">
      <w:pPr>
        <w:spacing w:line="420" w:lineRule="exact"/>
        <w:ind w:firstLine="488"/>
        <w:outlineLvl w:val="2"/>
        <w:rPr>
          <w:rFonts w:eastAsia="宋体"/>
          <w:b/>
          <w:bCs/>
          <w:color w:val="auto"/>
          <w:highlight w:val="none"/>
          <w:lang w:bidi="ar"/>
        </w:rPr>
      </w:pPr>
    </w:p>
    <w:p w14:paraId="6914DDB7">
      <w:pPr>
        <w:spacing w:line="420" w:lineRule="exact"/>
        <w:ind w:firstLine="488"/>
        <w:outlineLvl w:val="2"/>
        <w:rPr>
          <w:rFonts w:eastAsia="宋体"/>
          <w:b/>
          <w:bCs/>
          <w:color w:val="auto"/>
          <w:highlight w:val="none"/>
        </w:rPr>
      </w:pPr>
      <w:r>
        <w:rPr>
          <w:rFonts w:eastAsia="宋体"/>
          <w:b/>
          <w:bCs/>
          <w:color w:val="auto"/>
          <w:highlight w:val="none"/>
          <w:lang w:bidi="ar"/>
        </w:rPr>
        <w:t>3.</w:t>
      </w:r>
      <w:r>
        <w:rPr>
          <w:rFonts w:hint="eastAsia" w:ascii="宋体" w:hAnsi="宋体" w:eastAsia="宋体" w:cs="宋体"/>
          <w:b/>
          <w:bCs/>
          <w:color w:val="auto"/>
          <w:highlight w:val="none"/>
          <w:lang w:bidi="ar"/>
        </w:rPr>
        <w:t>商务分：</w:t>
      </w:r>
      <w:r>
        <w:rPr>
          <w:rFonts w:eastAsia="宋体"/>
          <w:b/>
          <w:bCs/>
          <w:color w:val="auto"/>
          <w:highlight w:val="none"/>
          <w:lang w:bidi="ar"/>
        </w:rPr>
        <w:t>60</w:t>
      </w:r>
      <w:r>
        <w:rPr>
          <w:rFonts w:hint="eastAsia" w:ascii="宋体" w:hAnsi="宋体" w:eastAsia="宋体" w:cs="宋体"/>
          <w:b/>
          <w:bCs/>
          <w:color w:val="auto"/>
          <w:highlight w:val="none"/>
          <w:lang w:bidi="ar"/>
        </w:rPr>
        <w:t>分</w:t>
      </w:r>
    </w:p>
    <w:tbl>
      <w:tblPr>
        <w:tblStyle w:val="8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14"/>
        <w:gridCol w:w="6379"/>
        <w:gridCol w:w="850"/>
        <w:gridCol w:w="851"/>
      </w:tblGrid>
      <w:tr w14:paraId="1EEA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80209">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序号</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4511F">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评分项名称</w:t>
            </w:r>
          </w:p>
        </w:tc>
        <w:tc>
          <w:tcPr>
            <w:tcW w:w="6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A53E3">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评分标准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1A1110F">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分值</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912826">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主</w:t>
            </w:r>
            <w:r>
              <w:rPr>
                <w:rFonts w:eastAsia="宋体"/>
                <w:b/>
                <w:color w:val="auto"/>
                <w:highlight w:val="none"/>
                <w:lang w:bidi="ar"/>
              </w:rPr>
              <w:t>/</w:t>
            </w:r>
            <w:r>
              <w:rPr>
                <w:rFonts w:hint="eastAsia" w:ascii="宋体" w:hAnsi="宋体" w:eastAsia="宋体" w:cs="宋体"/>
                <w:b/>
                <w:color w:val="auto"/>
                <w:highlight w:val="none"/>
                <w:lang w:bidi="ar"/>
              </w:rPr>
              <w:t>客观分</w:t>
            </w:r>
          </w:p>
        </w:tc>
      </w:tr>
      <w:tr w14:paraId="6FCA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0437A201">
            <w:pPr>
              <w:widowControl/>
              <w:spacing w:line="420" w:lineRule="exact"/>
              <w:jc w:val="center"/>
              <w:rPr>
                <w:rFonts w:eastAsia="宋体"/>
                <w:bCs/>
                <w:color w:val="auto"/>
                <w:highlight w:val="none"/>
              </w:rPr>
            </w:pPr>
            <w:r>
              <w:rPr>
                <w:rFonts w:eastAsia="宋体"/>
                <w:bCs/>
                <w:color w:val="auto"/>
                <w:highlight w:val="none"/>
                <w:lang w:bidi="ar"/>
              </w:rPr>
              <w:t>1</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306929A9">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企业业绩</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5964F86E">
            <w:pPr>
              <w:widowControl/>
              <w:spacing w:line="420" w:lineRule="exact"/>
              <w:rPr>
                <w:rFonts w:eastAsia="宋体"/>
                <w:bCs/>
                <w:color w:val="auto"/>
                <w:highlight w:val="none"/>
              </w:rPr>
            </w:pPr>
            <w:bookmarkStart w:id="159" w:name="OLE_LINK7"/>
            <w:bookmarkStart w:id="160" w:name="OLE_LINK17"/>
            <w:r>
              <w:rPr>
                <w:rFonts w:hint="eastAsia" w:ascii="宋体" w:hAnsi="宋体" w:eastAsia="宋体" w:cs="宋体"/>
                <w:bCs/>
                <w:color w:val="auto"/>
                <w:highlight w:val="none"/>
                <w:lang w:bidi="ar"/>
              </w:rPr>
              <w:t>供应商自</w:t>
            </w:r>
            <w:r>
              <w:rPr>
                <w:rFonts w:eastAsia="宋体"/>
                <w:bCs/>
                <w:color w:val="auto"/>
                <w:highlight w:val="none"/>
                <w:lang w:bidi="ar"/>
              </w:rPr>
              <w:t>202</w:t>
            </w:r>
            <w:r>
              <w:rPr>
                <w:rFonts w:hint="eastAsia" w:eastAsia="宋体"/>
                <w:bCs/>
                <w:color w:val="auto"/>
                <w:highlight w:val="none"/>
                <w:lang w:bidi="ar"/>
              </w:rPr>
              <w:t>2</w:t>
            </w:r>
            <w:r>
              <w:rPr>
                <w:rFonts w:hint="eastAsia" w:ascii="宋体" w:hAnsi="宋体" w:eastAsia="宋体" w:cs="宋体"/>
                <w:bCs/>
                <w:color w:val="auto"/>
                <w:highlight w:val="none"/>
                <w:lang w:bidi="ar"/>
              </w:rPr>
              <w:t>年</w:t>
            </w:r>
            <w:r>
              <w:rPr>
                <w:rFonts w:eastAsia="宋体"/>
                <w:bCs/>
                <w:color w:val="auto"/>
                <w:highlight w:val="none"/>
                <w:lang w:bidi="ar"/>
              </w:rPr>
              <w:t>1</w:t>
            </w:r>
            <w:r>
              <w:rPr>
                <w:rFonts w:hint="eastAsia" w:ascii="宋体" w:hAnsi="宋体" w:eastAsia="宋体" w:cs="宋体"/>
                <w:bCs/>
                <w:color w:val="auto"/>
                <w:highlight w:val="none"/>
                <w:lang w:bidi="ar"/>
              </w:rPr>
              <w:t>月</w:t>
            </w:r>
            <w:r>
              <w:rPr>
                <w:rFonts w:eastAsia="宋体"/>
                <w:bCs/>
                <w:color w:val="auto"/>
                <w:highlight w:val="none"/>
                <w:lang w:bidi="ar"/>
              </w:rPr>
              <w:t>1</w:t>
            </w:r>
            <w:r>
              <w:rPr>
                <w:rFonts w:hint="eastAsia" w:ascii="宋体" w:hAnsi="宋体" w:eastAsia="宋体" w:cs="宋体"/>
                <w:bCs/>
                <w:color w:val="auto"/>
                <w:highlight w:val="none"/>
                <w:lang w:bidi="ar"/>
              </w:rPr>
              <w:t>日以来（以评审报告出具时间为准），分别具有“土木建筑工程、安装工程、公路、水利工程、市政、绿化”这六类中的审核业务业绩，每提供一个类别业绩得</w:t>
            </w:r>
            <w:r>
              <w:rPr>
                <w:rFonts w:eastAsia="宋体"/>
                <w:bCs/>
                <w:color w:val="auto"/>
                <w:highlight w:val="none"/>
                <w:lang w:bidi="ar"/>
              </w:rPr>
              <w:t>2</w:t>
            </w:r>
            <w:r>
              <w:rPr>
                <w:rFonts w:hint="eastAsia" w:ascii="宋体" w:hAnsi="宋体" w:eastAsia="宋体" w:cs="宋体"/>
                <w:bCs/>
                <w:color w:val="auto"/>
                <w:highlight w:val="none"/>
                <w:lang w:bidi="ar"/>
              </w:rPr>
              <w:t>分，同类别不重复计分，如同一项目里有多个类别的只能按一个类别计一次分，专业类别以审核报告中体现为准，如不能体现需另提供证明材料；该项最高得</w:t>
            </w:r>
            <w:r>
              <w:rPr>
                <w:rFonts w:hint="eastAsia" w:eastAsia="宋体"/>
                <w:bCs/>
                <w:color w:val="auto"/>
                <w:highlight w:val="none"/>
                <w:lang w:bidi="ar"/>
              </w:rPr>
              <w:t>12</w:t>
            </w:r>
            <w:r>
              <w:rPr>
                <w:rFonts w:hint="eastAsia" w:ascii="宋体" w:hAnsi="宋体" w:eastAsia="宋体" w:cs="宋体"/>
                <w:bCs/>
                <w:color w:val="auto"/>
                <w:highlight w:val="none"/>
                <w:lang w:bidi="ar"/>
              </w:rPr>
              <w:t>分。</w:t>
            </w:r>
          </w:p>
          <w:p w14:paraId="472C20E3">
            <w:pPr>
              <w:widowControl/>
              <w:spacing w:line="420" w:lineRule="exact"/>
              <w:rPr>
                <w:rFonts w:eastAsia="宋体"/>
                <w:bCs/>
                <w:color w:val="auto"/>
                <w:highlight w:val="none"/>
              </w:rPr>
            </w:pPr>
            <w:r>
              <w:rPr>
                <w:rFonts w:hint="eastAsia" w:ascii="宋体" w:hAnsi="宋体" w:eastAsia="宋体" w:cs="宋体"/>
                <w:bCs/>
                <w:color w:val="auto"/>
                <w:highlight w:val="none"/>
                <w:lang w:bidi="ar"/>
              </w:rPr>
              <w:t>注：</w:t>
            </w:r>
          </w:p>
          <w:p w14:paraId="7327A431">
            <w:pPr>
              <w:widowControl/>
              <w:spacing w:line="420" w:lineRule="exact"/>
              <w:rPr>
                <w:rFonts w:hint="eastAsia" w:ascii="Cambria Math" w:hAnsi="Cambria Math" w:eastAsia="宋体" w:cs="Cambria Math"/>
                <w:bCs/>
                <w:color w:val="auto"/>
                <w:highlight w:val="none"/>
              </w:rPr>
            </w:pPr>
            <w:bookmarkStart w:id="161" w:name="OLE_LINK16"/>
            <w:bookmarkStart w:id="162" w:name="OLE_LINK12"/>
            <w:r>
              <w:rPr>
                <w:rFonts w:ascii="Cambria Math" w:hAnsi="Cambria Math" w:eastAsia="Cambria Math" w:cs="Cambria Math"/>
                <w:bCs/>
                <w:color w:val="auto"/>
                <w:highlight w:val="none"/>
                <w:lang w:bidi="ar"/>
              </w:rPr>
              <w:t>1.</w:t>
            </w:r>
            <w:r>
              <w:rPr>
                <w:rFonts w:hint="eastAsia" w:ascii="宋体" w:hAnsi="宋体" w:eastAsia="宋体" w:cs="宋体"/>
                <w:bCs/>
                <w:color w:val="auto"/>
                <w:highlight w:val="none"/>
                <w:lang w:bidi="ar"/>
              </w:rPr>
              <w:t>须提供：</w:t>
            </w:r>
          </w:p>
          <w:p w14:paraId="2E906589">
            <w:pPr>
              <w:widowControl/>
              <w:spacing w:line="420" w:lineRule="exact"/>
              <w:rPr>
                <w:rFonts w:ascii="宋体" w:hAnsi="宋体" w:eastAsia="宋体" w:cs="宋体"/>
                <w:bCs/>
                <w:color w:val="auto"/>
                <w:highlight w:val="none"/>
                <w:lang w:bidi="ar"/>
              </w:rPr>
            </w:pPr>
            <w:r>
              <w:rPr>
                <w:rFonts w:ascii="Cambria Math" w:hAnsi="Cambria Math" w:eastAsia="Cambria Math" w:cs="Cambria Math"/>
                <w:bCs/>
                <w:color w:val="auto"/>
                <w:highlight w:val="none"/>
                <w:lang w:bidi="ar"/>
              </w:rPr>
              <w:t>①</w:t>
            </w:r>
            <w:r>
              <w:rPr>
                <w:rFonts w:hint="eastAsia" w:ascii="宋体" w:hAnsi="宋体" w:eastAsia="宋体" w:cs="宋体"/>
                <w:bCs/>
                <w:color w:val="auto"/>
                <w:highlight w:val="none"/>
                <w:lang w:bidi="ar"/>
              </w:rPr>
              <w:t>成交（中标）公告截图或成交（中标）通知书。</w:t>
            </w:r>
          </w:p>
          <w:p w14:paraId="43672833">
            <w:pPr>
              <w:widowControl/>
              <w:spacing w:line="420" w:lineRule="exact"/>
              <w:rPr>
                <w:rFonts w:hint="eastAsia" w:ascii="Cambria Math" w:hAnsi="Cambria Math" w:eastAsia="宋体" w:cs="Cambria Math"/>
                <w:bCs/>
                <w:color w:val="auto"/>
                <w:highlight w:val="none"/>
              </w:rPr>
            </w:pPr>
            <w:r>
              <w:rPr>
                <w:rFonts w:ascii="Cambria Math" w:hAnsi="Cambria Math" w:eastAsia="Cambria Math" w:cs="Cambria Math"/>
                <w:bCs/>
                <w:color w:val="auto"/>
                <w:highlight w:val="none"/>
                <w:lang w:bidi="ar"/>
              </w:rPr>
              <w:t>②</w:t>
            </w:r>
            <w:r>
              <w:rPr>
                <w:rFonts w:hint="eastAsia" w:ascii="宋体" w:hAnsi="宋体" w:eastAsia="宋体" w:cs="宋体"/>
                <w:bCs/>
                <w:color w:val="auto"/>
                <w:highlight w:val="none"/>
                <w:lang w:bidi="ar"/>
              </w:rPr>
              <w:t>相关委托服务合同；</w:t>
            </w:r>
          </w:p>
          <w:p w14:paraId="4B0AE5A4">
            <w:pPr>
              <w:widowControl/>
              <w:spacing w:line="420" w:lineRule="exact"/>
              <w:rPr>
                <w:rFonts w:hint="eastAsia" w:ascii="Cambria Math" w:hAnsi="Cambria Math" w:eastAsia="宋体" w:cs="Cambria Math"/>
                <w:bCs/>
                <w:color w:val="auto"/>
                <w:highlight w:val="none"/>
              </w:rPr>
            </w:pPr>
            <w:r>
              <w:rPr>
                <w:rFonts w:hint="eastAsia" w:ascii="宋体" w:hAnsi="宋体" w:eastAsia="宋体" w:cs="宋体"/>
                <w:bCs/>
                <w:color w:val="auto"/>
                <w:highlight w:val="none"/>
                <w:lang w:bidi="ar"/>
              </w:rPr>
              <w:t>③评审报告；</w:t>
            </w:r>
          </w:p>
          <w:bookmarkEnd w:id="159"/>
          <w:p w14:paraId="6B3331DE">
            <w:pPr>
              <w:widowControl/>
              <w:spacing w:line="420" w:lineRule="exact"/>
              <w:rPr>
                <w:rFonts w:eastAsia="宋体"/>
                <w:bCs/>
                <w:color w:val="auto"/>
                <w:highlight w:val="none"/>
              </w:rPr>
            </w:pPr>
            <w:r>
              <w:rPr>
                <w:rFonts w:eastAsia="宋体"/>
                <w:bCs/>
                <w:color w:val="auto"/>
                <w:highlight w:val="none"/>
                <w:lang w:bidi="ar"/>
              </w:rPr>
              <w:t>2.</w:t>
            </w:r>
            <w:r>
              <w:rPr>
                <w:rFonts w:hint="eastAsia" w:ascii="宋体" w:hAnsi="宋体" w:eastAsia="宋体" w:cs="宋体"/>
                <w:bCs/>
                <w:color w:val="auto"/>
                <w:highlight w:val="none"/>
                <w:lang w:bidi="ar"/>
              </w:rPr>
              <w:t>供应商应当提供填列的《企业业绩一览表》（格式见附件</w:t>
            </w:r>
            <w:r>
              <w:rPr>
                <w:rFonts w:eastAsia="宋体"/>
                <w:bCs/>
                <w:color w:val="auto"/>
                <w:highlight w:val="none"/>
                <w:lang w:bidi="ar"/>
              </w:rPr>
              <w:t>15</w:t>
            </w:r>
            <w:r>
              <w:rPr>
                <w:rFonts w:hint="eastAsia" w:ascii="宋体" w:hAnsi="宋体" w:eastAsia="宋体" w:cs="宋体"/>
                <w:bCs/>
                <w:color w:val="auto"/>
                <w:highlight w:val="none"/>
                <w:lang w:bidi="ar"/>
              </w:rPr>
              <w:t>，不填列不得分。）及按规定应提供的证明材料。</w:t>
            </w:r>
          </w:p>
          <w:bookmarkEnd w:id="161"/>
          <w:bookmarkEnd w:id="162"/>
          <w:p w14:paraId="73EA840C">
            <w:pPr>
              <w:widowControl/>
              <w:spacing w:line="420" w:lineRule="exact"/>
              <w:rPr>
                <w:rFonts w:eastAsia="宋体"/>
                <w:bCs/>
                <w:color w:val="auto"/>
                <w:highlight w:val="none"/>
              </w:rPr>
            </w:pPr>
            <w:r>
              <w:rPr>
                <w:rFonts w:eastAsia="宋体"/>
                <w:bCs/>
                <w:color w:val="auto"/>
                <w:highlight w:val="none"/>
                <w:lang w:bidi="ar"/>
              </w:rPr>
              <w:t>3.</w:t>
            </w:r>
            <w:r>
              <w:rPr>
                <w:rFonts w:hint="eastAsia" w:ascii="宋体" w:hAnsi="宋体" w:eastAsia="宋体" w:cs="宋体"/>
                <w:bCs/>
                <w:color w:val="auto"/>
                <w:highlight w:val="none"/>
                <w:lang w:bidi="ar"/>
              </w:rPr>
              <w:t>所有上传的材料须加盖供应商</w:t>
            </w:r>
            <w:r>
              <w:rPr>
                <w:rFonts w:eastAsia="宋体"/>
                <w:bCs/>
                <w:color w:val="auto"/>
                <w:highlight w:val="none"/>
                <w:lang w:bidi="ar"/>
              </w:rPr>
              <w:t>CA</w:t>
            </w:r>
            <w:r>
              <w:rPr>
                <w:rFonts w:hint="eastAsia" w:ascii="宋体" w:hAnsi="宋体" w:eastAsia="宋体" w:cs="宋体"/>
                <w:bCs/>
                <w:color w:val="auto"/>
                <w:highlight w:val="none"/>
                <w:lang w:bidi="ar"/>
              </w:rPr>
              <w:t>公章，否则不得分。</w:t>
            </w:r>
            <w:bookmarkEnd w:id="160"/>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6EAC69F">
            <w:pPr>
              <w:widowControl/>
              <w:spacing w:line="420" w:lineRule="exact"/>
              <w:jc w:val="center"/>
              <w:rPr>
                <w:rFonts w:eastAsia="宋体"/>
                <w:bCs/>
                <w:color w:val="auto"/>
                <w:highlight w:val="none"/>
              </w:rPr>
            </w:pPr>
            <w:r>
              <w:rPr>
                <w:rFonts w:hint="eastAsia" w:eastAsia="宋体"/>
                <w:bCs/>
                <w:color w:val="auto"/>
                <w:highlight w:val="none"/>
                <w:lang w:bidi="ar"/>
              </w:rPr>
              <w:t>12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5143F26">
            <w:pPr>
              <w:widowControl/>
              <w:spacing w:line="420" w:lineRule="exact"/>
              <w:jc w:val="center"/>
              <w:rPr>
                <w:rFonts w:eastAsia="宋体"/>
                <w:bCs/>
                <w:color w:val="auto"/>
                <w:highlight w:val="none"/>
              </w:rPr>
            </w:pPr>
            <w:r>
              <w:rPr>
                <w:rFonts w:hint="eastAsia" w:ascii="宋体" w:hAnsi="宋体" w:eastAsia="宋体" w:cs="宋体"/>
                <w:bCs/>
                <w:color w:val="auto"/>
                <w:highlight w:val="none"/>
                <w:lang w:bidi="ar"/>
              </w:rPr>
              <w:t>客观分</w:t>
            </w:r>
          </w:p>
        </w:tc>
      </w:tr>
      <w:tr w14:paraId="46DC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2448E4C9">
            <w:pPr>
              <w:widowControl/>
              <w:spacing w:line="420" w:lineRule="exact"/>
              <w:jc w:val="center"/>
              <w:rPr>
                <w:rFonts w:eastAsia="宋体"/>
                <w:bCs/>
                <w:color w:val="auto"/>
                <w:highlight w:val="none"/>
              </w:rPr>
            </w:pPr>
            <w:r>
              <w:rPr>
                <w:rFonts w:eastAsia="宋体"/>
                <w:bCs/>
                <w:color w:val="auto"/>
                <w:highlight w:val="none"/>
                <w:lang w:bidi="ar"/>
              </w:rPr>
              <w:t>2</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08F5CC79">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人员配备</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242E560E">
            <w:pPr>
              <w:widowControl/>
              <w:spacing w:line="480" w:lineRule="exact"/>
              <w:jc w:val="left"/>
              <w:rPr>
                <w:rFonts w:ascii="宋体" w:hAnsi="宋体" w:eastAsia="宋体" w:cs="宋体"/>
                <w:b/>
                <w:bCs/>
                <w:color w:val="auto"/>
                <w:highlight w:val="none"/>
              </w:rPr>
            </w:pPr>
            <w:r>
              <w:rPr>
                <w:rFonts w:hint="eastAsia" w:ascii="宋体" w:hAnsi="宋体" w:eastAsia="宋体" w:cs="宋体"/>
                <w:b/>
                <w:bCs/>
                <w:color w:val="auto"/>
                <w:highlight w:val="none"/>
                <w:lang w:bidi="ar"/>
              </w:rPr>
              <w:t>1.项目负责人（8分）：</w:t>
            </w:r>
          </w:p>
          <w:p w14:paraId="2CB3FBDB">
            <w:pPr>
              <w:widowControl/>
              <w:spacing w:line="480" w:lineRule="exact"/>
              <w:jc w:val="left"/>
              <w:rPr>
                <w:rFonts w:ascii="宋体" w:hAnsi="宋体" w:eastAsia="宋体" w:cs="宋体"/>
                <w:color w:val="auto"/>
                <w:highlight w:val="none"/>
                <w:lang w:bidi="ar"/>
              </w:rPr>
            </w:pPr>
            <w:r>
              <w:rPr>
                <w:rFonts w:hint="eastAsia" w:ascii="宋体" w:hAnsi="宋体" w:eastAsia="宋体" w:cs="宋体"/>
                <w:color w:val="auto"/>
                <w:highlight w:val="none"/>
                <w:lang w:bidi="ar"/>
              </w:rPr>
              <w:t>①拟派项目负责人每增加1个一级造价工程师专业得2分，最高得6分。</w:t>
            </w:r>
          </w:p>
          <w:p w14:paraId="29608638">
            <w:pPr>
              <w:widowControl/>
              <w:spacing w:line="480" w:lineRule="exact"/>
              <w:jc w:val="left"/>
              <w:rPr>
                <w:rFonts w:ascii="宋体" w:hAnsi="宋体" w:eastAsia="宋体" w:cs="宋体"/>
                <w:color w:val="auto"/>
                <w:highlight w:val="none"/>
                <w:lang w:bidi="ar"/>
              </w:rPr>
            </w:pPr>
            <w:r>
              <w:rPr>
                <w:rFonts w:hint="eastAsia" w:ascii="宋体" w:hAnsi="宋体" w:eastAsia="宋体" w:cs="宋体"/>
                <w:color w:val="auto"/>
                <w:highlight w:val="none"/>
                <w:lang w:bidi="ar"/>
              </w:rPr>
              <w:t>②拟派项目负责人具有建设工程类高级及以上职称的，得2分。</w:t>
            </w:r>
          </w:p>
          <w:p w14:paraId="64B28D30">
            <w:pPr>
              <w:widowControl/>
              <w:spacing w:line="480" w:lineRule="exact"/>
              <w:jc w:val="left"/>
              <w:rPr>
                <w:rFonts w:ascii="宋体" w:hAnsi="宋体" w:eastAsia="宋体" w:cs="宋体"/>
                <w:b/>
                <w:bCs/>
                <w:color w:val="auto"/>
                <w:highlight w:val="none"/>
              </w:rPr>
            </w:pPr>
            <w:r>
              <w:rPr>
                <w:rFonts w:hint="eastAsia" w:ascii="宋体" w:hAnsi="宋体" w:eastAsia="宋体" w:cs="宋体"/>
                <w:b/>
                <w:bCs/>
                <w:color w:val="auto"/>
                <w:highlight w:val="none"/>
                <w:lang w:bidi="ar"/>
              </w:rPr>
              <w:t>注：提供证书扫描件。此处提供的项目负责人须与项目需求中提供的项目负责人的为同一人，否则不得分。</w:t>
            </w:r>
          </w:p>
          <w:p w14:paraId="503873FA">
            <w:pPr>
              <w:widowControl/>
              <w:numPr>
                <w:ilvl w:val="0"/>
                <w:numId w:val="12"/>
              </w:numPr>
              <w:spacing w:line="480" w:lineRule="exact"/>
              <w:jc w:val="left"/>
              <w:rPr>
                <w:rFonts w:ascii="宋体" w:hAnsi="宋体" w:eastAsia="宋体" w:cs="宋体"/>
                <w:b/>
                <w:bCs/>
                <w:color w:val="auto"/>
                <w:highlight w:val="none"/>
                <w:lang w:bidi="ar"/>
              </w:rPr>
            </w:pPr>
            <w:r>
              <w:rPr>
                <w:rFonts w:hint="eastAsia" w:ascii="宋体" w:hAnsi="宋体" w:eastAsia="宋体" w:cs="宋体"/>
                <w:b/>
                <w:bCs/>
                <w:color w:val="auto"/>
                <w:highlight w:val="none"/>
                <w:lang w:bidi="ar"/>
              </w:rPr>
              <w:t>项目组成员(不含项目负责人）（18分）：</w:t>
            </w:r>
          </w:p>
          <w:p w14:paraId="528DD479">
            <w:pPr>
              <w:widowControl/>
              <w:spacing w:line="480" w:lineRule="exact"/>
              <w:jc w:val="left"/>
              <w:rPr>
                <w:rFonts w:ascii="宋体" w:hAnsi="宋体" w:eastAsia="宋体" w:cs="宋体"/>
                <w:color w:val="auto"/>
                <w:highlight w:val="none"/>
                <w:lang w:bidi="ar"/>
              </w:rPr>
            </w:pPr>
            <w:r>
              <w:rPr>
                <w:rFonts w:hint="eastAsia" w:ascii="宋体" w:hAnsi="宋体" w:eastAsia="宋体" w:cs="宋体"/>
                <w:color w:val="auto"/>
                <w:highlight w:val="none"/>
                <w:lang w:bidi="ar"/>
              </w:rPr>
              <w:t>①拟派成员中每有1人取得土木建筑工程专业二级及以上注册造价工程师证书的得2分，最高得6分。</w:t>
            </w:r>
          </w:p>
          <w:p w14:paraId="77D8C94F">
            <w:pPr>
              <w:widowControl/>
              <w:spacing w:line="48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②拟派成员中每有1人取得安装工程专业二级及以上注册造价工程师证书的得2分，最高得6分。</w:t>
            </w:r>
          </w:p>
          <w:p w14:paraId="4B9A879B">
            <w:pPr>
              <w:widowControl/>
              <w:spacing w:line="48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③拟派成员中每有1人取得水利工程专业二级及以上注册造价工程师证书的得2分，最高得2分。</w:t>
            </w:r>
          </w:p>
          <w:p w14:paraId="1314D07A">
            <w:pPr>
              <w:widowControl/>
              <w:spacing w:line="48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④拟派成员中每有1人取得交通运输工程（公路或水运）专业二级及以上注册造价工程师的得2分，最高得4分。</w:t>
            </w:r>
          </w:p>
          <w:p w14:paraId="6EFCB98B">
            <w:pPr>
              <w:widowControl/>
              <w:spacing w:line="480" w:lineRule="exact"/>
              <w:jc w:val="left"/>
              <w:rPr>
                <w:rFonts w:ascii="宋体" w:hAnsi="宋体" w:eastAsia="宋体" w:cs="宋体"/>
                <w:color w:val="auto"/>
                <w:highlight w:val="none"/>
                <w:lang w:bidi="ar"/>
              </w:rPr>
            </w:pPr>
            <w:r>
              <w:rPr>
                <w:rFonts w:hint="eastAsia" w:ascii="宋体" w:hAnsi="宋体" w:eastAsia="宋体" w:cs="宋体"/>
                <w:color w:val="auto"/>
                <w:highlight w:val="none"/>
                <w:lang w:bidi="ar"/>
              </w:rPr>
              <w:t>注：以上所有人员不重复计分。</w:t>
            </w:r>
          </w:p>
          <w:p w14:paraId="2A5EC672">
            <w:pPr>
              <w:widowControl/>
              <w:numPr>
                <w:ilvl w:val="0"/>
                <w:numId w:val="12"/>
              </w:numPr>
              <w:spacing w:line="480" w:lineRule="exact"/>
              <w:jc w:val="left"/>
              <w:rPr>
                <w:rFonts w:ascii="宋体" w:hAnsi="宋体" w:eastAsia="宋体" w:cs="宋体"/>
                <w:b/>
                <w:bCs/>
                <w:color w:val="auto"/>
                <w:highlight w:val="none"/>
                <w:lang w:bidi="ar"/>
              </w:rPr>
            </w:pPr>
            <w:r>
              <w:rPr>
                <w:rFonts w:hint="eastAsia" w:ascii="宋体" w:hAnsi="宋体" w:eastAsia="宋体" w:cs="宋体"/>
                <w:b/>
                <w:bCs/>
                <w:color w:val="auto"/>
                <w:highlight w:val="none"/>
                <w:lang w:bidi="ar"/>
              </w:rPr>
              <w:t>项目组成员(职称要求）（10分）：</w:t>
            </w:r>
          </w:p>
          <w:p w14:paraId="367E9F49">
            <w:pPr>
              <w:widowControl/>
              <w:spacing w:line="480" w:lineRule="exact"/>
              <w:jc w:val="left"/>
              <w:rPr>
                <w:rFonts w:ascii="宋体" w:hAnsi="宋体" w:eastAsia="宋体" w:cs="宋体"/>
                <w:color w:val="auto"/>
                <w:highlight w:val="none"/>
              </w:rPr>
            </w:pPr>
            <w:r>
              <w:rPr>
                <w:rFonts w:hint="eastAsia" w:ascii="宋体" w:hAnsi="宋体" w:eastAsia="宋体" w:cs="宋体"/>
                <w:color w:val="auto"/>
                <w:highlight w:val="none"/>
                <w:lang w:bidi="ar"/>
              </w:rPr>
              <w:t>本条第2项拟派项目组成员中具有建设工程类中级职称的，每人得1分；具有建设工程类高级及以上职称的，每人得2分；本项最高得10分。每人仅计一次得分。</w:t>
            </w:r>
          </w:p>
          <w:p w14:paraId="29B683E5">
            <w:pPr>
              <w:widowControl/>
              <w:spacing w:line="480" w:lineRule="exact"/>
              <w:jc w:val="left"/>
              <w:rPr>
                <w:rFonts w:ascii="宋体" w:hAnsi="宋体" w:eastAsia="宋体" w:cs="宋体"/>
                <w:b/>
                <w:bCs/>
                <w:color w:val="auto"/>
                <w:highlight w:val="none"/>
              </w:rPr>
            </w:pPr>
            <w:r>
              <w:rPr>
                <w:rFonts w:hint="eastAsia" w:ascii="宋体" w:hAnsi="宋体" w:eastAsia="宋体" w:cs="宋体"/>
                <w:b/>
                <w:bCs/>
                <w:color w:val="auto"/>
                <w:highlight w:val="none"/>
                <w:lang w:bidi="ar"/>
              </w:rPr>
              <w:t>注：1.以上所有人员按要求提供相关有效证明材料扫描件。</w:t>
            </w:r>
          </w:p>
          <w:p w14:paraId="151827F6">
            <w:pPr>
              <w:widowControl/>
              <w:numPr>
                <w:ilvl w:val="0"/>
                <w:numId w:val="13"/>
              </w:numPr>
              <w:spacing w:line="480" w:lineRule="exact"/>
              <w:jc w:val="left"/>
              <w:rPr>
                <w:rFonts w:ascii="宋体" w:hAnsi="宋体" w:eastAsia="宋体" w:cs="宋体"/>
                <w:b/>
                <w:bCs/>
                <w:color w:val="auto"/>
                <w:highlight w:val="none"/>
              </w:rPr>
            </w:pPr>
            <w:r>
              <w:rPr>
                <w:rFonts w:hint="eastAsia" w:ascii="宋体" w:hAnsi="宋体" w:eastAsia="宋体" w:cs="宋体"/>
                <w:b/>
                <w:bCs/>
                <w:color w:val="auto"/>
                <w:highlight w:val="none"/>
                <w:lang w:bidi="ar"/>
              </w:rPr>
              <w:t xml:space="preserve">项目组所有成员需提供现投标单位为其缴纳的2025年4月至6月中任意一个月的社保证明材料。  </w:t>
            </w:r>
          </w:p>
          <w:p w14:paraId="45A2DC84">
            <w:pPr>
              <w:widowControl/>
              <w:numPr>
                <w:ilvl w:val="0"/>
                <w:numId w:val="13"/>
              </w:numPr>
              <w:spacing w:line="480" w:lineRule="exact"/>
              <w:jc w:val="left"/>
              <w:rPr>
                <w:rFonts w:eastAsia="宋体"/>
                <w:bCs/>
                <w:color w:val="auto"/>
                <w:highlight w:val="none"/>
              </w:rPr>
            </w:pPr>
            <w:r>
              <w:rPr>
                <w:rFonts w:hint="eastAsia" w:ascii="宋体" w:hAnsi="宋体" w:eastAsia="宋体" w:cs="宋体"/>
                <w:b/>
                <w:bCs/>
                <w:color w:val="auto"/>
                <w:highlight w:val="none"/>
                <w:lang w:bidi="ar"/>
              </w:rPr>
              <w:t>供应商应当提供填列的《人员配备一览表》（格式见附件</w:t>
            </w:r>
            <w:r>
              <w:rPr>
                <w:rFonts w:ascii="宋体" w:hAnsi="宋体" w:eastAsia="宋体" w:cs="宋体"/>
                <w:b/>
                <w:bCs/>
                <w:color w:val="auto"/>
                <w:highlight w:val="none"/>
                <w:lang w:bidi="ar"/>
              </w:rPr>
              <w:t>1</w:t>
            </w:r>
            <w:r>
              <w:rPr>
                <w:rFonts w:hint="eastAsia" w:ascii="宋体" w:hAnsi="宋体" w:eastAsia="宋体" w:cs="宋体"/>
                <w:b/>
                <w:bCs/>
                <w:color w:val="auto"/>
                <w:highlight w:val="none"/>
                <w:lang w:bidi="ar"/>
              </w:rPr>
              <w:t xml:space="preserve">6，不填列不得分。）及按规定应提供的证明材料。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BA392E">
            <w:pPr>
              <w:widowControl/>
              <w:spacing w:line="420" w:lineRule="exact"/>
              <w:jc w:val="center"/>
              <w:rPr>
                <w:rFonts w:eastAsia="宋体"/>
                <w:bCs/>
                <w:color w:val="auto"/>
                <w:highlight w:val="none"/>
              </w:rPr>
            </w:pPr>
            <w:r>
              <w:rPr>
                <w:rFonts w:eastAsia="宋体"/>
                <w:bCs/>
                <w:color w:val="auto"/>
                <w:highlight w:val="none"/>
                <w:lang w:bidi="ar"/>
              </w:rPr>
              <w:t>3</w:t>
            </w:r>
            <w:r>
              <w:rPr>
                <w:rFonts w:hint="eastAsia" w:eastAsia="宋体"/>
                <w:bCs/>
                <w:color w:val="auto"/>
                <w:highlight w:val="none"/>
                <w:lang w:bidi="ar"/>
              </w:rPr>
              <w:t>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315C3D">
            <w:pPr>
              <w:widowControl/>
              <w:spacing w:line="420" w:lineRule="exact"/>
              <w:jc w:val="center"/>
              <w:rPr>
                <w:rFonts w:eastAsia="宋体"/>
                <w:bCs/>
                <w:color w:val="auto"/>
                <w:highlight w:val="none"/>
              </w:rPr>
            </w:pPr>
            <w:r>
              <w:rPr>
                <w:rFonts w:hint="eastAsia" w:ascii="宋体" w:hAnsi="宋体" w:eastAsia="宋体" w:cs="宋体"/>
                <w:bCs/>
                <w:color w:val="auto"/>
                <w:highlight w:val="none"/>
                <w:lang w:bidi="ar"/>
              </w:rPr>
              <w:t>客观分</w:t>
            </w:r>
          </w:p>
        </w:tc>
      </w:tr>
      <w:tr w14:paraId="563D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5B5319E0">
            <w:pPr>
              <w:widowControl/>
              <w:spacing w:line="420" w:lineRule="exact"/>
              <w:jc w:val="center"/>
              <w:rPr>
                <w:rFonts w:eastAsia="宋体"/>
                <w:bCs/>
                <w:color w:val="auto"/>
                <w:highlight w:val="none"/>
              </w:rPr>
            </w:pPr>
            <w:r>
              <w:rPr>
                <w:rFonts w:eastAsia="宋体"/>
                <w:bCs/>
                <w:color w:val="auto"/>
                <w:highlight w:val="none"/>
                <w:lang w:bidi="ar"/>
              </w:rPr>
              <w:t>3</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C87DAFF">
            <w:pPr>
              <w:widowControl/>
              <w:spacing w:line="420" w:lineRule="exact"/>
              <w:jc w:val="center"/>
              <w:rPr>
                <w:rFonts w:eastAsia="宋体"/>
                <w:b/>
                <w:color w:val="auto"/>
                <w:highlight w:val="none"/>
              </w:rPr>
            </w:pPr>
            <w:r>
              <w:rPr>
                <w:rFonts w:hint="eastAsia" w:ascii="宋体" w:hAnsi="宋体" w:eastAsia="宋体" w:cs="宋体"/>
                <w:b/>
                <w:color w:val="auto"/>
                <w:highlight w:val="none"/>
                <w:lang w:bidi="ar"/>
              </w:rPr>
              <w:t>人员业绩</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14:paraId="3F6101CA">
            <w:pPr>
              <w:spacing w:line="420" w:lineRule="exact"/>
              <w:rPr>
                <w:rFonts w:eastAsia="宋体"/>
                <w:iCs/>
                <w:color w:val="auto"/>
                <w:highlight w:val="none"/>
              </w:rPr>
            </w:pPr>
            <w:r>
              <w:rPr>
                <w:rFonts w:hint="eastAsia" w:ascii="宋体" w:hAnsi="宋体" w:eastAsia="宋体" w:cs="宋体"/>
                <w:iCs/>
                <w:color w:val="auto"/>
                <w:highlight w:val="none"/>
                <w:lang w:bidi="ar"/>
              </w:rPr>
              <w:t>（</w:t>
            </w:r>
            <w:r>
              <w:rPr>
                <w:rFonts w:eastAsia="宋体"/>
                <w:iCs/>
                <w:color w:val="auto"/>
                <w:highlight w:val="none"/>
                <w:lang w:bidi="ar"/>
              </w:rPr>
              <w:t>1</w:t>
            </w:r>
            <w:r>
              <w:rPr>
                <w:rFonts w:hint="eastAsia" w:ascii="宋体" w:hAnsi="宋体" w:eastAsia="宋体" w:cs="宋体"/>
                <w:iCs/>
                <w:color w:val="auto"/>
                <w:highlight w:val="none"/>
                <w:lang w:bidi="ar"/>
              </w:rPr>
              <w:t>）本项目拟派项目负责人：自</w:t>
            </w:r>
            <w:r>
              <w:rPr>
                <w:rFonts w:eastAsia="宋体"/>
                <w:iCs/>
                <w:color w:val="auto"/>
                <w:highlight w:val="none"/>
                <w:lang w:bidi="ar"/>
              </w:rPr>
              <w:t>202</w:t>
            </w:r>
            <w:r>
              <w:rPr>
                <w:rFonts w:hint="eastAsia" w:eastAsia="宋体"/>
                <w:iCs/>
                <w:color w:val="auto"/>
                <w:highlight w:val="none"/>
                <w:lang w:bidi="ar"/>
              </w:rPr>
              <w:t>2</w:t>
            </w:r>
            <w:r>
              <w:rPr>
                <w:rFonts w:hint="eastAsia" w:ascii="宋体" w:hAnsi="宋体" w:eastAsia="宋体" w:cs="宋体"/>
                <w:iCs/>
                <w:color w:val="auto"/>
                <w:highlight w:val="none"/>
                <w:lang w:bidi="ar"/>
              </w:rPr>
              <w:t>年</w:t>
            </w:r>
            <w:r>
              <w:rPr>
                <w:rFonts w:eastAsia="宋体"/>
                <w:iCs/>
                <w:color w:val="auto"/>
                <w:highlight w:val="none"/>
                <w:lang w:bidi="ar"/>
              </w:rPr>
              <w:t>1</w:t>
            </w:r>
            <w:r>
              <w:rPr>
                <w:rFonts w:hint="eastAsia" w:ascii="宋体" w:hAnsi="宋体" w:eastAsia="宋体" w:cs="宋体"/>
                <w:iCs/>
                <w:color w:val="auto"/>
                <w:highlight w:val="none"/>
                <w:lang w:bidi="ar"/>
              </w:rPr>
              <w:t>月</w:t>
            </w:r>
            <w:r>
              <w:rPr>
                <w:rFonts w:eastAsia="宋体"/>
                <w:iCs/>
                <w:color w:val="auto"/>
                <w:highlight w:val="none"/>
                <w:lang w:bidi="ar"/>
              </w:rPr>
              <w:t>1</w:t>
            </w:r>
            <w:r>
              <w:rPr>
                <w:rFonts w:hint="eastAsia" w:ascii="宋体" w:hAnsi="宋体" w:eastAsia="宋体" w:cs="宋体"/>
                <w:iCs/>
                <w:color w:val="auto"/>
                <w:highlight w:val="none"/>
                <w:lang w:bidi="ar"/>
              </w:rPr>
              <w:t>日以来，负责或参与完成</w:t>
            </w:r>
            <w:r>
              <w:rPr>
                <w:rFonts w:hint="eastAsia" w:eastAsia="宋体"/>
                <w:iCs/>
                <w:color w:val="auto"/>
                <w:highlight w:val="none"/>
              </w:rPr>
              <w:t>工程</w:t>
            </w:r>
            <w:r>
              <w:rPr>
                <w:rFonts w:hint="eastAsia" w:ascii="宋体" w:hAnsi="宋体" w:eastAsia="宋体" w:cs="宋体"/>
                <w:iCs/>
                <w:color w:val="auto"/>
                <w:highlight w:val="none"/>
                <w:lang w:bidi="ar"/>
              </w:rPr>
              <w:t>评审</w:t>
            </w:r>
            <w:r>
              <w:rPr>
                <w:rFonts w:hint="eastAsia" w:ascii="宋体" w:hAnsi="宋体" w:eastAsia="宋体" w:cs="宋体"/>
                <w:iCs/>
                <w:color w:val="auto"/>
                <w:highlight w:val="none"/>
                <w:lang w:val="en-US" w:eastAsia="zh-CN" w:bidi="ar"/>
              </w:rPr>
              <w:t>或审计</w:t>
            </w:r>
            <w:r>
              <w:rPr>
                <w:rFonts w:hint="eastAsia" w:ascii="宋体" w:hAnsi="宋体" w:eastAsia="宋体" w:cs="宋体"/>
                <w:iCs/>
                <w:color w:val="auto"/>
                <w:highlight w:val="none"/>
                <w:lang w:bidi="ar"/>
              </w:rPr>
              <w:t>业务业绩的，有</w:t>
            </w:r>
            <w:r>
              <w:rPr>
                <w:rFonts w:eastAsia="宋体"/>
                <w:iCs/>
                <w:color w:val="auto"/>
                <w:highlight w:val="none"/>
                <w:lang w:bidi="ar"/>
              </w:rPr>
              <w:t>1</w:t>
            </w:r>
            <w:r>
              <w:rPr>
                <w:rFonts w:hint="eastAsia" w:ascii="宋体" w:hAnsi="宋体" w:eastAsia="宋体" w:cs="宋体"/>
                <w:iCs/>
                <w:color w:val="auto"/>
                <w:highlight w:val="none"/>
                <w:lang w:bidi="ar"/>
              </w:rPr>
              <w:t>个得</w:t>
            </w:r>
            <w:r>
              <w:rPr>
                <w:rFonts w:eastAsia="宋体"/>
                <w:iCs/>
                <w:color w:val="auto"/>
                <w:highlight w:val="none"/>
                <w:lang w:bidi="ar"/>
              </w:rPr>
              <w:t>1</w:t>
            </w:r>
            <w:r>
              <w:rPr>
                <w:rFonts w:hint="eastAsia" w:ascii="宋体" w:hAnsi="宋体" w:eastAsia="宋体" w:cs="宋体"/>
                <w:iCs/>
                <w:color w:val="auto"/>
                <w:highlight w:val="none"/>
                <w:lang w:bidi="ar"/>
              </w:rPr>
              <w:t>分，最高得</w:t>
            </w:r>
            <w:r>
              <w:rPr>
                <w:rFonts w:hint="eastAsia" w:eastAsia="宋体"/>
                <w:iCs/>
                <w:color w:val="auto"/>
                <w:highlight w:val="none"/>
                <w:lang w:bidi="ar"/>
              </w:rPr>
              <w:t>2</w:t>
            </w:r>
            <w:r>
              <w:rPr>
                <w:rFonts w:hint="eastAsia" w:ascii="宋体" w:hAnsi="宋体" w:eastAsia="宋体" w:cs="宋体"/>
                <w:iCs/>
                <w:color w:val="auto"/>
                <w:highlight w:val="none"/>
                <w:lang w:bidi="ar"/>
              </w:rPr>
              <w:t>分。</w:t>
            </w:r>
          </w:p>
          <w:p w14:paraId="625BC738">
            <w:pPr>
              <w:spacing w:line="420" w:lineRule="exact"/>
              <w:rPr>
                <w:rFonts w:eastAsia="宋体"/>
                <w:iCs/>
                <w:color w:val="auto"/>
                <w:highlight w:val="none"/>
              </w:rPr>
            </w:pPr>
            <w:r>
              <w:rPr>
                <w:rFonts w:hint="eastAsia" w:ascii="宋体" w:hAnsi="宋体" w:eastAsia="宋体" w:cs="宋体"/>
                <w:iCs/>
                <w:color w:val="auto"/>
                <w:highlight w:val="none"/>
                <w:lang w:bidi="ar"/>
              </w:rPr>
              <w:t>（</w:t>
            </w:r>
            <w:r>
              <w:rPr>
                <w:rFonts w:eastAsia="宋体"/>
                <w:iCs/>
                <w:color w:val="auto"/>
                <w:highlight w:val="none"/>
                <w:lang w:bidi="ar"/>
              </w:rPr>
              <w:t>2</w:t>
            </w:r>
            <w:r>
              <w:rPr>
                <w:rFonts w:hint="eastAsia" w:ascii="宋体" w:hAnsi="宋体" w:eastAsia="宋体" w:cs="宋体"/>
                <w:iCs/>
                <w:color w:val="auto"/>
                <w:highlight w:val="none"/>
                <w:lang w:bidi="ar"/>
              </w:rPr>
              <w:t>）本项目拟派项目组成员中（项目负责人除外）：自</w:t>
            </w:r>
            <w:r>
              <w:rPr>
                <w:rFonts w:eastAsia="宋体"/>
                <w:iCs/>
                <w:color w:val="auto"/>
                <w:highlight w:val="none"/>
                <w:lang w:bidi="ar"/>
              </w:rPr>
              <w:t>202</w:t>
            </w:r>
            <w:r>
              <w:rPr>
                <w:rFonts w:hint="eastAsia" w:eastAsia="宋体"/>
                <w:iCs/>
                <w:color w:val="auto"/>
                <w:highlight w:val="none"/>
                <w:lang w:bidi="ar"/>
              </w:rPr>
              <w:t>2</w:t>
            </w:r>
            <w:r>
              <w:rPr>
                <w:rFonts w:hint="eastAsia" w:ascii="宋体" w:hAnsi="宋体" w:eastAsia="宋体" w:cs="宋体"/>
                <w:iCs/>
                <w:color w:val="auto"/>
                <w:highlight w:val="none"/>
                <w:lang w:bidi="ar"/>
              </w:rPr>
              <w:t>年</w:t>
            </w:r>
            <w:r>
              <w:rPr>
                <w:rFonts w:eastAsia="宋体"/>
                <w:iCs/>
                <w:color w:val="auto"/>
                <w:highlight w:val="none"/>
                <w:lang w:bidi="ar"/>
              </w:rPr>
              <w:t>1</w:t>
            </w:r>
            <w:r>
              <w:rPr>
                <w:rFonts w:hint="eastAsia" w:ascii="宋体" w:hAnsi="宋体" w:eastAsia="宋体" w:cs="宋体"/>
                <w:iCs/>
                <w:color w:val="auto"/>
                <w:highlight w:val="none"/>
                <w:lang w:bidi="ar"/>
              </w:rPr>
              <w:t>月</w:t>
            </w:r>
            <w:r>
              <w:rPr>
                <w:rFonts w:eastAsia="宋体"/>
                <w:iCs/>
                <w:color w:val="auto"/>
                <w:highlight w:val="none"/>
                <w:lang w:bidi="ar"/>
              </w:rPr>
              <w:t>1</w:t>
            </w:r>
            <w:r>
              <w:rPr>
                <w:rFonts w:hint="eastAsia" w:ascii="宋体" w:hAnsi="宋体" w:eastAsia="宋体" w:cs="宋体"/>
                <w:iCs/>
                <w:color w:val="auto"/>
                <w:highlight w:val="none"/>
                <w:lang w:bidi="ar"/>
              </w:rPr>
              <w:t>日以来，在现投标单位负责或参与完成</w:t>
            </w:r>
            <w:r>
              <w:rPr>
                <w:rFonts w:hint="eastAsia" w:eastAsia="宋体"/>
                <w:iCs/>
                <w:color w:val="auto"/>
                <w:highlight w:val="none"/>
              </w:rPr>
              <w:t>工程</w:t>
            </w:r>
            <w:r>
              <w:rPr>
                <w:rFonts w:hint="eastAsia" w:ascii="宋体" w:hAnsi="宋体" w:eastAsia="宋体" w:cs="宋体"/>
                <w:iCs/>
                <w:color w:val="auto"/>
                <w:highlight w:val="none"/>
                <w:lang w:bidi="ar"/>
              </w:rPr>
              <w:t>评审</w:t>
            </w:r>
            <w:r>
              <w:rPr>
                <w:rFonts w:hint="eastAsia" w:ascii="宋体" w:hAnsi="宋体" w:eastAsia="宋体" w:cs="宋体"/>
                <w:iCs/>
                <w:color w:val="auto"/>
                <w:highlight w:val="none"/>
                <w:lang w:val="en-US" w:eastAsia="zh-CN" w:bidi="ar"/>
              </w:rPr>
              <w:t>或审计</w:t>
            </w:r>
            <w:r>
              <w:rPr>
                <w:rFonts w:hint="eastAsia" w:ascii="宋体" w:hAnsi="宋体" w:eastAsia="宋体" w:cs="宋体"/>
                <w:iCs/>
                <w:color w:val="auto"/>
                <w:highlight w:val="none"/>
                <w:lang w:bidi="ar"/>
              </w:rPr>
              <w:t>业务业绩的，每提供</w:t>
            </w:r>
            <w:r>
              <w:rPr>
                <w:rFonts w:eastAsia="宋体"/>
                <w:iCs/>
                <w:color w:val="auto"/>
                <w:highlight w:val="none"/>
                <w:lang w:bidi="ar"/>
              </w:rPr>
              <w:t>1</w:t>
            </w:r>
            <w:r>
              <w:rPr>
                <w:rFonts w:hint="eastAsia" w:ascii="宋体" w:hAnsi="宋体" w:eastAsia="宋体" w:cs="宋体"/>
                <w:iCs/>
                <w:color w:val="auto"/>
                <w:highlight w:val="none"/>
                <w:lang w:bidi="ar"/>
              </w:rPr>
              <w:t>个人员的业绩得</w:t>
            </w:r>
            <w:r>
              <w:rPr>
                <w:rFonts w:eastAsia="宋体"/>
                <w:iCs/>
                <w:color w:val="auto"/>
                <w:highlight w:val="none"/>
                <w:lang w:bidi="ar"/>
              </w:rPr>
              <w:t>1</w:t>
            </w:r>
            <w:r>
              <w:rPr>
                <w:rFonts w:hint="eastAsia" w:ascii="宋体" w:hAnsi="宋体" w:eastAsia="宋体" w:cs="宋体"/>
                <w:iCs/>
                <w:color w:val="auto"/>
                <w:highlight w:val="none"/>
                <w:lang w:bidi="ar"/>
              </w:rPr>
              <w:t>分；该项最高得</w:t>
            </w:r>
            <w:r>
              <w:rPr>
                <w:rFonts w:hint="eastAsia" w:eastAsia="宋体"/>
                <w:iCs/>
                <w:color w:val="auto"/>
                <w:highlight w:val="none"/>
                <w:lang w:bidi="ar"/>
              </w:rPr>
              <w:t>10</w:t>
            </w:r>
            <w:r>
              <w:rPr>
                <w:rFonts w:hint="eastAsia" w:ascii="宋体" w:hAnsi="宋体" w:eastAsia="宋体" w:cs="宋体"/>
                <w:iCs/>
                <w:color w:val="auto"/>
                <w:highlight w:val="none"/>
                <w:lang w:bidi="ar"/>
              </w:rPr>
              <w:t>分。</w:t>
            </w:r>
          </w:p>
          <w:p w14:paraId="4D337CC1">
            <w:pPr>
              <w:spacing w:line="420" w:lineRule="exact"/>
              <w:rPr>
                <w:rFonts w:eastAsia="宋体"/>
                <w:b/>
                <w:bCs/>
                <w:iCs/>
                <w:color w:val="auto"/>
                <w:highlight w:val="none"/>
              </w:rPr>
            </w:pPr>
            <w:r>
              <w:rPr>
                <w:rFonts w:hint="eastAsia" w:ascii="宋体" w:hAnsi="宋体" w:eastAsia="宋体" w:cs="宋体"/>
                <w:b/>
                <w:bCs/>
                <w:iCs/>
                <w:color w:val="auto"/>
                <w:highlight w:val="none"/>
                <w:lang w:bidi="ar"/>
              </w:rPr>
              <w:t>注：</w:t>
            </w:r>
          </w:p>
          <w:p w14:paraId="37A7639F">
            <w:pPr>
              <w:spacing w:line="420" w:lineRule="exact"/>
              <w:rPr>
                <w:rFonts w:eastAsia="宋体"/>
                <w:iCs/>
                <w:color w:val="auto"/>
                <w:highlight w:val="none"/>
                <w:lang w:bidi="ar"/>
              </w:rPr>
            </w:pPr>
            <w:r>
              <w:rPr>
                <w:rFonts w:eastAsia="宋体"/>
                <w:iCs/>
                <w:color w:val="auto"/>
                <w:highlight w:val="none"/>
                <w:lang w:bidi="ar"/>
              </w:rPr>
              <w:t>1.</w:t>
            </w:r>
            <w:r>
              <w:rPr>
                <w:rFonts w:hint="eastAsia" w:eastAsia="宋体"/>
                <w:iCs/>
                <w:color w:val="auto"/>
                <w:highlight w:val="none"/>
                <w:lang w:bidi="ar"/>
              </w:rPr>
              <w:t>此处人员为“本表第2项人员配备”的人员。如不是“第2项人员配备”中的人员，不得分；</w:t>
            </w:r>
          </w:p>
          <w:p w14:paraId="1A23B9E9">
            <w:pPr>
              <w:spacing w:line="420" w:lineRule="exact"/>
              <w:rPr>
                <w:rFonts w:ascii="宋体" w:hAnsi="宋体" w:eastAsia="宋体" w:cs="宋体"/>
                <w:iCs/>
                <w:color w:val="auto"/>
                <w:highlight w:val="none"/>
                <w:lang w:bidi="ar"/>
              </w:rPr>
            </w:pPr>
            <w:r>
              <w:rPr>
                <w:rFonts w:hint="eastAsia" w:ascii="宋体" w:hAnsi="宋体" w:eastAsia="宋体" w:cs="宋体"/>
                <w:iCs/>
                <w:color w:val="auto"/>
                <w:highlight w:val="none"/>
                <w:lang w:bidi="ar"/>
              </w:rPr>
              <w:t>2.人员业绩须提供“①相关委托评审服务合同；②评审</w:t>
            </w:r>
            <w:r>
              <w:rPr>
                <w:rFonts w:hint="eastAsia" w:ascii="宋体" w:hAnsi="宋体" w:eastAsia="宋体" w:cs="宋体"/>
                <w:iCs/>
                <w:color w:val="auto"/>
                <w:highlight w:val="none"/>
                <w:lang w:val="en-US" w:eastAsia="zh-CN" w:bidi="ar"/>
              </w:rPr>
              <w:t>或审计</w:t>
            </w:r>
            <w:r>
              <w:rPr>
                <w:rFonts w:hint="eastAsia" w:ascii="宋体" w:hAnsi="宋体" w:eastAsia="宋体" w:cs="宋体"/>
                <w:iCs/>
                <w:color w:val="auto"/>
                <w:highlight w:val="none"/>
                <w:lang w:bidi="ar"/>
              </w:rPr>
              <w:t>报告</w:t>
            </w:r>
          </w:p>
          <w:p w14:paraId="66250DC3">
            <w:pPr>
              <w:spacing w:line="420" w:lineRule="exact"/>
              <w:rPr>
                <w:rFonts w:ascii="宋体" w:hAnsi="宋体" w:eastAsia="宋体" w:cs="宋体"/>
                <w:iCs/>
                <w:color w:val="auto"/>
                <w:highlight w:val="none"/>
                <w:lang w:bidi="ar"/>
              </w:rPr>
            </w:pPr>
            <w:r>
              <w:rPr>
                <w:rFonts w:hint="eastAsia" w:ascii="宋体" w:hAnsi="宋体" w:eastAsia="宋体" w:cs="宋体"/>
                <w:iCs/>
                <w:color w:val="auto"/>
                <w:highlight w:val="none"/>
                <w:lang w:bidi="ar"/>
              </w:rPr>
              <w:t>若①或②材料中未明确项目组成员，则须增加提供与②材料一致的经相关委托方盖章确认的证明材料。</w:t>
            </w:r>
          </w:p>
          <w:p w14:paraId="2E7A7837">
            <w:pPr>
              <w:spacing w:line="420" w:lineRule="exact"/>
              <w:rPr>
                <w:rFonts w:eastAsia="宋体"/>
                <w:iCs/>
                <w:color w:val="auto"/>
                <w:highlight w:val="none"/>
              </w:rPr>
            </w:pPr>
            <w:r>
              <w:rPr>
                <w:rFonts w:hint="eastAsia" w:ascii="宋体" w:hAnsi="宋体" w:eastAsia="宋体" w:cs="宋体"/>
                <w:iCs/>
                <w:color w:val="auto"/>
                <w:highlight w:val="none"/>
                <w:lang w:bidi="ar"/>
              </w:rPr>
              <w:t>3.以上所有人员业绩不重复得分，</w:t>
            </w:r>
            <w:r>
              <w:rPr>
                <w:rFonts w:eastAsia="宋体"/>
                <w:iCs/>
                <w:color w:val="auto"/>
                <w:highlight w:val="none"/>
                <w:lang w:bidi="ar"/>
              </w:rPr>
              <w:t>1</w:t>
            </w:r>
            <w:r>
              <w:rPr>
                <w:rFonts w:hint="eastAsia" w:ascii="宋体" w:hAnsi="宋体" w:eastAsia="宋体" w:cs="宋体"/>
                <w:iCs/>
                <w:color w:val="auto"/>
                <w:highlight w:val="none"/>
                <w:lang w:bidi="ar"/>
              </w:rPr>
              <w:t>人最高得</w:t>
            </w:r>
            <w:r>
              <w:rPr>
                <w:rFonts w:eastAsia="宋体"/>
                <w:iCs/>
                <w:color w:val="auto"/>
                <w:highlight w:val="none"/>
                <w:lang w:bidi="ar"/>
              </w:rPr>
              <w:t>1</w:t>
            </w:r>
            <w:r>
              <w:rPr>
                <w:rFonts w:hint="eastAsia" w:ascii="宋体" w:hAnsi="宋体" w:eastAsia="宋体" w:cs="宋体"/>
                <w:iCs/>
                <w:color w:val="auto"/>
                <w:highlight w:val="none"/>
                <w:lang w:bidi="ar"/>
              </w:rPr>
              <w:t>分；</w:t>
            </w:r>
          </w:p>
          <w:p w14:paraId="2E0697A3">
            <w:pPr>
              <w:spacing w:line="420" w:lineRule="exact"/>
              <w:rPr>
                <w:rFonts w:eastAsia="宋体"/>
                <w:iCs/>
                <w:color w:val="auto"/>
                <w:highlight w:val="none"/>
              </w:rPr>
            </w:pPr>
            <w:r>
              <w:rPr>
                <w:rFonts w:hint="eastAsia" w:eastAsia="宋体"/>
                <w:b/>
                <w:bCs/>
                <w:iCs/>
                <w:color w:val="auto"/>
                <w:highlight w:val="none"/>
                <w:lang w:bidi="ar"/>
              </w:rPr>
              <w:t>4</w:t>
            </w:r>
            <w:r>
              <w:rPr>
                <w:rFonts w:eastAsia="宋体"/>
                <w:b/>
                <w:bCs/>
                <w:iCs/>
                <w:color w:val="auto"/>
                <w:highlight w:val="none"/>
                <w:lang w:bidi="ar"/>
              </w:rPr>
              <w:t>.</w:t>
            </w:r>
            <w:r>
              <w:rPr>
                <w:rFonts w:hint="eastAsia" w:ascii="宋体" w:hAnsi="宋体" w:eastAsia="宋体" w:cs="宋体"/>
                <w:b/>
                <w:bCs/>
                <w:iCs/>
                <w:color w:val="auto"/>
                <w:highlight w:val="none"/>
                <w:lang w:bidi="ar"/>
              </w:rPr>
              <w:t>项目组成员业绩可与企业业绩重复得分，但项目负责人业绩与与企业业绩不重复得分</w:t>
            </w:r>
            <w:r>
              <w:rPr>
                <w:rFonts w:hint="eastAsia" w:ascii="宋体" w:hAnsi="宋体" w:eastAsia="宋体" w:cs="宋体"/>
                <w:iCs/>
                <w:color w:val="auto"/>
                <w:highlight w:val="none"/>
                <w:lang w:bidi="ar"/>
              </w:rPr>
              <w:t>；</w:t>
            </w:r>
          </w:p>
          <w:p w14:paraId="5F2A29FC">
            <w:pPr>
              <w:spacing w:line="420" w:lineRule="exact"/>
              <w:rPr>
                <w:rFonts w:eastAsia="宋体"/>
                <w:iCs/>
                <w:color w:val="auto"/>
                <w:highlight w:val="none"/>
              </w:rPr>
            </w:pPr>
            <w:r>
              <w:rPr>
                <w:rFonts w:hint="eastAsia" w:eastAsia="宋体"/>
                <w:iCs/>
                <w:color w:val="auto"/>
                <w:highlight w:val="none"/>
                <w:lang w:bidi="ar"/>
              </w:rPr>
              <w:t>5</w:t>
            </w:r>
            <w:r>
              <w:rPr>
                <w:rFonts w:eastAsia="宋体"/>
                <w:iCs/>
                <w:color w:val="auto"/>
                <w:highlight w:val="none"/>
                <w:lang w:bidi="ar"/>
              </w:rPr>
              <w:t>.</w:t>
            </w:r>
            <w:r>
              <w:rPr>
                <w:rFonts w:hint="eastAsia" w:ascii="宋体" w:hAnsi="宋体" w:eastAsia="宋体" w:cs="宋体"/>
                <w:iCs/>
                <w:color w:val="auto"/>
                <w:highlight w:val="none"/>
                <w:lang w:bidi="ar"/>
              </w:rPr>
              <w:t>供应商应当提供填列的</w:t>
            </w:r>
            <w:r>
              <w:rPr>
                <w:rFonts w:hint="eastAsia" w:ascii="宋体" w:hAnsi="宋体" w:eastAsia="宋体" w:cs="宋体"/>
                <w:b/>
                <w:bCs/>
                <w:iCs/>
                <w:color w:val="auto"/>
                <w:highlight w:val="none"/>
                <w:lang w:bidi="ar"/>
              </w:rPr>
              <w:t>《人员业绩一览表》（格式见附件</w:t>
            </w:r>
            <w:r>
              <w:rPr>
                <w:rFonts w:eastAsia="宋体"/>
                <w:b/>
                <w:bCs/>
                <w:iCs/>
                <w:color w:val="auto"/>
                <w:highlight w:val="none"/>
                <w:lang w:bidi="ar"/>
              </w:rPr>
              <w:t>17</w:t>
            </w:r>
            <w:r>
              <w:rPr>
                <w:rFonts w:hint="eastAsia" w:ascii="宋体" w:hAnsi="宋体" w:eastAsia="宋体" w:cs="宋体"/>
                <w:b/>
                <w:bCs/>
                <w:iCs/>
                <w:color w:val="auto"/>
                <w:highlight w:val="none"/>
                <w:lang w:bidi="ar"/>
              </w:rPr>
              <w:t>，不填列不得分。）</w:t>
            </w:r>
            <w:r>
              <w:rPr>
                <w:rFonts w:hint="eastAsia" w:ascii="宋体" w:hAnsi="宋体" w:eastAsia="宋体" w:cs="宋体"/>
                <w:iCs/>
                <w:color w:val="auto"/>
                <w:highlight w:val="none"/>
                <w:lang w:bidi="ar"/>
              </w:rPr>
              <w:t>及按规定提供的证明材料。</w:t>
            </w:r>
          </w:p>
          <w:p w14:paraId="67A838EA">
            <w:pPr>
              <w:spacing w:line="420" w:lineRule="exact"/>
              <w:rPr>
                <w:rFonts w:eastAsia="宋体"/>
                <w:iCs/>
                <w:color w:val="auto"/>
                <w:highlight w:val="none"/>
              </w:rPr>
            </w:pPr>
            <w:r>
              <w:rPr>
                <w:rFonts w:hint="eastAsia" w:eastAsia="宋体"/>
                <w:iCs/>
                <w:color w:val="auto"/>
                <w:highlight w:val="none"/>
                <w:lang w:bidi="ar"/>
              </w:rPr>
              <w:t>6</w:t>
            </w:r>
            <w:r>
              <w:rPr>
                <w:rFonts w:eastAsia="宋体"/>
                <w:iCs/>
                <w:color w:val="auto"/>
                <w:highlight w:val="none"/>
                <w:lang w:bidi="ar"/>
              </w:rPr>
              <w:t>.</w:t>
            </w:r>
            <w:r>
              <w:rPr>
                <w:rFonts w:hint="eastAsia" w:ascii="宋体" w:hAnsi="宋体" w:eastAsia="宋体" w:cs="宋体"/>
                <w:iCs/>
                <w:color w:val="auto"/>
                <w:highlight w:val="none"/>
                <w:lang w:bidi="ar"/>
              </w:rPr>
              <w:t>所有上传的材料须加盖供应商</w:t>
            </w:r>
            <w:r>
              <w:rPr>
                <w:rFonts w:eastAsia="宋体"/>
                <w:iCs/>
                <w:color w:val="auto"/>
                <w:highlight w:val="none"/>
                <w:lang w:bidi="ar"/>
              </w:rPr>
              <w:t>CA</w:t>
            </w:r>
            <w:r>
              <w:rPr>
                <w:rFonts w:hint="eastAsia" w:ascii="宋体" w:hAnsi="宋体" w:eastAsia="宋体" w:cs="宋体"/>
                <w:iCs/>
                <w:color w:val="auto"/>
                <w:highlight w:val="none"/>
                <w:lang w:bidi="ar"/>
              </w:rPr>
              <w:t>公章，否则不得分。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CD0945">
            <w:pPr>
              <w:spacing w:line="420" w:lineRule="exact"/>
              <w:jc w:val="center"/>
              <w:rPr>
                <w:rFonts w:eastAsia="宋体"/>
                <w:bCs/>
                <w:color w:val="auto"/>
                <w:highlight w:val="none"/>
              </w:rPr>
            </w:pPr>
            <w:r>
              <w:rPr>
                <w:rFonts w:eastAsia="宋体"/>
                <w:bCs/>
                <w:color w:val="auto"/>
                <w:highlight w:val="none"/>
                <w:lang w:bidi="ar"/>
              </w:rPr>
              <w:t>1</w:t>
            </w:r>
            <w:r>
              <w:rPr>
                <w:rFonts w:hint="eastAsia" w:eastAsia="宋体"/>
                <w:bCs/>
                <w:color w:val="auto"/>
                <w:highlight w:val="none"/>
                <w:lang w:bidi="ar"/>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C1AA40">
            <w:pPr>
              <w:spacing w:line="420" w:lineRule="exact"/>
              <w:jc w:val="center"/>
              <w:rPr>
                <w:rFonts w:eastAsia="宋体"/>
                <w:bCs/>
                <w:color w:val="auto"/>
                <w:highlight w:val="none"/>
              </w:rPr>
            </w:pPr>
            <w:r>
              <w:rPr>
                <w:rFonts w:hint="eastAsia" w:ascii="宋体" w:hAnsi="宋体" w:eastAsia="宋体" w:cs="宋体"/>
                <w:bCs/>
                <w:color w:val="auto"/>
                <w:highlight w:val="none"/>
                <w:lang w:bidi="ar"/>
              </w:rPr>
              <w:t>客观分</w:t>
            </w:r>
          </w:p>
        </w:tc>
      </w:tr>
    </w:tbl>
    <w:p w14:paraId="711549F0">
      <w:pPr>
        <w:spacing w:line="420" w:lineRule="exact"/>
        <w:ind w:firstLine="488"/>
        <w:rPr>
          <w:rFonts w:eastAsia="宋体"/>
          <w:b/>
          <w:color w:val="auto"/>
          <w:highlight w:val="none"/>
        </w:rPr>
      </w:pPr>
      <w:r>
        <w:rPr>
          <w:rFonts w:hint="eastAsia" w:eastAsia="宋体"/>
          <w:b/>
          <w:color w:val="auto"/>
          <w:highlight w:val="none"/>
        </w:rPr>
        <w:t>注：</w:t>
      </w:r>
    </w:p>
    <w:p w14:paraId="6D3DED7F">
      <w:pPr>
        <w:spacing w:line="420" w:lineRule="exact"/>
        <w:ind w:firstLine="488"/>
        <w:rPr>
          <w:rFonts w:eastAsia="宋体"/>
          <w:bCs/>
          <w:color w:val="auto"/>
          <w:highlight w:val="none"/>
        </w:rPr>
      </w:pPr>
      <w:r>
        <w:rPr>
          <w:rFonts w:hint="eastAsia" w:eastAsia="宋体"/>
          <w:bCs/>
          <w:color w:val="auto"/>
          <w:highlight w:val="none"/>
        </w:rPr>
        <w:t>请响应供应商制作征集响应文件时，应保证图片、文字材料的完整、清晰可辨，任何原因导致评委看不清楚或无法查看，后果由供应商自负。</w:t>
      </w:r>
    </w:p>
    <w:bookmarkEnd w:id="150"/>
    <w:p w14:paraId="0A3A7AD2">
      <w:pPr>
        <w:spacing w:line="420" w:lineRule="exact"/>
        <w:ind w:firstLine="488"/>
        <w:outlineLvl w:val="1"/>
        <w:rPr>
          <w:rFonts w:eastAsia="宋体"/>
          <w:b/>
          <w:color w:val="auto"/>
          <w:highlight w:val="none"/>
        </w:rPr>
      </w:pPr>
      <w:r>
        <w:rPr>
          <w:rFonts w:hint="eastAsia" w:eastAsia="宋体"/>
          <w:b/>
          <w:color w:val="auto"/>
          <w:highlight w:val="none"/>
        </w:rPr>
        <w:t>四、其他</w:t>
      </w:r>
    </w:p>
    <w:p w14:paraId="59E3A94B">
      <w:pPr>
        <w:spacing w:line="420" w:lineRule="exact"/>
        <w:ind w:firstLine="485"/>
        <w:rPr>
          <w:rFonts w:eastAsia="宋体"/>
          <w:color w:val="auto"/>
          <w:highlight w:val="none"/>
        </w:rPr>
      </w:pPr>
      <w:r>
        <w:rPr>
          <w:rFonts w:hint="eastAsia" w:eastAsia="宋体"/>
          <w:color w:val="auto"/>
          <w:highlight w:val="none"/>
        </w:rPr>
        <w:t>1.评审时，评审小组会评委成员对评标细则若有争议，由评委成员集体讨论确定并对未尽情况有最终解释权。评委成员对需要共同认定的事项存在争议的，应当按照少数服从多数的原则做出结论。持不同意见的评委成员应当在评审报告上签署不同意见及理由，否则视为同意评审报告。</w:t>
      </w:r>
    </w:p>
    <w:p w14:paraId="09B21401">
      <w:pPr>
        <w:spacing w:line="420" w:lineRule="exact"/>
        <w:ind w:firstLine="485"/>
        <w:rPr>
          <w:rFonts w:eastAsia="宋体"/>
          <w:color w:val="auto"/>
          <w:highlight w:val="none"/>
        </w:rPr>
        <w:sectPr>
          <w:pgSz w:w="11906" w:h="16838"/>
          <w:pgMar w:top="851" w:right="851" w:bottom="851" w:left="1134" w:header="567" w:footer="471" w:gutter="0"/>
          <w:cols w:space="425" w:num="1"/>
          <w:docGrid w:linePitch="360" w:charSpace="0"/>
        </w:sectPr>
      </w:pPr>
      <w:r>
        <w:rPr>
          <w:rFonts w:hint="eastAsia" w:eastAsia="宋体"/>
          <w:color w:val="auto"/>
          <w:highlight w:val="none"/>
        </w:rPr>
        <w:t>2.当入围供应商无正当理由放弃入围，被查实存在影响入围结果的违法行为等情形的，征集人有权按照政府采购相关法律法规的规定对其采取惩戒措施，包含但不限于列入采购失信人名单等措施。</w:t>
      </w:r>
    </w:p>
    <w:p w14:paraId="0D883BE9">
      <w:pPr>
        <w:tabs>
          <w:tab w:val="left" w:pos="1050"/>
          <w:tab w:val="right" w:leader="dot" w:pos="9402"/>
        </w:tabs>
        <w:spacing w:line="600" w:lineRule="exact"/>
        <w:jc w:val="center"/>
        <w:outlineLvl w:val="0"/>
        <w:rPr>
          <w:rFonts w:eastAsia="宋体"/>
          <w:b/>
          <w:bCs/>
          <w:color w:val="auto"/>
          <w:sz w:val="36"/>
          <w:szCs w:val="36"/>
          <w:highlight w:val="none"/>
        </w:rPr>
      </w:pPr>
      <w:r>
        <w:rPr>
          <w:rFonts w:hint="eastAsia" w:eastAsia="宋体" w:cs="宋体"/>
          <w:b/>
          <w:bCs/>
          <w:color w:val="auto"/>
          <w:sz w:val="36"/>
          <w:szCs w:val="36"/>
          <w:highlight w:val="none"/>
        </w:rPr>
        <w:t>第五章 框架协议文本</w:t>
      </w:r>
    </w:p>
    <w:p w14:paraId="27511EF9">
      <w:pPr>
        <w:tabs>
          <w:tab w:val="left" w:pos="1050"/>
          <w:tab w:val="right" w:leader="dot" w:pos="9402"/>
        </w:tabs>
        <w:spacing w:before="120" w:after="240" w:line="520" w:lineRule="exact"/>
        <w:jc w:val="center"/>
        <w:outlineLvl w:val="1"/>
        <w:rPr>
          <w:rFonts w:eastAsia="宋体" w:cs="宋体"/>
          <w:b/>
          <w:bCs/>
          <w:color w:val="auto"/>
          <w:sz w:val="28"/>
          <w:szCs w:val="28"/>
          <w:highlight w:val="none"/>
        </w:rPr>
      </w:pPr>
      <w:bookmarkStart w:id="163" w:name="_Toc94585343"/>
      <w:bookmarkStart w:id="164" w:name="_Toc363573858"/>
      <w:r>
        <w:rPr>
          <w:rFonts w:hint="eastAsia" w:eastAsia="宋体" w:cs="宋体"/>
          <w:b/>
          <w:bCs/>
          <w:color w:val="auto"/>
          <w:sz w:val="28"/>
          <w:szCs w:val="28"/>
          <w:highlight w:val="none"/>
        </w:rPr>
        <w:t>如东县框架协议文本（服务）（框架协议编号）</w:t>
      </w:r>
    </w:p>
    <w:p w14:paraId="0E018597">
      <w:pPr>
        <w:spacing w:line="420" w:lineRule="exact"/>
        <w:rPr>
          <w:rFonts w:eastAsia="宋体" w:cs="宋体"/>
          <w:color w:val="auto"/>
          <w:highlight w:val="none"/>
        </w:rPr>
      </w:pPr>
      <w:r>
        <w:rPr>
          <w:rFonts w:hint="eastAsia" w:eastAsia="宋体" w:cs="宋体"/>
          <w:color w:val="auto"/>
          <w:highlight w:val="none"/>
        </w:rPr>
        <w:t>项目名称：</w:t>
      </w:r>
    </w:p>
    <w:p w14:paraId="66D241E8">
      <w:pPr>
        <w:spacing w:line="420" w:lineRule="exact"/>
        <w:rPr>
          <w:rFonts w:eastAsia="宋体"/>
          <w:color w:val="auto"/>
          <w:highlight w:val="none"/>
        </w:rPr>
      </w:pPr>
      <w:r>
        <w:rPr>
          <w:rFonts w:hint="eastAsia" w:eastAsia="宋体" w:cs="宋体"/>
          <w:color w:val="auto"/>
          <w:highlight w:val="none"/>
        </w:rPr>
        <w:t>项目编号：</w:t>
      </w:r>
    </w:p>
    <w:p w14:paraId="2AE05F38">
      <w:pPr>
        <w:spacing w:line="420" w:lineRule="exact"/>
        <w:rPr>
          <w:rFonts w:eastAsia="宋体" w:cs="宋体"/>
          <w:color w:val="auto"/>
          <w:highlight w:val="none"/>
        </w:rPr>
      </w:pPr>
      <w:r>
        <w:rPr>
          <w:rFonts w:hint="eastAsia" w:eastAsia="宋体" w:cs="宋体"/>
          <w:color w:val="auto"/>
          <w:highlight w:val="none"/>
        </w:rPr>
        <w:t>甲方：（征集人）_________</w:t>
      </w:r>
    </w:p>
    <w:p w14:paraId="00C90928">
      <w:pPr>
        <w:spacing w:line="420" w:lineRule="exact"/>
        <w:rPr>
          <w:rFonts w:eastAsia="宋体"/>
          <w:color w:val="auto"/>
          <w:highlight w:val="none"/>
          <w:u w:val="single"/>
        </w:rPr>
      </w:pPr>
      <w:r>
        <w:rPr>
          <w:rFonts w:hint="eastAsia" w:eastAsia="宋体" w:cs="宋体"/>
          <w:color w:val="auto"/>
          <w:highlight w:val="none"/>
        </w:rPr>
        <w:t>乙方：（入围供应商）_________：</w:t>
      </w:r>
    </w:p>
    <w:p w14:paraId="43D393D5">
      <w:pPr>
        <w:spacing w:line="420" w:lineRule="exact"/>
        <w:ind w:firstLine="480"/>
        <w:rPr>
          <w:rFonts w:eastAsia="宋体" w:cs="宋体"/>
          <w:b/>
          <w:color w:val="auto"/>
          <w:highlight w:val="none"/>
        </w:rPr>
      </w:pPr>
      <w:r>
        <w:rPr>
          <w:rFonts w:hint="eastAsia" w:eastAsia="宋体" w:cs="宋体"/>
          <w:color w:val="auto"/>
          <w:highlight w:val="none"/>
        </w:rPr>
        <w:t>甲、乙双方根据</w:t>
      </w:r>
      <w:r>
        <w:rPr>
          <w:rFonts w:hint="eastAsia" w:eastAsia="宋体" w:cs="宋体"/>
          <w:color w:val="auto"/>
          <w:highlight w:val="none"/>
          <w:u w:val="single"/>
        </w:rPr>
        <w:t xml:space="preserve">                                            </w:t>
      </w:r>
      <w:r>
        <w:rPr>
          <w:rFonts w:hint="eastAsia" w:eastAsia="宋体" w:cs="宋体"/>
          <w:color w:val="auto"/>
          <w:highlight w:val="none"/>
        </w:rPr>
        <w:t>项目采购的结果，签署本文本。</w:t>
      </w:r>
    </w:p>
    <w:p w14:paraId="2DBBBA99">
      <w:pPr>
        <w:spacing w:line="420" w:lineRule="exact"/>
        <w:ind w:firstLine="480"/>
        <w:rPr>
          <w:rFonts w:eastAsia="宋体" w:cs="宋体"/>
          <w:b/>
          <w:color w:val="auto"/>
          <w:highlight w:val="none"/>
        </w:rPr>
      </w:pPr>
      <w:r>
        <w:rPr>
          <w:rFonts w:hint="eastAsia" w:eastAsia="宋体" w:cs="宋体"/>
          <w:b/>
          <w:color w:val="auto"/>
          <w:highlight w:val="none"/>
        </w:rPr>
        <w:t>一、项目基本情况</w:t>
      </w:r>
    </w:p>
    <w:p w14:paraId="6C18C382">
      <w:pPr>
        <w:spacing w:line="420" w:lineRule="exact"/>
        <w:ind w:firstLine="480"/>
        <w:rPr>
          <w:rFonts w:eastAsia="宋体" w:cs="宋体"/>
          <w:color w:val="auto"/>
          <w:highlight w:val="none"/>
          <w:u w:val="single"/>
        </w:rPr>
      </w:pPr>
      <w:r>
        <w:rPr>
          <w:rFonts w:hint="eastAsia" w:eastAsia="宋体" w:cs="宋体"/>
          <w:color w:val="auto"/>
          <w:highlight w:val="none"/>
        </w:rPr>
        <w:t>1.1 采购需求：</w:t>
      </w:r>
      <w:r>
        <w:rPr>
          <w:rFonts w:hint="eastAsia" w:eastAsia="宋体" w:cs="宋体"/>
          <w:color w:val="auto"/>
          <w:highlight w:val="none"/>
          <w:u w:val="single"/>
        </w:rPr>
        <w:t>见征集文件需求</w:t>
      </w:r>
    </w:p>
    <w:p w14:paraId="7F6BC0E0">
      <w:pPr>
        <w:spacing w:line="420" w:lineRule="exact"/>
        <w:ind w:firstLine="480"/>
        <w:rPr>
          <w:rFonts w:eastAsia="宋体" w:cs="宋体"/>
          <w:color w:val="auto"/>
          <w:highlight w:val="none"/>
          <w:u w:val="single"/>
        </w:rPr>
      </w:pPr>
      <w:r>
        <w:rPr>
          <w:rFonts w:hint="eastAsia" w:eastAsia="宋体" w:cs="宋体"/>
          <w:color w:val="auto"/>
          <w:highlight w:val="none"/>
        </w:rPr>
        <w:t>1.2 服务最高限制单价：</w:t>
      </w:r>
      <w:r>
        <w:rPr>
          <w:rFonts w:hint="eastAsia" w:eastAsia="宋体" w:cs="宋体"/>
          <w:color w:val="auto"/>
          <w:highlight w:val="none"/>
          <w:u w:val="single"/>
        </w:rPr>
        <w:t>见征集文件</w:t>
      </w:r>
    </w:p>
    <w:p w14:paraId="41271765">
      <w:pPr>
        <w:spacing w:line="420" w:lineRule="exact"/>
        <w:ind w:firstLine="480"/>
        <w:rPr>
          <w:rFonts w:eastAsia="宋体" w:cs="宋体"/>
          <w:color w:val="auto"/>
          <w:highlight w:val="none"/>
          <w:u w:val="single"/>
        </w:rPr>
      </w:pPr>
      <w:r>
        <w:rPr>
          <w:rFonts w:hint="eastAsia" w:eastAsia="宋体" w:cs="宋体"/>
          <w:color w:val="auto"/>
          <w:highlight w:val="none"/>
        </w:rPr>
        <w:t>1.3适用本次框架协议的征集人或服务对象范围：</w:t>
      </w:r>
      <w:r>
        <w:rPr>
          <w:rFonts w:hint="eastAsia" w:eastAsia="宋体" w:cs="宋体"/>
          <w:color w:val="auto"/>
          <w:highlight w:val="none"/>
          <w:u w:val="single"/>
        </w:rPr>
        <w:t>如东县财政局</w:t>
      </w:r>
    </w:p>
    <w:p w14:paraId="11567C12">
      <w:pPr>
        <w:spacing w:line="420" w:lineRule="exact"/>
        <w:ind w:firstLine="480"/>
        <w:rPr>
          <w:rFonts w:eastAsia="宋体" w:cs="宋体"/>
          <w:color w:val="auto"/>
          <w:highlight w:val="none"/>
        </w:rPr>
      </w:pPr>
      <w:r>
        <w:rPr>
          <w:rFonts w:hint="eastAsia" w:eastAsia="宋体" w:cs="宋体"/>
          <w:color w:val="auto"/>
          <w:highlight w:val="none"/>
        </w:rPr>
        <w:t>1.4 履行合同的地域范围：</w:t>
      </w:r>
      <w:r>
        <w:rPr>
          <w:rFonts w:hint="eastAsia" w:eastAsia="宋体" w:cs="宋体"/>
          <w:color w:val="auto"/>
          <w:highlight w:val="none"/>
          <w:u w:val="single"/>
        </w:rPr>
        <w:t>由使用单位指定</w:t>
      </w:r>
    </w:p>
    <w:p w14:paraId="025217B8">
      <w:pPr>
        <w:spacing w:line="420" w:lineRule="exact"/>
        <w:ind w:firstLine="480"/>
        <w:rPr>
          <w:rFonts w:eastAsia="宋体" w:cs="宋体"/>
          <w:b/>
          <w:color w:val="auto"/>
          <w:highlight w:val="none"/>
        </w:rPr>
      </w:pPr>
      <w:r>
        <w:rPr>
          <w:rFonts w:hint="eastAsia" w:eastAsia="宋体" w:cs="宋体"/>
          <w:b/>
          <w:color w:val="auto"/>
          <w:highlight w:val="none"/>
        </w:rPr>
        <w:t>二、第一阶段入围服务的相关信息</w:t>
      </w:r>
    </w:p>
    <w:p w14:paraId="4993A7A5">
      <w:pPr>
        <w:spacing w:line="420" w:lineRule="exact"/>
        <w:ind w:firstLine="480"/>
        <w:rPr>
          <w:rFonts w:eastAsia="宋体" w:cs="宋体"/>
          <w:color w:val="auto"/>
          <w:highlight w:val="none"/>
          <w:u w:val="single"/>
        </w:rPr>
      </w:pPr>
      <w:r>
        <w:rPr>
          <w:rFonts w:hint="eastAsia" w:eastAsia="宋体" w:cs="宋体"/>
          <w:color w:val="auto"/>
          <w:highlight w:val="none"/>
        </w:rPr>
        <w:t>2.1 入围服务详细技术规格：</w:t>
      </w:r>
      <w:r>
        <w:rPr>
          <w:rFonts w:hint="eastAsia" w:eastAsia="宋体" w:cs="宋体"/>
          <w:color w:val="auto"/>
          <w:highlight w:val="none"/>
          <w:u w:val="single"/>
        </w:rPr>
        <w:t>见响应文件</w:t>
      </w:r>
    </w:p>
    <w:p w14:paraId="5EB2CF7E">
      <w:pPr>
        <w:spacing w:line="420" w:lineRule="exact"/>
        <w:ind w:firstLine="480"/>
        <w:rPr>
          <w:rFonts w:eastAsia="宋体" w:cs="宋体"/>
          <w:color w:val="auto"/>
          <w:highlight w:val="none"/>
          <w:u w:val="single"/>
        </w:rPr>
      </w:pPr>
      <w:r>
        <w:rPr>
          <w:rFonts w:hint="eastAsia" w:eastAsia="宋体" w:cs="宋体"/>
          <w:color w:val="auto"/>
          <w:highlight w:val="none"/>
        </w:rPr>
        <w:t>2.2 服务标准：</w:t>
      </w:r>
      <w:r>
        <w:rPr>
          <w:rFonts w:hint="eastAsia" w:eastAsia="宋体" w:cs="宋体"/>
          <w:color w:val="auto"/>
          <w:highlight w:val="none"/>
          <w:u w:val="single"/>
        </w:rPr>
        <w:t>见响应文件</w:t>
      </w:r>
    </w:p>
    <w:p w14:paraId="1E5D756D">
      <w:pPr>
        <w:spacing w:line="420" w:lineRule="exact"/>
        <w:ind w:firstLine="480"/>
        <w:rPr>
          <w:rFonts w:eastAsia="宋体" w:cs="宋体"/>
          <w:color w:val="auto"/>
          <w:highlight w:val="none"/>
        </w:rPr>
      </w:pPr>
      <w:r>
        <w:rPr>
          <w:rFonts w:hint="eastAsia" w:eastAsia="宋体" w:cs="宋体"/>
          <w:color w:val="auto"/>
          <w:highlight w:val="none"/>
        </w:rPr>
        <w:t>2.3 服务协议价格：</w:t>
      </w:r>
      <w:r>
        <w:rPr>
          <w:rFonts w:hint="eastAsia" w:eastAsia="宋体" w:cs="宋体"/>
          <w:color w:val="auto"/>
          <w:highlight w:val="none"/>
          <w:u w:val="single"/>
        </w:rPr>
        <w:t>见征集文件</w:t>
      </w:r>
    </w:p>
    <w:p w14:paraId="66A280B7">
      <w:pPr>
        <w:spacing w:line="420" w:lineRule="exact"/>
        <w:ind w:firstLine="480"/>
        <w:rPr>
          <w:rFonts w:eastAsia="宋体" w:cs="宋体"/>
          <w:b/>
          <w:color w:val="auto"/>
          <w:highlight w:val="none"/>
        </w:rPr>
      </w:pPr>
      <w:r>
        <w:rPr>
          <w:rFonts w:hint="eastAsia" w:eastAsia="宋体" w:cs="宋体"/>
          <w:b/>
          <w:color w:val="auto"/>
          <w:highlight w:val="none"/>
        </w:rPr>
        <w:t>三、入围服务</w:t>
      </w:r>
      <w:bookmarkStart w:id="165" w:name="_Hlk174368446"/>
      <w:r>
        <w:rPr>
          <w:rFonts w:hint="eastAsia" w:eastAsia="宋体" w:cs="宋体"/>
          <w:b/>
          <w:color w:val="auto"/>
          <w:highlight w:val="none"/>
        </w:rPr>
        <w:t>升级换代</w:t>
      </w:r>
      <w:bookmarkEnd w:id="165"/>
      <w:r>
        <w:rPr>
          <w:rFonts w:hint="eastAsia" w:eastAsia="宋体" w:cs="宋体"/>
          <w:b/>
          <w:color w:val="auto"/>
          <w:highlight w:val="none"/>
        </w:rPr>
        <w:t>规则</w:t>
      </w:r>
    </w:p>
    <w:p w14:paraId="05DF0CE3">
      <w:pPr>
        <w:spacing w:line="420" w:lineRule="exact"/>
        <w:ind w:firstLine="480"/>
        <w:rPr>
          <w:rFonts w:eastAsia="宋体" w:cs="宋体"/>
          <w:b/>
          <w:color w:val="auto"/>
          <w:highlight w:val="none"/>
        </w:rPr>
      </w:pPr>
      <w:r>
        <w:rPr>
          <w:rFonts w:hint="eastAsia" w:eastAsia="宋体" w:cs="宋体"/>
          <w:bCs/>
          <w:color w:val="auto"/>
          <w:highlight w:val="none"/>
        </w:rPr>
        <w:t>本项目框架协议期内，不对入围服务进行升级换代。</w:t>
      </w:r>
    </w:p>
    <w:p w14:paraId="289940D2">
      <w:pPr>
        <w:spacing w:line="420" w:lineRule="exact"/>
        <w:ind w:firstLine="480"/>
        <w:rPr>
          <w:rFonts w:eastAsia="宋体" w:cs="宋体"/>
          <w:b/>
          <w:color w:val="auto"/>
          <w:highlight w:val="none"/>
        </w:rPr>
      </w:pPr>
      <w:r>
        <w:rPr>
          <w:rFonts w:hint="eastAsia" w:eastAsia="宋体" w:cs="宋体"/>
          <w:b/>
          <w:color w:val="auto"/>
          <w:highlight w:val="none"/>
        </w:rPr>
        <w:t>四、确定第二阶段成交供应商的方式</w:t>
      </w:r>
    </w:p>
    <w:p w14:paraId="130B2A4B">
      <w:pPr>
        <w:widowControl/>
        <w:pBdr>
          <w:top w:val="none" w:color="000000" w:sz="0" w:space="0"/>
          <w:left w:val="none" w:color="000000" w:sz="0" w:space="0"/>
          <w:bottom w:val="none" w:color="000000" w:sz="0" w:space="0"/>
          <w:right w:val="none" w:color="000000" w:sz="0" w:space="0"/>
        </w:pBdr>
        <w:spacing w:line="520" w:lineRule="exact"/>
        <w:ind w:firstLine="480" w:firstLineChars="200"/>
        <w:rPr>
          <w:rFonts w:eastAsia="宋体" w:cs="宋体"/>
          <w:color w:val="auto"/>
          <w:highlight w:val="none"/>
        </w:rPr>
      </w:pPr>
      <w:r>
        <w:rPr>
          <w:rFonts w:hint="eastAsia" w:eastAsia="宋体" w:cs="宋体"/>
          <w:color w:val="auto"/>
          <w:highlight w:val="none"/>
        </w:rPr>
        <w:t>确定第二阶段成交供应商的方式：</w:t>
      </w:r>
      <w:r>
        <w:rPr>
          <w:rFonts w:ascii="宋体" w:hAnsi="宋体" w:eastAsia="宋体" w:cs="宋体"/>
          <w:color w:val="auto"/>
          <w:highlight w:val="none"/>
        </w:rPr>
        <w:t>采购人依据入围服务价格、质量、经营活动中重大违法记录情况、以及服务便利性、用户评价等因素，从第一阶段入围供应商中直接选定。</w:t>
      </w:r>
    </w:p>
    <w:p w14:paraId="4AD0E0A3">
      <w:pPr>
        <w:spacing w:line="420" w:lineRule="exact"/>
        <w:ind w:firstLine="480"/>
        <w:rPr>
          <w:rFonts w:eastAsia="宋体" w:cs="宋体"/>
          <w:b/>
          <w:color w:val="auto"/>
          <w:highlight w:val="none"/>
        </w:rPr>
      </w:pPr>
      <w:r>
        <w:rPr>
          <w:rFonts w:hint="eastAsia" w:eastAsia="宋体" w:cs="宋体"/>
          <w:b/>
          <w:color w:val="auto"/>
          <w:highlight w:val="none"/>
        </w:rPr>
        <w:t>五、资金支付方式、时间和条件</w:t>
      </w:r>
    </w:p>
    <w:p w14:paraId="0B2BD397">
      <w:pPr>
        <w:spacing w:line="420" w:lineRule="exact"/>
        <w:ind w:firstLine="480"/>
        <w:rPr>
          <w:rFonts w:eastAsia="宋体" w:cs="宋体"/>
          <w:bCs/>
          <w:color w:val="auto"/>
          <w:highlight w:val="none"/>
        </w:rPr>
      </w:pPr>
      <w:r>
        <w:rPr>
          <w:rFonts w:hint="eastAsia" w:eastAsia="宋体" w:cs="宋体"/>
          <w:bCs/>
          <w:color w:val="auto"/>
          <w:highlight w:val="none"/>
        </w:rPr>
        <w:t>由采购人和入围供应商按照合同约定执行。</w:t>
      </w:r>
    </w:p>
    <w:p w14:paraId="3140AE3E">
      <w:pPr>
        <w:spacing w:line="420" w:lineRule="exact"/>
        <w:ind w:firstLine="480"/>
        <w:rPr>
          <w:rFonts w:eastAsia="宋体" w:cs="宋体"/>
          <w:b/>
          <w:color w:val="auto"/>
          <w:highlight w:val="none"/>
        </w:rPr>
      </w:pPr>
      <w:r>
        <w:rPr>
          <w:rFonts w:hint="eastAsia" w:eastAsia="宋体" w:cs="宋体"/>
          <w:b/>
          <w:color w:val="auto"/>
          <w:highlight w:val="none"/>
        </w:rPr>
        <w:t>六、框架协议期限</w:t>
      </w:r>
    </w:p>
    <w:p w14:paraId="53768C34">
      <w:pPr>
        <w:spacing w:line="420" w:lineRule="exact"/>
        <w:ind w:firstLine="480"/>
        <w:rPr>
          <w:rFonts w:eastAsia="宋体" w:cs="宋体"/>
          <w:color w:val="auto"/>
          <w:highlight w:val="none"/>
        </w:rPr>
      </w:pPr>
      <w:r>
        <w:rPr>
          <w:rFonts w:hint="eastAsia" w:eastAsia="宋体" w:cs="宋体"/>
          <w:color w:val="auto"/>
          <w:highlight w:val="none"/>
        </w:rPr>
        <w:t>两年（自框架协议签订之日起两年）。</w:t>
      </w:r>
    </w:p>
    <w:p w14:paraId="145A9699">
      <w:pPr>
        <w:spacing w:line="420" w:lineRule="exact"/>
        <w:ind w:firstLine="480"/>
        <w:rPr>
          <w:rFonts w:eastAsia="宋体" w:cs="宋体"/>
          <w:b/>
          <w:color w:val="auto"/>
          <w:highlight w:val="none"/>
        </w:rPr>
      </w:pPr>
      <w:r>
        <w:rPr>
          <w:rFonts w:hint="eastAsia" w:eastAsia="宋体" w:cs="宋体"/>
          <w:b/>
          <w:color w:val="auto"/>
          <w:highlight w:val="none"/>
        </w:rPr>
        <w:t>七、入围供应商的清退和补充规则</w:t>
      </w:r>
    </w:p>
    <w:p w14:paraId="7CD6A375">
      <w:pPr>
        <w:spacing w:line="420" w:lineRule="exact"/>
        <w:ind w:firstLine="480"/>
        <w:rPr>
          <w:rFonts w:eastAsia="宋体" w:cs="宋体"/>
          <w:color w:val="auto"/>
          <w:highlight w:val="none"/>
        </w:rPr>
      </w:pPr>
      <w:r>
        <w:rPr>
          <w:rFonts w:hint="eastAsia" w:eastAsia="宋体" w:cs="宋体"/>
          <w:color w:val="auto"/>
          <w:highlight w:val="none"/>
        </w:rPr>
        <w:t>7.1 清退规则：入围供应商存在《政府采购框架协议采购方式管理暂行办法》第十九条规定情形的，尚未签订框架协议的，取消其入围资格；已经签订框架协议的，解除与其签订的框架协议。</w:t>
      </w:r>
    </w:p>
    <w:p w14:paraId="1B0C7916">
      <w:pPr>
        <w:spacing w:line="420" w:lineRule="exact"/>
        <w:ind w:firstLine="480"/>
        <w:rPr>
          <w:rFonts w:eastAsia="宋体" w:cs="宋体"/>
          <w:color w:val="auto"/>
          <w:highlight w:val="none"/>
        </w:rPr>
      </w:pPr>
      <w:r>
        <w:rPr>
          <w:rFonts w:hint="eastAsia" w:eastAsia="宋体" w:cs="宋体"/>
          <w:color w:val="auto"/>
          <w:highlight w:val="none"/>
        </w:rPr>
        <w:t>7.2 补充规则：如出现剩余入围供应商不足入围供应商总数70%且影响框架协议执行的情形时，征集人报监管部门同意后，将进行补充征集供应商。补充征集的条件、程序、评审方法和淘汰比例与初次征集相同。补充征集遵守原框架协议的有效期。补充征集期间，原框架协议继续履行（本项目不涉及）。</w:t>
      </w:r>
    </w:p>
    <w:p w14:paraId="6F0B814E">
      <w:pPr>
        <w:spacing w:line="420" w:lineRule="exact"/>
        <w:ind w:firstLine="480"/>
        <w:rPr>
          <w:rFonts w:eastAsia="宋体" w:cs="宋体"/>
          <w:b/>
          <w:color w:val="auto"/>
          <w:highlight w:val="none"/>
        </w:rPr>
      </w:pPr>
      <w:r>
        <w:rPr>
          <w:rFonts w:hint="eastAsia" w:eastAsia="宋体" w:cs="宋体"/>
          <w:b/>
          <w:color w:val="auto"/>
          <w:highlight w:val="none"/>
        </w:rPr>
        <w:t>八、采购合同文本</w:t>
      </w:r>
    </w:p>
    <w:p w14:paraId="2D607EA1">
      <w:pPr>
        <w:spacing w:line="420" w:lineRule="exact"/>
        <w:ind w:firstLine="480"/>
        <w:rPr>
          <w:rFonts w:eastAsia="宋体" w:cs="宋体"/>
          <w:bCs/>
          <w:color w:val="auto"/>
          <w:highlight w:val="none"/>
        </w:rPr>
      </w:pPr>
      <w:r>
        <w:rPr>
          <w:rFonts w:hint="eastAsia" w:eastAsia="宋体" w:cs="宋体"/>
          <w:bCs/>
          <w:color w:val="auto"/>
          <w:highlight w:val="none"/>
        </w:rPr>
        <w:t>见“框架协议文本附件”</w:t>
      </w:r>
    </w:p>
    <w:p w14:paraId="7DEA1387">
      <w:pPr>
        <w:spacing w:line="420" w:lineRule="exact"/>
        <w:ind w:firstLine="480"/>
        <w:rPr>
          <w:rFonts w:eastAsia="宋体" w:cs="宋体"/>
          <w:color w:val="auto"/>
          <w:highlight w:val="none"/>
        </w:rPr>
      </w:pPr>
      <w:r>
        <w:rPr>
          <w:rFonts w:hint="eastAsia" w:eastAsia="宋体" w:cs="宋体"/>
          <w:b/>
          <w:color w:val="auto"/>
          <w:highlight w:val="none"/>
        </w:rPr>
        <w:t>九、甲乙双方的权利和义务</w:t>
      </w:r>
    </w:p>
    <w:p w14:paraId="21125D1A">
      <w:pPr>
        <w:spacing w:line="420" w:lineRule="exact"/>
        <w:ind w:firstLine="480"/>
        <w:rPr>
          <w:rFonts w:eastAsia="宋体" w:cs="宋体"/>
          <w:color w:val="auto"/>
          <w:highlight w:val="none"/>
        </w:rPr>
      </w:pPr>
      <w:r>
        <w:rPr>
          <w:rFonts w:hint="eastAsia" w:eastAsia="宋体" w:cs="宋体"/>
          <w:color w:val="auto"/>
          <w:highlight w:val="none"/>
        </w:rPr>
        <w:t>9.1 甲方的权利</w:t>
      </w:r>
    </w:p>
    <w:p w14:paraId="13405237">
      <w:pPr>
        <w:spacing w:line="420" w:lineRule="exact"/>
        <w:ind w:firstLine="480"/>
        <w:rPr>
          <w:rFonts w:eastAsia="宋体" w:cs="宋体"/>
          <w:color w:val="auto"/>
          <w:highlight w:val="none"/>
        </w:rPr>
      </w:pPr>
      <w:r>
        <w:rPr>
          <w:rFonts w:hint="eastAsia" w:eastAsia="宋体" w:cs="宋体"/>
          <w:color w:val="auto"/>
          <w:highlight w:val="none"/>
        </w:rPr>
        <w:t>（1）确定框架协议采购需求。</w:t>
      </w:r>
    </w:p>
    <w:p w14:paraId="29E0A87D">
      <w:pPr>
        <w:spacing w:line="420" w:lineRule="exact"/>
        <w:ind w:firstLine="480"/>
        <w:rPr>
          <w:rFonts w:eastAsia="宋体" w:cs="宋体"/>
          <w:color w:val="auto"/>
          <w:highlight w:val="none"/>
        </w:rPr>
      </w:pPr>
      <w:r>
        <w:rPr>
          <w:rFonts w:hint="eastAsia" w:eastAsia="宋体" w:cs="宋体"/>
          <w:color w:val="auto"/>
          <w:highlight w:val="none"/>
        </w:rPr>
        <w:t>（2）确定最高限制单价。</w:t>
      </w:r>
    </w:p>
    <w:p w14:paraId="45D5BCE9">
      <w:pPr>
        <w:spacing w:line="420" w:lineRule="exact"/>
        <w:ind w:firstLine="480"/>
        <w:rPr>
          <w:rFonts w:eastAsia="宋体" w:cs="宋体"/>
          <w:color w:val="auto"/>
          <w:highlight w:val="none"/>
        </w:rPr>
      </w:pPr>
      <w:r>
        <w:rPr>
          <w:rFonts w:hint="eastAsia" w:eastAsia="宋体" w:cs="宋体"/>
          <w:color w:val="auto"/>
          <w:highlight w:val="none"/>
        </w:rPr>
        <w:t>（3）确定框架协议有效期。</w:t>
      </w:r>
    </w:p>
    <w:p w14:paraId="466575AD">
      <w:pPr>
        <w:spacing w:line="420" w:lineRule="exact"/>
        <w:ind w:firstLine="480"/>
        <w:rPr>
          <w:rFonts w:eastAsia="宋体" w:cs="宋体"/>
          <w:color w:val="auto"/>
          <w:highlight w:val="none"/>
        </w:rPr>
      </w:pPr>
      <w:r>
        <w:rPr>
          <w:rFonts w:hint="eastAsia" w:eastAsia="宋体" w:cs="宋体"/>
          <w:color w:val="auto"/>
          <w:highlight w:val="none"/>
        </w:rPr>
        <w:t>（4）制定统一的采购合同文本供采购人、供应商使用，并明确要求采购人、供应商不得擅自改变框架协议约定的合同实质性条款。</w:t>
      </w:r>
    </w:p>
    <w:p w14:paraId="0CF9DB39">
      <w:pPr>
        <w:spacing w:line="420" w:lineRule="exact"/>
        <w:ind w:firstLine="480"/>
        <w:rPr>
          <w:rFonts w:eastAsia="宋体" w:cs="宋体"/>
          <w:color w:val="auto"/>
          <w:highlight w:val="none"/>
        </w:rPr>
      </w:pPr>
      <w:r>
        <w:rPr>
          <w:rFonts w:hint="eastAsia" w:eastAsia="宋体" w:cs="宋体"/>
          <w:color w:val="auto"/>
          <w:highlight w:val="none"/>
        </w:rPr>
        <w:t>（5）乙方存在《政府采购框架协议采购方式管理暂行办法》第十九条第一款规定的情形时，取消入围供应商的入围资格，或解除与其签订的框架协议。</w:t>
      </w:r>
    </w:p>
    <w:p w14:paraId="061E7404">
      <w:pPr>
        <w:spacing w:line="420" w:lineRule="exact"/>
        <w:ind w:firstLine="480"/>
        <w:rPr>
          <w:rFonts w:eastAsia="宋体" w:cs="宋体"/>
          <w:color w:val="auto"/>
          <w:highlight w:val="none"/>
        </w:rPr>
      </w:pPr>
      <w:r>
        <w:rPr>
          <w:rFonts w:hint="eastAsia" w:eastAsia="宋体" w:cs="宋体"/>
          <w:color w:val="auto"/>
          <w:highlight w:val="none"/>
        </w:rPr>
        <w:t>（6）在框架协议期内，随时对乙方履约情况进行考核。</w:t>
      </w:r>
    </w:p>
    <w:p w14:paraId="625DE36A">
      <w:pPr>
        <w:spacing w:line="420" w:lineRule="exact"/>
        <w:ind w:firstLine="480"/>
        <w:rPr>
          <w:rFonts w:eastAsia="宋体" w:cs="宋体"/>
          <w:color w:val="auto"/>
          <w:highlight w:val="none"/>
        </w:rPr>
      </w:pPr>
      <w:r>
        <w:rPr>
          <w:rFonts w:hint="eastAsia" w:eastAsia="宋体" w:cs="宋体"/>
          <w:color w:val="auto"/>
          <w:highlight w:val="none"/>
        </w:rPr>
        <w:t>9.2 甲方的义务</w:t>
      </w:r>
    </w:p>
    <w:p w14:paraId="55302234">
      <w:pPr>
        <w:spacing w:line="420" w:lineRule="exact"/>
        <w:ind w:firstLine="480"/>
        <w:rPr>
          <w:rFonts w:eastAsia="宋体" w:cs="宋体"/>
          <w:color w:val="auto"/>
          <w:highlight w:val="none"/>
        </w:rPr>
      </w:pPr>
      <w:r>
        <w:rPr>
          <w:rFonts w:hint="eastAsia" w:eastAsia="宋体" w:cs="宋体"/>
          <w:color w:val="auto"/>
          <w:highlight w:val="none"/>
        </w:rPr>
        <w:t>（1）为第二阶段合同授予提供工作便利。</w:t>
      </w:r>
    </w:p>
    <w:p w14:paraId="54B75F60">
      <w:pPr>
        <w:spacing w:line="420" w:lineRule="exact"/>
        <w:ind w:firstLine="480"/>
        <w:rPr>
          <w:rFonts w:eastAsia="宋体" w:cs="宋体"/>
          <w:color w:val="auto"/>
          <w:highlight w:val="none"/>
        </w:rPr>
      </w:pPr>
      <w:r>
        <w:rPr>
          <w:rFonts w:hint="eastAsia" w:eastAsia="宋体" w:cs="宋体"/>
          <w:color w:val="auto"/>
          <w:highlight w:val="none"/>
        </w:rPr>
        <w:t>（2）对第二阶段最高限价和需求标准执行情况进行管理。</w:t>
      </w:r>
    </w:p>
    <w:p w14:paraId="4FCEC832">
      <w:pPr>
        <w:spacing w:line="420" w:lineRule="exact"/>
        <w:ind w:firstLine="480"/>
        <w:rPr>
          <w:rFonts w:eastAsia="宋体" w:cs="宋体"/>
          <w:color w:val="auto"/>
          <w:highlight w:val="none"/>
        </w:rPr>
      </w:pPr>
      <w:r>
        <w:rPr>
          <w:rFonts w:hint="eastAsia" w:eastAsia="宋体" w:cs="宋体"/>
          <w:color w:val="auto"/>
          <w:highlight w:val="none"/>
        </w:rPr>
        <w:t>（3）对第二阶段确定成交供应商情况进行管理。</w:t>
      </w:r>
    </w:p>
    <w:p w14:paraId="69F33762">
      <w:pPr>
        <w:spacing w:line="420" w:lineRule="exact"/>
        <w:ind w:firstLine="480"/>
        <w:rPr>
          <w:rFonts w:eastAsia="宋体" w:cs="宋体"/>
          <w:color w:val="auto"/>
          <w:highlight w:val="none"/>
        </w:rPr>
      </w:pPr>
      <w:r>
        <w:rPr>
          <w:rFonts w:hint="eastAsia" w:eastAsia="宋体" w:cs="宋体"/>
          <w:color w:val="auto"/>
          <w:highlight w:val="none"/>
        </w:rPr>
        <w:t>（4）根据框架协议约定，在质量不降低的前提下，对入围供应商因服务升级换代、用新服务替代原入围服务的情形进行评审。</w:t>
      </w:r>
    </w:p>
    <w:p w14:paraId="2EC8F1CA">
      <w:pPr>
        <w:spacing w:line="420" w:lineRule="exact"/>
        <w:ind w:firstLine="480"/>
        <w:rPr>
          <w:rFonts w:eastAsia="宋体" w:cs="宋体"/>
          <w:color w:val="auto"/>
          <w:highlight w:val="none"/>
        </w:rPr>
      </w:pPr>
      <w:r>
        <w:rPr>
          <w:rFonts w:hint="eastAsia" w:eastAsia="宋体" w:cs="宋体"/>
          <w:color w:val="auto"/>
          <w:highlight w:val="none"/>
        </w:rPr>
        <w:t>（5）建立用户反馈和评价机制，接受采购人对入围供应商履行框架协议和采购合同情况的反馈与评价，并将用户反馈和评价情况向采购人公开，作为第二阶段选定成交供应商的参考。</w:t>
      </w:r>
    </w:p>
    <w:p w14:paraId="54DCD1DA">
      <w:pPr>
        <w:spacing w:line="420" w:lineRule="exact"/>
        <w:ind w:firstLine="480"/>
        <w:rPr>
          <w:rFonts w:eastAsia="宋体" w:cs="宋体"/>
          <w:b/>
          <w:bCs/>
          <w:color w:val="auto"/>
          <w:highlight w:val="none"/>
        </w:rPr>
      </w:pPr>
      <w:r>
        <w:rPr>
          <w:rFonts w:hint="eastAsia" w:eastAsia="宋体" w:cs="宋体"/>
          <w:b/>
          <w:bCs/>
          <w:color w:val="auto"/>
          <w:highlight w:val="none"/>
        </w:rPr>
        <w:t>（6）公开封闭式框架协议的第二阶段成交结果。</w:t>
      </w:r>
    </w:p>
    <w:p w14:paraId="5F4F50D2">
      <w:pPr>
        <w:spacing w:line="420" w:lineRule="exact"/>
        <w:ind w:firstLine="480"/>
        <w:rPr>
          <w:rFonts w:eastAsia="宋体" w:cs="宋体"/>
          <w:color w:val="auto"/>
          <w:highlight w:val="none"/>
        </w:rPr>
      </w:pPr>
      <w:r>
        <w:rPr>
          <w:rFonts w:hint="eastAsia" w:eastAsia="宋体" w:cs="宋体"/>
          <w:color w:val="auto"/>
          <w:highlight w:val="none"/>
        </w:rPr>
        <w:t>9.3 乙方的权利</w:t>
      </w:r>
    </w:p>
    <w:p w14:paraId="64390535">
      <w:pPr>
        <w:spacing w:line="420" w:lineRule="exact"/>
        <w:ind w:firstLine="480"/>
        <w:rPr>
          <w:rFonts w:eastAsia="宋体" w:cs="宋体"/>
          <w:color w:val="auto"/>
          <w:highlight w:val="none"/>
        </w:rPr>
      </w:pPr>
      <w:r>
        <w:rPr>
          <w:rFonts w:hint="eastAsia" w:eastAsia="宋体" w:cs="宋体"/>
          <w:color w:val="auto"/>
          <w:highlight w:val="none"/>
        </w:rPr>
        <w:t>（1）乙方具有为采购人提供相关服务的资格。</w:t>
      </w:r>
    </w:p>
    <w:p w14:paraId="1B693DD6">
      <w:pPr>
        <w:spacing w:line="420" w:lineRule="exact"/>
        <w:ind w:firstLine="480"/>
        <w:rPr>
          <w:rFonts w:eastAsia="宋体" w:cs="宋体"/>
          <w:color w:val="auto"/>
          <w:highlight w:val="none"/>
        </w:rPr>
      </w:pPr>
      <w:r>
        <w:rPr>
          <w:rFonts w:hint="eastAsia" w:eastAsia="宋体" w:cs="宋体"/>
          <w:color w:val="auto"/>
          <w:highlight w:val="none"/>
        </w:rPr>
        <w:t>（2）乙方有权拒绝采购人提出的以本次框架协议采购名义购买非入围货物、服务、配件或满足采购人超出响应承诺以外的其他要求。</w:t>
      </w:r>
    </w:p>
    <w:p w14:paraId="7A472274">
      <w:pPr>
        <w:spacing w:line="420" w:lineRule="exact"/>
        <w:ind w:firstLine="480"/>
        <w:rPr>
          <w:rFonts w:eastAsia="宋体" w:cs="宋体"/>
          <w:color w:val="auto"/>
          <w:highlight w:val="none"/>
        </w:rPr>
      </w:pPr>
      <w:r>
        <w:rPr>
          <w:rFonts w:hint="eastAsia" w:eastAsia="宋体" w:cs="宋体"/>
          <w:color w:val="auto"/>
          <w:highlight w:val="none"/>
        </w:rPr>
        <w:t>（3）对采购人在购买入围服务过程中的不正当要求和违规行为进行投诉，并要求有关部门做出处理。</w:t>
      </w:r>
    </w:p>
    <w:p w14:paraId="144BCAB5">
      <w:pPr>
        <w:spacing w:line="420" w:lineRule="exact"/>
        <w:ind w:firstLine="480"/>
        <w:rPr>
          <w:rFonts w:eastAsia="宋体" w:cs="宋体"/>
          <w:color w:val="auto"/>
          <w:highlight w:val="none"/>
        </w:rPr>
      </w:pPr>
      <w:r>
        <w:rPr>
          <w:rFonts w:hint="eastAsia" w:eastAsia="宋体" w:cs="宋体"/>
          <w:color w:val="auto"/>
          <w:highlight w:val="none"/>
        </w:rPr>
        <w:t>（4）有权拒绝任何个人以采购人名义按照协议价格购买入围服务和进行现金交易。</w:t>
      </w:r>
    </w:p>
    <w:p w14:paraId="3A06A497">
      <w:pPr>
        <w:spacing w:line="420" w:lineRule="exact"/>
        <w:ind w:firstLine="480"/>
        <w:rPr>
          <w:rFonts w:eastAsia="宋体" w:cs="宋体"/>
          <w:color w:val="auto"/>
          <w:highlight w:val="none"/>
        </w:rPr>
      </w:pPr>
      <w:r>
        <w:rPr>
          <w:rFonts w:hint="eastAsia" w:eastAsia="宋体" w:cs="宋体"/>
          <w:color w:val="auto"/>
          <w:highlight w:val="none"/>
        </w:rPr>
        <w:t>9.4 乙方的义务</w:t>
      </w:r>
    </w:p>
    <w:p w14:paraId="31995C9C">
      <w:pPr>
        <w:spacing w:line="420" w:lineRule="exact"/>
        <w:ind w:firstLine="480"/>
        <w:rPr>
          <w:rFonts w:eastAsia="宋体" w:cs="宋体"/>
          <w:color w:val="auto"/>
          <w:highlight w:val="none"/>
        </w:rPr>
      </w:pPr>
      <w:r>
        <w:rPr>
          <w:rFonts w:hint="eastAsia" w:eastAsia="宋体" w:cs="宋体"/>
          <w:color w:val="auto"/>
          <w:highlight w:val="none"/>
        </w:rPr>
        <w:t>（1）严格执行国家法律法规，严格按照响应文件承诺的价格和服务履约，遵守本合同条款。</w:t>
      </w:r>
    </w:p>
    <w:p w14:paraId="7907C0A1">
      <w:pPr>
        <w:spacing w:line="420" w:lineRule="exact"/>
        <w:ind w:firstLine="480"/>
        <w:rPr>
          <w:rFonts w:eastAsia="宋体" w:cs="宋体"/>
          <w:color w:val="auto"/>
          <w:highlight w:val="none"/>
        </w:rPr>
      </w:pPr>
      <w:r>
        <w:rPr>
          <w:rFonts w:hint="eastAsia" w:eastAsia="宋体" w:cs="宋体"/>
          <w:color w:val="auto"/>
          <w:highlight w:val="none"/>
        </w:rPr>
        <w:t>（2）乙方应当符合《中华人民共和国政府采购法》第二十二条第一款的规定。</w:t>
      </w:r>
    </w:p>
    <w:p w14:paraId="3EF171F3">
      <w:pPr>
        <w:spacing w:line="420" w:lineRule="exact"/>
        <w:ind w:firstLine="480"/>
        <w:rPr>
          <w:rFonts w:eastAsia="宋体" w:cs="宋体"/>
          <w:color w:val="auto"/>
          <w:highlight w:val="none"/>
        </w:rPr>
      </w:pPr>
      <w:r>
        <w:rPr>
          <w:rFonts w:hint="eastAsia" w:eastAsia="宋体" w:cs="宋体"/>
          <w:color w:val="auto"/>
          <w:highlight w:val="none"/>
        </w:rPr>
        <w:t>（3）随时接受并配合甲方的监督和考核，并配合财政部门对采购人和其他入围供应商对框架协议执行情况进行监督，发现违规违约情形的，及时向财政部门报告。</w:t>
      </w:r>
    </w:p>
    <w:p w14:paraId="6B774A64">
      <w:pPr>
        <w:spacing w:line="420" w:lineRule="exact"/>
        <w:ind w:firstLine="480"/>
        <w:rPr>
          <w:rFonts w:eastAsia="宋体" w:cs="宋体"/>
          <w:color w:val="auto"/>
          <w:highlight w:val="none"/>
        </w:rPr>
      </w:pPr>
      <w:r>
        <w:rPr>
          <w:rFonts w:hint="eastAsia" w:eastAsia="宋体" w:cs="宋体"/>
          <w:color w:val="auto"/>
          <w:highlight w:val="none"/>
        </w:rPr>
        <w:t>（4）在框架协议有效期内，按照不高于协议价格的价格，向采购人提供相关服务。</w:t>
      </w:r>
    </w:p>
    <w:p w14:paraId="30189710">
      <w:pPr>
        <w:spacing w:line="420" w:lineRule="exact"/>
        <w:ind w:firstLine="480"/>
        <w:rPr>
          <w:rFonts w:eastAsia="宋体" w:cs="宋体"/>
          <w:color w:val="auto"/>
          <w:highlight w:val="none"/>
        </w:rPr>
      </w:pPr>
      <w:r>
        <w:rPr>
          <w:rFonts w:hint="eastAsia" w:eastAsia="宋体" w:cs="宋体"/>
          <w:color w:val="auto"/>
          <w:highlight w:val="none"/>
        </w:rPr>
        <w:t>（5）乙方及其委托的聘用专家对本项目承担连带责任，乙方委托的聘用专家必须履行乙方在响应文件中承诺的责任和义务。</w:t>
      </w:r>
    </w:p>
    <w:p w14:paraId="1F06B6D6">
      <w:pPr>
        <w:spacing w:line="420" w:lineRule="exact"/>
        <w:ind w:firstLine="480"/>
        <w:rPr>
          <w:rFonts w:eastAsia="宋体" w:cs="宋体"/>
          <w:color w:val="auto"/>
          <w:highlight w:val="none"/>
        </w:rPr>
      </w:pPr>
      <w:r>
        <w:rPr>
          <w:rFonts w:hint="eastAsia" w:eastAsia="宋体" w:cs="宋体"/>
          <w:color w:val="auto"/>
          <w:highlight w:val="none"/>
        </w:rPr>
        <w:t>（6）框架协议期内，在质量不降低、价格不提高的前提下，乙方如出现因服务升级换代，需用新服务替代原入围服务情形时，必须在“苏采云”系统中向甲方提出申请。</w:t>
      </w:r>
    </w:p>
    <w:p w14:paraId="03E1676F">
      <w:pPr>
        <w:spacing w:line="420" w:lineRule="exact"/>
        <w:ind w:firstLine="480"/>
        <w:rPr>
          <w:rFonts w:eastAsia="宋体" w:cs="宋体"/>
          <w:b/>
          <w:color w:val="auto"/>
          <w:highlight w:val="none"/>
        </w:rPr>
      </w:pPr>
      <w:r>
        <w:rPr>
          <w:rFonts w:hint="eastAsia" w:eastAsia="宋体" w:cs="宋体"/>
          <w:b/>
          <w:color w:val="auto"/>
          <w:highlight w:val="none"/>
        </w:rPr>
        <w:t>十、税费</w:t>
      </w:r>
    </w:p>
    <w:p w14:paraId="4F514375">
      <w:pPr>
        <w:spacing w:line="420" w:lineRule="exact"/>
        <w:ind w:firstLine="480"/>
        <w:rPr>
          <w:rFonts w:eastAsia="宋体" w:cs="宋体"/>
          <w:color w:val="auto"/>
          <w:highlight w:val="none"/>
        </w:rPr>
      </w:pPr>
      <w:r>
        <w:rPr>
          <w:rFonts w:hint="eastAsia" w:eastAsia="宋体" w:cs="宋体"/>
          <w:color w:val="auto"/>
          <w:highlight w:val="none"/>
        </w:rPr>
        <w:t>本框架协议执行中相关的一切税费均由乙方负担。</w:t>
      </w:r>
    </w:p>
    <w:p w14:paraId="47A3FAD1">
      <w:pPr>
        <w:spacing w:line="420" w:lineRule="exact"/>
        <w:ind w:firstLine="480"/>
        <w:rPr>
          <w:rFonts w:eastAsia="宋体" w:cs="宋体"/>
          <w:b/>
          <w:color w:val="auto"/>
          <w:highlight w:val="none"/>
        </w:rPr>
      </w:pPr>
      <w:r>
        <w:rPr>
          <w:rFonts w:hint="eastAsia" w:eastAsia="宋体" w:cs="宋体"/>
          <w:b/>
          <w:color w:val="auto"/>
          <w:highlight w:val="none"/>
        </w:rPr>
        <w:t>十一、争议解决的办法</w:t>
      </w:r>
    </w:p>
    <w:p w14:paraId="1E3D40CE">
      <w:pPr>
        <w:spacing w:line="420" w:lineRule="exact"/>
        <w:ind w:firstLine="480"/>
        <w:rPr>
          <w:rFonts w:eastAsia="宋体" w:cs="宋体"/>
          <w:bCs/>
          <w:color w:val="auto"/>
          <w:highlight w:val="none"/>
        </w:rPr>
      </w:pPr>
      <w:r>
        <w:rPr>
          <w:rFonts w:hint="eastAsia" w:eastAsia="宋体" w:cs="宋体"/>
          <w:bCs/>
          <w:color w:val="auto"/>
          <w:highlight w:val="none"/>
        </w:rPr>
        <w:t>因本框架协议的签订、履行而发生的争议，甲乙双方应通过友好协商解决，如协商不成由甲方住所地人民法院管辖。</w:t>
      </w:r>
    </w:p>
    <w:p w14:paraId="46D1D8C9">
      <w:pPr>
        <w:spacing w:line="420" w:lineRule="exact"/>
        <w:ind w:firstLine="480"/>
        <w:rPr>
          <w:rFonts w:eastAsia="宋体" w:cs="宋体"/>
          <w:b/>
          <w:color w:val="auto"/>
          <w:highlight w:val="none"/>
        </w:rPr>
      </w:pPr>
      <w:r>
        <w:rPr>
          <w:rFonts w:hint="eastAsia" w:eastAsia="宋体" w:cs="宋体"/>
          <w:b/>
          <w:color w:val="auto"/>
          <w:highlight w:val="none"/>
        </w:rPr>
        <w:t>十二、框架协议文本的生效及其它</w:t>
      </w:r>
    </w:p>
    <w:p w14:paraId="03E296AE">
      <w:pPr>
        <w:spacing w:line="420" w:lineRule="exact"/>
        <w:ind w:firstLine="480"/>
        <w:rPr>
          <w:rFonts w:eastAsia="宋体" w:cs="宋体"/>
          <w:color w:val="auto"/>
          <w:highlight w:val="none"/>
        </w:rPr>
      </w:pPr>
      <w:r>
        <w:rPr>
          <w:rFonts w:hint="eastAsia" w:eastAsia="宋体" w:cs="宋体"/>
          <w:color w:val="auto"/>
          <w:highlight w:val="none"/>
        </w:rPr>
        <w:t>12.1 本框架协议文本经甲乙双方法定代表人或授权委托代表人签字并加盖单位公章后生效。</w:t>
      </w:r>
    </w:p>
    <w:p w14:paraId="1E635D45">
      <w:pPr>
        <w:spacing w:line="420" w:lineRule="exact"/>
        <w:ind w:firstLine="480"/>
        <w:rPr>
          <w:rFonts w:eastAsia="宋体" w:cs="宋体"/>
          <w:color w:val="auto"/>
          <w:highlight w:val="none"/>
        </w:rPr>
      </w:pPr>
      <w:r>
        <w:rPr>
          <w:rFonts w:hint="eastAsia" w:eastAsia="宋体" w:cs="宋体"/>
          <w:color w:val="auto"/>
          <w:highlight w:val="none"/>
        </w:rPr>
        <w:t>12.2本框架协议文本未尽事宜，遵照《中华人民共和国民法典》、《中华人民共和国政府采购法》有关条文执行。</w:t>
      </w:r>
    </w:p>
    <w:p w14:paraId="64ECD415">
      <w:pPr>
        <w:spacing w:line="420" w:lineRule="exact"/>
        <w:ind w:firstLine="480"/>
        <w:rPr>
          <w:rFonts w:eastAsia="宋体" w:cs="宋体"/>
          <w:color w:val="auto"/>
          <w:highlight w:val="none"/>
        </w:rPr>
      </w:pPr>
      <w:r>
        <w:rPr>
          <w:rFonts w:hint="eastAsia" w:eastAsia="宋体" w:cs="宋体"/>
          <w:color w:val="auto"/>
          <w:highlight w:val="none"/>
        </w:rPr>
        <w:t>12.3 本框架协议文本正本一式两份，具有同等法律效力，甲方、乙方各执一份。</w:t>
      </w:r>
    </w:p>
    <w:p w14:paraId="422A215D">
      <w:pPr>
        <w:spacing w:line="420" w:lineRule="exact"/>
        <w:ind w:firstLine="480"/>
        <w:rPr>
          <w:rFonts w:eastAsia="宋体" w:cs="宋体"/>
          <w:color w:val="auto"/>
          <w:highlight w:val="none"/>
        </w:rPr>
      </w:pPr>
    </w:p>
    <w:p w14:paraId="44978DC3">
      <w:pPr>
        <w:spacing w:line="420" w:lineRule="exact"/>
        <w:ind w:firstLine="480"/>
        <w:rPr>
          <w:rFonts w:eastAsia="宋体" w:cs="宋体"/>
          <w:color w:val="auto"/>
          <w:highlight w:val="none"/>
        </w:rPr>
      </w:pPr>
    </w:p>
    <w:p w14:paraId="380D1BB0">
      <w:pPr>
        <w:spacing w:line="420" w:lineRule="exact"/>
        <w:ind w:firstLine="480"/>
        <w:rPr>
          <w:rFonts w:eastAsia="宋体" w:cs="宋体"/>
          <w:color w:val="auto"/>
          <w:highlight w:val="none"/>
        </w:rPr>
      </w:pPr>
      <w:r>
        <w:rPr>
          <w:rFonts w:hint="eastAsia" w:eastAsia="宋体" w:cs="宋体"/>
          <w:color w:val="auto"/>
          <w:highlight w:val="none"/>
        </w:rPr>
        <w:t xml:space="preserve">甲方：                             地址： </w:t>
      </w:r>
    </w:p>
    <w:p w14:paraId="6BD498F7">
      <w:pPr>
        <w:spacing w:line="420" w:lineRule="exact"/>
        <w:ind w:firstLine="480"/>
        <w:rPr>
          <w:rFonts w:eastAsia="宋体" w:cs="宋体"/>
          <w:color w:val="auto"/>
          <w:highlight w:val="none"/>
        </w:rPr>
      </w:pPr>
      <w:r>
        <w:rPr>
          <w:rFonts w:hint="eastAsia" w:eastAsia="宋体" w:cs="宋体"/>
          <w:color w:val="auto"/>
          <w:highlight w:val="none"/>
        </w:rPr>
        <w:t>法定代表人或授权代表：             联系电话：</w:t>
      </w:r>
    </w:p>
    <w:p w14:paraId="32D577F7">
      <w:pPr>
        <w:spacing w:line="420" w:lineRule="exact"/>
        <w:ind w:firstLine="480"/>
        <w:rPr>
          <w:rFonts w:eastAsia="宋体" w:cs="宋体"/>
          <w:color w:val="auto"/>
          <w:highlight w:val="none"/>
        </w:rPr>
      </w:pPr>
    </w:p>
    <w:p w14:paraId="4E70BD1C">
      <w:pPr>
        <w:spacing w:line="420" w:lineRule="exact"/>
        <w:ind w:firstLine="480"/>
        <w:rPr>
          <w:rFonts w:eastAsia="宋体" w:cs="宋体"/>
          <w:color w:val="auto"/>
          <w:highlight w:val="none"/>
        </w:rPr>
      </w:pPr>
      <w:r>
        <w:rPr>
          <w:rFonts w:hint="eastAsia" w:eastAsia="宋体" w:cs="宋体"/>
          <w:color w:val="auto"/>
          <w:highlight w:val="none"/>
        </w:rPr>
        <w:t xml:space="preserve">乙方：                             地址： </w:t>
      </w:r>
    </w:p>
    <w:p w14:paraId="08A563A3">
      <w:pPr>
        <w:spacing w:line="420" w:lineRule="exact"/>
        <w:ind w:firstLine="480"/>
        <w:rPr>
          <w:rFonts w:eastAsia="宋体" w:cs="宋体"/>
          <w:color w:val="auto"/>
          <w:highlight w:val="none"/>
        </w:rPr>
      </w:pPr>
      <w:r>
        <w:rPr>
          <w:rFonts w:hint="eastAsia" w:eastAsia="宋体" w:cs="宋体"/>
          <w:color w:val="auto"/>
          <w:highlight w:val="none"/>
        </w:rPr>
        <w:t>法定代表人或授权代表：             联系电话：</w:t>
      </w:r>
    </w:p>
    <w:p w14:paraId="74CC6638">
      <w:pPr>
        <w:spacing w:line="420" w:lineRule="exact"/>
        <w:ind w:firstLine="480"/>
        <w:rPr>
          <w:rFonts w:eastAsia="宋体" w:cs="宋体"/>
          <w:color w:val="auto"/>
          <w:highlight w:val="none"/>
        </w:rPr>
      </w:pPr>
      <w:r>
        <w:rPr>
          <w:rFonts w:hint="eastAsia" w:eastAsia="宋体" w:cs="宋体"/>
          <w:color w:val="auto"/>
          <w:highlight w:val="none"/>
        </w:rPr>
        <w:t xml:space="preserve">                  </w:t>
      </w:r>
    </w:p>
    <w:p w14:paraId="4286281A">
      <w:pPr>
        <w:spacing w:line="420" w:lineRule="exact"/>
        <w:ind w:firstLine="480"/>
        <w:rPr>
          <w:rFonts w:eastAsia="宋体"/>
          <w:color w:val="auto"/>
          <w:highlight w:val="none"/>
        </w:rPr>
      </w:pPr>
      <w:r>
        <w:rPr>
          <w:rFonts w:hint="eastAsia" w:eastAsia="宋体" w:cs="宋体"/>
          <w:color w:val="auto"/>
          <w:highlight w:val="none"/>
        </w:rPr>
        <w:t>签订日期：   年   月  日</w:t>
      </w:r>
    </w:p>
    <w:p w14:paraId="64F94064">
      <w:pPr>
        <w:tabs>
          <w:tab w:val="left" w:pos="1050"/>
          <w:tab w:val="right" w:leader="dot" w:pos="9402"/>
        </w:tabs>
        <w:spacing w:after="240" w:line="520" w:lineRule="exact"/>
        <w:jc w:val="left"/>
        <w:outlineLvl w:val="1"/>
        <w:rPr>
          <w:rFonts w:eastAsia="宋体" w:cs="宋体"/>
          <w:b/>
          <w:bCs/>
          <w:color w:val="auto"/>
          <w:highlight w:val="none"/>
        </w:rPr>
        <w:sectPr>
          <w:pgSz w:w="11906" w:h="16838"/>
          <w:pgMar w:top="851" w:right="851" w:bottom="851" w:left="1134" w:header="567" w:footer="471" w:gutter="0"/>
          <w:cols w:space="425" w:num="1"/>
          <w:docGrid w:linePitch="360" w:charSpace="0"/>
        </w:sectPr>
      </w:pPr>
    </w:p>
    <w:p w14:paraId="4BCA052E">
      <w:pPr>
        <w:tabs>
          <w:tab w:val="left" w:pos="1050"/>
          <w:tab w:val="right" w:leader="dot" w:pos="9402"/>
        </w:tabs>
        <w:spacing w:after="240" w:line="520" w:lineRule="exact"/>
        <w:jc w:val="left"/>
        <w:outlineLvl w:val="1"/>
        <w:rPr>
          <w:rFonts w:eastAsia="宋体" w:cs="宋体"/>
          <w:b/>
          <w:bCs/>
          <w:color w:val="auto"/>
          <w:highlight w:val="none"/>
        </w:rPr>
      </w:pPr>
      <w:r>
        <w:rPr>
          <w:rFonts w:hint="eastAsia" w:eastAsia="宋体" w:cs="宋体"/>
          <w:b/>
          <w:bCs/>
          <w:color w:val="auto"/>
          <w:highlight w:val="none"/>
        </w:rPr>
        <w:t>协议文本附件</w:t>
      </w:r>
    </w:p>
    <w:p w14:paraId="2C857BA0">
      <w:pPr>
        <w:tabs>
          <w:tab w:val="left" w:pos="1050"/>
          <w:tab w:val="right" w:leader="dot" w:pos="9402"/>
        </w:tabs>
        <w:spacing w:before="120" w:after="240" w:line="520" w:lineRule="exact"/>
        <w:jc w:val="center"/>
        <w:rPr>
          <w:rFonts w:eastAsia="宋体" w:cs="宋体"/>
          <w:b/>
          <w:bCs/>
          <w:color w:val="auto"/>
          <w:sz w:val="36"/>
          <w:szCs w:val="36"/>
          <w:highlight w:val="none"/>
        </w:rPr>
      </w:pPr>
      <w:r>
        <w:rPr>
          <w:rFonts w:hint="eastAsia" w:eastAsia="宋体" w:cs="宋体"/>
          <w:b/>
          <w:bCs/>
          <w:color w:val="auto"/>
          <w:sz w:val="36"/>
          <w:szCs w:val="36"/>
          <w:highlight w:val="none"/>
        </w:rPr>
        <w:t>采购合同</w:t>
      </w:r>
    </w:p>
    <w:p w14:paraId="1583BA0E">
      <w:pPr>
        <w:spacing w:line="420" w:lineRule="exact"/>
        <w:ind w:firstLine="480"/>
        <w:rPr>
          <w:rFonts w:eastAsia="宋体" w:cs="宋体"/>
          <w:color w:val="auto"/>
          <w:highlight w:val="none"/>
        </w:rPr>
      </w:pPr>
      <w:r>
        <w:rPr>
          <w:rFonts w:hint="eastAsia" w:eastAsia="宋体" w:cs="宋体"/>
          <w:color w:val="auto"/>
          <w:highlight w:val="none"/>
        </w:rPr>
        <w:t>甲方：</w:t>
      </w:r>
      <w:r>
        <w:rPr>
          <w:rFonts w:hint="eastAsia" w:eastAsia="宋体" w:cs="宋体"/>
          <w:color w:val="auto"/>
          <w:highlight w:val="none"/>
          <w:u w:val="single"/>
        </w:rPr>
        <w:t xml:space="preserve">                           </w:t>
      </w:r>
      <w:r>
        <w:rPr>
          <w:rFonts w:hint="eastAsia" w:eastAsia="宋体" w:cs="宋体"/>
          <w:color w:val="auto"/>
          <w:highlight w:val="none"/>
        </w:rPr>
        <w:t>（以下简称甲方）</w:t>
      </w:r>
    </w:p>
    <w:p w14:paraId="6E3DC054">
      <w:pPr>
        <w:spacing w:line="420" w:lineRule="exact"/>
        <w:ind w:firstLine="480"/>
        <w:rPr>
          <w:rFonts w:eastAsia="宋体" w:cs="宋体"/>
          <w:color w:val="auto"/>
          <w:highlight w:val="none"/>
        </w:rPr>
      </w:pPr>
      <w:r>
        <w:rPr>
          <w:rFonts w:hint="eastAsia" w:eastAsia="宋体" w:cs="宋体"/>
          <w:color w:val="auto"/>
          <w:highlight w:val="none"/>
        </w:rPr>
        <w:t>乙方：</w:t>
      </w:r>
      <w:r>
        <w:rPr>
          <w:rFonts w:hint="eastAsia" w:eastAsia="宋体" w:cs="宋体"/>
          <w:color w:val="auto"/>
          <w:highlight w:val="none"/>
          <w:u w:val="single"/>
        </w:rPr>
        <w:t xml:space="preserve">                           </w:t>
      </w:r>
      <w:r>
        <w:rPr>
          <w:rFonts w:hint="eastAsia" w:eastAsia="宋体" w:cs="宋体"/>
          <w:color w:val="auto"/>
          <w:highlight w:val="none"/>
        </w:rPr>
        <w:t>（以下简称乙方）</w:t>
      </w:r>
    </w:p>
    <w:p w14:paraId="20821F93">
      <w:pPr>
        <w:spacing w:line="420" w:lineRule="exact"/>
        <w:ind w:firstLine="480"/>
        <w:rPr>
          <w:rFonts w:eastAsia="宋体" w:cs="宋体"/>
          <w:color w:val="auto"/>
          <w:highlight w:val="none"/>
        </w:rPr>
      </w:pPr>
    </w:p>
    <w:p w14:paraId="6C269ACE">
      <w:pPr>
        <w:spacing w:line="420" w:lineRule="exact"/>
        <w:ind w:firstLine="480"/>
        <w:rPr>
          <w:rFonts w:eastAsia="宋体" w:cs="宋体"/>
          <w:color w:val="auto"/>
          <w:highlight w:val="none"/>
        </w:rPr>
      </w:pPr>
      <w:r>
        <w:rPr>
          <w:rFonts w:hint="eastAsia" w:eastAsia="宋体" w:cs="宋体"/>
          <w:color w:val="auto"/>
          <w:highlight w:val="none"/>
        </w:rPr>
        <w:t>甲方与乙方双方协商一致签订本协议书。现将双方的责任及有关事项约定如下：</w:t>
      </w:r>
    </w:p>
    <w:p w14:paraId="5551B7A0">
      <w:pPr>
        <w:spacing w:line="420" w:lineRule="exact"/>
        <w:ind w:firstLine="480"/>
        <w:rPr>
          <w:rFonts w:eastAsia="宋体" w:cs="宋体"/>
          <w:b/>
          <w:bCs/>
          <w:color w:val="auto"/>
          <w:highlight w:val="none"/>
        </w:rPr>
      </w:pPr>
      <w:r>
        <w:rPr>
          <w:rFonts w:hint="eastAsia" w:eastAsia="宋体" w:cs="宋体"/>
          <w:b/>
          <w:bCs/>
          <w:color w:val="auto"/>
          <w:highlight w:val="none"/>
        </w:rPr>
        <w:t>一、组织评审事项</w:t>
      </w:r>
    </w:p>
    <w:p w14:paraId="7908CC57">
      <w:pPr>
        <w:spacing w:line="420" w:lineRule="exact"/>
        <w:ind w:firstLine="480"/>
        <w:rPr>
          <w:rFonts w:eastAsia="宋体" w:cs="宋体"/>
          <w:color w:val="auto"/>
          <w:highlight w:val="none"/>
        </w:rPr>
      </w:pPr>
      <w:r>
        <w:rPr>
          <w:rFonts w:hint="eastAsia" w:eastAsia="宋体" w:cs="宋体"/>
          <w:color w:val="auto"/>
          <w:highlight w:val="none"/>
        </w:rPr>
        <w:t>委托事项：</w:t>
      </w:r>
      <w:r>
        <w:rPr>
          <w:rFonts w:hint="eastAsia" w:eastAsia="宋体" w:cs="宋体"/>
          <w:color w:val="auto"/>
          <w:highlight w:val="none"/>
          <w:u w:val="single"/>
        </w:rPr>
        <w:t xml:space="preserve"> 如东县财政局政府投资建设*****项目协审服务    </w:t>
      </w:r>
    </w:p>
    <w:p w14:paraId="063AD7BA">
      <w:pPr>
        <w:spacing w:line="420" w:lineRule="exact"/>
        <w:ind w:firstLine="480"/>
        <w:rPr>
          <w:rFonts w:eastAsia="宋体" w:cs="宋体"/>
          <w:color w:val="auto"/>
          <w:highlight w:val="none"/>
        </w:rPr>
      </w:pPr>
      <w:r>
        <w:rPr>
          <w:rFonts w:hint="eastAsia" w:eastAsia="宋体" w:cs="宋体"/>
          <w:color w:val="auto"/>
          <w:highlight w:val="none"/>
        </w:rPr>
        <w:t>评审范围：</w:t>
      </w:r>
      <w:r>
        <w:rPr>
          <w:rFonts w:hint="eastAsia" w:eastAsia="宋体" w:cs="宋体"/>
          <w:color w:val="auto"/>
          <w:highlight w:val="none"/>
          <w:u w:val="single"/>
        </w:rPr>
        <w:t xml:space="preserve">                                </w:t>
      </w:r>
    </w:p>
    <w:p w14:paraId="6694B40A">
      <w:pPr>
        <w:spacing w:line="420" w:lineRule="exact"/>
        <w:ind w:firstLine="480"/>
        <w:rPr>
          <w:rFonts w:eastAsia="宋体" w:cs="宋体"/>
          <w:b/>
          <w:bCs/>
          <w:color w:val="auto"/>
          <w:highlight w:val="none"/>
        </w:rPr>
      </w:pPr>
      <w:r>
        <w:rPr>
          <w:rFonts w:hint="eastAsia" w:eastAsia="宋体" w:cs="宋体"/>
          <w:b/>
          <w:bCs/>
          <w:color w:val="auto"/>
          <w:highlight w:val="none"/>
        </w:rPr>
        <w:t>二、评审事项实施及双方权利义务</w:t>
      </w:r>
    </w:p>
    <w:p w14:paraId="2B40FB64">
      <w:pPr>
        <w:spacing w:line="420" w:lineRule="exact"/>
        <w:ind w:firstLine="480"/>
        <w:rPr>
          <w:rFonts w:eastAsia="宋体" w:cs="宋体"/>
          <w:color w:val="auto"/>
          <w:highlight w:val="none"/>
        </w:rPr>
      </w:pPr>
      <w:r>
        <w:rPr>
          <w:rFonts w:hint="eastAsia" w:eastAsia="宋体" w:cs="宋体"/>
          <w:color w:val="auto"/>
          <w:highlight w:val="none"/>
        </w:rPr>
        <w:t>1.组织评审范围：乙方对甲方委托的工程项目在甲方的组织下进行评审，向甲方出具相应的咨询报告，并按甲方的要求编写相关文书、移交相关资料。</w:t>
      </w:r>
    </w:p>
    <w:p w14:paraId="69E4840E">
      <w:pPr>
        <w:spacing w:line="420" w:lineRule="exact"/>
        <w:ind w:firstLine="480"/>
        <w:rPr>
          <w:rFonts w:eastAsia="宋体" w:cs="宋体"/>
          <w:color w:val="auto"/>
          <w:highlight w:val="none"/>
        </w:rPr>
      </w:pPr>
      <w:r>
        <w:rPr>
          <w:rFonts w:hint="eastAsia" w:eastAsia="宋体" w:cs="宋体"/>
          <w:color w:val="auto"/>
          <w:highlight w:val="none"/>
        </w:rPr>
        <w:t>2.组织评审内容：乙方应对工程造价的准确性、真实性、合法性进行评审，内容主要包括：</w:t>
      </w:r>
    </w:p>
    <w:p w14:paraId="5EDF3677">
      <w:pPr>
        <w:spacing w:line="420" w:lineRule="exact"/>
        <w:ind w:firstLine="480"/>
        <w:rPr>
          <w:rFonts w:eastAsia="宋体" w:cs="宋体"/>
          <w:color w:val="auto"/>
          <w:highlight w:val="none"/>
        </w:rPr>
      </w:pPr>
      <w:r>
        <w:rPr>
          <w:rFonts w:hint="eastAsia" w:eastAsia="宋体" w:cs="宋体"/>
          <w:color w:val="auto"/>
          <w:highlight w:val="none"/>
        </w:rPr>
        <w:t>2.1投资估算评审：对项目使用功能、建设内容、规模、标准、估算指标等方面进行评审，出具项目估算初步评审报告。</w:t>
      </w:r>
    </w:p>
    <w:p w14:paraId="0EFA0AE3">
      <w:pPr>
        <w:spacing w:line="420" w:lineRule="exact"/>
        <w:ind w:firstLine="480"/>
        <w:rPr>
          <w:rFonts w:eastAsia="宋体" w:cs="宋体"/>
          <w:color w:val="auto"/>
          <w:highlight w:val="none"/>
        </w:rPr>
      </w:pPr>
      <w:r>
        <w:rPr>
          <w:rFonts w:hint="eastAsia" w:eastAsia="宋体" w:cs="宋体"/>
          <w:color w:val="auto"/>
          <w:highlight w:val="none"/>
        </w:rPr>
        <w:t>2.2项目概算、预算评审：对工程量计算、材料价格、材料暂估价、概算、预算定额套用、取费、工程前后期相关规费和其它费用等进行评审，出具项目概算、预算初步评审报告或意见。</w:t>
      </w:r>
    </w:p>
    <w:p w14:paraId="07D9A3BB">
      <w:pPr>
        <w:spacing w:line="420" w:lineRule="exact"/>
        <w:ind w:firstLine="480"/>
        <w:rPr>
          <w:rFonts w:eastAsia="宋体" w:cs="宋体"/>
          <w:color w:val="auto"/>
          <w:highlight w:val="none"/>
        </w:rPr>
      </w:pPr>
      <w:r>
        <w:rPr>
          <w:rFonts w:hint="eastAsia" w:eastAsia="宋体" w:cs="宋体"/>
          <w:color w:val="auto"/>
          <w:highlight w:val="none"/>
        </w:rPr>
        <w:t>2.3工程变更评审：审查设计变更手续是否完备，变更是否必要、真实，签证资料是否真实、准确；费用是否按照合同约定、相关会商意见执行，相关定额、材料设备价格等是否准确合理，出具评审报告。</w:t>
      </w:r>
    </w:p>
    <w:p w14:paraId="1683F454">
      <w:pPr>
        <w:spacing w:line="420" w:lineRule="exact"/>
        <w:ind w:firstLine="480"/>
        <w:rPr>
          <w:rFonts w:eastAsia="宋体" w:cs="宋体"/>
          <w:color w:val="auto"/>
          <w:highlight w:val="none"/>
        </w:rPr>
      </w:pPr>
      <w:r>
        <w:rPr>
          <w:rFonts w:hint="eastAsia" w:eastAsia="宋体" w:cs="宋体"/>
          <w:color w:val="auto"/>
          <w:highlight w:val="none"/>
        </w:rPr>
        <w:t>2.4法律、法规、规章要求评审的其它事项。</w:t>
      </w:r>
    </w:p>
    <w:p w14:paraId="7FE804D9">
      <w:pPr>
        <w:spacing w:line="420" w:lineRule="exact"/>
        <w:ind w:firstLine="480"/>
        <w:rPr>
          <w:rFonts w:eastAsia="宋体" w:cs="宋体"/>
          <w:color w:val="auto"/>
          <w:highlight w:val="none"/>
        </w:rPr>
      </w:pPr>
      <w:r>
        <w:rPr>
          <w:rFonts w:hint="eastAsia" w:eastAsia="宋体" w:cs="宋体"/>
          <w:color w:val="auto"/>
          <w:highlight w:val="none"/>
        </w:rPr>
        <w:t>3.</w:t>
      </w:r>
      <w:bookmarkStart w:id="166" w:name="_Hlk184336360"/>
      <w:r>
        <w:rPr>
          <w:rFonts w:hint="eastAsia" w:eastAsia="宋体" w:cs="宋体"/>
          <w:color w:val="auto"/>
          <w:highlight w:val="none"/>
        </w:rPr>
        <w:t>评审进度要求</w:t>
      </w:r>
      <w:bookmarkEnd w:id="166"/>
      <w:r>
        <w:rPr>
          <w:rFonts w:hint="eastAsia" w:eastAsia="宋体" w:cs="宋体"/>
          <w:color w:val="auto"/>
          <w:highlight w:val="none"/>
        </w:rPr>
        <w:t>：</w:t>
      </w:r>
    </w:p>
    <w:p w14:paraId="4ED76E6F">
      <w:pPr>
        <w:spacing w:line="420" w:lineRule="exact"/>
        <w:ind w:firstLine="480"/>
        <w:rPr>
          <w:rFonts w:eastAsia="宋体" w:cs="宋体"/>
          <w:color w:val="auto"/>
          <w:highlight w:val="none"/>
        </w:rPr>
      </w:pPr>
      <w:r>
        <w:rPr>
          <w:rFonts w:hint="eastAsia" w:eastAsia="宋体" w:cs="宋体"/>
          <w:color w:val="auto"/>
          <w:highlight w:val="none"/>
        </w:rPr>
        <w:t>3.1估算、概算、预算，供应商接收评审资料之日起2个工作日内，反馈资料缺失情况。</w:t>
      </w:r>
    </w:p>
    <w:p w14:paraId="4129B737">
      <w:pPr>
        <w:spacing w:line="420" w:lineRule="exact"/>
        <w:ind w:firstLine="480"/>
        <w:rPr>
          <w:rFonts w:eastAsia="宋体" w:cs="宋体"/>
          <w:color w:val="auto"/>
          <w:highlight w:val="none"/>
        </w:rPr>
      </w:pPr>
      <w:r>
        <w:rPr>
          <w:rFonts w:hint="eastAsia" w:eastAsia="宋体" w:cs="宋体"/>
          <w:color w:val="auto"/>
          <w:highlight w:val="none"/>
        </w:rPr>
        <w:t>3.2供应商在接收完整资料后，应在下表规定的期间内完成委托任务，并出具书面咨询报告。非供应商原因不能按时完成的，应向采购人书面报告。若所需资料未能及时提供齐全，供应商应就已提供的资料先行推进评审工作，不可因资料不全而完全停止评审工作。</w:t>
      </w:r>
    </w:p>
    <w:p w14:paraId="098FD011">
      <w:pPr>
        <w:spacing w:line="420" w:lineRule="exact"/>
        <w:ind w:firstLine="480"/>
        <w:rPr>
          <w:rFonts w:eastAsia="宋体" w:cs="宋体"/>
          <w:color w:val="auto"/>
          <w:highlight w:val="none"/>
        </w:rPr>
      </w:pPr>
      <w:r>
        <w:rPr>
          <w:rFonts w:hint="eastAsia" w:eastAsia="宋体" w:cs="宋体"/>
          <w:color w:val="auto"/>
          <w:highlight w:val="none"/>
        </w:rPr>
        <w:t>3.3进度时间要求详见下表：</w:t>
      </w:r>
    </w:p>
    <w:tbl>
      <w:tblPr>
        <w:tblStyle w:val="89"/>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1701"/>
        <w:gridCol w:w="1701"/>
        <w:gridCol w:w="1417"/>
      </w:tblGrid>
      <w:tr w14:paraId="5749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661" w:type="dxa"/>
            <w:tcBorders>
              <w:top w:val="single" w:color="auto" w:sz="4" w:space="0"/>
              <w:left w:val="single" w:color="auto" w:sz="4" w:space="0"/>
              <w:bottom w:val="single" w:color="auto" w:sz="4" w:space="0"/>
              <w:right w:val="single" w:color="auto" w:sz="4" w:space="0"/>
            </w:tcBorders>
            <w:shd w:val="clear" w:color="auto" w:fill="auto"/>
            <w:vAlign w:val="center"/>
          </w:tcPr>
          <w:p w14:paraId="0923BFDD">
            <w:pPr>
              <w:snapToGrid w:val="0"/>
              <w:spacing w:line="500" w:lineRule="exact"/>
              <w:ind w:firstLine="960" w:firstLineChars="400"/>
              <w:rPr>
                <w:rFonts w:ascii="宋体" w:hAnsi="Calibri" w:eastAsia="宋体"/>
                <w:color w:val="auto"/>
                <w:kern w:val="2"/>
                <w:highlight w:val="none"/>
              </w:rPr>
            </w:pPr>
            <w:r>
              <w:rPr>
                <w:rFonts w:hint="eastAsia" w:ascii="宋体" w:hAnsi="宋体" w:eastAsia="宋体" w:cs="宋体"/>
                <w:color w:val="auto"/>
                <w:kern w:val="2"/>
                <w:highlight w:val="none"/>
                <w:lang w:bidi="ar"/>
              </w:rPr>
              <w:t>评审项目送审金额</w:t>
            </w:r>
          </w:p>
        </w:tc>
        <w:tc>
          <w:tcPr>
            <w:tcW w:w="1701" w:type="dxa"/>
            <w:tcBorders>
              <w:top w:val="single" w:color="auto" w:sz="4" w:space="0"/>
              <w:left w:val="nil"/>
              <w:bottom w:val="single" w:color="auto" w:sz="4" w:space="0"/>
              <w:right w:val="single" w:color="auto" w:sz="4" w:space="0"/>
            </w:tcBorders>
            <w:shd w:val="clear" w:color="auto" w:fill="auto"/>
            <w:vAlign w:val="center"/>
          </w:tcPr>
          <w:p w14:paraId="150F7D28">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估算</w:t>
            </w:r>
          </w:p>
        </w:tc>
        <w:tc>
          <w:tcPr>
            <w:tcW w:w="1701" w:type="dxa"/>
            <w:tcBorders>
              <w:top w:val="single" w:color="auto" w:sz="4" w:space="0"/>
              <w:left w:val="nil"/>
              <w:bottom w:val="single" w:color="auto" w:sz="4" w:space="0"/>
              <w:right w:val="single" w:color="auto" w:sz="4" w:space="0"/>
            </w:tcBorders>
            <w:shd w:val="clear" w:color="auto" w:fill="auto"/>
            <w:vAlign w:val="center"/>
          </w:tcPr>
          <w:p w14:paraId="24992ECA">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概算</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B0EB25">
            <w:pPr>
              <w:snapToGrid w:val="0"/>
              <w:spacing w:line="500" w:lineRule="exact"/>
              <w:jc w:val="center"/>
              <w:rPr>
                <w:rFonts w:ascii="宋体" w:hAnsi="宋体" w:eastAsia="宋体"/>
                <w:color w:val="auto"/>
                <w:kern w:val="2"/>
                <w:highlight w:val="none"/>
              </w:rPr>
            </w:pPr>
            <w:r>
              <w:rPr>
                <w:rFonts w:hint="eastAsia" w:ascii="宋体" w:hAnsi="宋体" w:eastAsia="宋体" w:cs="宋体"/>
                <w:color w:val="auto"/>
                <w:kern w:val="2"/>
                <w:highlight w:val="none"/>
                <w:lang w:bidi="ar"/>
              </w:rPr>
              <w:t>预算</w:t>
            </w:r>
          </w:p>
        </w:tc>
      </w:tr>
      <w:tr w14:paraId="1DA3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661" w:type="dxa"/>
            <w:tcBorders>
              <w:top w:val="single" w:color="auto" w:sz="4" w:space="0"/>
              <w:left w:val="single" w:color="auto" w:sz="4" w:space="0"/>
              <w:bottom w:val="single" w:color="auto" w:sz="4" w:space="0"/>
              <w:right w:val="single" w:color="auto" w:sz="4" w:space="0"/>
            </w:tcBorders>
            <w:shd w:val="clear" w:color="auto" w:fill="auto"/>
            <w:vAlign w:val="center"/>
          </w:tcPr>
          <w:p w14:paraId="1802107A">
            <w:pPr>
              <w:snapToGrid w:val="0"/>
              <w:spacing w:line="500" w:lineRule="exact"/>
              <w:ind w:firstLine="1200" w:firstLineChars="500"/>
              <w:rPr>
                <w:rFonts w:ascii="宋体" w:hAnsi="Calibri" w:eastAsia="宋体"/>
                <w:color w:val="auto"/>
                <w:kern w:val="2"/>
                <w:highlight w:val="none"/>
              </w:rPr>
            </w:pPr>
            <w:r>
              <w:rPr>
                <w:rFonts w:hint="eastAsia" w:ascii="宋体" w:hAnsi="宋体" w:eastAsia="宋体" w:cs="宋体"/>
                <w:color w:val="auto"/>
                <w:kern w:val="2"/>
                <w:highlight w:val="none"/>
                <w:lang w:bidi="ar"/>
              </w:rPr>
              <w:t>500万元以下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E80EDB0">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701" w:type="dxa"/>
            <w:tcBorders>
              <w:top w:val="single" w:color="auto" w:sz="4" w:space="0"/>
              <w:left w:val="nil"/>
              <w:bottom w:val="single" w:color="auto" w:sz="4" w:space="0"/>
              <w:right w:val="single" w:color="auto" w:sz="4" w:space="0"/>
            </w:tcBorders>
            <w:shd w:val="clear" w:color="auto" w:fill="auto"/>
            <w:vAlign w:val="center"/>
          </w:tcPr>
          <w:p w14:paraId="0915B433">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5工作日</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2C063B">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5工作日</w:t>
            </w:r>
          </w:p>
        </w:tc>
      </w:tr>
      <w:tr w14:paraId="3859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1" w:type="dxa"/>
            <w:tcBorders>
              <w:top w:val="single" w:color="auto" w:sz="4" w:space="0"/>
              <w:left w:val="single" w:color="auto" w:sz="4" w:space="0"/>
              <w:bottom w:val="single" w:color="auto" w:sz="4" w:space="0"/>
              <w:right w:val="single" w:color="auto" w:sz="4" w:space="0"/>
            </w:tcBorders>
            <w:shd w:val="clear" w:color="auto" w:fill="auto"/>
            <w:vAlign w:val="center"/>
          </w:tcPr>
          <w:p w14:paraId="3AD38625">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500万元-2000万元</w:t>
            </w:r>
          </w:p>
          <w:p w14:paraId="3A78DF4E">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（含500万元）</w:t>
            </w:r>
          </w:p>
        </w:tc>
        <w:tc>
          <w:tcPr>
            <w:tcW w:w="1701" w:type="dxa"/>
            <w:tcBorders>
              <w:top w:val="single" w:color="auto" w:sz="4" w:space="0"/>
              <w:left w:val="nil"/>
              <w:bottom w:val="single" w:color="auto" w:sz="4" w:space="0"/>
              <w:right w:val="single" w:color="auto" w:sz="4" w:space="0"/>
            </w:tcBorders>
            <w:shd w:val="clear" w:color="auto" w:fill="auto"/>
            <w:vAlign w:val="center"/>
          </w:tcPr>
          <w:p w14:paraId="1B6B1E63">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701" w:type="dxa"/>
            <w:tcBorders>
              <w:top w:val="single" w:color="auto" w:sz="4" w:space="0"/>
              <w:left w:val="nil"/>
              <w:bottom w:val="single" w:color="auto" w:sz="4" w:space="0"/>
              <w:right w:val="single" w:color="auto" w:sz="4" w:space="0"/>
            </w:tcBorders>
            <w:shd w:val="clear" w:color="auto" w:fill="auto"/>
            <w:vAlign w:val="center"/>
          </w:tcPr>
          <w:p w14:paraId="7DE51B1C">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7工作日</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1D388F">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7工作日</w:t>
            </w:r>
          </w:p>
        </w:tc>
      </w:tr>
      <w:tr w14:paraId="6795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61" w:type="dxa"/>
            <w:tcBorders>
              <w:top w:val="single" w:color="auto" w:sz="4" w:space="0"/>
              <w:left w:val="single" w:color="auto" w:sz="4" w:space="0"/>
              <w:bottom w:val="single" w:color="auto" w:sz="4" w:space="0"/>
              <w:right w:val="single" w:color="auto" w:sz="4" w:space="0"/>
            </w:tcBorders>
            <w:shd w:val="clear" w:color="auto" w:fill="auto"/>
            <w:vAlign w:val="center"/>
          </w:tcPr>
          <w:p w14:paraId="6779C309">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2000万元-5000万元</w:t>
            </w:r>
          </w:p>
          <w:p w14:paraId="18C978F3">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（含2000万元）</w:t>
            </w:r>
          </w:p>
        </w:tc>
        <w:tc>
          <w:tcPr>
            <w:tcW w:w="1701" w:type="dxa"/>
            <w:tcBorders>
              <w:top w:val="single" w:color="auto" w:sz="4" w:space="0"/>
              <w:left w:val="nil"/>
              <w:bottom w:val="single" w:color="auto" w:sz="4" w:space="0"/>
              <w:right w:val="single" w:color="auto" w:sz="4" w:space="0"/>
            </w:tcBorders>
            <w:shd w:val="clear" w:color="auto" w:fill="auto"/>
            <w:vAlign w:val="center"/>
          </w:tcPr>
          <w:p w14:paraId="478BA6EB">
            <w:pPr>
              <w:snapToGrid w:val="0"/>
              <w:spacing w:line="500" w:lineRule="exact"/>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701" w:type="dxa"/>
            <w:tcBorders>
              <w:top w:val="single" w:color="auto" w:sz="4" w:space="0"/>
              <w:left w:val="nil"/>
              <w:bottom w:val="single" w:color="auto" w:sz="4" w:space="0"/>
              <w:right w:val="single" w:color="auto" w:sz="4" w:space="0"/>
            </w:tcBorders>
            <w:shd w:val="clear" w:color="auto" w:fill="auto"/>
            <w:vAlign w:val="center"/>
          </w:tcPr>
          <w:p w14:paraId="658A6746">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9工作日</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50E35A">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9工作日</w:t>
            </w:r>
          </w:p>
        </w:tc>
      </w:tr>
      <w:tr w14:paraId="09FB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661" w:type="dxa"/>
            <w:tcBorders>
              <w:top w:val="single" w:color="auto" w:sz="4" w:space="0"/>
              <w:left w:val="single" w:color="auto" w:sz="4" w:space="0"/>
              <w:bottom w:val="single" w:color="auto" w:sz="4" w:space="0"/>
              <w:right w:val="single" w:color="auto" w:sz="4" w:space="0"/>
            </w:tcBorders>
            <w:shd w:val="clear" w:color="auto" w:fill="auto"/>
            <w:vAlign w:val="center"/>
          </w:tcPr>
          <w:p w14:paraId="12551393">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5000万元以上</w:t>
            </w:r>
          </w:p>
          <w:p w14:paraId="79AEF7B1">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（含5000万元）</w:t>
            </w:r>
          </w:p>
        </w:tc>
        <w:tc>
          <w:tcPr>
            <w:tcW w:w="1701" w:type="dxa"/>
            <w:tcBorders>
              <w:top w:val="single" w:color="auto" w:sz="4" w:space="0"/>
              <w:left w:val="nil"/>
              <w:bottom w:val="single" w:color="auto" w:sz="4" w:space="0"/>
              <w:right w:val="single" w:color="auto" w:sz="4" w:space="0"/>
            </w:tcBorders>
            <w:shd w:val="clear" w:color="auto" w:fill="auto"/>
            <w:vAlign w:val="center"/>
          </w:tcPr>
          <w:p w14:paraId="4868B198">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701" w:type="dxa"/>
            <w:tcBorders>
              <w:top w:val="single" w:color="auto" w:sz="4" w:space="0"/>
              <w:left w:val="nil"/>
              <w:bottom w:val="single" w:color="auto" w:sz="4" w:space="0"/>
              <w:right w:val="single" w:color="auto" w:sz="4" w:space="0"/>
            </w:tcBorders>
            <w:shd w:val="clear" w:color="auto" w:fill="auto"/>
            <w:vAlign w:val="center"/>
          </w:tcPr>
          <w:p w14:paraId="56F437D7">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11工作日</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CAC27B">
            <w:pPr>
              <w:snapToGrid w:val="0"/>
              <w:spacing w:line="500" w:lineRule="exact"/>
              <w:jc w:val="center"/>
              <w:rPr>
                <w:rFonts w:ascii="宋体" w:hAnsi="宋体" w:eastAsia="宋体" w:cs="宋体"/>
                <w:color w:val="auto"/>
                <w:kern w:val="2"/>
                <w:highlight w:val="none"/>
                <w:lang w:bidi="ar"/>
              </w:rPr>
            </w:pPr>
            <w:r>
              <w:rPr>
                <w:rFonts w:hint="eastAsia" w:ascii="宋体" w:hAnsi="宋体" w:eastAsia="宋体" w:cs="宋体"/>
                <w:color w:val="auto"/>
                <w:kern w:val="2"/>
                <w:highlight w:val="none"/>
                <w:lang w:bidi="ar"/>
              </w:rPr>
              <w:t>11工作日</w:t>
            </w:r>
          </w:p>
        </w:tc>
      </w:tr>
    </w:tbl>
    <w:p w14:paraId="375A2AE2">
      <w:pPr>
        <w:spacing w:line="420" w:lineRule="exact"/>
        <w:ind w:firstLine="482"/>
        <w:outlineLvl w:val="3"/>
        <w:rPr>
          <w:rFonts w:eastAsia="宋体" w:cs="宋体"/>
          <w:b/>
          <w:bCs/>
          <w:color w:val="auto"/>
          <w:highlight w:val="none"/>
        </w:rPr>
      </w:pPr>
      <w:r>
        <w:rPr>
          <w:rFonts w:hint="eastAsia" w:eastAsia="宋体" w:cs="宋体"/>
          <w:b/>
          <w:bCs/>
          <w:color w:val="auto"/>
          <w:highlight w:val="none"/>
        </w:rPr>
        <w:t>注：开始时间以采购人协审委派单次日计算。</w:t>
      </w:r>
    </w:p>
    <w:p w14:paraId="097088A2">
      <w:pPr>
        <w:spacing w:line="420" w:lineRule="exact"/>
        <w:ind w:firstLine="480"/>
        <w:rPr>
          <w:rFonts w:eastAsia="宋体" w:cs="宋体"/>
          <w:color w:val="auto"/>
          <w:highlight w:val="none"/>
        </w:rPr>
      </w:pPr>
      <w:r>
        <w:rPr>
          <w:rFonts w:hint="eastAsia" w:eastAsia="宋体" w:cs="宋体"/>
          <w:color w:val="auto"/>
          <w:highlight w:val="none"/>
        </w:rPr>
        <w:t>4.评审质量要求：</w:t>
      </w:r>
    </w:p>
    <w:p w14:paraId="069A8C4A">
      <w:pPr>
        <w:spacing w:line="420" w:lineRule="exact"/>
        <w:ind w:firstLine="480"/>
        <w:rPr>
          <w:rFonts w:eastAsia="宋体" w:cs="宋体"/>
          <w:color w:val="auto"/>
          <w:highlight w:val="none"/>
        </w:rPr>
      </w:pPr>
      <w:r>
        <w:rPr>
          <w:rFonts w:hint="eastAsia" w:eastAsia="宋体" w:cs="宋体"/>
          <w:color w:val="auto"/>
          <w:highlight w:val="none"/>
        </w:rPr>
        <w:t>4.1各协审单位在协审过程中应按照造价咨询执业规范和采购人的要求，接受采购人的执业质量监督。</w:t>
      </w:r>
    </w:p>
    <w:p w14:paraId="01FC21D1">
      <w:pPr>
        <w:spacing w:line="420" w:lineRule="exact"/>
        <w:ind w:firstLine="480"/>
        <w:rPr>
          <w:rFonts w:eastAsia="宋体" w:cs="宋体"/>
          <w:color w:val="auto"/>
          <w:highlight w:val="none"/>
        </w:rPr>
      </w:pPr>
      <w:r>
        <w:rPr>
          <w:rFonts w:hint="eastAsia" w:eastAsia="宋体" w:cs="宋体"/>
          <w:color w:val="auto"/>
          <w:highlight w:val="none"/>
        </w:rPr>
        <w:t>4.2估算、概算、预算评审工作要求：各协审单位应强化内部制度，督促协审人员根据方案设计文件，结合项目规模、使用功能、估算费用、资金使用等方面对投资估算进行评审；根据初步设计文件，对项目概算的工程量、计价依据、材料价格等进行评审。根据施工图设计文件，对项目预算的工程量、计价依据、材料价格等进行评审。 必要时须查勘现场，对非标产品进行询价，确保评审报告科学、合理。</w:t>
      </w:r>
    </w:p>
    <w:p w14:paraId="4A7D7FCE">
      <w:pPr>
        <w:spacing w:line="420" w:lineRule="exact"/>
        <w:ind w:firstLine="480"/>
        <w:rPr>
          <w:rFonts w:eastAsia="宋体" w:cs="宋体"/>
          <w:color w:val="auto"/>
          <w:highlight w:val="none"/>
        </w:rPr>
      </w:pPr>
      <w:r>
        <w:rPr>
          <w:rFonts w:hint="eastAsia" w:eastAsia="宋体" w:cs="宋体"/>
          <w:color w:val="auto"/>
          <w:highlight w:val="none"/>
        </w:rPr>
        <w:t>4.3各协审单位应认真做好内部复核工作，做到每个协审项目初稿在送采购人前，都应有技术负责人严格把关，努力提高协审质量。</w:t>
      </w:r>
    </w:p>
    <w:p w14:paraId="1A9460F9">
      <w:pPr>
        <w:spacing w:line="420" w:lineRule="exact"/>
        <w:ind w:firstLine="480"/>
        <w:rPr>
          <w:rFonts w:eastAsia="宋体" w:cs="宋体"/>
          <w:color w:val="auto"/>
          <w:highlight w:val="none"/>
        </w:rPr>
      </w:pPr>
      <w:r>
        <w:rPr>
          <w:rFonts w:hint="eastAsia" w:eastAsia="宋体" w:cs="宋体"/>
          <w:color w:val="auto"/>
          <w:highlight w:val="none"/>
        </w:rPr>
        <w:t>4.4采购人对参与协审的供应商进行动态管理。采购人以供应商每一个参审工程为单位，对供应商完成的项目进行考核。</w:t>
      </w:r>
    </w:p>
    <w:p w14:paraId="41A2E037">
      <w:pPr>
        <w:spacing w:line="420" w:lineRule="exact"/>
        <w:ind w:firstLine="480"/>
        <w:rPr>
          <w:rFonts w:eastAsia="宋体" w:cs="宋体"/>
          <w:color w:val="auto"/>
          <w:highlight w:val="none"/>
        </w:rPr>
      </w:pPr>
      <w:r>
        <w:rPr>
          <w:rFonts w:hint="eastAsia" w:eastAsia="宋体" w:cs="宋体"/>
          <w:color w:val="auto"/>
          <w:highlight w:val="none"/>
        </w:rPr>
        <w:t>5.项目负责人要求：</w:t>
      </w:r>
    </w:p>
    <w:p w14:paraId="481A29EF">
      <w:pPr>
        <w:spacing w:line="420" w:lineRule="exact"/>
        <w:ind w:firstLine="480"/>
        <w:rPr>
          <w:rFonts w:eastAsia="宋体" w:cs="宋体"/>
          <w:color w:val="auto"/>
          <w:highlight w:val="none"/>
        </w:rPr>
      </w:pPr>
      <w:r>
        <w:rPr>
          <w:rFonts w:hint="eastAsia" w:eastAsia="宋体" w:cs="宋体"/>
          <w:color w:val="auto"/>
          <w:highlight w:val="none"/>
        </w:rPr>
        <w:t>5.1供应商拟派项目负责人应具有一级注册造价工程师资质。（注：土木建筑工程、安装工程、交通运输工程（公路、水运）、水利工程四类中的任意一种）</w:t>
      </w:r>
    </w:p>
    <w:p w14:paraId="43A12CF2">
      <w:pPr>
        <w:spacing w:line="420" w:lineRule="exact"/>
        <w:ind w:firstLine="480"/>
        <w:rPr>
          <w:rFonts w:eastAsia="宋体" w:cs="宋体"/>
          <w:color w:val="auto"/>
          <w:highlight w:val="none"/>
        </w:rPr>
      </w:pPr>
      <w:r>
        <w:rPr>
          <w:rFonts w:hint="eastAsia" w:eastAsia="宋体" w:cs="宋体"/>
          <w:color w:val="auto"/>
          <w:highlight w:val="none"/>
        </w:rPr>
        <w:t>5.2供应商拟派项目负责人必须为供应商的正式在职人员。（注：参与征集活动时，供应商应提供为其缴纳的2025年4月至6月内任意一个月的社保证明并加盖供应商CA公章。）</w:t>
      </w:r>
    </w:p>
    <w:p w14:paraId="4C43266D">
      <w:pPr>
        <w:spacing w:line="420" w:lineRule="exact"/>
        <w:ind w:firstLine="480"/>
        <w:rPr>
          <w:rFonts w:eastAsia="宋体" w:cs="宋体"/>
          <w:color w:val="auto"/>
          <w:highlight w:val="none"/>
        </w:rPr>
      </w:pPr>
      <w:r>
        <w:rPr>
          <w:rFonts w:hint="eastAsia" w:eastAsia="宋体" w:cs="宋体"/>
          <w:color w:val="auto"/>
          <w:highlight w:val="none"/>
        </w:rPr>
        <w:t>5.3供应商拟派项目负责人自2022年1月1日以来须在现投标单位任职期间负责或参与的工程结算审计业绩或项目估算、概算、预算评审业绩。（需提供合同、造价咨询报告；业绩证明时间以造价咨询报告出具时间为准）</w:t>
      </w:r>
    </w:p>
    <w:p w14:paraId="7C32364B">
      <w:pPr>
        <w:spacing w:line="420" w:lineRule="exact"/>
        <w:ind w:firstLine="480"/>
        <w:rPr>
          <w:rFonts w:eastAsia="宋体" w:cs="宋体"/>
          <w:color w:val="auto"/>
          <w:highlight w:val="none"/>
        </w:rPr>
      </w:pPr>
      <w:r>
        <w:rPr>
          <w:rFonts w:hint="eastAsia" w:eastAsia="宋体" w:cs="宋体"/>
          <w:color w:val="auto"/>
          <w:highlight w:val="none"/>
        </w:rPr>
        <w:t>5.4因项目负责人辞职、生病等原因，需另行选择项目负责人的，其资质应当不低于被替换人员的资质，并向采购人书面申请和报送另行选择项目负责人的资质证明材料，取得采购人同意后方可更换。</w:t>
      </w:r>
    </w:p>
    <w:p w14:paraId="7F6CA90D">
      <w:pPr>
        <w:spacing w:line="420" w:lineRule="exact"/>
        <w:ind w:firstLine="480"/>
        <w:rPr>
          <w:rFonts w:eastAsia="宋体" w:cs="宋体"/>
          <w:color w:val="auto"/>
          <w:highlight w:val="none"/>
        </w:rPr>
      </w:pPr>
      <w:r>
        <w:rPr>
          <w:rFonts w:hint="eastAsia" w:eastAsia="宋体" w:cs="宋体"/>
          <w:color w:val="auto"/>
          <w:highlight w:val="none"/>
        </w:rPr>
        <w:t>6.纪律要求</w:t>
      </w:r>
    </w:p>
    <w:p w14:paraId="0B9820F7">
      <w:pPr>
        <w:spacing w:line="420" w:lineRule="exact"/>
        <w:ind w:firstLine="480"/>
        <w:rPr>
          <w:rFonts w:eastAsia="宋体" w:cs="宋体"/>
          <w:color w:val="auto"/>
          <w:highlight w:val="none"/>
        </w:rPr>
      </w:pPr>
      <w:r>
        <w:rPr>
          <w:rFonts w:hint="eastAsia" w:eastAsia="宋体" w:cs="宋体"/>
          <w:color w:val="auto"/>
          <w:highlight w:val="none"/>
        </w:rPr>
        <w:t>6.1乙方的协审人员不得私下接收被协审单位补充评审资料,对争议事项、增加造价、延长协审时间等重要情况应与服务对象及时沟通,并应如实反映协审中发现的违法违纪问题。</w:t>
      </w:r>
    </w:p>
    <w:p w14:paraId="00CC58E4">
      <w:pPr>
        <w:spacing w:line="420" w:lineRule="exact"/>
        <w:ind w:firstLine="480"/>
        <w:rPr>
          <w:rFonts w:eastAsia="宋体" w:cs="宋体"/>
          <w:color w:val="auto"/>
          <w:highlight w:val="none"/>
        </w:rPr>
      </w:pPr>
      <w:r>
        <w:rPr>
          <w:rFonts w:hint="eastAsia" w:eastAsia="宋体" w:cs="宋体"/>
          <w:color w:val="auto"/>
          <w:highlight w:val="none"/>
        </w:rPr>
        <w:t>6.2乙方在执行委托协审业务过程中须严守协审工作纪律，廉洁从审，实事求是，并负有评审资料的保管及保密责任。乙方与甲方就委托的单个“协审项目”在签订委托合同时须签订“廉洁协审协议”，在协审过程中，应严守职业道德和廉洁协审纪律，主动接受相关部门的指导和监督。</w:t>
      </w:r>
    </w:p>
    <w:p w14:paraId="179F5D9C">
      <w:pPr>
        <w:spacing w:line="420" w:lineRule="exact"/>
        <w:ind w:firstLine="480"/>
        <w:rPr>
          <w:rFonts w:eastAsia="宋体" w:cs="宋体"/>
          <w:color w:val="auto"/>
          <w:highlight w:val="none"/>
        </w:rPr>
      </w:pPr>
      <w:r>
        <w:rPr>
          <w:rFonts w:hint="eastAsia" w:eastAsia="宋体" w:cs="宋体"/>
          <w:color w:val="auto"/>
          <w:highlight w:val="none"/>
        </w:rPr>
        <w:t>6.3乙方和协审人员与服务对象、被协审单位有关人员之间有夫妻关系、直系血亲关系、三代以内旁系血亲以及近姻亲关系的；与服务对象、被协审单位或者协审事项有经济利益关系的，可能影响协审质量的；遇有承担过建设单位委托的工程估算编制、概算编制、招标代理、招标控制价编制、预算编制、施工监理、全过程咨询、工程竣工价款结算编制等业务的，乙方和协审人员应主动提出回避。</w:t>
      </w:r>
    </w:p>
    <w:p w14:paraId="553F7FD2">
      <w:pPr>
        <w:spacing w:line="420" w:lineRule="exact"/>
        <w:ind w:firstLine="480"/>
        <w:rPr>
          <w:rFonts w:eastAsia="宋体" w:cs="宋体"/>
          <w:color w:val="auto"/>
          <w:highlight w:val="none"/>
        </w:rPr>
      </w:pPr>
      <w:r>
        <w:rPr>
          <w:rFonts w:hint="eastAsia" w:eastAsia="宋体" w:cs="宋体"/>
          <w:color w:val="auto"/>
          <w:highlight w:val="none"/>
        </w:rPr>
        <w:t>6.4乙方不得将协审业务转托给其它机构或个人，也不得私自向被协审单位收取任何费用。</w:t>
      </w:r>
    </w:p>
    <w:p w14:paraId="4EDB3B5F">
      <w:pPr>
        <w:spacing w:line="420" w:lineRule="exact"/>
        <w:ind w:firstLine="480"/>
        <w:rPr>
          <w:rFonts w:eastAsia="宋体" w:cs="宋体"/>
          <w:color w:val="auto"/>
          <w:highlight w:val="none"/>
        </w:rPr>
      </w:pPr>
      <w:r>
        <w:rPr>
          <w:rFonts w:hint="eastAsia" w:eastAsia="宋体" w:cs="宋体"/>
          <w:color w:val="auto"/>
          <w:highlight w:val="none"/>
        </w:rPr>
        <w:t>7.资料要求</w:t>
      </w:r>
    </w:p>
    <w:p w14:paraId="2612A74C">
      <w:pPr>
        <w:spacing w:line="420" w:lineRule="exact"/>
        <w:ind w:firstLine="480"/>
        <w:rPr>
          <w:rFonts w:eastAsia="宋体" w:cs="宋体"/>
          <w:color w:val="auto"/>
          <w:highlight w:val="none"/>
        </w:rPr>
      </w:pPr>
      <w:r>
        <w:rPr>
          <w:rFonts w:hint="eastAsia" w:eastAsia="宋体" w:cs="宋体"/>
          <w:color w:val="auto"/>
          <w:highlight w:val="none"/>
        </w:rPr>
        <w:t>7.1乙方不得遗失、损坏、篡改各类资料，亦不得将受托项目的协审资料交于他人，如发生此类情况，乙方应承担相应责任。同时甲方有权中止与其签订的采购合同，并做出相应的处罚。</w:t>
      </w:r>
    </w:p>
    <w:p w14:paraId="5F06A962">
      <w:pPr>
        <w:spacing w:line="420" w:lineRule="exact"/>
        <w:ind w:firstLine="480"/>
        <w:rPr>
          <w:rFonts w:eastAsia="宋体" w:cs="宋体"/>
          <w:color w:val="auto"/>
          <w:highlight w:val="none"/>
        </w:rPr>
      </w:pPr>
      <w:r>
        <w:rPr>
          <w:rFonts w:hint="eastAsia" w:eastAsia="宋体" w:cs="宋体"/>
          <w:color w:val="auto"/>
          <w:highlight w:val="none"/>
        </w:rPr>
        <w:t>8.甲方义务</w:t>
      </w:r>
    </w:p>
    <w:p w14:paraId="6DC27B21">
      <w:pPr>
        <w:spacing w:line="420" w:lineRule="exact"/>
        <w:ind w:firstLine="480"/>
        <w:rPr>
          <w:rFonts w:eastAsia="宋体" w:cs="宋体"/>
          <w:color w:val="auto"/>
          <w:highlight w:val="none"/>
        </w:rPr>
      </w:pPr>
      <w:r>
        <w:rPr>
          <w:rFonts w:hint="eastAsia" w:eastAsia="宋体" w:cs="宋体"/>
          <w:color w:val="auto"/>
          <w:highlight w:val="none"/>
        </w:rPr>
        <w:t>8.1甲方负责编制评审实施方案，明确项目主审，下达评审通知，提供评审所需的有关资料，协调与建设相关单位（设计、施工、建设、监理、供货等）的关系，组织参与现场踏勘和工程</w:t>
      </w:r>
      <w:r>
        <w:rPr>
          <w:rFonts w:hint="eastAsia" w:eastAsia="宋体" w:cs="宋体"/>
          <w:b/>
          <w:color w:val="auto"/>
          <w:highlight w:val="none"/>
        </w:rPr>
        <w:t>协审</w:t>
      </w:r>
      <w:r>
        <w:rPr>
          <w:rFonts w:hint="eastAsia" w:eastAsia="宋体" w:cs="宋体"/>
          <w:color w:val="auto"/>
          <w:highlight w:val="none"/>
        </w:rPr>
        <w:t>的核对工作，负责召集研究和处理重大评审事项，并做好会议记录，为评审项目顺利实施提供必要条件。如甲方未能及时完成上述事项，应相应顺延对乙方的评审期限要求。</w:t>
      </w:r>
    </w:p>
    <w:p w14:paraId="4ACEE1CB">
      <w:pPr>
        <w:spacing w:line="420" w:lineRule="exact"/>
        <w:ind w:firstLine="480"/>
        <w:rPr>
          <w:rFonts w:eastAsia="宋体" w:cs="宋体"/>
          <w:color w:val="auto"/>
          <w:highlight w:val="none"/>
        </w:rPr>
      </w:pPr>
      <w:r>
        <w:rPr>
          <w:rFonts w:hint="eastAsia" w:eastAsia="宋体" w:cs="宋体"/>
          <w:color w:val="auto"/>
          <w:highlight w:val="none"/>
        </w:rPr>
        <w:t>8.2如乙方在评审中发现重大违法违纪线索，甲方根据情况另酌情予以奖励。</w:t>
      </w:r>
    </w:p>
    <w:p w14:paraId="2FA1CFD5">
      <w:pPr>
        <w:spacing w:line="420" w:lineRule="exact"/>
        <w:ind w:firstLine="480"/>
        <w:rPr>
          <w:rFonts w:eastAsia="宋体" w:cs="宋体"/>
          <w:b/>
          <w:bCs/>
          <w:color w:val="auto"/>
          <w:highlight w:val="none"/>
        </w:rPr>
      </w:pPr>
      <w:r>
        <w:rPr>
          <w:rFonts w:hint="eastAsia" w:eastAsia="宋体" w:cs="宋体"/>
          <w:b/>
          <w:bCs/>
          <w:color w:val="auto"/>
          <w:highlight w:val="none"/>
        </w:rPr>
        <w:t>三、协审费用的结算</w:t>
      </w:r>
      <w:r>
        <w:rPr>
          <w:rFonts w:hint="eastAsia" w:eastAsia="宋体" w:cs="宋体"/>
          <w:b/>
          <w:bCs/>
          <w:color w:val="auto"/>
          <w:highlight w:val="none"/>
          <w:lang w:val="en-US" w:eastAsia="zh-CN"/>
        </w:rPr>
        <w:t>及</w:t>
      </w:r>
      <w:r>
        <w:rPr>
          <w:rFonts w:hint="eastAsia" w:eastAsia="宋体" w:cs="宋体"/>
          <w:b/>
          <w:bCs/>
          <w:color w:val="auto"/>
          <w:highlight w:val="none"/>
        </w:rPr>
        <w:t>支付</w:t>
      </w:r>
    </w:p>
    <w:p w14:paraId="67F9A481">
      <w:pPr>
        <w:spacing w:line="420" w:lineRule="exact"/>
        <w:ind w:firstLine="482"/>
        <w:outlineLvl w:val="3"/>
        <w:rPr>
          <w:rFonts w:eastAsia="宋体" w:cs="宋体"/>
          <w:b/>
          <w:bCs/>
          <w:color w:val="auto"/>
          <w:highlight w:val="none"/>
        </w:rPr>
      </w:pPr>
      <w:r>
        <w:rPr>
          <w:rFonts w:hint="eastAsia" w:eastAsia="宋体" w:cs="宋体"/>
          <w:b/>
          <w:bCs/>
          <w:color w:val="auto"/>
          <w:highlight w:val="none"/>
        </w:rPr>
        <w:t>1.估算、概算、预算协审费用结算</w:t>
      </w:r>
    </w:p>
    <w:tbl>
      <w:tblPr>
        <w:tblStyle w:val="89"/>
        <w:tblW w:w="5000" w:type="pct"/>
        <w:tblInd w:w="93" w:type="dxa"/>
        <w:tblLayout w:type="autofit"/>
        <w:tblCellMar>
          <w:top w:w="0" w:type="dxa"/>
          <w:left w:w="108" w:type="dxa"/>
          <w:bottom w:w="0" w:type="dxa"/>
          <w:right w:w="108" w:type="dxa"/>
        </w:tblCellMar>
      </w:tblPr>
      <w:tblGrid>
        <w:gridCol w:w="633"/>
        <w:gridCol w:w="1367"/>
        <w:gridCol w:w="1051"/>
        <w:gridCol w:w="1236"/>
        <w:gridCol w:w="1252"/>
        <w:gridCol w:w="1236"/>
        <w:gridCol w:w="917"/>
        <w:gridCol w:w="864"/>
        <w:gridCol w:w="1395"/>
      </w:tblGrid>
      <w:tr w14:paraId="2327ACA4">
        <w:tblPrEx>
          <w:tblCellMar>
            <w:top w:w="0" w:type="dxa"/>
            <w:left w:w="108" w:type="dxa"/>
            <w:bottom w:w="0" w:type="dxa"/>
            <w:right w:w="108" w:type="dxa"/>
          </w:tblCellMar>
        </w:tblPrEx>
        <w:trPr>
          <w:trHeight w:val="630"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7B02DAEC">
            <w:pPr>
              <w:widowControl/>
              <w:ind w:firstLine="2891" w:firstLineChars="9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 xml:space="preserve">    协审费基准费率标准 ‰</w:t>
            </w:r>
          </w:p>
        </w:tc>
      </w:tr>
      <w:tr w14:paraId="1D789159">
        <w:tblPrEx>
          <w:tblCellMar>
            <w:top w:w="0" w:type="dxa"/>
            <w:left w:w="108" w:type="dxa"/>
            <w:bottom w:w="0" w:type="dxa"/>
            <w:right w:w="108" w:type="dxa"/>
          </w:tblCellMar>
        </w:tblPrEx>
        <w:trPr>
          <w:trHeight w:val="480" w:hRule="atLeast"/>
        </w:trPr>
        <w:tc>
          <w:tcPr>
            <w:tcW w:w="318" w:type="pct"/>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14:paraId="6C22323A">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类别</w:t>
            </w:r>
          </w:p>
        </w:tc>
        <w:tc>
          <w:tcPr>
            <w:tcW w:w="687" w:type="pct"/>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14:paraId="36FFBEE8">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收费基数</w:t>
            </w:r>
          </w:p>
        </w:tc>
        <w:tc>
          <w:tcPr>
            <w:tcW w:w="528"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24514843">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500万以内</w:t>
            </w:r>
          </w:p>
        </w:tc>
        <w:tc>
          <w:tcPr>
            <w:tcW w:w="621"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79BE2A5B">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501-1000万</w:t>
            </w:r>
          </w:p>
        </w:tc>
        <w:tc>
          <w:tcPr>
            <w:tcW w:w="629"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577876A7">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1001-5000万</w:t>
            </w:r>
          </w:p>
        </w:tc>
        <w:tc>
          <w:tcPr>
            <w:tcW w:w="621"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49BF62B5">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5001万-1亿</w:t>
            </w:r>
          </w:p>
        </w:tc>
        <w:tc>
          <w:tcPr>
            <w:tcW w:w="461"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5BAA2B9D">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1亿-5亿</w:t>
            </w:r>
          </w:p>
        </w:tc>
        <w:tc>
          <w:tcPr>
            <w:tcW w:w="434" w:type="pct"/>
            <w:tcBorders>
              <w:top w:val="single" w:color="000000" w:sz="12" w:space="0"/>
              <w:left w:val="nil"/>
              <w:bottom w:val="nil"/>
              <w:right w:val="single" w:color="000000" w:sz="12" w:space="0"/>
            </w:tcBorders>
            <w:shd w:val="clear" w:color="auto" w:fill="auto"/>
            <w:tcMar>
              <w:top w:w="15" w:type="dxa"/>
              <w:left w:w="15" w:type="dxa"/>
              <w:bottom w:w="15" w:type="dxa"/>
              <w:right w:w="15" w:type="dxa"/>
            </w:tcMar>
            <w:vAlign w:val="center"/>
          </w:tcPr>
          <w:p w14:paraId="22D517C7">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5亿以上</w:t>
            </w:r>
          </w:p>
        </w:tc>
        <w:tc>
          <w:tcPr>
            <w:tcW w:w="698" w:type="pct"/>
            <w:tcBorders>
              <w:top w:val="single" w:color="000000" w:sz="12" w:space="0"/>
              <w:left w:val="nil"/>
              <w:bottom w:val="nil"/>
              <w:right w:val="single" w:color="000000" w:sz="12" w:space="0"/>
            </w:tcBorders>
            <w:shd w:val="clear" w:color="auto" w:fill="auto"/>
            <w:tcMar>
              <w:top w:w="15" w:type="dxa"/>
              <w:left w:w="15" w:type="dxa"/>
              <w:bottom w:w="15" w:type="dxa"/>
              <w:right w:w="15" w:type="dxa"/>
            </w:tcMar>
            <w:vAlign w:val="center"/>
          </w:tcPr>
          <w:p w14:paraId="15B6BF70">
            <w:pPr>
              <w:widowControl/>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备注</w:t>
            </w:r>
          </w:p>
        </w:tc>
      </w:tr>
      <w:tr w14:paraId="64E6F7A8">
        <w:tblPrEx>
          <w:tblCellMar>
            <w:top w:w="0" w:type="dxa"/>
            <w:left w:w="108" w:type="dxa"/>
            <w:bottom w:w="0" w:type="dxa"/>
            <w:right w:w="108" w:type="dxa"/>
          </w:tblCellMar>
        </w:tblPrEx>
        <w:trPr>
          <w:trHeight w:val="648"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5D31F6">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投资估算审核</w:t>
            </w:r>
          </w:p>
        </w:tc>
        <w:tc>
          <w:tcPr>
            <w:tcW w:w="687"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1A85E412">
            <w:pPr>
              <w:widowControl/>
              <w:jc w:val="left"/>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总投资（不含土地费、拆迁费）</w:t>
            </w:r>
          </w:p>
        </w:tc>
        <w:tc>
          <w:tcPr>
            <w:tcW w:w="52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45F6AE8">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0.2</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450B122">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0.16</w:t>
            </w:r>
          </w:p>
        </w:tc>
        <w:tc>
          <w:tcPr>
            <w:tcW w:w="629"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B87A381">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0.12</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61DF517E">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0.08</w:t>
            </w:r>
          </w:p>
        </w:tc>
        <w:tc>
          <w:tcPr>
            <w:tcW w:w="46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57BD9D0">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0.06</w:t>
            </w:r>
          </w:p>
        </w:tc>
        <w:tc>
          <w:tcPr>
            <w:tcW w:w="434"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15B0F507">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0.04</w:t>
            </w:r>
          </w:p>
        </w:tc>
        <w:tc>
          <w:tcPr>
            <w:tcW w:w="69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274DF0F">
            <w:pPr>
              <w:widowControl/>
              <w:jc w:val="left"/>
              <w:rPr>
                <w:rFonts w:ascii="宋体" w:hAnsi="宋体" w:eastAsia="宋体" w:cs="宋体"/>
                <w:b/>
                <w:color w:val="auto"/>
                <w:sz w:val="20"/>
                <w:szCs w:val="20"/>
                <w:highlight w:val="none"/>
              </w:rPr>
            </w:pPr>
          </w:p>
        </w:tc>
      </w:tr>
      <w:tr w14:paraId="339C4CE8">
        <w:tblPrEx>
          <w:tblCellMar>
            <w:top w:w="0" w:type="dxa"/>
            <w:left w:w="108" w:type="dxa"/>
            <w:bottom w:w="0" w:type="dxa"/>
            <w:right w:w="108" w:type="dxa"/>
          </w:tblCellMar>
        </w:tblPrEx>
        <w:trPr>
          <w:trHeight w:val="648"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5028F76">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工程初步设计概算审核</w:t>
            </w:r>
          </w:p>
        </w:tc>
        <w:tc>
          <w:tcPr>
            <w:tcW w:w="687"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6BC7E7B">
            <w:pPr>
              <w:widowControl/>
              <w:ind w:firstLine="100" w:firstLineChars="50"/>
              <w:jc w:val="left"/>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送审概算价（不含土地费、拆迁费）</w:t>
            </w:r>
          </w:p>
        </w:tc>
        <w:tc>
          <w:tcPr>
            <w:tcW w:w="52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758675A9">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0.60</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321273F2">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0.50</w:t>
            </w:r>
          </w:p>
        </w:tc>
        <w:tc>
          <w:tcPr>
            <w:tcW w:w="629"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526FAC0">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0.40</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75F7341A">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0.35</w:t>
            </w:r>
          </w:p>
        </w:tc>
        <w:tc>
          <w:tcPr>
            <w:tcW w:w="46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143E92BC">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0.15</w:t>
            </w:r>
          </w:p>
        </w:tc>
        <w:tc>
          <w:tcPr>
            <w:tcW w:w="434"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7DEACFF">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0.10</w:t>
            </w:r>
          </w:p>
        </w:tc>
        <w:tc>
          <w:tcPr>
            <w:tcW w:w="69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2BCA1043">
            <w:pPr>
              <w:widowControl/>
              <w:jc w:val="left"/>
              <w:rPr>
                <w:rFonts w:ascii="宋体" w:hAnsi="宋体" w:eastAsia="宋体" w:cs="宋体"/>
                <w:b/>
                <w:color w:val="auto"/>
                <w:sz w:val="20"/>
                <w:szCs w:val="20"/>
                <w:highlight w:val="none"/>
              </w:rPr>
            </w:pPr>
          </w:p>
        </w:tc>
      </w:tr>
      <w:tr w14:paraId="4F9D6183">
        <w:tblPrEx>
          <w:tblCellMar>
            <w:top w:w="0" w:type="dxa"/>
            <w:left w:w="108" w:type="dxa"/>
            <w:bottom w:w="0" w:type="dxa"/>
            <w:right w:w="108" w:type="dxa"/>
          </w:tblCellMar>
        </w:tblPrEx>
        <w:trPr>
          <w:trHeight w:val="1039"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2F8E952">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工程预算审核</w:t>
            </w:r>
          </w:p>
        </w:tc>
        <w:tc>
          <w:tcPr>
            <w:tcW w:w="687"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EC3BAE0">
            <w:pPr>
              <w:widowControl/>
              <w:jc w:val="left"/>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送审价（不含暂列金）</w:t>
            </w:r>
          </w:p>
        </w:tc>
        <w:tc>
          <w:tcPr>
            <w:tcW w:w="52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3FB921F2">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0.70 </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3B6DCFA5">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0.60 </w:t>
            </w:r>
          </w:p>
        </w:tc>
        <w:tc>
          <w:tcPr>
            <w:tcW w:w="629"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74E22978">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0.55 </w:t>
            </w:r>
          </w:p>
        </w:tc>
        <w:tc>
          <w:tcPr>
            <w:tcW w:w="62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89C2275">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0.45 </w:t>
            </w:r>
          </w:p>
        </w:tc>
        <w:tc>
          <w:tcPr>
            <w:tcW w:w="461"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2C27EE46">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0.22 </w:t>
            </w:r>
          </w:p>
        </w:tc>
        <w:tc>
          <w:tcPr>
            <w:tcW w:w="434"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647A806B">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0.15 </w:t>
            </w:r>
          </w:p>
        </w:tc>
        <w:tc>
          <w:tcPr>
            <w:tcW w:w="69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340A4DE5">
            <w:pPr>
              <w:widowControl/>
              <w:jc w:val="left"/>
              <w:rPr>
                <w:rFonts w:ascii="宋体" w:hAnsi="宋体" w:eastAsia="宋体" w:cs="宋体"/>
                <w:b/>
                <w:bCs/>
                <w:color w:val="auto"/>
                <w:sz w:val="20"/>
                <w:szCs w:val="20"/>
                <w:highlight w:val="none"/>
              </w:rPr>
            </w:pPr>
          </w:p>
        </w:tc>
      </w:tr>
      <w:tr w14:paraId="5ECFD03F">
        <w:tblPrEx>
          <w:tblCellMar>
            <w:top w:w="0" w:type="dxa"/>
            <w:left w:w="108" w:type="dxa"/>
            <w:bottom w:w="0" w:type="dxa"/>
            <w:right w:w="108" w:type="dxa"/>
          </w:tblCellMar>
        </w:tblPrEx>
        <w:trPr>
          <w:trHeight w:val="964"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4CEE6D">
            <w:pPr>
              <w:widowControl/>
              <w:jc w:val="left"/>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协审费用计算方法：</w:t>
            </w:r>
          </w:p>
          <w:p w14:paraId="26AC7971">
            <w:pPr>
              <w:widowControl/>
              <w:jc w:val="left"/>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以上表费率计算出的费用作为基准费。协审费用分为基本费和奖励费组成。基本费为基准费的50%，奖励费为核减部分的3%但不能大于基本费的1倍。评审总额不足1000元的按1000元计算。</w:t>
            </w:r>
          </w:p>
        </w:tc>
      </w:tr>
      <w:tr w14:paraId="4F9D5AAD">
        <w:tblPrEx>
          <w:tblCellMar>
            <w:top w:w="0" w:type="dxa"/>
            <w:left w:w="108" w:type="dxa"/>
            <w:bottom w:w="0" w:type="dxa"/>
            <w:right w:w="108" w:type="dxa"/>
          </w:tblCellMar>
        </w:tblPrEx>
        <w:trPr>
          <w:trHeight w:val="522"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02A82832">
            <w:pPr>
              <w:spacing w:line="360" w:lineRule="auto"/>
              <w:rPr>
                <w:rFonts w:ascii="宋体" w:hAnsi="宋体" w:eastAsia="宋体" w:cs="Arial"/>
                <w:color w:val="auto"/>
                <w:highlight w:val="none"/>
              </w:rPr>
            </w:pPr>
            <w:r>
              <w:rPr>
                <w:rFonts w:hint="eastAsia" w:ascii="宋体" w:hAnsi="宋体" w:eastAsia="宋体" w:cs="宋体"/>
                <w:color w:val="auto"/>
                <w:highlight w:val="none"/>
                <w:lang w:bidi="ar"/>
              </w:rPr>
              <w:t xml:space="preserve">说明：  </w:t>
            </w:r>
          </w:p>
        </w:tc>
      </w:tr>
      <w:tr w14:paraId="78DD9E20">
        <w:tblPrEx>
          <w:tblCellMar>
            <w:top w:w="0" w:type="dxa"/>
            <w:left w:w="108" w:type="dxa"/>
            <w:bottom w:w="0" w:type="dxa"/>
            <w:right w:w="108" w:type="dxa"/>
          </w:tblCellMar>
        </w:tblPrEx>
        <w:trPr>
          <w:trHeight w:val="508"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1FCAB127">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1.钢筋、铁件的工程量</w:t>
            </w:r>
            <w:r>
              <w:rPr>
                <w:rFonts w:hint="eastAsia" w:eastAsia="宋体" w:cs="宋体"/>
                <w:color w:val="auto"/>
                <w:highlight w:val="none"/>
              </w:rPr>
              <w:t>审核</w:t>
            </w:r>
            <w:r>
              <w:rPr>
                <w:rFonts w:hint="eastAsia" w:ascii="宋体" w:hAnsi="宋体" w:eastAsia="宋体" w:cs="宋体"/>
                <w:color w:val="auto"/>
                <w:highlight w:val="none"/>
                <w:lang w:bidi="ar"/>
              </w:rPr>
              <w:t>不再另行计算费用。</w:t>
            </w:r>
          </w:p>
        </w:tc>
      </w:tr>
      <w:tr w14:paraId="73E70C7F">
        <w:tblPrEx>
          <w:tblCellMar>
            <w:top w:w="0" w:type="dxa"/>
            <w:left w:w="108" w:type="dxa"/>
            <w:bottom w:w="0" w:type="dxa"/>
            <w:right w:w="108" w:type="dxa"/>
          </w:tblCellMar>
        </w:tblPrEx>
        <w:trPr>
          <w:trHeight w:val="270"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67E46B9E">
            <w:pPr>
              <w:spacing w:line="360" w:lineRule="auto"/>
              <w:rPr>
                <w:rFonts w:ascii="宋体" w:hAnsi="宋体" w:eastAsia="宋体" w:cs="Arial"/>
                <w:color w:val="auto"/>
                <w:highlight w:val="none"/>
              </w:rPr>
            </w:pPr>
          </w:p>
        </w:tc>
      </w:tr>
      <w:tr w14:paraId="5046F61D">
        <w:tblPrEx>
          <w:tblCellMar>
            <w:top w:w="0" w:type="dxa"/>
            <w:left w:w="108" w:type="dxa"/>
            <w:bottom w:w="0" w:type="dxa"/>
            <w:right w:w="108" w:type="dxa"/>
          </w:tblCellMar>
        </w:tblPrEx>
        <w:trPr>
          <w:trHeight w:val="290"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557611DF">
            <w:pPr>
              <w:spacing w:line="360" w:lineRule="auto"/>
              <w:ind w:firstLine="240" w:firstLineChars="100"/>
              <w:rPr>
                <w:rFonts w:ascii="宋体" w:hAnsi="宋体" w:eastAsia="宋体" w:cs="Arial"/>
                <w:color w:val="auto"/>
                <w:highlight w:val="none"/>
              </w:rPr>
            </w:pPr>
            <w:r>
              <w:rPr>
                <w:rFonts w:hint="eastAsia" w:ascii="宋体" w:hAnsi="宋体" w:eastAsia="宋体" w:cs="宋体"/>
                <w:color w:val="auto"/>
                <w:highlight w:val="none"/>
                <w:lang w:bidi="ar"/>
              </w:rPr>
              <w:t>2.单个委托项目总费用最高限价10万元。</w:t>
            </w:r>
          </w:p>
        </w:tc>
      </w:tr>
      <w:tr w14:paraId="4829AE48">
        <w:tblPrEx>
          <w:tblCellMar>
            <w:top w:w="0" w:type="dxa"/>
            <w:left w:w="108" w:type="dxa"/>
            <w:bottom w:w="0" w:type="dxa"/>
            <w:right w:w="108" w:type="dxa"/>
          </w:tblCellMar>
        </w:tblPrEx>
        <w:trPr>
          <w:trHeight w:val="296"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1E192FE6">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3.当单项目工程服务收费不足1000元的按1000元计。</w:t>
            </w:r>
          </w:p>
        </w:tc>
      </w:tr>
      <w:tr w14:paraId="4012DEA3">
        <w:tblPrEx>
          <w:tblCellMar>
            <w:top w:w="0" w:type="dxa"/>
            <w:left w:w="108" w:type="dxa"/>
            <w:bottom w:w="0" w:type="dxa"/>
            <w:right w:w="108" w:type="dxa"/>
          </w:tblCellMar>
        </w:tblPrEx>
        <w:trPr>
          <w:trHeight w:val="161"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5A7B90C2">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4.计费采用差额定率分档累进制法。</w:t>
            </w:r>
          </w:p>
          <w:p w14:paraId="09934F07">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5.根据工程实际，如需要协审机构进行现场踏勘，其必须积极配合，费用自理。</w:t>
            </w:r>
          </w:p>
          <w:p w14:paraId="35B3ADA3">
            <w:pPr>
              <w:spacing w:line="360" w:lineRule="auto"/>
              <w:ind w:firstLine="120" w:firstLineChars="50"/>
              <w:rPr>
                <w:rFonts w:eastAsia="宋体"/>
                <w:color w:val="auto"/>
                <w:kern w:val="2"/>
                <w:sz w:val="21"/>
                <w:szCs w:val="21"/>
                <w:highlight w:val="none"/>
              </w:rPr>
            </w:pPr>
            <w:r>
              <w:rPr>
                <w:rFonts w:hint="eastAsia" w:ascii="宋体" w:hAnsi="宋体" w:eastAsia="宋体" w:cs="宋体"/>
                <w:color w:val="auto"/>
                <w:highlight w:val="none"/>
                <w:lang w:bidi="ar"/>
              </w:rPr>
              <w:t>6.上述报酬均含税，支付报酬时需提供完税发票。</w:t>
            </w:r>
          </w:p>
        </w:tc>
      </w:tr>
    </w:tbl>
    <w:p w14:paraId="26A386A5">
      <w:pPr>
        <w:spacing w:line="420" w:lineRule="exact"/>
        <w:ind w:firstLine="482"/>
        <w:outlineLvl w:val="3"/>
        <w:rPr>
          <w:rFonts w:eastAsia="宋体" w:cs="宋体"/>
          <w:b/>
          <w:bCs/>
          <w:color w:val="auto"/>
          <w:highlight w:val="none"/>
        </w:rPr>
      </w:pPr>
      <w:r>
        <w:rPr>
          <w:rFonts w:hint="eastAsia" w:eastAsia="宋体" w:cs="宋体"/>
          <w:b/>
          <w:bCs/>
          <w:color w:val="auto"/>
          <w:highlight w:val="none"/>
        </w:rPr>
        <w:t>2.协审费用的支付</w:t>
      </w:r>
    </w:p>
    <w:p w14:paraId="50069F73">
      <w:pPr>
        <w:spacing w:line="420" w:lineRule="exact"/>
        <w:ind w:firstLine="480"/>
        <w:rPr>
          <w:rFonts w:eastAsia="宋体" w:cs="宋体"/>
          <w:b/>
          <w:bCs/>
          <w:color w:val="auto"/>
          <w:highlight w:val="none"/>
        </w:rPr>
      </w:pPr>
      <w:r>
        <w:rPr>
          <w:rFonts w:hint="eastAsia" w:eastAsia="宋体" w:cs="宋体"/>
          <w:b/>
          <w:bCs/>
          <w:color w:val="auto"/>
          <w:highlight w:val="none"/>
          <w:u w:val="single"/>
        </w:rPr>
        <w:t>协审费用由供应商按规定申报，经采购人审批后，凭正式发票，每半年结算一次</w:t>
      </w:r>
    </w:p>
    <w:p w14:paraId="3E30DA27">
      <w:pPr>
        <w:spacing w:line="420" w:lineRule="exact"/>
        <w:ind w:firstLine="480"/>
        <w:rPr>
          <w:rFonts w:eastAsia="宋体" w:cs="宋体"/>
          <w:b/>
          <w:bCs/>
          <w:color w:val="auto"/>
          <w:highlight w:val="none"/>
        </w:rPr>
      </w:pPr>
      <w:r>
        <w:rPr>
          <w:rFonts w:hint="eastAsia" w:eastAsia="宋体" w:cs="宋体"/>
          <w:b/>
          <w:bCs/>
          <w:color w:val="auto"/>
          <w:highlight w:val="none"/>
        </w:rPr>
        <w:t>四、乙方或乙方协审人员有下列情形之一的，甲方有权解除协审委托合同，报征集人取消乙方框架协议的入围资格：</w:t>
      </w:r>
    </w:p>
    <w:p w14:paraId="3B13C0A6">
      <w:pPr>
        <w:spacing w:line="420" w:lineRule="exact"/>
        <w:ind w:firstLine="480"/>
        <w:rPr>
          <w:rFonts w:eastAsia="宋体" w:cs="宋体"/>
          <w:color w:val="auto"/>
          <w:highlight w:val="none"/>
        </w:rPr>
      </w:pPr>
      <w:r>
        <w:rPr>
          <w:rFonts w:hint="eastAsia" w:eastAsia="宋体" w:cs="宋体"/>
          <w:color w:val="auto"/>
          <w:highlight w:val="none"/>
        </w:rPr>
        <w:t>1.乙方机构发生变更、升级、注销，乙方协审人员发生执业资格增项、注销、暂停等情形时，未及时通知甲方的；</w:t>
      </w:r>
    </w:p>
    <w:p w14:paraId="5E60011F">
      <w:pPr>
        <w:spacing w:line="420" w:lineRule="exact"/>
        <w:ind w:firstLine="480"/>
        <w:rPr>
          <w:rFonts w:eastAsia="宋体" w:cs="宋体"/>
          <w:color w:val="auto"/>
          <w:highlight w:val="none"/>
        </w:rPr>
      </w:pPr>
      <w:r>
        <w:rPr>
          <w:rFonts w:hint="eastAsia" w:eastAsia="宋体" w:cs="宋体"/>
          <w:color w:val="auto"/>
          <w:highlight w:val="none"/>
        </w:rPr>
        <w:t>2.乙方擅自变更协审人员，或在评审进度要求期限内，累计2次被发现指定的协审人员未正常履职的；</w:t>
      </w:r>
    </w:p>
    <w:p w14:paraId="59E1F2BC">
      <w:pPr>
        <w:spacing w:line="420" w:lineRule="exact"/>
        <w:ind w:firstLine="480"/>
        <w:rPr>
          <w:rFonts w:eastAsia="宋体" w:cs="宋体"/>
          <w:color w:val="auto"/>
          <w:highlight w:val="none"/>
        </w:rPr>
      </w:pPr>
      <w:r>
        <w:rPr>
          <w:rFonts w:hint="eastAsia" w:eastAsia="宋体" w:cs="宋体"/>
          <w:color w:val="auto"/>
          <w:highlight w:val="none"/>
        </w:rPr>
        <w:t>3.接通知后未按时领取协审资料且无故拖延2个工作日以上的；</w:t>
      </w:r>
    </w:p>
    <w:p w14:paraId="426BBCDD">
      <w:pPr>
        <w:spacing w:line="420" w:lineRule="exact"/>
        <w:ind w:firstLine="480"/>
        <w:rPr>
          <w:rFonts w:eastAsia="宋体" w:cs="宋体"/>
          <w:color w:val="auto"/>
          <w:highlight w:val="none"/>
        </w:rPr>
      </w:pPr>
      <w:r>
        <w:rPr>
          <w:rFonts w:hint="eastAsia" w:eastAsia="宋体" w:cs="宋体"/>
          <w:color w:val="auto"/>
          <w:highlight w:val="none"/>
        </w:rPr>
        <w:t>4.接收</w:t>
      </w:r>
      <w:r>
        <w:rPr>
          <w:rFonts w:hint="eastAsia" w:eastAsia="宋体" w:cs="宋体"/>
          <w:b/>
          <w:color w:val="auto"/>
          <w:highlight w:val="none"/>
        </w:rPr>
        <w:t>协审</w:t>
      </w:r>
      <w:r>
        <w:rPr>
          <w:rFonts w:hint="eastAsia" w:eastAsia="宋体" w:cs="宋体"/>
          <w:color w:val="auto"/>
          <w:highlight w:val="none"/>
        </w:rPr>
        <w:t>资料后未按时反馈资料缺失情况且无故拖延5个工作日以上的；</w:t>
      </w:r>
    </w:p>
    <w:p w14:paraId="09A5C000">
      <w:pPr>
        <w:spacing w:line="420" w:lineRule="exact"/>
        <w:ind w:firstLine="480"/>
        <w:rPr>
          <w:rFonts w:eastAsia="宋体" w:cs="宋体"/>
          <w:color w:val="auto"/>
          <w:highlight w:val="none"/>
        </w:rPr>
      </w:pPr>
      <w:r>
        <w:rPr>
          <w:rFonts w:hint="eastAsia" w:eastAsia="宋体" w:cs="宋体"/>
          <w:color w:val="auto"/>
          <w:highlight w:val="none"/>
        </w:rPr>
        <w:t>5.因乙方原因未按时完成协审任务且无故拖延8周以上的；</w:t>
      </w:r>
    </w:p>
    <w:p w14:paraId="7DFEE23C">
      <w:pPr>
        <w:spacing w:line="420" w:lineRule="exact"/>
        <w:ind w:firstLine="480"/>
        <w:rPr>
          <w:rFonts w:eastAsia="宋体" w:cs="宋体"/>
          <w:color w:val="auto"/>
          <w:highlight w:val="none"/>
        </w:rPr>
      </w:pPr>
      <w:r>
        <w:rPr>
          <w:rFonts w:hint="eastAsia" w:eastAsia="宋体" w:cs="宋体"/>
          <w:color w:val="auto"/>
          <w:highlight w:val="none"/>
        </w:rPr>
        <w:t>6.出具正式结果后未按时报送整理完备的协审资料且无故拖延10个工作日以上的；</w:t>
      </w:r>
    </w:p>
    <w:p w14:paraId="75614152">
      <w:pPr>
        <w:spacing w:line="420" w:lineRule="exact"/>
        <w:ind w:firstLine="480"/>
        <w:rPr>
          <w:rFonts w:eastAsia="宋体" w:cs="宋体"/>
          <w:color w:val="auto"/>
          <w:highlight w:val="none"/>
        </w:rPr>
      </w:pPr>
      <w:r>
        <w:rPr>
          <w:rFonts w:hint="eastAsia" w:eastAsia="宋体" w:cs="宋体"/>
          <w:color w:val="auto"/>
          <w:highlight w:val="none"/>
        </w:rPr>
        <w:t>7.在项目协审过程中，协审资料未按规定从甲方处获取，直接向建设单位、施工单位索取的；</w:t>
      </w:r>
    </w:p>
    <w:p w14:paraId="43F551D5">
      <w:pPr>
        <w:spacing w:line="420" w:lineRule="exact"/>
        <w:ind w:firstLine="480"/>
        <w:rPr>
          <w:rFonts w:eastAsia="宋体" w:cs="宋体"/>
          <w:color w:val="auto"/>
          <w:highlight w:val="none"/>
        </w:rPr>
      </w:pPr>
      <w:r>
        <w:rPr>
          <w:rFonts w:hint="eastAsia" w:eastAsia="宋体" w:cs="宋体"/>
          <w:color w:val="auto"/>
          <w:highlight w:val="none"/>
        </w:rPr>
        <w:t>8.协审过程中，未经甲方的工作人员同意，擅自与建设单位、施工单位人员进行数据核对或交换意见的；</w:t>
      </w:r>
    </w:p>
    <w:p w14:paraId="02197258">
      <w:pPr>
        <w:spacing w:line="420" w:lineRule="exact"/>
        <w:ind w:firstLine="480"/>
        <w:rPr>
          <w:rFonts w:eastAsia="宋体" w:cs="宋体"/>
          <w:color w:val="auto"/>
          <w:highlight w:val="none"/>
        </w:rPr>
      </w:pPr>
      <w:r>
        <w:rPr>
          <w:rFonts w:hint="eastAsia" w:eastAsia="宋体" w:cs="宋体"/>
          <w:color w:val="auto"/>
          <w:highlight w:val="none"/>
        </w:rPr>
        <w:t>9.存在协审资料遗失情况的；</w:t>
      </w:r>
    </w:p>
    <w:p w14:paraId="78C738C3">
      <w:pPr>
        <w:spacing w:line="420" w:lineRule="exact"/>
        <w:ind w:firstLine="480"/>
        <w:rPr>
          <w:rFonts w:eastAsia="宋体" w:cs="宋体"/>
          <w:color w:val="auto"/>
          <w:highlight w:val="none"/>
        </w:rPr>
      </w:pPr>
      <w:r>
        <w:rPr>
          <w:rFonts w:hint="eastAsia" w:eastAsia="宋体" w:cs="宋体"/>
          <w:color w:val="auto"/>
          <w:highlight w:val="none"/>
        </w:rPr>
        <w:t>10.在框架协议的服务期限内，累计2次不能做到协审事项积极主动与主审沟通、重要事项及时与主审联系会商、紧急项目加班加点、严格按照甲方要求开展相关工作、积极协商处理不一致意见等事项中任一项的；</w:t>
      </w:r>
    </w:p>
    <w:p w14:paraId="05E1F47C">
      <w:pPr>
        <w:spacing w:line="420" w:lineRule="exact"/>
        <w:ind w:firstLine="480"/>
        <w:rPr>
          <w:rFonts w:eastAsia="宋体" w:cs="宋体"/>
          <w:color w:val="auto"/>
          <w:highlight w:val="none"/>
        </w:rPr>
      </w:pPr>
      <w:r>
        <w:rPr>
          <w:rFonts w:hint="eastAsia" w:ascii="Cambria Math" w:hAnsi="Cambria Math" w:eastAsia="宋体" w:cs="Cambria Math"/>
          <w:color w:val="auto"/>
          <w:highlight w:val="none"/>
        </w:rPr>
        <w:t>11.</w:t>
      </w:r>
      <w:r>
        <w:rPr>
          <w:rFonts w:hint="eastAsia" w:ascii="宋体" w:hAnsi="宋体" w:eastAsia="宋体" w:cs="宋体"/>
          <w:color w:val="auto"/>
          <w:highlight w:val="none"/>
        </w:rPr>
        <w:t>其他不严格执行协审程序的情形。</w:t>
      </w:r>
    </w:p>
    <w:p w14:paraId="7F47026A">
      <w:pPr>
        <w:spacing w:line="420" w:lineRule="exact"/>
        <w:ind w:firstLine="480"/>
        <w:rPr>
          <w:rFonts w:eastAsia="宋体" w:cs="宋体"/>
          <w:b/>
          <w:bCs/>
          <w:color w:val="auto"/>
          <w:highlight w:val="none"/>
        </w:rPr>
      </w:pPr>
      <w:r>
        <w:rPr>
          <w:rFonts w:hint="eastAsia" w:eastAsia="宋体" w:cs="宋体"/>
          <w:b/>
          <w:bCs/>
          <w:color w:val="auto"/>
          <w:highlight w:val="none"/>
        </w:rPr>
        <w:t>五、乙方或乙方协审人员有下列情形之一的，甲方有权解除协审委托合同，报征集人取消乙方框架协议的入围资格，且征集人3年内不再接受乙方参与就同一封闭式框架协议采购开展的征集活动：</w:t>
      </w:r>
    </w:p>
    <w:p w14:paraId="745BE946">
      <w:pPr>
        <w:spacing w:line="420" w:lineRule="exact"/>
        <w:ind w:firstLine="480"/>
        <w:rPr>
          <w:rFonts w:eastAsia="宋体" w:cs="宋体"/>
          <w:color w:val="auto"/>
          <w:highlight w:val="none"/>
        </w:rPr>
      </w:pPr>
      <w:r>
        <w:rPr>
          <w:rFonts w:hint="eastAsia" w:eastAsia="宋体" w:cs="宋体"/>
          <w:color w:val="auto"/>
          <w:highlight w:val="none"/>
        </w:rPr>
        <w:t>1.违反协审“八不准”纪律、“四严禁”要求的；</w:t>
      </w:r>
    </w:p>
    <w:p w14:paraId="677F7F28">
      <w:pPr>
        <w:spacing w:line="420" w:lineRule="exact"/>
        <w:ind w:firstLine="480"/>
        <w:rPr>
          <w:rFonts w:eastAsia="宋体" w:cs="宋体"/>
          <w:color w:val="auto"/>
          <w:highlight w:val="none"/>
        </w:rPr>
      </w:pPr>
      <w:r>
        <w:rPr>
          <w:rFonts w:hint="eastAsia" w:eastAsia="宋体" w:cs="宋体"/>
          <w:color w:val="auto"/>
          <w:highlight w:val="none"/>
        </w:rPr>
        <w:t>2.遇有应当回避的情况时，未主动提出回避的；</w:t>
      </w:r>
    </w:p>
    <w:p w14:paraId="18A178CD">
      <w:pPr>
        <w:spacing w:line="420" w:lineRule="exact"/>
        <w:ind w:firstLine="480"/>
        <w:rPr>
          <w:rFonts w:eastAsia="宋体" w:cs="宋体"/>
          <w:color w:val="auto"/>
          <w:highlight w:val="none"/>
        </w:rPr>
      </w:pPr>
      <w:r>
        <w:rPr>
          <w:rFonts w:hint="eastAsia" w:eastAsia="宋体" w:cs="宋体"/>
          <w:color w:val="auto"/>
          <w:highlight w:val="none"/>
        </w:rPr>
        <w:t>3.拒绝接受甲方的指导和监督的；</w:t>
      </w:r>
    </w:p>
    <w:p w14:paraId="7E2DD0BB">
      <w:pPr>
        <w:spacing w:line="420" w:lineRule="exact"/>
        <w:ind w:firstLine="480"/>
        <w:rPr>
          <w:rFonts w:eastAsia="宋体" w:cs="宋体"/>
          <w:color w:val="auto"/>
          <w:highlight w:val="none"/>
        </w:rPr>
      </w:pPr>
      <w:r>
        <w:rPr>
          <w:rFonts w:hint="eastAsia" w:eastAsia="宋体" w:cs="宋体"/>
          <w:color w:val="auto"/>
          <w:highlight w:val="none"/>
        </w:rPr>
        <w:t>4.隐瞒、变更协审发现的问题的；</w:t>
      </w:r>
    </w:p>
    <w:p w14:paraId="54A0A851">
      <w:pPr>
        <w:spacing w:line="420" w:lineRule="exact"/>
        <w:ind w:firstLine="480"/>
        <w:rPr>
          <w:rFonts w:eastAsia="宋体" w:cs="宋体"/>
          <w:color w:val="auto"/>
          <w:highlight w:val="none"/>
        </w:rPr>
      </w:pPr>
      <w:r>
        <w:rPr>
          <w:rFonts w:hint="eastAsia" w:eastAsia="宋体" w:cs="宋体"/>
          <w:color w:val="auto"/>
          <w:highlight w:val="none"/>
        </w:rPr>
        <w:t xml:space="preserve">5.不遵守协审保密纪律，出现泄密事件的； </w:t>
      </w:r>
    </w:p>
    <w:p w14:paraId="2417CA43">
      <w:pPr>
        <w:spacing w:line="420" w:lineRule="exact"/>
        <w:ind w:firstLine="480"/>
        <w:rPr>
          <w:rFonts w:eastAsia="宋体" w:cs="宋体"/>
          <w:color w:val="auto"/>
          <w:highlight w:val="none"/>
        </w:rPr>
      </w:pPr>
      <w:r>
        <w:rPr>
          <w:rFonts w:hint="eastAsia" w:eastAsia="宋体" w:cs="宋体"/>
          <w:color w:val="auto"/>
          <w:highlight w:val="none"/>
        </w:rPr>
        <w:t>6.将甲方分派的协审任务转包或分包给其他单位或个人的；</w:t>
      </w:r>
    </w:p>
    <w:p w14:paraId="72A3FB61">
      <w:pPr>
        <w:spacing w:line="420" w:lineRule="exact"/>
        <w:ind w:firstLine="480"/>
        <w:rPr>
          <w:rFonts w:eastAsia="宋体" w:cs="宋体"/>
          <w:color w:val="auto"/>
          <w:highlight w:val="none"/>
        </w:rPr>
      </w:pPr>
      <w:r>
        <w:rPr>
          <w:rFonts w:hint="eastAsia" w:eastAsia="宋体" w:cs="宋体"/>
          <w:color w:val="auto"/>
          <w:highlight w:val="none"/>
        </w:rPr>
        <w:t>7.采取非正常手段处理不一致意见的；</w:t>
      </w:r>
    </w:p>
    <w:p w14:paraId="1C47C9B0">
      <w:pPr>
        <w:spacing w:line="420" w:lineRule="exact"/>
        <w:ind w:firstLine="480"/>
        <w:rPr>
          <w:rFonts w:eastAsia="宋体" w:cs="宋体"/>
          <w:color w:val="auto"/>
          <w:highlight w:val="none"/>
        </w:rPr>
      </w:pPr>
      <w:r>
        <w:rPr>
          <w:rFonts w:hint="eastAsia" w:eastAsia="宋体" w:cs="宋体"/>
          <w:color w:val="auto"/>
          <w:highlight w:val="none"/>
        </w:rPr>
        <w:t>8.协审资料遗失情况严重的；</w:t>
      </w:r>
    </w:p>
    <w:p w14:paraId="7EEC49A3">
      <w:pPr>
        <w:spacing w:line="420" w:lineRule="exact"/>
        <w:ind w:firstLine="480"/>
        <w:rPr>
          <w:rFonts w:eastAsia="宋体" w:cs="宋体"/>
          <w:color w:val="auto"/>
          <w:highlight w:val="none"/>
        </w:rPr>
      </w:pPr>
      <w:r>
        <w:rPr>
          <w:rFonts w:hint="eastAsia" w:eastAsia="宋体" w:cs="宋体"/>
          <w:color w:val="auto"/>
          <w:highlight w:val="none"/>
        </w:rPr>
        <w:t>9.其他严重违反职业道德，或不履行协议规定义务的情形。</w:t>
      </w:r>
    </w:p>
    <w:p w14:paraId="0D068AD1">
      <w:pPr>
        <w:spacing w:line="420" w:lineRule="exact"/>
        <w:ind w:firstLine="480"/>
        <w:rPr>
          <w:rFonts w:eastAsia="宋体" w:cs="宋体"/>
          <w:b/>
          <w:bCs/>
          <w:color w:val="auto"/>
          <w:highlight w:val="none"/>
        </w:rPr>
      </w:pPr>
      <w:r>
        <w:rPr>
          <w:rFonts w:hint="eastAsia" w:eastAsia="宋体" w:cs="宋体"/>
          <w:b/>
          <w:bCs/>
          <w:color w:val="auto"/>
          <w:highlight w:val="none"/>
        </w:rPr>
        <w:t>六、乙方或乙方协审人员违反相关法律法规，有下列情形之一的，报征集人取消乙方框架协议的入围资格，且征集人3年内不再接受乙方参与就同一封闭式框架协议采购开展的征集活动，同时报征集人提请建设行政主管部门依法对乙方和相关责任人予以处理、处罚；情节严重构成犯罪的，依法移交司法机关处理。</w:t>
      </w:r>
    </w:p>
    <w:p w14:paraId="18C2413A">
      <w:pPr>
        <w:spacing w:line="420" w:lineRule="exact"/>
        <w:ind w:firstLine="480"/>
        <w:rPr>
          <w:rFonts w:eastAsia="宋体" w:cs="宋体"/>
          <w:color w:val="auto"/>
          <w:highlight w:val="none"/>
        </w:rPr>
      </w:pPr>
      <w:r>
        <w:rPr>
          <w:rFonts w:hint="eastAsia" w:eastAsia="宋体" w:cs="宋体"/>
          <w:color w:val="auto"/>
          <w:highlight w:val="none"/>
        </w:rPr>
        <w:t>1.与相关单位串通舞弊的；</w:t>
      </w:r>
    </w:p>
    <w:p w14:paraId="1CB41952">
      <w:pPr>
        <w:spacing w:line="420" w:lineRule="exact"/>
        <w:ind w:firstLine="480"/>
        <w:rPr>
          <w:rFonts w:eastAsia="宋体" w:cs="宋体"/>
          <w:color w:val="auto"/>
          <w:highlight w:val="none"/>
        </w:rPr>
      </w:pPr>
      <w:r>
        <w:rPr>
          <w:rFonts w:hint="eastAsia" w:eastAsia="宋体" w:cs="宋体"/>
          <w:color w:val="auto"/>
          <w:highlight w:val="none"/>
        </w:rPr>
        <w:t>2.利用受聘工作从相关单位获取不正当利益的；</w:t>
      </w:r>
    </w:p>
    <w:p w14:paraId="4506580A">
      <w:pPr>
        <w:spacing w:line="420" w:lineRule="exact"/>
        <w:ind w:firstLine="480"/>
        <w:rPr>
          <w:rFonts w:eastAsia="宋体" w:cs="宋体"/>
          <w:color w:val="auto"/>
          <w:highlight w:val="none"/>
        </w:rPr>
      </w:pPr>
      <w:r>
        <w:rPr>
          <w:rFonts w:hint="eastAsia" w:eastAsia="宋体" w:cs="宋体"/>
          <w:color w:val="auto"/>
          <w:highlight w:val="none"/>
        </w:rPr>
        <w:t>3.违背客观、公正和诚实信用原则出具工程造价咨询成果文件的；</w:t>
      </w:r>
    </w:p>
    <w:p w14:paraId="22043A9E">
      <w:pPr>
        <w:spacing w:line="420" w:lineRule="exact"/>
        <w:ind w:firstLine="480"/>
        <w:rPr>
          <w:rFonts w:eastAsia="宋体" w:cs="宋体"/>
          <w:color w:val="auto"/>
          <w:highlight w:val="none"/>
        </w:rPr>
      </w:pPr>
      <w:r>
        <w:rPr>
          <w:rFonts w:hint="eastAsia" w:eastAsia="宋体" w:cs="宋体"/>
          <w:color w:val="auto"/>
          <w:highlight w:val="none"/>
        </w:rPr>
        <w:t>4.因协审质量问题给征集人、相关单位造成经济损失或诉讼的；</w:t>
      </w:r>
    </w:p>
    <w:p w14:paraId="2FC28350">
      <w:pPr>
        <w:spacing w:line="420" w:lineRule="exact"/>
        <w:ind w:firstLine="480"/>
        <w:rPr>
          <w:rFonts w:eastAsia="宋体" w:cs="宋体"/>
          <w:color w:val="auto"/>
          <w:highlight w:val="none"/>
        </w:rPr>
      </w:pPr>
      <w:r>
        <w:rPr>
          <w:rFonts w:hint="eastAsia" w:eastAsia="宋体" w:cs="宋体"/>
          <w:color w:val="auto"/>
          <w:highlight w:val="none"/>
        </w:rPr>
        <w:t>5.其他滥用职权，徇私舞弊，玩忽职守的行为。</w:t>
      </w:r>
    </w:p>
    <w:p w14:paraId="60D68285">
      <w:pPr>
        <w:spacing w:line="420" w:lineRule="exact"/>
        <w:ind w:firstLine="480"/>
        <w:rPr>
          <w:rFonts w:eastAsia="宋体" w:cs="宋体"/>
          <w:b/>
          <w:bCs/>
          <w:color w:val="auto"/>
          <w:highlight w:val="none"/>
        </w:rPr>
      </w:pPr>
      <w:r>
        <w:rPr>
          <w:rFonts w:hint="eastAsia" w:eastAsia="宋体" w:cs="宋体"/>
          <w:b/>
          <w:bCs/>
          <w:color w:val="auto"/>
          <w:highlight w:val="none"/>
        </w:rPr>
        <w:t>七、组成本合同的有关文件</w:t>
      </w:r>
    </w:p>
    <w:p w14:paraId="604459FE">
      <w:pPr>
        <w:spacing w:line="420" w:lineRule="exact"/>
        <w:ind w:firstLine="480"/>
        <w:rPr>
          <w:rFonts w:eastAsia="宋体" w:cs="宋体"/>
          <w:color w:val="auto"/>
          <w:highlight w:val="none"/>
        </w:rPr>
      </w:pPr>
      <w:r>
        <w:rPr>
          <w:rFonts w:hint="eastAsia" w:eastAsia="宋体" w:cs="宋体"/>
          <w:color w:val="auto"/>
          <w:highlight w:val="none"/>
        </w:rPr>
        <w:t>下列甲方采购文件、乙方响应文件，或与本次采购活动方式相适应的文件，以及有关附件是本合同不可分割的组成部分，与本合同具有同等法律效力，这些文件包括但不限于：</w:t>
      </w:r>
    </w:p>
    <w:p w14:paraId="7CC1B334">
      <w:pPr>
        <w:spacing w:line="420" w:lineRule="exact"/>
        <w:ind w:firstLine="480"/>
        <w:rPr>
          <w:rFonts w:eastAsia="宋体" w:cs="宋体"/>
          <w:color w:val="auto"/>
          <w:highlight w:val="none"/>
        </w:rPr>
      </w:pPr>
      <w:r>
        <w:rPr>
          <w:rFonts w:hint="eastAsia" w:eastAsia="宋体" w:cs="宋体"/>
          <w:color w:val="auto"/>
          <w:highlight w:val="none"/>
        </w:rPr>
        <w:t>（1）如东县财政局政府投资建设项目协审服务框架协议采购项目征集文件；</w:t>
      </w:r>
    </w:p>
    <w:p w14:paraId="27FCE1BD">
      <w:pPr>
        <w:spacing w:line="420" w:lineRule="exact"/>
        <w:ind w:firstLine="480"/>
        <w:rPr>
          <w:rFonts w:eastAsia="宋体" w:cs="宋体"/>
          <w:color w:val="auto"/>
          <w:highlight w:val="none"/>
        </w:rPr>
      </w:pPr>
      <w:r>
        <w:rPr>
          <w:rFonts w:hint="eastAsia" w:eastAsia="宋体" w:cs="宋体"/>
          <w:color w:val="auto"/>
          <w:highlight w:val="none"/>
        </w:rPr>
        <w:t>（2）乙方的响应文件；</w:t>
      </w:r>
    </w:p>
    <w:p w14:paraId="079F7B18">
      <w:pPr>
        <w:spacing w:line="420" w:lineRule="exact"/>
        <w:ind w:firstLine="480"/>
        <w:rPr>
          <w:rFonts w:eastAsia="宋体" w:cs="宋体"/>
          <w:color w:val="auto"/>
          <w:highlight w:val="none"/>
        </w:rPr>
      </w:pPr>
      <w:r>
        <w:rPr>
          <w:rFonts w:hint="eastAsia" w:eastAsia="宋体" w:cs="宋体"/>
          <w:color w:val="auto"/>
          <w:highlight w:val="none"/>
        </w:rPr>
        <w:t>（3）乙方的服务承诺；</w:t>
      </w:r>
    </w:p>
    <w:p w14:paraId="38136ED1">
      <w:pPr>
        <w:spacing w:line="420" w:lineRule="exact"/>
        <w:ind w:firstLine="480"/>
        <w:rPr>
          <w:rFonts w:eastAsia="宋体" w:cs="宋体"/>
          <w:color w:val="auto"/>
          <w:highlight w:val="none"/>
        </w:rPr>
      </w:pPr>
      <w:r>
        <w:rPr>
          <w:rFonts w:hint="eastAsia" w:eastAsia="宋体" w:cs="宋体"/>
          <w:color w:val="auto"/>
          <w:highlight w:val="none"/>
        </w:rPr>
        <w:t>（4）中标通知书；</w:t>
      </w:r>
    </w:p>
    <w:p w14:paraId="57860A9C">
      <w:pPr>
        <w:spacing w:line="420" w:lineRule="exact"/>
        <w:ind w:firstLine="480"/>
        <w:rPr>
          <w:rFonts w:eastAsia="宋体" w:cs="宋体"/>
          <w:color w:val="auto"/>
          <w:highlight w:val="none"/>
        </w:rPr>
      </w:pPr>
      <w:r>
        <w:rPr>
          <w:rFonts w:hint="eastAsia" w:eastAsia="宋体" w:cs="宋体"/>
          <w:color w:val="auto"/>
          <w:highlight w:val="none"/>
        </w:rPr>
        <w:t>（5）甲乙双方商定的其他文件等。</w:t>
      </w:r>
    </w:p>
    <w:p w14:paraId="4BE235AB">
      <w:pPr>
        <w:spacing w:line="420" w:lineRule="exact"/>
        <w:ind w:firstLine="480"/>
        <w:rPr>
          <w:rFonts w:eastAsia="宋体" w:cs="宋体"/>
          <w:b/>
          <w:bCs/>
          <w:color w:val="auto"/>
          <w:highlight w:val="none"/>
        </w:rPr>
      </w:pPr>
      <w:r>
        <w:rPr>
          <w:rFonts w:hint="eastAsia" w:eastAsia="宋体" w:cs="宋体"/>
          <w:b/>
          <w:bCs/>
          <w:color w:val="auto"/>
          <w:highlight w:val="none"/>
        </w:rPr>
        <w:t>八、如有未尽事宜，遵照《民法典》、《政府采购法》有关条文，甲乙双方经协商后可签订书面补充协议，补充协议与本协议具有同等法律效力。</w:t>
      </w:r>
    </w:p>
    <w:p w14:paraId="1CFDE332">
      <w:pPr>
        <w:spacing w:line="420" w:lineRule="exact"/>
        <w:ind w:firstLine="480"/>
        <w:rPr>
          <w:rFonts w:eastAsia="宋体" w:cs="宋体"/>
          <w:b/>
          <w:bCs/>
          <w:color w:val="auto"/>
          <w:highlight w:val="none"/>
        </w:rPr>
      </w:pPr>
      <w:r>
        <w:rPr>
          <w:rFonts w:hint="eastAsia" w:eastAsia="宋体" w:cs="宋体"/>
          <w:b/>
          <w:bCs/>
          <w:color w:val="auto"/>
          <w:highlight w:val="none"/>
        </w:rPr>
        <w:t>九、本协议书经甲乙双方签署后生效。</w:t>
      </w:r>
    </w:p>
    <w:p w14:paraId="175C9D03">
      <w:pPr>
        <w:spacing w:line="420" w:lineRule="exact"/>
        <w:ind w:firstLine="480"/>
        <w:rPr>
          <w:rFonts w:eastAsia="宋体" w:cs="宋体"/>
          <w:b/>
          <w:bCs/>
          <w:color w:val="auto"/>
          <w:highlight w:val="none"/>
        </w:rPr>
      </w:pPr>
      <w:r>
        <w:rPr>
          <w:rFonts w:hint="eastAsia" w:eastAsia="宋体" w:cs="宋体"/>
          <w:b/>
          <w:bCs/>
          <w:color w:val="auto"/>
          <w:highlight w:val="none"/>
        </w:rPr>
        <w:t>十、甲乙双方如在实施评审过程中发生争议，应及时协商解决，如未能达成一致，提请</w:t>
      </w:r>
      <w:bookmarkStart w:id="167" w:name="OLE_LINK10"/>
      <w:r>
        <w:rPr>
          <w:rFonts w:hint="eastAsia" w:eastAsia="宋体" w:cs="宋体"/>
          <w:b/>
          <w:bCs/>
          <w:color w:val="auto"/>
          <w:highlight w:val="none"/>
        </w:rPr>
        <w:t>南通市</w:t>
      </w:r>
      <w:bookmarkEnd w:id="167"/>
      <w:r>
        <w:rPr>
          <w:rFonts w:hint="eastAsia" w:eastAsia="宋体" w:cs="宋体"/>
          <w:b/>
          <w:bCs/>
          <w:color w:val="auto"/>
          <w:highlight w:val="none"/>
        </w:rPr>
        <w:t>仲裁委员会仲裁。</w:t>
      </w:r>
    </w:p>
    <w:p w14:paraId="5EA96113">
      <w:pPr>
        <w:spacing w:line="420" w:lineRule="exact"/>
        <w:ind w:firstLine="480"/>
        <w:rPr>
          <w:rFonts w:eastAsia="宋体" w:cs="宋体"/>
          <w:b/>
          <w:bCs/>
          <w:color w:val="auto"/>
          <w:highlight w:val="none"/>
        </w:rPr>
      </w:pPr>
      <w:r>
        <w:rPr>
          <w:rFonts w:hint="eastAsia" w:eastAsia="宋体" w:cs="宋体"/>
          <w:b/>
          <w:bCs/>
          <w:color w:val="auto"/>
          <w:highlight w:val="none"/>
        </w:rPr>
        <w:t>十一、采购合同一式四份。甲方、乙方各执两份，每份合同均具同等的法律效力。</w:t>
      </w:r>
    </w:p>
    <w:p w14:paraId="0C45ABE4">
      <w:pPr>
        <w:spacing w:line="420" w:lineRule="exact"/>
        <w:ind w:firstLine="480"/>
        <w:rPr>
          <w:rFonts w:eastAsia="宋体" w:cs="宋体"/>
          <w:color w:val="auto"/>
          <w:highlight w:val="none"/>
        </w:rPr>
      </w:pPr>
    </w:p>
    <w:p w14:paraId="6A65946E">
      <w:pPr>
        <w:spacing w:line="420" w:lineRule="exact"/>
        <w:ind w:firstLine="480"/>
        <w:rPr>
          <w:rFonts w:eastAsia="宋体" w:cs="宋体"/>
          <w:color w:val="auto"/>
          <w:highlight w:val="none"/>
        </w:rPr>
      </w:pPr>
      <w:r>
        <w:rPr>
          <w:rFonts w:hint="eastAsia" w:eastAsia="宋体" w:cs="宋体"/>
          <w:color w:val="auto"/>
          <w:highlight w:val="none"/>
        </w:rPr>
        <w:t>附件：</w:t>
      </w:r>
    </w:p>
    <w:p w14:paraId="66727D46">
      <w:pPr>
        <w:spacing w:line="420" w:lineRule="exact"/>
        <w:ind w:firstLine="480"/>
        <w:rPr>
          <w:rFonts w:eastAsia="宋体" w:cs="宋体"/>
          <w:color w:val="auto"/>
          <w:highlight w:val="none"/>
        </w:rPr>
      </w:pPr>
      <w:r>
        <w:rPr>
          <w:rFonts w:hint="eastAsia" w:eastAsia="宋体" w:cs="宋体"/>
          <w:color w:val="auto"/>
          <w:highlight w:val="none"/>
        </w:rPr>
        <w:t>1.</w:t>
      </w:r>
      <w:bookmarkStart w:id="168" w:name="_Hlk183654248"/>
      <w:r>
        <w:rPr>
          <w:rFonts w:hint="eastAsia" w:eastAsia="宋体" w:cs="宋体"/>
          <w:color w:val="auto"/>
          <w:highlight w:val="none"/>
        </w:rPr>
        <w:t>廉洁协审协议</w:t>
      </w:r>
      <w:bookmarkEnd w:id="168"/>
    </w:p>
    <w:p w14:paraId="75072407">
      <w:pPr>
        <w:spacing w:line="420" w:lineRule="exact"/>
        <w:ind w:firstLine="480"/>
        <w:rPr>
          <w:rFonts w:eastAsia="宋体" w:cs="宋体"/>
          <w:color w:val="auto"/>
          <w:highlight w:val="none"/>
        </w:rPr>
      </w:pPr>
      <w:r>
        <w:rPr>
          <w:rFonts w:hint="eastAsia" w:eastAsia="宋体" w:cs="宋体"/>
          <w:color w:val="auto"/>
          <w:highlight w:val="none"/>
        </w:rPr>
        <w:t>2.</w:t>
      </w:r>
      <w:bookmarkStart w:id="169" w:name="OLE_LINK2"/>
      <w:r>
        <w:rPr>
          <w:rFonts w:hint="eastAsia" w:eastAsia="宋体" w:cs="宋体"/>
          <w:color w:val="auto"/>
          <w:highlight w:val="none"/>
        </w:rPr>
        <w:t>如东县财政局政府投资建设*****项目协审参审人员表</w:t>
      </w:r>
      <w:bookmarkEnd w:id="169"/>
    </w:p>
    <w:p w14:paraId="11100EBC">
      <w:pPr>
        <w:spacing w:line="420" w:lineRule="exact"/>
        <w:ind w:firstLine="480"/>
        <w:rPr>
          <w:rFonts w:eastAsia="宋体" w:cs="宋体"/>
          <w:color w:val="auto"/>
          <w:highlight w:val="none"/>
        </w:rPr>
      </w:pPr>
    </w:p>
    <w:p w14:paraId="0B7FF8D8">
      <w:pPr>
        <w:spacing w:line="420" w:lineRule="exact"/>
        <w:ind w:firstLine="480"/>
        <w:rPr>
          <w:rFonts w:eastAsia="宋体" w:cs="宋体"/>
          <w:color w:val="auto"/>
          <w:highlight w:val="none"/>
        </w:rPr>
      </w:pPr>
      <w:r>
        <w:rPr>
          <w:rFonts w:hint="eastAsia" w:eastAsia="宋体" w:cs="宋体"/>
          <w:color w:val="auto"/>
          <w:highlight w:val="none"/>
        </w:rPr>
        <w:t>甲方：（盖章）                  乙方：（盖章）</w:t>
      </w:r>
    </w:p>
    <w:p w14:paraId="7AE88D63">
      <w:pPr>
        <w:spacing w:line="420" w:lineRule="exact"/>
        <w:ind w:firstLine="480"/>
        <w:rPr>
          <w:rFonts w:eastAsia="宋体" w:cs="宋体"/>
          <w:color w:val="auto"/>
          <w:highlight w:val="none"/>
        </w:rPr>
      </w:pPr>
      <w:r>
        <w:rPr>
          <w:rFonts w:hint="eastAsia" w:eastAsia="宋体" w:cs="宋体"/>
          <w:color w:val="auto"/>
          <w:highlight w:val="none"/>
        </w:rPr>
        <w:t xml:space="preserve">委托人代表：（签字）            法定代表：（签字）   </w:t>
      </w:r>
    </w:p>
    <w:p w14:paraId="1822C902">
      <w:pPr>
        <w:spacing w:line="420" w:lineRule="exact"/>
        <w:ind w:firstLine="480"/>
        <w:rPr>
          <w:rFonts w:eastAsia="宋体" w:cs="宋体"/>
          <w:color w:val="auto"/>
          <w:highlight w:val="none"/>
        </w:rPr>
      </w:pPr>
      <w:r>
        <w:rPr>
          <w:rFonts w:hint="eastAsia" w:eastAsia="宋体" w:cs="宋体"/>
          <w:color w:val="auto"/>
          <w:highlight w:val="none"/>
        </w:rPr>
        <w:t>联系人：                        联系人：</w:t>
      </w:r>
    </w:p>
    <w:p w14:paraId="14992273">
      <w:pPr>
        <w:spacing w:line="420" w:lineRule="exact"/>
        <w:ind w:firstLine="480"/>
        <w:rPr>
          <w:rFonts w:eastAsia="宋体" w:cs="宋体"/>
          <w:color w:val="auto"/>
          <w:highlight w:val="none"/>
        </w:rPr>
      </w:pPr>
      <w:r>
        <w:rPr>
          <w:rFonts w:hint="eastAsia" w:eastAsia="宋体" w:cs="宋体"/>
          <w:color w:val="auto"/>
          <w:highlight w:val="none"/>
        </w:rPr>
        <w:t>签订日期：    年 月  日         签订日期：    年  月  日</w:t>
      </w:r>
    </w:p>
    <w:p w14:paraId="20305E86">
      <w:pPr>
        <w:spacing w:line="420" w:lineRule="exact"/>
        <w:ind w:firstLine="480"/>
        <w:rPr>
          <w:rFonts w:eastAsia="宋体" w:cs="宋体"/>
          <w:b/>
          <w:bCs/>
          <w:color w:val="auto"/>
          <w:highlight w:val="none"/>
        </w:rPr>
        <w:sectPr>
          <w:pgSz w:w="11906" w:h="16838"/>
          <w:pgMar w:top="851" w:right="851" w:bottom="851" w:left="1134" w:header="567" w:footer="471" w:gutter="0"/>
          <w:cols w:space="425" w:num="1"/>
          <w:docGrid w:linePitch="360" w:charSpace="0"/>
        </w:sectPr>
      </w:pPr>
    </w:p>
    <w:p w14:paraId="1CD0827D">
      <w:pPr>
        <w:spacing w:line="420" w:lineRule="exact"/>
        <w:ind w:firstLine="482"/>
        <w:outlineLvl w:val="2"/>
        <w:rPr>
          <w:rFonts w:eastAsia="宋体" w:cs="宋体"/>
          <w:b/>
          <w:bCs/>
          <w:color w:val="auto"/>
          <w:highlight w:val="none"/>
        </w:rPr>
      </w:pPr>
      <w:r>
        <w:rPr>
          <w:rFonts w:hint="eastAsia" w:eastAsia="宋体" w:cs="宋体"/>
          <w:b/>
          <w:bCs/>
          <w:color w:val="auto"/>
          <w:highlight w:val="none"/>
        </w:rPr>
        <w:t>附件1：</w:t>
      </w:r>
    </w:p>
    <w:p w14:paraId="190586C6">
      <w:pPr>
        <w:tabs>
          <w:tab w:val="left" w:pos="1050"/>
          <w:tab w:val="right" w:leader="dot" w:pos="9402"/>
        </w:tabs>
        <w:spacing w:before="120" w:after="240" w:line="520" w:lineRule="exact"/>
        <w:jc w:val="center"/>
        <w:rPr>
          <w:rFonts w:eastAsia="宋体" w:cs="宋体"/>
          <w:b/>
          <w:bCs/>
          <w:color w:val="auto"/>
          <w:sz w:val="36"/>
          <w:szCs w:val="36"/>
          <w:highlight w:val="none"/>
        </w:rPr>
      </w:pPr>
      <w:r>
        <w:rPr>
          <w:rFonts w:hint="eastAsia" w:eastAsia="宋体" w:cs="宋体"/>
          <w:b/>
          <w:bCs/>
          <w:color w:val="auto"/>
          <w:sz w:val="36"/>
          <w:szCs w:val="36"/>
          <w:highlight w:val="none"/>
        </w:rPr>
        <w:t>廉  洁  协  审  协  议</w:t>
      </w:r>
    </w:p>
    <w:p w14:paraId="60466089">
      <w:pPr>
        <w:spacing w:line="420" w:lineRule="exact"/>
        <w:ind w:firstLine="480"/>
        <w:rPr>
          <w:rFonts w:eastAsia="宋体" w:cs="宋体"/>
          <w:color w:val="auto"/>
          <w:highlight w:val="none"/>
        </w:rPr>
      </w:pPr>
      <w:r>
        <w:rPr>
          <w:rFonts w:hint="eastAsia" w:eastAsia="宋体" w:cs="宋体"/>
          <w:color w:val="auto"/>
          <w:highlight w:val="none"/>
        </w:rPr>
        <w:t xml:space="preserve">甲方： </w:t>
      </w:r>
    </w:p>
    <w:p w14:paraId="6D5647B0">
      <w:pPr>
        <w:spacing w:line="420" w:lineRule="exact"/>
        <w:ind w:firstLine="480"/>
        <w:rPr>
          <w:rFonts w:eastAsia="宋体" w:cs="宋体"/>
          <w:color w:val="auto"/>
          <w:highlight w:val="none"/>
        </w:rPr>
      </w:pPr>
      <w:r>
        <w:rPr>
          <w:rFonts w:hint="eastAsia" w:eastAsia="宋体" w:cs="宋体"/>
          <w:color w:val="auto"/>
          <w:highlight w:val="none"/>
        </w:rPr>
        <w:t xml:space="preserve">乙方： </w:t>
      </w:r>
    </w:p>
    <w:p w14:paraId="694114C6">
      <w:pPr>
        <w:spacing w:line="420" w:lineRule="exact"/>
        <w:ind w:firstLine="480"/>
        <w:rPr>
          <w:rFonts w:eastAsia="宋体" w:cs="宋体"/>
          <w:color w:val="auto"/>
          <w:highlight w:val="none"/>
        </w:rPr>
      </w:pPr>
    </w:p>
    <w:p w14:paraId="01FE5933">
      <w:pPr>
        <w:spacing w:line="420" w:lineRule="exact"/>
        <w:ind w:firstLine="480"/>
        <w:rPr>
          <w:rFonts w:eastAsia="宋体" w:cs="宋体"/>
          <w:color w:val="auto"/>
          <w:highlight w:val="none"/>
        </w:rPr>
      </w:pPr>
      <w:r>
        <w:rPr>
          <w:rFonts w:hint="eastAsia" w:eastAsia="宋体" w:cs="宋体"/>
          <w:color w:val="auto"/>
          <w:highlight w:val="none"/>
        </w:rPr>
        <w:t>根据国家和省、市、县有关廉政建设的各项规定，特订立本协议如下：</w:t>
      </w:r>
    </w:p>
    <w:p w14:paraId="3829D19B">
      <w:pPr>
        <w:spacing w:line="420" w:lineRule="exact"/>
        <w:ind w:firstLine="480"/>
        <w:rPr>
          <w:rFonts w:eastAsia="宋体" w:cs="宋体"/>
          <w:color w:val="auto"/>
          <w:highlight w:val="none"/>
        </w:rPr>
      </w:pPr>
      <w:r>
        <w:rPr>
          <w:rFonts w:hint="eastAsia" w:eastAsia="宋体" w:cs="宋体"/>
          <w:color w:val="auto"/>
          <w:highlight w:val="none"/>
        </w:rPr>
        <w:t>一、甲、乙双方及其工作人员应当自觉遵守国家、省、市、县关于廉洁从业的各项法律、法规和规定。</w:t>
      </w:r>
    </w:p>
    <w:p w14:paraId="77202AAF">
      <w:pPr>
        <w:spacing w:line="420" w:lineRule="exact"/>
        <w:ind w:firstLine="480"/>
        <w:rPr>
          <w:rFonts w:eastAsia="宋体" w:cs="宋体"/>
          <w:color w:val="auto"/>
          <w:highlight w:val="none"/>
        </w:rPr>
      </w:pPr>
      <w:r>
        <w:rPr>
          <w:rFonts w:hint="eastAsia" w:eastAsia="宋体" w:cs="宋体"/>
          <w:color w:val="auto"/>
          <w:highlight w:val="none"/>
        </w:rPr>
        <w:t>二、甲方工作人员不得接受乙方的现金、有价证券和物品等，不得在乙方报销任何应当由个人支付的费用，不得向乙方提出个人利益要求，不得参加可能对甲方履行责任、义务有影响的宴请和娱乐活动，不得利用职权或职务上的影响在项目协审过程中为本人及其亲友谋取利益，不得以任何形式进行利益输送。</w:t>
      </w:r>
    </w:p>
    <w:p w14:paraId="4788AA86">
      <w:pPr>
        <w:spacing w:line="420" w:lineRule="exact"/>
        <w:ind w:firstLine="480"/>
        <w:rPr>
          <w:rFonts w:eastAsia="宋体" w:cs="宋体"/>
          <w:color w:val="auto"/>
          <w:highlight w:val="none"/>
        </w:rPr>
      </w:pPr>
      <w:r>
        <w:rPr>
          <w:rFonts w:hint="eastAsia" w:eastAsia="宋体" w:cs="宋体"/>
          <w:color w:val="auto"/>
          <w:highlight w:val="none"/>
        </w:rPr>
        <w:t>三、乙方也不得向项目建设相关单位或个人（设计、施工、建设、监理、供货等）索要和收受任何经济利益。</w:t>
      </w:r>
    </w:p>
    <w:p w14:paraId="3B4E728D">
      <w:pPr>
        <w:spacing w:line="420" w:lineRule="exact"/>
        <w:ind w:firstLine="480"/>
        <w:rPr>
          <w:rFonts w:eastAsia="宋体" w:cs="宋体"/>
          <w:color w:val="auto"/>
          <w:highlight w:val="none"/>
        </w:rPr>
      </w:pPr>
      <w:r>
        <w:rPr>
          <w:rFonts w:hint="eastAsia" w:eastAsia="宋体" w:cs="宋体"/>
          <w:color w:val="auto"/>
          <w:highlight w:val="none"/>
        </w:rPr>
        <w:t>四、甲、乙双方从审人员遇有应当回避的情况时，应当主动提出回避。</w:t>
      </w:r>
    </w:p>
    <w:p w14:paraId="3029299F">
      <w:pPr>
        <w:spacing w:line="420" w:lineRule="exact"/>
        <w:ind w:firstLine="480"/>
        <w:rPr>
          <w:rFonts w:eastAsia="宋体" w:cs="宋体"/>
          <w:color w:val="auto"/>
          <w:highlight w:val="none"/>
        </w:rPr>
      </w:pPr>
      <w:r>
        <w:rPr>
          <w:rFonts w:hint="eastAsia" w:eastAsia="宋体" w:cs="宋体"/>
          <w:color w:val="auto"/>
          <w:highlight w:val="none"/>
        </w:rPr>
        <w:t>五、乙方如发现甲方工作人员有违反上述协议者，应向甲方领导或者甲方上级单位举报，甲方工作人员不得找任何借口对乙方进行报复。甲方对举报属实和严格遵守廉洁协审协议的乙方，在同等条件下给予承接后续协审项目的优先权。</w:t>
      </w:r>
    </w:p>
    <w:p w14:paraId="01F585E9">
      <w:pPr>
        <w:spacing w:line="420" w:lineRule="exact"/>
        <w:ind w:firstLine="480"/>
        <w:rPr>
          <w:rFonts w:eastAsia="宋体" w:cs="宋体"/>
          <w:color w:val="auto"/>
          <w:highlight w:val="none"/>
        </w:rPr>
      </w:pPr>
      <w:r>
        <w:rPr>
          <w:rFonts w:hint="eastAsia" w:eastAsia="宋体" w:cs="宋体"/>
          <w:color w:val="auto"/>
          <w:highlight w:val="none"/>
        </w:rPr>
        <w:t>六、甲方发现乙方有违反本协议、采用不正当的手段行贿甲方工作人员或收受被协审单位贿赂，甲方将取消其继续从事组织协审业务的资格，扣除相应的协审费，情节严重的将依法追究其相关责任。由此给甲方单位造成的损失均由乙方承担，乙方用不正当手段获取的非法所得由甲方单位予以追缴。</w:t>
      </w:r>
    </w:p>
    <w:p w14:paraId="39AC6197">
      <w:pPr>
        <w:spacing w:line="420" w:lineRule="exact"/>
        <w:ind w:firstLine="480"/>
        <w:rPr>
          <w:rFonts w:eastAsia="宋体" w:cs="宋体"/>
          <w:color w:val="auto"/>
          <w:highlight w:val="none"/>
        </w:rPr>
      </w:pPr>
      <w:r>
        <w:rPr>
          <w:rFonts w:hint="eastAsia" w:eastAsia="宋体" w:cs="宋体"/>
          <w:color w:val="auto"/>
          <w:highlight w:val="none"/>
        </w:rPr>
        <w:t>七、本廉洁协议作为组织评审业务协议书的附件，与工程组织评审业务协议书具有同等法律效力。经协议双方签署后立即生效。</w:t>
      </w:r>
    </w:p>
    <w:p w14:paraId="760005BC">
      <w:pPr>
        <w:spacing w:line="420" w:lineRule="exact"/>
        <w:ind w:firstLine="480"/>
        <w:rPr>
          <w:rFonts w:eastAsia="宋体" w:cs="宋体"/>
          <w:color w:val="auto"/>
          <w:highlight w:val="none"/>
        </w:rPr>
      </w:pPr>
    </w:p>
    <w:p w14:paraId="27B5CB46">
      <w:pPr>
        <w:spacing w:line="420" w:lineRule="exact"/>
        <w:ind w:firstLine="480"/>
        <w:rPr>
          <w:rFonts w:eastAsia="宋体" w:cs="宋体"/>
          <w:color w:val="auto"/>
          <w:highlight w:val="none"/>
        </w:rPr>
      </w:pPr>
      <w:r>
        <w:rPr>
          <w:rFonts w:hint="eastAsia" w:eastAsia="宋体" w:cs="宋体"/>
          <w:color w:val="auto"/>
          <w:highlight w:val="none"/>
        </w:rPr>
        <w:t>甲方：（盖章）                 乙方：（盖章）</w:t>
      </w:r>
    </w:p>
    <w:p w14:paraId="21383DC2">
      <w:pPr>
        <w:spacing w:line="420" w:lineRule="exact"/>
        <w:ind w:firstLine="480"/>
        <w:rPr>
          <w:rFonts w:eastAsia="宋体" w:cs="宋体"/>
          <w:color w:val="auto"/>
          <w:highlight w:val="none"/>
        </w:rPr>
      </w:pPr>
    </w:p>
    <w:p w14:paraId="6619F8EB">
      <w:pPr>
        <w:spacing w:line="420" w:lineRule="exact"/>
        <w:ind w:firstLine="480"/>
        <w:rPr>
          <w:rFonts w:eastAsia="宋体" w:cs="宋体"/>
          <w:color w:val="auto"/>
          <w:highlight w:val="none"/>
        </w:rPr>
      </w:pPr>
      <w:r>
        <w:rPr>
          <w:rFonts w:hint="eastAsia" w:eastAsia="宋体" w:cs="宋体"/>
          <w:color w:val="auto"/>
          <w:highlight w:val="none"/>
        </w:rPr>
        <w:t>委托人代表：                  法定代表人：</w:t>
      </w:r>
    </w:p>
    <w:p w14:paraId="52912297">
      <w:pPr>
        <w:spacing w:line="420" w:lineRule="exact"/>
        <w:ind w:firstLine="480"/>
        <w:rPr>
          <w:rFonts w:eastAsia="宋体" w:cs="宋体"/>
          <w:color w:val="auto"/>
          <w:highlight w:val="none"/>
        </w:rPr>
      </w:pPr>
    </w:p>
    <w:p w14:paraId="642FAB29">
      <w:pPr>
        <w:spacing w:line="420" w:lineRule="exact"/>
        <w:ind w:firstLine="480"/>
        <w:rPr>
          <w:rFonts w:eastAsia="宋体" w:cs="宋体"/>
          <w:color w:val="auto"/>
          <w:highlight w:val="none"/>
        </w:rPr>
      </w:pPr>
      <w:r>
        <w:rPr>
          <w:rFonts w:hint="eastAsia" w:eastAsia="宋体" w:cs="宋体"/>
          <w:color w:val="auto"/>
          <w:highlight w:val="none"/>
        </w:rPr>
        <w:t>签约日期：  年 月 日           签约日期：   年 月 日</w:t>
      </w:r>
    </w:p>
    <w:p w14:paraId="1F63EBD5">
      <w:pPr>
        <w:spacing w:line="420" w:lineRule="exact"/>
        <w:ind w:firstLine="482"/>
        <w:outlineLvl w:val="2"/>
        <w:rPr>
          <w:rFonts w:eastAsia="宋体" w:cs="宋体"/>
          <w:b/>
          <w:bCs/>
          <w:color w:val="auto"/>
          <w:highlight w:val="none"/>
        </w:rPr>
        <w:sectPr>
          <w:pgSz w:w="11906" w:h="16838"/>
          <w:pgMar w:top="851" w:right="851" w:bottom="851" w:left="1134" w:header="567" w:footer="471" w:gutter="0"/>
          <w:cols w:space="425" w:num="1"/>
          <w:docGrid w:linePitch="360" w:charSpace="0"/>
        </w:sectPr>
      </w:pPr>
    </w:p>
    <w:p w14:paraId="0CE6D1F8">
      <w:pPr>
        <w:spacing w:line="420" w:lineRule="exact"/>
        <w:ind w:firstLine="482"/>
        <w:outlineLvl w:val="2"/>
        <w:rPr>
          <w:rFonts w:eastAsia="宋体" w:cs="宋体"/>
          <w:color w:val="auto"/>
          <w:highlight w:val="none"/>
        </w:rPr>
      </w:pPr>
      <w:r>
        <w:rPr>
          <w:rFonts w:hint="eastAsia" w:eastAsia="宋体" w:cs="宋体"/>
          <w:b/>
          <w:bCs/>
          <w:color w:val="auto"/>
          <w:highlight w:val="none"/>
        </w:rPr>
        <w:t>附件2</w:t>
      </w:r>
    </w:p>
    <w:tbl>
      <w:tblPr>
        <w:tblStyle w:val="89"/>
        <w:tblW w:w="14320" w:type="dxa"/>
        <w:jc w:val="center"/>
        <w:tblLayout w:type="fixed"/>
        <w:tblCellMar>
          <w:top w:w="0" w:type="dxa"/>
          <w:left w:w="108" w:type="dxa"/>
          <w:bottom w:w="0" w:type="dxa"/>
          <w:right w:w="108" w:type="dxa"/>
        </w:tblCellMar>
      </w:tblPr>
      <w:tblGrid>
        <w:gridCol w:w="930"/>
        <w:gridCol w:w="930"/>
        <w:gridCol w:w="1120"/>
        <w:gridCol w:w="1120"/>
        <w:gridCol w:w="720"/>
        <w:gridCol w:w="760"/>
        <w:gridCol w:w="820"/>
        <w:gridCol w:w="820"/>
        <w:gridCol w:w="1382"/>
        <w:gridCol w:w="886"/>
        <w:gridCol w:w="800"/>
        <w:gridCol w:w="614"/>
        <w:gridCol w:w="1098"/>
        <w:gridCol w:w="1240"/>
        <w:gridCol w:w="1080"/>
      </w:tblGrid>
      <w:tr w14:paraId="13D218AF">
        <w:tblPrEx>
          <w:tblCellMar>
            <w:top w:w="0" w:type="dxa"/>
            <w:left w:w="108" w:type="dxa"/>
            <w:bottom w:w="0" w:type="dxa"/>
            <w:right w:w="108" w:type="dxa"/>
          </w:tblCellMar>
        </w:tblPrEx>
        <w:trPr>
          <w:trHeight w:val="556" w:hRule="atLeast"/>
          <w:jc w:val="center"/>
        </w:trPr>
        <w:tc>
          <w:tcPr>
            <w:tcW w:w="14320" w:type="dxa"/>
            <w:gridSpan w:val="15"/>
            <w:tcBorders>
              <w:top w:val="nil"/>
              <w:left w:val="nil"/>
              <w:bottom w:val="nil"/>
              <w:right w:val="nil"/>
            </w:tcBorders>
            <w:noWrap/>
            <w:vAlign w:val="center"/>
          </w:tcPr>
          <w:p w14:paraId="6DCD6EA3">
            <w:pPr>
              <w:widowControl/>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如东县财政局政府投资建设*****项目协审参审人员表</w:t>
            </w:r>
          </w:p>
        </w:tc>
      </w:tr>
      <w:tr w14:paraId="5D976C9F">
        <w:tblPrEx>
          <w:tblCellMar>
            <w:top w:w="0" w:type="dxa"/>
            <w:left w:w="108" w:type="dxa"/>
            <w:bottom w:w="0" w:type="dxa"/>
            <w:right w:w="108" w:type="dxa"/>
          </w:tblCellMar>
        </w:tblPrEx>
        <w:trPr>
          <w:trHeight w:val="956" w:hRule="atLeast"/>
          <w:jc w:val="center"/>
        </w:trPr>
        <w:tc>
          <w:tcPr>
            <w:tcW w:w="14320" w:type="dxa"/>
            <w:gridSpan w:val="15"/>
            <w:tcBorders>
              <w:top w:val="nil"/>
              <w:left w:val="nil"/>
              <w:bottom w:val="single" w:color="auto" w:sz="4" w:space="0"/>
              <w:right w:val="nil"/>
            </w:tcBorders>
            <w:noWrap/>
            <w:vAlign w:val="center"/>
          </w:tcPr>
          <w:p w14:paraId="5968F1B6">
            <w:pPr>
              <w:widowControl/>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咨询单位名称：</w:t>
            </w:r>
          </w:p>
        </w:tc>
      </w:tr>
      <w:tr w14:paraId="2D3E7783">
        <w:tblPrEx>
          <w:tblCellMar>
            <w:top w:w="0" w:type="dxa"/>
            <w:left w:w="108" w:type="dxa"/>
            <w:bottom w:w="0" w:type="dxa"/>
            <w:right w:w="108" w:type="dxa"/>
          </w:tblCellMar>
        </w:tblPrEx>
        <w:trPr>
          <w:trHeight w:val="817" w:hRule="atLeast"/>
          <w:jc w:val="center"/>
        </w:trPr>
        <w:tc>
          <w:tcPr>
            <w:tcW w:w="930" w:type="dxa"/>
            <w:vMerge w:val="restart"/>
            <w:tcBorders>
              <w:top w:val="nil"/>
              <w:left w:val="single" w:color="auto" w:sz="4" w:space="0"/>
              <w:bottom w:val="single" w:color="000000" w:sz="4" w:space="0"/>
              <w:right w:val="single" w:color="auto" w:sz="4" w:space="0"/>
            </w:tcBorders>
            <w:noWrap/>
            <w:vAlign w:val="center"/>
          </w:tcPr>
          <w:p w14:paraId="7CC0FD93">
            <w:pPr>
              <w:widowControl/>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930" w:type="dxa"/>
            <w:vMerge w:val="restart"/>
            <w:tcBorders>
              <w:top w:val="nil"/>
              <w:left w:val="single" w:color="auto" w:sz="4" w:space="0"/>
              <w:bottom w:val="single" w:color="000000" w:sz="4" w:space="0"/>
              <w:right w:val="single" w:color="auto" w:sz="4" w:space="0"/>
            </w:tcBorders>
            <w:noWrap/>
            <w:vAlign w:val="center"/>
          </w:tcPr>
          <w:p w14:paraId="5263309A">
            <w:pPr>
              <w:widowControl/>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120" w:type="dxa"/>
            <w:vMerge w:val="restart"/>
            <w:tcBorders>
              <w:top w:val="nil"/>
              <w:left w:val="single" w:color="auto" w:sz="4" w:space="0"/>
              <w:bottom w:val="single" w:color="000000" w:sz="4" w:space="0"/>
              <w:right w:val="single" w:color="auto" w:sz="4" w:space="0"/>
            </w:tcBorders>
            <w:noWrap/>
            <w:vAlign w:val="center"/>
          </w:tcPr>
          <w:p w14:paraId="7966A6EF">
            <w:pPr>
              <w:widowControl/>
              <w:jc w:val="center"/>
              <w:rPr>
                <w:rFonts w:ascii="宋体" w:hAnsi="宋体" w:eastAsia="宋体" w:cs="宋体"/>
                <w:color w:val="auto"/>
                <w:highlight w:val="none"/>
              </w:rPr>
            </w:pPr>
            <w:r>
              <w:rPr>
                <w:rFonts w:hint="eastAsia" w:ascii="宋体" w:hAnsi="宋体" w:eastAsia="宋体" w:cs="宋体"/>
                <w:color w:val="auto"/>
                <w:highlight w:val="none"/>
              </w:rPr>
              <w:t>审核项目中的职务</w:t>
            </w:r>
          </w:p>
        </w:tc>
        <w:tc>
          <w:tcPr>
            <w:tcW w:w="1120" w:type="dxa"/>
            <w:vMerge w:val="restart"/>
            <w:tcBorders>
              <w:top w:val="nil"/>
              <w:left w:val="single" w:color="auto" w:sz="4" w:space="0"/>
              <w:bottom w:val="single" w:color="000000" w:sz="4" w:space="0"/>
              <w:right w:val="single" w:color="auto" w:sz="4" w:space="0"/>
            </w:tcBorders>
            <w:noWrap/>
            <w:vAlign w:val="center"/>
          </w:tcPr>
          <w:p w14:paraId="01B30435">
            <w:pPr>
              <w:widowControl/>
              <w:jc w:val="center"/>
              <w:rPr>
                <w:rFonts w:ascii="宋体" w:hAnsi="宋体" w:eastAsia="宋体" w:cs="宋体"/>
                <w:color w:val="auto"/>
                <w:highlight w:val="none"/>
              </w:rPr>
            </w:pPr>
            <w:r>
              <w:rPr>
                <w:rFonts w:hint="eastAsia" w:ascii="宋体" w:hAnsi="宋体" w:eastAsia="宋体" w:cs="宋体"/>
                <w:color w:val="auto"/>
                <w:highlight w:val="none"/>
              </w:rPr>
              <w:t>年龄</w:t>
            </w:r>
          </w:p>
        </w:tc>
        <w:tc>
          <w:tcPr>
            <w:tcW w:w="6802" w:type="dxa"/>
            <w:gridSpan w:val="8"/>
            <w:tcBorders>
              <w:top w:val="single" w:color="auto" w:sz="4" w:space="0"/>
              <w:left w:val="nil"/>
              <w:bottom w:val="single" w:color="auto" w:sz="4" w:space="0"/>
              <w:right w:val="single" w:color="auto" w:sz="4" w:space="0"/>
            </w:tcBorders>
            <w:noWrap/>
            <w:vAlign w:val="center"/>
          </w:tcPr>
          <w:p w14:paraId="56FC9AB6">
            <w:pPr>
              <w:widowControl/>
              <w:jc w:val="center"/>
              <w:rPr>
                <w:rFonts w:ascii="宋体" w:hAnsi="宋体" w:eastAsia="宋体" w:cs="宋体"/>
                <w:color w:val="auto"/>
                <w:highlight w:val="none"/>
              </w:rPr>
            </w:pPr>
            <w:r>
              <w:rPr>
                <w:rFonts w:hint="eastAsia" w:eastAsia="宋体" w:cs="宋体"/>
                <w:color w:val="auto"/>
                <w:highlight w:val="none"/>
              </w:rPr>
              <w:t>评审</w:t>
            </w:r>
            <w:r>
              <w:rPr>
                <w:rFonts w:hint="eastAsia" w:ascii="宋体" w:hAnsi="宋体" w:eastAsia="宋体" w:cs="宋体"/>
                <w:color w:val="auto"/>
                <w:highlight w:val="none"/>
              </w:rPr>
              <w:t>专业</w:t>
            </w:r>
          </w:p>
        </w:tc>
        <w:tc>
          <w:tcPr>
            <w:tcW w:w="1098" w:type="dxa"/>
            <w:tcBorders>
              <w:top w:val="nil"/>
              <w:left w:val="nil"/>
              <w:bottom w:val="single" w:color="auto" w:sz="4" w:space="0"/>
              <w:right w:val="single" w:color="auto" w:sz="4" w:space="0"/>
            </w:tcBorders>
            <w:noWrap/>
            <w:vAlign w:val="center"/>
          </w:tcPr>
          <w:p w14:paraId="1B06F927">
            <w:pPr>
              <w:widowControl/>
              <w:jc w:val="center"/>
              <w:rPr>
                <w:rFonts w:ascii="宋体" w:hAnsi="宋体" w:eastAsia="宋体" w:cs="宋体"/>
                <w:color w:val="auto"/>
                <w:highlight w:val="none"/>
              </w:rPr>
            </w:pPr>
            <w:r>
              <w:rPr>
                <w:rFonts w:hint="eastAsia" w:ascii="宋体" w:hAnsi="宋体" w:eastAsia="宋体" w:cs="宋体"/>
                <w:color w:val="auto"/>
                <w:highlight w:val="none"/>
              </w:rPr>
              <w:t>资格证书号</w:t>
            </w:r>
          </w:p>
        </w:tc>
        <w:tc>
          <w:tcPr>
            <w:tcW w:w="1240" w:type="dxa"/>
            <w:tcBorders>
              <w:top w:val="nil"/>
              <w:left w:val="nil"/>
              <w:bottom w:val="single" w:color="auto" w:sz="4" w:space="0"/>
              <w:right w:val="single" w:color="auto" w:sz="4" w:space="0"/>
            </w:tcBorders>
            <w:noWrap/>
            <w:vAlign w:val="center"/>
          </w:tcPr>
          <w:p w14:paraId="423607E6">
            <w:pPr>
              <w:widowControl/>
              <w:jc w:val="center"/>
              <w:rPr>
                <w:rFonts w:ascii="宋体" w:hAnsi="宋体" w:eastAsia="宋体" w:cs="宋体"/>
                <w:color w:val="auto"/>
                <w:highlight w:val="none"/>
              </w:rPr>
            </w:pPr>
            <w:r>
              <w:rPr>
                <w:rFonts w:hint="eastAsia" w:ascii="宋体" w:hAnsi="宋体" w:eastAsia="宋体" w:cs="宋体"/>
                <w:color w:val="auto"/>
                <w:highlight w:val="none"/>
              </w:rPr>
              <w:t>联系电话</w:t>
            </w:r>
          </w:p>
        </w:tc>
        <w:tc>
          <w:tcPr>
            <w:tcW w:w="1080" w:type="dxa"/>
            <w:tcBorders>
              <w:top w:val="nil"/>
              <w:left w:val="nil"/>
              <w:bottom w:val="single" w:color="auto" w:sz="4" w:space="0"/>
              <w:right w:val="single" w:color="auto" w:sz="4" w:space="0"/>
            </w:tcBorders>
            <w:noWrap/>
            <w:vAlign w:val="center"/>
          </w:tcPr>
          <w:p w14:paraId="72451818">
            <w:pPr>
              <w:widowControl/>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14:paraId="3B468530">
        <w:tblPrEx>
          <w:tblCellMar>
            <w:top w:w="0" w:type="dxa"/>
            <w:left w:w="108" w:type="dxa"/>
            <w:bottom w:w="0" w:type="dxa"/>
            <w:right w:w="108" w:type="dxa"/>
          </w:tblCellMar>
        </w:tblPrEx>
        <w:trPr>
          <w:trHeight w:val="527" w:hRule="atLeast"/>
          <w:jc w:val="center"/>
        </w:trPr>
        <w:tc>
          <w:tcPr>
            <w:tcW w:w="930" w:type="dxa"/>
            <w:vMerge w:val="continue"/>
            <w:tcBorders>
              <w:top w:val="nil"/>
              <w:left w:val="single" w:color="auto" w:sz="4" w:space="0"/>
              <w:bottom w:val="single" w:color="000000" w:sz="4" w:space="0"/>
              <w:right w:val="single" w:color="auto" w:sz="4" w:space="0"/>
            </w:tcBorders>
            <w:vAlign w:val="center"/>
          </w:tcPr>
          <w:p w14:paraId="3D8E2D3D">
            <w:pPr>
              <w:widowControl/>
              <w:jc w:val="left"/>
              <w:rPr>
                <w:rFonts w:ascii="宋体" w:hAnsi="宋体" w:eastAsia="宋体" w:cs="宋体"/>
                <w:color w:val="auto"/>
                <w:highlight w:val="none"/>
              </w:rPr>
            </w:pPr>
          </w:p>
        </w:tc>
        <w:tc>
          <w:tcPr>
            <w:tcW w:w="930" w:type="dxa"/>
            <w:vMerge w:val="continue"/>
            <w:tcBorders>
              <w:top w:val="nil"/>
              <w:left w:val="single" w:color="auto" w:sz="4" w:space="0"/>
              <w:bottom w:val="single" w:color="000000" w:sz="4" w:space="0"/>
              <w:right w:val="single" w:color="auto" w:sz="4" w:space="0"/>
            </w:tcBorders>
            <w:vAlign w:val="center"/>
          </w:tcPr>
          <w:p w14:paraId="56D1DCCF">
            <w:pPr>
              <w:widowControl/>
              <w:jc w:val="left"/>
              <w:rPr>
                <w:rFonts w:ascii="宋体" w:hAnsi="宋体" w:eastAsia="宋体" w:cs="宋体"/>
                <w:color w:val="auto"/>
                <w:highlight w:val="none"/>
              </w:rPr>
            </w:pPr>
          </w:p>
        </w:tc>
        <w:tc>
          <w:tcPr>
            <w:tcW w:w="1120" w:type="dxa"/>
            <w:vMerge w:val="continue"/>
            <w:tcBorders>
              <w:top w:val="nil"/>
              <w:left w:val="single" w:color="auto" w:sz="4" w:space="0"/>
              <w:bottom w:val="single" w:color="000000" w:sz="4" w:space="0"/>
              <w:right w:val="single" w:color="auto" w:sz="4" w:space="0"/>
            </w:tcBorders>
            <w:vAlign w:val="center"/>
          </w:tcPr>
          <w:p w14:paraId="0C6892EC">
            <w:pPr>
              <w:widowControl/>
              <w:jc w:val="left"/>
              <w:rPr>
                <w:rFonts w:ascii="宋体" w:hAnsi="宋体" w:eastAsia="宋体" w:cs="宋体"/>
                <w:color w:val="auto"/>
                <w:highlight w:val="none"/>
              </w:rPr>
            </w:pPr>
          </w:p>
        </w:tc>
        <w:tc>
          <w:tcPr>
            <w:tcW w:w="1120" w:type="dxa"/>
            <w:vMerge w:val="continue"/>
            <w:tcBorders>
              <w:top w:val="nil"/>
              <w:left w:val="single" w:color="auto" w:sz="4" w:space="0"/>
              <w:bottom w:val="single" w:color="000000" w:sz="4" w:space="0"/>
              <w:right w:val="single" w:color="auto" w:sz="4" w:space="0"/>
            </w:tcBorders>
            <w:vAlign w:val="center"/>
          </w:tcPr>
          <w:p w14:paraId="25F1D084">
            <w:pPr>
              <w:widowControl/>
              <w:jc w:val="left"/>
              <w:rPr>
                <w:rFonts w:ascii="宋体" w:hAnsi="宋体" w:eastAsia="宋体" w:cs="宋体"/>
                <w:color w:val="auto"/>
                <w:highlight w:val="none"/>
              </w:rPr>
            </w:pPr>
          </w:p>
        </w:tc>
        <w:tc>
          <w:tcPr>
            <w:tcW w:w="720" w:type="dxa"/>
            <w:tcBorders>
              <w:top w:val="nil"/>
              <w:left w:val="nil"/>
              <w:bottom w:val="single" w:color="auto" w:sz="4" w:space="0"/>
              <w:right w:val="single" w:color="auto" w:sz="4" w:space="0"/>
            </w:tcBorders>
            <w:noWrap/>
            <w:vAlign w:val="center"/>
          </w:tcPr>
          <w:p w14:paraId="7A11A287">
            <w:pPr>
              <w:widowControl/>
              <w:jc w:val="center"/>
              <w:rPr>
                <w:rFonts w:ascii="宋体" w:hAnsi="宋体" w:eastAsia="宋体" w:cs="宋体"/>
                <w:color w:val="auto"/>
                <w:highlight w:val="none"/>
              </w:rPr>
            </w:pPr>
            <w:r>
              <w:rPr>
                <w:rFonts w:hint="eastAsia" w:ascii="宋体" w:hAnsi="宋体" w:eastAsia="宋体" w:cs="宋体"/>
                <w:color w:val="auto"/>
                <w:highlight w:val="none"/>
              </w:rPr>
              <w:t>土木建筑工程</w:t>
            </w:r>
          </w:p>
        </w:tc>
        <w:tc>
          <w:tcPr>
            <w:tcW w:w="760" w:type="dxa"/>
            <w:tcBorders>
              <w:top w:val="nil"/>
              <w:left w:val="nil"/>
              <w:bottom w:val="single" w:color="auto" w:sz="4" w:space="0"/>
              <w:right w:val="single" w:color="auto" w:sz="4" w:space="0"/>
            </w:tcBorders>
            <w:noWrap/>
            <w:vAlign w:val="center"/>
          </w:tcPr>
          <w:p w14:paraId="0265DB55">
            <w:pPr>
              <w:widowControl/>
              <w:jc w:val="center"/>
              <w:rPr>
                <w:rFonts w:ascii="宋体" w:hAnsi="宋体" w:eastAsia="宋体" w:cs="宋体"/>
                <w:color w:val="auto"/>
                <w:highlight w:val="none"/>
              </w:rPr>
            </w:pPr>
            <w:r>
              <w:rPr>
                <w:rFonts w:hint="eastAsia" w:ascii="宋体" w:hAnsi="宋体" w:eastAsia="宋体" w:cs="宋体"/>
                <w:color w:val="auto"/>
                <w:highlight w:val="none"/>
              </w:rPr>
              <w:t>安装工程</w:t>
            </w:r>
          </w:p>
        </w:tc>
        <w:tc>
          <w:tcPr>
            <w:tcW w:w="3022" w:type="dxa"/>
            <w:gridSpan w:val="3"/>
            <w:tcBorders>
              <w:top w:val="nil"/>
              <w:left w:val="nil"/>
              <w:bottom w:val="single" w:color="auto" w:sz="4" w:space="0"/>
              <w:right w:val="single" w:color="auto" w:sz="4" w:space="0"/>
            </w:tcBorders>
            <w:noWrap/>
            <w:vAlign w:val="center"/>
          </w:tcPr>
          <w:p w14:paraId="2CE54FD7">
            <w:pPr>
              <w:widowControl/>
              <w:jc w:val="center"/>
              <w:rPr>
                <w:rFonts w:ascii="宋体" w:hAnsi="宋体" w:eastAsia="宋体" w:cs="宋体"/>
                <w:i/>
                <w:iCs/>
                <w:color w:val="auto"/>
                <w:highlight w:val="none"/>
              </w:rPr>
            </w:pPr>
            <w:r>
              <w:rPr>
                <w:rFonts w:hint="eastAsia" w:ascii="宋体" w:hAnsi="宋体" w:eastAsia="宋体" w:cs="宋体"/>
                <w:color w:val="auto"/>
                <w:highlight w:val="none"/>
              </w:rPr>
              <w:t>交通运输工程（公路、水运）</w:t>
            </w:r>
          </w:p>
        </w:tc>
        <w:tc>
          <w:tcPr>
            <w:tcW w:w="886" w:type="dxa"/>
            <w:tcBorders>
              <w:top w:val="nil"/>
              <w:left w:val="nil"/>
              <w:bottom w:val="single" w:color="auto" w:sz="4" w:space="0"/>
              <w:right w:val="single" w:color="auto" w:sz="4" w:space="0"/>
            </w:tcBorders>
            <w:noWrap/>
            <w:vAlign w:val="center"/>
          </w:tcPr>
          <w:p w14:paraId="5F067B92">
            <w:pPr>
              <w:widowControl/>
              <w:jc w:val="center"/>
              <w:rPr>
                <w:rFonts w:ascii="宋体" w:hAnsi="宋体" w:eastAsia="宋体" w:cs="宋体"/>
                <w:color w:val="auto"/>
                <w:highlight w:val="none"/>
              </w:rPr>
            </w:pPr>
            <w:r>
              <w:rPr>
                <w:rFonts w:hint="eastAsia" w:ascii="宋体" w:hAnsi="宋体" w:eastAsia="宋体" w:cs="宋体"/>
                <w:color w:val="auto"/>
                <w:highlight w:val="none"/>
              </w:rPr>
              <w:t>水利工程</w:t>
            </w:r>
          </w:p>
        </w:tc>
        <w:tc>
          <w:tcPr>
            <w:tcW w:w="800" w:type="dxa"/>
            <w:tcBorders>
              <w:top w:val="nil"/>
              <w:left w:val="nil"/>
              <w:bottom w:val="single" w:color="auto" w:sz="4" w:space="0"/>
              <w:right w:val="single" w:color="auto" w:sz="4" w:space="0"/>
            </w:tcBorders>
            <w:noWrap/>
            <w:vAlign w:val="center"/>
          </w:tcPr>
          <w:p w14:paraId="19F91722">
            <w:pPr>
              <w:widowControl/>
              <w:jc w:val="center"/>
              <w:rPr>
                <w:rFonts w:ascii="宋体" w:hAnsi="宋体" w:eastAsia="宋体" w:cs="宋体"/>
                <w:i/>
                <w:iCs/>
                <w:color w:val="auto"/>
                <w:highlight w:val="none"/>
              </w:rPr>
            </w:pPr>
          </w:p>
        </w:tc>
        <w:tc>
          <w:tcPr>
            <w:tcW w:w="614" w:type="dxa"/>
            <w:tcBorders>
              <w:top w:val="nil"/>
              <w:left w:val="nil"/>
              <w:bottom w:val="nil"/>
              <w:right w:val="nil"/>
            </w:tcBorders>
            <w:noWrap/>
            <w:vAlign w:val="center"/>
          </w:tcPr>
          <w:p w14:paraId="5A2C3C53">
            <w:pPr>
              <w:widowControl/>
              <w:jc w:val="center"/>
              <w:rPr>
                <w:rFonts w:ascii="宋体" w:hAnsi="宋体" w:eastAsia="宋体" w:cs="宋体"/>
                <w:color w:val="auto"/>
                <w:highlight w:val="none"/>
              </w:rPr>
            </w:pPr>
          </w:p>
        </w:tc>
        <w:tc>
          <w:tcPr>
            <w:tcW w:w="1098" w:type="dxa"/>
            <w:tcBorders>
              <w:top w:val="nil"/>
              <w:left w:val="single" w:color="auto" w:sz="4" w:space="0"/>
              <w:bottom w:val="single" w:color="auto" w:sz="4" w:space="0"/>
              <w:right w:val="single" w:color="auto" w:sz="4" w:space="0"/>
            </w:tcBorders>
            <w:noWrap/>
            <w:vAlign w:val="center"/>
          </w:tcPr>
          <w:p w14:paraId="5C7C88DB">
            <w:pPr>
              <w:widowControl/>
              <w:jc w:val="center"/>
              <w:rPr>
                <w:rFonts w:ascii="宋体" w:hAnsi="宋体" w:eastAsia="宋体" w:cs="宋体"/>
                <w:color w:val="auto"/>
                <w:highlight w:val="none"/>
              </w:rPr>
            </w:pPr>
          </w:p>
        </w:tc>
        <w:tc>
          <w:tcPr>
            <w:tcW w:w="1240" w:type="dxa"/>
            <w:tcBorders>
              <w:top w:val="nil"/>
              <w:left w:val="nil"/>
              <w:bottom w:val="single" w:color="auto" w:sz="4" w:space="0"/>
              <w:right w:val="single" w:color="auto" w:sz="4" w:space="0"/>
            </w:tcBorders>
            <w:noWrap/>
            <w:vAlign w:val="center"/>
          </w:tcPr>
          <w:p w14:paraId="5C287136">
            <w:pPr>
              <w:widowControl/>
              <w:jc w:val="center"/>
              <w:rPr>
                <w:rFonts w:ascii="宋体" w:hAnsi="宋体" w:eastAsia="宋体" w:cs="宋体"/>
                <w:color w:val="auto"/>
                <w:highlight w:val="none"/>
              </w:rPr>
            </w:pPr>
          </w:p>
        </w:tc>
        <w:tc>
          <w:tcPr>
            <w:tcW w:w="1080" w:type="dxa"/>
            <w:tcBorders>
              <w:top w:val="nil"/>
              <w:left w:val="nil"/>
              <w:bottom w:val="single" w:color="auto" w:sz="4" w:space="0"/>
              <w:right w:val="single" w:color="auto" w:sz="4" w:space="0"/>
            </w:tcBorders>
            <w:noWrap/>
            <w:vAlign w:val="center"/>
          </w:tcPr>
          <w:p w14:paraId="06FE385E">
            <w:pPr>
              <w:widowControl/>
              <w:jc w:val="center"/>
              <w:rPr>
                <w:rFonts w:ascii="宋体" w:hAnsi="宋体" w:eastAsia="宋体" w:cs="宋体"/>
                <w:color w:val="auto"/>
                <w:highlight w:val="none"/>
              </w:rPr>
            </w:pPr>
          </w:p>
        </w:tc>
      </w:tr>
      <w:tr w14:paraId="67CB7ADB">
        <w:tblPrEx>
          <w:tblCellMar>
            <w:top w:w="0" w:type="dxa"/>
            <w:left w:w="108" w:type="dxa"/>
            <w:bottom w:w="0" w:type="dxa"/>
            <w:right w:w="108" w:type="dxa"/>
          </w:tblCellMar>
        </w:tblPrEx>
        <w:trPr>
          <w:trHeight w:val="420" w:hRule="atLeast"/>
          <w:jc w:val="center"/>
        </w:trPr>
        <w:tc>
          <w:tcPr>
            <w:tcW w:w="930" w:type="dxa"/>
            <w:tcBorders>
              <w:top w:val="nil"/>
              <w:left w:val="single" w:color="auto" w:sz="4" w:space="0"/>
              <w:bottom w:val="single" w:color="auto" w:sz="4" w:space="0"/>
              <w:right w:val="single" w:color="auto" w:sz="4" w:space="0"/>
            </w:tcBorders>
            <w:noWrap/>
            <w:vAlign w:val="center"/>
          </w:tcPr>
          <w:p w14:paraId="5228E3CB">
            <w:pPr>
              <w:widowControl/>
              <w:spacing w:line="300" w:lineRule="exact"/>
              <w:jc w:val="left"/>
              <w:rPr>
                <w:rFonts w:ascii="宋体" w:hAnsi="宋体" w:eastAsia="宋体" w:cs="宋体"/>
                <w:color w:val="auto"/>
                <w:sz w:val="18"/>
                <w:szCs w:val="18"/>
                <w:highlight w:val="none"/>
              </w:rPr>
            </w:pPr>
          </w:p>
        </w:tc>
        <w:tc>
          <w:tcPr>
            <w:tcW w:w="930" w:type="dxa"/>
            <w:tcBorders>
              <w:top w:val="nil"/>
              <w:left w:val="nil"/>
              <w:bottom w:val="single" w:color="auto" w:sz="4" w:space="0"/>
              <w:right w:val="single" w:color="auto" w:sz="4" w:space="0"/>
            </w:tcBorders>
            <w:noWrap/>
            <w:vAlign w:val="center"/>
          </w:tcPr>
          <w:p w14:paraId="0812088C">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480A615B">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53ADB2E5">
            <w:pPr>
              <w:widowControl/>
              <w:spacing w:line="300" w:lineRule="exact"/>
              <w:jc w:val="left"/>
              <w:rPr>
                <w:rFonts w:ascii="宋体" w:hAnsi="宋体" w:eastAsia="宋体" w:cs="宋体"/>
                <w:color w:val="auto"/>
                <w:sz w:val="18"/>
                <w:szCs w:val="18"/>
                <w:highlight w:val="none"/>
              </w:rPr>
            </w:pPr>
          </w:p>
        </w:tc>
        <w:tc>
          <w:tcPr>
            <w:tcW w:w="720" w:type="dxa"/>
            <w:tcBorders>
              <w:top w:val="nil"/>
              <w:left w:val="nil"/>
              <w:bottom w:val="single" w:color="auto" w:sz="4" w:space="0"/>
              <w:right w:val="single" w:color="auto" w:sz="4" w:space="0"/>
            </w:tcBorders>
            <w:noWrap/>
            <w:vAlign w:val="center"/>
          </w:tcPr>
          <w:p w14:paraId="4776289C">
            <w:pPr>
              <w:widowControl/>
              <w:spacing w:line="300" w:lineRule="exact"/>
              <w:jc w:val="center"/>
              <w:rPr>
                <w:rFonts w:ascii="宋体" w:hAnsi="宋体" w:eastAsia="宋体" w:cs="宋体"/>
                <w:color w:val="auto"/>
                <w:sz w:val="18"/>
                <w:szCs w:val="18"/>
                <w:highlight w:val="none"/>
              </w:rPr>
            </w:pPr>
          </w:p>
        </w:tc>
        <w:tc>
          <w:tcPr>
            <w:tcW w:w="760" w:type="dxa"/>
            <w:tcBorders>
              <w:top w:val="nil"/>
              <w:left w:val="nil"/>
              <w:bottom w:val="single" w:color="auto" w:sz="4" w:space="0"/>
              <w:right w:val="single" w:color="auto" w:sz="4" w:space="0"/>
            </w:tcBorders>
            <w:noWrap/>
            <w:vAlign w:val="center"/>
          </w:tcPr>
          <w:p w14:paraId="55459758">
            <w:pPr>
              <w:widowControl/>
              <w:spacing w:line="300" w:lineRule="exact"/>
              <w:jc w:val="center"/>
              <w:rPr>
                <w:rFonts w:ascii="宋体" w:hAnsi="宋体" w:eastAsia="宋体" w:cs="宋体"/>
                <w:color w:val="auto"/>
                <w:sz w:val="18"/>
                <w:szCs w:val="18"/>
                <w:highlight w:val="none"/>
              </w:rPr>
            </w:pPr>
          </w:p>
        </w:tc>
        <w:tc>
          <w:tcPr>
            <w:tcW w:w="3022" w:type="dxa"/>
            <w:gridSpan w:val="3"/>
            <w:tcBorders>
              <w:top w:val="nil"/>
              <w:left w:val="nil"/>
              <w:bottom w:val="single" w:color="auto" w:sz="4" w:space="0"/>
              <w:right w:val="single" w:color="auto" w:sz="4" w:space="0"/>
            </w:tcBorders>
            <w:noWrap/>
            <w:vAlign w:val="center"/>
          </w:tcPr>
          <w:p w14:paraId="62719156">
            <w:pPr>
              <w:widowControl/>
              <w:spacing w:line="300" w:lineRule="exact"/>
              <w:jc w:val="center"/>
              <w:rPr>
                <w:rFonts w:ascii="宋体" w:hAnsi="宋体" w:eastAsia="宋体" w:cs="宋体"/>
                <w:color w:val="auto"/>
                <w:sz w:val="18"/>
                <w:szCs w:val="18"/>
                <w:highlight w:val="none"/>
              </w:rPr>
            </w:pPr>
          </w:p>
        </w:tc>
        <w:tc>
          <w:tcPr>
            <w:tcW w:w="886" w:type="dxa"/>
            <w:tcBorders>
              <w:top w:val="nil"/>
              <w:left w:val="nil"/>
              <w:bottom w:val="single" w:color="auto" w:sz="4" w:space="0"/>
              <w:right w:val="single" w:color="auto" w:sz="4" w:space="0"/>
            </w:tcBorders>
            <w:noWrap/>
            <w:vAlign w:val="center"/>
          </w:tcPr>
          <w:p w14:paraId="6A6743D7">
            <w:pPr>
              <w:widowControl/>
              <w:spacing w:line="300" w:lineRule="exact"/>
              <w:jc w:val="center"/>
              <w:rPr>
                <w:rFonts w:ascii="宋体" w:hAnsi="宋体" w:eastAsia="宋体" w:cs="宋体"/>
                <w:color w:val="auto"/>
                <w:sz w:val="18"/>
                <w:szCs w:val="18"/>
                <w:highlight w:val="none"/>
              </w:rPr>
            </w:pPr>
          </w:p>
        </w:tc>
        <w:tc>
          <w:tcPr>
            <w:tcW w:w="800" w:type="dxa"/>
            <w:tcBorders>
              <w:top w:val="nil"/>
              <w:left w:val="nil"/>
              <w:bottom w:val="single" w:color="auto" w:sz="4" w:space="0"/>
              <w:right w:val="single" w:color="auto" w:sz="4" w:space="0"/>
            </w:tcBorders>
            <w:noWrap/>
            <w:vAlign w:val="center"/>
          </w:tcPr>
          <w:p w14:paraId="5A4D8FCF">
            <w:pPr>
              <w:widowControl/>
              <w:spacing w:line="300" w:lineRule="exact"/>
              <w:jc w:val="left"/>
              <w:rPr>
                <w:rFonts w:ascii="宋体" w:hAnsi="宋体" w:eastAsia="宋体" w:cs="宋体"/>
                <w:color w:val="auto"/>
                <w:sz w:val="18"/>
                <w:szCs w:val="18"/>
                <w:highlight w:val="none"/>
              </w:rPr>
            </w:pPr>
          </w:p>
        </w:tc>
        <w:tc>
          <w:tcPr>
            <w:tcW w:w="614" w:type="dxa"/>
            <w:tcBorders>
              <w:top w:val="single" w:color="auto" w:sz="4" w:space="0"/>
              <w:left w:val="nil"/>
              <w:bottom w:val="single" w:color="auto" w:sz="4" w:space="0"/>
              <w:right w:val="single" w:color="auto" w:sz="4" w:space="0"/>
            </w:tcBorders>
            <w:noWrap/>
            <w:vAlign w:val="center"/>
          </w:tcPr>
          <w:p w14:paraId="58F5B3FB">
            <w:pPr>
              <w:widowControl/>
              <w:spacing w:line="300" w:lineRule="exact"/>
              <w:jc w:val="left"/>
              <w:rPr>
                <w:rFonts w:ascii="宋体" w:hAnsi="宋体" w:eastAsia="宋体" w:cs="宋体"/>
                <w:color w:val="auto"/>
                <w:sz w:val="18"/>
                <w:szCs w:val="18"/>
                <w:highlight w:val="none"/>
              </w:rPr>
            </w:pPr>
          </w:p>
        </w:tc>
        <w:tc>
          <w:tcPr>
            <w:tcW w:w="1098" w:type="dxa"/>
            <w:tcBorders>
              <w:top w:val="nil"/>
              <w:left w:val="nil"/>
              <w:bottom w:val="single" w:color="auto" w:sz="4" w:space="0"/>
              <w:right w:val="single" w:color="auto" w:sz="4" w:space="0"/>
            </w:tcBorders>
            <w:noWrap/>
            <w:vAlign w:val="center"/>
          </w:tcPr>
          <w:p w14:paraId="1DA0E603">
            <w:pPr>
              <w:widowControl/>
              <w:spacing w:line="300" w:lineRule="exact"/>
              <w:jc w:val="left"/>
              <w:rPr>
                <w:rFonts w:ascii="宋体" w:hAnsi="宋体" w:eastAsia="宋体" w:cs="宋体"/>
                <w:color w:val="auto"/>
                <w:sz w:val="18"/>
                <w:szCs w:val="18"/>
                <w:highlight w:val="none"/>
              </w:rPr>
            </w:pPr>
          </w:p>
        </w:tc>
        <w:tc>
          <w:tcPr>
            <w:tcW w:w="1240" w:type="dxa"/>
            <w:tcBorders>
              <w:top w:val="nil"/>
              <w:left w:val="nil"/>
              <w:bottom w:val="single" w:color="auto" w:sz="4" w:space="0"/>
              <w:right w:val="single" w:color="auto" w:sz="4" w:space="0"/>
            </w:tcBorders>
            <w:noWrap/>
            <w:vAlign w:val="center"/>
          </w:tcPr>
          <w:p w14:paraId="51A84956">
            <w:pPr>
              <w:widowControl/>
              <w:spacing w:line="300" w:lineRule="exact"/>
              <w:jc w:val="left"/>
              <w:rPr>
                <w:rFonts w:ascii="宋体" w:hAnsi="宋体" w:eastAsia="宋体" w:cs="宋体"/>
                <w:color w:val="auto"/>
                <w:sz w:val="18"/>
                <w:szCs w:val="18"/>
                <w:highlight w:val="none"/>
              </w:rPr>
            </w:pPr>
          </w:p>
        </w:tc>
        <w:tc>
          <w:tcPr>
            <w:tcW w:w="1080" w:type="dxa"/>
            <w:tcBorders>
              <w:top w:val="nil"/>
              <w:left w:val="nil"/>
              <w:bottom w:val="single" w:color="auto" w:sz="4" w:space="0"/>
              <w:right w:val="single" w:color="auto" w:sz="4" w:space="0"/>
            </w:tcBorders>
            <w:noWrap/>
            <w:vAlign w:val="center"/>
          </w:tcPr>
          <w:p w14:paraId="524D4B35">
            <w:pPr>
              <w:widowControl/>
              <w:spacing w:line="300" w:lineRule="exact"/>
              <w:jc w:val="left"/>
              <w:rPr>
                <w:rFonts w:ascii="宋体" w:hAnsi="宋体" w:eastAsia="宋体" w:cs="宋体"/>
                <w:color w:val="auto"/>
                <w:sz w:val="18"/>
                <w:szCs w:val="18"/>
                <w:highlight w:val="none"/>
              </w:rPr>
            </w:pPr>
          </w:p>
        </w:tc>
      </w:tr>
      <w:tr w14:paraId="6021FF39">
        <w:tblPrEx>
          <w:tblCellMar>
            <w:top w:w="0" w:type="dxa"/>
            <w:left w:w="108" w:type="dxa"/>
            <w:bottom w:w="0" w:type="dxa"/>
            <w:right w:w="108" w:type="dxa"/>
          </w:tblCellMar>
        </w:tblPrEx>
        <w:trPr>
          <w:trHeight w:val="420" w:hRule="atLeast"/>
          <w:jc w:val="center"/>
        </w:trPr>
        <w:tc>
          <w:tcPr>
            <w:tcW w:w="930" w:type="dxa"/>
            <w:tcBorders>
              <w:top w:val="nil"/>
              <w:left w:val="single" w:color="auto" w:sz="4" w:space="0"/>
              <w:bottom w:val="single" w:color="auto" w:sz="4" w:space="0"/>
              <w:right w:val="single" w:color="auto" w:sz="4" w:space="0"/>
            </w:tcBorders>
            <w:noWrap/>
            <w:vAlign w:val="center"/>
          </w:tcPr>
          <w:p w14:paraId="26CD66BF">
            <w:pPr>
              <w:widowControl/>
              <w:spacing w:line="300" w:lineRule="exact"/>
              <w:jc w:val="left"/>
              <w:rPr>
                <w:rFonts w:ascii="宋体" w:hAnsi="宋体" w:eastAsia="宋体" w:cs="宋体"/>
                <w:color w:val="auto"/>
                <w:sz w:val="18"/>
                <w:szCs w:val="18"/>
                <w:highlight w:val="none"/>
              </w:rPr>
            </w:pPr>
          </w:p>
        </w:tc>
        <w:tc>
          <w:tcPr>
            <w:tcW w:w="930" w:type="dxa"/>
            <w:tcBorders>
              <w:top w:val="nil"/>
              <w:left w:val="nil"/>
              <w:bottom w:val="single" w:color="auto" w:sz="4" w:space="0"/>
              <w:right w:val="single" w:color="auto" w:sz="4" w:space="0"/>
            </w:tcBorders>
            <w:noWrap/>
            <w:vAlign w:val="center"/>
          </w:tcPr>
          <w:p w14:paraId="3F4B0445">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2C034819">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73C8F9AD">
            <w:pPr>
              <w:widowControl/>
              <w:spacing w:line="300" w:lineRule="exact"/>
              <w:jc w:val="left"/>
              <w:rPr>
                <w:rFonts w:ascii="宋体" w:hAnsi="宋体" w:eastAsia="宋体" w:cs="宋体"/>
                <w:color w:val="auto"/>
                <w:sz w:val="18"/>
                <w:szCs w:val="18"/>
                <w:highlight w:val="none"/>
              </w:rPr>
            </w:pPr>
          </w:p>
        </w:tc>
        <w:tc>
          <w:tcPr>
            <w:tcW w:w="720" w:type="dxa"/>
            <w:tcBorders>
              <w:top w:val="nil"/>
              <w:left w:val="nil"/>
              <w:bottom w:val="single" w:color="auto" w:sz="4" w:space="0"/>
              <w:right w:val="single" w:color="auto" w:sz="4" w:space="0"/>
            </w:tcBorders>
            <w:noWrap/>
            <w:vAlign w:val="center"/>
          </w:tcPr>
          <w:p w14:paraId="19834616">
            <w:pPr>
              <w:widowControl/>
              <w:spacing w:line="300" w:lineRule="exact"/>
              <w:jc w:val="center"/>
              <w:rPr>
                <w:rFonts w:ascii="宋体" w:hAnsi="宋体" w:eastAsia="宋体" w:cs="宋体"/>
                <w:color w:val="auto"/>
                <w:sz w:val="18"/>
                <w:szCs w:val="18"/>
                <w:highlight w:val="none"/>
              </w:rPr>
            </w:pPr>
          </w:p>
        </w:tc>
        <w:tc>
          <w:tcPr>
            <w:tcW w:w="760" w:type="dxa"/>
            <w:tcBorders>
              <w:top w:val="nil"/>
              <w:left w:val="nil"/>
              <w:bottom w:val="single" w:color="auto" w:sz="4" w:space="0"/>
              <w:right w:val="single" w:color="auto" w:sz="4" w:space="0"/>
            </w:tcBorders>
            <w:noWrap/>
            <w:vAlign w:val="center"/>
          </w:tcPr>
          <w:p w14:paraId="0E438DC0">
            <w:pPr>
              <w:widowControl/>
              <w:spacing w:line="300" w:lineRule="exact"/>
              <w:jc w:val="center"/>
              <w:rPr>
                <w:rFonts w:ascii="宋体" w:hAnsi="宋体" w:eastAsia="宋体" w:cs="宋体"/>
                <w:color w:val="auto"/>
                <w:sz w:val="18"/>
                <w:szCs w:val="18"/>
                <w:highlight w:val="none"/>
              </w:rPr>
            </w:pPr>
          </w:p>
        </w:tc>
        <w:tc>
          <w:tcPr>
            <w:tcW w:w="3022" w:type="dxa"/>
            <w:gridSpan w:val="3"/>
            <w:tcBorders>
              <w:top w:val="nil"/>
              <w:left w:val="nil"/>
              <w:bottom w:val="single" w:color="auto" w:sz="4" w:space="0"/>
              <w:right w:val="single" w:color="auto" w:sz="4" w:space="0"/>
            </w:tcBorders>
            <w:noWrap/>
            <w:vAlign w:val="center"/>
          </w:tcPr>
          <w:p w14:paraId="296D6979">
            <w:pPr>
              <w:widowControl/>
              <w:spacing w:line="300" w:lineRule="exact"/>
              <w:jc w:val="center"/>
              <w:rPr>
                <w:rFonts w:ascii="宋体" w:hAnsi="宋体" w:eastAsia="宋体" w:cs="宋体"/>
                <w:color w:val="auto"/>
                <w:sz w:val="18"/>
                <w:szCs w:val="18"/>
                <w:highlight w:val="none"/>
              </w:rPr>
            </w:pPr>
          </w:p>
        </w:tc>
        <w:tc>
          <w:tcPr>
            <w:tcW w:w="886" w:type="dxa"/>
            <w:tcBorders>
              <w:top w:val="nil"/>
              <w:left w:val="nil"/>
              <w:bottom w:val="single" w:color="auto" w:sz="4" w:space="0"/>
              <w:right w:val="single" w:color="auto" w:sz="4" w:space="0"/>
            </w:tcBorders>
            <w:noWrap/>
            <w:vAlign w:val="center"/>
          </w:tcPr>
          <w:p w14:paraId="22841495">
            <w:pPr>
              <w:widowControl/>
              <w:spacing w:line="300" w:lineRule="exact"/>
              <w:jc w:val="center"/>
              <w:rPr>
                <w:rFonts w:ascii="宋体" w:hAnsi="宋体" w:eastAsia="宋体" w:cs="宋体"/>
                <w:color w:val="auto"/>
                <w:sz w:val="18"/>
                <w:szCs w:val="18"/>
                <w:highlight w:val="none"/>
              </w:rPr>
            </w:pPr>
          </w:p>
        </w:tc>
        <w:tc>
          <w:tcPr>
            <w:tcW w:w="800" w:type="dxa"/>
            <w:tcBorders>
              <w:top w:val="nil"/>
              <w:left w:val="nil"/>
              <w:bottom w:val="single" w:color="auto" w:sz="4" w:space="0"/>
              <w:right w:val="single" w:color="auto" w:sz="4" w:space="0"/>
            </w:tcBorders>
            <w:noWrap/>
            <w:vAlign w:val="center"/>
          </w:tcPr>
          <w:p w14:paraId="47BF2EB1">
            <w:pPr>
              <w:widowControl/>
              <w:spacing w:line="300" w:lineRule="exact"/>
              <w:jc w:val="left"/>
              <w:rPr>
                <w:rFonts w:ascii="宋体" w:hAnsi="宋体" w:eastAsia="宋体" w:cs="宋体"/>
                <w:color w:val="auto"/>
                <w:sz w:val="18"/>
                <w:szCs w:val="18"/>
                <w:highlight w:val="none"/>
              </w:rPr>
            </w:pPr>
          </w:p>
        </w:tc>
        <w:tc>
          <w:tcPr>
            <w:tcW w:w="614" w:type="dxa"/>
            <w:tcBorders>
              <w:top w:val="nil"/>
              <w:left w:val="nil"/>
              <w:bottom w:val="single" w:color="auto" w:sz="4" w:space="0"/>
              <w:right w:val="single" w:color="auto" w:sz="4" w:space="0"/>
            </w:tcBorders>
            <w:noWrap/>
            <w:vAlign w:val="center"/>
          </w:tcPr>
          <w:p w14:paraId="3C46F02D">
            <w:pPr>
              <w:widowControl/>
              <w:spacing w:line="300" w:lineRule="exact"/>
              <w:jc w:val="left"/>
              <w:rPr>
                <w:rFonts w:ascii="宋体" w:hAnsi="宋体" w:eastAsia="宋体" w:cs="宋体"/>
                <w:color w:val="auto"/>
                <w:sz w:val="18"/>
                <w:szCs w:val="18"/>
                <w:highlight w:val="none"/>
              </w:rPr>
            </w:pPr>
          </w:p>
        </w:tc>
        <w:tc>
          <w:tcPr>
            <w:tcW w:w="1098" w:type="dxa"/>
            <w:tcBorders>
              <w:top w:val="nil"/>
              <w:left w:val="nil"/>
              <w:bottom w:val="single" w:color="auto" w:sz="4" w:space="0"/>
              <w:right w:val="single" w:color="auto" w:sz="4" w:space="0"/>
            </w:tcBorders>
            <w:noWrap/>
            <w:vAlign w:val="center"/>
          </w:tcPr>
          <w:p w14:paraId="290D294D">
            <w:pPr>
              <w:widowControl/>
              <w:spacing w:line="300" w:lineRule="exact"/>
              <w:jc w:val="left"/>
              <w:rPr>
                <w:rFonts w:ascii="宋体" w:hAnsi="宋体" w:eastAsia="宋体" w:cs="宋体"/>
                <w:color w:val="auto"/>
                <w:sz w:val="18"/>
                <w:szCs w:val="18"/>
                <w:highlight w:val="none"/>
              </w:rPr>
            </w:pPr>
          </w:p>
        </w:tc>
        <w:tc>
          <w:tcPr>
            <w:tcW w:w="1240" w:type="dxa"/>
            <w:tcBorders>
              <w:top w:val="nil"/>
              <w:left w:val="nil"/>
              <w:bottom w:val="single" w:color="auto" w:sz="4" w:space="0"/>
              <w:right w:val="single" w:color="auto" w:sz="4" w:space="0"/>
            </w:tcBorders>
            <w:noWrap/>
            <w:vAlign w:val="center"/>
          </w:tcPr>
          <w:p w14:paraId="181F47C5">
            <w:pPr>
              <w:widowControl/>
              <w:spacing w:line="300" w:lineRule="exact"/>
              <w:jc w:val="left"/>
              <w:rPr>
                <w:rFonts w:ascii="宋体" w:hAnsi="宋体" w:eastAsia="宋体" w:cs="宋体"/>
                <w:color w:val="auto"/>
                <w:sz w:val="18"/>
                <w:szCs w:val="18"/>
                <w:highlight w:val="none"/>
              </w:rPr>
            </w:pPr>
          </w:p>
        </w:tc>
        <w:tc>
          <w:tcPr>
            <w:tcW w:w="1080" w:type="dxa"/>
            <w:tcBorders>
              <w:top w:val="nil"/>
              <w:left w:val="nil"/>
              <w:bottom w:val="single" w:color="auto" w:sz="4" w:space="0"/>
              <w:right w:val="single" w:color="auto" w:sz="4" w:space="0"/>
            </w:tcBorders>
            <w:noWrap/>
            <w:vAlign w:val="center"/>
          </w:tcPr>
          <w:p w14:paraId="0C4CCF3B">
            <w:pPr>
              <w:widowControl/>
              <w:spacing w:line="300" w:lineRule="exact"/>
              <w:jc w:val="left"/>
              <w:rPr>
                <w:rFonts w:ascii="宋体" w:hAnsi="宋体" w:eastAsia="宋体" w:cs="宋体"/>
                <w:color w:val="auto"/>
                <w:sz w:val="18"/>
                <w:szCs w:val="18"/>
                <w:highlight w:val="none"/>
              </w:rPr>
            </w:pPr>
          </w:p>
        </w:tc>
      </w:tr>
      <w:tr w14:paraId="6C49EB64">
        <w:tblPrEx>
          <w:tblCellMar>
            <w:top w:w="0" w:type="dxa"/>
            <w:left w:w="108" w:type="dxa"/>
            <w:bottom w:w="0" w:type="dxa"/>
            <w:right w:w="108" w:type="dxa"/>
          </w:tblCellMar>
        </w:tblPrEx>
        <w:trPr>
          <w:trHeight w:val="420" w:hRule="atLeast"/>
          <w:jc w:val="center"/>
        </w:trPr>
        <w:tc>
          <w:tcPr>
            <w:tcW w:w="930" w:type="dxa"/>
            <w:tcBorders>
              <w:top w:val="nil"/>
              <w:left w:val="single" w:color="auto" w:sz="4" w:space="0"/>
              <w:bottom w:val="single" w:color="auto" w:sz="4" w:space="0"/>
              <w:right w:val="single" w:color="auto" w:sz="4" w:space="0"/>
            </w:tcBorders>
            <w:noWrap/>
            <w:vAlign w:val="center"/>
          </w:tcPr>
          <w:p w14:paraId="6999BABE">
            <w:pPr>
              <w:widowControl/>
              <w:spacing w:line="300" w:lineRule="exact"/>
              <w:jc w:val="left"/>
              <w:rPr>
                <w:rFonts w:ascii="宋体" w:hAnsi="宋体" w:eastAsia="宋体" w:cs="宋体"/>
                <w:color w:val="auto"/>
                <w:sz w:val="18"/>
                <w:szCs w:val="18"/>
                <w:highlight w:val="none"/>
              </w:rPr>
            </w:pPr>
          </w:p>
        </w:tc>
        <w:tc>
          <w:tcPr>
            <w:tcW w:w="930" w:type="dxa"/>
            <w:tcBorders>
              <w:top w:val="nil"/>
              <w:left w:val="nil"/>
              <w:bottom w:val="single" w:color="auto" w:sz="4" w:space="0"/>
              <w:right w:val="single" w:color="auto" w:sz="4" w:space="0"/>
            </w:tcBorders>
            <w:noWrap/>
            <w:vAlign w:val="center"/>
          </w:tcPr>
          <w:p w14:paraId="58F55B50">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3C09A73C">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45E1B43A">
            <w:pPr>
              <w:widowControl/>
              <w:spacing w:line="300" w:lineRule="exact"/>
              <w:jc w:val="left"/>
              <w:rPr>
                <w:rFonts w:ascii="宋体" w:hAnsi="宋体" w:eastAsia="宋体" w:cs="宋体"/>
                <w:color w:val="auto"/>
                <w:sz w:val="18"/>
                <w:szCs w:val="18"/>
                <w:highlight w:val="none"/>
              </w:rPr>
            </w:pPr>
          </w:p>
        </w:tc>
        <w:tc>
          <w:tcPr>
            <w:tcW w:w="720" w:type="dxa"/>
            <w:tcBorders>
              <w:top w:val="nil"/>
              <w:left w:val="nil"/>
              <w:bottom w:val="single" w:color="auto" w:sz="4" w:space="0"/>
              <w:right w:val="single" w:color="auto" w:sz="4" w:space="0"/>
            </w:tcBorders>
            <w:noWrap/>
            <w:vAlign w:val="center"/>
          </w:tcPr>
          <w:p w14:paraId="77998984">
            <w:pPr>
              <w:widowControl/>
              <w:spacing w:line="300" w:lineRule="exact"/>
              <w:jc w:val="center"/>
              <w:rPr>
                <w:rFonts w:ascii="宋体" w:hAnsi="宋体" w:eastAsia="宋体" w:cs="宋体"/>
                <w:color w:val="auto"/>
                <w:sz w:val="18"/>
                <w:szCs w:val="18"/>
                <w:highlight w:val="none"/>
              </w:rPr>
            </w:pPr>
          </w:p>
        </w:tc>
        <w:tc>
          <w:tcPr>
            <w:tcW w:w="760" w:type="dxa"/>
            <w:tcBorders>
              <w:top w:val="nil"/>
              <w:left w:val="nil"/>
              <w:bottom w:val="single" w:color="auto" w:sz="4" w:space="0"/>
              <w:right w:val="single" w:color="auto" w:sz="4" w:space="0"/>
            </w:tcBorders>
            <w:noWrap/>
            <w:vAlign w:val="center"/>
          </w:tcPr>
          <w:p w14:paraId="1B228C76">
            <w:pPr>
              <w:widowControl/>
              <w:spacing w:line="300" w:lineRule="exact"/>
              <w:jc w:val="center"/>
              <w:rPr>
                <w:rFonts w:ascii="宋体" w:hAnsi="宋体" w:eastAsia="宋体" w:cs="宋体"/>
                <w:color w:val="auto"/>
                <w:sz w:val="18"/>
                <w:szCs w:val="18"/>
                <w:highlight w:val="none"/>
              </w:rPr>
            </w:pPr>
          </w:p>
        </w:tc>
        <w:tc>
          <w:tcPr>
            <w:tcW w:w="3022" w:type="dxa"/>
            <w:gridSpan w:val="3"/>
            <w:tcBorders>
              <w:top w:val="nil"/>
              <w:left w:val="nil"/>
              <w:bottom w:val="single" w:color="auto" w:sz="4" w:space="0"/>
              <w:right w:val="single" w:color="auto" w:sz="4" w:space="0"/>
            </w:tcBorders>
            <w:noWrap/>
            <w:vAlign w:val="center"/>
          </w:tcPr>
          <w:p w14:paraId="7A4B62F9">
            <w:pPr>
              <w:widowControl/>
              <w:spacing w:line="300" w:lineRule="exact"/>
              <w:jc w:val="center"/>
              <w:rPr>
                <w:rFonts w:ascii="宋体" w:hAnsi="宋体" w:eastAsia="宋体" w:cs="宋体"/>
                <w:color w:val="auto"/>
                <w:sz w:val="18"/>
                <w:szCs w:val="18"/>
                <w:highlight w:val="none"/>
              </w:rPr>
            </w:pPr>
          </w:p>
        </w:tc>
        <w:tc>
          <w:tcPr>
            <w:tcW w:w="886" w:type="dxa"/>
            <w:tcBorders>
              <w:top w:val="nil"/>
              <w:left w:val="nil"/>
              <w:bottom w:val="single" w:color="auto" w:sz="4" w:space="0"/>
              <w:right w:val="single" w:color="auto" w:sz="4" w:space="0"/>
            </w:tcBorders>
            <w:noWrap/>
            <w:vAlign w:val="center"/>
          </w:tcPr>
          <w:p w14:paraId="23A98A47">
            <w:pPr>
              <w:widowControl/>
              <w:spacing w:line="300" w:lineRule="exact"/>
              <w:jc w:val="center"/>
              <w:rPr>
                <w:rFonts w:ascii="宋体" w:hAnsi="宋体" w:eastAsia="宋体" w:cs="宋体"/>
                <w:color w:val="auto"/>
                <w:sz w:val="18"/>
                <w:szCs w:val="18"/>
                <w:highlight w:val="none"/>
              </w:rPr>
            </w:pPr>
          </w:p>
        </w:tc>
        <w:tc>
          <w:tcPr>
            <w:tcW w:w="800" w:type="dxa"/>
            <w:tcBorders>
              <w:top w:val="nil"/>
              <w:left w:val="nil"/>
              <w:bottom w:val="single" w:color="auto" w:sz="4" w:space="0"/>
              <w:right w:val="single" w:color="auto" w:sz="4" w:space="0"/>
            </w:tcBorders>
            <w:noWrap/>
            <w:vAlign w:val="center"/>
          </w:tcPr>
          <w:p w14:paraId="51CDEC7B">
            <w:pPr>
              <w:widowControl/>
              <w:spacing w:line="300" w:lineRule="exact"/>
              <w:jc w:val="left"/>
              <w:rPr>
                <w:rFonts w:ascii="宋体" w:hAnsi="宋体" w:eastAsia="宋体" w:cs="宋体"/>
                <w:color w:val="auto"/>
                <w:sz w:val="18"/>
                <w:szCs w:val="18"/>
                <w:highlight w:val="none"/>
              </w:rPr>
            </w:pPr>
          </w:p>
        </w:tc>
        <w:tc>
          <w:tcPr>
            <w:tcW w:w="614" w:type="dxa"/>
            <w:tcBorders>
              <w:top w:val="nil"/>
              <w:left w:val="nil"/>
              <w:bottom w:val="single" w:color="auto" w:sz="4" w:space="0"/>
              <w:right w:val="single" w:color="auto" w:sz="4" w:space="0"/>
            </w:tcBorders>
            <w:noWrap/>
            <w:vAlign w:val="center"/>
          </w:tcPr>
          <w:p w14:paraId="77A5E61C">
            <w:pPr>
              <w:widowControl/>
              <w:spacing w:line="300" w:lineRule="exact"/>
              <w:jc w:val="left"/>
              <w:rPr>
                <w:rFonts w:ascii="宋体" w:hAnsi="宋体" w:eastAsia="宋体" w:cs="宋体"/>
                <w:color w:val="auto"/>
                <w:sz w:val="18"/>
                <w:szCs w:val="18"/>
                <w:highlight w:val="none"/>
              </w:rPr>
            </w:pPr>
          </w:p>
        </w:tc>
        <w:tc>
          <w:tcPr>
            <w:tcW w:w="1098" w:type="dxa"/>
            <w:tcBorders>
              <w:top w:val="nil"/>
              <w:left w:val="nil"/>
              <w:bottom w:val="single" w:color="auto" w:sz="4" w:space="0"/>
              <w:right w:val="single" w:color="auto" w:sz="4" w:space="0"/>
            </w:tcBorders>
            <w:noWrap/>
            <w:vAlign w:val="center"/>
          </w:tcPr>
          <w:p w14:paraId="12341DD3">
            <w:pPr>
              <w:widowControl/>
              <w:spacing w:line="300" w:lineRule="exact"/>
              <w:jc w:val="left"/>
              <w:rPr>
                <w:rFonts w:ascii="宋体" w:hAnsi="宋体" w:eastAsia="宋体" w:cs="宋体"/>
                <w:color w:val="auto"/>
                <w:sz w:val="18"/>
                <w:szCs w:val="18"/>
                <w:highlight w:val="none"/>
              </w:rPr>
            </w:pPr>
          </w:p>
        </w:tc>
        <w:tc>
          <w:tcPr>
            <w:tcW w:w="1240" w:type="dxa"/>
            <w:tcBorders>
              <w:top w:val="nil"/>
              <w:left w:val="nil"/>
              <w:bottom w:val="single" w:color="auto" w:sz="4" w:space="0"/>
              <w:right w:val="single" w:color="auto" w:sz="4" w:space="0"/>
            </w:tcBorders>
            <w:noWrap/>
            <w:vAlign w:val="center"/>
          </w:tcPr>
          <w:p w14:paraId="749DEAF8">
            <w:pPr>
              <w:widowControl/>
              <w:spacing w:line="300" w:lineRule="exact"/>
              <w:jc w:val="left"/>
              <w:rPr>
                <w:rFonts w:ascii="宋体" w:hAnsi="宋体" w:eastAsia="宋体" w:cs="宋体"/>
                <w:color w:val="auto"/>
                <w:sz w:val="18"/>
                <w:szCs w:val="18"/>
                <w:highlight w:val="none"/>
              </w:rPr>
            </w:pPr>
          </w:p>
        </w:tc>
        <w:tc>
          <w:tcPr>
            <w:tcW w:w="1080" w:type="dxa"/>
            <w:tcBorders>
              <w:top w:val="nil"/>
              <w:left w:val="nil"/>
              <w:bottom w:val="single" w:color="auto" w:sz="4" w:space="0"/>
              <w:right w:val="single" w:color="auto" w:sz="4" w:space="0"/>
            </w:tcBorders>
            <w:noWrap/>
            <w:vAlign w:val="center"/>
          </w:tcPr>
          <w:p w14:paraId="3C783713">
            <w:pPr>
              <w:widowControl/>
              <w:spacing w:line="300" w:lineRule="exact"/>
              <w:jc w:val="left"/>
              <w:rPr>
                <w:rFonts w:ascii="宋体" w:hAnsi="宋体" w:eastAsia="宋体" w:cs="宋体"/>
                <w:color w:val="auto"/>
                <w:sz w:val="18"/>
                <w:szCs w:val="18"/>
                <w:highlight w:val="none"/>
              </w:rPr>
            </w:pPr>
          </w:p>
        </w:tc>
      </w:tr>
      <w:tr w14:paraId="362CD05E">
        <w:tblPrEx>
          <w:tblCellMar>
            <w:top w:w="0" w:type="dxa"/>
            <w:left w:w="108" w:type="dxa"/>
            <w:bottom w:w="0" w:type="dxa"/>
            <w:right w:w="108" w:type="dxa"/>
          </w:tblCellMar>
        </w:tblPrEx>
        <w:trPr>
          <w:trHeight w:val="420" w:hRule="atLeast"/>
          <w:jc w:val="center"/>
        </w:trPr>
        <w:tc>
          <w:tcPr>
            <w:tcW w:w="930" w:type="dxa"/>
            <w:tcBorders>
              <w:top w:val="nil"/>
              <w:left w:val="single" w:color="auto" w:sz="4" w:space="0"/>
              <w:bottom w:val="single" w:color="auto" w:sz="4" w:space="0"/>
              <w:right w:val="single" w:color="auto" w:sz="4" w:space="0"/>
            </w:tcBorders>
            <w:noWrap/>
            <w:vAlign w:val="center"/>
          </w:tcPr>
          <w:p w14:paraId="590C1AC7">
            <w:pPr>
              <w:widowControl/>
              <w:spacing w:line="300" w:lineRule="exact"/>
              <w:jc w:val="left"/>
              <w:rPr>
                <w:rFonts w:ascii="宋体" w:hAnsi="宋体" w:eastAsia="宋体" w:cs="宋体"/>
                <w:color w:val="auto"/>
                <w:sz w:val="18"/>
                <w:szCs w:val="18"/>
                <w:highlight w:val="none"/>
              </w:rPr>
            </w:pPr>
          </w:p>
        </w:tc>
        <w:tc>
          <w:tcPr>
            <w:tcW w:w="930" w:type="dxa"/>
            <w:tcBorders>
              <w:top w:val="nil"/>
              <w:left w:val="nil"/>
              <w:bottom w:val="single" w:color="auto" w:sz="4" w:space="0"/>
              <w:right w:val="single" w:color="auto" w:sz="4" w:space="0"/>
            </w:tcBorders>
            <w:noWrap/>
            <w:vAlign w:val="center"/>
          </w:tcPr>
          <w:p w14:paraId="0E813E9A">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4B6D1A39">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2C8E5464">
            <w:pPr>
              <w:widowControl/>
              <w:spacing w:line="300" w:lineRule="exact"/>
              <w:jc w:val="left"/>
              <w:rPr>
                <w:rFonts w:ascii="宋体" w:hAnsi="宋体" w:eastAsia="宋体" w:cs="宋体"/>
                <w:color w:val="auto"/>
                <w:sz w:val="18"/>
                <w:szCs w:val="18"/>
                <w:highlight w:val="none"/>
              </w:rPr>
            </w:pPr>
          </w:p>
        </w:tc>
        <w:tc>
          <w:tcPr>
            <w:tcW w:w="720" w:type="dxa"/>
            <w:tcBorders>
              <w:top w:val="nil"/>
              <w:left w:val="nil"/>
              <w:bottom w:val="single" w:color="auto" w:sz="4" w:space="0"/>
              <w:right w:val="single" w:color="auto" w:sz="4" w:space="0"/>
            </w:tcBorders>
            <w:noWrap/>
            <w:vAlign w:val="center"/>
          </w:tcPr>
          <w:p w14:paraId="1CFCD689">
            <w:pPr>
              <w:widowControl/>
              <w:spacing w:line="300" w:lineRule="exact"/>
              <w:jc w:val="center"/>
              <w:rPr>
                <w:rFonts w:ascii="宋体" w:hAnsi="宋体" w:eastAsia="宋体" w:cs="宋体"/>
                <w:color w:val="auto"/>
                <w:sz w:val="18"/>
                <w:szCs w:val="18"/>
                <w:highlight w:val="none"/>
              </w:rPr>
            </w:pPr>
          </w:p>
        </w:tc>
        <w:tc>
          <w:tcPr>
            <w:tcW w:w="760" w:type="dxa"/>
            <w:tcBorders>
              <w:top w:val="nil"/>
              <w:left w:val="nil"/>
              <w:bottom w:val="single" w:color="auto" w:sz="4" w:space="0"/>
              <w:right w:val="single" w:color="auto" w:sz="4" w:space="0"/>
            </w:tcBorders>
            <w:noWrap/>
            <w:vAlign w:val="center"/>
          </w:tcPr>
          <w:p w14:paraId="07D3A440">
            <w:pPr>
              <w:widowControl/>
              <w:spacing w:line="300" w:lineRule="exact"/>
              <w:jc w:val="center"/>
              <w:rPr>
                <w:rFonts w:ascii="宋体" w:hAnsi="宋体" w:eastAsia="宋体" w:cs="宋体"/>
                <w:color w:val="auto"/>
                <w:sz w:val="18"/>
                <w:szCs w:val="18"/>
                <w:highlight w:val="none"/>
              </w:rPr>
            </w:pPr>
          </w:p>
        </w:tc>
        <w:tc>
          <w:tcPr>
            <w:tcW w:w="3022" w:type="dxa"/>
            <w:gridSpan w:val="3"/>
            <w:tcBorders>
              <w:top w:val="nil"/>
              <w:left w:val="nil"/>
              <w:bottom w:val="single" w:color="auto" w:sz="4" w:space="0"/>
              <w:right w:val="single" w:color="auto" w:sz="4" w:space="0"/>
            </w:tcBorders>
            <w:noWrap/>
            <w:vAlign w:val="center"/>
          </w:tcPr>
          <w:p w14:paraId="12FBA13D">
            <w:pPr>
              <w:widowControl/>
              <w:spacing w:line="300" w:lineRule="exact"/>
              <w:jc w:val="center"/>
              <w:rPr>
                <w:rFonts w:ascii="宋体" w:hAnsi="宋体" w:eastAsia="宋体" w:cs="宋体"/>
                <w:color w:val="auto"/>
                <w:sz w:val="18"/>
                <w:szCs w:val="18"/>
                <w:highlight w:val="none"/>
              </w:rPr>
            </w:pPr>
          </w:p>
        </w:tc>
        <w:tc>
          <w:tcPr>
            <w:tcW w:w="886" w:type="dxa"/>
            <w:tcBorders>
              <w:top w:val="nil"/>
              <w:left w:val="nil"/>
              <w:bottom w:val="single" w:color="auto" w:sz="4" w:space="0"/>
              <w:right w:val="single" w:color="auto" w:sz="4" w:space="0"/>
            </w:tcBorders>
            <w:noWrap/>
            <w:vAlign w:val="center"/>
          </w:tcPr>
          <w:p w14:paraId="7C9F6A9B">
            <w:pPr>
              <w:widowControl/>
              <w:spacing w:line="300" w:lineRule="exact"/>
              <w:jc w:val="center"/>
              <w:rPr>
                <w:rFonts w:ascii="宋体" w:hAnsi="宋体" w:eastAsia="宋体" w:cs="宋体"/>
                <w:color w:val="auto"/>
                <w:sz w:val="18"/>
                <w:szCs w:val="18"/>
                <w:highlight w:val="none"/>
              </w:rPr>
            </w:pPr>
          </w:p>
        </w:tc>
        <w:tc>
          <w:tcPr>
            <w:tcW w:w="800" w:type="dxa"/>
            <w:tcBorders>
              <w:top w:val="nil"/>
              <w:left w:val="nil"/>
              <w:bottom w:val="single" w:color="auto" w:sz="4" w:space="0"/>
              <w:right w:val="single" w:color="auto" w:sz="4" w:space="0"/>
            </w:tcBorders>
            <w:noWrap/>
            <w:vAlign w:val="center"/>
          </w:tcPr>
          <w:p w14:paraId="5DA74E15">
            <w:pPr>
              <w:widowControl/>
              <w:spacing w:line="300" w:lineRule="exact"/>
              <w:jc w:val="left"/>
              <w:rPr>
                <w:rFonts w:ascii="宋体" w:hAnsi="宋体" w:eastAsia="宋体" w:cs="宋体"/>
                <w:color w:val="auto"/>
                <w:sz w:val="18"/>
                <w:szCs w:val="18"/>
                <w:highlight w:val="none"/>
              </w:rPr>
            </w:pPr>
          </w:p>
        </w:tc>
        <w:tc>
          <w:tcPr>
            <w:tcW w:w="614" w:type="dxa"/>
            <w:tcBorders>
              <w:top w:val="nil"/>
              <w:left w:val="nil"/>
              <w:bottom w:val="single" w:color="auto" w:sz="4" w:space="0"/>
              <w:right w:val="single" w:color="auto" w:sz="4" w:space="0"/>
            </w:tcBorders>
            <w:noWrap/>
            <w:vAlign w:val="center"/>
          </w:tcPr>
          <w:p w14:paraId="1CFE4C24">
            <w:pPr>
              <w:widowControl/>
              <w:spacing w:line="300" w:lineRule="exact"/>
              <w:jc w:val="left"/>
              <w:rPr>
                <w:rFonts w:ascii="宋体" w:hAnsi="宋体" w:eastAsia="宋体" w:cs="宋体"/>
                <w:color w:val="auto"/>
                <w:sz w:val="18"/>
                <w:szCs w:val="18"/>
                <w:highlight w:val="none"/>
              </w:rPr>
            </w:pPr>
          </w:p>
        </w:tc>
        <w:tc>
          <w:tcPr>
            <w:tcW w:w="1098" w:type="dxa"/>
            <w:tcBorders>
              <w:top w:val="nil"/>
              <w:left w:val="nil"/>
              <w:bottom w:val="single" w:color="auto" w:sz="4" w:space="0"/>
              <w:right w:val="single" w:color="auto" w:sz="4" w:space="0"/>
            </w:tcBorders>
            <w:noWrap/>
            <w:vAlign w:val="center"/>
          </w:tcPr>
          <w:p w14:paraId="595FBADE">
            <w:pPr>
              <w:widowControl/>
              <w:spacing w:line="300" w:lineRule="exact"/>
              <w:jc w:val="left"/>
              <w:rPr>
                <w:rFonts w:ascii="宋体" w:hAnsi="宋体" w:eastAsia="宋体" w:cs="宋体"/>
                <w:color w:val="auto"/>
                <w:sz w:val="18"/>
                <w:szCs w:val="18"/>
                <w:highlight w:val="none"/>
              </w:rPr>
            </w:pPr>
          </w:p>
        </w:tc>
        <w:tc>
          <w:tcPr>
            <w:tcW w:w="1240" w:type="dxa"/>
            <w:tcBorders>
              <w:top w:val="nil"/>
              <w:left w:val="nil"/>
              <w:bottom w:val="single" w:color="auto" w:sz="4" w:space="0"/>
              <w:right w:val="single" w:color="auto" w:sz="4" w:space="0"/>
            </w:tcBorders>
            <w:noWrap/>
            <w:vAlign w:val="center"/>
          </w:tcPr>
          <w:p w14:paraId="341255A4">
            <w:pPr>
              <w:widowControl/>
              <w:spacing w:line="300" w:lineRule="exact"/>
              <w:jc w:val="left"/>
              <w:rPr>
                <w:rFonts w:ascii="宋体" w:hAnsi="宋体" w:eastAsia="宋体" w:cs="宋体"/>
                <w:color w:val="auto"/>
                <w:sz w:val="18"/>
                <w:szCs w:val="18"/>
                <w:highlight w:val="none"/>
              </w:rPr>
            </w:pPr>
          </w:p>
        </w:tc>
        <w:tc>
          <w:tcPr>
            <w:tcW w:w="1080" w:type="dxa"/>
            <w:tcBorders>
              <w:top w:val="nil"/>
              <w:left w:val="nil"/>
              <w:bottom w:val="single" w:color="auto" w:sz="4" w:space="0"/>
              <w:right w:val="single" w:color="auto" w:sz="4" w:space="0"/>
            </w:tcBorders>
            <w:noWrap/>
            <w:vAlign w:val="center"/>
          </w:tcPr>
          <w:p w14:paraId="43273916">
            <w:pPr>
              <w:widowControl/>
              <w:spacing w:line="300" w:lineRule="exact"/>
              <w:jc w:val="left"/>
              <w:rPr>
                <w:rFonts w:ascii="宋体" w:hAnsi="宋体" w:eastAsia="宋体" w:cs="宋体"/>
                <w:color w:val="auto"/>
                <w:sz w:val="18"/>
                <w:szCs w:val="18"/>
                <w:highlight w:val="none"/>
              </w:rPr>
            </w:pPr>
          </w:p>
        </w:tc>
      </w:tr>
      <w:tr w14:paraId="293F17B6">
        <w:tblPrEx>
          <w:tblCellMar>
            <w:top w:w="0" w:type="dxa"/>
            <w:left w:w="108" w:type="dxa"/>
            <w:bottom w:w="0" w:type="dxa"/>
            <w:right w:w="108" w:type="dxa"/>
          </w:tblCellMar>
        </w:tblPrEx>
        <w:trPr>
          <w:trHeight w:val="420" w:hRule="atLeast"/>
          <w:jc w:val="center"/>
        </w:trPr>
        <w:tc>
          <w:tcPr>
            <w:tcW w:w="930" w:type="dxa"/>
            <w:tcBorders>
              <w:top w:val="nil"/>
              <w:left w:val="single" w:color="auto" w:sz="4" w:space="0"/>
              <w:bottom w:val="single" w:color="auto" w:sz="4" w:space="0"/>
              <w:right w:val="single" w:color="auto" w:sz="4" w:space="0"/>
            </w:tcBorders>
            <w:noWrap/>
            <w:vAlign w:val="center"/>
          </w:tcPr>
          <w:p w14:paraId="2C919E43">
            <w:pPr>
              <w:widowControl/>
              <w:spacing w:line="300" w:lineRule="exact"/>
              <w:jc w:val="left"/>
              <w:rPr>
                <w:rFonts w:ascii="宋体" w:hAnsi="宋体" w:eastAsia="宋体" w:cs="宋体"/>
                <w:color w:val="auto"/>
                <w:sz w:val="18"/>
                <w:szCs w:val="18"/>
                <w:highlight w:val="none"/>
              </w:rPr>
            </w:pPr>
          </w:p>
        </w:tc>
        <w:tc>
          <w:tcPr>
            <w:tcW w:w="930" w:type="dxa"/>
            <w:tcBorders>
              <w:top w:val="nil"/>
              <w:left w:val="nil"/>
              <w:bottom w:val="single" w:color="auto" w:sz="4" w:space="0"/>
              <w:right w:val="single" w:color="auto" w:sz="4" w:space="0"/>
            </w:tcBorders>
            <w:noWrap/>
            <w:vAlign w:val="center"/>
          </w:tcPr>
          <w:p w14:paraId="5BFE0834">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773629BB">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6118A25B">
            <w:pPr>
              <w:widowControl/>
              <w:spacing w:line="300" w:lineRule="exact"/>
              <w:jc w:val="left"/>
              <w:rPr>
                <w:rFonts w:ascii="宋体" w:hAnsi="宋体" w:eastAsia="宋体" w:cs="宋体"/>
                <w:color w:val="auto"/>
                <w:sz w:val="18"/>
                <w:szCs w:val="18"/>
                <w:highlight w:val="none"/>
              </w:rPr>
            </w:pPr>
          </w:p>
        </w:tc>
        <w:tc>
          <w:tcPr>
            <w:tcW w:w="720" w:type="dxa"/>
            <w:tcBorders>
              <w:top w:val="nil"/>
              <w:left w:val="nil"/>
              <w:bottom w:val="single" w:color="auto" w:sz="4" w:space="0"/>
              <w:right w:val="single" w:color="auto" w:sz="4" w:space="0"/>
            </w:tcBorders>
            <w:noWrap/>
            <w:vAlign w:val="center"/>
          </w:tcPr>
          <w:p w14:paraId="2E48F97D">
            <w:pPr>
              <w:widowControl/>
              <w:spacing w:line="300" w:lineRule="exact"/>
              <w:jc w:val="center"/>
              <w:rPr>
                <w:rFonts w:ascii="宋体" w:hAnsi="宋体" w:eastAsia="宋体" w:cs="宋体"/>
                <w:color w:val="auto"/>
                <w:sz w:val="18"/>
                <w:szCs w:val="18"/>
                <w:highlight w:val="none"/>
              </w:rPr>
            </w:pPr>
          </w:p>
        </w:tc>
        <w:tc>
          <w:tcPr>
            <w:tcW w:w="760" w:type="dxa"/>
            <w:tcBorders>
              <w:top w:val="nil"/>
              <w:left w:val="nil"/>
              <w:bottom w:val="single" w:color="auto" w:sz="4" w:space="0"/>
              <w:right w:val="single" w:color="auto" w:sz="4" w:space="0"/>
            </w:tcBorders>
            <w:noWrap/>
            <w:vAlign w:val="center"/>
          </w:tcPr>
          <w:p w14:paraId="696AF9E0">
            <w:pPr>
              <w:widowControl/>
              <w:spacing w:line="300" w:lineRule="exact"/>
              <w:jc w:val="center"/>
              <w:rPr>
                <w:rFonts w:ascii="宋体" w:hAnsi="宋体" w:eastAsia="宋体" w:cs="宋体"/>
                <w:color w:val="auto"/>
                <w:sz w:val="18"/>
                <w:szCs w:val="18"/>
                <w:highlight w:val="none"/>
              </w:rPr>
            </w:pPr>
          </w:p>
        </w:tc>
        <w:tc>
          <w:tcPr>
            <w:tcW w:w="3022" w:type="dxa"/>
            <w:gridSpan w:val="3"/>
            <w:tcBorders>
              <w:top w:val="nil"/>
              <w:left w:val="nil"/>
              <w:bottom w:val="single" w:color="auto" w:sz="4" w:space="0"/>
              <w:right w:val="single" w:color="auto" w:sz="4" w:space="0"/>
            </w:tcBorders>
            <w:noWrap/>
            <w:vAlign w:val="center"/>
          </w:tcPr>
          <w:p w14:paraId="0CB58F2D">
            <w:pPr>
              <w:widowControl/>
              <w:spacing w:line="300" w:lineRule="exact"/>
              <w:jc w:val="center"/>
              <w:rPr>
                <w:rFonts w:ascii="宋体" w:hAnsi="宋体" w:eastAsia="宋体" w:cs="宋体"/>
                <w:color w:val="auto"/>
                <w:sz w:val="18"/>
                <w:szCs w:val="18"/>
                <w:highlight w:val="none"/>
              </w:rPr>
            </w:pPr>
          </w:p>
        </w:tc>
        <w:tc>
          <w:tcPr>
            <w:tcW w:w="886" w:type="dxa"/>
            <w:tcBorders>
              <w:top w:val="nil"/>
              <w:left w:val="nil"/>
              <w:bottom w:val="single" w:color="auto" w:sz="4" w:space="0"/>
              <w:right w:val="single" w:color="auto" w:sz="4" w:space="0"/>
            </w:tcBorders>
            <w:noWrap/>
            <w:vAlign w:val="center"/>
          </w:tcPr>
          <w:p w14:paraId="403BC60A">
            <w:pPr>
              <w:widowControl/>
              <w:spacing w:line="300" w:lineRule="exact"/>
              <w:jc w:val="center"/>
              <w:rPr>
                <w:rFonts w:ascii="宋体" w:hAnsi="宋体" w:eastAsia="宋体" w:cs="宋体"/>
                <w:color w:val="auto"/>
                <w:sz w:val="18"/>
                <w:szCs w:val="18"/>
                <w:highlight w:val="none"/>
              </w:rPr>
            </w:pPr>
          </w:p>
        </w:tc>
        <w:tc>
          <w:tcPr>
            <w:tcW w:w="800" w:type="dxa"/>
            <w:tcBorders>
              <w:top w:val="nil"/>
              <w:left w:val="nil"/>
              <w:bottom w:val="single" w:color="auto" w:sz="4" w:space="0"/>
              <w:right w:val="single" w:color="auto" w:sz="4" w:space="0"/>
            </w:tcBorders>
            <w:noWrap/>
            <w:vAlign w:val="center"/>
          </w:tcPr>
          <w:p w14:paraId="554AFB1C">
            <w:pPr>
              <w:widowControl/>
              <w:spacing w:line="300" w:lineRule="exact"/>
              <w:jc w:val="left"/>
              <w:rPr>
                <w:rFonts w:ascii="宋体" w:hAnsi="宋体" w:eastAsia="宋体" w:cs="宋体"/>
                <w:color w:val="auto"/>
                <w:sz w:val="18"/>
                <w:szCs w:val="18"/>
                <w:highlight w:val="none"/>
              </w:rPr>
            </w:pPr>
          </w:p>
        </w:tc>
        <w:tc>
          <w:tcPr>
            <w:tcW w:w="614" w:type="dxa"/>
            <w:tcBorders>
              <w:top w:val="nil"/>
              <w:left w:val="nil"/>
              <w:bottom w:val="single" w:color="auto" w:sz="4" w:space="0"/>
              <w:right w:val="single" w:color="auto" w:sz="4" w:space="0"/>
            </w:tcBorders>
            <w:noWrap/>
            <w:vAlign w:val="center"/>
          </w:tcPr>
          <w:p w14:paraId="795E6FA1">
            <w:pPr>
              <w:widowControl/>
              <w:spacing w:line="300" w:lineRule="exact"/>
              <w:jc w:val="left"/>
              <w:rPr>
                <w:rFonts w:ascii="宋体" w:hAnsi="宋体" w:eastAsia="宋体" w:cs="宋体"/>
                <w:color w:val="auto"/>
                <w:sz w:val="18"/>
                <w:szCs w:val="18"/>
                <w:highlight w:val="none"/>
              </w:rPr>
            </w:pPr>
          </w:p>
        </w:tc>
        <w:tc>
          <w:tcPr>
            <w:tcW w:w="1098" w:type="dxa"/>
            <w:tcBorders>
              <w:top w:val="nil"/>
              <w:left w:val="nil"/>
              <w:bottom w:val="single" w:color="auto" w:sz="4" w:space="0"/>
              <w:right w:val="single" w:color="auto" w:sz="4" w:space="0"/>
            </w:tcBorders>
            <w:noWrap/>
            <w:vAlign w:val="center"/>
          </w:tcPr>
          <w:p w14:paraId="629A81E3">
            <w:pPr>
              <w:widowControl/>
              <w:spacing w:line="300" w:lineRule="exact"/>
              <w:jc w:val="left"/>
              <w:rPr>
                <w:rFonts w:ascii="宋体" w:hAnsi="宋体" w:eastAsia="宋体" w:cs="宋体"/>
                <w:color w:val="auto"/>
                <w:sz w:val="18"/>
                <w:szCs w:val="18"/>
                <w:highlight w:val="none"/>
              </w:rPr>
            </w:pPr>
          </w:p>
        </w:tc>
        <w:tc>
          <w:tcPr>
            <w:tcW w:w="1240" w:type="dxa"/>
            <w:tcBorders>
              <w:top w:val="nil"/>
              <w:left w:val="nil"/>
              <w:bottom w:val="single" w:color="auto" w:sz="4" w:space="0"/>
              <w:right w:val="single" w:color="auto" w:sz="4" w:space="0"/>
            </w:tcBorders>
            <w:noWrap/>
            <w:vAlign w:val="center"/>
          </w:tcPr>
          <w:p w14:paraId="4B91434F">
            <w:pPr>
              <w:widowControl/>
              <w:spacing w:line="300" w:lineRule="exact"/>
              <w:jc w:val="left"/>
              <w:rPr>
                <w:rFonts w:ascii="宋体" w:hAnsi="宋体" w:eastAsia="宋体" w:cs="宋体"/>
                <w:color w:val="auto"/>
                <w:sz w:val="18"/>
                <w:szCs w:val="18"/>
                <w:highlight w:val="none"/>
              </w:rPr>
            </w:pPr>
          </w:p>
        </w:tc>
        <w:tc>
          <w:tcPr>
            <w:tcW w:w="1080" w:type="dxa"/>
            <w:tcBorders>
              <w:top w:val="nil"/>
              <w:left w:val="nil"/>
              <w:bottom w:val="single" w:color="auto" w:sz="4" w:space="0"/>
              <w:right w:val="single" w:color="auto" w:sz="4" w:space="0"/>
            </w:tcBorders>
            <w:noWrap/>
            <w:vAlign w:val="center"/>
          </w:tcPr>
          <w:p w14:paraId="4D1DF242">
            <w:pPr>
              <w:widowControl/>
              <w:spacing w:line="300" w:lineRule="exact"/>
              <w:jc w:val="left"/>
              <w:rPr>
                <w:rFonts w:ascii="宋体" w:hAnsi="宋体" w:eastAsia="宋体" w:cs="宋体"/>
                <w:color w:val="auto"/>
                <w:sz w:val="18"/>
                <w:szCs w:val="18"/>
                <w:highlight w:val="none"/>
              </w:rPr>
            </w:pPr>
          </w:p>
        </w:tc>
      </w:tr>
      <w:tr w14:paraId="36FCBD09">
        <w:tblPrEx>
          <w:tblCellMar>
            <w:top w:w="0" w:type="dxa"/>
            <w:left w:w="108" w:type="dxa"/>
            <w:bottom w:w="0" w:type="dxa"/>
            <w:right w:w="108" w:type="dxa"/>
          </w:tblCellMar>
        </w:tblPrEx>
        <w:trPr>
          <w:trHeight w:val="420" w:hRule="atLeast"/>
          <w:jc w:val="center"/>
        </w:trPr>
        <w:tc>
          <w:tcPr>
            <w:tcW w:w="930" w:type="dxa"/>
            <w:tcBorders>
              <w:top w:val="nil"/>
              <w:left w:val="single" w:color="auto" w:sz="4" w:space="0"/>
              <w:bottom w:val="single" w:color="auto" w:sz="4" w:space="0"/>
              <w:right w:val="single" w:color="auto" w:sz="4" w:space="0"/>
            </w:tcBorders>
            <w:noWrap/>
            <w:vAlign w:val="center"/>
          </w:tcPr>
          <w:p w14:paraId="3647A7CA">
            <w:pPr>
              <w:widowControl/>
              <w:spacing w:line="300" w:lineRule="exact"/>
              <w:jc w:val="left"/>
              <w:rPr>
                <w:rFonts w:ascii="宋体" w:hAnsi="宋体" w:eastAsia="宋体" w:cs="宋体"/>
                <w:color w:val="auto"/>
                <w:sz w:val="18"/>
                <w:szCs w:val="18"/>
                <w:highlight w:val="none"/>
              </w:rPr>
            </w:pPr>
          </w:p>
        </w:tc>
        <w:tc>
          <w:tcPr>
            <w:tcW w:w="930" w:type="dxa"/>
            <w:tcBorders>
              <w:top w:val="nil"/>
              <w:left w:val="nil"/>
              <w:bottom w:val="single" w:color="auto" w:sz="4" w:space="0"/>
              <w:right w:val="single" w:color="auto" w:sz="4" w:space="0"/>
            </w:tcBorders>
            <w:noWrap/>
            <w:vAlign w:val="center"/>
          </w:tcPr>
          <w:p w14:paraId="433C05CE">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6E68CD23">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4F2DEF12">
            <w:pPr>
              <w:widowControl/>
              <w:spacing w:line="300" w:lineRule="exact"/>
              <w:jc w:val="left"/>
              <w:rPr>
                <w:rFonts w:ascii="宋体" w:hAnsi="宋体" w:eastAsia="宋体" w:cs="宋体"/>
                <w:color w:val="auto"/>
                <w:sz w:val="18"/>
                <w:szCs w:val="18"/>
                <w:highlight w:val="none"/>
              </w:rPr>
            </w:pPr>
          </w:p>
        </w:tc>
        <w:tc>
          <w:tcPr>
            <w:tcW w:w="720" w:type="dxa"/>
            <w:tcBorders>
              <w:top w:val="nil"/>
              <w:left w:val="nil"/>
              <w:bottom w:val="single" w:color="auto" w:sz="4" w:space="0"/>
              <w:right w:val="single" w:color="auto" w:sz="4" w:space="0"/>
            </w:tcBorders>
            <w:noWrap/>
            <w:vAlign w:val="center"/>
          </w:tcPr>
          <w:p w14:paraId="0C4F0D86">
            <w:pPr>
              <w:widowControl/>
              <w:spacing w:line="300" w:lineRule="exact"/>
              <w:jc w:val="center"/>
              <w:rPr>
                <w:rFonts w:ascii="宋体" w:hAnsi="宋体" w:eastAsia="宋体" w:cs="宋体"/>
                <w:color w:val="auto"/>
                <w:sz w:val="18"/>
                <w:szCs w:val="18"/>
                <w:highlight w:val="none"/>
              </w:rPr>
            </w:pPr>
          </w:p>
        </w:tc>
        <w:tc>
          <w:tcPr>
            <w:tcW w:w="760" w:type="dxa"/>
            <w:tcBorders>
              <w:top w:val="nil"/>
              <w:left w:val="nil"/>
              <w:bottom w:val="single" w:color="auto" w:sz="4" w:space="0"/>
              <w:right w:val="single" w:color="auto" w:sz="4" w:space="0"/>
            </w:tcBorders>
            <w:noWrap/>
            <w:vAlign w:val="center"/>
          </w:tcPr>
          <w:p w14:paraId="5D43887A">
            <w:pPr>
              <w:widowControl/>
              <w:spacing w:line="300" w:lineRule="exact"/>
              <w:jc w:val="center"/>
              <w:rPr>
                <w:rFonts w:ascii="宋体" w:hAnsi="宋体" w:eastAsia="宋体" w:cs="宋体"/>
                <w:color w:val="auto"/>
                <w:sz w:val="18"/>
                <w:szCs w:val="18"/>
                <w:highlight w:val="none"/>
              </w:rPr>
            </w:pPr>
          </w:p>
        </w:tc>
        <w:tc>
          <w:tcPr>
            <w:tcW w:w="3022" w:type="dxa"/>
            <w:gridSpan w:val="3"/>
            <w:tcBorders>
              <w:top w:val="nil"/>
              <w:left w:val="nil"/>
              <w:bottom w:val="single" w:color="auto" w:sz="4" w:space="0"/>
              <w:right w:val="single" w:color="auto" w:sz="4" w:space="0"/>
            </w:tcBorders>
            <w:noWrap/>
            <w:vAlign w:val="center"/>
          </w:tcPr>
          <w:p w14:paraId="23FA937B">
            <w:pPr>
              <w:widowControl/>
              <w:spacing w:line="300" w:lineRule="exact"/>
              <w:jc w:val="center"/>
              <w:rPr>
                <w:rFonts w:ascii="宋体" w:hAnsi="宋体" w:eastAsia="宋体" w:cs="宋体"/>
                <w:color w:val="auto"/>
                <w:sz w:val="18"/>
                <w:szCs w:val="18"/>
                <w:highlight w:val="none"/>
              </w:rPr>
            </w:pPr>
          </w:p>
        </w:tc>
        <w:tc>
          <w:tcPr>
            <w:tcW w:w="886" w:type="dxa"/>
            <w:tcBorders>
              <w:top w:val="nil"/>
              <w:left w:val="nil"/>
              <w:bottom w:val="single" w:color="auto" w:sz="4" w:space="0"/>
              <w:right w:val="single" w:color="auto" w:sz="4" w:space="0"/>
            </w:tcBorders>
            <w:noWrap/>
            <w:vAlign w:val="center"/>
          </w:tcPr>
          <w:p w14:paraId="648B885F">
            <w:pPr>
              <w:widowControl/>
              <w:spacing w:line="300" w:lineRule="exact"/>
              <w:jc w:val="center"/>
              <w:rPr>
                <w:rFonts w:ascii="宋体" w:hAnsi="宋体" w:eastAsia="宋体" w:cs="宋体"/>
                <w:color w:val="auto"/>
                <w:sz w:val="18"/>
                <w:szCs w:val="18"/>
                <w:highlight w:val="none"/>
              </w:rPr>
            </w:pPr>
          </w:p>
        </w:tc>
        <w:tc>
          <w:tcPr>
            <w:tcW w:w="800" w:type="dxa"/>
            <w:tcBorders>
              <w:top w:val="nil"/>
              <w:left w:val="nil"/>
              <w:bottom w:val="single" w:color="auto" w:sz="4" w:space="0"/>
              <w:right w:val="single" w:color="auto" w:sz="4" w:space="0"/>
            </w:tcBorders>
            <w:noWrap/>
            <w:vAlign w:val="center"/>
          </w:tcPr>
          <w:p w14:paraId="10A6013C">
            <w:pPr>
              <w:widowControl/>
              <w:spacing w:line="300" w:lineRule="exact"/>
              <w:jc w:val="left"/>
              <w:rPr>
                <w:rFonts w:ascii="宋体" w:hAnsi="宋体" w:eastAsia="宋体" w:cs="宋体"/>
                <w:color w:val="auto"/>
                <w:sz w:val="18"/>
                <w:szCs w:val="18"/>
                <w:highlight w:val="none"/>
              </w:rPr>
            </w:pPr>
          </w:p>
        </w:tc>
        <w:tc>
          <w:tcPr>
            <w:tcW w:w="614" w:type="dxa"/>
            <w:tcBorders>
              <w:top w:val="nil"/>
              <w:left w:val="nil"/>
              <w:bottom w:val="single" w:color="auto" w:sz="4" w:space="0"/>
              <w:right w:val="single" w:color="auto" w:sz="4" w:space="0"/>
            </w:tcBorders>
            <w:noWrap/>
            <w:vAlign w:val="center"/>
          </w:tcPr>
          <w:p w14:paraId="15CAA380">
            <w:pPr>
              <w:widowControl/>
              <w:spacing w:line="300" w:lineRule="exact"/>
              <w:jc w:val="left"/>
              <w:rPr>
                <w:rFonts w:ascii="宋体" w:hAnsi="宋体" w:eastAsia="宋体" w:cs="宋体"/>
                <w:color w:val="auto"/>
                <w:sz w:val="18"/>
                <w:szCs w:val="18"/>
                <w:highlight w:val="none"/>
              </w:rPr>
            </w:pPr>
          </w:p>
        </w:tc>
        <w:tc>
          <w:tcPr>
            <w:tcW w:w="1098" w:type="dxa"/>
            <w:tcBorders>
              <w:top w:val="nil"/>
              <w:left w:val="nil"/>
              <w:bottom w:val="single" w:color="auto" w:sz="4" w:space="0"/>
              <w:right w:val="single" w:color="auto" w:sz="4" w:space="0"/>
            </w:tcBorders>
            <w:noWrap/>
            <w:vAlign w:val="center"/>
          </w:tcPr>
          <w:p w14:paraId="7744C266">
            <w:pPr>
              <w:widowControl/>
              <w:spacing w:line="300" w:lineRule="exact"/>
              <w:jc w:val="left"/>
              <w:rPr>
                <w:rFonts w:ascii="宋体" w:hAnsi="宋体" w:eastAsia="宋体" w:cs="宋体"/>
                <w:color w:val="auto"/>
                <w:sz w:val="18"/>
                <w:szCs w:val="18"/>
                <w:highlight w:val="none"/>
              </w:rPr>
            </w:pPr>
          </w:p>
        </w:tc>
        <w:tc>
          <w:tcPr>
            <w:tcW w:w="1240" w:type="dxa"/>
            <w:tcBorders>
              <w:top w:val="nil"/>
              <w:left w:val="nil"/>
              <w:bottom w:val="single" w:color="auto" w:sz="4" w:space="0"/>
              <w:right w:val="single" w:color="auto" w:sz="4" w:space="0"/>
            </w:tcBorders>
            <w:noWrap/>
            <w:vAlign w:val="center"/>
          </w:tcPr>
          <w:p w14:paraId="0A9166BB">
            <w:pPr>
              <w:widowControl/>
              <w:spacing w:line="300" w:lineRule="exact"/>
              <w:jc w:val="left"/>
              <w:rPr>
                <w:rFonts w:ascii="宋体" w:hAnsi="宋体" w:eastAsia="宋体" w:cs="宋体"/>
                <w:color w:val="auto"/>
                <w:sz w:val="18"/>
                <w:szCs w:val="18"/>
                <w:highlight w:val="none"/>
              </w:rPr>
            </w:pPr>
          </w:p>
        </w:tc>
        <w:tc>
          <w:tcPr>
            <w:tcW w:w="1080" w:type="dxa"/>
            <w:tcBorders>
              <w:top w:val="nil"/>
              <w:left w:val="nil"/>
              <w:bottom w:val="single" w:color="auto" w:sz="4" w:space="0"/>
              <w:right w:val="single" w:color="auto" w:sz="4" w:space="0"/>
            </w:tcBorders>
            <w:noWrap/>
            <w:vAlign w:val="center"/>
          </w:tcPr>
          <w:p w14:paraId="1B029A80">
            <w:pPr>
              <w:widowControl/>
              <w:spacing w:line="300" w:lineRule="exact"/>
              <w:jc w:val="left"/>
              <w:rPr>
                <w:rFonts w:ascii="宋体" w:hAnsi="宋体" w:eastAsia="宋体" w:cs="宋体"/>
                <w:color w:val="auto"/>
                <w:sz w:val="18"/>
                <w:szCs w:val="18"/>
                <w:highlight w:val="none"/>
              </w:rPr>
            </w:pPr>
          </w:p>
        </w:tc>
      </w:tr>
      <w:tr w14:paraId="2C11BBEF">
        <w:tblPrEx>
          <w:tblCellMar>
            <w:top w:w="0" w:type="dxa"/>
            <w:left w:w="108" w:type="dxa"/>
            <w:bottom w:w="0" w:type="dxa"/>
            <w:right w:w="108" w:type="dxa"/>
          </w:tblCellMar>
        </w:tblPrEx>
        <w:trPr>
          <w:trHeight w:val="420" w:hRule="atLeast"/>
          <w:jc w:val="center"/>
        </w:trPr>
        <w:tc>
          <w:tcPr>
            <w:tcW w:w="930" w:type="dxa"/>
            <w:tcBorders>
              <w:top w:val="nil"/>
              <w:left w:val="single" w:color="auto" w:sz="4" w:space="0"/>
              <w:bottom w:val="single" w:color="auto" w:sz="4" w:space="0"/>
              <w:right w:val="single" w:color="auto" w:sz="4" w:space="0"/>
            </w:tcBorders>
            <w:noWrap/>
            <w:vAlign w:val="center"/>
          </w:tcPr>
          <w:p w14:paraId="697FE0BC">
            <w:pPr>
              <w:widowControl/>
              <w:spacing w:line="300" w:lineRule="exact"/>
              <w:jc w:val="left"/>
              <w:rPr>
                <w:rFonts w:ascii="宋体" w:hAnsi="宋体" w:eastAsia="宋体" w:cs="宋体"/>
                <w:color w:val="auto"/>
                <w:sz w:val="18"/>
                <w:szCs w:val="18"/>
                <w:highlight w:val="none"/>
              </w:rPr>
            </w:pPr>
          </w:p>
        </w:tc>
        <w:tc>
          <w:tcPr>
            <w:tcW w:w="930" w:type="dxa"/>
            <w:tcBorders>
              <w:top w:val="nil"/>
              <w:left w:val="nil"/>
              <w:bottom w:val="single" w:color="auto" w:sz="4" w:space="0"/>
              <w:right w:val="single" w:color="auto" w:sz="4" w:space="0"/>
            </w:tcBorders>
            <w:noWrap/>
            <w:vAlign w:val="center"/>
          </w:tcPr>
          <w:p w14:paraId="060B0379">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06760DB7">
            <w:pPr>
              <w:widowControl/>
              <w:spacing w:line="300" w:lineRule="exact"/>
              <w:jc w:val="left"/>
              <w:rPr>
                <w:rFonts w:ascii="宋体" w:hAnsi="宋体" w:eastAsia="宋体" w:cs="宋体"/>
                <w:color w:val="auto"/>
                <w:sz w:val="18"/>
                <w:szCs w:val="18"/>
                <w:highlight w:val="none"/>
              </w:rPr>
            </w:pPr>
          </w:p>
        </w:tc>
        <w:tc>
          <w:tcPr>
            <w:tcW w:w="1120" w:type="dxa"/>
            <w:tcBorders>
              <w:top w:val="nil"/>
              <w:left w:val="nil"/>
              <w:bottom w:val="single" w:color="auto" w:sz="4" w:space="0"/>
              <w:right w:val="single" w:color="auto" w:sz="4" w:space="0"/>
            </w:tcBorders>
            <w:noWrap/>
            <w:vAlign w:val="center"/>
          </w:tcPr>
          <w:p w14:paraId="6A603E3A">
            <w:pPr>
              <w:widowControl/>
              <w:spacing w:line="300" w:lineRule="exact"/>
              <w:jc w:val="left"/>
              <w:rPr>
                <w:rFonts w:ascii="宋体" w:hAnsi="宋体" w:eastAsia="宋体" w:cs="宋体"/>
                <w:color w:val="auto"/>
                <w:sz w:val="18"/>
                <w:szCs w:val="18"/>
                <w:highlight w:val="none"/>
              </w:rPr>
            </w:pPr>
          </w:p>
        </w:tc>
        <w:tc>
          <w:tcPr>
            <w:tcW w:w="720" w:type="dxa"/>
            <w:tcBorders>
              <w:top w:val="nil"/>
              <w:left w:val="nil"/>
              <w:bottom w:val="single" w:color="auto" w:sz="4" w:space="0"/>
              <w:right w:val="single" w:color="auto" w:sz="4" w:space="0"/>
            </w:tcBorders>
            <w:noWrap/>
            <w:vAlign w:val="center"/>
          </w:tcPr>
          <w:p w14:paraId="58D9D82B">
            <w:pPr>
              <w:widowControl/>
              <w:spacing w:line="300" w:lineRule="exact"/>
              <w:jc w:val="center"/>
              <w:rPr>
                <w:rFonts w:ascii="宋体" w:hAnsi="宋体" w:eastAsia="宋体" w:cs="宋体"/>
                <w:color w:val="auto"/>
                <w:sz w:val="18"/>
                <w:szCs w:val="18"/>
                <w:highlight w:val="none"/>
              </w:rPr>
            </w:pPr>
          </w:p>
        </w:tc>
        <w:tc>
          <w:tcPr>
            <w:tcW w:w="760" w:type="dxa"/>
            <w:tcBorders>
              <w:top w:val="nil"/>
              <w:left w:val="nil"/>
              <w:bottom w:val="single" w:color="auto" w:sz="4" w:space="0"/>
              <w:right w:val="single" w:color="auto" w:sz="4" w:space="0"/>
            </w:tcBorders>
            <w:noWrap/>
            <w:vAlign w:val="center"/>
          </w:tcPr>
          <w:p w14:paraId="2CB744EC">
            <w:pPr>
              <w:widowControl/>
              <w:spacing w:line="300" w:lineRule="exact"/>
              <w:jc w:val="center"/>
              <w:rPr>
                <w:rFonts w:ascii="宋体" w:hAnsi="宋体" w:eastAsia="宋体" w:cs="宋体"/>
                <w:color w:val="auto"/>
                <w:sz w:val="18"/>
                <w:szCs w:val="18"/>
                <w:highlight w:val="none"/>
              </w:rPr>
            </w:pPr>
          </w:p>
        </w:tc>
        <w:tc>
          <w:tcPr>
            <w:tcW w:w="3022" w:type="dxa"/>
            <w:gridSpan w:val="3"/>
            <w:tcBorders>
              <w:top w:val="nil"/>
              <w:left w:val="nil"/>
              <w:bottom w:val="single" w:color="auto" w:sz="4" w:space="0"/>
              <w:right w:val="single" w:color="auto" w:sz="4" w:space="0"/>
            </w:tcBorders>
            <w:noWrap/>
            <w:vAlign w:val="center"/>
          </w:tcPr>
          <w:p w14:paraId="0DF3C652">
            <w:pPr>
              <w:widowControl/>
              <w:spacing w:line="300" w:lineRule="exact"/>
              <w:jc w:val="center"/>
              <w:rPr>
                <w:rFonts w:ascii="宋体" w:hAnsi="宋体" w:eastAsia="宋体" w:cs="宋体"/>
                <w:color w:val="auto"/>
                <w:sz w:val="18"/>
                <w:szCs w:val="18"/>
                <w:highlight w:val="none"/>
              </w:rPr>
            </w:pPr>
          </w:p>
        </w:tc>
        <w:tc>
          <w:tcPr>
            <w:tcW w:w="886" w:type="dxa"/>
            <w:tcBorders>
              <w:top w:val="nil"/>
              <w:left w:val="nil"/>
              <w:bottom w:val="single" w:color="auto" w:sz="4" w:space="0"/>
              <w:right w:val="single" w:color="auto" w:sz="4" w:space="0"/>
            </w:tcBorders>
            <w:noWrap/>
            <w:vAlign w:val="center"/>
          </w:tcPr>
          <w:p w14:paraId="2D05DE47">
            <w:pPr>
              <w:widowControl/>
              <w:spacing w:line="300" w:lineRule="exact"/>
              <w:jc w:val="center"/>
              <w:rPr>
                <w:rFonts w:ascii="宋体" w:hAnsi="宋体" w:eastAsia="宋体" w:cs="宋体"/>
                <w:color w:val="auto"/>
                <w:sz w:val="18"/>
                <w:szCs w:val="18"/>
                <w:highlight w:val="none"/>
              </w:rPr>
            </w:pPr>
          </w:p>
        </w:tc>
        <w:tc>
          <w:tcPr>
            <w:tcW w:w="800" w:type="dxa"/>
            <w:tcBorders>
              <w:top w:val="nil"/>
              <w:left w:val="nil"/>
              <w:bottom w:val="single" w:color="auto" w:sz="4" w:space="0"/>
              <w:right w:val="single" w:color="auto" w:sz="4" w:space="0"/>
            </w:tcBorders>
            <w:noWrap/>
            <w:vAlign w:val="center"/>
          </w:tcPr>
          <w:p w14:paraId="5BEDD6E4">
            <w:pPr>
              <w:widowControl/>
              <w:spacing w:line="300" w:lineRule="exact"/>
              <w:jc w:val="left"/>
              <w:rPr>
                <w:rFonts w:ascii="宋体" w:hAnsi="宋体" w:eastAsia="宋体" w:cs="宋体"/>
                <w:color w:val="auto"/>
                <w:sz w:val="18"/>
                <w:szCs w:val="18"/>
                <w:highlight w:val="none"/>
              </w:rPr>
            </w:pPr>
          </w:p>
        </w:tc>
        <w:tc>
          <w:tcPr>
            <w:tcW w:w="614" w:type="dxa"/>
            <w:tcBorders>
              <w:top w:val="nil"/>
              <w:left w:val="nil"/>
              <w:bottom w:val="single" w:color="auto" w:sz="4" w:space="0"/>
              <w:right w:val="single" w:color="auto" w:sz="4" w:space="0"/>
            </w:tcBorders>
            <w:noWrap/>
            <w:vAlign w:val="center"/>
          </w:tcPr>
          <w:p w14:paraId="1F0E8589">
            <w:pPr>
              <w:widowControl/>
              <w:spacing w:line="300" w:lineRule="exact"/>
              <w:jc w:val="left"/>
              <w:rPr>
                <w:rFonts w:ascii="宋体" w:hAnsi="宋体" w:eastAsia="宋体" w:cs="宋体"/>
                <w:color w:val="auto"/>
                <w:sz w:val="18"/>
                <w:szCs w:val="18"/>
                <w:highlight w:val="none"/>
              </w:rPr>
            </w:pPr>
          </w:p>
        </w:tc>
        <w:tc>
          <w:tcPr>
            <w:tcW w:w="1098" w:type="dxa"/>
            <w:tcBorders>
              <w:top w:val="nil"/>
              <w:left w:val="nil"/>
              <w:bottom w:val="single" w:color="auto" w:sz="4" w:space="0"/>
              <w:right w:val="single" w:color="auto" w:sz="4" w:space="0"/>
            </w:tcBorders>
            <w:noWrap/>
            <w:vAlign w:val="center"/>
          </w:tcPr>
          <w:p w14:paraId="1F0801BD">
            <w:pPr>
              <w:widowControl/>
              <w:spacing w:line="300" w:lineRule="exact"/>
              <w:jc w:val="left"/>
              <w:rPr>
                <w:rFonts w:ascii="宋体" w:hAnsi="宋体" w:eastAsia="宋体" w:cs="宋体"/>
                <w:color w:val="auto"/>
                <w:sz w:val="18"/>
                <w:szCs w:val="18"/>
                <w:highlight w:val="none"/>
              </w:rPr>
            </w:pPr>
          </w:p>
        </w:tc>
        <w:tc>
          <w:tcPr>
            <w:tcW w:w="1240" w:type="dxa"/>
            <w:tcBorders>
              <w:top w:val="nil"/>
              <w:left w:val="nil"/>
              <w:bottom w:val="single" w:color="auto" w:sz="4" w:space="0"/>
              <w:right w:val="single" w:color="auto" w:sz="4" w:space="0"/>
            </w:tcBorders>
            <w:noWrap/>
            <w:vAlign w:val="center"/>
          </w:tcPr>
          <w:p w14:paraId="7AA04C1A">
            <w:pPr>
              <w:widowControl/>
              <w:spacing w:line="300" w:lineRule="exact"/>
              <w:jc w:val="left"/>
              <w:rPr>
                <w:rFonts w:ascii="宋体" w:hAnsi="宋体" w:eastAsia="宋体" w:cs="宋体"/>
                <w:color w:val="auto"/>
                <w:sz w:val="18"/>
                <w:szCs w:val="18"/>
                <w:highlight w:val="none"/>
              </w:rPr>
            </w:pPr>
          </w:p>
        </w:tc>
        <w:tc>
          <w:tcPr>
            <w:tcW w:w="1080" w:type="dxa"/>
            <w:tcBorders>
              <w:top w:val="nil"/>
              <w:left w:val="nil"/>
              <w:bottom w:val="single" w:color="auto" w:sz="4" w:space="0"/>
              <w:right w:val="single" w:color="auto" w:sz="4" w:space="0"/>
            </w:tcBorders>
            <w:noWrap/>
            <w:vAlign w:val="center"/>
          </w:tcPr>
          <w:p w14:paraId="0DB06529">
            <w:pPr>
              <w:widowControl/>
              <w:spacing w:line="300" w:lineRule="exact"/>
              <w:jc w:val="left"/>
              <w:rPr>
                <w:rFonts w:ascii="宋体" w:hAnsi="宋体" w:eastAsia="宋体" w:cs="宋体"/>
                <w:color w:val="auto"/>
                <w:sz w:val="18"/>
                <w:szCs w:val="18"/>
                <w:highlight w:val="none"/>
              </w:rPr>
            </w:pPr>
          </w:p>
        </w:tc>
      </w:tr>
      <w:tr w14:paraId="57900303">
        <w:tblPrEx>
          <w:tblCellMar>
            <w:top w:w="0" w:type="dxa"/>
            <w:left w:w="108" w:type="dxa"/>
            <w:bottom w:w="0" w:type="dxa"/>
            <w:right w:w="108" w:type="dxa"/>
          </w:tblCellMar>
        </w:tblPrEx>
        <w:trPr>
          <w:trHeight w:val="300" w:hRule="atLeast"/>
          <w:jc w:val="center"/>
        </w:trPr>
        <w:tc>
          <w:tcPr>
            <w:tcW w:w="1860" w:type="dxa"/>
            <w:gridSpan w:val="2"/>
            <w:tcBorders>
              <w:top w:val="nil"/>
              <w:left w:val="nil"/>
              <w:bottom w:val="nil"/>
              <w:right w:val="nil"/>
            </w:tcBorders>
            <w:noWrap/>
            <w:vAlign w:val="center"/>
          </w:tcPr>
          <w:p w14:paraId="744A4E92">
            <w:pPr>
              <w:widowControl/>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c>
          <w:tcPr>
            <w:tcW w:w="1120" w:type="dxa"/>
            <w:tcBorders>
              <w:top w:val="nil"/>
              <w:left w:val="nil"/>
              <w:bottom w:val="nil"/>
              <w:right w:val="nil"/>
            </w:tcBorders>
            <w:noWrap/>
            <w:vAlign w:val="center"/>
          </w:tcPr>
          <w:p w14:paraId="2715A912">
            <w:pPr>
              <w:widowControl/>
              <w:jc w:val="left"/>
              <w:rPr>
                <w:rFonts w:ascii="宋体" w:hAnsi="宋体" w:eastAsia="宋体" w:cs="宋体"/>
                <w:color w:val="auto"/>
                <w:sz w:val="28"/>
                <w:szCs w:val="28"/>
                <w:highlight w:val="none"/>
              </w:rPr>
            </w:pPr>
          </w:p>
        </w:tc>
        <w:tc>
          <w:tcPr>
            <w:tcW w:w="1120" w:type="dxa"/>
            <w:tcBorders>
              <w:top w:val="nil"/>
              <w:left w:val="nil"/>
              <w:bottom w:val="nil"/>
              <w:right w:val="nil"/>
            </w:tcBorders>
            <w:noWrap/>
            <w:vAlign w:val="center"/>
          </w:tcPr>
          <w:p w14:paraId="6288FD79">
            <w:pPr>
              <w:widowControl/>
              <w:jc w:val="left"/>
              <w:rPr>
                <w:rFonts w:ascii="宋体" w:hAnsi="宋体" w:eastAsia="宋体" w:cs="宋体"/>
                <w:color w:val="auto"/>
                <w:sz w:val="28"/>
                <w:szCs w:val="28"/>
                <w:highlight w:val="none"/>
              </w:rPr>
            </w:pPr>
          </w:p>
        </w:tc>
        <w:tc>
          <w:tcPr>
            <w:tcW w:w="720" w:type="dxa"/>
            <w:tcBorders>
              <w:top w:val="nil"/>
              <w:left w:val="nil"/>
              <w:bottom w:val="nil"/>
              <w:right w:val="nil"/>
            </w:tcBorders>
            <w:noWrap/>
            <w:vAlign w:val="center"/>
          </w:tcPr>
          <w:p w14:paraId="2AEEEC2B">
            <w:pPr>
              <w:widowControl/>
              <w:jc w:val="left"/>
              <w:rPr>
                <w:rFonts w:ascii="宋体" w:hAnsi="宋体" w:eastAsia="宋体" w:cs="宋体"/>
                <w:color w:val="auto"/>
                <w:sz w:val="28"/>
                <w:szCs w:val="28"/>
                <w:highlight w:val="none"/>
              </w:rPr>
            </w:pPr>
          </w:p>
        </w:tc>
        <w:tc>
          <w:tcPr>
            <w:tcW w:w="760" w:type="dxa"/>
            <w:tcBorders>
              <w:top w:val="nil"/>
              <w:left w:val="nil"/>
              <w:bottom w:val="nil"/>
              <w:right w:val="nil"/>
            </w:tcBorders>
            <w:noWrap/>
            <w:vAlign w:val="center"/>
          </w:tcPr>
          <w:p w14:paraId="1E45D507">
            <w:pPr>
              <w:widowControl/>
              <w:jc w:val="left"/>
              <w:rPr>
                <w:rFonts w:ascii="宋体" w:hAnsi="宋体" w:eastAsia="宋体" w:cs="宋体"/>
                <w:color w:val="auto"/>
                <w:sz w:val="28"/>
                <w:szCs w:val="28"/>
                <w:highlight w:val="none"/>
              </w:rPr>
            </w:pPr>
          </w:p>
        </w:tc>
        <w:tc>
          <w:tcPr>
            <w:tcW w:w="820" w:type="dxa"/>
            <w:tcBorders>
              <w:top w:val="nil"/>
              <w:left w:val="nil"/>
              <w:bottom w:val="nil"/>
              <w:right w:val="nil"/>
            </w:tcBorders>
            <w:noWrap/>
            <w:vAlign w:val="center"/>
          </w:tcPr>
          <w:p w14:paraId="6FACD21C">
            <w:pPr>
              <w:widowControl/>
              <w:jc w:val="left"/>
              <w:rPr>
                <w:rFonts w:ascii="宋体" w:hAnsi="宋体" w:eastAsia="宋体" w:cs="宋体"/>
                <w:color w:val="auto"/>
                <w:sz w:val="28"/>
                <w:szCs w:val="28"/>
                <w:highlight w:val="none"/>
              </w:rPr>
            </w:pPr>
          </w:p>
        </w:tc>
        <w:tc>
          <w:tcPr>
            <w:tcW w:w="820" w:type="dxa"/>
            <w:tcBorders>
              <w:top w:val="nil"/>
              <w:left w:val="nil"/>
              <w:bottom w:val="nil"/>
              <w:right w:val="nil"/>
            </w:tcBorders>
            <w:noWrap/>
            <w:vAlign w:val="center"/>
          </w:tcPr>
          <w:p w14:paraId="7C72FA5E">
            <w:pPr>
              <w:widowControl/>
              <w:jc w:val="left"/>
              <w:rPr>
                <w:rFonts w:ascii="宋体" w:hAnsi="宋体" w:eastAsia="宋体" w:cs="宋体"/>
                <w:color w:val="auto"/>
                <w:sz w:val="28"/>
                <w:szCs w:val="28"/>
                <w:highlight w:val="none"/>
              </w:rPr>
            </w:pPr>
          </w:p>
        </w:tc>
        <w:tc>
          <w:tcPr>
            <w:tcW w:w="1382" w:type="dxa"/>
            <w:tcBorders>
              <w:top w:val="nil"/>
              <w:left w:val="nil"/>
              <w:bottom w:val="nil"/>
              <w:right w:val="nil"/>
            </w:tcBorders>
            <w:noWrap/>
            <w:vAlign w:val="center"/>
          </w:tcPr>
          <w:p w14:paraId="6561DA5A">
            <w:pPr>
              <w:widowControl/>
              <w:jc w:val="left"/>
              <w:rPr>
                <w:rFonts w:ascii="宋体" w:hAnsi="宋体" w:eastAsia="宋体" w:cs="宋体"/>
                <w:color w:val="auto"/>
                <w:sz w:val="28"/>
                <w:szCs w:val="28"/>
                <w:highlight w:val="none"/>
              </w:rPr>
            </w:pPr>
          </w:p>
        </w:tc>
        <w:tc>
          <w:tcPr>
            <w:tcW w:w="886" w:type="dxa"/>
            <w:tcBorders>
              <w:top w:val="nil"/>
              <w:left w:val="nil"/>
              <w:bottom w:val="nil"/>
              <w:right w:val="nil"/>
            </w:tcBorders>
            <w:noWrap/>
            <w:vAlign w:val="center"/>
          </w:tcPr>
          <w:p w14:paraId="2E34FE58">
            <w:pPr>
              <w:widowControl/>
              <w:jc w:val="left"/>
              <w:rPr>
                <w:rFonts w:ascii="宋体" w:hAnsi="宋体" w:eastAsia="宋体" w:cs="宋体"/>
                <w:color w:val="auto"/>
                <w:sz w:val="28"/>
                <w:szCs w:val="28"/>
                <w:highlight w:val="none"/>
              </w:rPr>
            </w:pPr>
          </w:p>
        </w:tc>
        <w:tc>
          <w:tcPr>
            <w:tcW w:w="800" w:type="dxa"/>
            <w:tcBorders>
              <w:top w:val="nil"/>
              <w:left w:val="nil"/>
              <w:bottom w:val="nil"/>
              <w:right w:val="nil"/>
            </w:tcBorders>
            <w:noWrap/>
            <w:vAlign w:val="center"/>
          </w:tcPr>
          <w:p w14:paraId="3F290624">
            <w:pPr>
              <w:widowControl/>
              <w:jc w:val="left"/>
              <w:rPr>
                <w:rFonts w:ascii="宋体" w:hAnsi="宋体" w:eastAsia="宋体" w:cs="宋体"/>
                <w:color w:val="auto"/>
                <w:sz w:val="28"/>
                <w:szCs w:val="28"/>
                <w:highlight w:val="none"/>
              </w:rPr>
            </w:pPr>
          </w:p>
        </w:tc>
        <w:tc>
          <w:tcPr>
            <w:tcW w:w="614" w:type="dxa"/>
            <w:tcBorders>
              <w:top w:val="nil"/>
              <w:left w:val="nil"/>
              <w:bottom w:val="nil"/>
              <w:right w:val="nil"/>
            </w:tcBorders>
            <w:noWrap/>
            <w:vAlign w:val="center"/>
          </w:tcPr>
          <w:p w14:paraId="57EC52FF">
            <w:pPr>
              <w:widowControl/>
              <w:jc w:val="left"/>
              <w:rPr>
                <w:rFonts w:ascii="宋体" w:hAnsi="宋体" w:eastAsia="宋体" w:cs="宋体"/>
                <w:color w:val="auto"/>
                <w:sz w:val="28"/>
                <w:szCs w:val="28"/>
                <w:highlight w:val="none"/>
              </w:rPr>
            </w:pPr>
          </w:p>
        </w:tc>
        <w:tc>
          <w:tcPr>
            <w:tcW w:w="1098" w:type="dxa"/>
            <w:tcBorders>
              <w:top w:val="nil"/>
              <w:left w:val="nil"/>
              <w:bottom w:val="nil"/>
              <w:right w:val="nil"/>
            </w:tcBorders>
            <w:noWrap/>
            <w:vAlign w:val="center"/>
          </w:tcPr>
          <w:p w14:paraId="259A8299">
            <w:pPr>
              <w:widowControl/>
              <w:jc w:val="left"/>
              <w:rPr>
                <w:rFonts w:ascii="宋体" w:hAnsi="宋体" w:eastAsia="宋体" w:cs="宋体"/>
                <w:color w:val="auto"/>
                <w:sz w:val="28"/>
                <w:szCs w:val="28"/>
                <w:highlight w:val="none"/>
              </w:rPr>
            </w:pPr>
          </w:p>
        </w:tc>
        <w:tc>
          <w:tcPr>
            <w:tcW w:w="1240" w:type="dxa"/>
            <w:tcBorders>
              <w:top w:val="nil"/>
              <w:left w:val="nil"/>
              <w:bottom w:val="nil"/>
              <w:right w:val="nil"/>
            </w:tcBorders>
            <w:noWrap/>
            <w:vAlign w:val="center"/>
          </w:tcPr>
          <w:p w14:paraId="1D2500F9">
            <w:pPr>
              <w:widowControl/>
              <w:jc w:val="left"/>
              <w:rPr>
                <w:rFonts w:ascii="宋体" w:hAnsi="宋体" w:eastAsia="宋体" w:cs="宋体"/>
                <w:color w:val="auto"/>
                <w:sz w:val="28"/>
                <w:szCs w:val="28"/>
                <w:highlight w:val="none"/>
              </w:rPr>
            </w:pPr>
          </w:p>
        </w:tc>
        <w:tc>
          <w:tcPr>
            <w:tcW w:w="1080" w:type="dxa"/>
            <w:tcBorders>
              <w:top w:val="nil"/>
              <w:left w:val="nil"/>
              <w:bottom w:val="nil"/>
              <w:right w:val="nil"/>
            </w:tcBorders>
            <w:noWrap/>
            <w:vAlign w:val="center"/>
          </w:tcPr>
          <w:p w14:paraId="05822AEC">
            <w:pPr>
              <w:widowControl/>
              <w:jc w:val="left"/>
              <w:rPr>
                <w:rFonts w:ascii="宋体" w:hAnsi="宋体" w:eastAsia="宋体" w:cs="宋体"/>
                <w:color w:val="auto"/>
                <w:sz w:val="20"/>
                <w:szCs w:val="20"/>
                <w:highlight w:val="none"/>
              </w:rPr>
            </w:pPr>
          </w:p>
        </w:tc>
      </w:tr>
      <w:tr w14:paraId="544FB2F2">
        <w:tblPrEx>
          <w:tblCellMar>
            <w:top w:w="0" w:type="dxa"/>
            <w:left w:w="108" w:type="dxa"/>
            <w:bottom w:w="0" w:type="dxa"/>
            <w:right w:w="108" w:type="dxa"/>
          </w:tblCellMar>
        </w:tblPrEx>
        <w:trPr>
          <w:trHeight w:val="300" w:hRule="atLeast"/>
          <w:jc w:val="center"/>
        </w:trPr>
        <w:tc>
          <w:tcPr>
            <w:tcW w:w="13240" w:type="dxa"/>
            <w:gridSpan w:val="14"/>
            <w:tcBorders>
              <w:top w:val="nil"/>
              <w:left w:val="nil"/>
              <w:bottom w:val="nil"/>
              <w:right w:val="nil"/>
            </w:tcBorders>
            <w:noWrap/>
            <w:vAlign w:val="center"/>
          </w:tcPr>
          <w:p w14:paraId="74AC4B32">
            <w:pPr>
              <w:widowControl/>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1.在参审人员中须明确一位项目总负责需在备注中写明；</w:t>
            </w:r>
          </w:p>
        </w:tc>
        <w:tc>
          <w:tcPr>
            <w:tcW w:w="1080" w:type="dxa"/>
            <w:tcBorders>
              <w:top w:val="nil"/>
              <w:left w:val="nil"/>
              <w:bottom w:val="nil"/>
              <w:right w:val="nil"/>
            </w:tcBorders>
            <w:noWrap/>
            <w:vAlign w:val="center"/>
          </w:tcPr>
          <w:p w14:paraId="04B2CEAD">
            <w:pPr>
              <w:widowControl/>
              <w:jc w:val="left"/>
              <w:rPr>
                <w:rFonts w:ascii="宋体" w:hAnsi="宋体" w:eastAsia="宋体" w:cs="宋体"/>
                <w:color w:val="auto"/>
                <w:sz w:val="20"/>
                <w:szCs w:val="20"/>
                <w:highlight w:val="none"/>
              </w:rPr>
            </w:pPr>
          </w:p>
        </w:tc>
      </w:tr>
      <w:tr w14:paraId="674D7DBB">
        <w:tblPrEx>
          <w:tblCellMar>
            <w:top w:w="0" w:type="dxa"/>
            <w:left w:w="108" w:type="dxa"/>
            <w:bottom w:w="0" w:type="dxa"/>
            <w:right w:w="108" w:type="dxa"/>
          </w:tblCellMar>
        </w:tblPrEx>
        <w:trPr>
          <w:trHeight w:val="300" w:hRule="atLeast"/>
          <w:jc w:val="center"/>
        </w:trPr>
        <w:tc>
          <w:tcPr>
            <w:tcW w:w="13240" w:type="dxa"/>
            <w:gridSpan w:val="14"/>
            <w:tcBorders>
              <w:top w:val="nil"/>
              <w:left w:val="nil"/>
              <w:bottom w:val="nil"/>
              <w:right w:val="nil"/>
            </w:tcBorders>
            <w:noWrap/>
            <w:vAlign w:val="center"/>
          </w:tcPr>
          <w:p w14:paraId="2315E02E">
            <w:pPr>
              <w:widowControl/>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2.审核专业分为：土木建筑工程、安装工程、交通运输工程（公路、水运）、水利工程。</w:t>
            </w:r>
          </w:p>
        </w:tc>
        <w:tc>
          <w:tcPr>
            <w:tcW w:w="1080" w:type="dxa"/>
            <w:tcBorders>
              <w:top w:val="nil"/>
              <w:left w:val="nil"/>
              <w:bottom w:val="nil"/>
              <w:right w:val="nil"/>
            </w:tcBorders>
            <w:noWrap/>
            <w:vAlign w:val="center"/>
          </w:tcPr>
          <w:p w14:paraId="3C850A6F">
            <w:pPr>
              <w:widowControl/>
              <w:jc w:val="left"/>
              <w:rPr>
                <w:rFonts w:ascii="宋体" w:hAnsi="宋体" w:eastAsia="宋体" w:cs="宋体"/>
                <w:color w:val="auto"/>
                <w:sz w:val="20"/>
                <w:szCs w:val="20"/>
                <w:highlight w:val="none"/>
              </w:rPr>
            </w:pPr>
          </w:p>
        </w:tc>
      </w:tr>
    </w:tbl>
    <w:p w14:paraId="4F8DA47A">
      <w:pPr>
        <w:spacing w:line="420" w:lineRule="exact"/>
        <w:ind w:firstLine="480"/>
        <w:rPr>
          <w:rFonts w:eastAsia="宋体" w:cs="宋体"/>
          <w:color w:val="auto"/>
          <w:highlight w:val="none"/>
        </w:rPr>
      </w:pPr>
    </w:p>
    <w:p w14:paraId="2ED821B5">
      <w:pPr>
        <w:spacing w:line="420" w:lineRule="exact"/>
        <w:ind w:firstLine="480"/>
        <w:rPr>
          <w:rFonts w:eastAsia="宋体" w:cs="宋体"/>
          <w:color w:val="auto"/>
          <w:highlight w:val="none"/>
        </w:rPr>
      </w:pPr>
    </w:p>
    <w:bookmarkEnd w:id="163"/>
    <w:bookmarkEnd w:id="164"/>
    <w:p w14:paraId="5B4D8208">
      <w:pPr>
        <w:spacing w:line="420" w:lineRule="exact"/>
        <w:ind w:firstLine="480"/>
        <w:rPr>
          <w:rFonts w:eastAsia="宋体" w:cs="宋体"/>
          <w:color w:val="auto"/>
          <w:highlight w:val="none"/>
        </w:rPr>
        <w:sectPr>
          <w:pgSz w:w="16838" w:h="11906" w:orient="landscape"/>
          <w:pgMar w:top="851" w:right="851" w:bottom="851" w:left="1134" w:header="567" w:footer="471" w:gutter="0"/>
          <w:cols w:space="425" w:num="1"/>
          <w:docGrid w:linePitch="360" w:charSpace="0"/>
        </w:sectPr>
      </w:pPr>
    </w:p>
    <w:p w14:paraId="054B5B30">
      <w:pPr>
        <w:tabs>
          <w:tab w:val="left" w:pos="1050"/>
          <w:tab w:val="right" w:leader="dot" w:pos="9402"/>
        </w:tabs>
        <w:spacing w:line="600" w:lineRule="exact"/>
        <w:jc w:val="center"/>
        <w:outlineLvl w:val="0"/>
        <w:rPr>
          <w:rFonts w:eastAsia="宋体"/>
          <w:b/>
          <w:bCs/>
          <w:color w:val="auto"/>
          <w:sz w:val="36"/>
          <w:szCs w:val="36"/>
          <w:highlight w:val="none"/>
        </w:rPr>
      </w:pPr>
      <w:r>
        <w:rPr>
          <w:rFonts w:hint="eastAsia" w:eastAsia="宋体" w:cs="宋体"/>
          <w:b/>
          <w:bCs/>
          <w:color w:val="auto"/>
          <w:sz w:val="36"/>
          <w:szCs w:val="36"/>
          <w:highlight w:val="none"/>
        </w:rPr>
        <w:t>第六章 征集响应文件的组成和格式</w:t>
      </w:r>
    </w:p>
    <w:p w14:paraId="635744EE">
      <w:pPr>
        <w:spacing w:line="420" w:lineRule="exact"/>
        <w:ind w:firstLine="487"/>
        <w:jc w:val="left"/>
        <w:outlineLvl w:val="1"/>
        <w:rPr>
          <w:rFonts w:eastAsia="宋体" w:cs="宋体"/>
          <w:b/>
          <w:bCs/>
          <w:color w:val="auto"/>
          <w:highlight w:val="none"/>
        </w:rPr>
      </w:pPr>
      <w:r>
        <w:rPr>
          <w:rFonts w:hint="eastAsia" w:eastAsia="宋体" w:cs="宋体"/>
          <w:b/>
          <w:bCs/>
          <w:color w:val="auto"/>
          <w:highlight w:val="none"/>
        </w:rPr>
        <w:t>一、供应商编制文件须知</w:t>
      </w:r>
    </w:p>
    <w:p w14:paraId="1BA3665D">
      <w:pPr>
        <w:spacing w:line="420" w:lineRule="exact"/>
        <w:ind w:firstLine="488"/>
        <w:jc w:val="left"/>
        <w:rPr>
          <w:rFonts w:eastAsia="宋体" w:cs="宋体"/>
          <w:color w:val="auto"/>
          <w:highlight w:val="none"/>
        </w:rPr>
      </w:pPr>
      <w:r>
        <w:rPr>
          <w:rFonts w:hint="eastAsia" w:eastAsia="宋体" w:cs="宋体"/>
          <w:color w:val="auto"/>
          <w:highlight w:val="none"/>
        </w:rPr>
        <w:t>1.供应商按照本部分的顺序编制</w:t>
      </w:r>
      <w:bookmarkStart w:id="170" w:name="_Hlk183351043"/>
      <w:r>
        <w:rPr>
          <w:rFonts w:hint="eastAsia" w:eastAsia="宋体" w:cs="宋体"/>
          <w:color w:val="auto"/>
          <w:highlight w:val="none"/>
        </w:rPr>
        <w:t>响应文件（资格证明文件）目录、响应文件（商务技术文件）</w:t>
      </w:r>
      <w:bookmarkEnd w:id="170"/>
      <w:r>
        <w:rPr>
          <w:rFonts w:hint="eastAsia" w:eastAsia="宋体" w:cs="宋体"/>
          <w:color w:val="auto"/>
          <w:highlight w:val="none"/>
        </w:rPr>
        <w:t>目录，编制中涉及格式资料的，应按照本章提供的附件内容和格式（所有表格的格式可扩展）填写提交。</w:t>
      </w:r>
    </w:p>
    <w:p w14:paraId="6B60E785">
      <w:pPr>
        <w:spacing w:line="420" w:lineRule="exact"/>
        <w:ind w:firstLine="488"/>
        <w:jc w:val="left"/>
        <w:rPr>
          <w:rFonts w:eastAsia="宋体" w:cs="宋体"/>
          <w:color w:val="auto"/>
          <w:highlight w:val="none"/>
        </w:rPr>
      </w:pPr>
      <w:r>
        <w:rPr>
          <w:rFonts w:hint="eastAsia" w:eastAsia="宋体" w:cs="宋体"/>
          <w:color w:val="auto"/>
          <w:highlight w:val="none"/>
        </w:rPr>
        <w:t>2.全部声明和问题的回答及所附材料必须是真实的、准确的和完整的。</w:t>
      </w:r>
    </w:p>
    <w:p w14:paraId="3A44153B">
      <w:pPr>
        <w:spacing w:line="420" w:lineRule="exact"/>
        <w:ind w:firstLine="488"/>
        <w:jc w:val="left"/>
        <w:rPr>
          <w:rFonts w:eastAsia="宋体" w:cs="宋体"/>
          <w:color w:val="auto"/>
          <w:highlight w:val="none"/>
        </w:rPr>
      </w:pPr>
      <w:r>
        <w:rPr>
          <w:rFonts w:hint="eastAsia" w:eastAsia="宋体" w:cs="宋体"/>
          <w:color w:val="auto"/>
          <w:highlight w:val="none"/>
        </w:rPr>
        <w:t>3.实行电子化不见面交易方式的，加盖公章、签名等均通过响应文件编制工具加盖电子公章、签字（或签字扫描图片）、签章或印鉴。</w:t>
      </w:r>
    </w:p>
    <w:p w14:paraId="2F4E6B66">
      <w:pPr>
        <w:spacing w:line="420" w:lineRule="exact"/>
        <w:ind w:firstLine="487"/>
        <w:jc w:val="left"/>
        <w:outlineLvl w:val="1"/>
        <w:rPr>
          <w:rFonts w:eastAsia="宋体"/>
          <w:b/>
          <w:bCs/>
          <w:color w:val="auto"/>
          <w:highlight w:val="none"/>
        </w:rPr>
      </w:pPr>
      <w:r>
        <w:rPr>
          <w:rFonts w:hint="eastAsia" w:eastAsia="宋体" w:cs="宋体"/>
          <w:b/>
          <w:bCs/>
          <w:color w:val="auto"/>
          <w:highlight w:val="none"/>
        </w:rPr>
        <w:t>二、基本目录</w:t>
      </w:r>
    </w:p>
    <w:p w14:paraId="50CD02E5">
      <w:pPr>
        <w:spacing w:line="420" w:lineRule="exact"/>
        <w:ind w:firstLine="485"/>
        <w:jc w:val="left"/>
        <w:rPr>
          <w:rFonts w:eastAsia="宋体"/>
          <w:color w:val="auto"/>
          <w:highlight w:val="none"/>
        </w:rPr>
      </w:pPr>
      <w:r>
        <w:rPr>
          <w:rFonts w:hint="eastAsia" w:eastAsia="宋体"/>
          <w:color w:val="auto"/>
          <w:highlight w:val="none"/>
        </w:rPr>
        <w:t>1.目录</w:t>
      </w:r>
      <w:r>
        <w:rPr>
          <w:rFonts w:hint="eastAsia" w:eastAsia="宋体"/>
          <w:b/>
          <w:bCs/>
          <w:color w:val="auto"/>
          <w:highlight w:val="none"/>
        </w:rPr>
        <w:t>（格式见附件1）</w:t>
      </w:r>
    </w:p>
    <w:p w14:paraId="587F1E8B">
      <w:pPr>
        <w:spacing w:line="420" w:lineRule="exact"/>
        <w:ind w:firstLine="485"/>
        <w:jc w:val="left"/>
        <w:rPr>
          <w:rFonts w:eastAsia="宋体"/>
          <w:color w:val="auto"/>
          <w:highlight w:val="none"/>
        </w:rPr>
      </w:pPr>
      <w:r>
        <w:rPr>
          <w:rFonts w:hint="eastAsia" w:eastAsia="宋体"/>
          <w:color w:val="auto"/>
          <w:highlight w:val="none"/>
        </w:rPr>
        <w:t>2.开标一览表</w:t>
      </w:r>
      <w:r>
        <w:rPr>
          <w:rFonts w:hint="eastAsia" w:eastAsia="宋体"/>
          <w:b/>
          <w:bCs/>
          <w:color w:val="auto"/>
          <w:highlight w:val="none"/>
        </w:rPr>
        <w:t>（格式见附件2）</w:t>
      </w:r>
    </w:p>
    <w:p w14:paraId="1C52C811">
      <w:pPr>
        <w:spacing w:line="420" w:lineRule="exact"/>
        <w:ind w:firstLine="487"/>
        <w:jc w:val="left"/>
        <w:outlineLvl w:val="1"/>
        <w:rPr>
          <w:rFonts w:eastAsia="宋体" w:cs="宋体"/>
          <w:b/>
          <w:bCs/>
          <w:color w:val="auto"/>
          <w:highlight w:val="none"/>
        </w:rPr>
      </w:pPr>
      <w:r>
        <w:rPr>
          <w:rFonts w:hint="eastAsia" w:eastAsia="宋体" w:cs="宋体"/>
          <w:b/>
          <w:bCs/>
          <w:color w:val="auto"/>
          <w:highlight w:val="none"/>
        </w:rPr>
        <w:t>三、</w:t>
      </w:r>
      <w:r>
        <w:rPr>
          <w:rFonts w:eastAsia="宋体" w:cs="宋体"/>
          <w:b/>
          <w:bCs/>
          <w:color w:val="auto"/>
          <w:highlight w:val="none"/>
        </w:rPr>
        <w:t>资格</w:t>
      </w:r>
      <w:r>
        <w:rPr>
          <w:rFonts w:hint="eastAsia" w:eastAsia="宋体" w:cs="宋体"/>
          <w:b/>
          <w:bCs/>
          <w:color w:val="auto"/>
          <w:highlight w:val="none"/>
        </w:rPr>
        <w:t>性要求</w:t>
      </w:r>
    </w:p>
    <w:p w14:paraId="299E5D1B">
      <w:pPr>
        <w:spacing w:line="420" w:lineRule="exact"/>
        <w:ind w:firstLine="488"/>
        <w:jc w:val="left"/>
        <w:outlineLvl w:val="2"/>
        <w:rPr>
          <w:rFonts w:eastAsia="宋体"/>
          <w:b/>
          <w:bCs/>
          <w:color w:val="auto"/>
          <w:highlight w:val="none"/>
        </w:rPr>
      </w:pPr>
      <w:bookmarkStart w:id="171" w:name="_Hlk69860723"/>
      <w:bookmarkStart w:id="172" w:name="_Hlk69424499"/>
      <w:r>
        <w:rPr>
          <w:rFonts w:hint="eastAsia" w:eastAsia="宋体"/>
          <w:b/>
          <w:bCs/>
          <w:color w:val="auto"/>
          <w:highlight w:val="none"/>
        </w:rPr>
        <w:t>（一）</w:t>
      </w:r>
      <w:bookmarkStart w:id="173" w:name="_Hlk184249532"/>
      <w:r>
        <w:rPr>
          <w:rFonts w:hint="eastAsia" w:eastAsia="宋体"/>
          <w:b/>
          <w:bCs/>
          <w:color w:val="auto"/>
          <w:highlight w:val="none"/>
        </w:rPr>
        <w:t>满足《中华人民共和国政府采购法》第二十二条规定</w:t>
      </w:r>
      <w:bookmarkEnd w:id="173"/>
    </w:p>
    <w:p w14:paraId="02B7C227">
      <w:pPr>
        <w:spacing w:line="420" w:lineRule="exact"/>
        <w:ind w:firstLine="485"/>
        <w:jc w:val="left"/>
        <w:rPr>
          <w:rFonts w:eastAsia="宋体"/>
          <w:color w:val="auto"/>
          <w:highlight w:val="none"/>
        </w:rPr>
      </w:pPr>
      <w:r>
        <w:rPr>
          <w:rFonts w:hint="eastAsia" w:eastAsia="宋体"/>
          <w:color w:val="auto"/>
          <w:highlight w:val="none"/>
        </w:rPr>
        <w:t>1.资格文件的声明函</w:t>
      </w:r>
      <w:r>
        <w:rPr>
          <w:rFonts w:hint="eastAsia" w:eastAsia="宋体"/>
          <w:b/>
          <w:bCs/>
          <w:color w:val="auto"/>
          <w:highlight w:val="none"/>
        </w:rPr>
        <w:t>（格式见附件3）</w:t>
      </w:r>
      <w:r>
        <w:rPr>
          <w:rFonts w:hint="eastAsia" w:eastAsia="宋体"/>
          <w:color w:val="auto"/>
          <w:highlight w:val="none"/>
        </w:rPr>
        <w:t>。</w:t>
      </w:r>
    </w:p>
    <w:p w14:paraId="46ED2705">
      <w:pPr>
        <w:spacing w:line="420" w:lineRule="exact"/>
        <w:ind w:firstLine="485"/>
        <w:jc w:val="left"/>
        <w:rPr>
          <w:rFonts w:eastAsia="宋体"/>
          <w:color w:val="auto"/>
          <w:highlight w:val="none"/>
        </w:rPr>
      </w:pPr>
      <w:r>
        <w:rPr>
          <w:rFonts w:hint="eastAsia" w:eastAsia="宋体"/>
          <w:color w:val="auto"/>
          <w:highlight w:val="none"/>
        </w:rPr>
        <w:t>2.法人或者其他组织的营业执照等证明文件，自然人的身份证明。</w:t>
      </w:r>
    </w:p>
    <w:p w14:paraId="1B2F96C8">
      <w:pPr>
        <w:spacing w:line="420" w:lineRule="exact"/>
        <w:ind w:firstLine="485"/>
        <w:jc w:val="left"/>
        <w:rPr>
          <w:color w:val="auto"/>
          <w:highlight w:val="none"/>
        </w:rPr>
      </w:pPr>
      <w:r>
        <w:rPr>
          <w:rFonts w:hint="eastAsia" w:eastAsia="宋体"/>
          <w:color w:val="auto"/>
          <w:highlight w:val="none"/>
        </w:rPr>
        <w:t>3.法定代表人身份证明书</w:t>
      </w:r>
      <w:r>
        <w:rPr>
          <w:rFonts w:hint="eastAsia" w:eastAsia="宋体"/>
          <w:b/>
          <w:bCs/>
          <w:color w:val="auto"/>
          <w:highlight w:val="none"/>
        </w:rPr>
        <w:t>（格式见附件4-1）</w:t>
      </w:r>
      <w:r>
        <w:rPr>
          <w:rFonts w:hint="eastAsia" w:eastAsia="宋体"/>
          <w:color w:val="auto"/>
          <w:highlight w:val="none"/>
        </w:rPr>
        <w:t>。</w:t>
      </w:r>
    </w:p>
    <w:p w14:paraId="43F97E5C">
      <w:pPr>
        <w:spacing w:line="420" w:lineRule="exact"/>
        <w:ind w:firstLine="485"/>
        <w:jc w:val="left"/>
        <w:rPr>
          <w:rFonts w:eastAsia="宋体"/>
          <w:color w:val="auto"/>
          <w:highlight w:val="none"/>
        </w:rPr>
      </w:pPr>
      <w:r>
        <w:rPr>
          <w:rFonts w:hint="eastAsia" w:eastAsia="宋体"/>
          <w:color w:val="auto"/>
          <w:highlight w:val="none"/>
          <w:lang w:val="en-US" w:eastAsia="zh-CN"/>
        </w:rPr>
        <w:t>4</w:t>
      </w:r>
      <w:r>
        <w:rPr>
          <w:rFonts w:hint="eastAsia" w:eastAsia="宋体"/>
          <w:color w:val="auto"/>
          <w:highlight w:val="none"/>
        </w:rPr>
        <w:t>.法定代表人授权书</w:t>
      </w:r>
      <w:bookmarkStart w:id="174" w:name="_Hlk183440984"/>
      <w:r>
        <w:rPr>
          <w:rFonts w:hint="eastAsia" w:eastAsia="宋体"/>
          <w:color w:val="auto"/>
          <w:highlight w:val="none"/>
        </w:rPr>
        <w:t>（如为法定代表人参与征集活动的，无须提供，</w:t>
      </w:r>
      <w:r>
        <w:rPr>
          <w:rFonts w:hint="eastAsia" w:eastAsia="宋体"/>
          <w:b/>
          <w:bCs/>
          <w:color w:val="auto"/>
          <w:highlight w:val="none"/>
        </w:rPr>
        <w:t>格式见附件5</w:t>
      </w:r>
      <w:r>
        <w:rPr>
          <w:rFonts w:hint="eastAsia" w:eastAsia="宋体"/>
          <w:color w:val="auto"/>
          <w:highlight w:val="none"/>
        </w:rPr>
        <w:t>）</w:t>
      </w:r>
      <w:bookmarkEnd w:id="174"/>
      <w:r>
        <w:rPr>
          <w:rFonts w:hint="eastAsia" w:eastAsia="宋体"/>
          <w:color w:val="auto"/>
          <w:highlight w:val="none"/>
        </w:rPr>
        <w:t>。</w:t>
      </w:r>
    </w:p>
    <w:p w14:paraId="3664268F">
      <w:pPr>
        <w:spacing w:line="420" w:lineRule="exact"/>
        <w:ind w:firstLine="485"/>
        <w:jc w:val="left"/>
        <w:rPr>
          <w:rFonts w:eastAsia="宋体"/>
          <w:color w:val="auto"/>
          <w:highlight w:val="none"/>
        </w:rPr>
      </w:pPr>
      <w:r>
        <w:rPr>
          <w:rFonts w:hint="eastAsia" w:eastAsia="宋体"/>
          <w:color w:val="auto"/>
          <w:highlight w:val="none"/>
          <w:lang w:val="en-US" w:eastAsia="zh-CN"/>
        </w:rPr>
        <w:t>5</w:t>
      </w:r>
      <w:r>
        <w:rPr>
          <w:rFonts w:hint="eastAsia" w:eastAsia="宋体"/>
          <w:color w:val="auto"/>
          <w:highlight w:val="none"/>
        </w:rPr>
        <w:t>.上一年度（即2024年度）的财务状况“负债表和利润表”（成立不满一年不需提供）。</w:t>
      </w:r>
    </w:p>
    <w:p w14:paraId="223CEDE1">
      <w:pPr>
        <w:spacing w:line="420" w:lineRule="exact"/>
        <w:ind w:firstLine="485"/>
        <w:jc w:val="left"/>
        <w:rPr>
          <w:rFonts w:eastAsia="宋体"/>
          <w:color w:val="auto"/>
          <w:highlight w:val="none"/>
        </w:rPr>
      </w:pPr>
      <w:r>
        <w:rPr>
          <w:rFonts w:hint="eastAsia" w:eastAsia="宋体"/>
          <w:color w:val="auto"/>
          <w:highlight w:val="none"/>
          <w:lang w:val="en-US" w:eastAsia="zh-CN"/>
        </w:rPr>
        <w:t>6</w:t>
      </w:r>
      <w:r>
        <w:rPr>
          <w:rFonts w:hint="eastAsia" w:eastAsia="宋体"/>
          <w:color w:val="auto"/>
          <w:highlight w:val="none"/>
        </w:rPr>
        <w:t>.依法缴纳税收和社会保障资金的相关材料。</w:t>
      </w:r>
    </w:p>
    <w:p w14:paraId="7C687836">
      <w:pPr>
        <w:spacing w:line="420" w:lineRule="exact"/>
        <w:ind w:firstLine="485"/>
        <w:jc w:val="left"/>
        <w:rPr>
          <w:rFonts w:eastAsia="宋体"/>
          <w:color w:val="auto"/>
          <w:highlight w:val="none"/>
        </w:rPr>
      </w:pPr>
      <w:r>
        <w:rPr>
          <w:rFonts w:hint="eastAsia" w:eastAsia="宋体"/>
          <w:color w:val="auto"/>
          <w:highlight w:val="none"/>
          <w:lang w:val="en-US" w:eastAsia="zh-CN"/>
        </w:rPr>
        <w:t>7</w:t>
      </w:r>
      <w:r>
        <w:rPr>
          <w:rFonts w:hint="eastAsia" w:eastAsia="宋体"/>
          <w:color w:val="auto"/>
          <w:highlight w:val="none"/>
        </w:rPr>
        <w:t>.具备履行合同所必需的设备和专业技术能力的书面声明</w:t>
      </w:r>
      <w:r>
        <w:rPr>
          <w:rFonts w:hint="eastAsia" w:eastAsia="宋体"/>
          <w:b/>
          <w:bCs/>
          <w:color w:val="auto"/>
          <w:highlight w:val="none"/>
        </w:rPr>
        <w:t>（格式见附件6）</w:t>
      </w:r>
      <w:r>
        <w:rPr>
          <w:rFonts w:hint="eastAsia" w:eastAsia="宋体"/>
          <w:color w:val="auto"/>
          <w:highlight w:val="none"/>
        </w:rPr>
        <w:t>。</w:t>
      </w:r>
    </w:p>
    <w:p w14:paraId="296A3576">
      <w:pPr>
        <w:spacing w:line="420" w:lineRule="exact"/>
        <w:ind w:firstLine="485"/>
        <w:jc w:val="left"/>
        <w:rPr>
          <w:rFonts w:eastAsia="宋体"/>
          <w:color w:val="auto"/>
          <w:highlight w:val="none"/>
        </w:rPr>
      </w:pPr>
      <w:r>
        <w:rPr>
          <w:rFonts w:hint="eastAsia" w:eastAsia="宋体"/>
          <w:color w:val="auto"/>
          <w:highlight w:val="none"/>
          <w:lang w:val="en-US" w:eastAsia="zh-CN"/>
        </w:rPr>
        <w:t>8</w:t>
      </w:r>
      <w:r>
        <w:rPr>
          <w:rFonts w:hint="eastAsia" w:eastAsia="宋体"/>
          <w:color w:val="auto"/>
          <w:highlight w:val="none"/>
        </w:rPr>
        <w:t>.参加政府采购活动前3年内在经营活动中没有重大违法记录的书面声明</w:t>
      </w:r>
      <w:r>
        <w:rPr>
          <w:rFonts w:hint="eastAsia" w:eastAsia="宋体"/>
          <w:b/>
          <w:bCs/>
          <w:color w:val="auto"/>
          <w:highlight w:val="none"/>
        </w:rPr>
        <w:t>（格式见附件7）</w:t>
      </w:r>
      <w:r>
        <w:rPr>
          <w:rFonts w:hint="eastAsia" w:eastAsia="宋体"/>
          <w:color w:val="auto"/>
          <w:highlight w:val="none"/>
        </w:rPr>
        <w:t>。</w:t>
      </w:r>
    </w:p>
    <w:p w14:paraId="329DB7FA">
      <w:pPr>
        <w:pStyle w:val="35"/>
        <w:rPr>
          <w:rFonts w:hint="eastAsia" w:ascii="Times New Roman" w:hAnsi="Times New Roman" w:eastAsia="宋体" w:cs="Times New Roman"/>
          <w:color w:val="auto"/>
          <w:sz w:val="24"/>
          <w:szCs w:val="24"/>
          <w:highlight w:val="none"/>
          <w:lang w:val="en-US" w:eastAsia="zh-CN" w:bidi="ar-SA"/>
        </w:rPr>
      </w:pPr>
      <w:r>
        <w:rPr>
          <w:rFonts w:hint="eastAsia" w:eastAsia="宋体"/>
          <w:color w:val="auto"/>
          <w:highlight w:val="none"/>
        </w:rPr>
        <w:t xml:space="preserve">   </w:t>
      </w:r>
      <w:r>
        <w:rPr>
          <w:rFonts w:hint="eastAsia" w:ascii="Times New Roman" w:hAnsi="Times New Roman" w:eastAsia="宋体" w:cs="Times New Roman"/>
          <w:color w:val="auto"/>
          <w:sz w:val="24"/>
          <w:szCs w:val="24"/>
          <w:highlight w:val="none"/>
          <w:lang w:val="en-US" w:eastAsia="zh-CN" w:bidi="ar-SA"/>
        </w:rPr>
        <w:t xml:space="preserve">  </w:t>
      </w:r>
      <w:r>
        <w:rPr>
          <w:rFonts w:hint="eastAsia" w:ascii="Times New Roman" w:eastAsia="宋体" w:cs="Times New Roman"/>
          <w:color w:val="auto"/>
          <w:sz w:val="24"/>
          <w:szCs w:val="24"/>
          <w:highlight w:val="none"/>
          <w:lang w:val="en-US" w:eastAsia="zh-CN" w:bidi="ar-SA"/>
        </w:rPr>
        <w:t>9</w:t>
      </w:r>
      <w:r>
        <w:rPr>
          <w:rFonts w:hint="eastAsia" w:ascii="Times New Roman" w:hAnsi="Times New Roman" w:eastAsia="宋体" w:cs="Times New Roman"/>
          <w:color w:val="auto"/>
          <w:sz w:val="24"/>
          <w:szCs w:val="24"/>
          <w:highlight w:val="none"/>
          <w:lang w:val="en-US" w:eastAsia="zh-CN" w:bidi="ar-SA"/>
        </w:rPr>
        <w:t>.未被“信用中国”网站（www.creditchina.gov.cn）列入失信记录的承诺（格式见附件10）。</w:t>
      </w:r>
    </w:p>
    <w:p w14:paraId="4FCE9DC8">
      <w:pPr>
        <w:spacing w:line="420" w:lineRule="exact"/>
        <w:ind w:firstLine="488"/>
        <w:jc w:val="left"/>
        <w:outlineLvl w:val="2"/>
        <w:rPr>
          <w:rFonts w:hint="default" w:eastAsia="宋体"/>
          <w:b w:val="0"/>
          <w:bCs w:val="0"/>
          <w:color w:val="auto"/>
          <w:highlight w:val="none"/>
          <w:lang w:val="en-US" w:eastAsia="zh-CN"/>
        </w:rPr>
      </w:pPr>
      <w:r>
        <w:rPr>
          <w:rFonts w:hint="eastAsia" w:eastAsia="宋体"/>
          <w:b w:val="0"/>
          <w:bCs w:val="0"/>
          <w:color w:val="auto"/>
          <w:highlight w:val="none"/>
          <w:lang w:val="en-US" w:eastAsia="zh-CN"/>
        </w:rPr>
        <w:t>10.其它需要提交的资格性要求证明材料。</w:t>
      </w:r>
    </w:p>
    <w:p w14:paraId="0F20A56D">
      <w:pPr>
        <w:spacing w:line="420" w:lineRule="exact"/>
        <w:ind w:firstLine="488"/>
        <w:jc w:val="left"/>
        <w:outlineLvl w:val="2"/>
        <w:rPr>
          <w:rFonts w:eastAsia="宋体"/>
          <w:b/>
          <w:bCs/>
          <w:color w:val="auto"/>
          <w:highlight w:val="none"/>
        </w:rPr>
      </w:pPr>
      <w:r>
        <w:rPr>
          <w:rFonts w:hint="eastAsia" w:eastAsia="宋体"/>
          <w:b/>
          <w:bCs/>
          <w:color w:val="auto"/>
          <w:highlight w:val="none"/>
        </w:rPr>
        <w:t>（二）落实政府采购政策需满足的要求</w:t>
      </w:r>
    </w:p>
    <w:p w14:paraId="31FFA3B8">
      <w:pPr>
        <w:spacing w:line="420" w:lineRule="exact"/>
        <w:ind w:firstLine="485"/>
        <w:jc w:val="left"/>
        <w:rPr>
          <w:rFonts w:eastAsia="宋体"/>
          <w:color w:val="auto"/>
          <w:highlight w:val="none"/>
        </w:rPr>
      </w:pPr>
      <w:r>
        <w:rPr>
          <w:rFonts w:hint="eastAsia" w:eastAsia="宋体"/>
          <w:color w:val="auto"/>
          <w:highlight w:val="none"/>
        </w:rPr>
        <w:t>1.中小微企业声明函（</w:t>
      </w:r>
      <w:bookmarkStart w:id="175" w:name="_Hlk183456758"/>
      <w:r>
        <w:rPr>
          <w:rFonts w:hint="eastAsia" w:eastAsia="宋体"/>
          <w:color w:val="auto"/>
          <w:highlight w:val="none"/>
        </w:rPr>
        <w:t>本项目专门面向中小微型企业采购</w:t>
      </w:r>
      <w:bookmarkEnd w:id="175"/>
      <w:r>
        <w:rPr>
          <w:rFonts w:hint="eastAsia" w:eastAsia="宋体"/>
          <w:color w:val="auto"/>
          <w:highlight w:val="none"/>
        </w:rPr>
        <w:t>，必须提供。</w:t>
      </w:r>
      <w:r>
        <w:rPr>
          <w:rFonts w:hint="eastAsia" w:eastAsia="宋体"/>
          <w:b/>
          <w:bCs/>
          <w:color w:val="auto"/>
          <w:highlight w:val="none"/>
        </w:rPr>
        <w:t>格式见附件8</w:t>
      </w:r>
      <w:r>
        <w:rPr>
          <w:rFonts w:hint="eastAsia" w:eastAsia="宋体"/>
          <w:color w:val="auto"/>
          <w:highlight w:val="none"/>
        </w:rPr>
        <w:t>）。</w:t>
      </w:r>
    </w:p>
    <w:p w14:paraId="0EE6A70E">
      <w:pPr>
        <w:spacing w:line="420" w:lineRule="exact"/>
        <w:ind w:firstLine="485"/>
        <w:jc w:val="left"/>
        <w:rPr>
          <w:rFonts w:eastAsia="宋体"/>
          <w:color w:val="auto"/>
          <w:highlight w:val="none"/>
        </w:rPr>
      </w:pPr>
      <w:r>
        <w:rPr>
          <w:rFonts w:hint="eastAsia" w:eastAsia="宋体"/>
          <w:color w:val="auto"/>
          <w:highlight w:val="none"/>
        </w:rPr>
        <w:t>2.残疾人福利性单位声明函（本项目专门面向中小微型企业采购，供应商为残疾人福利性单位并提供本单位服务的，则必须提供。</w:t>
      </w:r>
      <w:r>
        <w:rPr>
          <w:rFonts w:hint="eastAsia" w:eastAsia="宋体"/>
          <w:b/>
          <w:bCs/>
          <w:color w:val="auto"/>
          <w:highlight w:val="none"/>
        </w:rPr>
        <w:t>格式见附件9</w:t>
      </w:r>
      <w:r>
        <w:rPr>
          <w:rFonts w:hint="eastAsia" w:eastAsia="宋体"/>
          <w:color w:val="auto"/>
          <w:highlight w:val="none"/>
        </w:rPr>
        <w:t>）。</w:t>
      </w:r>
    </w:p>
    <w:p w14:paraId="30EB3E57">
      <w:pPr>
        <w:spacing w:line="420" w:lineRule="exact"/>
        <w:ind w:firstLine="488"/>
        <w:jc w:val="left"/>
        <w:outlineLvl w:val="2"/>
        <w:rPr>
          <w:rFonts w:eastAsia="宋体"/>
          <w:b/>
          <w:bCs/>
          <w:color w:val="auto"/>
          <w:highlight w:val="none"/>
        </w:rPr>
      </w:pPr>
      <w:r>
        <w:rPr>
          <w:rFonts w:hint="eastAsia" w:eastAsia="宋体"/>
          <w:b/>
          <w:bCs/>
          <w:color w:val="auto"/>
          <w:highlight w:val="none"/>
        </w:rPr>
        <w:t>（三）特定资格要求</w:t>
      </w:r>
    </w:p>
    <w:bookmarkEnd w:id="171"/>
    <w:bookmarkEnd w:id="172"/>
    <w:p w14:paraId="682EAFDD">
      <w:pPr>
        <w:spacing w:line="420" w:lineRule="exact"/>
        <w:ind w:firstLine="487"/>
        <w:jc w:val="left"/>
        <w:outlineLvl w:val="1"/>
        <w:rPr>
          <w:rFonts w:hint="eastAsia" w:eastAsia="宋体" w:cs="宋体"/>
          <w:b/>
          <w:bCs/>
          <w:color w:val="auto"/>
          <w:highlight w:val="none"/>
        </w:rPr>
      </w:pPr>
      <w:r>
        <w:rPr>
          <w:rFonts w:hint="eastAsia" w:eastAsia="宋体" w:cs="宋体"/>
          <w:b w:val="0"/>
          <w:bCs w:val="0"/>
          <w:color w:val="auto"/>
          <w:highlight w:val="none"/>
          <w:lang w:val="en-US" w:eastAsia="zh-CN"/>
        </w:rPr>
        <w:t>按照本项目特定资格要求提供项目负责人的所有证明材料；并按文件要求填写</w:t>
      </w:r>
      <w:r>
        <w:rPr>
          <w:rFonts w:hint="eastAsia" w:eastAsia="宋体"/>
          <w:color w:val="auto"/>
          <w:highlight w:val="none"/>
        </w:rPr>
        <w:t>拟派项目负责人资格表</w:t>
      </w:r>
      <w:r>
        <w:rPr>
          <w:rFonts w:hint="eastAsia" w:eastAsia="宋体"/>
          <w:b/>
          <w:bCs/>
          <w:color w:val="auto"/>
          <w:highlight w:val="none"/>
        </w:rPr>
        <w:t>（格式见附件4-2）。</w:t>
      </w:r>
    </w:p>
    <w:p w14:paraId="12802328">
      <w:pPr>
        <w:spacing w:line="420" w:lineRule="exact"/>
        <w:ind w:firstLine="487"/>
        <w:jc w:val="left"/>
        <w:outlineLvl w:val="1"/>
        <w:rPr>
          <w:rFonts w:eastAsia="宋体" w:cs="宋体"/>
          <w:b/>
          <w:bCs/>
          <w:color w:val="auto"/>
          <w:highlight w:val="none"/>
        </w:rPr>
      </w:pPr>
      <w:r>
        <w:rPr>
          <w:rFonts w:hint="eastAsia" w:eastAsia="宋体" w:cs="宋体"/>
          <w:b/>
          <w:bCs/>
          <w:color w:val="auto"/>
          <w:highlight w:val="none"/>
        </w:rPr>
        <w:t>四</w:t>
      </w:r>
      <w:r>
        <w:rPr>
          <w:rFonts w:eastAsia="宋体" w:cs="宋体"/>
          <w:b/>
          <w:bCs/>
          <w:color w:val="auto"/>
          <w:highlight w:val="none"/>
        </w:rPr>
        <w:t>、</w:t>
      </w:r>
      <w:r>
        <w:rPr>
          <w:rFonts w:hint="eastAsia" w:eastAsia="宋体" w:cs="宋体"/>
          <w:b/>
          <w:bCs/>
          <w:color w:val="auto"/>
          <w:highlight w:val="none"/>
        </w:rPr>
        <w:t>符合性</w:t>
      </w:r>
      <w:r>
        <w:rPr>
          <w:rFonts w:eastAsia="宋体" w:cs="宋体"/>
          <w:b/>
          <w:bCs/>
          <w:color w:val="auto"/>
          <w:highlight w:val="none"/>
        </w:rPr>
        <w:t>审查内容</w:t>
      </w:r>
    </w:p>
    <w:p w14:paraId="49996160">
      <w:pPr>
        <w:spacing w:line="420" w:lineRule="exact"/>
        <w:ind w:firstLine="488"/>
        <w:jc w:val="left"/>
        <w:outlineLvl w:val="2"/>
        <w:rPr>
          <w:rFonts w:eastAsia="宋体"/>
          <w:b/>
          <w:bCs/>
          <w:color w:val="auto"/>
          <w:highlight w:val="none"/>
        </w:rPr>
      </w:pPr>
      <w:r>
        <w:rPr>
          <w:rFonts w:hint="eastAsia" w:eastAsia="宋体"/>
          <w:b/>
          <w:bCs/>
          <w:color w:val="auto"/>
          <w:highlight w:val="none"/>
        </w:rPr>
        <w:t>（一）报价要求</w:t>
      </w:r>
    </w:p>
    <w:p w14:paraId="09EE1D0E">
      <w:pPr>
        <w:spacing w:line="420" w:lineRule="exact"/>
        <w:ind w:firstLine="485"/>
        <w:jc w:val="left"/>
        <w:rPr>
          <w:rFonts w:eastAsia="宋体"/>
          <w:color w:val="auto"/>
          <w:highlight w:val="none"/>
        </w:rPr>
      </w:pPr>
      <w:r>
        <w:rPr>
          <w:rFonts w:hint="eastAsia" w:eastAsia="宋体"/>
          <w:color w:val="auto"/>
          <w:highlight w:val="none"/>
        </w:rPr>
        <w:t>1.针对本项目须提供符合要求的“报价承诺函”：响应供应商应按照征集文件要求提供 “报价承诺函”</w:t>
      </w:r>
      <w:r>
        <w:rPr>
          <w:rFonts w:hint="eastAsia" w:eastAsia="宋体"/>
          <w:b/>
          <w:bCs/>
          <w:color w:val="auto"/>
          <w:highlight w:val="none"/>
        </w:rPr>
        <w:t>（格式见附件11）</w:t>
      </w:r>
      <w:r>
        <w:rPr>
          <w:rFonts w:hint="eastAsia" w:eastAsia="宋体"/>
          <w:color w:val="auto"/>
          <w:highlight w:val="none"/>
        </w:rPr>
        <w:t>。未提供或提供的内容不符合要求的，视作未实质性响应，作无效响应处理。</w:t>
      </w:r>
    </w:p>
    <w:p w14:paraId="04D62639">
      <w:pPr>
        <w:spacing w:line="420" w:lineRule="exact"/>
        <w:ind w:firstLine="488"/>
        <w:jc w:val="left"/>
        <w:outlineLvl w:val="2"/>
        <w:rPr>
          <w:rFonts w:eastAsia="宋体"/>
          <w:b/>
          <w:bCs/>
          <w:color w:val="auto"/>
          <w:highlight w:val="none"/>
        </w:rPr>
      </w:pPr>
      <w:r>
        <w:rPr>
          <w:rFonts w:hint="eastAsia" w:eastAsia="宋体"/>
          <w:b/>
          <w:bCs/>
          <w:color w:val="auto"/>
          <w:highlight w:val="none"/>
        </w:rPr>
        <w:t>（二）商务要求</w:t>
      </w:r>
    </w:p>
    <w:p w14:paraId="5AF252F5">
      <w:pPr>
        <w:spacing w:line="420" w:lineRule="exact"/>
        <w:ind w:firstLine="485"/>
        <w:jc w:val="left"/>
        <w:rPr>
          <w:rFonts w:eastAsia="宋体"/>
          <w:color w:val="auto"/>
          <w:highlight w:val="none"/>
        </w:rPr>
      </w:pPr>
      <w:r>
        <w:rPr>
          <w:rFonts w:hint="eastAsia" w:eastAsia="宋体"/>
          <w:color w:val="auto"/>
          <w:highlight w:val="none"/>
        </w:rPr>
        <w:t>1.征集活动响应函</w:t>
      </w:r>
      <w:r>
        <w:rPr>
          <w:rFonts w:hint="eastAsia" w:eastAsia="宋体"/>
          <w:b/>
          <w:bCs/>
          <w:color w:val="auto"/>
          <w:highlight w:val="none"/>
        </w:rPr>
        <w:t>（格式见附件12）</w:t>
      </w:r>
      <w:r>
        <w:rPr>
          <w:rFonts w:hint="eastAsia" w:eastAsia="宋体"/>
          <w:color w:val="auto"/>
          <w:highlight w:val="none"/>
        </w:rPr>
        <w:t>。</w:t>
      </w:r>
    </w:p>
    <w:p w14:paraId="2DC4B9DE">
      <w:pPr>
        <w:spacing w:line="420" w:lineRule="exact"/>
        <w:ind w:firstLine="485"/>
        <w:jc w:val="left"/>
        <w:rPr>
          <w:rFonts w:eastAsia="宋体"/>
          <w:color w:val="auto"/>
          <w:highlight w:val="none"/>
        </w:rPr>
      </w:pPr>
      <w:r>
        <w:rPr>
          <w:rFonts w:hint="eastAsia" w:eastAsia="宋体"/>
          <w:color w:val="auto"/>
          <w:highlight w:val="none"/>
        </w:rPr>
        <w:t>2.针对本项目须提供实质性响应的“商务要求综合应答表”：响应供应商应按照征集文件要求提供</w:t>
      </w:r>
      <w:r>
        <w:rPr>
          <w:rFonts w:hint="eastAsia" w:eastAsia="宋体"/>
          <w:b/>
          <w:bCs/>
          <w:color w:val="auto"/>
          <w:highlight w:val="none"/>
        </w:rPr>
        <w:t>（格式见附件13）</w:t>
      </w:r>
      <w:r>
        <w:rPr>
          <w:rFonts w:hint="eastAsia" w:eastAsia="宋体"/>
          <w:color w:val="auto"/>
          <w:highlight w:val="none"/>
        </w:rPr>
        <w:t>，“应答响应”的结果应当是“完全响应”和仅接受“正偏离”，不接受 “负偏离”或任何“负偏离”意图的表达；表内“应答响应”栏内填具“负偏离”或任何“负偏离”意图表达的，均视作未实质性响应，作无效响应处理。</w:t>
      </w:r>
    </w:p>
    <w:p w14:paraId="7FDA1920">
      <w:pPr>
        <w:spacing w:line="420" w:lineRule="exact"/>
        <w:ind w:firstLine="488"/>
        <w:jc w:val="left"/>
        <w:outlineLvl w:val="2"/>
        <w:rPr>
          <w:rFonts w:eastAsia="宋体"/>
          <w:b/>
          <w:bCs/>
          <w:color w:val="auto"/>
          <w:highlight w:val="none"/>
        </w:rPr>
      </w:pPr>
      <w:r>
        <w:rPr>
          <w:rFonts w:hint="eastAsia" w:eastAsia="宋体"/>
          <w:b/>
          <w:bCs/>
          <w:color w:val="auto"/>
          <w:highlight w:val="none"/>
        </w:rPr>
        <w:t>（三）技术要求</w:t>
      </w:r>
    </w:p>
    <w:p w14:paraId="207A5138">
      <w:pPr>
        <w:spacing w:line="420" w:lineRule="exact"/>
        <w:ind w:firstLine="485"/>
        <w:jc w:val="left"/>
        <w:rPr>
          <w:rFonts w:eastAsia="宋体"/>
          <w:color w:val="auto"/>
          <w:highlight w:val="none"/>
        </w:rPr>
      </w:pPr>
      <w:r>
        <w:rPr>
          <w:rFonts w:hint="eastAsia" w:eastAsia="宋体"/>
          <w:color w:val="auto"/>
          <w:highlight w:val="none"/>
        </w:rPr>
        <w:t>1.针对本项目须提供实质性响应的“技术要求综合应答表”：响应供应商应按照征集文件要求提供</w:t>
      </w:r>
      <w:r>
        <w:rPr>
          <w:rFonts w:hint="eastAsia" w:eastAsia="宋体"/>
          <w:b/>
          <w:bCs/>
          <w:color w:val="auto"/>
          <w:highlight w:val="none"/>
        </w:rPr>
        <w:t>（格式见附件14）</w:t>
      </w:r>
      <w:r>
        <w:rPr>
          <w:rFonts w:hint="eastAsia" w:eastAsia="宋体"/>
          <w:color w:val="auto"/>
          <w:highlight w:val="none"/>
        </w:rPr>
        <w:t>，“应答响应”的结果应当是“完全响应”和仅接受“正偏离”，不接受 “负偏离”或任何“负偏离”意图的表达；表内“应答响应”栏内填具“负偏离”或任何“负偏离”意图表达的，均视作未实质性响应，作无效响应处理。</w:t>
      </w:r>
    </w:p>
    <w:p w14:paraId="15DF79F8">
      <w:pPr>
        <w:spacing w:line="420" w:lineRule="exact"/>
        <w:ind w:firstLine="487"/>
        <w:jc w:val="left"/>
        <w:outlineLvl w:val="1"/>
        <w:rPr>
          <w:rFonts w:eastAsia="宋体" w:cs="宋体"/>
          <w:b/>
          <w:bCs/>
          <w:color w:val="auto"/>
          <w:highlight w:val="none"/>
        </w:rPr>
      </w:pPr>
      <w:r>
        <w:rPr>
          <w:rFonts w:hint="eastAsia" w:eastAsia="宋体" w:cs="宋体"/>
          <w:b/>
          <w:bCs/>
          <w:color w:val="auto"/>
          <w:highlight w:val="none"/>
        </w:rPr>
        <w:t>五、技术、商务文件</w:t>
      </w:r>
    </w:p>
    <w:p w14:paraId="1782B096">
      <w:pPr>
        <w:spacing w:line="420" w:lineRule="exact"/>
        <w:ind w:firstLine="485"/>
        <w:jc w:val="left"/>
        <w:rPr>
          <w:rFonts w:eastAsia="宋体"/>
          <w:color w:val="auto"/>
          <w:highlight w:val="none"/>
        </w:rPr>
      </w:pPr>
      <w:r>
        <w:rPr>
          <w:rFonts w:hint="eastAsia" w:eastAsia="宋体"/>
          <w:color w:val="auto"/>
          <w:highlight w:val="none"/>
        </w:rPr>
        <w:t>1.技术评分标准中需提供的相关得分佐证材料。</w:t>
      </w:r>
    </w:p>
    <w:p w14:paraId="6BA0AEF0">
      <w:pPr>
        <w:spacing w:line="420" w:lineRule="exact"/>
        <w:ind w:firstLine="485"/>
        <w:jc w:val="left"/>
        <w:rPr>
          <w:rFonts w:eastAsia="宋体"/>
          <w:color w:val="auto"/>
          <w:highlight w:val="none"/>
        </w:rPr>
      </w:pPr>
      <w:r>
        <w:rPr>
          <w:rFonts w:hint="eastAsia" w:eastAsia="宋体"/>
          <w:color w:val="auto"/>
          <w:highlight w:val="none"/>
        </w:rPr>
        <w:t>2.商务评分标准中需提供的相关得分佐证材料。</w:t>
      </w:r>
    </w:p>
    <w:p w14:paraId="7FE6372D">
      <w:pPr>
        <w:spacing w:line="420" w:lineRule="exact"/>
        <w:ind w:firstLine="485"/>
        <w:jc w:val="left"/>
        <w:rPr>
          <w:rFonts w:eastAsia="宋体"/>
          <w:color w:val="auto"/>
          <w:highlight w:val="none"/>
        </w:rPr>
      </w:pPr>
      <w:r>
        <w:rPr>
          <w:rFonts w:hint="eastAsia" w:eastAsia="宋体"/>
          <w:color w:val="auto"/>
          <w:highlight w:val="none"/>
        </w:rPr>
        <w:t>包含但不限于：</w:t>
      </w:r>
    </w:p>
    <w:p w14:paraId="2D1F8AC7">
      <w:pPr>
        <w:spacing w:line="420" w:lineRule="exact"/>
        <w:ind w:firstLine="485"/>
        <w:jc w:val="left"/>
        <w:rPr>
          <w:rFonts w:eastAsia="宋体"/>
          <w:color w:val="auto"/>
          <w:highlight w:val="none"/>
        </w:rPr>
      </w:pPr>
      <w:r>
        <w:rPr>
          <w:rFonts w:hint="eastAsia" w:eastAsia="宋体"/>
          <w:color w:val="auto"/>
          <w:highlight w:val="none"/>
        </w:rPr>
        <w:t>（1）</w:t>
      </w:r>
      <w:r>
        <w:rPr>
          <w:rFonts w:hint="eastAsia" w:eastAsia="宋体"/>
          <w:color w:val="auto"/>
          <w:highlight w:val="none"/>
          <w:lang w:val="en-US" w:eastAsia="zh-CN"/>
        </w:rPr>
        <w:t>企业业绩</w:t>
      </w:r>
      <w:r>
        <w:rPr>
          <w:rFonts w:hint="eastAsia" w:eastAsia="宋体"/>
          <w:color w:val="auto"/>
          <w:highlight w:val="none"/>
        </w:rPr>
        <w:t>一览表；</w:t>
      </w:r>
      <w:r>
        <w:rPr>
          <w:rFonts w:hint="eastAsia" w:eastAsia="宋体"/>
          <w:b/>
          <w:bCs/>
          <w:color w:val="auto"/>
          <w:highlight w:val="none"/>
        </w:rPr>
        <w:t>（格式见附件15）</w:t>
      </w:r>
    </w:p>
    <w:p w14:paraId="64B20653">
      <w:pPr>
        <w:spacing w:line="420" w:lineRule="exact"/>
        <w:ind w:firstLine="485"/>
        <w:jc w:val="left"/>
        <w:rPr>
          <w:rFonts w:eastAsia="宋体"/>
          <w:color w:val="auto"/>
          <w:highlight w:val="none"/>
        </w:rPr>
      </w:pPr>
      <w:r>
        <w:rPr>
          <w:rFonts w:hint="eastAsia" w:eastAsia="宋体"/>
          <w:color w:val="auto"/>
          <w:highlight w:val="none"/>
        </w:rPr>
        <w:t>（2）</w:t>
      </w:r>
      <w:r>
        <w:rPr>
          <w:rFonts w:hint="eastAsia" w:eastAsia="宋体"/>
          <w:color w:val="auto"/>
          <w:highlight w:val="none"/>
          <w:lang w:val="en-US" w:eastAsia="zh-CN"/>
        </w:rPr>
        <w:t>人员配备</w:t>
      </w:r>
      <w:r>
        <w:rPr>
          <w:rFonts w:hint="eastAsia" w:eastAsia="宋体"/>
          <w:color w:val="auto"/>
          <w:highlight w:val="none"/>
        </w:rPr>
        <w:t>一览表；</w:t>
      </w:r>
      <w:r>
        <w:rPr>
          <w:rFonts w:hint="eastAsia" w:eastAsia="宋体"/>
          <w:b/>
          <w:bCs/>
          <w:color w:val="auto"/>
          <w:highlight w:val="none"/>
        </w:rPr>
        <w:t>（格式见附件16）</w:t>
      </w:r>
    </w:p>
    <w:p w14:paraId="2D9DF911">
      <w:pPr>
        <w:spacing w:line="420" w:lineRule="exact"/>
        <w:ind w:firstLine="485"/>
        <w:jc w:val="left"/>
        <w:rPr>
          <w:rFonts w:eastAsia="宋体"/>
          <w:dstrike/>
          <w:color w:val="auto"/>
          <w:highlight w:val="none"/>
        </w:rPr>
      </w:pPr>
      <w:r>
        <w:rPr>
          <w:rFonts w:hint="eastAsia" w:eastAsia="宋体"/>
          <w:color w:val="auto"/>
          <w:highlight w:val="none"/>
        </w:rPr>
        <w:t>（3）</w:t>
      </w:r>
      <w:r>
        <w:rPr>
          <w:rFonts w:hint="eastAsia" w:eastAsia="宋体"/>
          <w:color w:val="auto"/>
          <w:highlight w:val="none"/>
          <w:lang w:val="en-US" w:eastAsia="zh-CN"/>
        </w:rPr>
        <w:t>人员业绩</w:t>
      </w:r>
      <w:r>
        <w:rPr>
          <w:rFonts w:hint="eastAsia" w:eastAsia="宋体"/>
          <w:color w:val="auto"/>
          <w:highlight w:val="none"/>
        </w:rPr>
        <w:t>一览表；</w:t>
      </w:r>
      <w:r>
        <w:rPr>
          <w:rFonts w:hint="eastAsia" w:eastAsia="宋体"/>
          <w:b/>
          <w:bCs/>
          <w:color w:val="auto"/>
          <w:highlight w:val="none"/>
        </w:rPr>
        <w:t>（格式见附件17）</w:t>
      </w:r>
    </w:p>
    <w:p w14:paraId="1E5CB3AF">
      <w:pPr>
        <w:spacing w:line="420" w:lineRule="exact"/>
        <w:ind w:firstLine="485"/>
        <w:jc w:val="left"/>
        <w:rPr>
          <w:rFonts w:eastAsia="宋体"/>
          <w:color w:val="auto"/>
          <w:highlight w:val="none"/>
        </w:rPr>
      </w:pPr>
      <w:r>
        <w:rPr>
          <w:rFonts w:hint="eastAsia" w:eastAsia="宋体"/>
          <w:color w:val="auto"/>
          <w:highlight w:val="none"/>
        </w:rPr>
        <w:t>（4）服务响应承诺</w:t>
      </w:r>
      <w:bookmarkStart w:id="199" w:name="_GoBack"/>
      <w:bookmarkEnd w:id="199"/>
      <w:r>
        <w:rPr>
          <w:rFonts w:hint="eastAsia" w:eastAsia="宋体"/>
          <w:color w:val="auto"/>
          <w:highlight w:val="none"/>
        </w:rPr>
        <w:t>；</w:t>
      </w:r>
      <w:r>
        <w:rPr>
          <w:rFonts w:hint="eastAsia" w:eastAsia="宋体"/>
          <w:b/>
          <w:bCs/>
          <w:color w:val="auto"/>
          <w:highlight w:val="none"/>
        </w:rPr>
        <w:t>（格式见附件18）</w:t>
      </w:r>
    </w:p>
    <w:p w14:paraId="7DE8F410">
      <w:pPr>
        <w:spacing w:line="420" w:lineRule="exact"/>
        <w:ind w:firstLine="485"/>
        <w:jc w:val="left"/>
        <w:rPr>
          <w:rFonts w:eastAsia="宋体"/>
          <w:b/>
          <w:bCs/>
          <w:color w:val="auto"/>
          <w:highlight w:val="none"/>
        </w:rPr>
      </w:pPr>
      <w:r>
        <w:rPr>
          <w:rFonts w:hint="eastAsia" w:eastAsia="宋体"/>
          <w:b/>
          <w:bCs/>
          <w:color w:val="auto"/>
          <w:highlight w:val="none"/>
        </w:rPr>
        <w:t>注：</w:t>
      </w:r>
    </w:p>
    <w:p w14:paraId="7AC00F71">
      <w:pPr>
        <w:spacing w:line="420" w:lineRule="exact"/>
        <w:ind w:firstLine="485"/>
        <w:jc w:val="left"/>
        <w:rPr>
          <w:rFonts w:eastAsia="宋体"/>
          <w:color w:val="auto"/>
          <w:highlight w:val="none"/>
        </w:rPr>
      </w:pPr>
      <w:r>
        <w:rPr>
          <w:rFonts w:hint="eastAsia" w:eastAsia="宋体"/>
          <w:color w:val="auto"/>
          <w:highlight w:val="none"/>
        </w:rPr>
        <w:t>请供应商根据评分标准制作评分索引并放在评审内容的前面，如涉及系统内按章节节点分别上传对应内容的，请在每部分前放置评分索引。</w:t>
      </w:r>
    </w:p>
    <w:p w14:paraId="7F623F86">
      <w:pPr>
        <w:spacing w:line="420" w:lineRule="exact"/>
        <w:ind w:firstLine="485"/>
        <w:jc w:val="left"/>
        <w:rPr>
          <w:rFonts w:eastAsia="宋体"/>
          <w:color w:val="auto"/>
          <w:highlight w:val="none"/>
        </w:rPr>
      </w:pPr>
      <w:r>
        <w:rPr>
          <w:rFonts w:hint="eastAsia" w:eastAsia="宋体"/>
          <w:color w:val="auto"/>
          <w:highlight w:val="none"/>
        </w:rPr>
        <w:t>评分索引中应标明每个评分项目的页码范围。</w:t>
      </w:r>
    </w:p>
    <w:p w14:paraId="3715E467">
      <w:pPr>
        <w:spacing w:line="420" w:lineRule="exact"/>
        <w:ind w:firstLine="485"/>
        <w:jc w:val="left"/>
        <w:rPr>
          <w:rFonts w:eastAsia="宋体"/>
          <w:color w:val="auto"/>
          <w:highlight w:val="none"/>
        </w:rPr>
      </w:pPr>
      <w:r>
        <w:rPr>
          <w:rFonts w:hint="eastAsia" w:eastAsia="宋体"/>
          <w:color w:val="auto"/>
          <w:highlight w:val="none"/>
        </w:rPr>
        <w:t>如征集响应文件内容顺序混乱，导致评委无法查看，后果自负。</w:t>
      </w:r>
    </w:p>
    <w:p w14:paraId="52BE6B0C">
      <w:pPr>
        <w:spacing w:line="420" w:lineRule="exact"/>
        <w:ind w:firstLine="487"/>
        <w:jc w:val="left"/>
        <w:outlineLvl w:val="1"/>
        <w:rPr>
          <w:rFonts w:eastAsia="宋体" w:cs="宋体"/>
          <w:b/>
          <w:bCs/>
          <w:color w:val="auto"/>
          <w:highlight w:val="none"/>
        </w:rPr>
        <w:sectPr>
          <w:pgSz w:w="11906" w:h="16838"/>
          <w:pgMar w:top="851" w:right="851" w:bottom="851" w:left="1134" w:header="567" w:footer="471" w:gutter="0"/>
          <w:cols w:space="425" w:num="1"/>
          <w:docGrid w:linePitch="360" w:charSpace="0"/>
        </w:sectPr>
      </w:pPr>
    </w:p>
    <w:p w14:paraId="07FC8818">
      <w:pPr>
        <w:spacing w:line="420" w:lineRule="exact"/>
        <w:ind w:firstLine="487"/>
        <w:jc w:val="left"/>
        <w:outlineLvl w:val="1"/>
        <w:rPr>
          <w:rFonts w:eastAsia="宋体" w:cs="宋体"/>
          <w:b/>
          <w:bCs/>
          <w:color w:val="auto"/>
          <w:highlight w:val="none"/>
        </w:rPr>
      </w:pPr>
      <w:r>
        <w:rPr>
          <w:rFonts w:hint="eastAsia" w:eastAsia="宋体" w:cs="宋体"/>
          <w:b/>
          <w:bCs/>
          <w:color w:val="auto"/>
          <w:highlight w:val="none"/>
        </w:rPr>
        <w:t>七、响应文件格式</w:t>
      </w:r>
    </w:p>
    <w:p w14:paraId="4FF1367C">
      <w:pPr>
        <w:spacing w:line="420" w:lineRule="exact"/>
        <w:ind w:firstLine="488"/>
        <w:jc w:val="left"/>
        <w:outlineLvl w:val="2"/>
        <w:rPr>
          <w:rFonts w:eastAsia="宋体" w:cs="宋体"/>
          <w:b/>
          <w:bCs/>
          <w:color w:val="auto"/>
          <w:highlight w:val="none"/>
        </w:rPr>
      </w:pPr>
      <w:r>
        <w:rPr>
          <w:rFonts w:hint="eastAsia" w:eastAsia="宋体" w:cs="宋体"/>
          <w:b/>
          <w:bCs/>
          <w:color w:val="auto"/>
          <w:highlight w:val="none"/>
        </w:rPr>
        <w:t>（一）响应文件封面</w:t>
      </w:r>
    </w:p>
    <w:p w14:paraId="5350E0B3">
      <w:pPr>
        <w:spacing w:line="420" w:lineRule="exact"/>
        <w:ind w:firstLine="488"/>
        <w:jc w:val="left"/>
        <w:rPr>
          <w:rFonts w:eastAsia="宋体" w:cs="宋体"/>
          <w:color w:val="auto"/>
          <w:highlight w:val="none"/>
        </w:rPr>
      </w:pPr>
    </w:p>
    <w:p w14:paraId="627CE87A">
      <w:pPr>
        <w:jc w:val="center"/>
        <w:rPr>
          <w:rFonts w:ascii="宋体" w:hAnsi="宋体" w:eastAsia="宋体"/>
          <w:b/>
          <w:color w:val="auto"/>
          <w:sz w:val="72"/>
          <w:szCs w:val="21"/>
          <w:highlight w:val="none"/>
        </w:rPr>
      </w:pPr>
    </w:p>
    <w:p w14:paraId="61013CD1">
      <w:pPr>
        <w:jc w:val="center"/>
        <w:rPr>
          <w:rFonts w:ascii="宋体" w:hAnsi="宋体" w:eastAsia="宋体"/>
          <w:b/>
          <w:color w:val="auto"/>
          <w:sz w:val="72"/>
          <w:szCs w:val="21"/>
          <w:highlight w:val="none"/>
        </w:rPr>
      </w:pPr>
      <w:r>
        <w:rPr>
          <w:rFonts w:hint="eastAsia" w:ascii="宋体" w:hAnsi="宋体" w:eastAsia="宋体"/>
          <w:b/>
          <w:color w:val="auto"/>
          <w:sz w:val="72"/>
          <w:szCs w:val="21"/>
          <w:highlight w:val="none"/>
        </w:rPr>
        <w:t>响  应  文  件</w:t>
      </w:r>
    </w:p>
    <w:p w14:paraId="0A9B2DBE">
      <w:pPr>
        <w:jc w:val="center"/>
        <w:rPr>
          <w:rFonts w:ascii="宋体" w:hAnsi="宋体" w:eastAsia="宋体"/>
          <w:b/>
          <w:color w:val="auto"/>
          <w:sz w:val="72"/>
          <w:szCs w:val="21"/>
          <w:highlight w:val="none"/>
        </w:rPr>
      </w:pPr>
    </w:p>
    <w:p w14:paraId="3DFEF54A">
      <w:pPr>
        <w:jc w:val="center"/>
        <w:rPr>
          <w:rFonts w:ascii="宋体" w:hAnsi="宋体" w:eastAsia="宋体"/>
          <w:b/>
          <w:color w:val="auto"/>
          <w:sz w:val="72"/>
          <w:szCs w:val="21"/>
          <w:highlight w:val="none"/>
        </w:rPr>
      </w:pPr>
    </w:p>
    <w:p w14:paraId="0AEF6CFF">
      <w:pPr>
        <w:jc w:val="center"/>
        <w:rPr>
          <w:rFonts w:ascii="宋体" w:hAnsi="宋体" w:eastAsia="宋体"/>
          <w:b/>
          <w:color w:val="auto"/>
          <w:sz w:val="36"/>
          <w:szCs w:val="21"/>
          <w:highlight w:val="none"/>
        </w:rPr>
      </w:pPr>
    </w:p>
    <w:p w14:paraId="3CBA31F7">
      <w:pPr>
        <w:jc w:val="center"/>
        <w:rPr>
          <w:rFonts w:ascii="宋体" w:hAnsi="宋体" w:eastAsia="宋体"/>
          <w:b/>
          <w:color w:val="auto"/>
          <w:sz w:val="36"/>
          <w:szCs w:val="21"/>
          <w:highlight w:val="none"/>
        </w:rPr>
      </w:pPr>
    </w:p>
    <w:p w14:paraId="43BEB652">
      <w:pPr>
        <w:jc w:val="center"/>
        <w:rPr>
          <w:rFonts w:ascii="宋体" w:hAnsi="宋体" w:eastAsia="宋体"/>
          <w:b/>
          <w:color w:val="auto"/>
          <w:sz w:val="36"/>
          <w:szCs w:val="21"/>
          <w:highlight w:val="none"/>
        </w:rPr>
      </w:pPr>
    </w:p>
    <w:p w14:paraId="0B4572FE">
      <w:pPr>
        <w:ind w:firstLine="1084"/>
        <w:rPr>
          <w:rFonts w:ascii="宋体" w:hAnsi="宋体" w:eastAsia="宋体"/>
          <w:b/>
          <w:color w:val="auto"/>
          <w:sz w:val="36"/>
          <w:szCs w:val="21"/>
          <w:highlight w:val="none"/>
        </w:rPr>
      </w:pPr>
      <w:r>
        <w:rPr>
          <w:rFonts w:hint="eastAsia" w:ascii="宋体" w:hAnsi="宋体" w:eastAsia="宋体"/>
          <w:b/>
          <w:color w:val="auto"/>
          <w:sz w:val="36"/>
          <w:szCs w:val="21"/>
          <w:highlight w:val="none"/>
        </w:rPr>
        <w:t>项 目 名 称：</w:t>
      </w:r>
    </w:p>
    <w:p w14:paraId="762078ED">
      <w:pPr>
        <w:ind w:firstLine="1084"/>
        <w:rPr>
          <w:rFonts w:ascii="宋体" w:hAnsi="宋体" w:eastAsia="宋体"/>
          <w:b/>
          <w:color w:val="auto"/>
          <w:sz w:val="36"/>
          <w:szCs w:val="21"/>
          <w:highlight w:val="none"/>
          <w:u w:val="single"/>
        </w:rPr>
      </w:pPr>
      <w:r>
        <w:rPr>
          <w:rFonts w:hint="eastAsia" w:ascii="宋体" w:hAnsi="宋体" w:eastAsia="宋体"/>
          <w:b/>
          <w:color w:val="auto"/>
          <w:sz w:val="36"/>
          <w:szCs w:val="21"/>
          <w:highlight w:val="none"/>
        </w:rPr>
        <w:t>项 目 编 号：</w:t>
      </w:r>
    </w:p>
    <w:p w14:paraId="6D36E9BC">
      <w:pPr>
        <w:rPr>
          <w:rFonts w:ascii="宋体" w:hAnsi="宋体" w:eastAsia="宋体"/>
          <w:b/>
          <w:color w:val="auto"/>
          <w:sz w:val="36"/>
          <w:szCs w:val="21"/>
          <w:highlight w:val="none"/>
          <w:u w:val="single"/>
        </w:rPr>
      </w:pPr>
      <w:r>
        <w:rPr>
          <w:rFonts w:hint="eastAsia" w:ascii="宋体" w:hAnsi="宋体" w:eastAsia="宋体"/>
          <w:b/>
          <w:color w:val="auto"/>
          <w:sz w:val="36"/>
          <w:szCs w:val="21"/>
          <w:highlight w:val="none"/>
        </w:rPr>
        <w:t xml:space="preserve">      供应商名称 ：</w:t>
      </w:r>
      <w:r>
        <w:rPr>
          <w:rFonts w:hint="eastAsia" w:ascii="宋体" w:hAnsi="宋体" w:eastAsia="宋体"/>
          <w:b/>
          <w:color w:val="auto"/>
          <w:sz w:val="36"/>
          <w:szCs w:val="21"/>
          <w:highlight w:val="none"/>
          <w:u w:val="single"/>
        </w:rPr>
        <w:t>（加盖CA电子公章）</w:t>
      </w:r>
    </w:p>
    <w:p w14:paraId="6D535961">
      <w:pPr>
        <w:rPr>
          <w:rFonts w:ascii="宋体" w:hAnsi="宋体" w:eastAsia="宋体"/>
          <w:b/>
          <w:color w:val="auto"/>
          <w:sz w:val="36"/>
          <w:szCs w:val="21"/>
          <w:highlight w:val="none"/>
          <w:u w:val="single"/>
        </w:rPr>
      </w:pPr>
      <w:r>
        <w:rPr>
          <w:rFonts w:hint="eastAsia" w:ascii="宋体" w:hAnsi="宋体" w:eastAsia="宋体"/>
          <w:b/>
          <w:color w:val="auto"/>
          <w:sz w:val="36"/>
          <w:szCs w:val="21"/>
          <w:highlight w:val="none"/>
        </w:rPr>
        <w:t xml:space="preserve">      日      期 ：</w:t>
      </w:r>
    </w:p>
    <w:p w14:paraId="50C8D645">
      <w:pPr>
        <w:spacing w:line="420" w:lineRule="exact"/>
        <w:ind w:firstLine="487"/>
        <w:jc w:val="left"/>
        <w:outlineLvl w:val="1"/>
        <w:rPr>
          <w:rFonts w:eastAsia="宋体" w:cs="宋体"/>
          <w:b/>
          <w:bCs/>
          <w:color w:val="auto"/>
          <w:highlight w:val="none"/>
        </w:rPr>
        <w:sectPr>
          <w:pgSz w:w="11906" w:h="16838"/>
          <w:pgMar w:top="851" w:right="851" w:bottom="851" w:left="1134" w:header="567" w:footer="454" w:gutter="0"/>
          <w:cols w:space="425" w:num="1"/>
          <w:docGrid w:linePitch="360" w:charSpace="0"/>
        </w:sectPr>
      </w:pPr>
    </w:p>
    <w:p w14:paraId="260C7319">
      <w:pPr>
        <w:spacing w:line="420" w:lineRule="exact"/>
        <w:ind w:firstLine="488"/>
        <w:jc w:val="left"/>
        <w:outlineLvl w:val="2"/>
        <w:rPr>
          <w:rFonts w:eastAsia="宋体" w:cs="宋体"/>
          <w:b/>
          <w:bCs/>
          <w:color w:val="auto"/>
          <w:highlight w:val="none"/>
        </w:rPr>
      </w:pPr>
      <w:r>
        <w:rPr>
          <w:rFonts w:hint="eastAsia" w:eastAsia="宋体" w:cs="宋体"/>
          <w:b/>
          <w:bCs/>
          <w:color w:val="auto"/>
          <w:highlight w:val="none"/>
        </w:rPr>
        <w:t>（二）附件</w:t>
      </w:r>
    </w:p>
    <w:p w14:paraId="075A3E4B">
      <w:pPr>
        <w:spacing w:line="420" w:lineRule="exact"/>
        <w:ind w:firstLine="567"/>
        <w:jc w:val="left"/>
        <w:outlineLvl w:val="3"/>
        <w:rPr>
          <w:rFonts w:eastAsia="宋体" w:cs="宋体"/>
          <w:b/>
          <w:bCs/>
          <w:color w:val="auto"/>
          <w:highlight w:val="none"/>
        </w:rPr>
      </w:pPr>
      <w:r>
        <w:rPr>
          <w:rFonts w:hint="eastAsia" w:eastAsia="宋体" w:cs="宋体"/>
          <w:b/>
          <w:bCs/>
          <w:color w:val="auto"/>
          <w:highlight w:val="none"/>
        </w:rPr>
        <w:t>附件1 目录</w:t>
      </w:r>
    </w:p>
    <w:p w14:paraId="223CC8B9">
      <w:pPr>
        <w:spacing w:before="240" w:after="240" w:line="420" w:lineRule="exact"/>
        <w:jc w:val="center"/>
        <w:rPr>
          <w:rFonts w:eastAsia="宋体" w:cs="宋体"/>
          <w:b/>
          <w:bCs/>
          <w:color w:val="auto"/>
          <w:sz w:val="28"/>
          <w:szCs w:val="28"/>
          <w:highlight w:val="none"/>
        </w:rPr>
      </w:pPr>
      <w:bookmarkStart w:id="176" w:name="_Hlk183992565"/>
      <w:r>
        <w:rPr>
          <w:rFonts w:hint="eastAsia" w:eastAsia="宋体" w:cs="宋体"/>
          <w:b/>
          <w:bCs/>
          <w:color w:val="auto"/>
          <w:sz w:val="28"/>
          <w:szCs w:val="28"/>
          <w:highlight w:val="none"/>
        </w:rPr>
        <w:t>目 录</w:t>
      </w:r>
    </w:p>
    <w:p w14:paraId="42CD936C">
      <w:pPr>
        <w:spacing w:line="420" w:lineRule="exact"/>
        <w:ind w:firstLine="567"/>
        <w:jc w:val="left"/>
        <w:rPr>
          <w:rFonts w:eastAsia="宋体" w:cs="宋体"/>
          <w:b/>
          <w:bCs/>
          <w:color w:val="auto"/>
          <w:highlight w:val="none"/>
        </w:rPr>
      </w:pPr>
      <w:r>
        <w:rPr>
          <w:rFonts w:hint="eastAsia" w:eastAsia="宋体" w:cs="宋体"/>
          <w:b/>
          <w:bCs/>
          <w:color w:val="auto"/>
          <w:highlight w:val="none"/>
        </w:rPr>
        <w:t>一、开标一览表</w:t>
      </w:r>
    </w:p>
    <w:p w14:paraId="50AAFD94">
      <w:pPr>
        <w:spacing w:line="420" w:lineRule="exact"/>
        <w:ind w:firstLine="567"/>
        <w:jc w:val="left"/>
        <w:rPr>
          <w:rFonts w:eastAsia="宋体" w:cs="宋体"/>
          <w:b/>
          <w:bCs/>
          <w:color w:val="auto"/>
          <w:highlight w:val="none"/>
        </w:rPr>
      </w:pPr>
      <w:r>
        <w:rPr>
          <w:rFonts w:hint="eastAsia" w:eastAsia="宋体" w:cs="宋体"/>
          <w:b/>
          <w:bCs/>
          <w:color w:val="auto"/>
          <w:highlight w:val="none"/>
        </w:rPr>
        <w:t>二、资格性要求</w:t>
      </w:r>
    </w:p>
    <w:p w14:paraId="4CC03069">
      <w:pPr>
        <w:spacing w:line="420" w:lineRule="exact"/>
        <w:ind w:firstLine="567"/>
        <w:jc w:val="left"/>
        <w:rPr>
          <w:rFonts w:eastAsia="宋体" w:cs="宋体"/>
          <w:b/>
          <w:bCs/>
          <w:color w:val="auto"/>
          <w:highlight w:val="none"/>
        </w:rPr>
      </w:pPr>
      <w:r>
        <w:rPr>
          <w:rFonts w:hint="eastAsia" w:eastAsia="宋体" w:cs="宋体"/>
          <w:b/>
          <w:bCs/>
          <w:color w:val="auto"/>
          <w:highlight w:val="none"/>
        </w:rPr>
        <w:t>（一）满足《中华人民共和国政府采购法》第二十二条规定的材料</w:t>
      </w:r>
    </w:p>
    <w:p w14:paraId="49817531">
      <w:pPr>
        <w:spacing w:line="420" w:lineRule="exact"/>
        <w:ind w:firstLine="567"/>
        <w:jc w:val="left"/>
        <w:rPr>
          <w:rFonts w:eastAsia="宋体" w:cs="宋体"/>
          <w:color w:val="auto"/>
          <w:highlight w:val="none"/>
        </w:rPr>
      </w:pPr>
      <w:r>
        <w:rPr>
          <w:rFonts w:hint="eastAsia" w:eastAsia="宋体" w:cs="宋体"/>
          <w:color w:val="auto"/>
          <w:highlight w:val="none"/>
        </w:rPr>
        <w:t>1.资格文件的声明函。</w:t>
      </w:r>
    </w:p>
    <w:p w14:paraId="54C93769">
      <w:pPr>
        <w:spacing w:line="420" w:lineRule="exact"/>
        <w:ind w:firstLine="567"/>
        <w:jc w:val="left"/>
        <w:rPr>
          <w:rFonts w:eastAsia="宋体" w:cs="宋体"/>
          <w:color w:val="auto"/>
          <w:highlight w:val="none"/>
        </w:rPr>
      </w:pPr>
      <w:r>
        <w:rPr>
          <w:rFonts w:hint="eastAsia" w:eastAsia="宋体" w:cs="宋体"/>
          <w:color w:val="auto"/>
          <w:highlight w:val="none"/>
        </w:rPr>
        <w:t>2.法人或者其他组织的营业执照等证明文件，自然人的身份证明。</w:t>
      </w:r>
    </w:p>
    <w:p w14:paraId="6C115C96">
      <w:pPr>
        <w:spacing w:line="420" w:lineRule="exact"/>
        <w:ind w:firstLine="567"/>
        <w:jc w:val="left"/>
        <w:rPr>
          <w:rFonts w:eastAsia="宋体" w:cs="宋体"/>
          <w:color w:val="auto"/>
          <w:highlight w:val="none"/>
        </w:rPr>
      </w:pPr>
      <w:r>
        <w:rPr>
          <w:rFonts w:hint="eastAsia" w:eastAsia="宋体" w:cs="宋体"/>
          <w:color w:val="auto"/>
          <w:highlight w:val="none"/>
        </w:rPr>
        <w:t>3.法定代表人身份证明书。</w:t>
      </w:r>
    </w:p>
    <w:p w14:paraId="16547E05">
      <w:pPr>
        <w:spacing w:line="420" w:lineRule="exact"/>
        <w:ind w:firstLine="567"/>
        <w:jc w:val="left"/>
        <w:rPr>
          <w:rFonts w:eastAsia="宋体" w:cs="宋体"/>
          <w:color w:val="auto"/>
          <w:highlight w:val="none"/>
        </w:rPr>
      </w:pPr>
      <w:r>
        <w:rPr>
          <w:rFonts w:hint="eastAsia" w:eastAsia="宋体" w:cs="宋体"/>
          <w:color w:val="auto"/>
          <w:highlight w:val="none"/>
        </w:rPr>
        <w:t>4.法定代表人授权书。</w:t>
      </w:r>
    </w:p>
    <w:p w14:paraId="5ACFD173">
      <w:pPr>
        <w:spacing w:line="420" w:lineRule="exact"/>
        <w:ind w:firstLine="567"/>
        <w:jc w:val="left"/>
        <w:rPr>
          <w:rFonts w:eastAsia="宋体" w:cs="宋体"/>
          <w:color w:val="auto"/>
          <w:highlight w:val="none"/>
        </w:rPr>
      </w:pPr>
      <w:r>
        <w:rPr>
          <w:rFonts w:hint="eastAsia" w:eastAsia="宋体" w:cs="宋体"/>
          <w:color w:val="auto"/>
          <w:highlight w:val="none"/>
        </w:rPr>
        <w:t>5.上一年度（即2024年度）的财务状况“负债表和利润表”（成立不满一年不需提供）。</w:t>
      </w:r>
    </w:p>
    <w:p w14:paraId="2DDB86B1">
      <w:pPr>
        <w:spacing w:line="420" w:lineRule="exact"/>
        <w:ind w:firstLine="567"/>
        <w:jc w:val="left"/>
        <w:rPr>
          <w:rFonts w:eastAsia="宋体" w:cs="宋体"/>
          <w:color w:val="auto"/>
          <w:highlight w:val="none"/>
        </w:rPr>
      </w:pPr>
      <w:r>
        <w:rPr>
          <w:rFonts w:hint="eastAsia" w:eastAsia="宋体" w:cs="宋体"/>
          <w:color w:val="auto"/>
          <w:highlight w:val="none"/>
        </w:rPr>
        <w:t>6.依法缴纳税收和社会保障资金的相关材料。</w:t>
      </w:r>
    </w:p>
    <w:p w14:paraId="30793195">
      <w:pPr>
        <w:spacing w:line="420" w:lineRule="exact"/>
        <w:ind w:firstLine="567"/>
        <w:jc w:val="left"/>
        <w:rPr>
          <w:rFonts w:eastAsia="宋体" w:cs="宋体"/>
          <w:color w:val="auto"/>
          <w:highlight w:val="none"/>
        </w:rPr>
      </w:pPr>
      <w:r>
        <w:rPr>
          <w:rFonts w:hint="eastAsia" w:eastAsia="宋体" w:cs="宋体"/>
          <w:color w:val="auto"/>
          <w:highlight w:val="none"/>
        </w:rPr>
        <w:t>7.具备履行合同所必需的设备和专业技术能力的书面声明。</w:t>
      </w:r>
    </w:p>
    <w:p w14:paraId="3BB58812">
      <w:pPr>
        <w:spacing w:line="420" w:lineRule="exact"/>
        <w:ind w:firstLine="567"/>
        <w:jc w:val="left"/>
        <w:rPr>
          <w:rFonts w:eastAsia="宋体" w:cs="宋体"/>
          <w:color w:val="auto"/>
          <w:highlight w:val="none"/>
        </w:rPr>
      </w:pPr>
      <w:r>
        <w:rPr>
          <w:rFonts w:hint="eastAsia" w:eastAsia="宋体" w:cs="宋体"/>
          <w:color w:val="auto"/>
          <w:highlight w:val="none"/>
        </w:rPr>
        <w:t>8.参加政府采购活动前3年内在经营活动中没有重大违法记录的书面声明。</w:t>
      </w:r>
    </w:p>
    <w:p w14:paraId="1F80351F">
      <w:pPr>
        <w:spacing w:line="420" w:lineRule="exact"/>
        <w:ind w:firstLine="567"/>
        <w:jc w:val="left"/>
        <w:rPr>
          <w:rFonts w:hint="default" w:eastAsia="宋体" w:cs="宋体"/>
          <w:b/>
          <w:bCs/>
          <w:color w:val="auto"/>
          <w:highlight w:val="none"/>
          <w:lang w:val="en-US" w:eastAsia="zh-CN"/>
        </w:rPr>
      </w:pPr>
      <w:r>
        <w:rPr>
          <w:rFonts w:hint="eastAsia" w:eastAsia="宋体" w:cs="宋体"/>
          <w:b/>
          <w:bCs/>
          <w:color w:val="auto"/>
          <w:highlight w:val="none"/>
          <w:lang w:val="en-US" w:eastAsia="zh-CN"/>
        </w:rPr>
        <w:t>9.</w:t>
      </w:r>
      <w:r>
        <w:rPr>
          <w:rFonts w:hint="eastAsia" w:eastAsia="宋体" w:cs="宋体"/>
          <w:color w:val="auto"/>
          <w:highlight w:val="none"/>
        </w:rPr>
        <w:t>未被“信用中国”网站（www.creditchina.gov.cn）列入失信记录的承诺。</w:t>
      </w:r>
    </w:p>
    <w:p w14:paraId="56D8CAC5">
      <w:pPr>
        <w:spacing w:line="420" w:lineRule="exact"/>
        <w:ind w:firstLine="488"/>
        <w:jc w:val="left"/>
        <w:outlineLvl w:val="2"/>
        <w:rPr>
          <w:rFonts w:hint="eastAsia" w:eastAsia="宋体" w:cs="宋体"/>
          <w:b/>
          <w:bCs/>
          <w:color w:val="auto"/>
          <w:highlight w:val="none"/>
        </w:rPr>
      </w:pPr>
      <w:r>
        <w:rPr>
          <w:rFonts w:hint="eastAsia" w:eastAsia="宋体"/>
          <w:b w:val="0"/>
          <w:bCs w:val="0"/>
          <w:color w:val="auto"/>
          <w:highlight w:val="none"/>
          <w:lang w:val="en-US" w:eastAsia="zh-CN"/>
        </w:rPr>
        <w:t>10.其它需要提交的资格性要求证明材料。</w:t>
      </w:r>
    </w:p>
    <w:p w14:paraId="2662F351">
      <w:pPr>
        <w:spacing w:line="420" w:lineRule="exact"/>
        <w:ind w:firstLine="567"/>
        <w:jc w:val="left"/>
        <w:rPr>
          <w:rFonts w:eastAsia="宋体" w:cs="宋体"/>
          <w:b/>
          <w:bCs/>
          <w:color w:val="auto"/>
          <w:highlight w:val="none"/>
        </w:rPr>
      </w:pPr>
      <w:r>
        <w:rPr>
          <w:rFonts w:hint="eastAsia" w:eastAsia="宋体" w:cs="宋体"/>
          <w:b/>
          <w:bCs/>
          <w:color w:val="auto"/>
          <w:highlight w:val="none"/>
        </w:rPr>
        <w:t>（二）落实政府采购政策提供的材料</w:t>
      </w:r>
    </w:p>
    <w:p w14:paraId="56E67AF6">
      <w:pPr>
        <w:spacing w:line="420" w:lineRule="exact"/>
        <w:ind w:firstLine="567"/>
        <w:jc w:val="left"/>
        <w:rPr>
          <w:rFonts w:eastAsia="宋体" w:cs="宋体"/>
          <w:color w:val="auto"/>
          <w:highlight w:val="none"/>
        </w:rPr>
      </w:pPr>
      <w:r>
        <w:rPr>
          <w:rFonts w:hint="eastAsia" w:eastAsia="宋体" w:cs="宋体"/>
          <w:color w:val="auto"/>
          <w:highlight w:val="none"/>
        </w:rPr>
        <w:t>1.中小微企业声明函。</w:t>
      </w:r>
    </w:p>
    <w:p w14:paraId="287C9C57">
      <w:pPr>
        <w:spacing w:line="420" w:lineRule="exact"/>
        <w:ind w:firstLine="567"/>
        <w:jc w:val="left"/>
        <w:rPr>
          <w:rFonts w:eastAsia="宋体" w:cs="宋体"/>
          <w:color w:val="auto"/>
          <w:highlight w:val="none"/>
        </w:rPr>
      </w:pPr>
      <w:r>
        <w:rPr>
          <w:rFonts w:hint="eastAsia" w:eastAsia="宋体" w:cs="宋体"/>
          <w:color w:val="auto"/>
          <w:highlight w:val="none"/>
        </w:rPr>
        <w:t>2.残疾人福利性单位声明函（如涉及，则提供）</w:t>
      </w:r>
    </w:p>
    <w:p w14:paraId="6A797956">
      <w:pPr>
        <w:spacing w:line="420" w:lineRule="exact"/>
        <w:ind w:firstLine="567"/>
        <w:jc w:val="left"/>
        <w:rPr>
          <w:rFonts w:eastAsia="宋体" w:cs="宋体"/>
          <w:b/>
          <w:bCs/>
          <w:color w:val="auto"/>
          <w:highlight w:val="none"/>
        </w:rPr>
      </w:pPr>
      <w:r>
        <w:rPr>
          <w:rFonts w:hint="eastAsia" w:eastAsia="宋体" w:cs="宋体"/>
          <w:b/>
          <w:bCs/>
          <w:color w:val="auto"/>
          <w:highlight w:val="none"/>
        </w:rPr>
        <w:t>（三）满足特定资格要求提供的材料</w:t>
      </w:r>
    </w:p>
    <w:p w14:paraId="63FDC245">
      <w:pPr>
        <w:spacing w:line="420" w:lineRule="exact"/>
        <w:ind w:firstLine="487"/>
        <w:jc w:val="left"/>
        <w:outlineLvl w:val="1"/>
        <w:rPr>
          <w:rFonts w:hint="default" w:eastAsia="宋体" w:cs="宋体"/>
          <w:b w:val="0"/>
          <w:bCs w:val="0"/>
          <w:color w:val="auto"/>
          <w:highlight w:val="none"/>
          <w:lang w:val="en-US" w:eastAsia="zh-CN"/>
        </w:rPr>
      </w:pPr>
      <w:r>
        <w:rPr>
          <w:rFonts w:hint="eastAsia" w:eastAsia="宋体" w:cs="宋体"/>
          <w:b w:val="0"/>
          <w:bCs w:val="0"/>
          <w:color w:val="auto"/>
          <w:highlight w:val="none"/>
          <w:lang w:val="en-US" w:eastAsia="zh-CN"/>
        </w:rPr>
        <w:t>按照本项目特定资格要求提供项目负责人的所有证明材料；</w:t>
      </w:r>
      <w:r>
        <w:rPr>
          <w:rFonts w:hint="eastAsia" w:eastAsia="宋体" w:cs="宋体"/>
          <w:b w:val="0"/>
          <w:bCs w:val="0"/>
          <w:color w:val="auto"/>
          <w:highlight w:val="none"/>
          <w:lang w:val="en-US" w:eastAsia="zh-CN"/>
        </w:rPr>
        <w:t>并按文件要求填写</w:t>
      </w:r>
      <w:r>
        <w:rPr>
          <w:rFonts w:hint="eastAsia" w:eastAsia="宋体"/>
          <w:color w:val="auto"/>
          <w:highlight w:val="none"/>
        </w:rPr>
        <w:t>拟派项目负责人资格表</w:t>
      </w:r>
      <w:r>
        <w:rPr>
          <w:rFonts w:hint="eastAsia" w:eastAsia="宋体"/>
          <w:b/>
          <w:bCs/>
          <w:color w:val="auto"/>
          <w:highlight w:val="none"/>
        </w:rPr>
        <w:t>。</w:t>
      </w:r>
    </w:p>
    <w:p w14:paraId="2CE6D916">
      <w:pPr>
        <w:spacing w:line="420" w:lineRule="exact"/>
        <w:ind w:firstLine="567"/>
        <w:jc w:val="left"/>
        <w:rPr>
          <w:rFonts w:eastAsia="宋体" w:cs="宋体"/>
          <w:b/>
          <w:bCs/>
          <w:color w:val="auto"/>
          <w:highlight w:val="none"/>
        </w:rPr>
      </w:pPr>
      <w:r>
        <w:rPr>
          <w:rFonts w:hint="eastAsia" w:eastAsia="宋体" w:cs="宋体"/>
          <w:b/>
          <w:bCs/>
          <w:color w:val="auto"/>
          <w:highlight w:val="none"/>
        </w:rPr>
        <w:t>三、符合性审查内容要求提供的材料</w:t>
      </w:r>
    </w:p>
    <w:p w14:paraId="4E30E563">
      <w:pPr>
        <w:spacing w:line="420" w:lineRule="exact"/>
        <w:ind w:firstLine="567"/>
        <w:jc w:val="left"/>
        <w:rPr>
          <w:rFonts w:eastAsia="宋体" w:cs="宋体"/>
          <w:color w:val="auto"/>
          <w:highlight w:val="none"/>
        </w:rPr>
      </w:pPr>
      <w:r>
        <w:rPr>
          <w:rFonts w:hint="eastAsia" w:eastAsia="宋体" w:cs="宋体"/>
          <w:color w:val="auto"/>
          <w:highlight w:val="none"/>
        </w:rPr>
        <w:t>（一）符合报价要求提供的材料。</w:t>
      </w:r>
    </w:p>
    <w:p w14:paraId="1904A289">
      <w:pPr>
        <w:spacing w:line="420" w:lineRule="exact"/>
        <w:ind w:firstLine="567"/>
        <w:jc w:val="left"/>
        <w:rPr>
          <w:rFonts w:eastAsia="宋体" w:cs="宋体"/>
          <w:color w:val="auto"/>
          <w:highlight w:val="none"/>
        </w:rPr>
      </w:pPr>
      <w:r>
        <w:rPr>
          <w:rFonts w:hint="eastAsia" w:eastAsia="宋体" w:cs="宋体"/>
          <w:color w:val="auto"/>
          <w:highlight w:val="none"/>
        </w:rPr>
        <w:t>（二）符合商务要求提供的材料：</w:t>
      </w:r>
    </w:p>
    <w:p w14:paraId="2FAB32C6">
      <w:pPr>
        <w:spacing w:line="420" w:lineRule="exact"/>
        <w:ind w:firstLine="567"/>
        <w:jc w:val="left"/>
        <w:rPr>
          <w:rFonts w:eastAsia="宋体" w:cs="宋体"/>
          <w:color w:val="auto"/>
          <w:highlight w:val="none"/>
        </w:rPr>
      </w:pPr>
      <w:r>
        <w:rPr>
          <w:rFonts w:hint="eastAsia" w:eastAsia="宋体" w:cs="宋体"/>
          <w:color w:val="auto"/>
          <w:highlight w:val="none"/>
        </w:rPr>
        <w:t>1.征集活动响应函。</w:t>
      </w:r>
    </w:p>
    <w:p w14:paraId="5D7D4083">
      <w:pPr>
        <w:spacing w:line="420" w:lineRule="exact"/>
        <w:ind w:firstLine="567"/>
        <w:jc w:val="left"/>
        <w:rPr>
          <w:rFonts w:eastAsia="宋体" w:cs="宋体"/>
          <w:color w:val="auto"/>
          <w:highlight w:val="none"/>
        </w:rPr>
      </w:pPr>
      <w:r>
        <w:rPr>
          <w:rFonts w:hint="eastAsia" w:eastAsia="宋体" w:cs="宋体"/>
          <w:color w:val="auto"/>
          <w:highlight w:val="none"/>
        </w:rPr>
        <w:t>2.实质性响应的“商务要求综合应答表”。</w:t>
      </w:r>
    </w:p>
    <w:p w14:paraId="5F6E461C">
      <w:pPr>
        <w:spacing w:line="420" w:lineRule="exact"/>
        <w:ind w:firstLine="567"/>
        <w:jc w:val="left"/>
        <w:rPr>
          <w:rFonts w:eastAsia="宋体" w:cs="宋体"/>
          <w:color w:val="auto"/>
          <w:highlight w:val="none"/>
        </w:rPr>
      </w:pPr>
      <w:r>
        <w:rPr>
          <w:rFonts w:hint="eastAsia" w:eastAsia="宋体" w:cs="宋体"/>
          <w:color w:val="auto"/>
          <w:highlight w:val="none"/>
        </w:rPr>
        <w:t>（三）符合技术要求提供的材料：</w:t>
      </w:r>
    </w:p>
    <w:p w14:paraId="148D3DB2">
      <w:pPr>
        <w:spacing w:line="420" w:lineRule="exact"/>
        <w:ind w:firstLine="567"/>
        <w:jc w:val="left"/>
        <w:rPr>
          <w:rFonts w:eastAsia="宋体" w:cs="宋体"/>
          <w:color w:val="auto"/>
          <w:highlight w:val="none"/>
        </w:rPr>
      </w:pPr>
      <w:r>
        <w:rPr>
          <w:rFonts w:hint="eastAsia" w:eastAsia="宋体" w:cs="宋体"/>
          <w:color w:val="auto"/>
          <w:highlight w:val="none"/>
        </w:rPr>
        <w:t>1.实质性响应的“技术要求综合应答表”。</w:t>
      </w:r>
    </w:p>
    <w:p w14:paraId="3CBF6728">
      <w:pPr>
        <w:spacing w:line="420" w:lineRule="exact"/>
        <w:ind w:firstLine="567"/>
        <w:jc w:val="left"/>
        <w:rPr>
          <w:rFonts w:eastAsia="宋体" w:cs="宋体"/>
          <w:b/>
          <w:bCs/>
          <w:color w:val="auto"/>
          <w:highlight w:val="none"/>
        </w:rPr>
      </w:pPr>
      <w:r>
        <w:rPr>
          <w:rFonts w:hint="eastAsia" w:eastAsia="宋体" w:cs="宋体"/>
          <w:b/>
          <w:bCs/>
          <w:color w:val="auto"/>
          <w:highlight w:val="none"/>
        </w:rPr>
        <w:t>四、技术、商务文件提供的材料</w:t>
      </w:r>
    </w:p>
    <w:p w14:paraId="5E9C6D41">
      <w:pPr>
        <w:spacing w:line="420" w:lineRule="exact"/>
        <w:ind w:firstLine="567"/>
        <w:jc w:val="left"/>
        <w:rPr>
          <w:rFonts w:eastAsia="宋体" w:cs="宋体"/>
          <w:color w:val="auto"/>
          <w:highlight w:val="none"/>
        </w:rPr>
      </w:pPr>
      <w:r>
        <w:rPr>
          <w:rFonts w:hint="eastAsia" w:eastAsia="宋体" w:cs="宋体"/>
          <w:color w:val="auto"/>
          <w:highlight w:val="none"/>
        </w:rPr>
        <w:t>1.技术评分标准中须提供的相关得分佐证材料。按“评分项目”编制目录。</w:t>
      </w:r>
    </w:p>
    <w:p w14:paraId="4484985B">
      <w:pPr>
        <w:spacing w:line="420" w:lineRule="exact"/>
        <w:ind w:firstLine="567"/>
        <w:jc w:val="left"/>
        <w:rPr>
          <w:rFonts w:eastAsia="宋体" w:cs="宋体"/>
          <w:color w:val="auto"/>
          <w:highlight w:val="none"/>
        </w:rPr>
      </w:pPr>
      <w:r>
        <w:rPr>
          <w:rFonts w:hint="eastAsia" w:eastAsia="宋体" w:cs="宋体"/>
          <w:color w:val="auto"/>
          <w:highlight w:val="none"/>
        </w:rPr>
        <w:t>2.商务评分标准中须提供的相关得分佐证材料。按“评分项目”编制目录。</w:t>
      </w:r>
    </w:p>
    <w:p w14:paraId="409DB002">
      <w:pPr>
        <w:spacing w:line="420" w:lineRule="exact"/>
        <w:ind w:firstLine="567"/>
        <w:jc w:val="left"/>
        <w:rPr>
          <w:rFonts w:eastAsia="宋体" w:cs="宋体"/>
          <w:color w:val="auto"/>
          <w:highlight w:val="none"/>
        </w:rPr>
      </w:pPr>
    </w:p>
    <w:p w14:paraId="567C2B8D">
      <w:pPr>
        <w:spacing w:line="420" w:lineRule="exact"/>
        <w:jc w:val="center"/>
        <w:rPr>
          <w:rFonts w:eastAsia="宋体" w:cs="宋体"/>
          <w:b/>
          <w:bCs/>
          <w:color w:val="auto"/>
          <w:sz w:val="28"/>
          <w:szCs w:val="28"/>
          <w:highlight w:val="none"/>
          <w:u w:val="single"/>
        </w:rPr>
      </w:pPr>
      <w:r>
        <w:rPr>
          <w:rFonts w:hint="eastAsia" w:eastAsia="宋体" w:cs="宋体"/>
          <w:b/>
          <w:bCs/>
          <w:color w:val="auto"/>
          <w:sz w:val="28"/>
          <w:szCs w:val="28"/>
          <w:highlight w:val="none"/>
          <w:u w:val="single"/>
        </w:rPr>
        <w:t>注：该目录在制作征集响应文件时，供参考。</w:t>
      </w:r>
      <w:bookmarkEnd w:id="176"/>
    </w:p>
    <w:p w14:paraId="351AF8EA">
      <w:pPr>
        <w:spacing w:line="420" w:lineRule="exact"/>
        <w:ind w:firstLine="566"/>
        <w:jc w:val="left"/>
        <w:outlineLvl w:val="3"/>
        <w:rPr>
          <w:rFonts w:eastAsia="宋体" w:cs="宋体"/>
          <w:b/>
          <w:bCs/>
          <w:color w:val="auto"/>
          <w:highlight w:val="none"/>
        </w:rPr>
        <w:sectPr>
          <w:pgSz w:w="11906" w:h="16838"/>
          <w:pgMar w:top="851" w:right="851" w:bottom="851" w:left="1134" w:header="567" w:footer="454" w:gutter="0"/>
          <w:cols w:space="425" w:num="1"/>
          <w:docGrid w:linePitch="360" w:charSpace="0"/>
        </w:sectPr>
      </w:pPr>
    </w:p>
    <w:p w14:paraId="493C67D5">
      <w:pPr>
        <w:spacing w:line="420" w:lineRule="exact"/>
        <w:ind w:firstLine="566"/>
        <w:jc w:val="left"/>
        <w:outlineLvl w:val="3"/>
        <w:rPr>
          <w:rFonts w:eastAsia="宋体"/>
          <w:b/>
          <w:bCs/>
          <w:color w:val="auto"/>
          <w:highlight w:val="none"/>
        </w:rPr>
      </w:pPr>
      <w:r>
        <w:rPr>
          <w:rFonts w:hint="eastAsia" w:eastAsia="宋体" w:cs="宋体"/>
          <w:b/>
          <w:bCs/>
          <w:color w:val="auto"/>
          <w:highlight w:val="none"/>
        </w:rPr>
        <w:t>附件2 开标一览表</w:t>
      </w:r>
    </w:p>
    <w:p w14:paraId="535D4809">
      <w:pPr>
        <w:spacing w:before="240" w:after="240" w:line="420" w:lineRule="exact"/>
        <w:jc w:val="center"/>
        <w:rPr>
          <w:rFonts w:eastAsia="宋体" w:cs="宋体"/>
          <w:b/>
          <w:bCs/>
          <w:color w:val="auto"/>
          <w:sz w:val="28"/>
          <w:szCs w:val="28"/>
          <w:highlight w:val="none"/>
        </w:rPr>
      </w:pPr>
      <w:r>
        <w:rPr>
          <w:rFonts w:hint="eastAsia" w:eastAsia="宋体" w:cs="宋体"/>
          <w:b/>
          <w:bCs/>
          <w:color w:val="auto"/>
          <w:sz w:val="28"/>
          <w:szCs w:val="28"/>
          <w:highlight w:val="none"/>
        </w:rPr>
        <w:t>附件2 开标一览表（以“苏采云”系统内的格式为准）</w:t>
      </w:r>
    </w:p>
    <w:p w14:paraId="36F3398F">
      <w:pPr>
        <w:spacing w:line="420" w:lineRule="exact"/>
        <w:ind w:firstLine="475"/>
        <w:rPr>
          <w:rFonts w:ascii="宋体" w:hAnsi="宋体" w:eastAsia="宋体" w:cs="宋体"/>
          <w:color w:val="auto"/>
          <w:highlight w:val="none"/>
        </w:rPr>
      </w:pPr>
      <w:r>
        <w:rPr>
          <w:rFonts w:hint="eastAsia" w:ascii="宋体" w:hAnsi="宋体" w:eastAsia="宋体" w:cs="宋体"/>
          <w:color w:val="auto"/>
          <w:highlight w:val="none"/>
        </w:rPr>
        <w:t>项目名称：如东县财政局政府投资建设项目协审服务框架协议采购项目</w:t>
      </w:r>
    </w:p>
    <w:p w14:paraId="179ACC20">
      <w:pPr>
        <w:spacing w:line="420" w:lineRule="exact"/>
        <w:ind w:firstLine="475"/>
        <w:rPr>
          <w:rFonts w:ascii="宋体" w:hAnsi="宋体" w:eastAsia="宋体" w:cs="宋体"/>
          <w:color w:val="auto"/>
          <w:highlight w:val="none"/>
        </w:rPr>
      </w:pPr>
      <w:r>
        <w:rPr>
          <w:rFonts w:hint="eastAsia" w:ascii="宋体" w:hAnsi="宋体" w:eastAsia="宋体" w:cs="宋体"/>
          <w:color w:val="auto"/>
          <w:highlight w:val="none"/>
        </w:rPr>
        <w:t xml:space="preserve">项目编号： </w:t>
      </w:r>
    </w:p>
    <w:p w14:paraId="76F659B6">
      <w:pPr>
        <w:spacing w:line="420" w:lineRule="exact"/>
        <w:ind w:firstLine="475"/>
        <w:rPr>
          <w:rFonts w:ascii="宋体" w:hAnsi="宋体" w:eastAsia="宋体" w:cs="宋体"/>
          <w:color w:val="auto"/>
          <w:highlight w:val="none"/>
        </w:rPr>
      </w:pPr>
      <w:r>
        <w:rPr>
          <w:rFonts w:hint="eastAsia" w:ascii="宋体" w:hAnsi="宋体" w:eastAsia="宋体" w:cs="宋体"/>
          <w:color w:val="auto"/>
          <w:highlight w:val="none"/>
        </w:rPr>
        <w:t>采购包号：分包号</w:t>
      </w:r>
    </w:p>
    <w:p w14:paraId="2DC38B6E">
      <w:pPr>
        <w:spacing w:line="420" w:lineRule="exact"/>
        <w:ind w:firstLine="480"/>
        <w:rPr>
          <w:rFonts w:ascii="宋体" w:hAnsi="宋体" w:eastAsia="宋体" w:cs="宋体"/>
          <w:color w:val="auto"/>
          <w:highlight w:val="none"/>
        </w:rPr>
      </w:pPr>
      <w:r>
        <w:rPr>
          <w:rFonts w:hint="eastAsia" w:ascii="宋体" w:hAnsi="宋体" w:eastAsia="宋体" w:cs="宋体"/>
          <w:color w:val="auto"/>
          <w:highlight w:val="none"/>
        </w:rPr>
        <w:t xml:space="preserve">                                 </w:t>
      </w:r>
    </w:p>
    <w:tbl>
      <w:tblPr>
        <w:tblStyle w:val="89"/>
        <w:tblW w:w="99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3"/>
        <w:gridCol w:w="1262"/>
        <w:gridCol w:w="4770"/>
        <w:gridCol w:w="900"/>
        <w:gridCol w:w="1390"/>
        <w:gridCol w:w="876"/>
      </w:tblGrid>
      <w:tr w14:paraId="5B221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13" w:type="dxa"/>
            <w:vAlign w:val="center"/>
          </w:tcPr>
          <w:p w14:paraId="064A42B5">
            <w:pPr>
              <w:widowControl/>
              <w:spacing w:before="100" w:beforeAutospacing="1" w:after="100" w:afterAutospacing="1" w:line="420" w:lineRule="exact"/>
              <w:jc w:val="center"/>
              <w:rPr>
                <w:rFonts w:eastAsia="宋体"/>
                <w:b/>
                <w:bCs/>
                <w:color w:val="auto"/>
                <w:highlight w:val="none"/>
              </w:rPr>
            </w:pPr>
            <w:r>
              <w:rPr>
                <w:rFonts w:hint="eastAsia" w:eastAsia="宋体"/>
                <w:b/>
                <w:bCs/>
                <w:color w:val="auto"/>
                <w:highlight w:val="none"/>
              </w:rPr>
              <w:t>序号</w:t>
            </w:r>
          </w:p>
        </w:tc>
        <w:tc>
          <w:tcPr>
            <w:tcW w:w="1262" w:type="dxa"/>
            <w:vAlign w:val="center"/>
          </w:tcPr>
          <w:p w14:paraId="55793FDE">
            <w:pPr>
              <w:widowControl/>
              <w:spacing w:before="100" w:beforeAutospacing="1" w:after="100" w:afterAutospacing="1" w:line="420" w:lineRule="exact"/>
              <w:jc w:val="center"/>
              <w:rPr>
                <w:rFonts w:eastAsia="宋体"/>
                <w:b/>
                <w:bCs/>
                <w:color w:val="auto"/>
                <w:highlight w:val="none"/>
              </w:rPr>
            </w:pPr>
            <w:r>
              <w:rPr>
                <w:rFonts w:hint="eastAsia" w:eastAsia="宋体"/>
                <w:b/>
                <w:bCs/>
                <w:color w:val="auto"/>
                <w:highlight w:val="none"/>
              </w:rPr>
              <w:t>报价项</w:t>
            </w:r>
          </w:p>
        </w:tc>
        <w:tc>
          <w:tcPr>
            <w:tcW w:w="4770" w:type="dxa"/>
            <w:vAlign w:val="center"/>
          </w:tcPr>
          <w:p w14:paraId="0D63480D">
            <w:pPr>
              <w:widowControl/>
              <w:spacing w:before="100" w:beforeAutospacing="1" w:after="100" w:afterAutospacing="1" w:line="420" w:lineRule="exact"/>
              <w:jc w:val="center"/>
              <w:rPr>
                <w:rFonts w:eastAsia="宋体"/>
                <w:b/>
                <w:bCs/>
                <w:color w:val="auto"/>
                <w:highlight w:val="none"/>
              </w:rPr>
            </w:pPr>
            <w:r>
              <w:rPr>
                <w:rFonts w:hint="eastAsia" w:eastAsia="宋体"/>
                <w:b/>
                <w:bCs/>
                <w:color w:val="auto"/>
                <w:highlight w:val="none"/>
              </w:rPr>
              <w:t>报价要求</w:t>
            </w:r>
          </w:p>
        </w:tc>
        <w:tc>
          <w:tcPr>
            <w:tcW w:w="900" w:type="dxa"/>
            <w:vAlign w:val="center"/>
          </w:tcPr>
          <w:p w14:paraId="4E8A35B0">
            <w:pPr>
              <w:widowControl/>
              <w:spacing w:before="100" w:beforeAutospacing="1" w:after="100" w:afterAutospacing="1" w:line="420" w:lineRule="exact"/>
              <w:jc w:val="center"/>
              <w:rPr>
                <w:rFonts w:eastAsia="宋体"/>
                <w:b/>
                <w:bCs/>
                <w:color w:val="auto"/>
                <w:highlight w:val="none"/>
              </w:rPr>
            </w:pPr>
            <w:r>
              <w:rPr>
                <w:rFonts w:hint="eastAsia" w:eastAsia="宋体"/>
                <w:b/>
                <w:bCs/>
                <w:color w:val="auto"/>
                <w:highlight w:val="none"/>
              </w:rPr>
              <w:t>报价单位</w:t>
            </w:r>
          </w:p>
        </w:tc>
        <w:tc>
          <w:tcPr>
            <w:tcW w:w="1390" w:type="dxa"/>
            <w:vAlign w:val="center"/>
          </w:tcPr>
          <w:p w14:paraId="78A1F9D2">
            <w:pPr>
              <w:widowControl/>
              <w:spacing w:before="100" w:beforeAutospacing="1" w:after="100" w:afterAutospacing="1" w:line="420" w:lineRule="exact"/>
              <w:jc w:val="center"/>
              <w:rPr>
                <w:rFonts w:eastAsia="宋体"/>
                <w:b/>
                <w:bCs/>
                <w:color w:val="auto"/>
                <w:highlight w:val="none"/>
              </w:rPr>
            </w:pPr>
            <w:r>
              <w:rPr>
                <w:rFonts w:hint="eastAsia" w:eastAsia="宋体"/>
                <w:b/>
                <w:bCs/>
                <w:color w:val="auto"/>
                <w:highlight w:val="none"/>
              </w:rPr>
              <w:t>报价占比（%）</w:t>
            </w:r>
          </w:p>
        </w:tc>
        <w:tc>
          <w:tcPr>
            <w:tcW w:w="876" w:type="dxa"/>
            <w:vAlign w:val="center"/>
          </w:tcPr>
          <w:p w14:paraId="782D5020">
            <w:pPr>
              <w:widowControl/>
              <w:spacing w:before="100" w:beforeAutospacing="1" w:after="100" w:afterAutospacing="1" w:line="420" w:lineRule="exact"/>
              <w:jc w:val="center"/>
              <w:rPr>
                <w:rFonts w:eastAsia="宋体"/>
                <w:b/>
                <w:bCs/>
                <w:color w:val="auto"/>
                <w:highlight w:val="none"/>
              </w:rPr>
            </w:pPr>
            <w:r>
              <w:rPr>
                <w:rFonts w:hint="eastAsia" w:eastAsia="宋体"/>
                <w:b/>
                <w:bCs/>
                <w:color w:val="auto"/>
                <w:highlight w:val="none"/>
              </w:rPr>
              <w:t>报价</w:t>
            </w:r>
          </w:p>
        </w:tc>
      </w:tr>
      <w:tr w14:paraId="2488F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713" w:type="dxa"/>
            <w:vAlign w:val="center"/>
          </w:tcPr>
          <w:p w14:paraId="0A67DB46">
            <w:pPr>
              <w:widowControl/>
              <w:spacing w:before="100" w:beforeAutospacing="1" w:after="100" w:afterAutospacing="1" w:line="420" w:lineRule="exact"/>
              <w:jc w:val="center"/>
              <w:rPr>
                <w:rFonts w:eastAsia="宋体"/>
                <w:color w:val="auto"/>
                <w:highlight w:val="none"/>
              </w:rPr>
            </w:pPr>
            <w:r>
              <w:rPr>
                <w:rFonts w:hint="eastAsia" w:eastAsia="宋体"/>
                <w:color w:val="auto"/>
                <w:highlight w:val="none"/>
              </w:rPr>
              <w:t>1</w:t>
            </w:r>
          </w:p>
        </w:tc>
        <w:tc>
          <w:tcPr>
            <w:tcW w:w="1262" w:type="dxa"/>
            <w:vAlign w:val="center"/>
          </w:tcPr>
          <w:p w14:paraId="3DFBC2B4">
            <w:pPr>
              <w:widowControl/>
              <w:spacing w:before="100" w:beforeAutospacing="1" w:after="100" w:afterAutospacing="1" w:line="420" w:lineRule="exact"/>
              <w:jc w:val="left"/>
              <w:rPr>
                <w:rFonts w:eastAsia="宋体"/>
                <w:color w:val="auto"/>
                <w:highlight w:val="none"/>
              </w:rPr>
            </w:pPr>
            <w:r>
              <w:rPr>
                <w:rFonts w:hint="eastAsia" w:eastAsia="宋体"/>
                <w:color w:val="auto"/>
                <w:highlight w:val="none"/>
              </w:rPr>
              <w:t>协审费用</w:t>
            </w:r>
          </w:p>
        </w:tc>
        <w:tc>
          <w:tcPr>
            <w:tcW w:w="4770" w:type="dxa"/>
            <w:vAlign w:val="center"/>
          </w:tcPr>
          <w:p w14:paraId="21A3F585">
            <w:pPr>
              <w:widowControl/>
              <w:spacing w:before="100" w:beforeAutospacing="1" w:after="100" w:afterAutospacing="1" w:line="420" w:lineRule="exact"/>
              <w:jc w:val="left"/>
              <w:rPr>
                <w:rFonts w:eastAsia="宋体"/>
                <w:color w:val="auto"/>
                <w:highlight w:val="none"/>
              </w:rPr>
            </w:pPr>
            <w:r>
              <w:rPr>
                <w:rFonts w:hint="eastAsia" w:eastAsia="宋体"/>
                <w:color w:val="auto"/>
                <w:highlight w:val="none"/>
              </w:rPr>
              <w:t>本项目协审费用按照本征集文件内“协审费用的结算及支付”要求执行，如参加响应视为接受本项目报价要求。供应商如果在制作征集响应文件或响应系统里面需要填写报价，一律按报价“100.00”元填写。</w:t>
            </w:r>
          </w:p>
        </w:tc>
        <w:tc>
          <w:tcPr>
            <w:tcW w:w="900" w:type="dxa"/>
            <w:vAlign w:val="center"/>
          </w:tcPr>
          <w:p w14:paraId="3380AECA">
            <w:pPr>
              <w:widowControl/>
              <w:spacing w:before="100" w:beforeAutospacing="1" w:after="100" w:afterAutospacing="1" w:line="420" w:lineRule="exact"/>
              <w:jc w:val="center"/>
              <w:rPr>
                <w:rFonts w:eastAsia="宋体"/>
                <w:color w:val="auto"/>
                <w:highlight w:val="none"/>
              </w:rPr>
            </w:pPr>
            <w:r>
              <w:rPr>
                <w:rFonts w:hint="eastAsia" w:eastAsia="宋体"/>
                <w:color w:val="auto"/>
                <w:highlight w:val="none"/>
              </w:rPr>
              <w:t>元</w:t>
            </w:r>
          </w:p>
        </w:tc>
        <w:tc>
          <w:tcPr>
            <w:tcW w:w="1390" w:type="dxa"/>
            <w:vAlign w:val="center"/>
          </w:tcPr>
          <w:p w14:paraId="15EFCA57">
            <w:pPr>
              <w:widowControl/>
              <w:spacing w:before="100" w:beforeAutospacing="1" w:after="100" w:afterAutospacing="1" w:line="420" w:lineRule="exact"/>
              <w:jc w:val="center"/>
              <w:rPr>
                <w:rFonts w:hint="eastAsia" w:eastAsia="宋体"/>
                <w:color w:val="auto"/>
                <w:highlight w:val="none"/>
                <w:lang w:eastAsia="zh-CN"/>
              </w:rPr>
            </w:pPr>
            <w:r>
              <w:rPr>
                <w:rFonts w:hint="eastAsia" w:eastAsia="宋体"/>
                <w:color w:val="auto"/>
                <w:highlight w:val="none"/>
                <w:lang w:val="en-US" w:eastAsia="zh-CN"/>
              </w:rPr>
              <w:t>100</w:t>
            </w:r>
          </w:p>
        </w:tc>
        <w:tc>
          <w:tcPr>
            <w:tcW w:w="876" w:type="dxa"/>
            <w:vAlign w:val="center"/>
          </w:tcPr>
          <w:p w14:paraId="573F696D">
            <w:pPr>
              <w:widowControl/>
              <w:spacing w:before="100" w:beforeAutospacing="1" w:after="100" w:afterAutospacing="1" w:line="420" w:lineRule="exact"/>
              <w:jc w:val="right"/>
              <w:rPr>
                <w:rFonts w:eastAsia="宋体"/>
                <w:color w:val="auto"/>
                <w:highlight w:val="none"/>
              </w:rPr>
            </w:pPr>
            <w:r>
              <w:rPr>
                <w:rFonts w:hint="eastAsia" w:eastAsia="宋体"/>
                <w:color w:val="auto"/>
                <w:highlight w:val="none"/>
              </w:rPr>
              <w:t>100.00</w:t>
            </w:r>
          </w:p>
        </w:tc>
      </w:tr>
    </w:tbl>
    <w:p w14:paraId="0FB94FE4">
      <w:pPr>
        <w:spacing w:line="420" w:lineRule="exact"/>
        <w:ind w:firstLine="480"/>
        <w:rPr>
          <w:rFonts w:ascii="宋体" w:hAnsi="宋体" w:eastAsia="宋体" w:cs="宋体"/>
          <w:color w:val="auto"/>
          <w:highlight w:val="none"/>
        </w:rPr>
      </w:pPr>
      <w:bookmarkStart w:id="177" w:name="_Hlk183442949"/>
      <w:r>
        <w:rPr>
          <w:rFonts w:hint="eastAsia" w:ascii="宋体" w:hAnsi="宋体" w:eastAsia="宋体" w:cs="宋体"/>
          <w:color w:val="auto"/>
          <w:highlight w:val="none"/>
        </w:rPr>
        <w:t>金额小写：100.00元</w:t>
      </w:r>
    </w:p>
    <w:p w14:paraId="5AFFE8BE">
      <w:pPr>
        <w:spacing w:line="420" w:lineRule="exact"/>
        <w:ind w:firstLine="480"/>
        <w:rPr>
          <w:rFonts w:ascii="宋体" w:hAnsi="宋体" w:eastAsia="宋体" w:cs="宋体"/>
          <w:color w:val="auto"/>
          <w:highlight w:val="none"/>
        </w:rPr>
      </w:pPr>
    </w:p>
    <w:p w14:paraId="6A24CEEF">
      <w:pPr>
        <w:spacing w:line="420" w:lineRule="exact"/>
        <w:ind w:firstLine="480"/>
        <w:jc w:val="right"/>
        <w:rPr>
          <w:rFonts w:ascii="宋体" w:hAnsi="宋体" w:eastAsia="宋体" w:cs="宋体"/>
          <w:color w:val="auto"/>
          <w:highlight w:val="none"/>
        </w:rPr>
      </w:pPr>
      <w:r>
        <w:rPr>
          <w:rFonts w:hint="eastAsia" w:ascii="宋体" w:hAnsi="宋体" w:eastAsia="宋体" w:cs="宋体"/>
          <w:color w:val="auto"/>
          <w:highlight w:val="none"/>
        </w:rPr>
        <w:t>供应商：供应商名称（加盖CA电子签章）</w:t>
      </w:r>
      <w:bookmarkEnd w:id="177"/>
    </w:p>
    <w:p w14:paraId="78C5C48B">
      <w:pPr>
        <w:spacing w:line="420" w:lineRule="exact"/>
        <w:ind w:firstLine="480"/>
        <w:jc w:val="right"/>
        <w:rPr>
          <w:rFonts w:ascii="宋体" w:hAnsi="宋体" w:eastAsia="宋体" w:cs="宋体"/>
          <w:color w:val="auto"/>
          <w:highlight w:val="none"/>
        </w:rPr>
      </w:pPr>
      <w:r>
        <w:rPr>
          <w:rFonts w:hint="eastAsia" w:ascii="宋体" w:hAnsi="宋体" w:eastAsia="宋体" w:cs="宋体"/>
          <w:color w:val="auto"/>
          <w:highlight w:val="none"/>
        </w:rPr>
        <w:t xml:space="preserve">日期：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58543B7">
      <w:pPr>
        <w:spacing w:line="420" w:lineRule="exact"/>
        <w:jc w:val="left"/>
        <w:rPr>
          <w:rFonts w:eastAsia="宋体"/>
          <w:color w:val="auto"/>
          <w:highlight w:val="none"/>
        </w:rPr>
      </w:pPr>
    </w:p>
    <w:p w14:paraId="2CF669FA">
      <w:pPr>
        <w:spacing w:line="420" w:lineRule="exact"/>
        <w:jc w:val="left"/>
        <w:rPr>
          <w:rFonts w:eastAsia="宋体"/>
          <w:color w:val="auto"/>
          <w:highlight w:val="none"/>
        </w:rPr>
      </w:pPr>
      <w:r>
        <w:rPr>
          <w:rFonts w:hint="eastAsia" w:eastAsia="宋体"/>
          <w:color w:val="auto"/>
          <w:highlight w:val="none"/>
        </w:rPr>
        <w:t>备注：</w:t>
      </w:r>
      <w:r>
        <w:rPr>
          <w:rFonts w:hint="eastAsia" w:eastAsia="宋体"/>
          <w:b/>
          <w:bCs/>
          <w:color w:val="auto"/>
          <w:highlight w:val="none"/>
        </w:rPr>
        <w:t>1.协审费费用标准详见“第三章 采购需求”中对应条款；</w:t>
      </w:r>
    </w:p>
    <w:p w14:paraId="2B60CF5F">
      <w:pPr>
        <w:spacing w:line="420" w:lineRule="exact"/>
        <w:ind w:firstLine="728" w:firstLineChars="302"/>
        <w:rPr>
          <w:rFonts w:ascii="宋体" w:hAnsi="宋体" w:eastAsia="宋体"/>
          <w:bCs/>
          <w:color w:val="auto"/>
          <w:highlight w:val="none"/>
        </w:rPr>
      </w:pPr>
      <w:r>
        <w:rPr>
          <w:rFonts w:hint="eastAsia" w:eastAsia="宋体"/>
          <w:b/>
          <w:bCs/>
          <w:color w:val="auto"/>
          <w:highlight w:val="none"/>
          <w:u w:val="single"/>
        </w:rPr>
        <w:t>2.投标</w:t>
      </w:r>
      <w:r>
        <w:rPr>
          <w:rFonts w:eastAsia="宋体"/>
          <w:b/>
          <w:bCs/>
          <w:color w:val="auto"/>
          <w:highlight w:val="none"/>
          <w:u w:val="single"/>
        </w:rPr>
        <w:t>报价要求：</w:t>
      </w:r>
      <w:r>
        <w:rPr>
          <w:rFonts w:hint="eastAsia" w:ascii="宋体" w:hAnsi="宋体" w:eastAsia="宋体"/>
          <w:b/>
          <w:bCs/>
          <w:color w:val="auto"/>
          <w:highlight w:val="none"/>
          <w:u w:val="single"/>
        </w:rPr>
        <w:t>本项目协审费用按照本征集文件内“协审费用的结算及支付”要求执行，如参加响应视为接受本项目报价要求。供应商如果在制作征集响应文件或响应系统里面需要填写报价，一律按报价</w:t>
      </w:r>
      <w:r>
        <w:rPr>
          <w:rFonts w:hint="eastAsia" w:ascii="宋体" w:hAnsi="宋体" w:eastAsia="宋体"/>
          <w:b/>
          <w:bCs/>
          <w:color w:val="auto"/>
          <w:sz w:val="32"/>
          <w:szCs w:val="32"/>
          <w:highlight w:val="none"/>
          <w:u w:val="single"/>
        </w:rPr>
        <w:t>“100.00”</w:t>
      </w:r>
      <w:r>
        <w:rPr>
          <w:rFonts w:hint="eastAsia" w:ascii="宋体" w:hAnsi="宋体" w:eastAsia="宋体"/>
          <w:b/>
          <w:bCs/>
          <w:color w:val="auto"/>
          <w:highlight w:val="none"/>
          <w:u w:val="single"/>
        </w:rPr>
        <w:t>元填写</w:t>
      </w:r>
      <w:r>
        <w:rPr>
          <w:rFonts w:hint="eastAsia" w:ascii="宋体" w:hAnsi="宋体" w:eastAsia="宋体"/>
          <w:color w:val="auto"/>
          <w:highlight w:val="none"/>
        </w:rPr>
        <w:t>。</w:t>
      </w:r>
    </w:p>
    <w:p w14:paraId="1FEC0D58">
      <w:pPr>
        <w:spacing w:line="420" w:lineRule="exact"/>
        <w:ind w:firstLine="424"/>
        <w:outlineLvl w:val="3"/>
        <w:rPr>
          <w:rFonts w:eastAsia="宋体"/>
          <w:b/>
          <w:bCs/>
          <w:color w:val="auto"/>
          <w:highlight w:val="none"/>
        </w:rPr>
        <w:sectPr>
          <w:pgSz w:w="11906" w:h="16838"/>
          <w:pgMar w:top="851" w:right="851" w:bottom="851" w:left="1134" w:header="567" w:footer="454" w:gutter="0"/>
          <w:cols w:space="425" w:num="1"/>
          <w:docGrid w:linePitch="360" w:charSpace="0"/>
        </w:sectPr>
      </w:pPr>
    </w:p>
    <w:p w14:paraId="65853A35">
      <w:pPr>
        <w:spacing w:line="420" w:lineRule="exact"/>
        <w:ind w:firstLine="424"/>
        <w:outlineLvl w:val="3"/>
        <w:rPr>
          <w:rFonts w:eastAsia="宋体"/>
          <w:b/>
          <w:bCs/>
          <w:color w:val="auto"/>
          <w:highlight w:val="none"/>
        </w:rPr>
      </w:pPr>
      <w:r>
        <w:rPr>
          <w:rFonts w:hint="eastAsia" w:eastAsia="宋体"/>
          <w:b/>
          <w:bCs/>
          <w:color w:val="auto"/>
          <w:highlight w:val="none"/>
        </w:rPr>
        <w:t>附件3 资格文件的声明函</w:t>
      </w:r>
    </w:p>
    <w:p w14:paraId="0CAED43E">
      <w:pPr>
        <w:spacing w:before="240" w:after="240" w:line="420" w:lineRule="exact"/>
        <w:jc w:val="center"/>
        <w:rPr>
          <w:rFonts w:eastAsia="宋体" w:cs="宋体"/>
          <w:color w:val="auto"/>
          <w:highlight w:val="none"/>
        </w:rPr>
      </w:pPr>
      <w:r>
        <w:rPr>
          <w:rFonts w:hint="eastAsia" w:eastAsia="宋体" w:cs="宋体"/>
          <w:b/>
          <w:bCs/>
          <w:color w:val="auto"/>
          <w:sz w:val="28"/>
          <w:szCs w:val="28"/>
          <w:highlight w:val="none"/>
        </w:rPr>
        <w:t>资格文件的声明函</w:t>
      </w:r>
    </w:p>
    <w:p w14:paraId="7F2C2D72">
      <w:pPr>
        <w:spacing w:before="240" w:after="240" w:line="420" w:lineRule="exact"/>
        <w:rPr>
          <w:rFonts w:eastAsia="宋体"/>
          <w:color w:val="auto"/>
          <w:highlight w:val="none"/>
        </w:rPr>
      </w:pPr>
      <w:r>
        <w:rPr>
          <w:rFonts w:hint="eastAsia" w:eastAsia="宋体" w:cs="宋体"/>
          <w:color w:val="auto"/>
          <w:highlight w:val="none"/>
        </w:rPr>
        <w:t>如东县财政局：</w:t>
      </w:r>
    </w:p>
    <w:p w14:paraId="2BAF472D">
      <w:pPr>
        <w:spacing w:line="420" w:lineRule="exact"/>
        <w:ind w:firstLine="660"/>
        <w:jc w:val="left"/>
        <w:rPr>
          <w:rFonts w:eastAsia="宋体"/>
          <w:color w:val="auto"/>
          <w:highlight w:val="none"/>
        </w:rPr>
      </w:pPr>
      <w:r>
        <w:rPr>
          <w:rFonts w:hint="eastAsia" w:eastAsia="宋体" w:cs="宋体"/>
          <w:color w:val="auto"/>
          <w:highlight w:val="none"/>
        </w:rPr>
        <w:t>我</w:t>
      </w:r>
      <w:bookmarkStart w:id="178" w:name="_Hlk69428288"/>
      <w:r>
        <w:rPr>
          <w:rFonts w:eastAsia="宋体"/>
          <w:color w:val="auto"/>
          <w:highlight w:val="none"/>
          <w:u w:val="single"/>
        </w:rPr>
        <w:t xml:space="preserve"> </w:t>
      </w:r>
      <w:bookmarkStart w:id="179" w:name="_Hlk69428147"/>
      <w:r>
        <w:rPr>
          <w:rFonts w:eastAsia="宋体"/>
          <w:color w:val="auto"/>
          <w:highlight w:val="none"/>
          <w:u w:val="single"/>
        </w:rPr>
        <w:t xml:space="preserve"> </w:t>
      </w:r>
      <w:r>
        <w:rPr>
          <w:rFonts w:hint="eastAsia" w:eastAsia="宋体" w:cs="宋体"/>
          <w:color w:val="auto"/>
          <w:highlight w:val="none"/>
          <w:u w:val="single"/>
        </w:rPr>
        <w:t xml:space="preserve">（法人、其他组织名称）      </w:t>
      </w:r>
      <w:r>
        <w:rPr>
          <w:rFonts w:eastAsia="宋体"/>
          <w:color w:val="auto"/>
          <w:highlight w:val="none"/>
          <w:u w:val="single"/>
        </w:rPr>
        <w:t xml:space="preserve">  </w:t>
      </w:r>
      <w:bookmarkEnd w:id="178"/>
      <w:bookmarkEnd w:id="179"/>
      <w:r>
        <w:rPr>
          <w:rFonts w:hint="eastAsia" w:eastAsia="宋体" w:cs="宋体"/>
          <w:color w:val="auto"/>
          <w:highlight w:val="none"/>
        </w:rPr>
        <w:t>愿就由贵单位委托采购代理机构组织实施的</w:t>
      </w:r>
      <w:bookmarkStart w:id="180" w:name="_Hlk179379587"/>
      <w:r>
        <w:rPr>
          <w:rFonts w:hint="eastAsia" w:eastAsia="宋体" w:cs="宋体"/>
          <w:color w:val="auto"/>
          <w:highlight w:val="none"/>
        </w:rPr>
        <w:t>项目编号：</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hint="eastAsia" w:eastAsia="宋体"/>
          <w:color w:val="auto"/>
          <w:highlight w:val="none"/>
          <w:u w:val="single"/>
        </w:rPr>
        <w:t xml:space="preserve">         </w:t>
      </w:r>
      <w:r>
        <w:rPr>
          <w:rFonts w:hint="eastAsia" w:eastAsia="宋体" w:cs="宋体"/>
          <w:color w:val="auto"/>
          <w:highlight w:val="none"/>
        </w:rPr>
        <w:t>的</w:t>
      </w:r>
      <w:r>
        <w:rPr>
          <w:rFonts w:eastAsia="宋体"/>
          <w:color w:val="auto"/>
          <w:highlight w:val="none"/>
          <w:u w:val="single"/>
        </w:rPr>
        <w:t xml:space="preserve">  </w:t>
      </w:r>
      <w:r>
        <w:rPr>
          <w:rFonts w:hint="eastAsia" w:eastAsia="宋体" w:cs="宋体"/>
          <w:color w:val="auto"/>
          <w:highlight w:val="none"/>
          <w:u w:val="single"/>
        </w:rPr>
        <w:t>如东县财政局政府投资建设项目协审服务框架协议采购项目</w:t>
      </w:r>
      <w:r>
        <w:rPr>
          <w:rFonts w:eastAsia="宋体"/>
          <w:color w:val="auto"/>
          <w:highlight w:val="none"/>
          <w:u w:val="single"/>
        </w:rPr>
        <w:t xml:space="preserve">  </w:t>
      </w:r>
      <w:r>
        <w:rPr>
          <w:rFonts w:hint="eastAsia" w:eastAsia="宋体" w:cs="宋体"/>
          <w:color w:val="auto"/>
          <w:highlight w:val="none"/>
        </w:rPr>
        <w:t>的</w:t>
      </w:r>
      <w:bookmarkEnd w:id="180"/>
      <w:bookmarkStart w:id="181" w:name="_Hlk69862036"/>
      <w:r>
        <w:rPr>
          <w:rFonts w:hint="eastAsia" w:eastAsia="宋体" w:cs="宋体"/>
          <w:color w:val="auto"/>
          <w:highlight w:val="none"/>
        </w:rPr>
        <w:t>征集采购活动进行征集响应</w:t>
      </w:r>
      <w:bookmarkEnd w:id="181"/>
      <w:r>
        <w:rPr>
          <w:rFonts w:hint="eastAsia" w:eastAsia="宋体" w:cs="宋体"/>
          <w:color w:val="auto"/>
          <w:highlight w:val="none"/>
        </w:rPr>
        <w:t>，所提交的征集响应文件中所有关于资格的文件、证明和陈述均是真实的、准确的。</w:t>
      </w:r>
      <w:bookmarkStart w:id="182" w:name="_Hlk69862101"/>
      <w:r>
        <w:rPr>
          <w:rFonts w:hint="eastAsia" w:eastAsia="宋体" w:cs="宋体"/>
          <w:color w:val="auto"/>
          <w:highlight w:val="none"/>
        </w:rPr>
        <w:t>若与真实情况不符，</w:t>
      </w:r>
      <w:r>
        <w:rPr>
          <w:rFonts w:eastAsia="宋体"/>
          <w:color w:val="auto"/>
          <w:highlight w:val="none"/>
          <w:u w:val="single"/>
        </w:rPr>
        <w:t xml:space="preserve"> </w:t>
      </w:r>
      <w:r>
        <w:rPr>
          <w:rFonts w:hint="eastAsia" w:eastAsia="宋体" w:cs="宋体"/>
          <w:color w:val="auto"/>
          <w:highlight w:val="none"/>
          <w:u w:val="single"/>
        </w:rPr>
        <w:t>（法人、其他组织名称）</w:t>
      </w:r>
      <w:r>
        <w:rPr>
          <w:rFonts w:eastAsia="宋体"/>
          <w:color w:val="auto"/>
          <w:highlight w:val="none"/>
          <w:u w:val="single"/>
        </w:rPr>
        <w:t xml:space="preserve">  </w:t>
      </w:r>
      <w:r>
        <w:rPr>
          <w:rFonts w:hint="eastAsia" w:eastAsia="宋体" w:cs="宋体"/>
          <w:color w:val="auto"/>
          <w:highlight w:val="none"/>
        </w:rPr>
        <w:t>愿意承担由此而产生的一切后果。</w:t>
      </w:r>
      <w:bookmarkEnd w:id="182"/>
    </w:p>
    <w:p w14:paraId="031C4181">
      <w:pPr>
        <w:spacing w:line="420" w:lineRule="exact"/>
        <w:ind w:firstLine="660"/>
        <w:jc w:val="left"/>
        <w:rPr>
          <w:rFonts w:eastAsia="宋体"/>
          <w:color w:val="auto"/>
          <w:highlight w:val="none"/>
        </w:rPr>
      </w:pPr>
    </w:p>
    <w:p w14:paraId="5DD7C20E">
      <w:pPr>
        <w:spacing w:line="420" w:lineRule="exact"/>
        <w:ind w:firstLine="660"/>
        <w:jc w:val="left"/>
        <w:rPr>
          <w:rFonts w:eastAsia="宋体"/>
          <w:color w:val="auto"/>
          <w:highlight w:val="none"/>
        </w:rPr>
      </w:pPr>
    </w:p>
    <w:p w14:paraId="6CB980F6">
      <w:pPr>
        <w:spacing w:line="420" w:lineRule="exact"/>
        <w:jc w:val="right"/>
        <w:rPr>
          <w:rFonts w:eastAsia="宋体"/>
          <w:color w:val="auto"/>
          <w:highlight w:val="none"/>
        </w:rPr>
      </w:pPr>
      <w:bookmarkStart w:id="183" w:name="_Hlk69862122"/>
      <w:r>
        <w:rPr>
          <w:rFonts w:hint="eastAsia" w:eastAsia="宋体" w:cs="宋体"/>
          <w:color w:val="auto"/>
          <w:highlight w:val="none"/>
        </w:rPr>
        <w:t>声明人全称（加盖CA电子签章）：</w:t>
      </w:r>
      <w:r>
        <w:rPr>
          <w:rFonts w:eastAsia="宋体"/>
          <w:color w:val="auto"/>
          <w:highlight w:val="none"/>
        </w:rPr>
        <w:t xml:space="preserve"> </w:t>
      </w:r>
    </w:p>
    <w:p w14:paraId="5A5E073B">
      <w:pPr>
        <w:spacing w:line="420" w:lineRule="exact"/>
        <w:jc w:val="right"/>
        <w:rPr>
          <w:rFonts w:eastAsia="宋体"/>
          <w:color w:val="auto"/>
          <w:highlight w:val="none"/>
        </w:rPr>
      </w:pPr>
    </w:p>
    <w:p w14:paraId="5E5D99B2">
      <w:pPr>
        <w:spacing w:line="420" w:lineRule="exact"/>
        <w:ind w:firstLine="425"/>
        <w:jc w:val="right"/>
        <w:rPr>
          <w:rFonts w:eastAsia="宋体"/>
          <w:b/>
          <w:bCs/>
          <w:color w:val="auto"/>
          <w:highlight w:val="none"/>
        </w:rPr>
      </w:pPr>
      <w:r>
        <w:rPr>
          <w:rFonts w:hint="eastAsia" w:eastAsia="宋体" w:cs="宋体"/>
          <w:color w:val="auto"/>
          <w:highlight w:val="none"/>
        </w:rPr>
        <w:t>年</w:t>
      </w:r>
      <w:r>
        <w:rPr>
          <w:rFonts w:eastAsia="宋体"/>
          <w:color w:val="auto"/>
          <w:highlight w:val="none"/>
        </w:rPr>
        <w:t xml:space="preserve">  </w:t>
      </w:r>
      <w:r>
        <w:rPr>
          <w:rFonts w:hint="eastAsia" w:eastAsia="宋体" w:cs="宋体"/>
          <w:color w:val="auto"/>
          <w:highlight w:val="none"/>
        </w:rPr>
        <w:t>月</w:t>
      </w:r>
      <w:r>
        <w:rPr>
          <w:rFonts w:eastAsia="宋体"/>
          <w:color w:val="auto"/>
          <w:highlight w:val="none"/>
        </w:rPr>
        <w:t xml:space="preserve">  </w:t>
      </w:r>
      <w:r>
        <w:rPr>
          <w:rFonts w:hint="eastAsia" w:eastAsia="宋体" w:cs="宋体"/>
          <w:color w:val="auto"/>
          <w:highlight w:val="none"/>
        </w:rPr>
        <w:t>日</w:t>
      </w:r>
      <w:bookmarkEnd w:id="183"/>
    </w:p>
    <w:p w14:paraId="0AC681F6">
      <w:pPr>
        <w:spacing w:line="420" w:lineRule="exact"/>
        <w:ind w:firstLine="424"/>
        <w:outlineLvl w:val="3"/>
        <w:rPr>
          <w:rFonts w:eastAsia="宋体"/>
          <w:b/>
          <w:bCs/>
          <w:color w:val="auto"/>
          <w:highlight w:val="none"/>
        </w:rPr>
        <w:sectPr>
          <w:pgSz w:w="11906" w:h="16838"/>
          <w:pgMar w:top="851" w:right="851" w:bottom="851" w:left="1134" w:header="567" w:footer="454" w:gutter="0"/>
          <w:cols w:space="425" w:num="1"/>
          <w:docGrid w:linePitch="360" w:charSpace="0"/>
        </w:sectPr>
      </w:pPr>
    </w:p>
    <w:p w14:paraId="34D86993">
      <w:pPr>
        <w:spacing w:line="420" w:lineRule="exact"/>
        <w:ind w:firstLine="424"/>
        <w:outlineLvl w:val="3"/>
        <w:rPr>
          <w:rFonts w:eastAsia="宋体"/>
          <w:b/>
          <w:bCs/>
          <w:color w:val="auto"/>
          <w:highlight w:val="none"/>
        </w:rPr>
      </w:pPr>
      <w:r>
        <w:rPr>
          <w:rFonts w:hint="eastAsia" w:eastAsia="宋体"/>
          <w:b/>
          <w:bCs/>
          <w:color w:val="auto"/>
          <w:highlight w:val="none"/>
        </w:rPr>
        <w:t>附件4-1 法定代表人身份证明书</w:t>
      </w:r>
    </w:p>
    <w:p w14:paraId="61D8495C">
      <w:pPr>
        <w:spacing w:before="240" w:after="240" w:line="420" w:lineRule="exact"/>
        <w:jc w:val="center"/>
        <w:rPr>
          <w:rFonts w:eastAsia="宋体" w:cs="宋体"/>
          <w:b/>
          <w:bCs/>
          <w:color w:val="auto"/>
          <w:sz w:val="28"/>
          <w:szCs w:val="28"/>
          <w:highlight w:val="none"/>
        </w:rPr>
      </w:pPr>
      <w:r>
        <w:rPr>
          <w:rFonts w:hint="eastAsia" w:eastAsia="宋体" w:cs="宋体"/>
          <w:b/>
          <w:bCs/>
          <w:color w:val="auto"/>
          <w:sz w:val="28"/>
          <w:szCs w:val="28"/>
          <w:highlight w:val="none"/>
        </w:rPr>
        <w:t>法定代表人身份证明书</w:t>
      </w:r>
    </w:p>
    <w:p w14:paraId="545739B6">
      <w:pPr>
        <w:spacing w:line="420" w:lineRule="exact"/>
        <w:rPr>
          <w:rFonts w:ascii="宋体" w:hAnsi="宋体" w:eastAsia="宋体"/>
          <w:color w:val="auto"/>
          <w:highlight w:val="none"/>
        </w:rPr>
      </w:pPr>
      <w:r>
        <w:rPr>
          <w:rFonts w:hint="eastAsia" w:ascii="宋体" w:hAnsi="宋体" w:eastAsia="宋体"/>
          <w:color w:val="auto"/>
          <w:highlight w:val="none"/>
        </w:rPr>
        <w:t>单位名称:</w:t>
      </w:r>
    </w:p>
    <w:p w14:paraId="4E725CA5">
      <w:pPr>
        <w:spacing w:line="420" w:lineRule="exact"/>
        <w:rPr>
          <w:rFonts w:ascii="宋体" w:hAnsi="宋体" w:eastAsia="宋体"/>
          <w:color w:val="auto"/>
          <w:highlight w:val="none"/>
        </w:rPr>
      </w:pPr>
      <w:r>
        <w:rPr>
          <w:rFonts w:hint="eastAsia" w:ascii="宋体" w:hAnsi="宋体" w:eastAsia="宋体"/>
          <w:color w:val="auto"/>
          <w:highlight w:val="none"/>
        </w:rPr>
        <w:t>地址:</w:t>
      </w:r>
    </w:p>
    <w:p w14:paraId="42D70909">
      <w:pPr>
        <w:spacing w:line="420" w:lineRule="exact"/>
        <w:rPr>
          <w:rFonts w:ascii="宋体" w:hAnsi="宋体" w:eastAsia="宋体"/>
          <w:color w:val="auto"/>
          <w:highlight w:val="none"/>
        </w:rPr>
      </w:pPr>
      <w:r>
        <w:rPr>
          <w:rFonts w:hint="eastAsia" w:ascii="宋体" w:hAnsi="宋体" w:eastAsia="宋体"/>
          <w:color w:val="auto"/>
          <w:highlight w:val="none"/>
        </w:rPr>
        <w:t xml:space="preserve">姓名:        性别:         年龄:         </w:t>
      </w:r>
    </w:p>
    <w:p w14:paraId="130EBED2">
      <w:pPr>
        <w:spacing w:line="420" w:lineRule="exact"/>
        <w:ind w:firstLine="566"/>
        <w:rPr>
          <w:rFonts w:ascii="宋体" w:hAnsi="宋体" w:eastAsia="宋体"/>
          <w:color w:val="auto"/>
          <w:highlight w:val="none"/>
        </w:rPr>
      </w:pPr>
    </w:p>
    <w:p w14:paraId="06298790">
      <w:pPr>
        <w:spacing w:line="420" w:lineRule="exact"/>
        <w:ind w:firstLine="566"/>
        <w:rPr>
          <w:rFonts w:ascii="宋体" w:hAnsi="宋体" w:eastAsia="宋体"/>
          <w:color w:val="auto"/>
          <w:highlight w:val="none"/>
        </w:rPr>
      </w:pPr>
      <w:r>
        <w:rPr>
          <w:rFonts w:hint="eastAsia" w:ascii="宋体" w:hAnsi="宋体" w:eastAsia="宋体"/>
          <w:color w:val="auto"/>
          <w:highlight w:val="none"/>
        </w:rPr>
        <w:t>我</w:t>
      </w:r>
      <w:r>
        <w:rPr>
          <w:rFonts w:hint="eastAsia" w:ascii="宋体" w:hAnsi="宋体" w:eastAsia="宋体"/>
          <w:color w:val="auto"/>
          <w:highlight w:val="none"/>
          <w:u w:val="single"/>
        </w:rPr>
        <w:t xml:space="preserve">（姓名）  </w:t>
      </w:r>
      <w:r>
        <w:rPr>
          <w:rFonts w:hint="eastAsia" w:ascii="宋体" w:hAnsi="宋体" w:eastAsia="宋体"/>
          <w:color w:val="auto"/>
          <w:highlight w:val="none"/>
        </w:rPr>
        <w:t>系</w:t>
      </w:r>
      <w:r>
        <w:rPr>
          <w:rFonts w:hint="eastAsia" w:ascii="宋体" w:hAnsi="宋体" w:eastAsia="宋体"/>
          <w:color w:val="auto"/>
          <w:highlight w:val="none"/>
          <w:u w:val="single"/>
        </w:rPr>
        <w:t>（响应单位名称）</w:t>
      </w:r>
      <w:r>
        <w:rPr>
          <w:rFonts w:hint="eastAsia" w:ascii="宋体" w:hAnsi="宋体" w:eastAsia="宋体"/>
          <w:color w:val="auto"/>
          <w:highlight w:val="none"/>
        </w:rPr>
        <w:t>的法定代表人，现任我单位</w:t>
      </w:r>
      <w:r>
        <w:rPr>
          <w:rFonts w:ascii="宋体" w:hAnsi="宋体" w:eastAsia="宋体"/>
          <w:color w:val="auto"/>
          <w:highlight w:val="none"/>
          <w:u w:val="single"/>
        </w:rPr>
        <w:t xml:space="preserve">        </w:t>
      </w:r>
      <w:r>
        <w:rPr>
          <w:rFonts w:hint="eastAsia" w:ascii="宋体" w:hAnsi="宋体" w:eastAsia="宋体"/>
          <w:color w:val="auto"/>
          <w:highlight w:val="none"/>
        </w:rPr>
        <w:t>职务。</w:t>
      </w:r>
    </w:p>
    <w:p w14:paraId="02611C57">
      <w:pPr>
        <w:spacing w:line="420" w:lineRule="exact"/>
        <w:ind w:firstLine="566"/>
        <w:rPr>
          <w:rFonts w:ascii="宋体" w:hAnsi="宋体" w:eastAsia="宋体"/>
          <w:color w:val="auto"/>
          <w:highlight w:val="none"/>
          <w:u w:val="single"/>
        </w:rPr>
      </w:pPr>
      <w:r>
        <w:rPr>
          <w:rFonts w:hint="eastAsia" w:ascii="宋体" w:hAnsi="宋体" w:eastAsia="宋体"/>
          <w:color w:val="auto"/>
          <w:highlight w:val="none"/>
        </w:rPr>
        <w:t>身份证号码：</w:t>
      </w:r>
      <w:r>
        <w:rPr>
          <w:rFonts w:hint="eastAsia" w:ascii="宋体" w:hAnsi="宋体" w:eastAsia="宋体"/>
          <w:color w:val="auto"/>
          <w:highlight w:val="none"/>
          <w:u w:val="single"/>
        </w:rPr>
        <w:t xml:space="preserve">                          </w:t>
      </w:r>
    </w:p>
    <w:p w14:paraId="0D262098">
      <w:pPr>
        <w:spacing w:line="420" w:lineRule="exact"/>
        <w:ind w:firstLine="566"/>
        <w:rPr>
          <w:rFonts w:ascii="宋体" w:hAnsi="宋体" w:eastAsia="宋体"/>
          <w:color w:val="auto"/>
          <w:highlight w:val="none"/>
          <w:u w:val="single"/>
        </w:rPr>
      </w:pPr>
      <w:r>
        <w:rPr>
          <w:rFonts w:hint="eastAsia" w:ascii="宋体" w:hAnsi="宋体" w:eastAsia="宋体"/>
          <w:color w:val="auto"/>
          <w:highlight w:val="none"/>
        </w:rPr>
        <w:t>联系电话：</w:t>
      </w:r>
      <w:r>
        <w:rPr>
          <w:rFonts w:hint="eastAsia" w:ascii="宋体" w:hAnsi="宋体" w:eastAsia="宋体"/>
          <w:color w:val="auto"/>
          <w:highlight w:val="none"/>
          <w:u w:val="single"/>
        </w:rPr>
        <w:t xml:space="preserve">                            </w:t>
      </w:r>
    </w:p>
    <w:p w14:paraId="3AB7DD58">
      <w:pPr>
        <w:spacing w:line="420" w:lineRule="exact"/>
        <w:ind w:firstLine="566"/>
        <w:rPr>
          <w:rFonts w:ascii="宋体" w:hAnsi="宋体" w:eastAsia="宋体"/>
          <w:color w:val="auto"/>
          <w:highlight w:val="none"/>
        </w:rPr>
      </w:pPr>
    </w:p>
    <w:p w14:paraId="55BCD941">
      <w:pPr>
        <w:spacing w:line="420" w:lineRule="exact"/>
        <w:ind w:firstLine="566"/>
        <w:rPr>
          <w:rFonts w:ascii="宋体" w:hAnsi="宋体" w:eastAsia="宋体"/>
          <w:color w:val="auto"/>
          <w:highlight w:val="none"/>
        </w:rPr>
      </w:pPr>
      <w:r>
        <w:rPr>
          <w:rFonts w:hint="eastAsia" w:ascii="宋体" w:hAnsi="宋体" w:eastAsia="宋体"/>
          <w:color w:val="auto"/>
          <w:highlight w:val="none"/>
        </w:rPr>
        <w:t>特此证明。</w:t>
      </w:r>
    </w:p>
    <w:p w14:paraId="35C24D2C">
      <w:pPr>
        <w:spacing w:line="420" w:lineRule="exact"/>
        <w:rPr>
          <w:rFonts w:ascii="宋体" w:hAnsi="宋体" w:eastAsia="宋体"/>
          <w:color w:val="auto"/>
          <w:highlight w:val="none"/>
        </w:rPr>
      </w:pPr>
    </w:p>
    <w:p w14:paraId="4073A393">
      <w:pPr>
        <w:widowControl/>
        <w:spacing w:line="420" w:lineRule="exact"/>
        <w:ind w:right="-46"/>
        <w:jc w:val="left"/>
        <w:rPr>
          <w:rFonts w:ascii="楷体_GB2312" w:hAnsi="Arial" w:eastAsia="楷体_GB2312"/>
          <w:color w:val="auto"/>
          <w:spacing w:val="-3"/>
          <w:highlight w:val="none"/>
        </w:rPr>
      </w:pPr>
      <w:r>
        <w:rPr>
          <w:rFonts w:ascii="宋体" w:hAnsi="宋体" w:eastAsia="宋体"/>
          <w:color w:val="auto"/>
          <w:highlight w:val="none"/>
        </w:rPr>
        <w:t>附：</w:t>
      </w:r>
      <w:r>
        <w:rPr>
          <w:rFonts w:ascii="宋体" w:hAnsi="宋体" w:eastAsia="宋体"/>
          <w:color w:val="auto"/>
          <w:spacing w:val="-3"/>
          <w:highlight w:val="none"/>
        </w:rPr>
        <w:t>法</w:t>
      </w:r>
      <w:r>
        <w:rPr>
          <w:rFonts w:ascii="宋体" w:hAnsi="宋体" w:eastAsia="宋体"/>
          <w:color w:val="auto"/>
          <w:highlight w:val="none"/>
        </w:rPr>
        <w:t>定</w:t>
      </w:r>
      <w:r>
        <w:rPr>
          <w:rFonts w:ascii="宋体" w:hAnsi="宋体" w:eastAsia="宋体"/>
          <w:color w:val="auto"/>
          <w:spacing w:val="-3"/>
          <w:highlight w:val="none"/>
        </w:rPr>
        <w:t>代</w:t>
      </w:r>
      <w:r>
        <w:rPr>
          <w:rFonts w:ascii="宋体" w:hAnsi="宋体" w:eastAsia="宋体"/>
          <w:color w:val="auto"/>
          <w:highlight w:val="none"/>
        </w:rPr>
        <w:t>表</w:t>
      </w:r>
      <w:r>
        <w:rPr>
          <w:rFonts w:ascii="宋体" w:hAnsi="宋体" w:eastAsia="宋体"/>
          <w:color w:val="auto"/>
          <w:spacing w:val="-3"/>
          <w:highlight w:val="none"/>
        </w:rPr>
        <w:t>人有效期内的身</w:t>
      </w:r>
      <w:r>
        <w:rPr>
          <w:rFonts w:hint="eastAsia" w:ascii="宋体" w:hAnsi="宋体" w:eastAsia="宋体"/>
          <w:color w:val="auto"/>
          <w:spacing w:val="-3"/>
          <w:highlight w:val="none"/>
        </w:rPr>
        <w:t>份</w:t>
      </w:r>
      <w:r>
        <w:rPr>
          <w:rFonts w:ascii="宋体" w:hAnsi="宋体" w:eastAsia="宋体"/>
          <w:color w:val="auto"/>
          <w:spacing w:val="-3"/>
          <w:highlight w:val="none"/>
        </w:rPr>
        <w:t>证正反面</w:t>
      </w:r>
      <w:r>
        <w:rPr>
          <w:rFonts w:hint="eastAsia" w:ascii="宋体" w:hAnsi="宋体" w:eastAsia="宋体"/>
          <w:color w:val="auto"/>
          <w:spacing w:val="-3"/>
          <w:highlight w:val="none"/>
        </w:rPr>
        <w:t>电子</w:t>
      </w:r>
      <w:r>
        <w:rPr>
          <w:rFonts w:ascii="宋体" w:hAnsi="宋体" w:eastAsia="宋体"/>
          <w:color w:val="auto"/>
          <w:spacing w:val="-3"/>
          <w:highlight w:val="none"/>
        </w:rPr>
        <w:t>件</w:t>
      </w:r>
      <w:r>
        <w:rPr>
          <w:rFonts w:hint="eastAsia" w:ascii="宋体" w:hAnsi="宋体" w:eastAsia="宋体"/>
          <w:color w:val="auto"/>
          <w:spacing w:val="-3"/>
          <w:highlight w:val="none"/>
        </w:rPr>
        <w:t>。</w:t>
      </w:r>
    </w:p>
    <w:tbl>
      <w:tblPr>
        <w:tblStyle w:val="89"/>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9"/>
        <w:gridCol w:w="4959"/>
      </w:tblGrid>
      <w:tr w14:paraId="0CD0A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8" w:hRule="atLeast"/>
        </w:trPr>
        <w:tc>
          <w:tcPr>
            <w:tcW w:w="4959" w:type="dxa"/>
            <w:noWrap/>
          </w:tcPr>
          <w:p w14:paraId="122CC43A">
            <w:pPr>
              <w:tabs>
                <w:tab w:val="left" w:pos="5580"/>
              </w:tabs>
              <w:spacing w:line="420" w:lineRule="exact"/>
              <w:rPr>
                <w:rFonts w:ascii="宋体" w:hAnsi="宋体" w:eastAsia="宋体"/>
                <w:color w:val="auto"/>
                <w:highlight w:val="none"/>
              </w:rPr>
            </w:pPr>
          </w:p>
          <w:p w14:paraId="665145E0">
            <w:pPr>
              <w:tabs>
                <w:tab w:val="left" w:pos="5580"/>
              </w:tabs>
              <w:spacing w:line="420" w:lineRule="exact"/>
              <w:rPr>
                <w:rFonts w:ascii="宋体" w:hAnsi="宋体" w:eastAsia="宋体"/>
                <w:color w:val="auto"/>
                <w:highlight w:val="none"/>
              </w:rPr>
            </w:pPr>
          </w:p>
          <w:p w14:paraId="5AE37724">
            <w:pPr>
              <w:tabs>
                <w:tab w:val="left" w:pos="5580"/>
              </w:tabs>
              <w:spacing w:line="420" w:lineRule="exact"/>
              <w:rPr>
                <w:rFonts w:ascii="宋体" w:hAnsi="宋体" w:eastAsia="宋体"/>
                <w:color w:val="auto"/>
                <w:highlight w:val="none"/>
              </w:rPr>
            </w:pPr>
          </w:p>
        </w:tc>
        <w:tc>
          <w:tcPr>
            <w:tcW w:w="4959" w:type="dxa"/>
            <w:noWrap/>
          </w:tcPr>
          <w:p w14:paraId="1E3CF0AC">
            <w:pPr>
              <w:tabs>
                <w:tab w:val="left" w:pos="5580"/>
              </w:tabs>
              <w:spacing w:line="420" w:lineRule="exact"/>
              <w:rPr>
                <w:rFonts w:ascii="宋体" w:hAnsi="宋体" w:eastAsia="宋体"/>
                <w:color w:val="auto"/>
                <w:highlight w:val="none"/>
              </w:rPr>
            </w:pPr>
          </w:p>
          <w:p w14:paraId="10EF8410">
            <w:pPr>
              <w:tabs>
                <w:tab w:val="left" w:pos="5580"/>
              </w:tabs>
              <w:spacing w:line="420" w:lineRule="exact"/>
              <w:rPr>
                <w:rFonts w:ascii="宋体" w:hAnsi="宋体" w:eastAsia="宋体"/>
                <w:color w:val="auto"/>
                <w:highlight w:val="none"/>
              </w:rPr>
            </w:pPr>
          </w:p>
          <w:p w14:paraId="4B4D04E5">
            <w:pPr>
              <w:tabs>
                <w:tab w:val="left" w:pos="5580"/>
              </w:tabs>
              <w:spacing w:line="420" w:lineRule="exact"/>
              <w:rPr>
                <w:rFonts w:ascii="宋体" w:hAnsi="宋体" w:eastAsia="宋体"/>
                <w:color w:val="auto"/>
                <w:highlight w:val="none"/>
              </w:rPr>
            </w:pPr>
          </w:p>
        </w:tc>
      </w:tr>
    </w:tbl>
    <w:p w14:paraId="7D8AE02D">
      <w:pPr>
        <w:tabs>
          <w:tab w:val="left" w:pos="5580"/>
        </w:tabs>
        <w:spacing w:line="420" w:lineRule="exact"/>
        <w:ind w:left="420"/>
        <w:rPr>
          <w:rFonts w:eastAsia="宋体"/>
          <w:color w:val="auto"/>
          <w:highlight w:val="none"/>
        </w:rPr>
      </w:pPr>
    </w:p>
    <w:p w14:paraId="444DB241">
      <w:pPr>
        <w:tabs>
          <w:tab w:val="left" w:pos="5580"/>
        </w:tabs>
        <w:spacing w:line="420" w:lineRule="exact"/>
        <w:ind w:left="420" w:firstLine="3840"/>
        <w:rPr>
          <w:rFonts w:eastAsia="宋体"/>
          <w:color w:val="auto"/>
          <w:highlight w:val="none"/>
        </w:rPr>
      </w:pPr>
      <w:bookmarkStart w:id="184" w:name="_Hlk185339751"/>
      <w:r>
        <w:rPr>
          <w:rFonts w:ascii="宋体" w:hAnsi="宋体" w:eastAsia="宋体"/>
          <w:color w:val="auto"/>
          <w:highlight w:val="none"/>
        </w:rPr>
        <w:t>供应商</w:t>
      </w:r>
      <w:r>
        <w:rPr>
          <w:rFonts w:hint="eastAsia" w:ascii="宋体" w:hAnsi="宋体" w:eastAsia="宋体"/>
          <w:color w:val="auto"/>
          <w:highlight w:val="none"/>
        </w:rPr>
        <w:t>：（加盖CA电子签章）</w:t>
      </w:r>
      <w:r>
        <w:rPr>
          <w:rFonts w:ascii="宋体" w:hAnsi="宋体" w:eastAsia="宋体"/>
          <w:color w:val="auto"/>
          <w:highlight w:val="none"/>
        </w:rPr>
        <w:t xml:space="preserve"> ___________</w:t>
      </w:r>
    </w:p>
    <w:p w14:paraId="00CF3F13">
      <w:pPr>
        <w:spacing w:line="420" w:lineRule="exact"/>
        <w:ind w:firstLine="4320"/>
        <w:rPr>
          <w:rFonts w:ascii="宋体" w:hAnsi="宋体" w:eastAsia="宋体"/>
          <w:color w:val="auto"/>
          <w:highlight w:val="none"/>
        </w:rPr>
      </w:pPr>
      <w:r>
        <w:rPr>
          <w:rFonts w:hint="eastAsia" w:ascii="宋体" w:hAnsi="宋体" w:eastAsia="宋体"/>
          <w:color w:val="auto"/>
          <w:highlight w:val="none"/>
        </w:rPr>
        <w:t>法定代表人签字或盖电子章：</w:t>
      </w:r>
    </w:p>
    <w:p w14:paraId="5A166AE7">
      <w:pPr>
        <w:spacing w:line="420" w:lineRule="exact"/>
        <w:ind w:firstLine="4320"/>
        <w:rPr>
          <w:rFonts w:eastAsia="宋体"/>
          <w:b/>
          <w:bCs/>
          <w:color w:val="auto"/>
          <w:highlight w:val="none"/>
        </w:rPr>
      </w:pPr>
      <w:r>
        <w:rPr>
          <w:rFonts w:hint="eastAsia" w:ascii="宋体" w:hAnsi="宋体" w:eastAsia="宋体"/>
          <w:color w:val="auto"/>
          <w:highlight w:val="none"/>
        </w:rPr>
        <w:t>日期：        年        月         日</w:t>
      </w:r>
      <w:bookmarkEnd w:id="184"/>
    </w:p>
    <w:p w14:paraId="209A0AB0">
      <w:pPr>
        <w:spacing w:line="420" w:lineRule="exact"/>
        <w:ind w:firstLine="424"/>
        <w:outlineLvl w:val="3"/>
        <w:rPr>
          <w:rFonts w:eastAsia="宋体"/>
          <w:b/>
          <w:bCs/>
          <w:color w:val="auto"/>
          <w:highlight w:val="none"/>
        </w:rPr>
      </w:pPr>
    </w:p>
    <w:p w14:paraId="5B20DF09">
      <w:pPr>
        <w:pStyle w:val="35"/>
        <w:rPr>
          <w:rFonts w:eastAsia="宋体"/>
          <w:b/>
          <w:bCs/>
          <w:color w:val="auto"/>
          <w:highlight w:val="none"/>
        </w:rPr>
      </w:pPr>
    </w:p>
    <w:p w14:paraId="5E00E515">
      <w:pPr>
        <w:pStyle w:val="2"/>
        <w:rPr>
          <w:b/>
          <w:bCs/>
          <w:color w:val="auto"/>
          <w:highlight w:val="none"/>
        </w:rPr>
      </w:pPr>
    </w:p>
    <w:p w14:paraId="542B8E1D">
      <w:pPr>
        <w:pStyle w:val="2"/>
        <w:rPr>
          <w:b/>
          <w:bCs/>
          <w:color w:val="auto"/>
          <w:highlight w:val="none"/>
        </w:rPr>
      </w:pPr>
    </w:p>
    <w:p w14:paraId="6C747CF8">
      <w:pPr>
        <w:pStyle w:val="2"/>
        <w:rPr>
          <w:b/>
          <w:bCs/>
          <w:color w:val="auto"/>
          <w:highlight w:val="none"/>
        </w:rPr>
      </w:pPr>
    </w:p>
    <w:p w14:paraId="7F130FE5">
      <w:pPr>
        <w:pStyle w:val="2"/>
        <w:rPr>
          <w:b/>
          <w:bCs/>
          <w:color w:val="auto"/>
          <w:highlight w:val="none"/>
        </w:rPr>
      </w:pPr>
    </w:p>
    <w:p w14:paraId="5DDF897C">
      <w:pPr>
        <w:pStyle w:val="2"/>
        <w:rPr>
          <w:b/>
          <w:bCs/>
          <w:color w:val="auto"/>
          <w:highlight w:val="none"/>
        </w:rPr>
      </w:pPr>
    </w:p>
    <w:p w14:paraId="1458E431">
      <w:pPr>
        <w:pStyle w:val="2"/>
        <w:rPr>
          <w:b/>
          <w:bCs/>
          <w:color w:val="auto"/>
          <w:highlight w:val="none"/>
        </w:rPr>
      </w:pPr>
    </w:p>
    <w:p w14:paraId="0020AF1F">
      <w:pPr>
        <w:pStyle w:val="2"/>
        <w:rPr>
          <w:b/>
          <w:bCs/>
          <w:color w:val="auto"/>
          <w:highlight w:val="none"/>
        </w:rPr>
      </w:pPr>
    </w:p>
    <w:p w14:paraId="07BEE9D8">
      <w:pPr>
        <w:pStyle w:val="2"/>
        <w:rPr>
          <w:b/>
          <w:bCs/>
          <w:color w:val="auto"/>
          <w:highlight w:val="none"/>
        </w:rPr>
      </w:pPr>
    </w:p>
    <w:p w14:paraId="195B755B">
      <w:pPr>
        <w:pStyle w:val="2"/>
        <w:rPr>
          <w:b/>
          <w:bCs/>
          <w:color w:val="auto"/>
          <w:highlight w:val="none"/>
        </w:rPr>
      </w:pPr>
    </w:p>
    <w:p w14:paraId="3AFAC3AC">
      <w:pPr>
        <w:pStyle w:val="2"/>
        <w:rPr>
          <w:b/>
          <w:bCs/>
          <w:color w:val="auto"/>
          <w:highlight w:val="none"/>
        </w:rPr>
      </w:pPr>
    </w:p>
    <w:p w14:paraId="44070370">
      <w:pPr>
        <w:pStyle w:val="2"/>
        <w:rPr>
          <w:b/>
          <w:bCs/>
          <w:color w:val="auto"/>
          <w:highlight w:val="none"/>
        </w:rPr>
      </w:pPr>
    </w:p>
    <w:p w14:paraId="011A6112">
      <w:pPr>
        <w:pStyle w:val="2"/>
        <w:rPr>
          <w:b/>
          <w:bCs/>
          <w:color w:val="auto"/>
          <w:highlight w:val="none"/>
        </w:rPr>
      </w:pPr>
    </w:p>
    <w:p w14:paraId="422B5D16">
      <w:pPr>
        <w:spacing w:line="420" w:lineRule="exact"/>
        <w:outlineLvl w:val="3"/>
        <w:rPr>
          <w:rFonts w:eastAsia="宋体"/>
          <w:color w:val="auto"/>
          <w:highlight w:val="none"/>
        </w:rPr>
      </w:pPr>
      <w:r>
        <w:rPr>
          <w:rFonts w:hint="eastAsia" w:eastAsia="宋体"/>
          <w:b/>
          <w:bCs/>
          <w:color w:val="auto"/>
          <w:highlight w:val="none"/>
        </w:rPr>
        <w:t xml:space="preserve">附件4-2  </w:t>
      </w:r>
      <w:r>
        <w:rPr>
          <w:rFonts w:hint="eastAsia" w:eastAsia="宋体"/>
          <w:color w:val="auto"/>
          <w:highlight w:val="none"/>
        </w:rPr>
        <w:t>拟派项目负责人资格表</w:t>
      </w:r>
    </w:p>
    <w:p w14:paraId="7085E0C0">
      <w:pPr>
        <w:spacing w:line="420" w:lineRule="exact"/>
        <w:outlineLvl w:val="3"/>
        <w:rPr>
          <w:rFonts w:eastAsia="宋体"/>
          <w:color w:val="auto"/>
          <w:highlight w:val="none"/>
        </w:rPr>
      </w:pPr>
    </w:p>
    <w:p w14:paraId="5B94192B">
      <w:pPr>
        <w:tabs>
          <w:tab w:val="left" w:pos="993"/>
        </w:tabs>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拟派往本招标项目负责人简历表</w:t>
      </w:r>
    </w:p>
    <w:tbl>
      <w:tblPr>
        <w:tblStyle w:val="8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6"/>
        <w:gridCol w:w="1513"/>
        <w:gridCol w:w="176"/>
        <w:gridCol w:w="1120"/>
        <w:gridCol w:w="476"/>
        <w:gridCol w:w="424"/>
        <w:gridCol w:w="813"/>
        <w:gridCol w:w="619"/>
        <w:gridCol w:w="269"/>
        <w:gridCol w:w="274"/>
        <w:gridCol w:w="1419"/>
      </w:tblGrid>
      <w:tr w14:paraId="0899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14:paraId="75F63642">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姓名</w:t>
            </w:r>
          </w:p>
        </w:tc>
        <w:tc>
          <w:tcPr>
            <w:tcW w:w="2115" w:type="dxa"/>
            <w:gridSpan w:val="3"/>
            <w:vAlign w:val="center"/>
          </w:tcPr>
          <w:p w14:paraId="0D6BDA56">
            <w:pPr>
              <w:tabs>
                <w:tab w:val="left" w:pos="993"/>
              </w:tabs>
              <w:adjustRightInd w:val="0"/>
              <w:snapToGrid w:val="0"/>
              <w:jc w:val="center"/>
              <w:rPr>
                <w:rFonts w:ascii="宋体" w:hAnsi="宋体"/>
                <w:color w:val="auto"/>
                <w:sz w:val="25"/>
                <w:szCs w:val="25"/>
                <w:highlight w:val="none"/>
              </w:rPr>
            </w:pPr>
          </w:p>
        </w:tc>
        <w:tc>
          <w:tcPr>
            <w:tcW w:w="2020" w:type="dxa"/>
            <w:gridSpan w:val="3"/>
            <w:vAlign w:val="center"/>
          </w:tcPr>
          <w:p w14:paraId="0B47F2CA">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性别</w:t>
            </w:r>
          </w:p>
        </w:tc>
        <w:tc>
          <w:tcPr>
            <w:tcW w:w="813" w:type="dxa"/>
            <w:vAlign w:val="center"/>
          </w:tcPr>
          <w:p w14:paraId="198CA821">
            <w:pPr>
              <w:tabs>
                <w:tab w:val="left" w:pos="993"/>
              </w:tabs>
              <w:adjustRightInd w:val="0"/>
              <w:snapToGrid w:val="0"/>
              <w:jc w:val="center"/>
              <w:rPr>
                <w:rFonts w:ascii="宋体" w:hAnsi="宋体"/>
                <w:color w:val="auto"/>
                <w:sz w:val="25"/>
                <w:szCs w:val="25"/>
                <w:highlight w:val="none"/>
              </w:rPr>
            </w:pPr>
          </w:p>
        </w:tc>
        <w:tc>
          <w:tcPr>
            <w:tcW w:w="888" w:type="dxa"/>
            <w:gridSpan w:val="2"/>
            <w:vAlign w:val="center"/>
          </w:tcPr>
          <w:p w14:paraId="42C19FF4">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年龄</w:t>
            </w:r>
          </w:p>
        </w:tc>
        <w:tc>
          <w:tcPr>
            <w:tcW w:w="1693" w:type="dxa"/>
            <w:gridSpan w:val="2"/>
            <w:vAlign w:val="center"/>
          </w:tcPr>
          <w:p w14:paraId="37EE4569">
            <w:pPr>
              <w:tabs>
                <w:tab w:val="left" w:pos="993"/>
              </w:tabs>
              <w:adjustRightInd w:val="0"/>
              <w:snapToGrid w:val="0"/>
              <w:jc w:val="center"/>
              <w:rPr>
                <w:rFonts w:ascii="宋体" w:hAnsi="宋体"/>
                <w:color w:val="auto"/>
                <w:sz w:val="25"/>
                <w:szCs w:val="25"/>
                <w:highlight w:val="none"/>
              </w:rPr>
            </w:pPr>
          </w:p>
        </w:tc>
      </w:tr>
      <w:tr w14:paraId="06A4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14:paraId="3BD05308">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职务</w:t>
            </w:r>
          </w:p>
        </w:tc>
        <w:tc>
          <w:tcPr>
            <w:tcW w:w="2115" w:type="dxa"/>
            <w:gridSpan w:val="3"/>
            <w:vAlign w:val="center"/>
          </w:tcPr>
          <w:p w14:paraId="46AEC091">
            <w:pPr>
              <w:tabs>
                <w:tab w:val="left" w:pos="993"/>
              </w:tabs>
              <w:adjustRightInd w:val="0"/>
              <w:snapToGrid w:val="0"/>
              <w:jc w:val="center"/>
              <w:rPr>
                <w:rFonts w:ascii="宋体" w:hAnsi="宋体"/>
                <w:color w:val="auto"/>
                <w:sz w:val="25"/>
                <w:szCs w:val="25"/>
                <w:highlight w:val="none"/>
              </w:rPr>
            </w:pPr>
          </w:p>
        </w:tc>
        <w:tc>
          <w:tcPr>
            <w:tcW w:w="2020" w:type="dxa"/>
            <w:gridSpan w:val="3"/>
            <w:vAlign w:val="center"/>
          </w:tcPr>
          <w:p w14:paraId="524566CF">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职称</w:t>
            </w:r>
          </w:p>
        </w:tc>
        <w:tc>
          <w:tcPr>
            <w:tcW w:w="813" w:type="dxa"/>
            <w:vAlign w:val="center"/>
          </w:tcPr>
          <w:p w14:paraId="6E109F69">
            <w:pPr>
              <w:tabs>
                <w:tab w:val="left" w:pos="993"/>
              </w:tabs>
              <w:adjustRightInd w:val="0"/>
              <w:snapToGrid w:val="0"/>
              <w:jc w:val="center"/>
              <w:rPr>
                <w:rFonts w:ascii="宋体" w:hAnsi="宋体"/>
                <w:color w:val="auto"/>
                <w:sz w:val="25"/>
                <w:szCs w:val="25"/>
                <w:highlight w:val="none"/>
              </w:rPr>
            </w:pPr>
          </w:p>
        </w:tc>
        <w:tc>
          <w:tcPr>
            <w:tcW w:w="888" w:type="dxa"/>
            <w:gridSpan w:val="2"/>
            <w:vAlign w:val="center"/>
          </w:tcPr>
          <w:p w14:paraId="5DC7A49E">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学历</w:t>
            </w:r>
          </w:p>
        </w:tc>
        <w:tc>
          <w:tcPr>
            <w:tcW w:w="1693" w:type="dxa"/>
            <w:gridSpan w:val="2"/>
            <w:vAlign w:val="center"/>
          </w:tcPr>
          <w:p w14:paraId="7CAE6914">
            <w:pPr>
              <w:tabs>
                <w:tab w:val="left" w:pos="993"/>
              </w:tabs>
              <w:adjustRightInd w:val="0"/>
              <w:snapToGrid w:val="0"/>
              <w:jc w:val="center"/>
              <w:rPr>
                <w:rFonts w:ascii="宋体" w:hAnsi="宋体"/>
                <w:color w:val="auto"/>
                <w:sz w:val="25"/>
                <w:szCs w:val="25"/>
                <w:highlight w:val="none"/>
              </w:rPr>
            </w:pPr>
          </w:p>
        </w:tc>
      </w:tr>
      <w:tr w14:paraId="2115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2" w:type="dxa"/>
            <w:gridSpan w:val="3"/>
            <w:vAlign w:val="center"/>
          </w:tcPr>
          <w:p w14:paraId="49751200">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参加工作时间</w:t>
            </w:r>
          </w:p>
        </w:tc>
        <w:tc>
          <w:tcPr>
            <w:tcW w:w="1772" w:type="dxa"/>
            <w:gridSpan w:val="3"/>
            <w:vAlign w:val="center"/>
          </w:tcPr>
          <w:p w14:paraId="580E4E5C">
            <w:pPr>
              <w:tabs>
                <w:tab w:val="left" w:pos="993"/>
              </w:tabs>
              <w:adjustRightInd w:val="0"/>
              <w:snapToGrid w:val="0"/>
              <w:jc w:val="center"/>
              <w:rPr>
                <w:rFonts w:ascii="宋体" w:hAnsi="宋体"/>
                <w:color w:val="auto"/>
                <w:sz w:val="25"/>
                <w:szCs w:val="25"/>
                <w:highlight w:val="none"/>
              </w:rPr>
            </w:pPr>
          </w:p>
        </w:tc>
        <w:tc>
          <w:tcPr>
            <w:tcW w:w="2399" w:type="dxa"/>
            <w:gridSpan w:val="5"/>
            <w:vAlign w:val="center"/>
          </w:tcPr>
          <w:p w14:paraId="585F633F">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担任项目负责人</w:t>
            </w:r>
          </w:p>
          <w:p w14:paraId="41FDF0CA">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年限</w:t>
            </w:r>
          </w:p>
        </w:tc>
        <w:tc>
          <w:tcPr>
            <w:tcW w:w="1419" w:type="dxa"/>
            <w:vAlign w:val="center"/>
          </w:tcPr>
          <w:p w14:paraId="0C173DE4">
            <w:pPr>
              <w:tabs>
                <w:tab w:val="left" w:pos="993"/>
              </w:tabs>
              <w:adjustRightInd w:val="0"/>
              <w:snapToGrid w:val="0"/>
              <w:jc w:val="center"/>
              <w:rPr>
                <w:rFonts w:ascii="宋体" w:hAnsi="宋体"/>
                <w:color w:val="auto"/>
                <w:sz w:val="25"/>
                <w:szCs w:val="25"/>
                <w:highlight w:val="none"/>
              </w:rPr>
            </w:pPr>
          </w:p>
        </w:tc>
      </w:tr>
      <w:tr w14:paraId="2781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2" w:type="dxa"/>
            <w:gridSpan w:val="3"/>
            <w:vAlign w:val="center"/>
          </w:tcPr>
          <w:p w14:paraId="3C53FAE4">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注册证书编号</w:t>
            </w:r>
          </w:p>
        </w:tc>
        <w:tc>
          <w:tcPr>
            <w:tcW w:w="5590" w:type="dxa"/>
            <w:gridSpan w:val="9"/>
            <w:vAlign w:val="center"/>
          </w:tcPr>
          <w:p w14:paraId="504EC1D3">
            <w:pPr>
              <w:tabs>
                <w:tab w:val="left" w:pos="993"/>
              </w:tabs>
              <w:adjustRightInd w:val="0"/>
              <w:snapToGrid w:val="0"/>
              <w:jc w:val="center"/>
              <w:rPr>
                <w:rFonts w:ascii="宋体" w:hAnsi="宋体"/>
                <w:color w:val="auto"/>
                <w:sz w:val="25"/>
                <w:szCs w:val="25"/>
                <w:highlight w:val="none"/>
              </w:rPr>
            </w:pPr>
          </w:p>
        </w:tc>
      </w:tr>
      <w:tr w14:paraId="7626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12"/>
            <w:vAlign w:val="center"/>
          </w:tcPr>
          <w:p w14:paraId="5AE4818F">
            <w:pPr>
              <w:tabs>
                <w:tab w:val="left" w:pos="993"/>
              </w:tabs>
              <w:adjustRightInd w:val="0"/>
              <w:snapToGrid w:val="0"/>
              <w:jc w:val="center"/>
              <w:rPr>
                <w:rFonts w:ascii="宋体" w:hAnsi="宋体"/>
                <w:color w:val="auto"/>
                <w:sz w:val="25"/>
                <w:szCs w:val="25"/>
                <w:highlight w:val="none"/>
              </w:rPr>
            </w:pPr>
            <w:r>
              <w:rPr>
                <w:rFonts w:hint="eastAsia" w:ascii="宋体" w:hAnsi="宋体"/>
                <w:color w:val="auto"/>
                <w:sz w:val="25"/>
                <w:szCs w:val="25"/>
                <w:highlight w:val="none"/>
              </w:rPr>
              <w:t xml:space="preserve"> 担任项目负责人业绩情况</w:t>
            </w:r>
          </w:p>
        </w:tc>
      </w:tr>
      <w:tr w14:paraId="4DAE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gridSpan w:val="2"/>
            <w:vAlign w:val="center"/>
          </w:tcPr>
          <w:p w14:paraId="23456315">
            <w:pPr>
              <w:tabs>
                <w:tab w:val="left" w:pos="993"/>
              </w:tabs>
              <w:adjustRightInd w:val="0"/>
              <w:snapToGrid w:val="0"/>
              <w:spacing w:line="440" w:lineRule="exact"/>
              <w:jc w:val="center"/>
              <w:rPr>
                <w:rFonts w:ascii="宋体" w:hAnsi="宋体"/>
                <w:color w:val="auto"/>
                <w:sz w:val="25"/>
                <w:szCs w:val="25"/>
                <w:highlight w:val="none"/>
              </w:rPr>
            </w:pPr>
            <w:r>
              <w:rPr>
                <w:rFonts w:hint="eastAsia" w:ascii="宋体" w:hAnsi="宋体"/>
                <w:color w:val="auto"/>
                <w:sz w:val="25"/>
                <w:szCs w:val="25"/>
                <w:highlight w:val="none"/>
              </w:rPr>
              <w:t>建设单位</w:t>
            </w:r>
          </w:p>
        </w:tc>
        <w:tc>
          <w:tcPr>
            <w:tcW w:w="1513" w:type="dxa"/>
            <w:vAlign w:val="center"/>
          </w:tcPr>
          <w:p w14:paraId="0BDFF787">
            <w:pPr>
              <w:tabs>
                <w:tab w:val="left" w:pos="993"/>
              </w:tabs>
              <w:adjustRightInd w:val="0"/>
              <w:snapToGrid w:val="0"/>
              <w:spacing w:line="440" w:lineRule="exact"/>
              <w:jc w:val="center"/>
              <w:rPr>
                <w:rFonts w:ascii="宋体" w:hAnsi="宋体"/>
                <w:color w:val="auto"/>
                <w:sz w:val="25"/>
                <w:szCs w:val="25"/>
                <w:highlight w:val="none"/>
              </w:rPr>
            </w:pPr>
            <w:r>
              <w:rPr>
                <w:rFonts w:hint="eastAsia" w:ascii="宋体" w:hAnsi="宋体"/>
                <w:color w:val="auto"/>
                <w:sz w:val="25"/>
                <w:szCs w:val="25"/>
                <w:highlight w:val="none"/>
              </w:rPr>
              <w:t>项目名称</w:t>
            </w:r>
          </w:p>
        </w:tc>
        <w:tc>
          <w:tcPr>
            <w:tcW w:w="1296" w:type="dxa"/>
            <w:gridSpan w:val="2"/>
            <w:vAlign w:val="center"/>
          </w:tcPr>
          <w:p w14:paraId="01BC8C9D">
            <w:pPr>
              <w:tabs>
                <w:tab w:val="left" w:pos="993"/>
              </w:tabs>
              <w:adjustRightInd w:val="0"/>
              <w:snapToGrid w:val="0"/>
              <w:spacing w:line="440" w:lineRule="exact"/>
              <w:jc w:val="center"/>
              <w:rPr>
                <w:rFonts w:ascii="宋体" w:hAnsi="宋体"/>
                <w:color w:val="auto"/>
                <w:sz w:val="25"/>
                <w:szCs w:val="25"/>
                <w:highlight w:val="none"/>
              </w:rPr>
            </w:pPr>
            <w:r>
              <w:rPr>
                <w:rFonts w:hint="eastAsia" w:ascii="宋体" w:hAnsi="宋体"/>
                <w:color w:val="auto"/>
                <w:sz w:val="25"/>
                <w:szCs w:val="25"/>
                <w:highlight w:val="none"/>
              </w:rPr>
              <w:t>建设规模</w:t>
            </w:r>
          </w:p>
          <w:p w14:paraId="6E4EC3FB">
            <w:pPr>
              <w:pStyle w:val="35"/>
              <w:adjustRightInd w:val="0"/>
              <w:snapToGrid w:val="0"/>
              <w:spacing w:line="440" w:lineRule="exact"/>
              <w:rPr>
                <w:rFonts w:eastAsia="宋体"/>
                <w:color w:val="auto"/>
                <w:highlight w:val="none"/>
              </w:rPr>
            </w:pPr>
            <w:r>
              <w:rPr>
                <w:rFonts w:hint="eastAsia" w:ascii="宋体" w:hAnsi="宋体"/>
                <w:color w:val="auto"/>
                <w:sz w:val="25"/>
                <w:szCs w:val="25"/>
                <w:highlight w:val="none"/>
              </w:rPr>
              <w:t>（万元）</w:t>
            </w:r>
          </w:p>
        </w:tc>
        <w:tc>
          <w:tcPr>
            <w:tcW w:w="900" w:type="dxa"/>
            <w:gridSpan w:val="2"/>
            <w:vAlign w:val="center"/>
          </w:tcPr>
          <w:p w14:paraId="63897113">
            <w:pPr>
              <w:pStyle w:val="35"/>
              <w:adjustRightInd w:val="0"/>
              <w:snapToGrid w:val="0"/>
              <w:spacing w:line="440" w:lineRule="exact"/>
              <w:rPr>
                <w:rFonts w:ascii="宋体" w:hAnsi="宋体"/>
                <w:color w:val="auto"/>
                <w:sz w:val="25"/>
                <w:szCs w:val="25"/>
                <w:highlight w:val="none"/>
              </w:rPr>
            </w:pPr>
            <w:r>
              <w:rPr>
                <w:rFonts w:hint="eastAsia" w:ascii="宋体" w:hAnsi="宋体"/>
                <w:color w:val="auto"/>
                <w:sz w:val="25"/>
                <w:szCs w:val="25"/>
                <w:highlight w:val="none"/>
              </w:rPr>
              <w:t>所属专业</w:t>
            </w:r>
          </w:p>
        </w:tc>
        <w:tc>
          <w:tcPr>
            <w:tcW w:w="1432" w:type="dxa"/>
            <w:gridSpan w:val="2"/>
            <w:vAlign w:val="center"/>
          </w:tcPr>
          <w:p w14:paraId="4352C68E">
            <w:pPr>
              <w:tabs>
                <w:tab w:val="left" w:pos="993"/>
              </w:tabs>
              <w:adjustRightInd w:val="0"/>
              <w:snapToGrid w:val="0"/>
              <w:spacing w:line="440" w:lineRule="exact"/>
              <w:jc w:val="center"/>
              <w:rPr>
                <w:rFonts w:ascii="宋体" w:hAnsi="宋体" w:eastAsia="宋体"/>
                <w:color w:val="auto"/>
                <w:sz w:val="25"/>
                <w:szCs w:val="25"/>
                <w:highlight w:val="none"/>
              </w:rPr>
            </w:pPr>
            <w:r>
              <w:rPr>
                <w:rFonts w:hint="eastAsia" w:ascii="宋体" w:hAnsi="宋体"/>
                <w:color w:val="auto"/>
                <w:sz w:val="25"/>
                <w:szCs w:val="25"/>
                <w:highlight w:val="none"/>
              </w:rPr>
              <w:t>服务类型（</w:t>
            </w:r>
            <w:r>
              <w:rPr>
                <w:rFonts w:hint="eastAsia" w:eastAsia="宋体" w:cs="宋体"/>
                <w:color w:val="auto"/>
                <w:highlight w:val="none"/>
              </w:rPr>
              <w:t>结算审计业绩或项目估算、概算、预算评审业绩</w:t>
            </w:r>
            <w:r>
              <w:rPr>
                <w:rFonts w:hint="eastAsia" w:ascii="宋体" w:hAnsi="宋体"/>
                <w:color w:val="auto"/>
                <w:sz w:val="25"/>
                <w:szCs w:val="25"/>
                <w:highlight w:val="none"/>
              </w:rPr>
              <w:t>）</w:t>
            </w:r>
          </w:p>
        </w:tc>
        <w:tc>
          <w:tcPr>
            <w:tcW w:w="1962" w:type="dxa"/>
            <w:gridSpan w:val="3"/>
            <w:vAlign w:val="center"/>
          </w:tcPr>
          <w:p w14:paraId="37FAD4AC">
            <w:pPr>
              <w:tabs>
                <w:tab w:val="left" w:pos="993"/>
              </w:tabs>
              <w:adjustRightInd w:val="0"/>
              <w:snapToGrid w:val="0"/>
              <w:spacing w:line="440" w:lineRule="exact"/>
              <w:ind w:firstLine="500" w:firstLineChars="200"/>
              <w:rPr>
                <w:rFonts w:ascii="宋体" w:hAnsi="宋体" w:eastAsia="宋体"/>
                <w:color w:val="auto"/>
                <w:sz w:val="25"/>
                <w:szCs w:val="25"/>
                <w:highlight w:val="none"/>
              </w:rPr>
            </w:pPr>
            <w:r>
              <w:rPr>
                <w:rFonts w:hint="eastAsia" w:ascii="宋体" w:hAnsi="宋体"/>
                <w:color w:val="auto"/>
                <w:sz w:val="25"/>
                <w:szCs w:val="25"/>
                <w:highlight w:val="none"/>
              </w:rPr>
              <w:t>完成情况</w:t>
            </w:r>
          </w:p>
          <w:p w14:paraId="4BFBBF00">
            <w:pPr>
              <w:tabs>
                <w:tab w:val="left" w:pos="993"/>
              </w:tabs>
              <w:adjustRightInd w:val="0"/>
              <w:snapToGrid w:val="0"/>
              <w:spacing w:line="440" w:lineRule="exact"/>
              <w:jc w:val="center"/>
              <w:rPr>
                <w:rFonts w:ascii="宋体" w:hAnsi="宋体" w:eastAsia="宋体"/>
                <w:color w:val="auto"/>
                <w:sz w:val="25"/>
                <w:szCs w:val="25"/>
                <w:highlight w:val="none"/>
              </w:rPr>
            </w:pPr>
            <w:r>
              <w:rPr>
                <w:rFonts w:hint="eastAsia" w:ascii="宋体" w:hAnsi="宋体"/>
                <w:color w:val="auto"/>
                <w:sz w:val="25"/>
                <w:szCs w:val="25"/>
                <w:highlight w:val="none"/>
              </w:rPr>
              <w:t>（完成时间、完成评价等）</w:t>
            </w:r>
          </w:p>
        </w:tc>
      </w:tr>
      <w:tr w14:paraId="776B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gridSpan w:val="2"/>
            <w:vAlign w:val="center"/>
          </w:tcPr>
          <w:p w14:paraId="60AB1D34">
            <w:pPr>
              <w:tabs>
                <w:tab w:val="left" w:pos="993"/>
              </w:tabs>
              <w:adjustRightInd w:val="0"/>
              <w:snapToGrid w:val="0"/>
              <w:spacing w:line="360" w:lineRule="auto"/>
              <w:jc w:val="center"/>
              <w:rPr>
                <w:rFonts w:ascii="宋体" w:hAnsi="宋体"/>
                <w:color w:val="auto"/>
                <w:sz w:val="25"/>
                <w:szCs w:val="25"/>
                <w:highlight w:val="none"/>
              </w:rPr>
            </w:pPr>
          </w:p>
        </w:tc>
        <w:tc>
          <w:tcPr>
            <w:tcW w:w="1513" w:type="dxa"/>
            <w:vAlign w:val="center"/>
          </w:tcPr>
          <w:p w14:paraId="7D4A7E46">
            <w:pPr>
              <w:tabs>
                <w:tab w:val="left" w:pos="993"/>
              </w:tabs>
              <w:adjustRightInd w:val="0"/>
              <w:snapToGrid w:val="0"/>
              <w:spacing w:line="360" w:lineRule="auto"/>
              <w:jc w:val="center"/>
              <w:rPr>
                <w:rFonts w:ascii="宋体" w:hAnsi="宋体"/>
                <w:color w:val="auto"/>
                <w:sz w:val="25"/>
                <w:szCs w:val="25"/>
                <w:highlight w:val="none"/>
              </w:rPr>
            </w:pPr>
          </w:p>
        </w:tc>
        <w:tc>
          <w:tcPr>
            <w:tcW w:w="1296" w:type="dxa"/>
            <w:gridSpan w:val="2"/>
            <w:vAlign w:val="center"/>
          </w:tcPr>
          <w:p w14:paraId="33806AC6">
            <w:pPr>
              <w:tabs>
                <w:tab w:val="left" w:pos="993"/>
              </w:tabs>
              <w:adjustRightInd w:val="0"/>
              <w:snapToGrid w:val="0"/>
              <w:spacing w:line="360" w:lineRule="auto"/>
              <w:jc w:val="center"/>
              <w:rPr>
                <w:rFonts w:ascii="宋体" w:hAnsi="宋体"/>
                <w:color w:val="auto"/>
                <w:sz w:val="25"/>
                <w:szCs w:val="25"/>
                <w:highlight w:val="none"/>
              </w:rPr>
            </w:pPr>
          </w:p>
        </w:tc>
        <w:tc>
          <w:tcPr>
            <w:tcW w:w="900" w:type="dxa"/>
            <w:gridSpan w:val="2"/>
            <w:vAlign w:val="center"/>
          </w:tcPr>
          <w:p w14:paraId="4807D72E">
            <w:pPr>
              <w:tabs>
                <w:tab w:val="left" w:pos="993"/>
              </w:tabs>
              <w:adjustRightInd w:val="0"/>
              <w:snapToGrid w:val="0"/>
              <w:spacing w:line="360" w:lineRule="auto"/>
              <w:jc w:val="center"/>
              <w:rPr>
                <w:rFonts w:ascii="宋体" w:hAnsi="宋体"/>
                <w:color w:val="auto"/>
                <w:sz w:val="25"/>
                <w:szCs w:val="25"/>
                <w:highlight w:val="none"/>
              </w:rPr>
            </w:pPr>
          </w:p>
        </w:tc>
        <w:tc>
          <w:tcPr>
            <w:tcW w:w="1432" w:type="dxa"/>
            <w:gridSpan w:val="2"/>
            <w:vAlign w:val="center"/>
          </w:tcPr>
          <w:p w14:paraId="5883EC57">
            <w:pPr>
              <w:tabs>
                <w:tab w:val="left" w:pos="993"/>
              </w:tabs>
              <w:adjustRightInd w:val="0"/>
              <w:snapToGrid w:val="0"/>
              <w:spacing w:line="360" w:lineRule="auto"/>
              <w:jc w:val="center"/>
              <w:rPr>
                <w:rFonts w:ascii="宋体" w:hAnsi="宋体"/>
                <w:color w:val="auto"/>
                <w:sz w:val="25"/>
                <w:szCs w:val="25"/>
                <w:highlight w:val="none"/>
              </w:rPr>
            </w:pPr>
          </w:p>
        </w:tc>
        <w:tc>
          <w:tcPr>
            <w:tcW w:w="1962" w:type="dxa"/>
            <w:gridSpan w:val="3"/>
            <w:vAlign w:val="center"/>
          </w:tcPr>
          <w:p w14:paraId="2FB396B6">
            <w:pPr>
              <w:tabs>
                <w:tab w:val="left" w:pos="993"/>
              </w:tabs>
              <w:adjustRightInd w:val="0"/>
              <w:snapToGrid w:val="0"/>
              <w:rPr>
                <w:rFonts w:ascii="宋体" w:hAnsi="宋体"/>
                <w:color w:val="auto"/>
                <w:sz w:val="25"/>
                <w:szCs w:val="25"/>
                <w:highlight w:val="none"/>
              </w:rPr>
            </w:pPr>
          </w:p>
        </w:tc>
      </w:tr>
      <w:tr w14:paraId="4D78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gridSpan w:val="2"/>
            <w:vAlign w:val="center"/>
          </w:tcPr>
          <w:p w14:paraId="1C31584A">
            <w:pPr>
              <w:tabs>
                <w:tab w:val="left" w:pos="993"/>
              </w:tabs>
              <w:adjustRightInd w:val="0"/>
              <w:snapToGrid w:val="0"/>
              <w:spacing w:line="360" w:lineRule="auto"/>
              <w:jc w:val="center"/>
              <w:rPr>
                <w:rFonts w:ascii="宋体" w:hAnsi="宋体"/>
                <w:color w:val="auto"/>
                <w:sz w:val="25"/>
                <w:szCs w:val="25"/>
                <w:highlight w:val="none"/>
              </w:rPr>
            </w:pPr>
          </w:p>
        </w:tc>
        <w:tc>
          <w:tcPr>
            <w:tcW w:w="1513" w:type="dxa"/>
            <w:vAlign w:val="center"/>
          </w:tcPr>
          <w:p w14:paraId="2CCFA20F">
            <w:pPr>
              <w:tabs>
                <w:tab w:val="left" w:pos="993"/>
              </w:tabs>
              <w:adjustRightInd w:val="0"/>
              <w:snapToGrid w:val="0"/>
              <w:spacing w:line="360" w:lineRule="auto"/>
              <w:jc w:val="center"/>
              <w:rPr>
                <w:rFonts w:ascii="宋体" w:hAnsi="宋体"/>
                <w:color w:val="auto"/>
                <w:sz w:val="25"/>
                <w:szCs w:val="25"/>
                <w:highlight w:val="none"/>
              </w:rPr>
            </w:pPr>
          </w:p>
        </w:tc>
        <w:tc>
          <w:tcPr>
            <w:tcW w:w="1296" w:type="dxa"/>
            <w:gridSpan w:val="2"/>
            <w:vAlign w:val="center"/>
          </w:tcPr>
          <w:p w14:paraId="6C412079">
            <w:pPr>
              <w:tabs>
                <w:tab w:val="left" w:pos="993"/>
              </w:tabs>
              <w:adjustRightInd w:val="0"/>
              <w:snapToGrid w:val="0"/>
              <w:spacing w:line="360" w:lineRule="auto"/>
              <w:jc w:val="center"/>
              <w:rPr>
                <w:rFonts w:ascii="宋体" w:hAnsi="宋体"/>
                <w:color w:val="auto"/>
                <w:sz w:val="25"/>
                <w:szCs w:val="25"/>
                <w:highlight w:val="none"/>
              </w:rPr>
            </w:pPr>
          </w:p>
        </w:tc>
        <w:tc>
          <w:tcPr>
            <w:tcW w:w="900" w:type="dxa"/>
            <w:gridSpan w:val="2"/>
            <w:vAlign w:val="center"/>
          </w:tcPr>
          <w:p w14:paraId="0EACAFEF">
            <w:pPr>
              <w:tabs>
                <w:tab w:val="left" w:pos="993"/>
              </w:tabs>
              <w:adjustRightInd w:val="0"/>
              <w:snapToGrid w:val="0"/>
              <w:spacing w:line="360" w:lineRule="auto"/>
              <w:jc w:val="center"/>
              <w:rPr>
                <w:rFonts w:ascii="宋体" w:hAnsi="宋体"/>
                <w:color w:val="auto"/>
                <w:sz w:val="25"/>
                <w:szCs w:val="25"/>
                <w:highlight w:val="none"/>
              </w:rPr>
            </w:pPr>
          </w:p>
        </w:tc>
        <w:tc>
          <w:tcPr>
            <w:tcW w:w="1432" w:type="dxa"/>
            <w:gridSpan w:val="2"/>
            <w:vAlign w:val="center"/>
          </w:tcPr>
          <w:p w14:paraId="54D0430D">
            <w:pPr>
              <w:tabs>
                <w:tab w:val="left" w:pos="993"/>
              </w:tabs>
              <w:adjustRightInd w:val="0"/>
              <w:snapToGrid w:val="0"/>
              <w:spacing w:line="360" w:lineRule="auto"/>
              <w:jc w:val="center"/>
              <w:rPr>
                <w:rFonts w:ascii="宋体" w:hAnsi="宋体"/>
                <w:color w:val="auto"/>
                <w:sz w:val="25"/>
                <w:szCs w:val="25"/>
                <w:highlight w:val="none"/>
              </w:rPr>
            </w:pPr>
          </w:p>
        </w:tc>
        <w:tc>
          <w:tcPr>
            <w:tcW w:w="1962" w:type="dxa"/>
            <w:gridSpan w:val="3"/>
            <w:vAlign w:val="center"/>
          </w:tcPr>
          <w:p w14:paraId="574BEE24">
            <w:pPr>
              <w:tabs>
                <w:tab w:val="left" w:pos="993"/>
              </w:tabs>
              <w:adjustRightInd w:val="0"/>
              <w:snapToGrid w:val="0"/>
              <w:rPr>
                <w:rFonts w:ascii="宋体" w:hAnsi="宋体"/>
                <w:color w:val="auto"/>
                <w:sz w:val="25"/>
                <w:szCs w:val="25"/>
                <w:highlight w:val="none"/>
              </w:rPr>
            </w:pPr>
          </w:p>
        </w:tc>
      </w:tr>
      <w:tr w14:paraId="0D06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gridSpan w:val="2"/>
            <w:vAlign w:val="center"/>
          </w:tcPr>
          <w:p w14:paraId="16E19449">
            <w:pPr>
              <w:tabs>
                <w:tab w:val="left" w:pos="993"/>
              </w:tabs>
              <w:adjustRightInd w:val="0"/>
              <w:snapToGrid w:val="0"/>
              <w:spacing w:line="360" w:lineRule="auto"/>
              <w:jc w:val="center"/>
              <w:rPr>
                <w:rFonts w:ascii="宋体" w:hAnsi="宋体"/>
                <w:color w:val="auto"/>
                <w:sz w:val="25"/>
                <w:szCs w:val="25"/>
                <w:highlight w:val="none"/>
              </w:rPr>
            </w:pPr>
          </w:p>
        </w:tc>
        <w:tc>
          <w:tcPr>
            <w:tcW w:w="1513" w:type="dxa"/>
            <w:vAlign w:val="center"/>
          </w:tcPr>
          <w:p w14:paraId="6E386E70">
            <w:pPr>
              <w:tabs>
                <w:tab w:val="left" w:pos="993"/>
              </w:tabs>
              <w:adjustRightInd w:val="0"/>
              <w:snapToGrid w:val="0"/>
              <w:spacing w:line="360" w:lineRule="auto"/>
              <w:jc w:val="center"/>
              <w:rPr>
                <w:rFonts w:ascii="宋体" w:hAnsi="宋体"/>
                <w:color w:val="auto"/>
                <w:sz w:val="25"/>
                <w:szCs w:val="25"/>
                <w:highlight w:val="none"/>
              </w:rPr>
            </w:pPr>
          </w:p>
        </w:tc>
        <w:tc>
          <w:tcPr>
            <w:tcW w:w="1296" w:type="dxa"/>
            <w:gridSpan w:val="2"/>
            <w:vAlign w:val="center"/>
          </w:tcPr>
          <w:p w14:paraId="3FBBDFEA">
            <w:pPr>
              <w:tabs>
                <w:tab w:val="left" w:pos="993"/>
              </w:tabs>
              <w:adjustRightInd w:val="0"/>
              <w:snapToGrid w:val="0"/>
              <w:spacing w:line="360" w:lineRule="auto"/>
              <w:jc w:val="center"/>
              <w:rPr>
                <w:rFonts w:ascii="宋体" w:hAnsi="宋体"/>
                <w:color w:val="auto"/>
                <w:sz w:val="25"/>
                <w:szCs w:val="25"/>
                <w:highlight w:val="none"/>
              </w:rPr>
            </w:pPr>
          </w:p>
        </w:tc>
        <w:tc>
          <w:tcPr>
            <w:tcW w:w="900" w:type="dxa"/>
            <w:gridSpan w:val="2"/>
            <w:vAlign w:val="center"/>
          </w:tcPr>
          <w:p w14:paraId="6FF222E1">
            <w:pPr>
              <w:tabs>
                <w:tab w:val="left" w:pos="993"/>
              </w:tabs>
              <w:adjustRightInd w:val="0"/>
              <w:snapToGrid w:val="0"/>
              <w:spacing w:line="360" w:lineRule="auto"/>
              <w:jc w:val="center"/>
              <w:rPr>
                <w:rFonts w:ascii="宋体" w:hAnsi="宋体"/>
                <w:color w:val="auto"/>
                <w:sz w:val="25"/>
                <w:szCs w:val="25"/>
                <w:highlight w:val="none"/>
              </w:rPr>
            </w:pPr>
          </w:p>
        </w:tc>
        <w:tc>
          <w:tcPr>
            <w:tcW w:w="1432" w:type="dxa"/>
            <w:gridSpan w:val="2"/>
            <w:vAlign w:val="center"/>
          </w:tcPr>
          <w:p w14:paraId="2AD6063E">
            <w:pPr>
              <w:tabs>
                <w:tab w:val="left" w:pos="993"/>
              </w:tabs>
              <w:adjustRightInd w:val="0"/>
              <w:snapToGrid w:val="0"/>
              <w:spacing w:line="360" w:lineRule="auto"/>
              <w:jc w:val="center"/>
              <w:rPr>
                <w:rFonts w:ascii="宋体" w:hAnsi="宋体"/>
                <w:color w:val="auto"/>
                <w:sz w:val="25"/>
                <w:szCs w:val="25"/>
                <w:highlight w:val="none"/>
              </w:rPr>
            </w:pPr>
          </w:p>
        </w:tc>
        <w:tc>
          <w:tcPr>
            <w:tcW w:w="1962" w:type="dxa"/>
            <w:gridSpan w:val="3"/>
            <w:vAlign w:val="center"/>
          </w:tcPr>
          <w:p w14:paraId="72749095">
            <w:pPr>
              <w:tabs>
                <w:tab w:val="left" w:pos="993"/>
              </w:tabs>
              <w:adjustRightInd w:val="0"/>
              <w:snapToGrid w:val="0"/>
              <w:rPr>
                <w:rFonts w:ascii="宋体" w:hAnsi="宋体"/>
                <w:color w:val="auto"/>
                <w:sz w:val="25"/>
                <w:szCs w:val="25"/>
                <w:highlight w:val="none"/>
              </w:rPr>
            </w:pPr>
          </w:p>
        </w:tc>
      </w:tr>
    </w:tbl>
    <w:p w14:paraId="7EEF0E6F">
      <w:pPr>
        <w:tabs>
          <w:tab w:val="left" w:pos="993"/>
        </w:tabs>
        <w:spacing w:line="360" w:lineRule="auto"/>
        <w:rPr>
          <w:rFonts w:eastAsia="宋体"/>
          <w:color w:val="auto"/>
          <w:highlight w:val="none"/>
        </w:rPr>
        <w:sectPr>
          <w:pgSz w:w="11906" w:h="16838"/>
          <w:pgMar w:top="851" w:right="851" w:bottom="851" w:left="1134" w:header="851" w:footer="471" w:gutter="0"/>
          <w:cols w:space="425" w:num="1"/>
          <w:docGrid w:linePitch="360" w:charSpace="0"/>
        </w:sectPr>
      </w:pPr>
      <w:r>
        <w:rPr>
          <w:rFonts w:hint="eastAsia"/>
          <w:color w:val="auto"/>
          <w:szCs w:val="21"/>
          <w:highlight w:val="none"/>
        </w:rPr>
        <w:t>注： 后附相关人员身份证、资格证书、社保证明、业绩证明等扫描件。</w:t>
      </w:r>
    </w:p>
    <w:p w14:paraId="19460CEF">
      <w:pPr>
        <w:spacing w:line="420" w:lineRule="exact"/>
        <w:ind w:firstLine="424"/>
        <w:outlineLvl w:val="3"/>
        <w:rPr>
          <w:rFonts w:eastAsia="宋体"/>
          <w:b/>
          <w:bCs/>
          <w:color w:val="auto"/>
          <w:highlight w:val="none"/>
        </w:rPr>
      </w:pPr>
      <w:r>
        <w:rPr>
          <w:rFonts w:hint="eastAsia" w:eastAsia="宋体"/>
          <w:b/>
          <w:bCs/>
          <w:color w:val="auto"/>
          <w:highlight w:val="none"/>
        </w:rPr>
        <w:t>附件5 法定代表人授权书</w:t>
      </w:r>
    </w:p>
    <w:p w14:paraId="1F3FD0ED">
      <w:pPr>
        <w:spacing w:before="240" w:after="240" w:line="420" w:lineRule="exact"/>
        <w:jc w:val="center"/>
        <w:rPr>
          <w:rFonts w:eastAsia="宋体" w:cs="宋体"/>
          <w:color w:val="auto"/>
          <w:highlight w:val="none"/>
        </w:rPr>
      </w:pPr>
      <w:bookmarkStart w:id="185" w:name="_Hlk183455957"/>
      <w:r>
        <w:rPr>
          <w:rFonts w:hint="eastAsia" w:eastAsia="宋体" w:cs="宋体"/>
          <w:b/>
          <w:bCs/>
          <w:color w:val="auto"/>
          <w:sz w:val="28"/>
          <w:szCs w:val="28"/>
          <w:highlight w:val="none"/>
        </w:rPr>
        <w:t>法定代表人授权书</w:t>
      </w:r>
      <w:bookmarkEnd w:id="185"/>
    </w:p>
    <w:p w14:paraId="43A8E07D">
      <w:pPr>
        <w:spacing w:line="420" w:lineRule="exact"/>
        <w:ind w:firstLine="426"/>
        <w:rPr>
          <w:rFonts w:eastAsia="宋体" w:cs="宋体"/>
          <w:color w:val="auto"/>
          <w:highlight w:val="none"/>
        </w:rPr>
      </w:pPr>
      <w:r>
        <w:rPr>
          <w:rFonts w:hint="eastAsia" w:eastAsia="宋体" w:cs="宋体"/>
          <w:color w:val="auto"/>
          <w:highlight w:val="none"/>
        </w:rPr>
        <w:t>本授权书声明：我</w:t>
      </w:r>
      <w:r>
        <w:rPr>
          <w:rFonts w:hint="eastAsia" w:eastAsia="宋体" w:cs="宋体"/>
          <w:color w:val="auto"/>
          <w:highlight w:val="none"/>
          <w:u w:val="single"/>
        </w:rPr>
        <w:t>　</w:t>
      </w:r>
      <w:r>
        <w:rPr>
          <w:rFonts w:hint="eastAsia" w:eastAsia="宋体" w:cs="宋体"/>
          <w:color w:val="auto"/>
          <w:highlight w:val="none"/>
        </w:rPr>
        <w:t>（姓名）系</w:t>
      </w:r>
      <w:r>
        <w:rPr>
          <w:rFonts w:hint="eastAsia" w:eastAsia="宋体" w:cs="宋体"/>
          <w:color w:val="auto"/>
          <w:highlight w:val="none"/>
          <w:u w:val="single"/>
        </w:rPr>
        <w:t>　</w:t>
      </w:r>
      <w:r>
        <w:rPr>
          <w:rFonts w:hint="eastAsia" w:eastAsia="宋体" w:cs="宋体"/>
          <w:color w:val="auto"/>
          <w:highlight w:val="none"/>
        </w:rPr>
        <w:t>（供应商名称）的法定代表人，现授权</w:t>
      </w:r>
      <w:r>
        <w:rPr>
          <w:rFonts w:hint="eastAsia" w:eastAsia="宋体" w:cs="宋体"/>
          <w:color w:val="auto"/>
          <w:highlight w:val="none"/>
          <w:u w:val="single"/>
        </w:rPr>
        <w:t>　　</w:t>
      </w:r>
      <w:r>
        <w:rPr>
          <w:rFonts w:hint="eastAsia" w:eastAsia="宋体" w:cs="宋体"/>
          <w:color w:val="auto"/>
          <w:highlight w:val="none"/>
        </w:rPr>
        <w:t>（被授权人的姓名）为我方</w:t>
      </w:r>
      <w:bookmarkStart w:id="186" w:name="_Hlk185112499"/>
      <w:r>
        <w:rPr>
          <w:rFonts w:hint="eastAsia" w:eastAsia="宋体" w:cs="宋体"/>
          <w:color w:val="auto"/>
          <w:highlight w:val="none"/>
        </w:rPr>
        <w:t>参与</w:t>
      </w:r>
      <w:r>
        <w:rPr>
          <w:rFonts w:hint="eastAsia" w:eastAsia="宋体" w:cs="宋体"/>
          <w:color w:val="auto"/>
          <w:highlight w:val="none"/>
          <w:u w:val="single"/>
        </w:rPr>
        <w:t xml:space="preserve">  项目编号：         </w:t>
      </w:r>
      <w:r>
        <w:rPr>
          <w:rFonts w:hint="eastAsia" w:eastAsia="宋体" w:cs="宋体"/>
          <w:color w:val="auto"/>
          <w:highlight w:val="none"/>
        </w:rPr>
        <w:t>的</w:t>
      </w:r>
      <w:r>
        <w:rPr>
          <w:rFonts w:hint="eastAsia" w:eastAsia="宋体" w:cs="宋体"/>
          <w:color w:val="auto"/>
          <w:highlight w:val="none"/>
          <w:u w:val="single"/>
        </w:rPr>
        <w:t xml:space="preserve">  如东县财政局政府投资建设项目协审服务框架协议采购项目  </w:t>
      </w:r>
      <w:r>
        <w:rPr>
          <w:rFonts w:hint="eastAsia" w:eastAsia="宋体" w:cs="宋体"/>
          <w:color w:val="auto"/>
          <w:highlight w:val="none"/>
        </w:rPr>
        <w:t>政府采购活动</w:t>
      </w:r>
      <w:bookmarkEnd w:id="186"/>
      <w:r>
        <w:rPr>
          <w:rFonts w:hint="eastAsia" w:eastAsia="宋体" w:cs="宋体"/>
          <w:color w:val="auto"/>
          <w:highlight w:val="none"/>
        </w:rPr>
        <w:t>的合法代理人，处理与之有关的一切事务，包含在签署、澄清确认、递交、撤回、修改上述项目的征集响应文件，以及项目开启、评审、合同签订过程中所签署的一切文件等，我均予以承认。</w:t>
      </w:r>
    </w:p>
    <w:p w14:paraId="648E2F45">
      <w:pPr>
        <w:spacing w:line="420" w:lineRule="exact"/>
        <w:ind w:firstLine="426"/>
        <w:rPr>
          <w:rFonts w:eastAsia="宋体"/>
          <w:color w:val="auto"/>
          <w:highlight w:val="none"/>
        </w:rPr>
      </w:pPr>
    </w:p>
    <w:p w14:paraId="6C3A53FA">
      <w:pPr>
        <w:spacing w:line="420" w:lineRule="exact"/>
        <w:ind w:firstLine="426"/>
        <w:rPr>
          <w:rFonts w:eastAsia="宋体"/>
          <w:color w:val="auto"/>
          <w:highlight w:val="none"/>
        </w:rPr>
      </w:pPr>
      <w:r>
        <w:rPr>
          <w:rFonts w:hint="eastAsia" w:eastAsia="宋体"/>
          <w:color w:val="auto"/>
          <w:highlight w:val="none"/>
        </w:rPr>
        <w:t>本授权书于______年____月____日起生效，特此声明。</w:t>
      </w:r>
    </w:p>
    <w:p w14:paraId="4BB4C16B">
      <w:pPr>
        <w:spacing w:line="420" w:lineRule="exact"/>
        <w:ind w:firstLine="426"/>
        <w:rPr>
          <w:rFonts w:eastAsia="宋体"/>
          <w:color w:val="auto"/>
          <w:highlight w:val="none"/>
        </w:rPr>
      </w:pPr>
    </w:p>
    <w:p w14:paraId="4E6D90D2">
      <w:pPr>
        <w:spacing w:line="420" w:lineRule="exact"/>
        <w:ind w:firstLine="426"/>
        <w:rPr>
          <w:rFonts w:eastAsia="宋体"/>
          <w:color w:val="auto"/>
          <w:highlight w:val="none"/>
          <w:u w:val="single"/>
        </w:rPr>
      </w:pPr>
      <w:bookmarkStart w:id="187" w:name="_Hlk183455934"/>
      <w:r>
        <w:rPr>
          <w:rFonts w:hint="eastAsia" w:eastAsia="宋体"/>
          <w:color w:val="auto"/>
          <w:highlight w:val="none"/>
        </w:rPr>
        <w:t>被授权人</w:t>
      </w:r>
      <w:bookmarkEnd w:id="187"/>
      <w:r>
        <w:rPr>
          <w:rFonts w:hint="eastAsia" w:eastAsia="宋体"/>
          <w:color w:val="auto"/>
          <w:highlight w:val="none"/>
        </w:rPr>
        <w:t>身份证号码：</w:t>
      </w:r>
      <w:r>
        <w:rPr>
          <w:rFonts w:hint="eastAsia" w:eastAsia="宋体"/>
          <w:color w:val="auto"/>
          <w:highlight w:val="none"/>
          <w:u w:val="single"/>
        </w:rPr>
        <w:t xml:space="preserve">                              </w:t>
      </w:r>
    </w:p>
    <w:p w14:paraId="5B4C4AF7">
      <w:pPr>
        <w:spacing w:line="420" w:lineRule="exact"/>
        <w:ind w:firstLine="426"/>
        <w:rPr>
          <w:rFonts w:eastAsia="宋体"/>
          <w:color w:val="auto"/>
          <w:highlight w:val="none"/>
        </w:rPr>
      </w:pPr>
    </w:p>
    <w:p w14:paraId="6C4015B6">
      <w:pPr>
        <w:spacing w:line="420" w:lineRule="exact"/>
        <w:ind w:firstLine="426"/>
        <w:rPr>
          <w:rFonts w:eastAsia="宋体"/>
          <w:color w:val="auto"/>
          <w:highlight w:val="none"/>
          <w:u w:val="single"/>
        </w:rPr>
      </w:pPr>
      <w:r>
        <w:rPr>
          <w:rFonts w:hint="eastAsia" w:eastAsia="宋体"/>
          <w:color w:val="auto"/>
          <w:highlight w:val="none"/>
        </w:rPr>
        <w:t>被授权人联系电话：（手机）</w:t>
      </w:r>
      <w:r>
        <w:rPr>
          <w:rFonts w:hint="eastAsia" w:eastAsia="宋体"/>
          <w:color w:val="auto"/>
          <w:highlight w:val="none"/>
          <w:u w:val="single"/>
        </w:rPr>
        <w:t xml:space="preserve">                          </w:t>
      </w:r>
    </w:p>
    <w:p w14:paraId="13A96582">
      <w:pPr>
        <w:spacing w:line="420" w:lineRule="exact"/>
        <w:ind w:firstLine="426"/>
        <w:rPr>
          <w:rFonts w:eastAsia="宋体"/>
          <w:color w:val="auto"/>
          <w:highlight w:val="none"/>
        </w:rPr>
      </w:pPr>
    </w:p>
    <w:p w14:paraId="35705CD1">
      <w:pPr>
        <w:spacing w:line="420" w:lineRule="exact"/>
        <w:ind w:firstLine="426"/>
        <w:rPr>
          <w:rFonts w:eastAsia="宋体"/>
          <w:color w:val="auto"/>
          <w:highlight w:val="none"/>
          <w:u w:val="single"/>
        </w:rPr>
      </w:pPr>
    </w:p>
    <w:p w14:paraId="731A1AD1">
      <w:pPr>
        <w:widowControl/>
        <w:spacing w:line="420" w:lineRule="exact"/>
        <w:ind w:right="-46"/>
        <w:jc w:val="left"/>
        <w:rPr>
          <w:rFonts w:ascii="楷体_GB2312" w:hAnsi="Arial" w:eastAsia="楷体_GB2312"/>
          <w:color w:val="auto"/>
          <w:spacing w:val="-3"/>
          <w:highlight w:val="none"/>
        </w:rPr>
      </w:pPr>
      <w:r>
        <w:rPr>
          <w:rFonts w:ascii="宋体" w:hAnsi="宋体" w:eastAsia="宋体"/>
          <w:color w:val="auto"/>
          <w:highlight w:val="none"/>
        </w:rPr>
        <w:t>附：</w:t>
      </w:r>
      <w:r>
        <w:rPr>
          <w:rFonts w:hint="eastAsia" w:ascii="宋体" w:hAnsi="宋体" w:eastAsia="宋体"/>
          <w:color w:val="auto"/>
          <w:spacing w:val="-3"/>
          <w:highlight w:val="none"/>
        </w:rPr>
        <w:t>被授权人</w:t>
      </w:r>
      <w:r>
        <w:rPr>
          <w:rFonts w:ascii="宋体" w:hAnsi="宋体" w:eastAsia="宋体"/>
          <w:color w:val="auto"/>
          <w:spacing w:val="-3"/>
          <w:highlight w:val="none"/>
        </w:rPr>
        <w:t>有效期内的身</w:t>
      </w:r>
      <w:r>
        <w:rPr>
          <w:rFonts w:hint="eastAsia" w:ascii="宋体" w:hAnsi="宋体" w:eastAsia="宋体"/>
          <w:color w:val="auto"/>
          <w:spacing w:val="-3"/>
          <w:highlight w:val="none"/>
        </w:rPr>
        <w:t>份</w:t>
      </w:r>
      <w:r>
        <w:rPr>
          <w:rFonts w:ascii="宋体" w:hAnsi="宋体" w:eastAsia="宋体"/>
          <w:color w:val="auto"/>
          <w:spacing w:val="-3"/>
          <w:highlight w:val="none"/>
        </w:rPr>
        <w:t>证正反面</w:t>
      </w:r>
      <w:r>
        <w:rPr>
          <w:rFonts w:hint="eastAsia" w:ascii="宋体" w:hAnsi="宋体" w:eastAsia="宋体"/>
          <w:color w:val="auto"/>
          <w:spacing w:val="-3"/>
          <w:highlight w:val="none"/>
        </w:rPr>
        <w:t>电子</w:t>
      </w:r>
      <w:r>
        <w:rPr>
          <w:rFonts w:ascii="宋体" w:hAnsi="宋体" w:eastAsia="宋体"/>
          <w:color w:val="auto"/>
          <w:spacing w:val="-3"/>
          <w:highlight w:val="none"/>
        </w:rPr>
        <w:t>件</w:t>
      </w:r>
      <w:r>
        <w:rPr>
          <w:rFonts w:hint="eastAsia" w:ascii="宋体" w:hAnsi="宋体" w:eastAsia="宋体"/>
          <w:color w:val="auto"/>
          <w:spacing w:val="-3"/>
          <w:highlight w:val="none"/>
        </w:rPr>
        <w:t>。</w:t>
      </w:r>
    </w:p>
    <w:tbl>
      <w:tblPr>
        <w:tblStyle w:val="89"/>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9"/>
        <w:gridCol w:w="4959"/>
      </w:tblGrid>
      <w:tr w14:paraId="6C5EC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8" w:hRule="atLeast"/>
        </w:trPr>
        <w:tc>
          <w:tcPr>
            <w:tcW w:w="4959" w:type="dxa"/>
            <w:noWrap/>
          </w:tcPr>
          <w:p w14:paraId="0CBF8009">
            <w:pPr>
              <w:tabs>
                <w:tab w:val="left" w:pos="5580"/>
              </w:tabs>
              <w:spacing w:line="420" w:lineRule="exact"/>
              <w:rPr>
                <w:rFonts w:ascii="宋体" w:hAnsi="宋体" w:eastAsia="宋体"/>
                <w:color w:val="auto"/>
                <w:highlight w:val="none"/>
              </w:rPr>
            </w:pPr>
          </w:p>
          <w:p w14:paraId="7FFB7374">
            <w:pPr>
              <w:tabs>
                <w:tab w:val="left" w:pos="5580"/>
              </w:tabs>
              <w:spacing w:line="420" w:lineRule="exact"/>
              <w:rPr>
                <w:rFonts w:ascii="宋体" w:hAnsi="宋体" w:eastAsia="宋体"/>
                <w:color w:val="auto"/>
                <w:highlight w:val="none"/>
              </w:rPr>
            </w:pPr>
          </w:p>
          <w:p w14:paraId="5A4D6B25">
            <w:pPr>
              <w:tabs>
                <w:tab w:val="left" w:pos="5580"/>
              </w:tabs>
              <w:spacing w:line="420" w:lineRule="exact"/>
              <w:rPr>
                <w:rFonts w:ascii="宋体" w:hAnsi="宋体" w:eastAsia="宋体"/>
                <w:color w:val="auto"/>
                <w:highlight w:val="none"/>
              </w:rPr>
            </w:pPr>
          </w:p>
        </w:tc>
        <w:tc>
          <w:tcPr>
            <w:tcW w:w="4959" w:type="dxa"/>
            <w:noWrap/>
          </w:tcPr>
          <w:p w14:paraId="1DF77726">
            <w:pPr>
              <w:tabs>
                <w:tab w:val="left" w:pos="5580"/>
              </w:tabs>
              <w:spacing w:line="420" w:lineRule="exact"/>
              <w:rPr>
                <w:rFonts w:ascii="宋体" w:hAnsi="宋体" w:eastAsia="宋体"/>
                <w:color w:val="auto"/>
                <w:highlight w:val="none"/>
              </w:rPr>
            </w:pPr>
          </w:p>
          <w:p w14:paraId="241E333A">
            <w:pPr>
              <w:tabs>
                <w:tab w:val="left" w:pos="5580"/>
              </w:tabs>
              <w:spacing w:line="420" w:lineRule="exact"/>
              <w:rPr>
                <w:rFonts w:ascii="宋体" w:hAnsi="宋体" w:eastAsia="宋体"/>
                <w:color w:val="auto"/>
                <w:highlight w:val="none"/>
              </w:rPr>
            </w:pPr>
          </w:p>
          <w:p w14:paraId="15E6531A">
            <w:pPr>
              <w:tabs>
                <w:tab w:val="left" w:pos="5580"/>
              </w:tabs>
              <w:spacing w:line="420" w:lineRule="exact"/>
              <w:rPr>
                <w:rFonts w:ascii="宋体" w:hAnsi="宋体" w:eastAsia="宋体"/>
                <w:color w:val="auto"/>
                <w:highlight w:val="none"/>
              </w:rPr>
            </w:pPr>
          </w:p>
        </w:tc>
      </w:tr>
    </w:tbl>
    <w:p w14:paraId="6B0684F0">
      <w:pPr>
        <w:tabs>
          <w:tab w:val="left" w:pos="5580"/>
        </w:tabs>
        <w:spacing w:line="420" w:lineRule="exact"/>
        <w:ind w:left="420"/>
        <w:rPr>
          <w:rFonts w:eastAsia="宋体"/>
          <w:color w:val="auto"/>
          <w:highlight w:val="none"/>
        </w:rPr>
      </w:pPr>
    </w:p>
    <w:p w14:paraId="7BB9A305">
      <w:pPr>
        <w:tabs>
          <w:tab w:val="left" w:pos="5580"/>
        </w:tabs>
        <w:spacing w:line="420" w:lineRule="exact"/>
        <w:ind w:left="420" w:firstLine="3840"/>
        <w:rPr>
          <w:rFonts w:eastAsia="宋体"/>
          <w:color w:val="auto"/>
          <w:highlight w:val="none"/>
        </w:rPr>
      </w:pPr>
      <w:r>
        <w:rPr>
          <w:rFonts w:ascii="宋体" w:hAnsi="宋体" w:eastAsia="宋体"/>
          <w:color w:val="auto"/>
          <w:highlight w:val="none"/>
        </w:rPr>
        <w:t>供应商</w:t>
      </w:r>
      <w:r>
        <w:rPr>
          <w:rFonts w:hint="eastAsia" w:ascii="宋体" w:hAnsi="宋体" w:eastAsia="宋体"/>
          <w:color w:val="auto"/>
          <w:highlight w:val="none"/>
        </w:rPr>
        <w:t>：（加盖CA电子签章）</w:t>
      </w:r>
      <w:r>
        <w:rPr>
          <w:rFonts w:ascii="宋体" w:hAnsi="宋体" w:eastAsia="宋体"/>
          <w:color w:val="auto"/>
          <w:highlight w:val="none"/>
        </w:rPr>
        <w:t xml:space="preserve"> ___________</w:t>
      </w:r>
    </w:p>
    <w:p w14:paraId="7FB79734">
      <w:pPr>
        <w:spacing w:line="420" w:lineRule="exact"/>
        <w:ind w:firstLine="4320"/>
        <w:rPr>
          <w:rFonts w:ascii="宋体" w:hAnsi="宋体" w:eastAsia="宋体"/>
          <w:color w:val="auto"/>
          <w:highlight w:val="none"/>
        </w:rPr>
      </w:pPr>
      <w:r>
        <w:rPr>
          <w:rFonts w:hint="eastAsia" w:ascii="宋体" w:hAnsi="宋体" w:eastAsia="宋体"/>
          <w:color w:val="auto"/>
          <w:highlight w:val="none"/>
        </w:rPr>
        <w:t>法定代表人签字或盖电子章：</w:t>
      </w:r>
    </w:p>
    <w:p w14:paraId="2AF2871B">
      <w:pPr>
        <w:spacing w:line="420" w:lineRule="exact"/>
        <w:ind w:firstLine="4320"/>
        <w:rPr>
          <w:rFonts w:eastAsia="宋体"/>
          <w:b/>
          <w:bCs/>
          <w:color w:val="auto"/>
          <w:highlight w:val="none"/>
        </w:rPr>
      </w:pPr>
      <w:r>
        <w:rPr>
          <w:rFonts w:hint="eastAsia" w:ascii="宋体" w:hAnsi="宋体" w:eastAsia="宋体"/>
          <w:color w:val="auto"/>
          <w:highlight w:val="none"/>
        </w:rPr>
        <w:t>日期：        年        月         日</w:t>
      </w:r>
    </w:p>
    <w:p w14:paraId="218B4218">
      <w:pPr>
        <w:spacing w:line="420" w:lineRule="exact"/>
        <w:ind w:firstLine="426"/>
        <w:rPr>
          <w:rFonts w:eastAsia="宋体"/>
          <w:color w:val="auto"/>
          <w:highlight w:val="none"/>
          <w:u w:val="single"/>
        </w:rPr>
      </w:pPr>
    </w:p>
    <w:p w14:paraId="4FB10B44">
      <w:pPr>
        <w:spacing w:line="420" w:lineRule="exact"/>
        <w:ind w:firstLine="426"/>
        <w:rPr>
          <w:rFonts w:eastAsia="宋体"/>
          <w:color w:val="auto"/>
          <w:highlight w:val="none"/>
          <w:u w:val="single"/>
        </w:rPr>
      </w:pPr>
    </w:p>
    <w:p w14:paraId="49410B28">
      <w:pPr>
        <w:spacing w:line="420" w:lineRule="exact"/>
        <w:ind w:firstLine="426"/>
        <w:rPr>
          <w:rFonts w:eastAsia="宋体"/>
          <w:color w:val="auto"/>
          <w:highlight w:val="none"/>
          <w:u w:val="single"/>
        </w:rPr>
      </w:pPr>
    </w:p>
    <w:p w14:paraId="5843C97B">
      <w:pPr>
        <w:spacing w:line="420" w:lineRule="exact"/>
        <w:jc w:val="center"/>
        <w:rPr>
          <w:rFonts w:eastAsia="宋体"/>
          <w:b/>
          <w:bCs/>
          <w:color w:val="auto"/>
          <w:sz w:val="28"/>
          <w:szCs w:val="28"/>
          <w:highlight w:val="none"/>
          <w:u w:val="single"/>
        </w:rPr>
      </w:pPr>
      <w:r>
        <w:rPr>
          <w:rFonts w:hint="eastAsia" w:eastAsia="宋体"/>
          <w:b/>
          <w:bCs/>
          <w:color w:val="auto"/>
          <w:sz w:val="28"/>
          <w:szCs w:val="28"/>
          <w:highlight w:val="none"/>
          <w:u w:val="single"/>
        </w:rPr>
        <w:t>注：如为法定代表人参与征集响应活动的，无须提供“法定代表人授权书”。</w:t>
      </w:r>
    </w:p>
    <w:p w14:paraId="37DCA851">
      <w:pPr>
        <w:spacing w:line="420" w:lineRule="exact"/>
        <w:ind w:firstLine="424"/>
        <w:outlineLvl w:val="3"/>
        <w:rPr>
          <w:rFonts w:eastAsia="宋体"/>
          <w:b/>
          <w:bCs/>
          <w:color w:val="auto"/>
          <w:highlight w:val="none"/>
        </w:rPr>
        <w:sectPr>
          <w:pgSz w:w="11906" w:h="16838"/>
          <w:pgMar w:top="851" w:right="851" w:bottom="851" w:left="1134" w:header="851" w:footer="471" w:gutter="0"/>
          <w:cols w:space="425" w:num="1"/>
          <w:docGrid w:linePitch="360" w:charSpace="0"/>
        </w:sectPr>
      </w:pPr>
      <w:bookmarkStart w:id="188" w:name="_Hlk135223429"/>
    </w:p>
    <w:p w14:paraId="284B17BE">
      <w:pPr>
        <w:spacing w:line="420" w:lineRule="exact"/>
        <w:ind w:firstLine="424"/>
        <w:outlineLvl w:val="3"/>
        <w:rPr>
          <w:rFonts w:eastAsia="宋体"/>
          <w:b/>
          <w:bCs/>
          <w:color w:val="auto"/>
          <w:highlight w:val="none"/>
        </w:rPr>
      </w:pPr>
      <w:r>
        <w:rPr>
          <w:rFonts w:hint="eastAsia" w:eastAsia="宋体"/>
          <w:b/>
          <w:bCs/>
          <w:color w:val="auto"/>
          <w:highlight w:val="none"/>
        </w:rPr>
        <w:t>附件6 履行合同所必需的设备和专业技术能力承诺函</w:t>
      </w:r>
      <w:bookmarkEnd w:id="188"/>
    </w:p>
    <w:p w14:paraId="3B52EF06">
      <w:pPr>
        <w:spacing w:before="240" w:after="240" w:line="420" w:lineRule="exact"/>
        <w:jc w:val="center"/>
        <w:rPr>
          <w:rFonts w:ascii="宋体" w:hAnsi="宋体" w:eastAsia="宋体" w:cs="宋体"/>
          <w:b/>
          <w:bCs/>
          <w:color w:val="auto"/>
          <w:highlight w:val="none"/>
        </w:rPr>
      </w:pPr>
      <w:r>
        <w:rPr>
          <w:rFonts w:hint="eastAsia" w:eastAsia="宋体" w:cs="宋体"/>
          <w:b/>
          <w:bCs/>
          <w:color w:val="auto"/>
          <w:sz w:val="28"/>
          <w:szCs w:val="28"/>
          <w:highlight w:val="none"/>
        </w:rPr>
        <w:t>履行合同所必需的设备和专业技术能力承诺函</w:t>
      </w:r>
    </w:p>
    <w:p w14:paraId="48750227">
      <w:pPr>
        <w:spacing w:after="240" w:line="420" w:lineRule="exact"/>
        <w:jc w:val="left"/>
        <w:rPr>
          <w:rFonts w:ascii="宋体" w:hAnsi="宋体" w:eastAsia="宋体" w:cs="宋体"/>
          <w:color w:val="auto"/>
          <w:highlight w:val="none"/>
        </w:rPr>
      </w:pPr>
      <w:r>
        <w:rPr>
          <w:rFonts w:hint="eastAsia" w:eastAsia="宋体" w:cs="宋体"/>
          <w:color w:val="auto"/>
          <w:highlight w:val="none"/>
        </w:rPr>
        <w:t>如东县财政局</w:t>
      </w:r>
      <w:r>
        <w:rPr>
          <w:rFonts w:hint="eastAsia" w:ascii="宋体" w:hAnsi="宋体" w:eastAsia="宋体" w:cs="宋体"/>
          <w:color w:val="auto"/>
          <w:highlight w:val="none"/>
        </w:rPr>
        <w:t>：</w:t>
      </w:r>
    </w:p>
    <w:p w14:paraId="424F7092">
      <w:pPr>
        <w:spacing w:line="420" w:lineRule="exact"/>
        <w:ind w:firstLine="560"/>
        <w:jc w:val="left"/>
        <w:rPr>
          <w:rFonts w:ascii="宋体" w:hAnsi="宋体" w:eastAsia="宋体" w:cs="宋体"/>
          <w:color w:val="auto"/>
          <w:highlight w:val="none"/>
        </w:rPr>
      </w:pPr>
      <w:r>
        <w:rPr>
          <w:rFonts w:hint="eastAsia" w:ascii="宋体" w:hAnsi="宋体" w:eastAsia="宋体" w:cs="宋体"/>
          <w:color w:val="auto"/>
          <w:highlight w:val="none"/>
        </w:rPr>
        <w:t>我</w:t>
      </w:r>
      <w:bookmarkStart w:id="189" w:name="_Hlk130325438"/>
      <w:r>
        <w:rPr>
          <w:rFonts w:hint="eastAsia" w:eastAsia="宋体" w:cs="宋体"/>
          <w:i/>
          <w:iCs/>
          <w:color w:val="auto"/>
          <w:highlight w:val="none"/>
          <w:u w:val="single"/>
        </w:rPr>
        <w:t>（填具：供应商单位名称）</w:t>
      </w:r>
      <w:bookmarkEnd w:id="189"/>
      <w:r>
        <w:rPr>
          <w:rFonts w:hint="eastAsia" w:ascii="宋体" w:hAnsi="宋体" w:eastAsia="宋体" w:cs="宋体"/>
          <w:color w:val="auto"/>
          <w:highlight w:val="none"/>
        </w:rPr>
        <w:t>郑重承诺：</w:t>
      </w:r>
    </w:p>
    <w:p w14:paraId="4560E57B">
      <w:pPr>
        <w:spacing w:line="420" w:lineRule="exact"/>
        <w:ind w:firstLine="560"/>
        <w:jc w:val="left"/>
        <w:rPr>
          <w:rFonts w:ascii="宋体" w:hAnsi="宋体" w:eastAsia="宋体" w:cs="宋体"/>
          <w:color w:val="auto"/>
          <w:highlight w:val="none"/>
        </w:rPr>
      </w:pPr>
      <w:r>
        <w:rPr>
          <w:rFonts w:hint="eastAsia" w:eastAsia="宋体" w:cs="宋体"/>
          <w:color w:val="auto"/>
          <w:highlight w:val="none"/>
        </w:rPr>
        <w:t>参加项目编号：</w:t>
      </w: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hint="eastAsia" w:eastAsia="宋体" w:cs="宋体"/>
          <w:color w:val="auto"/>
          <w:highlight w:val="none"/>
        </w:rPr>
        <w:t>的</w:t>
      </w:r>
      <w:r>
        <w:rPr>
          <w:rFonts w:eastAsia="宋体" w:cs="宋体"/>
          <w:color w:val="auto"/>
          <w:highlight w:val="none"/>
          <w:u w:val="single"/>
        </w:rPr>
        <w:t xml:space="preserve">  </w:t>
      </w:r>
      <w:r>
        <w:rPr>
          <w:rFonts w:hint="eastAsia" w:eastAsia="宋体" w:cs="宋体"/>
          <w:color w:val="auto"/>
          <w:highlight w:val="none"/>
          <w:u w:val="single"/>
        </w:rPr>
        <w:t>如东县财政局政府投资建设项目协审服务框架协议采购项目</w:t>
      </w:r>
      <w:r>
        <w:rPr>
          <w:rFonts w:eastAsia="宋体" w:cs="宋体"/>
          <w:color w:val="auto"/>
          <w:highlight w:val="none"/>
          <w:u w:val="single"/>
        </w:rPr>
        <w:t xml:space="preserve">  </w:t>
      </w:r>
      <w:r>
        <w:rPr>
          <w:rFonts w:hint="eastAsia" w:eastAsia="宋体" w:cs="宋体"/>
          <w:color w:val="auto"/>
          <w:highlight w:val="none"/>
        </w:rPr>
        <w:t>征集采购活动</w:t>
      </w:r>
      <w:r>
        <w:rPr>
          <w:rFonts w:hint="eastAsia" w:ascii="宋体" w:hAnsi="宋体" w:eastAsia="宋体" w:cs="宋体"/>
          <w:color w:val="auto"/>
          <w:highlight w:val="none"/>
        </w:rPr>
        <w:t>，我单位</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(在下划线上如实填写：有或没有）履行合同所必需的设备和专业技术能力。</w:t>
      </w:r>
    </w:p>
    <w:p w14:paraId="12F2434D">
      <w:pPr>
        <w:spacing w:line="420" w:lineRule="exact"/>
        <w:ind w:firstLine="560"/>
        <w:jc w:val="left"/>
        <w:rPr>
          <w:rFonts w:ascii="宋体" w:hAnsi="宋体" w:eastAsia="宋体" w:cs="宋体"/>
          <w:color w:val="auto"/>
          <w:highlight w:val="none"/>
        </w:rPr>
      </w:pPr>
    </w:p>
    <w:p w14:paraId="4648EB56">
      <w:pPr>
        <w:spacing w:line="420" w:lineRule="exact"/>
        <w:ind w:firstLine="560"/>
        <w:jc w:val="left"/>
        <w:rPr>
          <w:rFonts w:ascii="宋体" w:hAnsi="宋体" w:eastAsia="宋体" w:cs="宋体"/>
          <w:color w:val="auto"/>
          <w:highlight w:val="none"/>
        </w:rPr>
      </w:pPr>
    </w:p>
    <w:p w14:paraId="370CF527">
      <w:pPr>
        <w:spacing w:line="420" w:lineRule="exact"/>
        <w:jc w:val="right"/>
        <w:rPr>
          <w:rFonts w:ascii="宋体" w:hAnsi="宋体" w:eastAsia="宋体"/>
          <w:bCs/>
          <w:color w:val="auto"/>
          <w:highlight w:val="none"/>
        </w:rPr>
      </w:pPr>
      <w:r>
        <w:rPr>
          <w:rFonts w:hint="eastAsia" w:ascii="宋体" w:hAnsi="宋体" w:eastAsia="宋体"/>
          <w:bCs/>
          <w:color w:val="auto"/>
          <w:highlight w:val="none"/>
        </w:rPr>
        <w:t>法定代表人或被授权人（签字或盖电子章）：</w:t>
      </w:r>
    </w:p>
    <w:p w14:paraId="5E6A3D85">
      <w:pPr>
        <w:spacing w:line="420" w:lineRule="exact"/>
        <w:jc w:val="right"/>
        <w:rPr>
          <w:rFonts w:ascii="宋体" w:hAnsi="宋体" w:eastAsia="宋体"/>
          <w:bCs/>
          <w:color w:val="auto"/>
          <w:highlight w:val="none"/>
        </w:rPr>
      </w:pPr>
    </w:p>
    <w:p w14:paraId="5CEC106A">
      <w:pPr>
        <w:spacing w:line="420" w:lineRule="exact"/>
        <w:jc w:val="right"/>
        <w:rPr>
          <w:rFonts w:ascii="宋体" w:hAnsi="宋体" w:eastAsia="宋体"/>
          <w:bCs/>
          <w:color w:val="auto"/>
          <w:highlight w:val="none"/>
        </w:rPr>
      </w:pPr>
      <w:r>
        <w:rPr>
          <w:rFonts w:hint="eastAsia" w:ascii="宋体" w:hAnsi="宋体" w:eastAsia="宋体"/>
          <w:bCs/>
          <w:color w:val="auto"/>
          <w:highlight w:val="none"/>
        </w:rPr>
        <w:t>供应商（加盖CA电子签章）：</w:t>
      </w:r>
    </w:p>
    <w:p w14:paraId="670CF934">
      <w:pPr>
        <w:spacing w:line="420" w:lineRule="exact"/>
        <w:jc w:val="right"/>
        <w:rPr>
          <w:rFonts w:ascii="宋体" w:hAnsi="宋体" w:eastAsia="宋体"/>
          <w:bCs/>
          <w:color w:val="auto"/>
          <w:highlight w:val="none"/>
        </w:rPr>
      </w:pPr>
    </w:p>
    <w:p w14:paraId="750E4DEE">
      <w:pPr>
        <w:spacing w:line="420" w:lineRule="exact"/>
        <w:jc w:val="right"/>
        <w:rPr>
          <w:rFonts w:eastAsia="宋体"/>
          <w:color w:val="auto"/>
          <w:highlight w:val="none"/>
          <w:u w:val="single"/>
        </w:rPr>
      </w:pPr>
      <w:r>
        <w:rPr>
          <w:rFonts w:hint="eastAsia" w:ascii="宋体" w:hAnsi="宋体" w:eastAsia="宋体"/>
          <w:bCs/>
          <w:color w:val="auto"/>
          <w:highlight w:val="none"/>
        </w:rPr>
        <w:t>年</w:t>
      </w:r>
      <w:r>
        <w:rPr>
          <w:rFonts w:hint="eastAsia" w:ascii="宋体" w:hAnsi="宋体" w:eastAsia="宋体"/>
          <w:bCs/>
          <w:color w:val="auto"/>
          <w:highlight w:val="none"/>
        </w:rPr>
        <w:tab/>
      </w:r>
      <w:r>
        <w:rPr>
          <w:rFonts w:hint="eastAsia" w:ascii="宋体" w:hAnsi="宋体" w:eastAsia="宋体"/>
          <w:bCs/>
          <w:color w:val="auto"/>
          <w:highlight w:val="none"/>
        </w:rPr>
        <w:t>月 日</w:t>
      </w:r>
    </w:p>
    <w:p w14:paraId="1045D275">
      <w:pPr>
        <w:spacing w:line="420" w:lineRule="exact"/>
        <w:ind w:firstLine="424"/>
        <w:outlineLvl w:val="3"/>
        <w:rPr>
          <w:rFonts w:eastAsia="宋体"/>
          <w:b/>
          <w:bCs/>
          <w:color w:val="auto"/>
          <w:highlight w:val="none"/>
        </w:rPr>
        <w:sectPr>
          <w:pgSz w:w="11906" w:h="16838"/>
          <w:pgMar w:top="851" w:right="851" w:bottom="851" w:left="1134" w:header="567" w:footer="454" w:gutter="0"/>
          <w:cols w:space="425" w:num="1"/>
          <w:docGrid w:linePitch="360" w:charSpace="0"/>
        </w:sectPr>
      </w:pPr>
    </w:p>
    <w:p w14:paraId="0D6E070C">
      <w:pPr>
        <w:spacing w:line="420" w:lineRule="exact"/>
        <w:ind w:firstLine="424"/>
        <w:outlineLvl w:val="3"/>
        <w:rPr>
          <w:rFonts w:eastAsia="宋体"/>
          <w:b/>
          <w:bCs/>
          <w:color w:val="auto"/>
          <w:highlight w:val="none"/>
        </w:rPr>
      </w:pPr>
      <w:r>
        <w:rPr>
          <w:rFonts w:hint="eastAsia" w:eastAsia="宋体"/>
          <w:b/>
          <w:bCs/>
          <w:color w:val="auto"/>
          <w:highlight w:val="none"/>
        </w:rPr>
        <w:t>附件7 无重大违法记录声明</w:t>
      </w:r>
    </w:p>
    <w:p w14:paraId="465543D3">
      <w:pPr>
        <w:spacing w:before="240" w:after="240" w:line="420" w:lineRule="exact"/>
        <w:jc w:val="center"/>
        <w:rPr>
          <w:rFonts w:eastAsia="宋体" w:cs="宋体"/>
          <w:color w:val="auto"/>
          <w:highlight w:val="none"/>
        </w:rPr>
      </w:pPr>
      <w:r>
        <w:rPr>
          <w:rFonts w:hint="eastAsia" w:eastAsia="宋体" w:cs="宋体"/>
          <w:b/>
          <w:bCs/>
          <w:color w:val="auto"/>
          <w:sz w:val="28"/>
          <w:szCs w:val="28"/>
          <w:highlight w:val="none"/>
        </w:rPr>
        <w:t>无重大违法记录声明</w:t>
      </w:r>
    </w:p>
    <w:p w14:paraId="66F398BA">
      <w:pPr>
        <w:spacing w:before="240" w:after="240" w:line="420" w:lineRule="exact"/>
        <w:rPr>
          <w:rFonts w:eastAsia="宋体"/>
          <w:color w:val="auto"/>
          <w:highlight w:val="none"/>
        </w:rPr>
      </w:pPr>
      <w:r>
        <w:rPr>
          <w:rFonts w:hint="eastAsia" w:eastAsia="宋体" w:cs="宋体"/>
          <w:color w:val="auto"/>
          <w:highlight w:val="none"/>
        </w:rPr>
        <w:t>如东县财政局：</w:t>
      </w:r>
    </w:p>
    <w:p w14:paraId="781D986E">
      <w:pPr>
        <w:spacing w:line="420" w:lineRule="exact"/>
        <w:ind w:firstLine="566"/>
        <w:rPr>
          <w:rFonts w:eastAsia="宋体"/>
          <w:color w:val="auto"/>
          <w:highlight w:val="none"/>
        </w:rPr>
      </w:pPr>
      <w:r>
        <w:rPr>
          <w:rFonts w:hint="eastAsia" w:eastAsia="宋体" w:cs="宋体"/>
          <w:color w:val="auto"/>
          <w:highlight w:val="none"/>
        </w:rPr>
        <w:t>我</w:t>
      </w:r>
      <w:r>
        <w:rPr>
          <w:rFonts w:eastAsia="宋体"/>
          <w:color w:val="auto"/>
          <w:highlight w:val="none"/>
          <w:u w:val="single"/>
        </w:rPr>
        <w:t xml:space="preserve">  </w:t>
      </w:r>
      <w:r>
        <w:rPr>
          <w:rFonts w:hint="eastAsia" w:eastAsia="宋体" w:cs="宋体"/>
          <w:color w:val="auto"/>
          <w:highlight w:val="none"/>
          <w:u w:val="single"/>
        </w:rPr>
        <w:t>（法人、其他组织名称）</w:t>
      </w:r>
      <w:r>
        <w:rPr>
          <w:rFonts w:eastAsia="宋体"/>
          <w:color w:val="auto"/>
          <w:highlight w:val="none"/>
          <w:u w:val="single"/>
        </w:rPr>
        <w:t xml:space="preserve">  </w:t>
      </w:r>
      <w:r>
        <w:rPr>
          <w:rFonts w:hint="eastAsia" w:eastAsia="宋体" w:cs="宋体"/>
          <w:color w:val="auto"/>
          <w:highlight w:val="none"/>
        </w:rPr>
        <w:t>郑重声明：</w:t>
      </w:r>
    </w:p>
    <w:p w14:paraId="24C39984">
      <w:pPr>
        <w:spacing w:line="420" w:lineRule="exact"/>
        <w:ind w:firstLine="566"/>
        <w:rPr>
          <w:rFonts w:eastAsia="宋体"/>
          <w:color w:val="auto"/>
          <w:highlight w:val="none"/>
        </w:rPr>
      </w:pPr>
      <w:r>
        <w:rPr>
          <w:rFonts w:hint="eastAsia" w:eastAsia="宋体" w:cs="宋体"/>
          <w:color w:val="auto"/>
          <w:highlight w:val="none"/>
        </w:rPr>
        <w:t>参加项目编号：</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hint="eastAsia" w:eastAsia="宋体" w:cs="宋体"/>
          <w:color w:val="auto"/>
          <w:highlight w:val="none"/>
        </w:rPr>
        <w:t>的</w:t>
      </w:r>
      <w:r>
        <w:rPr>
          <w:rFonts w:eastAsia="宋体"/>
          <w:color w:val="auto"/>
          <w:highlight w:val="none"/>
          <w:u w:val="single"/>
        </w:rPr>
        <w:t xml:space="preserve">  </w:t>
      </w:r>
      <w:r>
        <w:rPr>
          <w:rFonts w:hint="eastAsia" w:eastAsia="宋体" w:cs="宋体"/>
          <w:color w:val="auto"/>
          <w:highlight w:val="none"/>
          <w:u w:val="single"/>
        </w:rPr>
        <w:t>如东县财政局政府投资建设项目协审服务框架协议采购项目</w:t>
      </w:r>
      <w:r>
        <w:rPr>
          <w:rFonts w:eastAsia="宋体"/>
          <w:color w:val="auto"/>
          <w:highlight w:val="none"/>
          <w:u w:val="single"/>
        </w:rPr>
        <w:t xml:space="preserve">  </w:t>
      </w:r>
      <w:r>
        <w:rPr>
          <w:rFonts w:hint="eastAsia" w:eastAsia="宋体" w:cs="宋体"/>
          <w:color w:val="auto"/>
          <w:highlight w:val="none"/>
        </w:rPr>
        <w:t>的政府采购活动前</w:t>
      </w:r>
      <w:r>
        <w:rPr>
          <w:rFonts w:eastAsia="宋体"/>
          <w:color w:val="auto"/>
          <w:highlight w:val="none"/>
        </w:rPr>
        <w:t>3</w:t>
      </w:r>
      <w:r>
        <w:rPr>
          <w:rFonts w:hint="eastAsia" w:eastAsia="宋体" w:cs="宋体"/>
          <w:color w:val="auto"/>
          <w:highlight w:val="none"/>
        </w:rPr>
        <w:t>年内在经营活动中</w:t>
      </w:r>
      <w:r>
        <w:rPr>
          <w:rFonts w:eastAsia="宋体"/>
          <w:color w:val="auto"/>
          <w:highlight w:val="none"/>
          <w:u w:val="single"/>
        </w:rPr>
        <w:t xml:space="preserve">  </w:t>
      </w:r>
      <w:r>
        <w:rPr>
          <w:rFonts w:hint="eastAsia" w:eastAsia="宋体" w:cs="宋体"/>
          <w:color w:val="auto"/>
          <w:highlight w:val="none"/>
          <w:u w:val="single"/>
        </w:rPr>
        <w:t>（在下划线上如实填写：有或没有）</w:t>
      </w:r>
      <w:r>
        <w:rPr>
          <w:rFonts w:eastAsia="宋体"/>
          <w:color w:val="auto"/>
          <w:highlight w:val="none"/>
          <w:u w:val="single"/>
        </w:rPr>
        <w:t xml:space="preserve">  </w:t>
      </w:r>
      <w:r>
        <w:rPr>
          <w:rFonts w:hint="eastAsia" w:eastAsia="宋体" w:cs="宋体"/>
          <w:color w:val="auto"/>
          <w:highlight w:val="none"/>
        </w:rPr>
        <w:t>重大违法记录。</w:t>
      </w:r>
    </w:p>
    <w:p w14:paraId="7BB904E3">
      <w:pPr>
        <w:spacing w:line="420" w:lineRule="exact"/>
        <w:ind w:firstLine="425"/>
        <w:rPr>
          <w:rFonts w:eastAsia="宋体"/>
          <w:color w:val="auto"/>
          <w:highlight w:val="none"/>
        </w:rPr>
      </w:pPr>
    </w:p>
    <w:p w14:paraId="63E1A09D">
      <w:pPr>
        <w:spacing w:line="420" w:lineRule="exact"/>
        <w:ind w:firstLine="425"/>
        <w:rPr>
          <w:rFonts w:eastAsia="宋体" w:cs="宋体"/>
          <w:color w:val="auto"/>
          <w:highlight w:val="none"/>
        </w:rPr>
      </w:pPr>
      <w:r>
        <w:rPr>
          <w:rFonts w:hint="eastAsia" w:eastAsia="宋体" w:cs="宋体"/>
          <w:color w:val="auto"/>
          <w:highlight w:val="none"/>
        </w:rPr>
        <w:t xml:space="preserve">说明： </w:t>
      </w:r>
    </w:p>
    <w:p w14:paraId="192C9396">
      <w:pPr>
        <w:spacing w:line="420" w:lineRule="exact"/>
        <w:ind w:firstLine="425"/>
        <w:rPr>
          <w:rFonts w:eastAsia="宋体" w:cs="宋体"/>
          <w:color w:val="auto"/>
          <w:highlight w:val="none"/>
        </w:rPr>
      </w:pPr>
      <w:r>
        <w:rPr>
          <w:rFonts w:hint="eastAsia" w:eastAsia="宋体" w:cs="宋体"/>
          <w:color w:val="auto"/>
          <w:highlight w:val="none"/>
        </w:rPr>
        <w:t>1.《中华人民共和国政府采购法实施条例》第十九条第一款：政府采购法第二十二条第一款第五项所称重大违法记录，是指供应商因违法经营受到刑事处罚或者责令停产停业、吊销许可证或者执照、较大数额罚款等行政处罚。</w:t>
      </w:r>
    </w:p>
    <w:p w14:paraId="4FBCBBE4">
      <w:pPr>
        <w:spacing w:line="420" w:lineRule="exact"/>
        <w:ind w:firstLine="425"/>
        <w:rPr>
          <w:rFonts w:eastAsia="宋体" w:cs="宋体"/>
          <w:color w:val="auto"/>
          <w:highlight w:val="none"/>
        </w:rPr>
      </w:pPr>
      <w:r>
        <w:rPr>
          <w:rFonts w:hint="eastAsia" w:eastAsia="宋体" w:cs="宋体"/>
          <w:color w:val="auto"/>
          <w:highlight w:val="none"/>
        </w:rPr>
        <w:t>2.《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6B852753">
      <w:pPr>
        <w:spacing w:line="420" w:lineRule="exact"/>
        <w:ind w:firstLine="425"/>
        <w:rPr>
          <w:rFonts w:eastAsia="宋体"/>
          <w:color w:val="auto"/>
          <w:highlight w:val="none"/>
        </w:rPr>
      </w:pPr>
    </w:p>
    <w:p w14:paraId="32EB98D7">
      <w:pPr>
        <w:spacing w:line="420" w:lineRule="exact"/>
        <w:ind w:firstLine="425"/>
        <w:rPr>
          <w:rFonts w:eastAsia="宋体"/>
          <w:color w:val="auto"/>
          <w:highlight w:val="none"/>
        </w:rPr>
      </w:pPr>
    </w:p>
    <w:p w14:paraId="47DCF9A6">
      <w:pPr>
        <w:spacing w:line="420" w:lineRule="exact"/>
        <w:jc w:val="right"/>
        <w:rPr>
          <w:rFonts w:eastAsia="宋体"/>
          <w:color w:val="auto"/>
          <w:highlight w:val="none"/>
        </w:rPr>
      </w:pPr>
      <w:r>
        <w:rPr>
          <w:rFonts w:hint="eastAsia" w:eastAsia="宋体" w:cs="宋体"/>
          <w:color w:val="auto"/>
          <w:highlight w:val="none"/>
        </w:rPr>
        <w:t>声明人（加盖CA电子签章）：</w:t>
      </w:r>
      <w:bookmarkStart w:id="190" w:name="_Hlk69428999"/>
      <w:r>
        <w:rPr>
          <w:rFonts w:eastAsia="宋体"/>
          <w:color w:val="auto"/>
          <w:highlight w:val="none"/>
        </w:rPr>
        <w:t xml:space="preserve"> </w:t>
      </w:r>
    </w:p>
    <w:bookmarkEnd w:id="190"/>
    <w:p w14:paraId="0945D2AF">
      <w:pPr>
        <w:spacing w:line="420" w:lineRule="exact"/>
        <w:jc w:val="right"/>
        <w:rPr>
          <w:rFonts w:eastAsia="宋体"/>
          <w:color w:val="auto"/>
          <w:highlight w:val="none"/>
        </w:rPr>
      </w:pPr>
    </w:p>
    <w:p w14:paraId="06082B09">
      <w:pPr>
        <w:spacing w:line="420" w:lineRule="exact"/>
        <w:ind w:firstLine="425"/>
        <w:jc w:val="right"/>
        <w:rPr>
          <w:rFonts w:eastAsia="宋体"/>
          <w:color w:val="auto"/>
          <w:highlight w:val="none"/>
        </w:rPr>
      </w:pPr>
      <w:r>
        <w:rPr>
          <w:rFonts w:hint="eastAsia" w:eastAsia="宋体" w:cs="宋体"/>
          <w:color w:val="auto"/>
          <w:highlight w:val="none"/>
        </w:rPr>
        <w:t>年 月 日</w:t>
      </w:r>
    </w:p>
    <w:p w14:paraId="198BD68D">
      <w:pPr>
        <w:spacing w:line="420" w:lineRule="exact"/>
        <w:ind w:firstLine="566"/>
        <w:rPr>
          <w:rFonts w:eastAsia="宋体"/>
          <w:color w:val="auto"/>
          <w:highlight w:val="none"/>
        </w:rPr>
      </w:pPr>
    </w:p>
    <w:p w14:paraId="319AB2B3">
      <w:pPr>
        <w:spacing w:line="420" w:lineRule="exact"/>
        <w:ind w:firstLine="424"/>
        <w:outlineLvl w:val="4"/>
        <w:rPr>
          <w:rFonts w:eastAsia="宋体"/>
          <w:b/>
          <w:bCs/>
          <w:color w:val="auto"/>
          <w:highlight w:val="none"/>
        </w:rPr>
        <w:sectPr>
          <w:pgSz w:w="11906" w:h="16838"/>
          <w:pgMar w:top="851" w:right="851" w:bottom="851" w:left="1134" w:header="567" w:footer="454" w:gutter="0"/>
          <w:cols w:space="425" w:num="1"/>
          <w:docGrid w:linePitch="360" w:charSpace="0"/>
        </w:sectPr>
      </w:pPr>
    </w:p>
    <w:p w14:paraId="14C114B9">
      <w:pPr>
        <w:spacing w:line="420" w:lineRule="exact"/>
        <w:ind w:firstLine="424"/>
        <w:outlineLvl w:val="3"/>
        <w:rPr>
          <w:rFonts w:eastAsia="宋体"/>
          <w:b/>
          <w:bCs/>
          <w:color w:val="auto"/>
          <w:highlight w:val="none"/>
        </w:rPr>
      </w:pPr>
      <w:r>
        <w:rPr>
          <w:rFonts w:hint="eastAsia" w:eastAsia="宋体"/>
          <w:b/>
          <w:bCs/>
          <w:color w:val="auto"/>
          <w:highlight w:val="none"/>
        </w:rPr>
        <w:t>附件8 中小微企业声明函（服务类项目）</w:t>
      </w:r>
    </w:p>
    <w:p w14:paraId="58454868">
      <w:pPr>
        <w:spacing w:before="240" w:after="240" w:line="420" w:lineRule="exact"/>
        <w:jc w:val="center"/>
        <w:rPr>
          <w:rFonts w:eastAsia="宋体"/>
          <w:b/>
          <w:bCs/>
          <w:color w:val="auto"/>
          <w:sz w:val="28"/>
          <w:szCs w:val="28"/>
          <w:highlight w:val="none"/>
        </w:rPr>
      </w:pPr>
      <w:r>
        <w:rPr>
          <w:rFonts w:hint="eastAsia" w:eastAsia="宋体" w:cs="宋体"/>
          <w:b/>
          <w:bCs/>
          <w:color w:val="auto"/>
          <w:sz w:val="28"/>
          <w:szCs w:val="28"/>
          <w:highlight w:val="none"/>
        </w:rPr>
        <w:t>中小企业声明函</w:t>
      </w:r>
    </w:p>
    <w:p w14:paraId="6EB2384E">
      <w:pPr>
        <w:spacing w:line="420" w:lineRule="exact"/>
        <w:ind w:firstLine="494"/>
        <w:rPr>
          <w:rFonts w:eastAsia="宋体" w:cs="宋体"/>
          <w:color w:val="auto"/>
          <w:highlight w:val="none"/>
        </w:rPr>
      </w:pPr>
      <w:r>
        <w:rPr>
          <w:rFonts w:hint="eastAsia" w:eastAsia="宋体" w:cs="宋体"/>
          <w:color w:val="auto"/>
          <w:highlight w:val="none"/>
        </w:rPr>
        <w:t>本公司（联合体）郑重声明，根据《政府采购促进中小企业发展管理办法》(财库[2020]46号)的规定，本公司（联合体）参加代理单位组织的</w:t>
      </w:r>
      <w:r>
        <w:rPr>
          <w:rFonts w:hint="eastAsia" w:eastAsia="宋体" w:cs="宋体"/>
          <w:color w:val="auto"/>
          <w:highlight w:val="none"/>
          <w:u w:val="single"/>
        </w:rPr>
        <w:t xml:space="preserve">  如东县财政局  </w:t>
      </w:r>
      <w:r>
        <w:rPr>
          <w:rFonts w:hint="eastAsia" w:eastAsia="宋体" w:cs="宋体"/>
          <w:color w:val="auto"/>
          <w:highlight w:val="none"/>
        </w:rPr>
        <w:t>项目编号：</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hint="eastAsia" w:eastAsia="宋体" w:cs="宋体"/>
          <w:color w:val="auto"/>
          <w:highlight w:val="none"/>
        </w:rPr>
        <w:t>的</w:t>
      </w:r>
      <w:r>
        <w:rPr>
          <w:rFonts w:eastAsia="宋体"/>
          <w:color w:val="auto"/>
          <w:highlight w:val="none"/>
          <w:u w:val="single"/>
        </w:rPr>
        <w:t xml:space="preserve">  </w:t>
      </w:r>
      <w:r>
        <w:rPr>
          <w:rFonts w:hint="eastAsia" w:eastAsia="宋体" w:cs="宋体"/>
          <w:color w:val="auto"/>
          <w:highlight w:val="none"/>
          <w:u w:val="single"/>
        </w:rPr>
        <w:t>如东县财政局政府投资建设项目协审服务框架协议采购项目</w:t>
      </w:r>
      <w:r>
        <w:rPr>
          <w:rFonts w:eastAsia="宋体"/>
          <w:color w:val="auto"/>
          <w:highlight w:val="none"/>
          <w:u w:val="single"/>
        </w:rPr>
        <w:t xml:space="preserve">  </w:t>
      </w:r>
      <w:r>
        <w:rPr>
          <w:rFonts w:hint="eastAsia" w:eastAsia="宋体" w:cs="宋体"/>
          <w:color w:val="auto"/>
          <w:highlight w:val="none"/>
        </w:rPr>
        <w:t>的征集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6565C041">
      <w:pPr>
        <w:spacing w:line="420" w:lineRule="exact"/>
        <w:ind w:firstLine="494"/>
        <w:rPr>
          <w:rFonts w:eastAsia="宋体" w:cs="宋体"/>
          <w:i/>
          <w:color w:val="auto"/>
          <w:highlight w:val="none"/>
          <w:u w:val="single"/>
        </w:rPr>
      </w:pPr>
      <w:r>
        <w:rPr>
          <w:rFonts w:hint="eastAsia" w:eastAsia="宋体" w:cs="宋体"/>
          <w:color w:val="auto"/>
          <w:highlight w:val="none"/>
        </w:rPr>
        <w:t>1.</w:t>
      </w:r>
      <w:r>
        <w:rPr>
          <w:rFonts w:hint="eastAsia" w:eastAsia="宋体" w:cs="宋体"/>
          <w:color w:val="auto"/>
          <w:highlight w:val="none"/>
          <w:u w:val="single"/>
        </w:rPr>
        <w:t>（标的名称）</w:t>
      </w:r>
      <w:r>
        <w:rPr>
          <w:rFonts w:hint="eastAsia" w:eastAsia="宋体" w:cs="宋体"/>
          <w:i/>
          <w:color w:val="auto"/>
          <w:highlight w:val="none"/>
        </w:rPr>
        <w:t>，</w:t>
      </w:r>
      <w:r>
        <w:rPr>
          <w:rFonts w:hint="eastAsia" w:eastAsia="宋体" w:cs="宋体"/>
          <w:color w:val="auto"/>
          <w:highlight w:val="none"/>
        </w:rPr>
        <w:t>属于</w:t>
      </w:r>
      <w:r>
        <w:rPr>
          <w:rFonts w:hint="eastAsia" w:eastAsia="宋体" w:cs="宋体"/>
          <w:color w:val="auto"/>
          <w:highlight w:val="none"/>
          <w:u w:val="single"/>
        </w:rPr>
        <w:t xml:space="preserve">  其他未列明行业  </w:t>
      </w:r>
      <w:r>
        <w:rPr>
          <w:rFonts w:hint="eastAsia" w:eastAsia="宋体" w:cs="宋体"/>
          <w:color w:val="auto"/>
          <w:highlight w:val="none"/>
        </w:rPr>
        <w:t>行业；承接企业为</w:t>
      </w:r>
      <w:r>
        <w:rPr>
          <w:rFonts w:hint="eastAsia" w:eastAsia="宋体" w:cs="宋体"/>
          <w:color w:val="auto"/>
          <w:highlight w:val="none"/>
          <w:u w:val="single"/>
        </w:rPr>
        <w:t>（企业名称）</w:t>
      </w:r>
      <w:r>
        <w:rPr>
          <w:rFonts w:hint="eastAsia" w:eastAsia="宋体" w:cs="宋体"/>
          <w:color w:val="auto"/>
          <w:highlight w:val="none"/>
        </w:rPr>
        <w:t>，从业人员</w:t>
      </w:r>
      <w:r>
        <w:rPr>
          <w:rFonts w:hint="eastAsia" w:eastAsia="宋体" w:cs="宋体"/>
          <w:color w:val="auto"/>
          <w:highlight w:val="none"/>
          <w:u w:val="single"/>
        </w:rPr>
        <w:t xml:space="preserve">      </w:t>
      </w:r>
      <w:r>
        <w:rPr>
          <w:rFonts w:hint="eastAsia" w:eastAsia="宋体" w:cs="宋体"/>
          <w:color w:val="auto"/>
          <w:highlight w:val="none"/>
        </w:rPr>
        <w:t>人，营业收入为</w:t>
      </w:r>
      <w:r>
        <w:rPr>
          <w:rFonts w:hint="eastAsia" w:eastAsia="宋体" w:cs="宋体"/>
          <w:color w:val="auto"/>
          <w:highlight w:val="none"/>
          <w:u w:val="single"/>
        </w:rPr>
        <w:t xml:space="preserve">     </w:t>
      </w:r>
      <w:r>
        <w:rPr>
          <w:rFonts w:hint="eastAsia" w:eastAsia="宋体" w:cs="宋体"/>
          <w:color w:val="auto"/>
          <w:highlight w:val="none"/>
        </w:rPr>
        <w:t>万元，资产总额为</w:t>
      </w:r>
      <w:r>
        <w:rPr>
          <w:rFonts w:hint="eastAsia" w:eastAsia="宋体" w:cs="宋体"/>
          <w:color w:val="auto"/>
          <w:highlight w:val="none"/>
          <w:u w:val="single"/>
        </w:rPr>
        <w:t xml:space="preserve">      </w:t>
      </w:r>
      <w:r>
        <w:rPr>
          <w:rFonts w:hint="eastAsia" w:eastAsia="宋体" w:cs="宋体"/>
          <w:color w:val="auto"/>
          <w:highlight w:val="none"/>
        </w:rPr>
        <w:t>万元</w:t>
      </w:r>
      <w:r>
        <w:rPr>
          <w:rFonts w:hint="eastAsia" w:eastAsia="宋体" w:cs="宋体"/>
          <w:color w:val="auto"/>
          <w:highlight w:val="none"/>
          <w:vertAlign w:val="superscript"/>
        </w:rPr>
        <w:t>1</w:t>
      </w:r>
      <w:r>
        <w:rPr>
          <w:rFonts w:hint="eastAsia" w:eastAsia="宋体" w:cs="宋体"/>
          <w:color w:val="auto"/>
          <w:highlight w:val="none"/>
        </w:rPr>
        <w:t>，属于</w:t>
      </w:r>
      <w:r>
        <w:rPr>
          <w:rFonts w:hint="eastAsia" w:eastAsia="宋体" w:cs="宋体"/>
          <w:color w:val="auto"/>
          <w:highlight w:val="none"/>
          <w:u w:val="single"/>
        </w:rPr>
        <w:t>（□中型企业 □小型企业 □微型企业）；</w:t>
      </w:r>
    </w:p>
    <w:p w14:paraId="128D4EA5">
      <w:pPr>
        <w:spacing w:line="420" w:lineRule="exact"/>
        <w:ind w:firstLine="494"/>
        <w:rPr>
          <w:rFonts w:eastAsia="宋体" w:cs="宋体"/>
          <w:i/>
          <w:color w:val="auto"/>
          <w:highlight w:val="none"/>
          <w:u w:val="single"/>
        </w:rPr>
      </w:pPr>
      <w:r>
        <w:rPr>
          <w:rFonts w:hint="eastAsia" w:eastAsia="宋体" w:cs="宋体"/>
          <w:color w:val="auto"/>
          <w:highlight w:val="none"/>
        </w:rPr>
        <w:t>2.</w:t>
      </w:r>
      <w:r>
        <w:rPr>
          <w:rFonts w:hint="eastAsia" w:eastAsia="宋体" w:cs="宋体"/>
          <w:color w:val="auto"/>
          <w:highlight w:val="none"/>
          <w:u w:val="single"/>
        </w:rPr>
        <w:t>（标的名称）</w:t>
      </w:r>
      <w:r>
        <w:rPr>
          <w:rFonts w:hint="eastAsia" w:eastAsia="宋体" w:cs="宋体"/>
          <w:i/>
          <w:color w:val="auto"/>
          <w:highlight w:val="none"/>
        </w:rPr>
        <w:t>，</w:t>
      </w:r>
      <w:r>
        <w:rPr>
          <w:rFonts w:hint="eastAsia" w:eastAsia="宋体" w:cs="宋体"/>
          <w:color w:val="auto"/>
          <w:highlight w:val="none"/>
        </w:rPr>
        <w:t>属于</w:t>
      </w:r>
      <w:r>
        <w:rPr>
          <w:rFonts w:hint="eastAsia" w:eastAsia="宋体" w:cs="宋体"/>
          <w:color w:val="auto"/>
          <w:highlight w:val="none"/>
          <w:u w:val="single"/>
        </w:rPr>
        <w:t xml:space="preserve">       </w:t>
      </w:r>
      <w:r>
        <w:rPr>
          <w:rFonts w:hint="eastAsia" w:eastAsia="宋体" w:cs="宋体"/>
          <w:color w:val="auto"/>
          <w:highlight w:val="none"/>
        </w:rPr>
        <w:t>行业；承接企业为</w:t>
      </w:r>
      <w:r>
        <w:rPr>
          <w:rFonts w:hint="eastAsia" w:eastAsia="宋体" w:cs="宋体"/>
          <w:color w:val="auto"/>
          <w:highlight w:val="none"/>
          <w:u w:val="single"/>
        </w:rPr>
        <w:t>（企业名称）</w:t>
      </w:r>
      <w:r>
        <w:rPr>
          <w:rFonts w:hint="eastAsia" w:eastAsia="宋体" w:cs="宋体"/>
          <w:color w:val="auto"/>
          <w:highlight w:val="none"/>
        </w:rPr>
        <w:t>，从业人员</w:t>
      </w:r>
      <w:r>
        <w:rPr>
          <w:rFonts w:hint="eastAsia" w:eastAsia="宋体" w:cs="宋体"/>
          <w:color w:val="auto"/>
          <w:highlight w:val="none"/>
          <w:u w:val="single"/>
        </w:rPr>
        <w:t xml:space="preserve">      </w:t>
      </w:r>
      <w:r>
        <w:rPr>
          <w:rFonts w:hint="eastAsia" w:eastAsia="宋体" w:cs="宋体"/>
          <w:color w:val="auto"/>
          <w:highlight w:val="none"/>
        </w:rPr>
        <w:t>人，营业收入为</w:t>
      </w:r>
      <w:r>
        <w:rPr>
          <w:rFonts w:hint="eastAsia" w:eastAsia="宋体" w:cs="宋体"/>
          <w:color w:val="auto"/>
          <w:highlight w:val="none"/>
          <w:u w:val="single"/>
        </w:rPr>
        <w:t xml:space="preserve">     </w:t>
      </w:r>
      <w:r>
        <w:rPr>
          <w:rFonts w:hint="eastAsia" w:eastAsia="宋体" w:cs="宋体"/>
          <w:color w:val="auto"/>
          <w:highlight w:val="none"/>
        </w:rPr>
        <w:t>万元，资产总额为</w:t>
      </w:r>
      <w:r>
        <w:rPr>
          <w:rFonts w:hint="eastAsia" w:eastAsia="宋体" w:cs="宋体"/>
          <w:color w:val="auto"/>
          <w:highlight w:val="none"/>
          <w:u w:val="single"/>
        </w:rPr>
        <w:t xml:space="preserve">      </w:t>
      </w:r>
      <w:r>
        <w:rPr>
          <w:rFonts w:hint="eastAsia" w:eastAsia="宋体" w:cs="宋体"/>
          <w:color w:val="auto"/>
          <w:highlight w:val="none"/>
        </w:rPr>
        <w:t>万元</w:t>
      </w:r>
      <w:r>
        <w:rPr>
          <w:rFonts w:hint="eastAsia" w:eastAsia="宋体" w:cs="宋体"/>
          <w:color w:val="auto"/>
          <w:highlight w:val="none"/>
          <w:vertAlign w:val="superscript"/>
        </w:rPr>
        <w:t>1</w:t>
      </w:r>
      <w:r>
        <w:rPr>
          <w:rFonts w:hint="eastAsia" w:eastAsia="宋体" w:cs="宋体"/>
          <w:color w:val="auto"/>
          <w:highlight w:val="none"/>
        </w:rPr>
        <w:t>，属于</w:t>
      </w:r>
      <w:r>
        <w:rPr>
          <w:rFonts w:hint="eastAsia" w:eastAsia="宋体" w:cs="宋体"/>
          <w:color w:val="auto"/>
          <w:highlight w:val="none"/>
          <w:u w:val="single"/>
        </w:rPr>
        <w:t>（□中型企业 □小型企业 □微型企业）；</w:t>
      </w:r>
    </w:p>
    <w:p w14:paraId="0DC4FFCC">
      <w:pPr>
        <w:spacing w:line="420" w:lineRule="exact"/>
        <w:ind w:firstLine="494"/>
        <w:rPr>
          <w:rFonts w:eastAsia="宋体" w:cs="宋体"/>
          <w:color w:val="auto"/>
          <w:highlight w:val="none"/>
        </w:rPr>
      </w:pPr>
      <w:r>
        <w:rPr>
          <w:rFonts w:hint="eastAsia" w:eastAsia="宋体" w:cs="宋体"/>
          <w:color w:val="auto"/>
          <w:highlight w:val="none"/>
        </w:rPr>
        <w:t>……</w:t>
      </w:r>
    </w:p>
    <w:p w14:paraId="3CFAD530">
      <w:pPr>
        <w:spacing w:line="420" w:lineRule="exact"/>
        <w:ind w:firstLine="494"/>
        <w:rPr>
          <w:rFonts w:eastAsia="宋体" w:cs="宋体"/>
          <w:color w:val="auto"/>
          <w:highlight w:val="none"/>
        </w:rPr>
      </w:pPr>
      <w:bookmarkStart w:id="191" w:name="OLE_LINK1"/>
      <w:r>
        <w:rPr>
          <w:rFonts w:hint="eastAsia" w:eastAsia="宋体" w:cs="宋体"/>
          <w:color w:val="auto"/>
          <w:highlight w:val="none"/>
        </w:rPr>
        <w:t>以上企业，不属于大企业的分支机构，不存在控股股东为大企业的情形，也不存在与大企业的负责人为同一人的情形。</w:t>
      </w:r>
      <w:bookmarkEnd w:id="191"/>
    </w:p>
    <w:p w14:paraId="05865BBE">
      <w:pPr>
        <w:spacing w:line="420" w:lineRule="exact"/>
        <w:ind w:firstLine="494"/>
        <w:rPr>
          <w:rFonts w:eastAsia="宋体" w:cs="宋体"/>
          <w:color w:val="auto"/>
          <w:highlight w:val="none"/>
        </w:rPr>
      </w:pPr>
      <w:r>
        <w:rPr>
          <w:rFonts w:hint="eastAsia" w:eastAsia="宋体" w:cs="宋体"/>
          <w:color w:val="auto"/>
          <w:highlight w:val="none"/>
        </w:rPr>
        <w:t>本企业对上述声明内容的真实性负责。如有虚假，将依法承担相应责任</w:t>
      </w:r>
    </w:p>
    <w:p w14:paraId="2AD701E3">
      <w:pPr>
        <w:spacing w:line="420" w:lineRule="exact"/>
        <w:ind w:firstLine="494"/>
        <w:rPr>
          <w:rFonts w:eastAsia="宋体" w:cs="宋体"/>
          <w:color w:val="auto"/>
          <w:highlight w:val="none"/>
        </w:rPr>
      </w:pPr>
    </w:p>
    <w:p w14:paraId="24446DEB">
      <w:pPr>
        <w:spacing w:line="420" w:lineRule="exact"/>
        <w:ind w:firstLine="494"/>
        <w:jc w:val="right"/>
        <w:rPr>
          <w:rFonts w:eastAsia="宋体" w:cs="宋体"/>
          <w:color w:val="auto"/>
          <w:highlight w:val="none"/>
        </w:rPr>
      </w:pPr>
      <w:r>
        <w:rPr>
          <w:rFonts w:hint="eastAsia" w:eastAsia="宋体" w:cs="宋体"/>
          <w:color w:val="auto"/>
          <w:highlight w:val="none"/>
        </w:rPr>
        <w:t>企业名称（加盖CA电子公章）：</w:t>
      </w:r>
    </w:p>
    <w:p w14:paraId="5D00B846">
      <w:pPr>
        <w:spacing w:line="420" w:lineRule="exact"/>
        <w:ind w:firstLine="494"/>
        <w:jc w:val="right"/>
        <w:rPr>
          <w:rFonts w:eastAsia="宋体" w:cs="宋体"/>
          <w:color w:val="auto"/>
          <w:highlight w:val="none"/>
        </w:rPr>
      </w:pPr>
      <w:r>
        <w:rPr>
          <w:rFonts w:hint="eastAsia" w:eastAsia="宋体" w:cs="宋体"/>
          <w:color w:val="auto"/>
          <w:highlight w:val="none"/>
        </w:rPr>
        <w:t>日  期：</w:t>
      </w:r>
    </w:p>
    <w:p w14:paraId="14E216AB">
      <w:pPr>
        <w:spacing w:line="420" w:lineRule="exact"/>
        <w:ind w:firstLine="494"/>
        <w:rPr>
          <w:rFonts w:eastAsia="宋体" w:cs="宋体"/>
          <w:color w:val="auto"/>
          <w:highlight w:val="none"/>
        </w:rPr>
      </w:pPr>
      <w:r>
        <w:rPr>
          <w:rFonts w:hint="eastAsia" w:eastAsia="宋体" w:cs="宋体"/>
          <w:color w:val="auto"/>
          <w:highlight w:val="none"/>
        </w:rPr>
        <w:t>备注：</w:t>
      </w:r>
    </w:p>
    <w:p w14:paraId="4E108556">
      <w:pPr>
        <w:spacing w:line="420" w:lineRule="exact"/>
        <w:ind w:firstLine="493"/>
        <w:rPr>
          <w:rFonts w:eastAsia="宋体" w:cs="宋体"/>
          <w:color w:val="auto"/>
          <w:highlight w:val="none"/>
        </w:rPr>
      </w:pPr>
      <w:r>
        <w:rPr>
          <w:rFonts w:hint="eastAsia" w:eastAsia="宋体" w:cs="宋体"/>
          <w:color w:val="auto"/>
          <w:highlight w:val="none"/>
        </w:rPr>
        <w:t>1.从业人员、营业收入、资产总额填报上一年度数据，无上一年度数据的新成立企业可不填报。</w:t>
      </w:r>
    </w:p>
    <w:p w14:paraId="5D3B311F">
      <w:pPr>
        <w:spacing w:line="420" w:lineRule="exact"/>
        <w:ind w:firstLine="493"/>
        <w:rPr>
          <w:rFonts w:eastAsia="宋体" w:cs="宋体"/>
          <w:color w:val="auto"/>
          <w:highlight w:val="none"/>
        </w:rPr>
      </w:pPr>
      <w:r>
        <w:rPr>
          <w:rFonts w:hint="eastAsia" w:eastAsia="宋体" w:cs="宋体"/>
          <w:color w:val="auto"/>
          <w:highlight w:val="none"/>
        </w:rPr>
        <w:t>2.本项目专门面向中小微型企业采购的项目，供应商如不提供此声明函，则不能通过资格审查。</w:t>
      </w:r>
    </w:p>
    <w:p w14:paraId="2C449264">
      <w:pPr>
        <w:spacing w:line="420" w:lineRule="exact"/>
        <w:ind w:firstLine="493"/>
        <w:rPr>
          <w:rFonts w:eastAsia="宋体" w:cs="宋体"/>
          <w:color w:val="auto"/>
          <w:highlight w:val="none"/>
        </w:rPr>
      </w:pPr>
      <w:r>
        <w:rPr>
          <w:rFonts w:hint="eastAsia" w:eastAsia="宋体" w:cs="宋体"/>
          <w:color w:val="auto"/>
          <w:highlight w:val="none"/>
        </w:rPr>
        <w:t>3.供应商自行勾选制造商的企业规模类型。</w:t>
      </w:r>
    </w:p>
    <w:p w14:paraId="52E6ACD5">
      <w:pPr>
        <w:spacing w:line="420" w:lineRule="exact"/>
        <w:ind w:firstLine="493"/>
        <w:rPr>
          <w:rFonts w:eastAsia="宋体" w:cs="宋体"/>
          <w:color w:val="auto"/>
          <w:highlight w:val="none"/>
        </w:rPr>
        <w:sectPr>
          <w:pgSz w:w="11906" w:h="16838"/>
          <w:pgMar w:top="851" w:right="851" w:bottom="851" w:left="1134" w:header="851" w:footer="471" w:gutter="0"/>
          <w:cols w:space="425" w:num="1"/>
          <w:docGrid w:linePitch="360" w:charSpace="0"/>
        </w:sectPr>
      </w:pPr>
      <w:r>
        <w:rPr>
          <w:rFonts w:hint="eastAsia" w:eastAsia="宋体" w:cs="宋体"/>
          <w:color w:val="auto"/>
          <w:highlight w:val="none"/>
        </w:rPr>
        <w:t>4.入围供应商的此声明函将随中标/成交结果同时公告，接受社会监督。</w:t>
      </w:r>
    </w:p>
    <w:p w14:paraId="0D3C16EC">
      <w:pPr>
        <w:spacing w:line="420" w:lineRule="exact"/>
        <w:ind w:firstLine="424"/>
        <w:outlineLvl w:val="3"/>
        <w:rPr>
          <w:rFonts w:eastAsia="宋体"/>
          <w:b/>
          <w:bCs/>
          <w:color w:val="auto"/>
          <w:highlight w:val="none"/>
        </w:rPr>
      </w:pPr>
      <w:r>
        <w:rPr>
          <w:rFonts w:hint="eastAsia" w:eastAsia="宋体"/>
          <w:b/>
          <w:bCs/>
          <w:color w:val="auto"/>
          <w:highlight w:val="none"/>
        </w:rPr>
        <w:t>附件9 残疾人福利性单位声明函</w:t>
      </w:r>
      <w:r>
        <w:rPr>
          <w:rFonts w:hint="eastAsia" w:eastAsia="宋体"/>
          <w:b/>
          <w:bCs/>
          <w:color w:val="auto"/>
          <w:highlight w:val="none"/>
          <w:u w:val="single"/>
        </w:rPr>
        <w:t>（如涉及，则须提供）</w:t>
      </w:r>
    </w:p>
    <w:p w14:paraId="1A75BDDD">
      <w:pPr>
        <w:spacing w:before="240" w:after="240" w:line="420" w:lineRule="exact"/>
        <w:jc w:val="center"/>
        <w:rPr>
          <w:rFonts w:eastAsia="宋体"/>
          <w:b/>
          <w:bCs/>
          <w:color w:val="auto"/>
          <w:highlight w:val="none"/>
        </w:rPr>
      </w:pPr>
      <w:bookmarkStart w:id="192" w:name="_Hlk188538547"/>
      <w:r>
        <w:rPr>
          <w:rFonts w:hint="eastAsia" w:eastAsia="宋体" w:cs="宋体"/>
          <w:b/>
          <w:bCs/>
          <w:color w:val="auto"/>
          <w:sz w:val="28"/>
          <w:szCs w:val="28"/>
          <w:highlight w:val="none"/>
        </w:rPr>
        <w:t>残疾人福利性单位</w:t>
      </w:r>
      <w:bookmarkEnd w:id="192"/>
      <w:r>
        <w:rPr>
          <w:rFonts w:hint="eastAsia" w:eastAsia="宋体" w:cs="宋体"/>
          <w:b/>
          <w:bCs/>
          <w:color w:val="auto"/>
          <w:sz w:val="28"/>
          <w:szCs w:val="28"/>
          <w:highlight w:val="none"/>
        </w:rPr>
        <w:t>声明函</w:t>
      </w:r>
    </w:p>
    <w:p w14:paraId="21D5F51B">
      <w:pPr>
        <w:spacing w:line="420" w:lineRule="exact"/>
        <w:ind w:firstLine="494"/>
        <w:jc w:val="left"/>
        <w:rPr>
          <w:rFonts w:eastAsia="宋体" w:cs="宋体"/>
          <w:color w:val="auto"/>
          <w:highlight w:val="none"/>
        </w:rPr>
      </w:pPr>
      <w:r>
        <w:rPr>
          <w:rFonts w:hint="eastAsia"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eastAsia="宋体" w:cs="宋体"/>
          <w:color w:val="auto"/>
          <w:highlight w:val="none"/>
          <w:u w:val="single"/>
        </w:rPr>
        <w:t xml:space="preserve">  如东县财政局  </w:t>
      </w:r>
      <w:r>
        <w:rPr>
          <w:rFonts w:hint="eastAsia" w:eastAsia="宋体" w:cs="宋体"/>
          <w:color w:val="auto"/>
          <w:highlight w:val="none"/>
        </w:rPr>
        <w:t>单位的采购文件项目编号：</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hint="eastAsia" w:eastAsia="宋体" w:cs="宋体"/>
          <w:color w:val="auto"/>
          <w:highlight w:val="none"/>
        </w:rPr>
        <w:t>的</w:t>
      </w:r>
      <w:r>
        <w:rPr>
          <w:rFonts w:eastAsia="宋体"/>
          <w:color w:val="auto"/>
          <w:highlight w:val="none"/>
          <w:u w:val="single"/>
        </w:rPr>
        <w:t xml:space="preserve">  </w:t>
      </w:r>
      <w:r>
        <w:rPr>
          <w:rFonts w:hint="eastAsia" w:eastAsia="宋体" w:cs="宋体"/>
          <w:color w:val="auto"/>
          <w:highlight w:val="none"/>
          <w:u w:val="single"/>
        </w:rPr>
        <w:t>如东县财政局政府投资建设项目协审服务框架协议采购项目</w:t>
      </w:r>
      <w:r>
        <w:rPr>
          <w:rFonts w:eastAsia="宋体"/>
          <w:color w:val="auto"/>
          <w:highlight w:val="none"/>
          <w:u w:val="single"/>
        </w:rPr>
        <w:t xml:space="preserve">  </w:t>
      </w:r>
      <w:r>
        <w:rPr>
          <w:rFonts w:hint="eastAsia" w:eastAsia="宋体" w:cs="宋体"/>
          <w:color w:val="auto"/>
          <w:highlight w:val="none"/>
        </w:rPr>
        <w:t>的征集采购活动，由本单位提供服务。</w:t>
      </w:r>
    </w:p>
    <w:p w14:paraId="55FCFD41">
      <w:pPr>
        <w:spacing w:line="420" w:lineRule="exact"/>
        <w:ind w:firstLine="494"/>
        <w:jc w:val="left"/>
        <w:rPr>
          <w:rFonts w:eastAsia="宋体" w:cs="宋体"/>
          <w:color w:val="auto"/>
          <w:highlight w:val="none"/>
        </w:rPr>
      </w:pPr>
      <w:r>
        <w:rPr>
          <w:rFonts w:hint="eastAsia" w:eastAsia="宋体" w:cs="宋体"/>
          <w:color w:val="auto"/>
          <w:highlight w:val="none"/>
        </w:rPr>
        <w:t>本单位对上述声明的真实性负责。如有虚假，将依法承担相应责任。</w:t>
      </w:r>
    </w:p>
    <w:p w14:paraId="680905FD">
      <w:pPr>
        <w:spacing w:line="420" w:lineRule="exact"/>
        <w:ind w:firstLine="494"/>
        <w:jc w:val="left"/>
        <w:rPr>
          <w:rFonts w:eastAsia="宋体" w:cs="宋体"/>
          <w:color w:val="auto"/>
          <w:highlight w:val="none"/>
        </w:rPr>
      </w:pPr>
    </w:p>
    <w:p w14:paraId="573AEFFD">
      <w:pPr>
        <w:spacing w:line="420" w:lineRule="exact"/>
        <w:ind w:firstLine="494"/>
        <w:jc w:val="left"/>
        <w:rPr>
          <w:rFonts w:eastAsia="宋体" w:cs="宋体"/>
          <w:color w:val="auto"/>
          <w:highlight w:val="none"/>
        </w:rPr>
      </w:pPr>
      <w:r>
        <w:rPr>
          <w:rFonts w:hint="eastAsia" w:eastAsia="宋体" w:cs="宋体"/>
          <w:color w:val="auto"/>
          <w:highlight w:val="none"/>
        </w:rPr>
        <w:t>备注：</w:t>
      </w:r>
    </w:p>
    <w:p w14:paraId="71606FC1">
      <w:pPr>
        <w:spacing w:line="420" w:lineRule="exact"/>
        <w:ind w:firstLine="494"/>
        <w:jc w:val="left"/>
        <w:rPr>
          <w:rFonts w:eastAsia="宋体" w:cs="宋体"/>
          <w:color w:val="auto"/>
          <w:highlight w:val="none"/>
        </w:rPr>
      </w:pPr>
      <w:r>
        <w:rPr>
          <w:rFonts w:hint="eastAsia" w:eastAsia="宋体" w:cs="宋体"/>
          <w:color w:val="auto"/>
          <w:highlight w:val="none"/>
        </w:rPr>
        <w:t>1</w:t>
      </w:r>
      <w:r>
        <w:rPr>
          <w:rFonts w:eastAsia="宋体" w:cs="宋体"/>
          <w:color w:val="auto"/>
          <w:highlight w:val="none"/>
        </w:rPr>
        <w:t>.</w:t>
      </w:r>
      <w:r>
        <w:rPr>
          <w:rFonts w:hint="eastAsia" w:eastAsia="宋体" w:cs="宋体"/>
          <w:color w:val="auto"/>
          <w:highlight w:val="none"/>
        </w:rPr>
        <w:t>本项目专门面向中小微型企业采购的</w:t>
      </w:r>
      <w:r>
        <w:rPr>
          <w:rFonts w:eastAsia="宋体" w:cs="宋体"/>
          <w:color w:val="auto"/>
          <w:highlight w:val="none"/>
        </w:rPr>
        <w:t>项目</w:t>
      </w:r>
      <w:r>
        <w:rPr>
          <w:rFonts w:hint="eastAsia" w:eastAsia="宋体" w:cs="宋体"/>
          <w:color w:val="auto"/>
          <w:highlight w:val="none"/>
        </w:rPr>
        <w:t>，供应商为残疾人福利性单位并提供服务的必须提供此</w:t>
      </w:r>
      <w:r>
        <w:rPr>
          <w:rFonts w:eastAsia="宋体" w:cs="宋体"/>
          <w:color w:val="auto"/>
          <w:highlight w:val="none"/>
        </w:rPr>
        <w:t>声明函</w:t>
      </w:r>
      <w:r>
        <w:rPr>
          <w:rFonts w:hint="eastAsia" w:eastAsia="宋体" w:cs="宋体"/>
          <w:color w:val="auto"/>
          <w:highlight w:val="none"/>
        </w:rPr>
        <w:t>，</w:t>
      </w:r>
      <w:r>
        <w:rPr>
          <w:rFonts w:eastAsia="宋体" w:cs="宋体"/>
          <w:color w:val="auto"/>
          <w:highlight w:val="none"/>
        </w:rPr>
        <w:t>否则将</w:t>
      </w:r>
      <w:r>
        <w:rPr>
          <w:rFonts w:hint="eastAsia" w:eastAsia="宋体" w:cs="宋体"/>
          <w:color w:val="auto"/>
          <w:highlight w:val="none"/>
        </w:rPr>
        <w:t>不能</w:t>
      </w:r>
      <w:r>
        <w:rPr>
          <w:rFonts w:eastAsia="宋体" w:cs="宋体"/>
          <w:color w:val="auto"/>
          <w:highlight w:val="none"/>
        </w:rPr>
        <w:t>通过资格审查</w:t>
      </w:r>
      <w:r>
        <w:rPr>
          <w:rFonts w:hint="eastAsia" w:eastAsia="宋体" w:cs="宋体"/>
          <w:color w:val="auto"/>
          <w:highlight w:val="none"/>
        </w:rPr>
        <w:t>。</w:t>
      </w:r>
    </w:p>
    <w:p w14:paraId="4DA3CA0A">
      <w:pPr>
        <w:spacing w:line="420" w:lineRule="exact"/>
        <w:ind w:firstLine="494"/>
        <w:jc w:val="left"/>
        <w:rPr>
          <w:rFonts w:eastAsia="宋体" w:cs="宋体"/>
          <w:color w:val="auto"/>
          <w:highlight w:val="none"/>
        </w:rPr>
      </w:pPr>
      <w:r>
        <w:rPr>
          <w:rFonts w:hint="eastAsia" w:eastAsia="宋体" w:cs="宋体"/>
          <w:color w:val="auto"/>
          <w:highlight w:val="none"/>
        </w:rPr>
        <w:t>2.入围供应商为残疾人福利性单位的，此声明函将随中标/成交结果同时公告，接受社会监督。</w:t>
      </w:r>
    </w:p>
    <w:p w14:paraId="4FC8610B">
      <w:pPr>
        <w:spacing w:line="420" w:lineRule="exact"/>
        <w:ind w:firstLine="494"/>
        <w:jc w:val="left"/>
        <w:rPr>
          <w:rFonts w:eastAsia="宋体" w:cs="宋体"/>
          <w:color w:val="auto"/>
          <w:highlight w:val="none"/>
        </w:rPr>
      </w:pPr>
    </w:p>
    <w:p w14:paraId="2E99FAAA">
      <w:pPr>
        <w:spacing w:line="420" w:lineRule="exact"/>
        <w:ind w:firstLine="4536"/>
        <w:jc w:val="left"/>
        <w:rPr>
          <w:rFonts w:eastAsia="宋体" w:cs="宋体"/>
          <w:color w:val="auto"/>
          <w:highlight w:val="none"/>
        </w:rPr>
      </w:pPr>
      <w:bookmarkStart w:id="193" w:name="_Hlk188538692"/>
      <w:r>
        <w:rPr>
          <w:rFonts w:hint="eastAsia" w:eastAsia="宋体" w:cs="宋体"/>
          <w:color w:val="auto"/>
          <w:highlight w:val="none"/>
        </w:rPr>
        <w:t>供应商全称（加盖CA电子公章）：</w:t>
      </w:r>
    </w:p>
    <w:p w14:paraId="7E50C017">
      <w:pPr>
        <w:spacing w:line="420" w:lineRule="exact"/>
        <w:ind w:firstLine="4536"/>
        <w:jc w:val="left"/>
        <w:rPr>
          <w:rFonts w:eastAsia="宋体" w:cs="宋体"/>
          <w:color w:val="auto"/>
          <w:highlight w:val="none"/>
        </w:rPr>
      </w:pPr>
      <w:r>
        <w:rPr>
          <w:rFonts w:hint="eastAsia" w:eastAsia="宋体" w:cs="宋体"/>
          <w:color w:val="auto"/>
          <w:highlight w:val="none"/>
        </w:rPr>
        <w:t>日  期：</w:t>
      </w:r>
      <w:bookmarkEnd w:id="193"/>
    </w:p>
    <w:p w14:paraId="2D500AD5">
      <w:pPr>
        <w:spacing w:line="420" w:lineRule="exact"/>
        <w:ind w:firstLine="4536"/>
        <w:jc w:val="left"/>
        <w:rPr>
          <w:rFonts w:eastAsia="宋体" w:cs="宋体"/>
          <w:color w:val="auto"/>
          <w:highlight w:val="none"/>
        </w:rPr>
      </w:pPr>
    </w:p>
    <w:p w14:paraId="5139ED2F">
      <w:pPr>
        <w:spacing w:line="420" w:lineRule="exact"/>
        <w:ind w:firstLine="494"/>
        <w:jc w:val="left"/>
        <w:rPr>
          <w:rFonts w:eastAsia="宋体" w:cs="宋体"/>
          <w:color w:val="auto"/>
          <w:highlight w:val="none"/>
        </w:rPr>
      </w:pPr>
      <w:r>
        <w:rPr>
          <w:rFonts w:hint="eastAsia" w:eastAsia="宋体" w:cs="宋体"/>
          <w:color w:val="auto"/>
          <w:highlight w:val="none"/>
        </w:rPr>
        <w:t>………………………………………………………………………………………………………</w:t>
      </w:r>
    </w:p>
    <w:p w14:paraId="6A1F755C">
      <w:pPr>
        <w:spacing w:line="420" w:lineRule="exact"/>
        <w:ind w:firstLine="494"/>
        <w:jc w:val="left"/>
        <w:rPr>
          <w:rFonts w:eastAsia="宋体" w:cs="宋体"/>
          <w:color w:val="auto"/>
          <w:highlight w:val="none"/>
        </w:rPr>
      </w:pPr>
    </w:p>
    <w:p w14:paraId="16012974">
      <w:pPr>
        <w:spacing w:line="420" w:lineRule="exact"/>
        <w:ind w:firstLine="494"/>
        <w:jc w:val="left"/>
        <w:rPr>
          <w:rFonts w:eastAsia="宋体" w:cs="宋体"/>
          <w:b/>
          <w:bCs/>
          <w:color w:val="auto"/>
          <w:highlight w:val="none"/>
        </w:rPr>
      </w:pPr>
      <w:r>
        <w:rPr>
          <w:rFonts w:hint="eastAsia" w:eastAsia="宋体" w:cs="宋体"/>
          <w:b/>
          <w:bCs/>
          <w:color w:val="auto"/>
          <w:highlight w:val="none"/>
        </w:rPr>
        <w:t>附注</w:t>
      </w:r>
    </w:p>
    <w:p w14:paraId="31D956E8">
      <w:pPr>
        <w:spacing w:line="420" w:lineRule="exact"/>
        <w:ind w:firstLine="494"/>
        <w:jc w:val="left"/>
        <w:rPr>
          <w:rFonts w:eastAsia="宋体" w:cs="宋体"/>
          <w:color w:val="auto"/>
          <w:highlight w:val="none"/>
        </w:rPr>
      </w:pPr>
      <w:r>
        <w:rPr>
          <w:rFonts w:hint="eastAsia" w:eastAsia="宋体" w:cs="宋体"/>
          <w:color w:val="auto"/>
          <w:highlight w:val="none"/>
        </w:rPr>
        <w:t>供应商为非残疾人福利性单位的，仅需提供如下内容：</w:t>
      </w:r>
    </w:p>
    <w:p w14:paraId="7EDA7BA3">
      <w:pPr>
        <w:spacing w:line="420" w:lineRule="exact"/>
        <w:ind w:firstLine="494"/>
        <w:jc w:val="left"/>
        <w:rPr>
          <w:rFonts w:eastAsia="宋体" w:cs="宋体"/>
          <w:color w:val="auto"/>
          <w:highlight w:val="none"/>
        </w:rPr>
      </w:pPr>
    </w:p>
    <w:p w14:paraId="621714DA">
      <w:pPr>
        <w:spacing w:line="420" w:lineRule="exact"/>
        <w:ind w:firstLine="494"/>
        <w:jc w:val="center"/>
        <w:rPr>
          <w:rFonts w:eastAsia="宋体" w:cs="宋体"/>
          <w:b/>
          <w:bCs/>
          <w:color w:val="auto"/>
          <w:sz w:val="28"/>
          <w:szCs w:val="28"/>
          <w:highlight w:val="none"/>
        </w:rPr>
      </w:pPr>
      <w:r>
        <w:rPr>
          <w:rFonts w:hint="eastAsia" w:eastAsia="宋体" w:cs="宋体"/>
          <w:b/>
          <w:bCs/>
          <w:color w:val="auto"/>
          <w:sz w:val="28"/>
          <w:szCs w:val="28"/>
          <w:highlight w:val="none"/>
        </w:rPr>
        <w:t>本供应商非残疾人福利性单位。</w:t>
      </w:r>
    </w:p>
    <w:p w14:paraId="4C809C48">
      <w:pPr>
        <w:spacing w:line="420" w:lineRule="exact"/>
        <w:ind w:firstLine="494"/>
        <w:jc w:val="center"/>
        <w:rPr>
          <w:rFonts w:eastAsia="宋体" w:cs="宋体"/>
          <w:b/>
          <w:bCs/>
          <w:color w:val="auto"/>
          <w:highlight w:val="none"/>
        </w:rPr>
      </w:pPr>
    </w:p>
    <w:p w14:paraId="7591C0AA">
      <w:pPr>
        <w:spacing w:line="420" w:lineRule="exact"/>
        <w:ind w:firstLine="4536"/>
        <w:jc w:val="left"/>
        <w:rPr>
          <w:rFonts w:eastAsia="宋体" w:cs="宋体"/>
          <w:color w:val="auto"/>
          <w:highlight w:val="none"/>
        </w:rPr>
      </w:pPr>
      <w:r>
        <w:rPr>
          <w:rFonts w:hint="eastAsia" w:eastAsia="宋体" w:cs="宋体"/>
          <w:color w:val="auto"/>
          <w:highlight w:val="none"/>
        </w:rPr>
        <w:t>供应商全称（加盖CA电子公章）：</w:t>
      </w:r>
    </w:p>
    <w:p w14:paraId="694A56D6">
      <w:pPr>
        <w:spacing w:line="420" w:lineRule="exact"/>
        <w:ind w:firstLine="4536"/>
        <w:jc w:val="left"/>
        <w:rPr>
          <w:rFonts w:eastAsia="宋体" w:cs="宋体"/>
          <w:color w:val="auto"/>
          <w:highlight w:val="none"/>
        </w:rPr>
      </w:pPr>
      <w:r>
        <w:rPr>
          <w:rFonts w:hint="eastAsia" w:eastAsia="宋体" w:cs="宋体"/>
          <w:color w:val="auto"/>
          <w:highlight w:val="none"/>
        </w:rPr>
        <w:t>日  期：</w:t>
      </w:r>
    </w:p>
    <w:p w14:paraId="2825E5D1">
      <w:pPr>
        <w:spacing w:line="420" w:lineRule="exact"/>
        <w:ind w:firstLine="494"/>
        <w:jc w:val="center"/>
        <w:rPr>
          <w:rFonts w:eastAsia="宋体" w:cs="宋体"/>
          <w:b/>
          <w:bCs/>
          <w:color w:val="auto"/>
          <w:highlight w:val="none"/>
        </w:rPr>
      </w:pPr>
    </w:p>
    <w:p w14:paraId="4D552533">
      <w:pPr>
        <w:spacing w:line="420" w:lineRule="exact"/>
        <w:ind w:firstLine="566"/>
        <w:jc w:val="left"/>
        <w:outlineLvl w:val="3"/>
        <w:rPr>
          <w:rFonts w:eastAsia="宋体"/>
          <w:b/>
          <w:bCs/>
          <w:color w:val="auto"/>
          <w:highlight w:val="none"/>
        </w:rPr>
        <w:sectPr>
          <w:pgSz w:w="11906" w:h="16838"/>
          <w:pgMar w:top="851" w:right="851" w:bottom="851" w:left="1134" w:header="851" w:footer="471" w:gutter="0"/>
          <w:cols w:space="425" w:num="1"/>
          <w:docGrid w:linePitch="360" w:charSpace="0"/>
        </w:sectPr>
      </w:pPr>
    </w:p>
    <w:p w14:paraId="7CABE449">
      <w:pPr>
        <w:spacing w:line="420" w:lineRule="exact"/>
        <w:ind w:firstLine="424"/>
        <w:outlineLvl w:val="3"/>
        <w:rPr>
          <w:rFonts w:eastAsia="宋体"/>
          <w:b/>
          <w:bCs/>
          <w:color w:val="auto"/>
          <w:highlight w:val="none"/>
        </w:rPr>
      </w:pPr>
      <w:r>
        <w:rPr>
          <w:rFonts w:hint="eastAsia" w:eastAsia="宋体"/>
          <w:b/>
          <w:bCs/>
          <w:color w:val="auto"/>
          <w:highlight w:val="none"/>
        </w:rPr>
        <w:t>附件10 未被“信用中国”列入失信记录承诺</w:t>
      </w:r>
    </w:p>
    <w:p w14:paraId="4300375F">
      <w:pPr>
        <w:spacing w:before="240" w:after="240" w:line="420" w:lineRule="exact"/>
        <w:jc w:val="center"/>
        <w:rPr>
          <w:rFonts w:eastAsia="宋体" w:cs="宋体"/>
          <w:b/>
          <w:bCs/>
          <w:color w:val="auto"/>
          <w:sz w:val="28"/>
          <w:szCs w:val="28"/>
          <w:highlight w:val="none"/>
        </w:rPr>
      </w:pPr>
      <w:r>
        <w:rPr>
          <w:rFonts w:hint="eastAsia" w:eastAsia="宋体" w:cs="宋体"/>
          <w:b/>
          <w:bCs/>
          <w:color w:val="auto"/>
          <w:sz w:val="28"/>
          <w:szCs w:val="28"/>
          <w:highlight w:val="none"/>
        </w:rPr>
        <w:t>未被“信用中国”列入失信记录承诺</w:t>
      </w:r>
    </w:p>
    <w:p w14:paraId="14BDEFC2">
      <w:pPr>
        <w:spacing w:line="420" w:lineRule="exact"/>
        <w:ind w:firstLine="425"/>
        <w:rPr>
          <w:rFonts w:eastAsia="宋体"/>
          <w:color w:val="auto"/>
          <w:highlight w:val="none"/>
        </w:rPr>
      </w:pPr>
      <w:r>
        <w:rPr>
          <w:rFonts w:eastAsia="宋体"/>
          <w:color w:val="auto"/>
          <w:highlight w:val="none"/>
        </w:rPr>
        <w:t>本公司未被“信用中国”网站（www.creditchina.gov.cn）列入失信被执行人、重大税收违法案件当事人名单、政府采购严重违法失信行为记录名单。如违背上述承诺，本公司（单位）将承担一切法律责任。</w:t>
      </w:r>
    </w:p>
    <w:p w14:paraId="76388875">
      <w:pPr>
        <w:spacing w:line="420" w:lineRule="exact"/>
        <w:ind w:firstLine="425"/>
        <w:rPr>
          <w:rFonts w:eastAsia="宋体"/>
          <w:color w:val="auto"/>
          <w:highlight w:val="none"/>
        </w:rPr>
      </w:pPr>
    </w:p>
    <w:p w14:paraId="27D94038">
      <w:pPr>
        <w:spacing w:line="420" w:lineRule="exact"/>
        <w:ind w:firstLine="425"/>
        <w:rPr>
          <w:rFonts w:eastAsia="宋体"/>
          <w:color w:val="auto"/>
          <w:highlight w:val="none"/>
        </w:rPr>
      </w:pPr>
      <w:r>
        <w:rPr>
          <w:rFonts w:eastAsia="宋体"/>
          <w:color w:val="auto"/>
          <w:highlight w:val="none"/>
        </w:rPr>
        <w:t>供应商全称（加盖CA电子公章）：</w:t>
      </w:r>
    </w:p>
    <w:p w14:paraId="01D1BAA9">
      <w:pPr>
        <w:spacing w:line="420" w:lineRule="exact"/>
        <w:ind w:firstLine="425"/>
        <w:rPr>
          <w:rFonts w:eastAsia="宋体"/>
          <w:color w:val="auto"/>
          <w:highlight w:val="none"/>
        </w:rPr>
      </w:pPr>
      <w:r>
        <w:rPr>
          <w:rFonts w:eastAsia="宋体"/>
          <w:color w:val="auto"/>
          <w:highlight w:val="none"/>
        </w:rPr>
        <w:t>日 期：</w:t>
      </w:r>
    </w:p>
    <w:p w14:paraId="7F91695A">
      <w:pPr>
        <w:spacing w:line="420" w:lineRule="exact"/>
        <w:ind w:firstLine="566"/>
        <w:jc w:val="left"/>
        <w:outlineLvl w:val="3"/>
        <w:rPr>
          <w:rFonts w:eastAsia="宋体"/>
          <w:b/>
          <w:bCs/>
          <w:color w:val="auto"/>
          <w:highlight w:val="none"/>
        </w:rPr>
        <w:sectPr>
          <w:pgSz w:w="11906" w:h="16838"/>
          <w:pgMar w:top="851" w:right="851" w:bottom="851" w:left="1134" w:header="567" w:footer="454" w:gutter="0"/>
          <w:cols w:space="425" w:num="1"/>
          <w:docGrid w:linePitch="360" w:charSpace="0"/>
        </w:sectPr>
      </w:pPr>
    </w:p>
    <w:p w14:paraId="795D039D">
      <w:pPr>
        <w:spacing w:line="420" w:lineRule="exact"/>
        <w:ind w:firstLine="566"/>
        <w:jc w:val="left"/>
        <w:outlineLvl w:val="3"/>
        <w:rPr>
          <w:rFonts w:eastAsia="宋体"/>
          <w:b/>
          <w:bCs/>
          <w:color w:val="auto"/>
          <w:highlight w:val="none"/>
        </w:rPr>
      </w:pPr>
      <w:r>
        <w:rPr>
          <w:rFonts w:hint="eastAsia" w:eastAsia="宋体"/>
          <w:b/>
          <w:bCs/>
          <w:color w:val="auto"/>
          <w:highlight w:val="none"/>
        </w:rPr>
        <w:t>附件11 报价承诺函</w:t>
      </w:r>
    </w:p>
    <w:p w14:paraId="3ADD744B">
      <w:pPr>
        <w:spacing w:before="240" w:after="240" w:line="420" w:lineRule="exact"/>
        <w:jc w:val="center"/>
        <w:rPr>
          <w:rFonts w:eastAsia="宋体" w:cs="宋体"/>
          <w:color w:val="auto"/>
          <w:highlight w:val="none"/>
        </w:rPr>
      </w:pPr>
      <w:r>
        <w:rPr>
          <w:rFonts w:hint="eastAsia" w:eastAsia="宋体" w:cs="宋体"/>
          <w:b/>
          <w:bCs/>
          <w:color w:val="auto"/>
          <w:sz w:val="28"/>
          <w:szCs w:val="28"/>
          <w:highlight w:val="none"/>
        </w:rPr>
        <w:t>报价承诺函</w:t>
      </w:r>
    </w:p>
    <w:p w14:paraId="3CA33595">
      <w:pPr>
        <w:spacing w:before="240" w:after="240" w:line="420" w:lineRule="exact"/>
        <w:rPr>
          <w:rFonts w:eastAsia="宋体"/>
          <w:color w:val="auto"/>
          <w:highlight w:val="none"/>
        </w:rPr>
      </w:pPr>
      <w:r>
        <w:rPr>
          <w:rFonts w:hint="eastAsia" w:eastAsia="宋体" w:cs="宋体"/>
          <w:color w:val="auto"/>
          <w:highlight w:val="none"/>
        </w:rPr>
        <w:t>如东县财政局：</w:t>
      </w:r>
    </w:p>
    <w:p w14:paraId="1035A865">
      <w:pPr>
        <w:spacing w:line="420" w:lineRule="exact"/>
        <w:ind w:firstLine="566"/>
        <w:rPr>
          <w:rFonts w:eastAsia="宋体"/>
          <w:color w:val="auto"/>
          <w:highlight w:val="none"/>
        </w:rPr>
      </w:pPr>
      <w:r>
        <w:rPr>
          <w:rFonts w:hint="eastAsia" w:eastAsia="宋体" w:cs="宋体"/>
          <w:color w:val="auto"/>
          <w:highlight w:val="none"/>
        </w:rPr>
        <w:t>我</w:t>
      </w:r>
      <w:r>
        <w:rPr>
          <w:rFonts w:eastAsia="宋体"/>
          <w:color w:val="auto"/>
          <w:highlight w:val="none"/>
          <w:u w:val="single"/>
        </w:rPr>
        <w:t xml:space="preserve">  </w:t>
      </w:r>
      <w:r>
        <w:rPr>
          <w:rFonts w:hint="eastAsia" w:eastAsia="宋体" w:cs="宋体"/>
          <w:color w:val="auto"/>
          <w:highlight w:val="none"/>
          <w:u w:val="single"/>
        </w:rPr>
        <w:t>（法人、其他组织名称）</w:t>
      </w:r>
      <w:r>
        <w:rPr>
          <w:rFonts w:eastAsia="宋体"/>
          <w:color w:val="auto"/>
          <w:highlight w:val="none"/>
          <w:u w:val="single"/>
        </w:rPr>
        <w:t xml:space="preserve">  </w:t>
      </w:r>
      <w:r>
        <w:rPr>
          <w:rFonts w:hint="eastAsia" w:eastAsia="宋体" w:cs="宋体"/>
          <w:color w:val="auto"/>
          <w:highlight w:val="none"/>
        </w:rPr>
        <w:t>郑重承诺：</w:t>
      </w:r>
    </w:p>
    <w:p w14:paraId="5294DCA6">
      <w:pPr>
        <w:spacing w:line="420" w:lineRule="exact"/>
        <w:ind w:firstLine="566"/>
        <w:rPr>
          <w:rFonts w:eastAsia="宋体" w:cs="宋体"/>
          <w:color w:val="auto"/>
          <w:highlight w:val="none"/>
        </w:rPr>
      </w:pPr>
      <w:r>
        <w:rPr>
          <w:rFonts w:hint="eastAsia" w:eastAsia="宋体" w:cs="宋体"/>
          <w:color w:val="auto"/>
          <w:highlight w:val="none"/>
        </w:rPr>
        <w:t>参加</w:t>
      </w:r>
      <w:bookmarkStart w:id="194" w:name="_Hlk185340103"/>
      <w:r>
        <w:rPr>
          <w:rFonts w:hint="eastAsia" w:eastAsia="宋体" w:cs="宋体"/>
          <w:color w:val="auto"/>
          <w:highlight w:val="none"/>
        </w:rPr>
        <w:t>项目编号：</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hint="eastAsia" w:eastAsia="宋体" w:cs="宋体"/>
          <w:color w:val="auto"/>
          <w:highlight w:val="none"/>
        </w:rPr>
        <w:t>的</w:t>
      </w:r>
      <w:r>
        <w:rPr>
          <w:rFonts w:eastAsia="宋体"/>
          <w:color w:val="auto"/>
          <w:highlight w:val="none"/>
          <w:u w:val="single"/>
        </w:rPr>
        <w:t xml:space="preserve">  </w:t>
      </w:r>
      <w:r>
        <w:rPr>
          <w:rFonts w:hint="eastAsia" w:eastAsia="宋体" w:cs="宋体"/>
          <w:color w:val="auto"/>
          <w:highlight w:val="none"/>
          <w:u w:val="single"/>
        </w:rPr>
        <w:t>如东县财政局政府投资建设项目协审服务框架协议采购项目</w:t>
      </w:r>
      <w:r>
        <w:rPr>
          <w:rFonts w:eastAsia="宋体"/>
          <w:color w:val="auto"/>
          <w:highlight w:val="none"/>
          <w:u w:val="single"/>
        </w:rPr>
        <w:t xml:space="preserve">  </w:t>
      </w:r>
      <w:bookmarkEnd w:id="194"/>
      <w:r>
        <w:rPr>
          <w:rFonts w:hint="eastAsia" w:eastAsia="宋体" w:cs="宋体"/>
          <w:color w:val="auto"/>
          <w:highlight w:val="none"/>
        </w:rPr>
        <w:t>，针对本项目报价的要求，我方承诺：按照本项目计划征集采购活动的征集文件</w:t>
      </w:r>
      <w:r>
        <w:rPr>
          <w:rFonts w:hint="eastAsia" w:eastAsia="宋体" w:cs="宋体"/>
          <w:color w:val="auto"/>
          <w:highlight w:val="none"/>
          <w:lang w:eastAsia="zh-CN"/>
        </w:rPr>
        <w:t>第三章第二条</w:t>
      </w:r>
      <w:r>
        <w:rPr>
          <w:rFonts w:hint="eastAsia" w:eastAsia="宋体" w:cs="宋体"/>
          <w:color w:val="auto"/>
          <w:highlight w:val="none"/>
        </w:rPr>
        <w:t>的“协审费用的结算</w:t>
      </w:r>
      <w:r>
        <w:rPr>
          <w:rFonts w:hint="eastAsia" w:eastAsia="宋体" w:cs="宋体"/>
          <w:color w:val="auto"/>
          <w:highlight w:val="none"/>
          <w:lang w:val="en-US" w:eastAsia="zh-CN"/>
        </w:rPr>
        <w:t>及</w:t>
      </w:r>
      <w:r>
        <w:rPr>
          <w:rFonts w:hint="eastAsia" w:eastAsia="宋体" w:cs="宋体"/>
          <w:color w:val="auto"/>
          <w:highlight w:val="none"/>
        </w:rPr>
        <w:t>支付”要求执行。同时，我方参加征集活动即被视为接受本项目价格要求。</w:t>
      </w:r>
    </w:p>
    <w:p w14:paraId="0A43A4AD">
      <w:pPr>
        <w:spacing w:line="420" w:lineRule="exact"/>
        <w:ind w:firstLine="566"/>
        <w:rPr>
          <w:rFonts w:eastAsia="宋体" w:cs="宋体"/>
          <w:color w:val="auto"/>
          <w:highlight w:val="none"/>
        </w:rPr>
      </w:pPr>
    </w:p>
    <w:p w14:paraId="28E61016">
      <w:pPr>
        <w:spacing w:line="420" w:lineRule="exact"/>
        <w:ind w:firstLine="426"/>
        <w:jc w:val="left"/>
        <w:rPr>
          <w:rFonts w:eastAsia="宋体" w:cs="宋体"/>
          <w:color w:val="auto"/>
          <w:highlight w:val="none"/>
        </w:rPr>
      </w:pPr>
      <w:r>
        <w:rPr>
          <w:rFonts w:hint="eastAsia" w:eastAsia="宋体" w:cs="宋体"/>
          <w:color w:val="auto"/>
          <w:highlight w:val="none"/>
        </w:rPr>
        <w:t>特此承诺。</w:t>
      </w:r>
    </w:p>
    <w:p w14:paraId="2A186321">
      <w:pPr>
        <w:spacing w:line="420" w:lineRule="exact"/>
        <w:ind w:firstLine="494"/>
        <w:jc w:val="left"/>
        <w:rPr>
          <w:rFonts w:eastAsia="宋体" w:cs="宋体"/>
          <w:color w:val="auto"/>
          <w:highlight w:val="none"/>
        </w:rPr>
      </w:pPr>
    </w:p>
    <w:p w14:paraId="21498DCE">
      <w:pPr>
        <w:spacing w:line="420" w:lineRule="exact"/>
        <w:ind w:firstLine="494"/>
        <w:jc w:val="right"/>
        <w:rPr>
          <w:rFonts w:eastAsia="宋体" w:cs="宋体"/>
          <w:color w:val="auto"/>
          <w:highlight w:val="none"/>
        </w:rPr>
      </w:pPr>
    </w:p>
    <w:p w14:paraId="5A365576">
      <w:pPr>
        <w:spacing w:line="420" w:lineRule="exact"/>
        <w:ind w:firstLine="4536"/>
        <w:jc w:val="left"/>
        <w:rPr>
          <w:rFonts w:eastAsia="宋体" w:cs="宋体"/>
          <w:color w:val="auto"/>
          <w:highlight w:val="none"/>
        </w:rPr>
      </w:pPr>
      <w:r>
        <w:rPr>
          <w:rFonts w:hint="eastAsia" w:eastAsia="宋体" w:cs="宋体"/>
          <w:color w:val="auto"/>
          <w:highlight w:val="none"/>
        </w:rPr>
        <w:t>供应商全称（加盖CA电子公章）：</w:t>
      </w:r>
    </w:p>
    <w:p w14:paraId="17871AED">
      <w:pPr>
        <w:spacing w:line="420" w:lineRule="exact"/>
        <w:ind w:firstLine="4536"/>
        <w:jc w:val="left"/>
        <w:rPr>
          <w:rFonts w:eastAsia="宋体" w:cs="宋体"/>
          <w:color w:val="auto"/>
          <w:highlight w:val="none"/>
        </w:rPr>
      </w:pPr>
      <w:r>
        <w:rPr>
          <w:rFonts w:hint="eastAsia" w:eastAsia="宋体" w:cs="宋体"/>
          <w:color w:val="auto"/>
          <w:highlight w:val="none"/>
        </w:rPr>
        <w:t>日  期：</w:t>
      </w:r>
    </w:p>
    <w:p w14:paraId="03B0CB78">
      <w:pPr>
        <w:spacing w:line="420" w:lineRule="exact"/>
        <w:ind w:firstLine="426"/>
        <w:jc w:val="left"/>
        <w:rPr>
          <w:rFonts w:eastAsia="宋体" w:cs="宋体"/>
          <w:color w:val="auto"/>
          <w:highlight w:val="none"/>
        </w:rPr>
      </w:pPr>
    </w:p>
    <w:p w14:paraId="44A74600">
      <w:pPr>
        <w:spacing w:line="420" w:lineRule="exact"/>
        <w:ind w:firstLine="426"/>
        <w:jc w:val="left"/>
        <w:rPr>
          <w:rFonts w:eastAsia="宋体" w:cs="宋体"/>
          <w:color w:val="auto"/>
          <w:highlight w:val="none"/>
        </w:rPr>
      </w:pPr>
    </w:p>
    <w:p w14:paraId="402EA01E">
      <w:pPr>
        <w:spacing w:line="420" w:lineRule="exact"/>
        <w:ind w:firstLine="494"/>
        <w:jc w:val="right"/>
        <w:rPr>
          <w:rFonts w:eastAsia="宋体" w:cs="宋体"/>
          <w:color w:val="auto"/>
          <w:highlight w:val="none"/>
        </w:rPr>
      </w:pPr>
      <w:r>
        <w:rPr>
          <w:rFonts w:eastAsia="宋体"/>
          <w:color w:val="auto"/>
          <w:highlight w:val="none"/>
        </w:rPr>
        <w:t xml:space="preserve">              </w:t>
      </w:r>
    </w:p>
    <w:p w14:paraId="3B72BA1A">
      <w:pPr>
        <w:spacing w:line="420" w:lineRule="exact"/>
        <w:ind w:firstLine="424"/>
        <w:outlineLvl w:val="2"/>
        <w:rPr>
          <w:rFonts w:eastAsia="宋体"/>
          <w:b/>
          <w:bCs/>
          <w:color w:val="auto"/>
          <w:highlight w:val="none"/>
        </w:rPr>
        <w:sectPr>
          <w:pgSz w:w="11906" w:h="16838"/>
          <w:pgMar w:top="851" w:right="851" w:bottom="851" w:left="1134" w:header="567" w:footer="454" w:gutter="0"/>
          <w:cols w:space="425" w:num="1"/>
          <w:docGrid w:linePitch="360" w:charSpace="0"/>
        </w:sectPr>
      </w:pPr>
    </w:p>
    <w:p w14:paraId="751DA437">
      <w:pPr>
        <w:spacing w:line="420" w:lineRule="exact"/>
        <w:ind w:firstLine="424"/>
        <w:outlineLvl w:val="3"/>
        <w:rPr>
          <w:rFonts w:eastAsia="宋体"/>
          <w:b/>
          <w:bCs/>
          <w:color w:val="auto"/>
          <w:highlight w:val="none"/>
        </w:rPr>
      </w:pPr>
      <w:bookmarkStart w:id="195" w:name="_Hlk183451010"/>
      <w:bookmarkStart w:id="196" w:name="_Hlk183444939"/>
      <w:r>
        <w:rPr>
          <w:rFonts w:hint="eastAsia" w:eastAsia="宋体"/>
          <w:b/>
          <w:bCs/>
          <w:color w:val="auto"/>
          <w:highlight w:val="none"/>
        </w:rPr>
        <w:t>附件12 征集活动响应函</w:t>
      </w:r>
    </w:p>
    <w:p w14:paraId="4011AEB4">
      <w:pPr>
        <w:spacing w:before="240" w:after="240" w:line="420" w:lineRule="exact"/>
        <w:jc w:val="center"/>
        <w:rPr>
          <w:rFonts w:eastAsia="宋体" w:cs="宋体"/>
          <w:b/>
          <w:bCs/>
          <w:color w:val="auto"/>
          <w:sz w:val="28"/>
          <w:szCs w:val="28"/>
          <w:highlight w:val="none"/>
        </w:rPr>
      </w:pPr>
      <w:r>
        <w:rPr>
          <w:rFonts w:hint="eastAsia" w:eastAsia="宋体" w:cs="宋体"/>
          <w:b/>
          <w:bCs/>
          <w:color w:val="auto"/>
          <w:sz w:val="28"/>
          <w:szCs w:val="28"/>
          <w:highlight w:val="none"/>
        </w:rPr>
        <w:t>征集活动响应函</w:t>
      </w:r>
    </w:p>
    <w:p w14:paraId="12C83024">
      <w:pPr>
        <w:spacing w:line="420" w:lineRule="exact"/>
        <w:rPr>
          <w:rFonts w:eastAsia="宋体"/>
          <w:color w:val="auto"/>
          <w:highlight w:val="none"/>
        </w:rPr>
      </w:pPr>
      <w:r>
        <w:rPr>
          <w:rFonts w:hint="eastAsia" w:eastAsia="宋体"/>
          <w:color w:val="auto"/>
          <w:highlight w:val="none"/>
        </w:rPr>
        <w:t>致：如东县财政局</w:t>
      </w:r>
    </w:p>
    <w:p w14:paraId="0B7A4ED4">
      <w:pPr>
        <w:spacing w:line="420" w:lineRule="exact"/>
        <w:ind w:firstLine="566"/>
        <w:rPr>
          <w:rFonts w:eastAsia="宋体"/>
          <w:color w:val="auto"/>
          <w:highlight w:val="none"/>
        </w:rPr>
      </w:pPr>
      <w:r>
        <w:rPr>
          <w:rFonts w:hint="eastAsia" w:eastAsia="宋体"/>
          <w:color w:val="auto"/>
          <w:highlight w:val="none"/>
        </w:rPr>
        <w:t>根据贵方的项目编号：</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hint="eastAsia" w:eastAsia="宋体"/>
          <w:color w:val="auto"/>
          <w:highlight w:val="none"/>
        </w:rPr>
        <w:t>的</w:t>
      </w:r>
      <w:r>
        <w:rPr>
          <w:rFonts w:eastAsia="宋体"/>
          <w:color w:val="auto"/>
          <w:highlight w:val="none"/>
          <w:u w:val="single"/>
        </w:rPr>
        <w:t xml:space="preserve">  </w:t>
      </w:r>
      <w:r>
        <w:rPr>
          <w:rFonts w:hint="eastAsia" w:eastAsia="宋体"/>
          <w:color w:val="auto"/>
          <w:highlight w:val="none"/>
          <w:u w:val="single"/>
        </w:rPr>
        <w:t>如东县财政局政府投资建设项目协审服务框架协议采购项目</w:t>
      </w:r>
      <w:r>
        <w:rPr>
          <w:rFonts w:eastAsia="宋体"/>
          <w:color w:val="auto"/>
          <w:highlight w:val="none"/>
          <w:u w:val="single"/>
        </w:rPr>
        <w:t xml:space="preserve">  </w:t>
      </w:r>
      <w:r>
        <w:rPr>
          <w:rFonts w:hint="eastAsia" w:eastAsia="宋体"/>
          <w:color w:val="auto"/>
          <w:highlight w:val="none"/>
        </w:rPr>
        <w:t>征集文件，正式授权______(被授权人姓名)代表我方______________（响应供应商的名称），全权处理本次项目征集活动的有关事宜。</w:t>
      </w:r>
    </w:p>
    <w:p w14:paraId="1A65659B">
      <w:pPr>
        <w:spacing w:line="420" w:lineRule="exact"/>
        <w:ind w:firstLine="566"/>
        <w:rPr>
          <w:rFonts w:eastAsia="宋体"/>
          <w:color w:val="auto"/>
          <w:highlight w:val="none"/>
        </w:rPr>
      </w:pPr>
      <w:r>
        <w:rPr>
          <w:rFonts w:hint="eastAsia" w:eastAsia="宋体"/>
          <w:color w:val="auto"/>
          <w:highlight w:val="none"/>
        </w:rPr>
        <w:t>据此函，__________（被授权人签字）兹宣布同意如下：</w:t>
      </w:r>
    </w:p>
    <w:p w14:paraId="73EE230E">
      <w:pPr>
        <w:spacing w:line="420" w:lineRule="exact"/>
        <w:ind w:firstLine="566"/>
        <w:rPr>
          <w:rFonts w:eastAsia="宋体"/>
          <w:color w:val="auto"/>
          <w:highlight w:val="none"/>
        </w:rPr>
      </w:pPr>
      <w:r>
        <w:rPr>
          <w:rFonts w:hint="eastAsia" w:eastAsia="宋体"/>
          <w:color w:val="auto"/>
          <w:highlight w:val="none"/>
        </w:rPr>
        <w:t>1.按征集文件规定的各项要求，向买方提供所需服务（包含与服务相关的货物）。</w:t>
      </w:r>
    </w:p>
    <w:p w14:paraId="1C705ACC">
      <w:pPr>
        <w:spacing w:line="420" w:lineRule="exact"/>
        <w:ind w:firstLine="566"/>
        <w:rPr>
          <w:rFonts w:eastAsia="宋体"/>
          <w:color w:val="auto"/>
          <w:highlight w:val="none"/>
        </w:rPr>
      </w:pPr>
      <w:r>
        <w:rPr>
          <w:rFonts w:hint="eastAsia" w:eastAsia="宋体"/>
          <w:color w:val="auto"/>
          <w:highlight w:val="none"/>
        </w:rPr>
        <w:t>2.我们完全理解贵方不一定将合同授予最低报价的征集响应供应商。</w:t>
      </w:r>
    </w:p>
    <w:p w14:paraId="2ABE8BFF">
      <w:pPr>
        <w:spacing w:line="420" w:lineRule="exact"/>
        <w:ind w:firstLine="566"/>
        <w:rPr>
          <w:rFonts w:eastAsia="宋体"/>
          <w:color w:val="auto"/>
          <w:highlight w:val="none"/>
        </w:rPr>
      </w:pPr>
      <w:r>
        <w:rPr>
          <w:rFonts w:hint="eastAsia" w:eastAsia="宋体"/>
          <w:color w:val="auto"/>
          <w:highlight w:val="none"/>
        </w:rPr>
        <w:t>3.我们已详细审核全部征集文件及其有效补充文件，我们知道必须放弃提出含糊不清或误解问题的权利。</w:t>
      </w:r>
    </w:p>
    <w:p w14:paraId="698FF55D">
      <w:pPr>
        <w:spacing w:line="420" w:lineRule="exact"/>
        <w:ind w:firstLine="566"/>
        <w:rPr>
          <w:rFonts w:eastAsia="宋体"/>
          <w:color w:val="auto"/>
          <w:highlight w:val="none"/>
        </w:rPr>
      </w:pPr>
      <w:r>
        <w:rPr>
          <w:rFonts w:hint="eastAsia" w:eastAsia="宋体"/>
          <w:color w:val="auto"/>
          <w:highlight w:val="none"/>
        </w:rPr>
        <w:t>4.我们同意从规定的开启日期起遵循本项目征集文件，并在规定的响应有效期期满之前均具有约束力。</w:t>
      </w:r>
    </w:p>
    <w:p w14:paraId="383B86B2">
      <w:pPr>
        <w:spacing w:line="420" w:lineRule="exact"/>
        <w:ind w:firstLine="566"/>
        <w:rPr>
          <w:rFonts w:eastAsia="宋体"/>
          <w:color w:val="auto"/>
          <w:highlight w:val="none"/>
        </w:rPr>
      </w:pPr>
      <w:r>
        <w:rPr>
          <w:rFonts w:hint="eastAsia" w:eastAsia="宋体"/>
          <w:color w:val="auto"/>
          <w:highlight w:val="none"/>
        </w:rPr>
        <w:t>5.同意向贵方提供贵方可能另外要求的与征集活动有关的任何证据或资料，并保证我方已提供和将要提供的文件是真实的、准确的。</w:t>
      </w:r>
    </w:p>
    <w:p w14:paraId="26B84B76">
      <w:pPr>
        <w:spacing w:line="420" w:lineRule="exact"/>
        <w:ind w:firstLine="566"/>
        <w:rPr>
          <w:rFonts w:eastAsia="宋体"/>
          <w:color w:val="auto"/>
          <w:highlight w:val="none"/>
        </w:rPr>
      </w:pPr>
      <w:r>
        <w:rPr>
          <w:rFonts w:hint="eastAsia" w:eastAsia="宋体"/>
          <w:color w:val="auto"/>
          <w:highlight w:val="none"/>
        </w:rPr>
        <w:t>6.一旦我方入围，我方将根据征集文件的规定，严格履行合同的责任和义务,并保证在征集文件规定的时间完成项目，交付买方验收、使用。</w:t>
      </w:r>
    </w:p>
    <w:p w14:paraId="2F5E18DA">
      <w:pPr>
        <w:spacing w:line="420" w:lineRule="exact"/>
        <w:ind w:firstLine="566"/>
        <w:rPr>
          <w:rFonts w:eastAsia="宋体"/>
          <w:color w:val="auto"/>
          <w:highlight w:val="none"/>
        </w:rPr>
      </w:pPr>
      <w:r>
        <w:rPr>
          <w:rFonts w:hint="eastAsia" w:eastAsia="宋体"/>
          <w:color w:val="auto"/>
          <w:highlight w:val="none"/>
        </w:rPr>
        <w:t>7.与本征集响应函有关的正式通讯地址为：</w:t>
      </w:r>
    </w:p>
    <w:p w14:paraId="6FC430FE">
      <w:pPr>
        <w:spacing w:line="420" w:lineRule="exact"/>
        <w:ind w:firstLine="566"/>
        <w:rPr>
          <w:rFonts w:eastAsia="宋体"/>
          <w:color w:val="auto"/>
          <w:highlight w:val="none"/>
        </w:rPr>
      </w:pPr>
      <w:r>
        <w:rPr>
          <w:rFonts w:hint="eastAsia" w:eastAsia="宋体"/>
          <w:color w:val="auto"/>
          <w:highlight w:val="none"/>
        </w:rPr>
        <w:t>地        址：</w:t>
      </w:r>
    </w:p>
    <w:p w14:paraId="7E1A5F68">
      <w:pPr>
        <w:spacing w:line="420" w:lineRule="exact"/>
        <w:ind w:firstLine="566"/>
        <w:rPr>
          <w:rFonts w:eastAsia="宋体"/>
          <w:color w:val="auto"/>
          <w:highlight w:val="none"/>
        </w:rPr>
      </w:pPr>
      <w:r>
        <w:rPr>
          <w:rFonts w:hint="eastAsia" w:eastAsia="宋体"/>
          <w:color w:val="auto"/>
          <w:highlight w:val="none"/>
        </w:rPr>
        <w:t>邮        编：</w:t>
      </w:r>
    </w:p>
    <w:p w14:paraId="2D4F5764">
      <w:pPr>
        <w:spacing w:line="420" w:lineRule="exact"/>
        <w:ind w:firstLine="566"/>
        <w:rPr>
          <w:rFonts w:eastAsia="宋体"/>
          <w:color w:val="auto"/>
          <w:highlight w:val="none"/>
        </w:rPr>
      </w:pPr>
      <w:r>
        <w:rPr>
          <w:rFonts w:hint="eastAsia" w:eastAsia="宋体"/>
          <w:color w:val="auto"/>
          <w:highlight w:val="none"/>
        </w:rPr>
        <w:t>电        话：</w:t>
      </w:r>
    </w:p>
    <w:p w14:paraId="01AFC45F">
      <w:pPr>
        <w:spacing w:line="420" w:lineRule="exact"/>
        <w:ind w:firstLine="566"/>
        <w:rPr>
          <w:rFonts w:eastAsia="宋体"/>
          <w:color w:val="auto"/>
          <w:highlight w:val="none"/>
        </w:rPr>
      </w:pPr>
      <w:r>
        <w:rPr>
          <w:rFonts w:hint="eastAsia" w:eastAsia="宋体"/>
          <w:color w:val="auto"/>
          <w:highlight w:val="none"/>
        </w:rPr>
        <w:t>传        真：</w:t>
      </w:r>
    </w:p>
    <w:p w14:paraId="04769DB6">
      <w:pPr>
        <w:spacing w:line="420" w:lineRule="exact"/>
        <w:ind w:firstLine="566"/>
        <w:rPr>
          <w:rFonts w:eastAsia="宋体"/>
          <w:color w:val="auto"/>
          <w:highlight w:val="none"/>
        </w:rPr>
      </w:pPr>
      <w:r>
        <w:rPr>
          <w:rFonts w:hint="eastAsia" w:eastAsia="宋体"/>
          <w:color w:val="auto"/>
          <w:highlight w:val="none"/>
        </w:rPr>
        <w:t>征集响应供应商开户行：</w:t>
      </w:r>
    </w:p>
    <w:p w14:paraId="6692C8C7">
      <w:pPr>
        <w:spacing w:line="420" w:lineRule="exact"/>
        <w:ind w:firstLine="566"/>
        <w:rPr>
          <w:rFonts w:eastAsia="宋体"/>
          <w:color w:val="auto"/>
          <w:highlight w:val="none"/>
        </w:rPr>
      </w:pPr>
      <w:r>
        <w:rPr>
          <w:rFonts w:hint="eastAsia" w:eastAsia="宋体"/>
          <w:color w:val="auto"/>
          <w:highlight w:val="none"/>
        </w:rPr>
        <w:t>账        号：</w:t>
      </w:r>
    </w:p>
    <w:p w14:paraId="407096A6">
      <w:pPr>
        <w:spacing w:line="420" w:lineRule="exact"/>
        <w:ind w:firstLine="566"/>
        <w:rPr>
          <w:rFonts w:eastAsia="宋体"/>
          <w:color w:val="auto"/>
          <w:highlight w:val="none"/>
        </w:rPr>
      </w:pPr>
    </w:p>
    <w:p w14:paraId="00D99D53">
      <w:pPr>
        <w:spacing w:line="420" w:lineRule="exact"/>
        <w:ind w:firstLine="566"/>
        <w:rPr>
          <w:rFonts w:eastAsia="宋体"/>
          <w:color w:val="auto"/>
          <w:highlight w:val="none"/>
        </w:rPr>
      </w:pPr>
      <w:r>
        <w:rPr>
          <w:rFonts w:hint="eastAsia" w:eastAsia="宋体"/>
          <w:color w:val="auto"/>
          <w:highlight w:val="none"/>
        </w:rPr>
        <w:t>征集响应供应商全称（加盖CA电子签章）：</w:t>
      </w:r>
    </w:p>
    <w:p w14:paraId="7B188882">
      <w:pPr>
        <w:spacing w:line="420" w:lineRule="exact"/>
        <w:ind w:firstLine="566"/>
        <w:rPr>
          <w:rFonts w:eastAsia="宋体"/>
          <w:color w:val="auto"/>
          <w:highlight w:val="none"/>
        </w:rPr>
        <w:sectPr>
          <w:pgSz w:w="11906" w:h="16838"/>
          <w:pgMar w:top="851" w:right="851" w:bottom="851" w:left="1134" w:header="567" w:footer="454" w:gutter="0"/>
          <w:cols w:space="425" w:num="1"/>
          <w:docGrid w:linePitch="360" w:charSpace="0"/>
        </w:sectPr>
      </w:pPr>
      <w:r>
        <w:rPr>
          <w:rFonts w:hint="eastAsia" w:eastAsia="宋体"/>
          <w:color w:val="auto"/>
          <w:highlight w:val="none"/>
        </w:rPr>
        <w:t>日        期：________年____月____日</w:t>
      </w:r>
    </w:p>
    <w:p w14:paraId="235D4866">
      <w:pPr>
        <w:spacing w:line="420" w:lineRule="exact"/>
        <w:ind w:firstLine="566"/>
        <w:jc w:val="left"/>
        <w:outlineLvl w:val="3"/>
        <w:rPr>
          <w:rFonts w:eastAsia="宋体"/>
          <w:b/>
          <w:bCs/>
          <w:color w:val="auto"/>
          <w:highlight w:val="none"/>
        </w:rPr>
      </w:pPr>
      <w:r>
        <w:rPr>
          <w:rFonts w:hint="eastAsia" w:eastAsia="宋体"/>
          <w:b/>
          <w:bCs/>
          <w:color w:val="auto"/>
          <w:highlight w:val="none"/>
        </w:rPr>
        <w:t>附件13 商务要求综合应答表</w:t>
      </w:r>
    </w:p>
    <w:p w14:paraId="5B1ABFA6">
      <w:pPr>
        <w:spacing w:before="240" w:after="240" w:line="420" w:lineRule="exact"/>
        <w:jc w:val="center"/>
        <w:rPr>
          <w:rFonts w:eastAsia="宋体" w:cs="宋体"/>
          <w:color w:val="auto"/>
          <w:highlight w:val="none"/>
        </w:rPr>
      </w:pPr>
      <w:r>
        <w:rPr>
          <w:rFonts w:hint="eastAsia" w:eastAsia="宋体" w:cs="宋体"/>
          <w:b/>
          <w:bCs/>
          <w:color w:val="auto"/>
          <w:sz w:val="28"/>
          <w:szCs w:val="28"/>
          <w:highlight w:val="none"/>
        </w:rPr>
        <w:t>商务要求综合应答表</w:t>
      </w:r>
      <w:bookmarkEnd w:id="195"/>
    </w:p>
    <w:tbl>
      <w:tblPr>
        <w:tblStyle w:val="90"/>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5524"/>
        <w:gridCol w:w="1275"/>
        <w:gridCol w:w="1418"/>
      </w:tblGrid>
      <w:tr w14:paraId="7BE89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701" w:type="dxa"/>
            <w:vAlign w:val="center"/>
          </w:tcPr>
          <w:p w14:paraId="3DABA90F">
            <w:pPr>
              <w:spacing w:line="400" w:lineRule="exact"/>
              <w:jc w:val="center"/>
              <w:rPr>
                <w:rFonts w:eastAsia="宋体"/>
                <w:b/>
                <w:bCs/>
                <w:color w:val="auto"/>
                <w:highlight w:val="none"/>
              </w:rPr>
            </w:pPr>
            <w:r>
              <w:rPr>
                <w:rFonts w:eastAsia="宋体"/>
                <w:b/>
                <w:bCs/>
                <w:color w:val="auto"/>
                <w:highlight w:val="none"/>
              </w:rPr>
              <w:t>项目</w:t>
            </w:r>
          </w:p>
        </w:tc>
        <w:tc>
          <w:tcPr>
            <w:tcW w:w="5524" w:type="dxa"/>
            <w:vAlign w:val="center"/>
          </w:tcPr>
          <w:p w14:paraId="057D70A2">
            <w:pPr>
              <w:spacing w:line="400" w:lineRule="exact"/>
              <w:jc w:val="center"/>
              <w:rPr>
                <w:rFonts w:eastAsia="宋体"/>
                <w:color w:val="auto"/>
                <w:highlight w:val="none"/>
              </w:rPr>
            </w:pPr>
            <w:r>
              <w:rPr>
                <w:rFonts w:hint="eastAsia" w:eastAsia="宋体"/>
                <w:b/>
                <w:bCs/>
                <w:color w:val="auto"/>
                <w:highlight w:val="none"/>
              </w:rPr>
              <w:t>采购</w:t>
            </w:r>
            <w:r>
              <w:rPr>
                <w:rFonts w:eastAsia="宋体"/>
                <w:b/>
                <w:bCs/>
                <w:color w:val="auto"/>
                <w:highlight w:val="none"/>
              </w:rPr>
              <w:t>文件条款要求</w:t>
            </w:r>
          </w:p>
        </w:tc>
        <w:tc>
          <w:tcPr>
            <w:tcW w:w="1275" w:type="dxa"/>
            <w:vAlign w:val="center"/>
          </w:tcPr>
          <w:p w14:paraId="69E80AC7">
            <w:pPr>
              <w:spacing w:line="400" w:lineRule="exact"/>
              <w:jc w:val="center"/>
              <w:rPr>
                <w:rFonts w:eastAsia="宋体"/>
                <w:color w:val="auto"/>
                <w:highlight w:val="none"/>
              </w:rPr>
            </w:pPr>
            <w:r>
              <w:rPr>
                <w:rFonts w:eastAsia="宋体"/>
                <w:b/>
                <w:bCs/>
                <w:color w:val="auto"/>
                <w:highlight w:val="none"/>
              </w:rPr>
              <w:t>应答响应</w:t>
            </w:r>
          </w:p>
        </w:tc>
        <w:tc>
          <w:tcPr>
            <w:tcW w:w="1418" w:type="dxa"/>
            <w:vAlign w:val="center"/>
          </w:tcPr>
          <w:p w14:paraId="6FCB28F9">
            <w:pPr>
              <w:spacing w:line="400" w:lineRule="exact"/>
              <w:jc w:val="center"/>
              <w:rPr>
                <w:rFonts w:eastAsia="宋体"/>
                <w:b/>
                <w:bCs/>
                <w:color w:val="auto"/>
                <w:highlight w:val="none"/>
              </w:rPr>
            </w:pPr>
            <w:r>
              <w:rPr>
                <w:rFonts w:eastAsia="宋体"/>
                <w:b/>
                <w:bCs/>
                <w:color w:val="auto"/>
                <w:highlight w:val="none"/>
              </w:rPr>
              <w:t>说明</w:t>
            </w:r>
          </w:p>
        </w:tc>
      </w:tr>
      <w:tr w14:paraId="757A3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14:paraId="5903C979">
            <w:pPr>
              <w:spacing w:line="400" w:lineRule="exact"/>
              <w:jc w:val="center"/>
              <w:rPr>
                <w:rFonts w:eastAsia="宋体"/>
                <w:b/>
                <w:bCs/>
                <w:color w:val="auto"/>
                <w:highlight w:val="none"/>
              </w:rPr>
            </w:pPr>
            <w:r>
              <w:rPr>
                <w:rFonts w:hint="eastAsia" w:eastAsia="宋体"/>
                <w:b/>
                <w:bCs/>
                <w:color w:val="auto"/>
                <w:highlight w:val="none"/>
              </w:rPr>
              <w:t>一、合同履行</w:t>
            </w:r>
            <w:r>
              <w:rPr>
                <w:rFonts w:eastAsia="宋体"/>
                <w:b/>
                <w:bCs/>
                <w:color w:val="auto"/>
                <w:highlight w:val="none"/>
              </w:rPr>
              <w:t>期限</w:t>
            </w:r>
          </w:p>
        </w:tc>
        <w:tc>
          <w:tcPr>
            <w:tcW w:w="5524" w:type="dxa"/>
            <w:vAlign w:val="center"/>
          </w:tcPr>
          <w:p w14:paraId="43B6802B">
            <w:pPr>
              <w:spacing w:line="400" w:lineRule="exact"/>
              <w:jc w:val="left"/>
              <w:rPr>
                <w:rFonts w:eastAsia="宋体"/>
                <w:color w:val="auto"/>
                <w:highlight w:val="none"/>
              </w:rPr>
            </w:pPr>
            <w:r>
              <w:rPr>
                <w:rFonts w:hint="eastAsia" w:eastAsia="宋体"/>
                <w:color w:val="auto"/>
                <w:highlight w:val="none"/>
              </w:rPr>
              <w:t>框架协议的期限为自框架协议签订之日起计两年。</w:t>
            </w:r>
          </w:p>
        </w:tc>
        <w:tc>
          <w:tcPr>
            <w:tcW w:w="1275" w:type="dxa"/>
            <w:vAlign w:val="center"/>
          </w:tcPr>
          <w:p w14:paraId="54ED7C9C">
            <w:pPr>
              <w:spacing w:line="400" w:lineRule="exact"/>
              <w:jc w:val="center"/>
              <w:rPr>
                <w:rFonts w:eastAsia="宋体"/>
                <w:color w:val="auto"/>
                <w:highlight w:val="none"/>
              </w:rPr>
            </w:pPr>
          </w:p>
        </w:tc>
        <w:tc>
          <w:tcPr>
            <w:tcW w:w="1418" w:type="dxa"/>
            <w:vMerge w:val="restart"/>
            <w:vAlign w:val="center"/>
          </w:tcPr>
          <w:p w14:paraId="086BAE5C">
            <w:pPr>
              <w:spacing w:line="400" w:lineRule="exact"/>
              <w:jc w:val="left"/>
              <w:rPr>
                <w:rFonts w:eastAsia="宋体"/>
                <w:b/>
                <w:bCs/>
                <w:color w:val="auto"/>
                <w:highlight w:val="none"/>
              </w:rPr>
            </w:pPr>
            <w:r>
              <w:rPr>
                <w:rFonts w:eastAsia="宋体"/>
                <w:b/>
                <w:bCs/>
                <w:color w:val="auto"/>
                <w:highlight w:val="none"/>
              </w:rPr>
              <w:t>1.该表为格式表，必须提供且不得修改。</w:t>
            </w:r>
          </w:p>
          <w:p w14:paraId="34AE7814">
            <w:pPr>
              <w:spacing w:line="400" w:lineRule="exact"/>
              <w:jc w:val="left"/>
              <w:rPr>
                <w:rFonts w:eastAsia="宋体"/>
                <w:b/>
                <w:bCs/>
                <w:color w:val="auto"/>
                <w:highlight w:val="none"/>
              </w:rPr>
            </w:pPr>
            <w:r>
              <w:rPr>
                <w:rFonts w:eastAsia="宋体"/>
                <w:b/>
                <w:bCs/>
                <w:color w:val="auto"/>
                <w:highlight w:val="none"/>
              </w:rPr>
              <w:t>2.“应答响应”的结果应当是“完全响应”和仅接受“正偏离”，不接受 “负偏离”或任何“负偏离”意图的表达。</w:t>
            </w:r>
          </w:p>
          <w:p w14:paraId="7C894441">
            <w:pPr>
              <w:spacing w:line="400" w:lineRule="exact"/>
              <w:jc w:val="left"/>
              <w:rPr>
                <w:rFonts w:eastAsia="宋体"/>
                <w:b/>
                <w:bCs/>
                <w:color w:val="auto"/>
                <w:highlight w:val="none"/>
              </w:rPr>
            </w:pPr>
            <w:r>
              <w:rPr>
                <w:rFonts w:eastAsia="宋体"/>
                <w:b/>
                <w:bCs/>
                <w:color w:val="auto"/>
                <w:highlight w:val="none"/>
              </w:rPr>
              <w:t>3.表内“应答响应”栏内填具“负偏离”或任何“负偏离”意图表达的，均视作未实质性响应，作无效投标处理。</w:t>
            </w:r>
          </w:p>
        </w:tc>
      </w:tr>
      <w:tr w14:paraId="598CF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701" w:type="dxa"/>
            <w:vAlign w:val="center"/>
          </w:tcPr>
          <w:p w14:paraId="5438BE1A">
            <w:pPr>
              <w:spacing w:line="400" w:lineRule="exact"/>
              <w:jc w:val="center"/>
              <w:rPr>
                <w:rFonts w:eastAsia="宋体"/>
                <w:b/>
                <w:bCs/>
                <w:color w:val="auto"/>
                <w:highlight w:val="none"/>
              </w:rPr>
            </w:pPr>
            <w:r>
              <w:rPr>
                <w:rFonts w:hint="eastAsia" w:eastAsia="宋体"/>
                <w:b/>
                <w:bCs/>
                <w:color w:val="auto"/>
                <w:highlight w:val="none"/>
              </w:rPr>
              <w:t>二、协审费用的结算</w:t>
            </w:r>
            <w:r>
              <w:rPr>
                <w:rFonts w:hint="eastAsia" w:eastAsia="宋体"/>
                <w:b/>
                <w:bCs/>
                <w:color w:val="auto"/>
                <w:highlight w:val="none"/>
                <w:lang w:val="en-US" w:eastAsia="zh-CN"/>
              </w:rPr>
              <w:t>及</w:t>
            </w:r>
            <w:r>
              <w:rPr>
                <w:rFonts w:hint="eastAsia" w:eastAsia="宋体"/>
                <w:b/>
                <w:bCs/>
                <w:color w:val="auto"/>
                <w:highlight w:val="none"/>
              </w:rPr>
              <w:t>支付</w:t>
            </w:r>
          </w:p>
        </w:tc>
        <w:tc>
          <w:tcPr>
            <w:tcW w:w="5524" w:type="dxa"/>
            <w:vAlign w:val="center"/>
          </w:tcPr>
          <w:p w14:paraId="2C7B2F7A">
            <w:pPr>
              <w:spacing w:line="420" w:lineRule="exact"/>
              <w:outlineLvl w:val="3"/>
              <w:rPr>
                <w:rFonts w:eastAsia="宋体" w:cs="宋体"/>
                <w:b/>
                <w:bCs/>
                <w:color w:val="auto"/>
                <w:highlight w:val="none"/>
              </w:rPr>
            </w:pPr>
            <w:r>
              <w:rPr>
                <w:rFonts w:hint="eastAsia" w:eastAsia="宋体" w:cs="宋体"/>
                <w:b/>
                <w:bCs/>
                <w:color w:val="auto"/>
                <w:highlight w:val="none"/>
              </w:rPr>
              <w:t>1.估算、概算、预算协审费用结算</w:t>
            </w:r>
          </w:p>
          <w:tbl>
            <w:tblPr>
              <w:tblStyle w:val="89"/>
              <w:tblW w:w="5000" w:type="pct"/>
              <w:tblInd w:w="93" w:type="dxa"/>
              <w:tblLayout w:type="autofit"/>
              <w:tblCellMar>
                <w:top w:w="0" w:type="dxa"/>
                <w:left w:w="108" w:type="dxa"/>
                <w:bottom w:w="0" w:type="dxa"/>
                <w:right w:w="108" w:type="dxa"/>
              </w:tblCellMar>
            </w:tblPr>
            <w:tblGrid>
              <w:gridCol w:w="336"/>
              <w:gridCol w:w="730"/>
              <w:gridCol w:w="561"/>
              <w:gridCol w:w="658"/>
              <w:gridCol w:w="668"/>
              <w:gridCol w:w="658"/>
              <w:gridCol w:w="492"/>
              <w:gridCol w:w="461"/>
              <w:gridCol w:w="744"/>
            </w:tblGrid>
            <w:tr w14:paraId="45C7AB9D">
              <w:tblPrEx>
                <w:tblCellMar>
                  <w:top w:w="0" w:type="dxa"/>
                  <w:left w:w="108" w:type="dxa"/>
                  <w:bottom w:w="0" w:type="dxa"/>
                  <w:right w:w="108" w:type="dxa"/>
                </w:tblCellMar>
              </w:tblPrEx>
              <w:trPr>
                <w:trHeight w:val="630"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09E4C9A9">
                  <w:pPr>
                    <w:widowControl/>
                    <w:rPr>
                      <w:rFonts w:ascii="宋体" w:hAnsi="宋体" w:eastAsia="宋体" w:cs="宋体"/>
                      <w:b/>
                      <w:bCs/>
                      <w:color w:val="auto"/>
                      <w:sz w:val="32"/>
                      <w:szCs w:val="32"/>
                      <w:highlight w:val="none"/>
                    </w:rPr>
                  </w:pPr>
                  <w:r>
                    <w:rPr>
                      <w:rFonts w:hint="eastAsia" w:ascii="宋体" w:hAnsi="宋体" w:eastAsia="宋体" w:cs="宋体"/>
                      <w:b/>
                      <w:bCs/>
                      <w:color w:val="auto"/>
                      <w:sz w:val="28"/>
                      <w:szCs w:val="28"/>
                      <w:highlight w:val="none"/>
                      <w:lang w:bidi="ar"/>
                    </w:rPr>
                    <w:t xml:space="preserve"> 协审费基准费率标准 ‰</w:t>
                  </w:r>
                </w:p>
              </w:tc>
            </w:tr>
            <w:tr w14:paraId="74F24AFF">
              <w:tblPrEx>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14:paraId="65C84C24">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类别</w:t>
                  </w:r>
                </w:p>
              </w:tc>
              <w:tc>
                <w:tcPr>
                  <w:tcW w:w="688" w:type="pct"/>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14:paraId="2818E8E2">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收费基数</w:t>
                  </w:r>
                </w:p>
              </w:tc>
              <w:tc>
                <w:tcPr>
                  <w:tcW w:w="528"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5E5011AC">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500万以内</w:t>
                  </w:r>
                </w:p>
              </w:tc>
              <w:tc>
                <w:tcPr>
                  <w:tcW w:w="620"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0EB917FC">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501-1000万</w:t>
                  </w:r>
                </w:p>
              </w:tc>
              <w:tc>
                <w:tcPr>
                  <w:tcW w:w="629"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68DC31BF">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1001-5000万</w:t>
                  </w:r>
                </w:p>
              </w:tc>
              <w:tc>
                <w:tcPr>
                  <w:tcW w:w="620"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33E3DE05">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5001万-1亿</w:t>
                  </w:r>
                </w:p>
              </w:tc>
              <w:tc>
                <w:tcPr>
                  <w:tcW w:w="463" w:type="pct"/>
                  <w:tcBorders>
                    <w:top w:val="single" w:color="000000" w:sz="12" w:space="0"/>
                    <w:left w:val="nil"/>
                    <w:bottom w:val="nil"/>
                    <w:right w:val="single" w:color="000000" w:sz="4" w:space="0"/>
                  </w:tcBorders>
                  <w:shd w:val="clear" w:color="auto" w:fill="auto"/>
                  <w:tcMar>
                    <w:top w:w="15" w:type="dxa"/>
                    <w:left w:w="15" w:type="dxa"/>
                    <w:bottom w:w="15" w:type="dxa"/>
                    <w:right w:w="15" w:type="dxa"/>
                  </w:tcMar>
                  <w:vAlign w:val="center"/>
                </w:tcPr>
                <w:p w14:paraId="73E2661A">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1亿-5亿</w:t>
                  </w:r>
                </w:p>
              </w:tc>
              <w:tc>
                <w:tcPr>
                  <w:tcW w:w="434" w:type="pct"/>
                  <w:tcBorders>
                    <w:top w:val="single" w:color="000000" w:sz="12" w:space="0"/>
                    <w:left w:val="nil"/>
                    <w:bottom w:val="nil"/>
                    <w:right w:val="single" w:color="000000" w:sz="12" w:space="0"/>
                  </w:tcBorders>
                  <w:shd w:val="clear" w:color="auto" w:fill="auto"/>
                  <w:tcMar>
                    <w:top w:w="15" w:type="dxa"/>
                    <w:left w:w="15" w:type="dxa"/>
                    <w:bottom w:w="15" w:type="dxa"/>
                    <w:right w:w="15" w:type="dxa"/>
                  </w:tcMar>
                  <w:vAlign w:val="center"/>
                </w:tcPr>
                <w:p w14:paraId="6F62952B">
                  <w:pPr>
                    <w:widowControl/>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5亿以上</w:t>
                  </w:r>
                </w:p>
              </w:tc>
              <w:tc>
                <w:tcPr>
                  <w:tcW w:w="697" w:type="pct"/>
                  <w:tcBorders>
                    <w:top w:val="single" w:color="000000" w:sz="12" w:space="0"/>
                    <w:left w:val="nil"/>
                    <w:bottom w:val="nil"/>
                    <w:right w:val="single" w:color="000000" w:sz="12" w:space="0"/>
                  </w:tcBorders>
                  <w:shd w:val="clear" w:color="auto" w:fill="auto"/>
                  <w:tcMar>
                    <w:top w:w="15" w:type="dxa"/>
                    <w:left w:w="15" w:type="dxa"/>
                    <w:bottom w:w="15" w:type="dxa"/>
                    <w:right w:w="15" w:type="dxa"/>
                  </w:tcMar>
                  <w:vAlign w:val="center"/>
                </w:tcPr>
                <w:p w14:paraId="795CAB3C">
                  <w:pPr>
                    <w:widowControl/>
                    <w:jc w:val="center"/>
                    <w:rPr>
                      <w:rFonts w:ascii="宋体" w:hAnsi="宋体" w:eastAsia="宋体" w:cs="宋体"/>
                      <w:b/>
                      <w:bCs/>
                      <w:color w:val="auto"/>
                      <w:highlight w:val="none"/>
                    </w:rPr>
                  </w:pPr>
                  <w:r>
                    <w:rPr>
                      <w:rFonts w:hint="eastAsia" w:ascii="宋体" w:hAnsi="宋体" w:eastAsia="宋体" w:cs="宋体"/>
                      <w:b/>
                      <w:bCs/>
                      <w:color w:val="auto"/>
                      <w:highlight w:val="none"/>
                      <w:lang w:bidi="ar"/>
                    </w:rPr>
                    <w:t>备注</w:t>
                  </w:r>
                </w:p>
              </w:tc>
            </w:tr>
            <w:tr w14:paraId="3F54B07E">
              <w:tblPrEx>
                <w:tblCellMar>
                  <w:top w:w="0" w:type="dxa"/>
                  <w:left w:w="108" w:type="dxa"/>
                  <w:bottom w:w="0" w:type="dxa"/>
                  <w:right w:w="108" w:type="dxa"/>
                </w:tblCellMar>
              </w:tblPrEx>
              <w:trPr>
                <w:trHeight w:val="648"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6E9C36">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投资估算审核</w:t>
                  </w:r>
                </w:p>
              </w:tc>
              <w:tc>
                <w:tcPr>
                  <w:tcW w:w="68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F285A05">
                  <w:pPr>
                    <w:widowControl/>
                    <w:jc w:val="left"/>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总投资（不含土地费、拆迁费）</w:t>
                  </w:r>
                </w:p>
              </w:tc>
              <w:tc>
                <w:tcPr>
                  <w:tcW w:w="52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3E45C26">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0.2</w:t>
                  </w:r>
                </w:p>
              </w:tc>
              <w:tc>
                <w:tcPr>
                  <w:tcW w:w="620"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8F1DDF4">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0.16</w:t>
                  </w:r>
                </w:p>
              </w:tc>
              <w:tc>
                <w:tcPr>
                  <w:tcW w:w="629"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AA2D019">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0.12</w:t>
                  </w:r>
                </w:p>
              </w:tc>
              <w:tc>
                <w:tcPr>
                  <w:tcW w:w="620"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BBD7418">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0.08</w:t>
                  </w:r>
                </w:p>
              </w:tc>
              <w:tc>
                <w:tcPr>
                  <w:tcW w:w="463"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778EBDA">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0.06</w:t>
                  </w:r>
                </w:p>
              </w:tc>
              <w:tc>
                <w:tcPr>
                  <w:tcW w:w="434"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20EBCA7">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0.04</w:t>
                  </w:r>
                </w:p>
              </w:tc>
              <w:tc>
                <w:tcPr>
                  <w:tcW w:w="697"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1C550555">
                  <w:pPr>
                    <w:widowControl/>
                    <w:jc w:val="left"/>
                    <w:rPr>
                      <w:rFonts w:ascii="宋体" w:hAnsi="宋体" w:eastAsia="宋体" w:cs="宋体"/>
                      <w:b/>
                      <w:color w:val="auto"/>
                      <w:sz w:val="20"/>
                      <w:szCs w:val="20"/>
                      <w:highlight w:val="none"/>
                    </w:rPr>
                  </w:pPr>
                </w:p>
              </w:tc>
            </w:tr>
            <w:tr w14:paraId="56ED09C5">
              <w:tblPrEx>
                <w:tblCellMar>
                  <w:top w:w="0" w:type="dxa"/>
                  <w:left w:w="108" w:type="dxa"/>
                  <w:bottom w:w="0" w:type="dxa"/>
                  <w:right w:w="108" w:type="dxa"/>
                </w:tblCellMar>
              </w:tblPrEx>
              <w:trPr>
                <w:trHeight w:val="648"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CF0A7A">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工程初步设计概算审核</w:t>
                  </w:r>
                </w:p>
              </w:tc>
              <w:tc>
                <w:tcPr>
                  <w:tcW w:w="68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2D4EC809">
                  <w:pPr>
                    <w:widowControl/>
                    <w:ind w:firstLine="100" w:firstLineChars="50"/>
                    <w:jc w:val="left"/>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送审概算价（不含土地费、拆迁费）</w:t>
                  </w:r>
                </w:p>
              </w:tc>
              <w:tc>
                <w:tcPr>
                  <w:tcW w:w="52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2B1BCD18">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0.60</w:t>
                  </w:r>
                </w:p>
              </w:tc>
              <w:tc>
                <w:tcPr>
                  <w:tcW w:w="620"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2EBF3467">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0.50</w:t>
                  </w:r>
                </w:p>
              </w:tc>
              <w:tc>
                <w:tcPr>
                  <w:tcW w:w="629"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19E08279">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0.40</w:t>
                  </w:r>
                </w:p>
              </w:tc>
              <w:tc>
                <w:tcPr>
                  <w:tcW w:w="620"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71606471">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0.35</w:t>
                  </w:r>
                </w:p>
              </w:tc>
              <w:tc>
                <w:tcPr>
                  <w:tcW w:w="463"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046A689">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0.15</w:t>
                  </w:r>
                </w:p>
              </w:tc>
              <w:tc>
                <w:tcPr>
                  <w:tcW w:w="434"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7CFAB36C">
                  <w:pPr>
                    <w:widowControl/>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lang w:bidi="ar"/>
                    </w:rPr>
                    <w:t>0.10</w:t>
                  </w:r>
                </w:p>
              </w:tc>
              <w:tc>
                <w:tcPr>
                  <w:tcW w:w="697"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BB25B51">
                  <w:pPr>
                    <w:widowControl/>
                    <w:jc w:val="left"/>
                    <w:rPr>
                      <w:rFonts w:ascii="宋体" w:hAnsi="宋体" w:eastAsia="宋体" w:cs="宋体"/>
                      <w:b/>
                      <w:color w:val="auto"/>
                      <w:sz w:val="20"/>
                      <w:szCs w:val="20"/>
                      <w:highlight w:val="none"/>
                    </w:rPr>
                  </w:pPr>
                </w:p>
              </w:tc>
            </w:tr>
            <w:tr w14:paraId="7F8BA10A">
              <w:tblPrEx>
                <w:tblCellMar>
                  <w:top w:w="0" w:type="dxa"/>
                  <w:left w:w="108" w:type="dxa"/>
                  <w:bottom w:w="0" w:type="dxa"/>
                  <w:right w:w="108" w:type="dxa"/>
                </w:tblCellMar>
              </w:tblPrEx>
              <w:trPr>
                <w:trHeight w:val="1039"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70EE8AF">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工程预算审核</w:t>
                  </w:r>
                </w:p>
              </w:tc>
              <w:tc>
                <w:tcPr>
                  <w:tcW w:w="68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3A2C949D">
                  <w:pPr>
                    <w:widowControl/>
                    <w:jc w:val="left"/>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送审价（不含暂列金）</w:t>
                  </w:r>
                </w:p>
              </w:tc>
              <w:tc>
                <w:tcPr>
                  <w:tcW w:w="528"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5E8D641">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0.70 </w:t>
                  </w:r>
                </w:p>
              </w:tc>
              <w:tc>
                <w:tcPr>
                  <w:tcW w:w="620"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281AC640">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0.60 </w:t>
                  </w:r>
                </w:p>
              </w:tc>
              <w:tc>
                <w:tcPr>
                  <w:tcW w:w="629"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4A6F3F0F">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0.55 </w:t>
                  </w:r>
                </w:p>
              </w:tc>
              <w:tc>
                <w:tcPr>
                  <w:tcW w:w="620"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32E3A353">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0.45 </w:t>
                  </w:r>
                </w:p>
              </w:tc>
              <w:tc>
                <w:tcPr>
                  <w:tcW w:w="463"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A065650">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0.22 </w:t>
                  </w:r>
                </w:p>
              </w:tc>
              <w:tc>
                <w:tcPr>
                  <w:tcW w:w="434"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593E609C">
                  <w:pPr>
                    <w:widowControl/>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 xml:space="preserve">0.15 </w:t>
                  </w:r>
                </w:p>
              </w:tc>
              <w:tc>
                <w:tcPr>
                  <w:tcW w:w="697" w:type="pct"/>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14:paraId="09DBF689">
                  <w:pPr>
                    <w:widowControl/>
                    <w:jc w:val="left"/>
                    <w:rPr>
                      <w:rFonts w:ascii="宋体" w:hAnsi="宋体" w:eastAsia="宋体" w:cs="宋体"/>
                      <w:b/>
                      <w:bCs/>
                      <w:color w:val="auto"/>
                      <w:sz w:val="20"/>
                      <w:szCs w:val="20"/>
                      <w:highlight w:val="none"/>
                    </w:rPr>
                  </w:pPr>
                </w:p>
              </w:tc>
            </w:tr>
            <w:tr w14:paraId="56319480">
              <w:tblPrEx>
                <w:tblCellMar>
                  <w:top w:w="0" w:type="dxa"/>
                  <w:left w:w="108" w:type="dxa"/>
                  <w:bottom w:w="0" w:type="dxa"/>
                  <w:right w:w="108" w:type="dxa"/>
                </w:tblCellMar>
              </w:tblPrEx>
              <w:trPr>
                <w:trHeight w:val="964"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E9E12E">
                  <w:pPr>
                    <w:widowControl/>
                    <w:jc w:val="left"/>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协审费用计算方法：</w:t>
                  </w:r>
                </w:p>
                <w:p w14:paraId="16D6AE02">
                  <w:pPr>
                    <w:widowControl/>
                    <w:jc w:val="left"/>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bidi="ar"/>
                    </w:rPr>
                    <w:t>以上表费率计算出的费用作为基准费。协审费用分为基本费和奖励费组成。基本费为基准费的50%，奖励费为核减部分的3%但不能大于基本费的1倍。评审总额不足1000元的按1000元计算。</w:t>
                  </w:r>
                </w:p>
              </w:tc>
            </w:tr>
            <w:tr w14:paraId="1AC3ACE6">
              <w:tblPrEx>
                <w:tblCellMar>
                  <w:top w:w="0" w:type="dxa"/>
                  <w:left w:w="108" w:type="dxa"/>
                  <w:bottom w:w="0" w:type="dxa"/>
                  <w:right w:w="108" w:type="dxa"/>
                </w:tblCellMar>
              </w:tblPrEx>
              <w:trPr>
                <w:trHeight w:val="522"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52182289">
                  <w:pPr>
                    <w:spacing w:line="360" w:lineRule="auto"/>
                    <w:rPr>
                      <w:rFonts w:ascii="宋体" w:hAnsi="宋体" w:eastAsia="宋体" w:cs="Arial"/>
                      <w:color w:val="auto"/>
                      <w:highlight w:val="none"/>
                    </w:rPr>
                  </w:pPr>
                  <w:r>
                    <w:rPr>
                      <w:rFonts w:hint="eastAsia" w:ascii="宋体" w:hAnsi="宋体" w:eastAsia="宋体" w:cs="宋体"/>
                      <w:color w:val="auto"/>
                      <w:highlight w:val="none"/>
                      <w:lang w:bidi="ar"/>
                    </w:rPr>
                    <w:t xml:space="preserve">说明：  </w:t>
                  </w:r>
                </w:p>
              </w:tc>
            </w:tr>
            <w:tr w14:paraId="30217A6C">
              <w:tblPrEx>
                <w:tblCellMar>
                  <w:top w:w="0" w:type="dxa"/>
                  <w:left w:w="108" w:type="dxa"/>
                  <w:bottom w:w="0" w:type="dxa"/>
                  <w:right w:w="108" w:type="dxa"/>
                </w:tblCellMar>
              </w:tblPrEx>
              <w:trPr>
                <w:trHeight w:val="281"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69BCE8C2">
                  <w:pPr>
                    <w:spacing w:line="360" w:lineRule="auto"/>
                    <w:ind w:firstLine="120" w:firstLineChars="50"/>
                    <w:rPr>
                      <w:rFonts w:ascii="宋体" w:hAnsi="宋体" w:eastAsia="宋体" w:cs="宋体"/>
                      <w:color w:val="auto"/>
                      <w:highlight w:val="none"/>
                      <w:lang w:bidi="ar"/>
                    </w:rPr>
                  </w:pPr>
                  <w:r>
                    <w:rPr>
                      <w:rFonts w:hint="eastAsia" w:ascii="宋体" w:hAnsi="宋体" w:eastAsia="宋体" w:cs="宋体"/>
                      <w:color w:val="auto"/>
                      <w:highlight w:val="none"/>
                      <w:lang w:bidi="ar"/>
                    </w:rPr>
                    <w:t>1.钢筋、铁件的工程量审核不再另行计算费用。</w:t>
                  </w:r>
                </w:p>
              </w:tc>
            </w:tr>
            <w:tr w14:paraId="354B4A37">
              <w:tblPrEx>
                <w:tblCellMar>
                  <w:top w:w="0" w:type="dxa"/>
                  <w:left w:w="108" w:type="dxa"/>
                  <w:bottom w:w="0" w:type="dxa"/>
                  <w:right w:w="108" w:type="dxa"/>
                </w:tblCellMar>
              </w:tblPrEx>
              <w:trPr>
                <w:trHeight w:val="290"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7CA7C15A">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2.单个委托项目总费用最高限价10万元。</w:t>
                  </w:r>
                </w:p>
              </w:tc>
            </w:tr>
            <w:tr w14:paraId="308DEF4A">
              <w:tblPrEx>
                <w:tblCellMar>
                  <w:top w:w="0" w:type="dxa"/>
                  <w:left w:w="108" w:type="dxa"/>
                  <w:bottom w:w="0" w:type="dxa"/>
                  <w:right w:w="108" w:type="dxa"/>
                </w:tblCellMar>
              </w:tblPrEx>
              <w:trPr>
                <w:trHeight w:val="296"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3B53D97A">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3.当单项目工程服务收费不足1000元的按1000元计。</w:t>
                  </w:r>
                </w:p>
              </w:tc>
            </w:tr>
            <w:tr w14:paraId="62C4B602">
              <w:tblPrEx>
                <w:tblCellMar>
                  <w:top w:w="0" w:type="dxa"/>
                  <w:left w:w="108" w:type="dxa"/>
                  <w:bottom w:w="0" w:type="dxa"/>
                  <w:right w:w="108" w:type="dxa"/>
                </w:tblCellMar>
              </w:tblPrEx>
              <w:trPr>
                <w:trHeight w:val="161" w:hRule="atLeast"/>
              </w:trPr>
              <w:tc>
                <w:tcPr>
                  <w:tcW w:w="5000" w:type="pct"/>
                  <w:gridSpan w:val="9"/>
                  <w:tcBorders>
                    <w:top w:val="nil"/>
                    <w:left w:val="nil"/>
                    <w:bottom w:val="nil"/>
                    <w:right w:val="nil"/>
                  </w:tcBorders>
                  <w:shd w:val="clear" w:color="auto" w:fill="auto"/>
                  <w:tcMar>
                    <w:top w:w="15" w:type="dxa"/>
                    <w:left w:w="15" w:type="dxa"/>
                    <w:bottom w:w="15" w:type="dxa"/>
                    <w:right w:w="15" w:type="dxa"/>
                  </w:tcMar>
                  <w:vAlign w:val="center"/>
                </w:tcPr>
                <w:p w14:paraId="27062964">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4.计费采用差额定率分档累进制法。</w:t>
                  </w:r>
                </w:p>
                <w:p w14:paraId="486B084A">
                  <w:pPr>
                    <w:spacing w:line="360" w:lineRule="auto"/>
                    <w:ind w:firstLine="120" w:firstLineChars="50"/>
                    <w:rPr>
                      <w:rFonts w:ascii="宋体" w:hAnsi="宋体" w:eastAsia="宋体" w:cs="Arial"/>
                      <w:color w:val="auto"/>
                      <w:highlight w:val="none"/>
                    </w:rPr>
                  </w:pPr>
                  <w:r>
                    <w:rPr>
                      <w:rFonts w:hint="eastAsia" w:ascii="宋体" w:hAnsi="宋体" w:eastAsia="宋体" w:cs="宋体"/>
                      <w:color w:val="auto"/>
                      <w:highlight w:val="none"/>
                      <w:lang w:bidi="ar"/>
                    </w:rPr>
                    <w:t>5.根据工程实际，如需要协审机构进行现场踏勘，其必须积极配合，费用自理。</w:t>
                  </w:r>
                </w:p>
                <w:p w14:paraId="49FEFA4B">
                  <w:pPr>
                    <w:spacing w:line="360" w:lineRule="auto"/>
                    <w:ind w:firstLine="120" w:firstLineChars="50"/>
                    <w:rPr>
                      <w:rFonts w:eastAsia="宋体"/>
                      <w:color w:val="auto"/>
                      <w:kern w:val="2"/>
                      <w:sz w:val="21"/>
                      <w:szCs w:val="21"/>
                      <w:highlight w:val="none"/>
                    </w:rPr>
                  </w:pPr>
                  <w:r>
                    <w:rPr>
                      <w:rFonts w:hint="eastAsia" w:ascii="宋体" w:hAnsi="宋体" w:eastAsia="宋体" w:cs="宋体"/>
                      <w:color w:val="auto"/>
                      <w:highlight w:val="none"/>
                      <w:lang w:bidi="ar"/>
                    </w:rPr>
                    <w:t>6.上述报酬均含税，支付报酬时需提供完税发票。</w:t>
                  </w:r>
                </w:p>
              </w:tc>
            </w:tr>
          </w:tbl>
          <w:p w14:paraId="66FB02D6">
            <w:pPr>
              <w:spacing w:line="420" w:lineRule="exact"/>
              <w:ind w:firstLine="482"/>
              <w:outlineLvl w:val="3"/>
              <w:rPr>
                <w:rFonts w:eastAsia="宋体" w:cs="宋体"/>
                <w:b/>
                <w:bCs/>
                <w:color w:val="auto"/>
                <w:highlight w:val="none"/>
              </w:rPr>
            </w:pPr>
            <w:r>
              <w:rPr>
                <w:rFonts w:hint="eastAsia" w:eastAsia="宋体" w:cs="宋体"/>
                <w:b/>
                <w:bCs/>
                <w:color w:val="auto"/>
                <w:highlight w:val="none"/>
              </w:rPr>
              <w:t>2.协审费用的支付</w:t>
            </w:r>
          </w:p>
          <w:p w14:paraId="57CBC519">
            <w:pPr>
              <w:spacing w:line="420" w:lineRule="exact"/>
              <w:ind w:firstLine="480"/>
              <w:rPr>
                <w:rFonts w:eastAsia="宋体"/>
                <w:color w:val="auto"/>
                <w:highlight w:val="none"/>
              </w:rPr>
            </w:pPr>
            <w:r>
              <w:rPr>
                <w:rFonts w:hint="eastAsia" w:eastAsia="宋体" w:cs="宋体"/>
                <w:b/>
                <w:bCs/>
                <w:color w:val="auto"/>
                <w:highlight w:val="none"/>
                <w:u w:val="single"/>
              </w:rPr>
              <w:t>协审费用由供应商按规定申报，经采购人审批后，凭正式发票，每半年结算一次</w:t>
            </w:r>
            <w:r>
              <w:rPr>
                <w:rFonts w:hint="eastAsia" w:eastAsia="宋体" w:cs="宋体"/>
                <w:b/>
                <w:bCs/>
                <w:color w:val="auto"/>
                <w:highlight w:val="none"/>
              </w:rPr>
              <w:t>。</w:t>
            </w:r>
          </w:p>
        </w:tc>
        <w:tc>
          <w:tcPr>
            <w:tcW w:w="1275" w:type="dxa"/>
            <w:vAlign w:val="center"/>
          </w:tcPr>
          <w:p w14:paraId="3B470E5E">
            <w:pPr>
              <w:spacing w:line="400" w:lineRule="exact"/>
              <w:jc w:val="center"/>
              <w:rPr>
                <w:rFonts w:eastAsia="宋体"/>
                <w:color w:val="auto"/>
                <w:highlight w:val="none"/>
              </w:rPr>
            </w:pPr>
          </w:p>
        </w:tc>
        <w:tc>
          <w:tcPr>
            <w:tcW w:w="1418" w:type="dxa"/>
            <w:vMerge w:val="continue"/>
            <w:vAlign w:val="center"/>
          </w:tcPr>
          <w:p w14:paraId="4AAEBF40">
            <w:pPr>
              <w:spacing w:line="400" w:lineRule="exact"/>
              <w:jc w:val="left"/>
              <w:rPr>
                <w:rFonts w:eastAsia="宋体"/>
                <w:b/>
                <w:bCs/>
                <w:color w:val="auto"/>
                <w:highlight w:val="none"/>
              </w:rPr>
            </w:pPr>
          </w:p>
        </w:tc>
      </w:tr>
      <w:tr w14:paraId="29B3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701" w:type="dxa"/>
            <w:vAlign w:val="center"/>
          </w:tcPr>
          <w:p w14:paraId="0AB2807C">
            <w:pPr>
              <w:spacing w:line="400" w:lineRule="exact"/>
              <w:jc w:val="center"/>
              <w:rPr>
                <w:rFonts w:eastAsia="宋体"/>
                <w:b/>
                <w:bCs/>
                <w:color w:val="auto"/>
                <w:highlight w:val="none"/>
              </w:rPr>
            </w:pPr>
            <w:r>
              <w:rPr>
                <w:rFonts w:hint="eastAsia" w:eastAsia="宋体"/>
                <w:b/>
                <w:bCs/>
                <w:color w:val="auto"/>
                <w:highlight w:val="none"/>
              </w:rPr>
              <w:t>备注</w:t>
            </w:r>
          </w:p>
        </w:tc>
        <w:tc>
          <w:tcPr>
            <w:tcW w:w="8217" w:type="dxa"/>
            <w:gridSpan w:val="3"/>
            <w:vAlign w:val="center"/>
          </w:tcPr>
          <w:p w14:paraId="4FE3DB6A">
            <w:pPr>
              <w:spacing w:line="400" w:lineRule="exact"/>
              <w:jc w:val="left"/>
              <w:rPr>
                <w:rFonts w:eastAsia="宋体"/>
                <w:b/>
                <w:bCs/>
                <w:color w:val="auto"/>
                <w:highlight w:val="none"/>
              </w:rPr>
            </w:pPr>
            <w:r>
              <w:rPr>
                <w:rFonts w:hint="eastAsia" w:eastAsia="宋体"/>
                <w:b/>
                <w:bCs/>
                <w:color w:val="auto"/>
                <w:highlight w:val="none"/>
              </w:rPr>
              <w:t>该表不作为供应商提供响应项目服务的各项商务要求等的详细描述和说明的替代。</w:t>
            </w:r>
          </w:p>
        </w:tc>
      </w:tr>
    </w:tbl>
    <w:p w14:paraId="67DA551B">
      <w:pPr>
        <w:spacing w:line="420" w:lineRule="exact"/>
        <w:ind w:firstLine="4536"/>
        <w:jc w:val="left"/>
        <w:rPr>
          <w:rFonts w:eastAsia="宋体" w:cs="宋体"/>
          <w:color w:val="auto"/>
          <w:highlight w:val="none"/>
        </w:rPr>
      </w:pPr>
    </w:p>
    <w:p w14:paraId="770F44E4">
      <w:pPr>
        <w:spacing w:line="420" w:lineRule="exact"/>
        <w:ind w:firstLine="4536"/>
        <w:jc w:val="left"/>
        <w:rPr>
          <w:rFonts w:eastAsia="宋体" w:cs="宋体"/>
          <w:color w:val="auto"/>
          <w:highlight w:val="none"/>
        </w:rPr>
      </w:pPr>
      <w:r>
        <w:rPr>
          <w:rFonts w:hint="eastAsia" w:eastAsia="宋体" w:cs="宋体"/>
          <w:color w:val="auto"/>
          <w:highlight w:val="none"/>
        </w:rPr>
        <w:t>供应商全称（加盖CA电子公章）：</w:t>
      </w:r>
    </w:p>
    <w:p w14:paraId="3A80CBF6">
      <w:pPr>
        <w:spacing w:line="420" w:lineRule="exact"/>
        <w:ind w:firstLine="4536"/>
        <w:jc w:val="left"/>
        <w:rPr>
          <w:rFonts w:eastAsia="宋体" w:cs="宋体"/>
          <w:color w:val="auto"/>
          <w:highlight w:val="none"/>
        </w:rPr>
      </w:pPr>
      <w:r>
        <w:rPr>
          <w:rFonts w:hint="eastAsia" w:eastAsia="宋体" w:cs="宋体"/>
          <w:color w:val="auto"/>
          <w:highlight w:val="none"/>
        </w:rPr>
        <w:t>日  期：</w:t>
      </w:r>
      <w:bookmarkEnd w:id="196"/>
    </w:p>
    <w:p w14:paraId="4487BF39">
      <w:pPr>
        <w:spacing w:line="420" w:lineRule="exact"/>
        <w:ind w:firstLine="566"/>
        <w:jc w:val="left"/>
        <w:outlineLvl w:val="3"/>
        <w:rPr>
          <w:rFonts w:eastAsia="宋体"/>
          <w:b/>
          <w:bCs/>
          <w:color w:val="auto"/>
          <w:highlight w:val="none"/>
        </w:rPr>
        <w:sectPr>
          <w:pgSz w:w="11906" w:h="16838"/>
          <w:pgMar w:top="851" w:right="851" w:bottom="851" w:left="1134" w:header="567" w:footer="454" w:gutter="0"/>
          <w:cols w:space="425" w:num="1"/>
          <w:docGrid w:linePitch="360" w:charSpace="0"/>
        </w:sectPr>
      </w:pPr>
    </w:p>
    <w:p w14:paraId="57D8BA41">
      <w:pPr>
        <w:spacing w:line="420" w:lineRule="exact"/>
        <w:ind w:firstLine="566"/>
        <w:jc w:val="left"/>
        <w:outlineLvl w:val="3"/>
        <w:rPr>
          <w:rFonts w:eastAsia="宋体"/>
          <w:b/>
          <w:bCs/>
          <w:color w:val="auto"/>
          <w:highlight w:val="none"/>
        </w:rPr>
      </w:pPr>
      <w:r>
        <w:rPr>
          <w:rFonts w:hint="eastAsia" w:eastAsia="宋体"/>
          <w:b/>
          <w:bCs/>
          <w:color w:val="auto"/>
          <w:highlight w:val="none"/>
        </w:rPr>
        <w:t>附件14 技术要求综合应答表</w:t>
      </w:r>
    </w:p>
    <w:p w14:paraId="1EA4D734">
      <w:pPr>
        <w:spacing w:before="240" w:after="240" w:line="420" w:lineRule="exact"/>
        <w:jc w:val="center"/>
        <w:rPr>
          <w:rFonts w:eastAsia="宋体" w:cs="宋体"/>
          <w:color w:val="auto"/>
          <w:highlight w:val="none"/>
        </w:rPr>
      </w:pPr>
      <w:r>
        <w:rPr>
          <w:rFonts w:hint="eastAsia" w:eastAsia="宋体" w:cs="宋体"/>
          <w:b/>
          <w:bCs/>
          <w:color w:val="auto"/>
          <w:sz w:val="28"/>
          <w:szCs w:val="28"/>
          <w:highlight w:val="none"/>
        </w:rPr>
        <w:t>技术要求综合应答表</w:t>
      </w:r>
    </w:p>
    <w:tbl>
      <w:tblPr>
        <w:tblStyle w:val="90"/>
        <w:tblW w:w="101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7100"/>
        <w:gridCol w:w="1488"/>
        <w:gridCol w:w="886"/>
      </w:tblGrid>
      <w:tr w14:paraId="52379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663" w:type="dxa"/>
            <w:vAlign w:val="center"/>
          </w:tcPr>
          <w:p w14:paraId="6DE90C60">
            <w:pPr>
              <w:spacing w:line="400" w:lineRule="exact"/>
              <w:jc w:val="center"/>
              <w:rPr>
                <w:rFonts w:eastAsia="宋体"/>
                <w:b/>
                <w:bCs/>
                <w:color w:val="auto"/>
                <w:highlight w:val="none"/>
              </w:rPr>
            </w:pPr>
            <w:r>
              <w:rPr>
                <w:rFonts w:eastAsia="宋体"/>
                <w:b/>
                <w:bCs/>
                <w:color w:val="auto"/>
                <w:highlight w:val="none"/>
              </w:rPr>
              <w:t>项目</w:t>
            </w:r>
          </w:p>
        </w:tc>
        <w:tc>
          <w:tcPr>
            <w:tcW w:w="7100" w:type="dxa"/>
            <w:vAlign w:val="center"/>
          </w:tcPr>
          <w:p w14:paraId="7CD402CC">
            <w:pPr>
              <w:spacing w:line="400" w:lineRule="exact"/>
              <w:jc w:val="center"/>
              <w:rPr>
                <w:rFonts w:eastAsia="宋体"/>
                <w:color w:val="auto"/>
                <w:highlight w:val="none"/>
              </w:rPr>
            </w:pPr>
            <w:r>
              <w:rPr>
                <w:rFonts w:hint="eastAsia" w:eastAsia="宋体"/>
                <w:b/>
                <w:bCs/>
                <w:color w:val="auto"/>
                <w:highlight w:val="none"/>
              </w:rPr>
              <w:t>采购</w:t>
            </w:r>
            <w:r>
              <w:rPr>
                <w:rFonts w:eastAsia="宋体"/>
                <w:b/>
                <w:bCs/>
                <w:color w:val="auto"/>
                <w:highlight w:val="none"/>
              </w:rPr>
              <w:t>文件条款要求</w:t>
            </w:r>
          </w:p>
        </w:tc>
        <w:tc>
          <w:tcPr>
            <w:tcW w:w="1488" w:type="dxa"/>
            <w:vAlign w:val="center"/>
          </w:tcPr>
          <w:p w14:paraId="302417D5">
            <w:pPr>
              <w:spacing w:line="400" w:lineRule="exact"/>
              <w:jc w:val="center"/>
              <w:rPr>
                <w:rFonts w:eastAsia="宋体"/>
                <w:color w:val="auto"/>
                <w:highlight w:val="none"/>
              </w:rPr>
            </w:pPr>
            <w:r>
              <w:rPr>
                <w:rFonts w:eastAsia="宋体"/>
                <w:b/>
                <w:bCs/>
                <w:color w:val="auto"/>
                <w:highlight w:val="none"/>
              </w:rPr>
              <w:t>应答响应</w:t>
            </w:r>
          </w:p>
        </w:tc>
        <w:tc>
          <w:tcPr>
            <w:tcW w:w="886" w:type="dxa"/>
            <w:vAlign w:val="center"/>
          </w:tcPr>
          <w:p w14:paraId="75365AFB">
            <w:pPr>
              <w:spacing w:line="400" w:lineRule="exact"/>
              <w:jc w:val="center"/>
              <w:rPr>
                <w:rFonts w:eastAsia="宋体"/>
                <w:b/>
                <w:bCs/>
                <w:color w:val="auto"/>
                <w:highlight w:val="none"/>
              </w:rPr>
            </w:pPr>
            <w:r>
              <w:rPr>
                <w:rFonts w:eastAsia="宋体"/>
                <w:b/>
                <w:bCs/>
                <w:color w:val="auto"/>
                <w:highlight w:val="none"/>
              </w:rPr>
              <w:t>说明</w:t>
            </w:r>
          </w:p>
        </w:tc>
      </w:tr>
      <w:tr w14:paraId="216D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5FDB2513">
            <w:pPr>
              <w:spacing w:line="400" w:lineRule="exact"/>
              <w:jc w:val="center"/>
              <w:rPr>
                <w:rFonts w:eastAsia="宋体"/>
                <w:b/>
                <w:bCs/>
                <w:color w:val="auto"/>
                <w:highlight w:val="none"/>
              </w:rPr>
            </w:pPr>
            <w:r>
              <w:rPr>
                <w:rFonts w:hint="eastAsia" w:eastAsia="宋体"/>
                <w:b/>
                <w:bCs/>
                <w:color w:val="auto"/>
                <w:highlight w:val="none"/>
              </w:rPr>
              <w:t>一、评审范围</w:t>
            </w:r>
          </w:p>
        </w:tc>
        <w:tc>
          <w:tcPr>
            <w:tcW w:w="7100" w:type="dxa"/>
            <w:vAlign w:val="center"/>
          </w:tcPr>
          <w:p w14:paraId="2442C1DE">
            <w:pPr>
              <w:spacing w:line="400" w:lineRule="exact"/>
              <w:jc w:val="left"/>
              <w:rPr>
                <w:rFonts w:eastAsia="宋体"/>
                <w:color w:val="auto"/>
                <w:highlight w:val="none"/>
              </w:rPr>
            </w:pPr>
            <w:r>
              <w:rPr>
                <w:rFonts w:hint="eastAsia" w:eastAsia="宋体" w:cs="宋体"/>
                <w:color w:val="auto"/>
                <w:highlight w:val="none"/>
              </w:rPr>
              <w:t>①投资估算评审；②项目概算、预算评审；③工程变更评审</w:t>
            </w:r>
            <w:r>
              <w:rPr>
                <w:rFonts w:eastAsia="宋体" w:cs="宋体"/>
                <w:color w:val="auto"/>
                <w:highlight w:val="none"/>
              </w:rPr>
              <w:t>。</w:t>
            </w:r>
            <w:r>
              <w:rPr>
                <w:rFonts w:hint="eastAsia" w:eastAsia="宋体"/>
                <w:color w:val="auto"/>
                <w:highlight w:val="none"/>
              </w:rPr>
              <w:t xml:space="preserve"> </w:t>
            </w:r>
          </w:p>
        </w:tc>
        <w:tc>
          <w:tcPr>
            <w:tcW w:w="1488" w:type="dxa"/>
            <w:vAlign w:val="center"/>
          </w:tcPr>
          <w:p w14:paraId="4756DE3E">
            <w:pPr>
              <w:spacing w:line="400" w:lineRule="exact"/>
              <w:jc w:val="center"/>
              <w:rPr>
                <w:rFonts w:eastAsia="宋体"/>
                <w:color w:val="auto"/>
                <w:highlight w:val="none"/>
              </w:rPr>
            </w:pPr>
          </w:p>
        </w:tc>
        <w:tc>
          <w:tcPr>
            <w:tcW w:w="886" w:type="dxa"/>
            <w:vMerge w:val="restart"/>
            <w:vAlign w:val="center"/>
          </w:tcPr>
          <w:p w14:paraId="3CF54814">
            <w:pPr>
              <w:spacing w:line="400" w:lineRule="exact"/>
              <w:jc w:val="left"/>
              <w:rPr>
                <w:rFonts w:eastAsia="宋体"/>
                <w:b/>
                <w:bCs/>
                <w:color w:val="auto"/>
                <w:highlight w:val="none"/>
              </w:rPr>
            </w:pPr>
            <w:r>
              <w:rPr>
                <w:rFonts w:hint="eastAsia" w:eastAsia="宋体"/>
                <w:b/>
                <w:bCs/>
                <w:color w:val="auto"/>
                <w:highlight w:val="none"/>
              </w:rPr>
              <w:t>1.该表为格式表，必须提供且不得修改。</w:t>
            </w:r>
          </w:p>
          <w:p w14:paraId="006C5E18">
            <w:pPr>
              <w:spacing w:line="400" w:lineRule="exact"/>
              <w:jc w:val="left"/>
              <w:rPr>
                <w:rFonts w:eastAsia="宋体"/>
                <w:b/>
                <w:bCs/>
                <w:color w:val="auto"/>
                <w:highlight w:val="none"/>
              </w:rPr>
            </w:pPr>
            <w:r>
              <w:rPr>
                <w:rFonts w:hint="eastAsia" w:eastAsia="宋体"/>
                <w:b/>
                <w:bCs/>
                <w:color w:val="auto"/>
                <w:highlight w:val="none"/>
              </w:rPr>
              <w:t>2.“应答响应”的结果应当是“完全响应”和仅接受“正偏离”，不接受 “负偏离”或任何“负偏离”意图的表达。</w:t>
            </w:r>
          </w:p>
          <w:p w14:paraId="4235C28A">
            <w:pPr>
              <w:spacing w:line="400" w:lineRule="exact"/>
              <w:jc w:val="left"/>
              <w:rPr>
                <w:rFonts w:eastAsia="宋体"/>
                <w:b/>
                <w:bCs/>
                <w:color w:val="auto"/>
                <w:highlight w:val="none"/>
              </w:rPr>
            </w:pPr>
            <w:r>
              <w:rPr>
                <w:rFonts w:hint="eastAsia" w:eastAsia="宋体"/>
                <w:b/>
                <w:bCs/>
                <w:color w:val="auto"/>
                <w:highlight w:val="none"/>
              </w:rPr>
              <w:t>3.表内“应答响应”栏内填具“负偏离”或任何“负偏离”意图表达的，均视作未实质性响应，作无效投标处理。</w:t>
            </w:r>
          </w:p>
        </w:tc>
      </w:tr>
      <w:tr w14:paraId="3D61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1F2B3CBA">
            <w:pPr>
              <w:spacing w:line="400" w:lineRule="exact"/>
              <w:jc w:val="center"/>
              <w:rPr>
                <w:rFonts w:eastAsia="宋体"/>
                <w:b/>
                <w:bCs/>
                <w:color w:val="auto"/>
                <w:highlight w:val="none"/>
              </w:rPr>
            </w:pPr>
            <w:r>
              <w:rPr>
                <w:rFonts w:hint="eastAsia" w:eastAsia="宋体"/>
                <w:b/>
                <w:bCs/>
                <w:color w:val="auto"/>
                <w:highlight w:val="none"/>
              </w:rPr>
              <w:t>二、评审内容</w:t>
            </w:r>
          </w:p>
        </w:tc>
        <w:tc>
          <w:tcPr>
            <w:tcW w:w="7100" w:type="dxa"/>
            <w:vAlign w:val="center"/>
          </w:tcPr>
          <w:p w14:paraId="46809CE8">
            <w:pPr>
              <w:spacing w:line="400" w:lineRule="exact"/>
              <w:jc w:val="left"/>
              <w:rPr>
                <w:rFonts w:eastAsia="宋体"/>
                <w:color w:val="auto"/>
                <w:highlight w:val="none"/>
              </w:rPr>
            </w:pPr>
            <w:r>
              <w:rPr>
                <w:rFonts w:hint="eastAsia" w:eastAsia="宋体"/>
                <w:color w:val="auto"/>
                <w:highlight w:val="none"/>
              </w:rPr>
              <w:t>①投资估算评审：对项目使用功能、建设内容、规模、标准、估算指标等方面进行评审，出具项目估算初步评审报告。</w:t>
            </w:r>
          </w:p>
          <w:p w14:paraId="483AE89F">
            <w:pPr>
              <w:spacing w:line="400" w:lineRule="exact"/>
              <w:jc w:val="left"/>
              <w:rPr>
                <w:rFonts w:eastAsia="宋体"/>
                <w:color w:val="auto"/>
                <w:highlight w:val="none"/>
              </w:rPr>
            </w:pPr>
            <w:r>
              <w:rPr>
                <w:rFonts w:hint="eastAsia" w:eastAsia="宋体"/>
                <w:color w:val="auto"/>
                <w:highlight w:val="none"/>
              </w:rPr>
              <w:t>②项目概算、预算评审：对工程量计算、材料价格、材料暂估价、概算、预算定额套用、取费、工程前后期相关规费和其它费用等进行评审，出具项目概算、预算初步评审报告或意见。</w:t>
            </w:r>
          </w:p>
          <w:p w14:paraId="1F741E4A">
            <w:pPr>
              <w:spacing w:line="400" w:lineRule="exact"/>
              <w:jc w:val="left"/>
              <w:rPr>
                <w:rFonts w:eastAsia="宋体"/>
                <w:color w:val="auto"/>
                <w:highlight w:val="none"/>
              </w:rPr>
            </w:pPr>
            <w:r>
              <w:rPr>
                <w:rFonts w:hint="eastAsia" w:eastAsia="宋体"/>
                <w:color w:val="auto"/>
                <w:highlight w:val="none"/>
              </w:rPr>
              <w:t>③工程变更评审：审查设计变更手续是否完备，变更是否必要、真实，签证资料是否真实、准确；费用是否按照合同约定、相关会商意见执行，相关定额、材料设备价格等是否准确合理，出具评审报告。</w:t>
            </w:r>
          </w:p>
          <w:p w14:paraId="2399DF93">
            <w:pPr>
              <w:spacing w:line="400" w:lineRule="exact"/>
              <w:jc w:val="left"/>
              <w:rPr>
                <w:rFonts w:eastAsia="宋体"/>
                <w:color w:val="auto"/>
                <w:highlight w:val="none"/>
              </w:rPr>
            </w:pPr>
            <w:r>
              <w:rPr>
                <w:rFonts w:hint="eastAsia" w:eastAsia="宋体"/>
                <w:color w:val="auto"/>
                <w:highlight w:val="none"/>
              </w:rPr>
              <w:t xml:space="preserve">④法律、法规、规章要求评审的其它事项。  </w:t>
            </w:r>
          </w:p>
        </w:tc>
        <w:tc>
          <w:tcPr>
            <w:tcW w:w="1488" w:type="dxa"/>
            <w:vAlign w:val="center"/>
          </w:tcPr>
          <w:p w14:paraId="1A54FE1C">
            <w:pPr>
              <w:spacing w:line="400" w:lineRule="exact"/>
              <w:jc w:val="center"/>
              <w:rPr>
                <w:rFonts w:eastAsia="宋体"/>
                <w:color w:val="auto"/>
                <w:highlight w:val="none"/>
              </w:rPr>
            </w:pPr>
          </w:p>
        </w:tc>
        <w:tc>
          <w:tcPr>
            <w:tcW w:w="886" w:type="dxa"/>
            <w:vMerge w:val="continue"/>
            <w:vAlign w:val="center"/>
          </w:tcPr>
          <w:p w14:paraId="20C0F683">
            <w:pPr>
              <w:spacing w:line="400" w:lineRule="exact"/>
              <w:jc w:val="left"/>
              <w:rPr>
                <w:rFonts w:eastAsia="宋体"/>
                <w:b/>
                <w:bCs/>
                <w:color w:val="auto"/>
                <w:highlight w:val="none"/>
              </w:rPr>
            </w:pPr>
          </w:p>
        </w:tc>
      </w:tr>
      <w:tr w14:paraId="1EB13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43F32C5E">
            <w:pPr>
              <w:spacing w:line="400" w:lineRule="exact"/>
              <w:jc w:val="center"/>
              <w:rPr>
                <w:rFonts w:eastAsia="宋体"/>
                <w:b/>
                <w:bCs/>
                <w:color w:val="auto"/>
                <w:highlight w:val="none"/>
              </w:rPr>
            </w:pPr>
            <w:r>
              <w:rPr>
                <w:rFonts w:hint="eastAsia" w:eastAsia="宋体"/>
                <w:b/>
                <w:bCs/>
                <w:color w:val="auto"/>
                <w:highlight w:val="none"/>
              </w:rPr>
              <w:t>三、评审进度要求</w:t>
            </w:r>
          </w:p>
        </w:tc>
        <w:tc>
          <w:tcPr>
            <w:tcW w:w="7100" w:type="dxa"/>
            <w:vAlign w:val="center"/>
          </w:tcPr>
          <w:p w14:paraId="33F8E03D">
            <w:pPr>
              <w:spacing w:line="420" w:lineRule="exact"/>
              <w:ind w:firstLine="480"/>
              <w:rPr>
                <w:rFonts w:eastAsia="宋体" w:cs="宋体"/>
                <w:color w:val="auto"/>
                <w:highlight w:val="none"/>
              </w:rPr>
            </w:pPr>
            <w:r>
              <w:rPr>
                <w:rFonts w:hint="eastAsia" w:eastAsia="宋体" w:cs="宋体"/>
                <w:color w:val="auto"/>
                <w:highlight w:val="none"/>
              </w:rPr>
              <w:t>①估算、概算、预算，供应商接收评审资料之日起2个工作日内，反馈资料缺失情况。</w:t>
            </w:r>
          </w:p>
          <w:p w14:paraId="12463B7C">
            <w:pPr>
              <w:spacing w:line="420" w:lineRule="exact"/>
              <w:ind w:firstLine="480"/>
              <w:rPr>
                <w:rFonts w:eastAsia="宋体" w:cs="宋体"/>
                <w:color w:val="auto"/>
                <w:highlight w:val="none"/>
              </w:rPr>
            </w:pPr>
            <w:r>
              <w:rPr>
                <w:rFonts w:hint="eastAsia" w:eastAsia="宋体" w:cs="宋体"/>
                <w:color w:val="auto"/>
                <w:highlight w:val="none"/>
              </w:rPr>
              <w:t>②供应商在接收完整资料后，应在下表规定的期间内完成委托任务，并出具书面咨询报告。非供应商原因不能按时完成的，应向采购人书面报告。若所需资料评审未能及时提供齐全，供应商应就已提供的资料先行推进评审工作，不可因资料不全而完全停止工作。</w:t>
            </w:r>
          </w:p>
          <w:p w14:paraId="0DAD0972">
            <w:pPr>
              <w:spacing w:line="420" w:lineRule="exact"/>
              <w:ind w:firstLine="480"/>
              <w:rPr>
                <w:rFonts w:eastAsia="宋体" w:cs="宋体"/>
                <w:color w:val="auto"/>
                <w:highlight w:val="none"/>
              </w:rPr>
            </w:pPr>
            <w:r>
              <w:rPr>
                <w:rFonts w:hint="eastAsia" w:eastAsia="宋体" w:cs="宋体"/>
                <w:color w:val="auto"/>
                <w:highlight w:val="none"/>
              </w:rPr>
              <w:t>③进度时间要求详见下表：</w:t>
            </w:r>
          </w:p>
          <w:tbl>
            <w:tblPr>
              <w:tblStyle w:val="89"/>
              <w:tblW w:w="6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537"/>
              <w:gridCol w:w="1464"/>
              <w:gridCol w:w="1654"/>
            </w:tblGrid>
            <w:tr w14:paraId="7D50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60CECA05">
                  <w:pPr>
                    <w:snapToGrid w:val="0"/>
                    <w:spacing w:line="500" w:lineRule="exact"/>
                    <w:rPr>
                      <w:rFonts w:ascii="宋体" w:hAnsi="Calibri" w:eastAsia="宋体"/>
                      <w:color w:val="auto"/>
                      <w:kern w:val="2"/>
                      <w:highlight w:val="none"/>
                    </w:rPr>
                  </w:pPr>
                  <w:r>
                    <w:rPr>
                      <w:rFonts w:hint="eastAsia" w:ascii="宋体" w:hAnsi="宋体" w:eastAsia="宋体" w:cs="宋体"/>
                      <w:color w:val="auto"/>
                      <w:kern w:val="2"/>
                      <w:highlight w:val="none"/>
                      <w:lang w:bidi="ar"/>
                    </w:rPr>
                    <w:t>评审项目送审金额</w:t>
                  </w:r>
                </w:p>
              </w:tc>
              <w:tc>
                <w:tcPr>
                  <w:tcW w:w="1537" w:type="dxa"/>
                  <w:tcBorders>
                    <w:top w:val="single" w:color="auto" w:sz="4" w:space="0"/>
                    <w:left w:val="nil"/>
                    <w:bottom w:val="single" w:color="auto" w:sz="4" w:space="0"/>
                    <w:right w:val="single" w:color="auto" w:sz="4" w:space="0"/>
                  </w:tcBorders>
                  <w:shd w:val="clear" w:color="auto" w:fill="auto"/>
                  <w:vAlign w:val="center"/>
                </w:tcPr>
                <w:p w14:paraId="1EACB9F7">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估算</w:t>
                  </w:r>
                </w:p>
              </w:tc>
              <w:tc>
                <w:tcPr>
                  <w:tcW w:w="1464" w:type="dxa"/>
                  <w:tcBorders>
                    <w:top w:val="single" w:color="auto" w:sz="4" w:space="0"/>
                    <w:left w:val="nil"/>
                    <w:bottom w:val="single" w:color="auto" w:sz="4" w:space="0"/>
                    <w:right w:val="single" w:color="auto" w:sz="4" w:space="0"/>
                  </w:tcBorders>
                  <w:shd w:val="clear" w:color="auto" w:fill="auto"/>
                  <w:vAlign w:val="center"/>
                </w:tcPr>
                <w:p w14:paraId="746B89B0">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概算</w:t>
                  </w:r>
                </w:p>
              </w:tc>
              <w:tc>
                <w:tcPr>
                  <w:tcW w:w="1654" w:type="dxa"/>
                  <w:tcBorders>
                    <w:top w:val="single" w:color="auto" w:sz="4" w:space="0"/>
                    <w:left w:val="nil"/>
                    <w:bottom w:val="single" w:color="auto" w:sz="4" w:space="0"/>
                    <w:right w:val="single" w:color="auto" w:sz="4" w:space="0"/>
                  </w:tcBorders>
                  <w:shd w:val="clear" w:color="auto" w:fill="auto"/>
                  <w:vAlign w:val="center"/>
                </w:tcPr>
                <w:p w14:paraId="4ECBB8C5">
                  <w:pPr>
                    <w:snapToGrid w:val="0"/>
                    <w:spacing w:line="500" w:lineRule="exact"/>
                    <w:jc w:val="center"/>
                    <w:rPr>
                      <w:rFonts w:ascii="宋体" w:hAnsi="宋体" w:eastAsia="宋体"/>
                      <w:color w:val="auto"/>
                      <w:kern w:val="2"/>
                      <w:highlight w:val="none"/>
                    </w:rPr>
                  </w:pPr>
                  <w:r>
                    <w:rPr>
                      <w:rFonts w:hint="eastAsia" w:ascii="宋体" w:hAnsi="宋体" w:eastAsia="宋体" w:cs="宋体"/>
                      <w:color w:val="auto"/>
                      <w:kern w:val="2"/>
                      <w:highlight w:val="none"/>
                      <w:lang w:bidi="ar"/>
                    </w:rPr>
                    <w:t>预算</w:t>
                  </w:r>
                </w:p>
              </w:tc>
            </w:tr>
            <w:tr w14:paraId="7A9D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57DD7773">
                  <w:pPr>
                    <w:snapToGrid w:val="0"/>
                    <w:spacing w:line="500" w:lineRule="exact"/>
                    <w:rPr>
                      <w:rFonts w:ascii="宋体" w:hAnsi="Calibri" w:eastAsia="宋体"/>
                      <w:color w:val="auto"/>
                      <w:kern w:val="2"/>
                      <w:highlight w:val="none"/>
                    </w:rPr>
                  </w:pPr>
                  <w:r>
                    <w:rPr>
                      <w:rFonts w:hint="eastAsia" w:ascii="宋体" w:hAnsi="宋体" w:eastAsia="宋体" w:cs="宋体"/>
                      <w:color w:val="auto"/>
                      <w:kern w:val="2"/>
                      <w:highlight w:val="none"/>
                      <w:lang w:bidi="ar"/>
                    </w:rPr>
                    <w:t>500万元以下</w:t>
                  </w:r>
                </w:p>
              </w:tc>
              <w:tc>
                <w:tcPr>
                  <w:tcW w:w="1537" w:type="dxa"/>
                  <w:tcBorders>
                    <w:top w:val="single" w:color="auto" w:sz="4" w:space="0"/>
                    <w:left w:val="nil"/>
                    <w:bottom w:val="single" w:color="auto" w:sz="4" w:space="0"/>
                    <w:right w:val="single" w:color="auto" w:sz="4" w:space="0"/>
                  </w:tcBorders>
                  <w:shd w:val="clear" w:color="auto" w:fill="auto"/>
                  <w:vAlign w:val="center"/>
                </w:tcPr>
                <w:p w14:paraId="0F792DD7">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464" w:type="dxa"/>
                  <w:tcBorders>
                    <w:top w:val="single" w:color="auto" w:sz="4" w:space="0"/>
                    <w:left w:val="nil"/>
                    <w:bottom w:val="single" w:color="auto" w:sz="4" w:space="0"/>
                    <w:right w:val="single" w:color="auto" w:sz="4" w:space="0"/>
                  </w:tcBorders>
                  <w:shd w:val="clear" w:color="auto" w:fill="auto"/>
                  <w:vAlign w:val="center"/>
                </w:tcPr>
                <w:p w14:paraId="7438E60A">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5工作日</w:t>
                  </w:r>
                </w:p>
              </w:tc>
              <w:tc>
                <w:tcPr>
                  <w:tcW w:w="1654" w:type="dxa"/>
                  <w:tcBorders>
                    <w:top w:val="single" w:color="auto" w:sz="4" w:space="0"/>
                    <w:left w:val="nil"/>
                    <w:bottom w:val="single" w:color="auto" w:sz="4" w:space="0"/>
                    <w:right w:val="single" w:color="auto" w:sz="4" w:space="0"/>
                  </w:tcBorders>
                  <w:shd w:val="clear" w:color="auto" w:fill="auto"/>
                  <w:vAlign w:val="center"/>
                </w:tcPr>
                <w:p w14:paraId="7C419D0F">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5工作日</w:t>
                  </w:r>
                </w:p>
              </w:tc>
            </w:tr>
            <w:tr w14:paraId="2C11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29794A44">
                  <w:pPr>
                    <w:snapToGrid w:val="0"/>
                    <w:spacing w:line="500" w:lineRule="exact"/>
                    <w:rPr>
                      <w:rFonts w:ascii="宋体" w:hAnsi="Calibri" w:eastAsia="宋体"/>
                      <w:color w:val="auto"/>
                      <w:kern w:val="2"/>
                      <w:highlight w:val="none"/>
                    </w:rPr>
                  </w:pPr>
                  <w:r>
                    <w:rPr>
                      <w:rFonts w:hint="eastAsia" w:ascii="宋体" w:hAnsi="宋体" w:eastAsia="宋体" w:cs="宋体"/>
                      <w:color w:val="auto"/>
                      <w:kern w:val="2"/>
                      <w:highlight w:val="none"/>
                      <w:lang w:bidi="ar"/>
                    </w:rPr>
                    <w:t>500万元-2000万元</w:t>
                  </w:r>
                </w:p>
                <w:p w14:paraId="1D4C6914">
                  <w:pPr>
                    <w:snapToGrid w:val="0"/>
                    <w:spacing w:line="500" w:lineRule="exact"/>
                    <w:rPr>
                      <w:rFonts w:ascii="宋体" w:hAnsi="Calibri" w:eastAsia="宋体"/>
                      <w:color w:val="auto"/>
                      <w:kern w:val="2"/>
                      <w:highlight w:val="none"/>
                    </w:rPr>
                  </w:pPr>
                  <w:r>
                    <w:rPr>
                      <w:rFonts w:hint="eastAsia" w:ascii="宋体" w:hAnsi="宋体" w:eastAsia="宋体" w:cs="宋体"/>
                      <w:color w:val="auto"/>
                      <w:kern w:val="2"/>
                      <w:highlight w:val="none"/>
                      <w:lang w:bidi="ar"/>
                    </w:rPr>
                    <w:t>（含500万元）</w:t>
                  </w:r>
                </w:p>
              </w:tc>
              <w:tc>
                <w:tcPr>
                  <w:tcW w:w="1537" w:type="dxa"/>
                  <w:tcBorders>
                    <w:top w:val="single" w:color="auto" w:sz="4" w:space="0"/>
                    <w:left w:val="nil"/>
                    <w:bottom w:val="single" w:color="auto" w:sz="4" w:space="0"/>
                    <w:right w:val="single" w:color="auto" w:sz="4" w:space="0"/>
                  </w:tcBorders>
                  <w:shd w:val="clear" w:color="auto" w:fill="auto"/>
                  <w:vAlign w:val="center"/>
                </w:tcPr>
                <w:p w14:paraId="06F8D338">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464" w:type="dxa"/>
                  <w:tcBorders>
                    <w:top w:val="single" w:color="auto" w:sz="4" w:space="0"/>
                    <w:left w:val="nil"/>
                    <w:bottom w:val="single" w:color="auto" w:sz="4" w:space="0"/>
                    <w:right w:val="single" w:color="auto" w:sz="4" w:space="0"/>
                  </w:tcBorders>
                  <w:shd w:val="clear" w:color="auto" w:fill="auto"/>
                  <w:vAlign w:val="center"/>
                </w:tcPr>
                <w:p w14:paraId="07E8AF2B">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7工作日</w:t>
                  </w:r>
                </w:p>
              </w:tc>
              <w:tc>
                <w:tcPr>
                  <w:tcW w:w="1654" w:type="dxa"/>
                  <w:tcBorders>
                    <w:top w:val="single" w:color="auto" w:sz="4" w:space="0"/>
                    <w:left w:val="nil"/>
                    <w:bottom w:val="single" w:color="auto" w:sz="4" w:space="0"/>
                    <w:right w:val="single" w:color="auto" w:sz="4" w:space="0"/>
                  </w:tcBorders>
                  <w:shd w:val="clear" w:color="auto" w:fill="auto"/>
                  <w:vAlign w:val="center"/>
                </w:tcPr>
                <w:p w14:paraId="1F4C6DB9">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7工作日</w:t>
                  </w:r>
                </w:p>
              </w:tc>
            </w:tr>
            <w:tr w14:paraId="60F0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660A3B93">
                  <w:pPr>
                    <w:snapToGrid w:val="0"/>
                    <w:spacing w:line="500" w:lineRule="exact"/>
                    <w:rPr>
                      <w:rFonts w:ascii="宋体" w:hAnsi="Calibri" w:eastAsia="宋体"/>
                      <w:color w:val="auto"/>
                      <w:kern w:val="2"/>
                      <w:highlight w:val="none"/>
                    </w:rPr>
                  </w:pPr>
                  <w:r>
                    <w:rPr>
                      <w:rFonts w:hint="eastAsia" w:ascii="宋体" w:hAnsi="宋体" w:eastAsia="宋体" w:cs="宋体"/>
                      <w:color w:val="auto"/>
                      <w:kern w:val="2"/>
                      <w:highlight w:val="none"/>
                      <w:lang w:bidi="ar"/>
                    </w:rPr>
                    <w:t>2000万元-5000万元（含2000万元）</w:t>
                  </w:r>
                </w:p>
              </w:tc>
              <w:tc>
                <w:tcPr>
                  <w:tcW w:w="1537" w:type="dxa"/>
                  <w:tcBorders>
                    <w:top w:val="single" w:color="auto" w:sz="4" w:space="0"/>
                    <w:left w:val="nil"/>
                    <w:bottom w:val="single" w:color="auto" w:sz="4" w:space="0"/>
                    <w:right w:val="single" w:color="auto" w:sz="4" w:space="0"/>
                  </w:tcBorders>
                  <w:shd w:val="clear" w:color="auto" w:fill="auto"/>
                  <w:vAlign w:val="center"/>
                </w:tcPr>
                <w:p w14:paraId="3388DDD3">
                  <w:pPr>
                    <w:snapToGrid w:val="0"/>
                    <w:spacing w:line="500" w:lineRule="exact"/>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464" w:type="dxa"/>
                  <w:tcBorders>
                    <w:top w:val="single" w:color="auto" w:sz="4" w:space="0"/>
                    <w:left w:val="nil"/>
                    <w:bottom w:val="single" w:color="auto" w:sz="4" w:space="0"/>
                    <w:right w:val="single" w:color="auto" w:sz="4" w:space="0"/>
                  </w:tcBorders>
                  <w:shd w:val="clear" w:color="auto" w:fill="auto"/>
                  <w:vAlign w:val="center"/>
                </w:tcPr>
                <w:p w14:paraId="7FFFC35C">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9工作日</w:t>
                  </w:r>
                </w:p>
              </w:tc>
              <w:tc>
                <w:tcPr>
                  <w:tcW w:w="1654" w:type="dxa"/>
                  <w:tcBorders>
                    <w:top w:val="single" w:color="auto" w:sz="4" w:space="0"/>
                    <w:left w:val="nil"/>
                    <w:bottom w:val="single" w:color="auto" w:sz="4" w:space="0"/>
                    <w:right w:val="single" w:color="auto" w:sz="4" w:space="0"/>
                  </w:tcBorders>
                  <w:shd w:val="clear" w:color="auto" w:fill="auto"/>
                  <w:vAlign w:val="center"/>
                </w:tcPr>
                <w:p w14:paraId="42260B06">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9工作日</w:t>
                  </w:r>
                </w:p>
              </w:tc>
            </w:tr>
            <w:tr w14:paraId="1935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57B083EE">
                  <w:pPr>
                    <w:snapToGrid w:val="0"/>
                    <w:spacing w:line="500" w:lineRule="exact"/>
                    <w:rPr>
                      <w:rFonts w:ascii="宋体" w:hAnsi="Calibri" w:eastAsia="宋体"/>
                      <w:color w:val="auto"/>
                      <w:kern w:val="2"/>
                      <w:highlight w:val="none"/>
                    </w:rPr>
                  </w:pPr>
                  <w:r>
                    <w:rPr>
                      <w:rFonts w:hint="eastAsia" w:ascii="宋体" w:hAnsi="宋体" w:eastAsia="宋体" w:cs="宋体"/>
                      <w:color w:val="auto"/>
                      <w:kern w:val="2"/>
                      <w:highlight w:val="none"/>
                      <w:lang w:bidi="ar"/>
                    </w:rPr>
                    <w:t>5000万元以上（含5000万元）</w:t>
                  </w:r>
                </w:p>
              </w:tc>
              <w:tc>
                <w:tcPr>
                  <w:tcW w:w="1537" w:type="dxa"/>
                  <w:tcBorders>
                    <w:top w:val="single" w:color="auto" w:sz="4" w:space="0"/>
                    <w:left w:val="nil"/>
                    <w:bottom w:val="single" w:color="auto" w:sz="4" w:space="0"/>
                    <w:right w:val="single" w:color="auto" w:sz="4" w:space="0"/>
                  </w:tcBorders>
                  <w:shd w:val="clear" w:color="auto" w:fill="auto"/>
                  <w:vAlign w:val="center"/>
                </w:tcPr>
                <w:p w14:paraId="63D116CB">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3工作日</w:t>
                  </w:r>
                </w:p>
              </w:tc>
              <w:tc>
                <w:tcPr>
                  <w:tcW w:w="1464" w:type="dxa"/>
                  <w:tcBorders>
                    <w:top w:val="single" w:color="auto" w:sz="4" w:space="0"/>
                    <w:left w:val="nil"/>
                    <w:bottom w:val="single" w:color="auto" w:sz="4" w:space="0"/>
                    <w:right w:val="single" w:color="auto" w:sz="4" w:space="0"/>
                  </w:tcBorders>
                  <w:shd w:val="clear" w:color="auto" w:fill="auto"/>
                  <w:vAlign w:val="center"/>
                </w:tcPr>
                <w:p w14:paraId="049D9F7F">
                  <w:pPr>
                    <w:snapToGrid w:val="0"/>
                    <w:spacing w:line="500" w:lineRule="exact"/>
                    <w:jc w:val="center"/>
                    <w:rPr>
                      <w:rFonts w:ascii="宋体" w:hAnsi="Calibri" w:eastAsia="宋体"/>
                      <w:color w:val="auto"/>
                      <w:kern w:val="2"/>
                      <w:highlight w:val="none"/>
                    </w:rPr>
                  </w:pPr>
                  <w:r>
                    <w:rPr>
                      <w:rFonts w:hint="eastAsia" w:ascii="宋体" w:hAnsi="宋体" w:eastAsia="宋体" w:cs="宋体"/>
                      <w:color w:val="auto"/>
                      <w:kern w:val="2"/>
                      <w:highlight w:val="none"/>
                      <w:lang w:bidi="ar"/>
                    </w:rPr>
                    <w:t>11工作日</w:t>
                  </w:r>
                </w:p>
              </w:tc>
              <w:tc>
                <w:tcPr>
                  <w:tcW w:w="1654" w:type="dxa"/>
                  <w:tcBorders>
                    <w:top w:val="single" w:color="auto" w:sz="4" w:space="0"/>
                    <w:left w:val="nil"/>
                    <w:bottom w:val="single" w:color="auto" w:sz="4" w:space="0"/>
                    <w:right w:val="single" w:color="auto" w:sz="4" w:space="0"/>
                  </w:tcBorders>
                  <w:shd w:val="clear" w:color="auto" w:fill="auto"/>
                  <w:vAlign w:val="center"/>
                </w:tcPr>
                <w:p w14:paraId="47383F0D">
                  <w:pPr>
                    <w:snapToGrid w:val="0"/>
                    <w:spacing w:line="500" w:lineRule="exact"/>
                    <w:jc w:val="center"/>
                    <w:rPr>
                      <w:rFonts w:ascii="宋体" w:hAnsi="宋体" w:eastAsia="宋体" w:cs="宋体"/>
                      <w:color w:val="auto"/>
                      <w:kern w:val="2"/>
                      <w:highlight w:val="none"/>
                      <w:lang w:bidi="ar"/>
                    </w:rPr>
                  </w:pPr>
                  <w:r>
                    <w:rPr>
                      <w:rFonts w:hint="eastAsia" w:ascii="宋体" w:hAnsi="宋体" w:eastAsia="宋体" w:cs="宋体"/>
                      <w:color w:val="auto"/>
                      <w:kern w:val="2"/>
                      <w:highlight w:val="none"/>
                      <w:lang w:bidi="ar"/>
                    </w:rPr>
                    <w:t>11工作日</w:t>
                  </w:r>
                </w:p>
              </w:tc>
            </w:tr>
          </w:tbl>
          <w:p w14:paraId="6DD132B8">
            <w:pPr>
              <w:spacing w:line="420" w:lineRule="exact"/>
              <w:ind w:firstLine="482"/>
              <w:outlineLvl w:val="3"/>
              <w:rPr>
                <w:rFonts w:eastAsia="宋体" w:cs="宋体"/>
                <w:b/>
                <w:bCs/>
                <w:color w:val="auto"/>
                <w:highlight w:val="none"/>
              </w:rPr>
            </w:pPr>
            <w:r>
              <w:rPr>
                <w:rFonts w:hint="eastAsia" w:eastAsia="宋体" w:cs="宋体"/>
                <w:b/>
                <w:bCs/>
                <w:color w:val="auto"/>
                <w:highlight w:val="none"/>
              </w:rPr>
              <w:t>注：开始时间以采购人协审委派单次日计算。</w:t>
            </w:r>
          </w:p>
          <w:p w14:paraId="0A4FB93C">
            <w:pPr>
              <w:spacing w:line="400" w:lineRule="exact"/>
              <w:jc w:val="left"/>
              <w:rPr>
                <w:rFonts w:eastAsia="宋体"/>
                <w:color w:val="auto"/>
                <w:highlight w:val="none"/>
              </w:rPr>
            </w:pPr>
          </w:p>
        </w:tc>
        <w:tc>
          <w:tcPr>
            <w:tcW w:w="1488" w:type="dxa"/>
            <w:vAlign w:val="center"/>
          </w:tcPr>
          <w:p w14:paraId="0E6EC398">
            <w:pPr>
              <w:spacing w:line="400" w:lineRule="exact"/>
              <w:jc w:val="center"/>
              <w:rPr>
                <w:rFonts w:eastAsia="宋体"/>
                <w:color w:val="auto"/>
                <w:highlight w:val="none"/>
              </w:rPr>
            </w:pPr>
          </w:p>
        </w:tc>
        <w:tc>
          <w:tcPr>
            <w:tcW w:w="886" w:type="dxa"/>
            <w:vMerge w:val="continue"/>
            <w:vAlign w:val="center"/>
          </w:tcPr>
          <w:p w14:paraId="53A61DF4">
            <w:pPr>
              <w:spacing w:line="400" w:lineRule="exact"/>
              <w:jc w:val="left"/>
              <w:rPr>
                <w:rFonts w:eastAsia="宋体"/>
                <w:b/>
                <w:bCs/>
                <w:color w:val="auto"/>
                <w:highlight w:val="none"/>
              </w:rPr>
            </w:pPr>
          </w:p>
        </w:tc>
      </w:tr>
      <w:tr w14:paraId="2C04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22DF49CA">
            <w:pPr>
              <w:spacing w:line="400" w:lineRule="exact"/>
              <w:jc w:val="center"/>
              <w:rPr>
                <w:rFonts w:eastAsia="宋体"/>
                <w:b/>
                <w:bCs/>
                <w:color w:val="auto"/>
                <w:highlight w:val="none"/>
              </w:rPr>
            </w:pPr>
            <w:r>
              <w:rPr>
                <w:rFonts w:hint="eastAsia" w:eastAsia="宋体"/>
                <w:b/>
                <w:bCs/>
                <w:color w:val="auto"/>
                <w:highlight w:val="none"/>
              </w:rPr>
              <w:t>四、评审质量要求</w:t>
            </w:r>
          </w:p>
        </w:tc>
        <w:tc>
          <w:tcPr>
            <w:tcW w:w="7100" w:type="dxa"/>
            <w:vAlign w:val="center"/>
          </w:tcPr>
          <w:p w14:paraId="64651C92">
            <w:pPr>
              <w:spacing w:line="400" w:lineRule="exact"/>
              <w:jc w:val="left"/>
              <w:rPr>
                <w:rFonts w:eastAsia="宋体"/>
                <w:color w:val="auto"/>
                <w:highlight w:val="none"/>
              </w:rPr>
            </w:pPr>
            <w:r>
              <w:rPr>
                <w:rFonts w:hint="eastAsia" w:eastAsia="宋体"/>
                <w:color w:val="auto"/>
                <w:highlight w:val="none"/>
              </w:rPr>
              <w:t>①各协审单位在协审过程中应按照造价咨询执业规范和采购人的要求，接受采购人的执业质量监督。</w:t>
            </w:r>
          </w:p>
          <w:p w14:paraId="0EB1E295">
            <w:pPr>
              <w:spacing w:line="400" w:lineRule="exact"/>
              <w:jc w:val="left"/>
              <w:rPr>
                <w:rFonts w:eastAsia="宋体"/>
                <w:color w:val="auto"/>
                <w:highlight w:val="none"/>
              </w:rPr>
            </w:pPr>
            <w:r>
              <w:rPr>
                <w:rFonts w:hint="eastAsia" w:eastAsia="宋体"/>
                <w:color w:val="auto"/>
                <w:highlight w:val="none"/>
              </w:rPr>
              <w:t>②估算、概算、预算评审工作要求：各协审单位应强化内部制度，督促协审人员根据方案设计文件，结合项目规模、使用功能、估算费用、资金使用等方面对投资估算进行评审；根据初步设计文件，对项目概算的工程量、计价依据、材料价格等进行评审。根据施工图设计文件，对项目预算的工程量、计价依据、材料价格等进行审核。 必要时须查勘现场，对非标产品进行询价，确保评审报告科学、合理。</w:t>
            </w:r>
          </w:p>
          <w:p w14:paraId="7D2699E3">
            <w:pPr>
              <w:spacing w:line="400" w:lineRule="exact"/>
              <w:jc w:val="left"/>
              <w:rPr>
                <w:rFonts w:eastAsia="宋体"/>
                <w:color w:val="auto"/>
                <w:highlight w:val="none"/>
              </w:rPr>
            </w:pPr>
            <w:r>
              <w:rPr>
                <w:rFonts w:hint="eastAsia" w:eastAsia="宋体"/>
                <w:color w:val="auto"/>
                <w:highlight w:val="none"/>
              </w:rPr>
              <w:t>③各协审单位应认真做好内部复核工作，做到每个协审项目初稿在送采购人前，都应有技术负责人严格把关，努力提高协审质量。</w:t>
            </w:r>
          </w:p>
          <w:p w14:paraId="49E2F10D">
            <w:pPr>
              <w:spacing w:line="400" w:lineRule="exact"/>
              <w:jc w:val="left"/>
              <w:rPr>
                <w:rFonts w:eastAsia="宋体"/>
                <w:color w:val="auto"/>
                <w:highlight w:val="none"/>
              </w:rPr>
            </w:pPr>
            <w:r>
              <w:rPr>
                <w:rFonts w:hint="eastAsia" w:eastAsia="宋体"/>
                <w:color w:val="auto"/>
                <w:highlight w:val="none"/>
              </w:rPr>
              <w:t xml:space="preserve">④采购人对参与协审的供应商进行动态管理。采购人以供应商每一个参审工程为单位，对供应商完成的项目进行考核。 </w:t>
            </w:r>
          </w:p>
        </w:tc>
        <w:tc>
          <w:tcPr>
            <w:tcW w:w="1488" w:type="dxa"/>
            <w:vAlign w:val="center"/>
          </w:tcPr>
          <w:p w14:paraId="18B87E0C">
            <w:pPr>
              <w:spacing w:line="400" w:lineRule="exact"/>
              <w:jc w:val="center"/>
              <w:rPr>
                <w:rFonts w:eastAsia="宋体"/>
                <w:color w:val="auto"/>
                <w:highlight w:val="none"/>
              </w:rPr>
            </w:pPr>
          </w:p>
        </w:tc>
        <w:tc>
          <w:tcPr>
            <w:tcW w:w="886" w:type="dxa"/>
            <w:vMerge w:val="continue"/>
            <w:vAlign w:val="center"/>
          </w:tcPr>
          <w:p w14:paraId="2DA79F10">
            <w:pPr>
              <w:spacing w:line="400" w:lineRule="exact"/>
              <w:jc w:val="left"/>
              <w:rPr>
                <w:rFonts w:eastAsia="宋体"/>
                <w:b/>
                <w:bCs/>
                <w:color w:val="auto"/>
                <w:highlight w:val="none"/>
              </w:rPr>
            </w:pPr>
          </w:p>
        </w:tc>
      </w:tr>
      <w:tr w14:paraId="50E9E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29686EEA">
            <w:pPr>
              <w:spacing w:line="400" w:lineRule="exact"/>
              <w:jc w:val="center"/>
              <w:rPr>
                <w:rFonts w:eastAsia="宋体"/>
                <w:b/>
                <w:bCs/>
                <w:color w:val="auto"/>
                <w:highlight w:val="none"/>
              </w:rPr>
            </w:pPr>
            <w:r>
              <w:rPr>
                <w:rFonts w:hint="eastAsia" w:eastAsia="宋体"/>
                <w:b/>
                <w:bCs/>
                <w:color w:val="auto"/>
                <w:highlight w:val="none"/>
              </w:rPr>
              <w:t>五、</w:t>
            </w:r>
            <w:r>
              <w:rPr>
                <w:rFonts w:hint="eastAsia" w:eastAsia="宋体" w:cs="宋体"/>
                <w:b/>
                <w:bCs/>
                <w:color w:val="auto"/>
                <w:highlight w:val="none"/>
              </w:rPr>
              <w:t>项目负责人要求</w:t>
            </w:r>
          </w:p>
        </w:tc>
        <w:tc>
          <w:tcPr>
            <w:tcW w:w="7100" w:type="dxa"/>
            <w:vAlign w:val="center"/>
          </w:tcPr>
          <w:p w14:paraId="7FB9F988">
            <w:pPr>
              <w:spacing w:line="420" w:lineRule="exact"/>
              <w:rPr>
                <w:rFonts w:eastAsia="宋体" w:cs="宋体"/>
                <w:color w:val="auto"/>
                <w:highlight w:val="none"/>
              </w:rPr>
            </w:pPr>
            <w:r>
              <w:rPr>
                <w:rFonts w:hint="eastAsia" w:eastAsia="宋体" w:cs="宋体"/>
                <w:color w:val="auto"/>
                <w:highlight w:val="none"/>
              </w:rPr>
              <w:t>①供应商拟派项目负责人应具有一级注册造价工程师资质。（注：土木建筑工程、安装工程、交通运输工程（公路、水运）、水利工程四类中的任意一种）</w:t>
            </w:r>
          </w:p>
          <w:p w14:paraId="4846117E">
            <w:pPr>
              <w:spacing w:line="420" w:lineRule="exact"/>
              <w:rPr>
                <w:rFonts w:eastAsia="宋体" w:cs="宋体"/>
                <w:color w:val="auto"/>
                <w:highlight w:val="none"/>
              </w:rPr>
            </w:pPr>
            <w:r>
              <w:rPr>
                <w:rFonts w:hint="eastAsia" w:eastAsia="宋体" w:cs="宋体"/>
                <w:color w:val="auto"/>
                <w:highlight w:val="none"/>
              </w:rPr>
              <w:t>②供应商拟派项目负责人必须为供应商的正式在职人员。（注：参与征集活动时，供应商应提供为其缴纳的2025年4月至6月内任意一个月的社保证明并加盖供应商CA公章。）</w:t>
            </w:r>
          </w:p>
          <w:p w14:paraId="204828DC">
            <w:pPr>
              <w:spacing w:line="420" w:lineRule="exact"/>
              <w:rPr>
                <w:rFonts w:eastAsia="宋体"/>
                <w:color w:val="auto"/>
                <w:highlight w:val="none"/>
              </w:rPr>
            </w:pPr>
            <w:r>
              <w:rPr>
                <w:rFonts w:hint="eastAsia" w:eastAsia="宋体" w:cs="宋体"/>
                <w:color w:val="auto"/>
                <w:highlight w:val="none"/>
              </w:rPr>
              <w:t>③供应商拟派项目负责人自2022年1月1日以来须在现投标单位任职期间负责或参与的工程结算审计业绩或项目估算、概算、预算评审业绩。【需提供中标通知书或网上中标公示截图、合同、造价咨询报告；业绩证明时间以造价咨询报告出具时间为准】</w:t>
            </w:r>
          </w:p>
          <w:p w14:paraId="27AB371A">
            <w:pPr>
              <w:spacing w:line="420" w:lineRule="exact"/>
              <w:rPr>
                <w:rFonts w:eastAsia="宋体"/>
                <w:color w:val="auto"/>
                <w:highlight w:val="none"/>
              </w:rPr>
            </w:pPr>
            <w:r>
              <w:rPr>
                <w:rFonts w:hint="eastAsia" w:eastAsia="宋体" w:cs="宋体"/>
                <w:color w:val="auto"/>
                <w:highlight w:val="none"/>
              </w:rPr>
              <w:t>④因项目负责人辞职、生病等原因，需另行选择项目负责人的，其资质应当不低于被替换人员的资质，并向采购人书面申请和报送另行选择项目负责人的资质证明材料，取得采购人同意后方可更换。</w:t>
            </w:r>
          </w:p>
        </w:tc>
        <w:tc>
          <w:tcPr>
            <w:tcW w:w="1488" w:type="dxa"/>
            <w:vAlign w:val="center"/>
          </w:tcPr>
          <w:p w14:paraId="3D08EAD2">
            <w:pPr>
              <w:spacing w:line="400" w:lineRule="exact"/>
              <w:jc w:val="center"/>
              <w:rPr>
                <w:rFonts w:eastAsia="宋体"/>
                <w:color w:val="auto"/>
                <w:highlight w:val="none"/>
              </w:rPr>
            </w:pPr>
          </w:p>
        </w:tc>
        <w:tc>
          <w:tcPr>
            <w:tcW w:w="886" w:type="dxa"/>
            <w:vMerge w:val="continue"/>
            <w:vAlign w:val="center"/>
          </w:tcPr>
          <w:p w14:paraId="662359BE">
            <w:pPr>
              <w:spacing w:line="400" w:lineRule="exact"/>
              <w:jc w:val="left"/>
              <w:rPr>
                <w:rFonts w:eastAsia="宋体"/>
                <w:b/>
                <w:bCs/>
                <w:color w:val="auto"/>
                <w:highlight w:val="none"/>
              </w:rPr>
            </w:pPr>
          </w:p>
        </w:tc>
      </w:tr>
      <w:tr w14:paraId="4B147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6DCDA010">
            <w:pPr>
              <w:spacing w:line="400" w:lineRule="exact"/>
              <w:jc w:val="center"/>
              <w:rPr>
                <w:rFonts w:eastAsia="宋体"/>
                <w:b/>
                <w:bCs/>
                <w:color w:val="auto"/>
                <w:highlight w:val="none"/>
              </w:rPr>
            </w:pPr>
            <w:r>
              <w:rPr>
                <w:rFonts w:hint="eastAsia" w:eastAsia="宋体"/>
                <w:b/>
                <w:bCs/>
                <w:color w:val="auto"/>
                <w:highlight w:val="none"/>
              </w:rPr>
              <w:t>六、纪律要求</w:t>
            </w:r>
          </w:p>
        </w:tc>
        <w:tc>
          <w:tcPr>
            <w:tcW w:w="7100" w:type="dxa"/>
            <w:vAlign w:val="center"/>
          </w:tcPr>
          <w:p w14:paraId="7D2E3221">
            <w:pPr>
              <w:spacing w:line="400" w:lineRule="exact"/>
              <w:jc w:val="left"/>
              <w:rPr>
                <w:rFonts w:eastAsia="宋体"/>
                <w:color w:val="auto"/>
                <w:highlight w:val="none"/>
              </w:rPr>
            </w:pPr>
            <w:r>
              <w:rPr>
                <w:rFonts w:hint="eastAsia" w:eastAsia="宋体"/>
                <w:color w:val="auto"/>
                <w:highlight w:val="none"/>
              </w:rPr>
              <w:t>1.供应商的协审人员不得私下接收被评审单位补充评审资料,对争议事项、增加造价、延长评审时间等重要情况应与服务对象及时沟通,并应如实反映评审中发现的问题。</w:t>
            </w:r>
          </w:p>
          <w:p w14:paraId="7B44EBBD">
            <w:pPr>
              <w:spacing w:line="400" w:lineRule="exact"/>
              <w:jc w:val="left"/>
              <w:rPr>
                <w:rFonts w:eastAsia="宋体"/>
                <w:color w:val="auto"/>
                <w:highlight w:val="none"/>
              </w:rPr>
            </w:pPr>
            <w:r>
              <w:rPr>
                <w:rFonts w:hint="eastAsia" w:eastAsia="宋体"/>
                <w:color w:val="auto"/>
                <w:highlight w:val="none"/>
              </w:rPr>
              <w:t>2.供应商在执行委托评审业务过程中须严守评审工作纪律，廉洁从审，实事求是，并负有评审资料的保管及保密责任。供应商与采购人就委托的单个“协审项目”在签订委托合同时须签订“廉洁协审协议”，在评审过程中，应严守职业道德和廉洁协审纪律，主动接受相关部门的指导和监督。</w:t>
            </w:r>
          </w:p>
          <w:p w14:paraId="37F730C5">
            <w:pPr>
              <w:spacing w:line="400" w:lineRule="exact"/>
              <w:jc w:val="left"/>
              <w:rPr>
                <w:rFonts w:eastAsia="宋体"/>
                <w:color w:val="auto"/>
                <w:highlight w:val="none"/>
              </w:rPr>
            </w:pPr>
            <w:r>
              <w:rPr>
                <w:rFonts w:hint="eastAsia" w:eastAsia="宋体"/>
                <w:color w:val="auto"/>
                <w:highlight w:val="none"/>
              </w:rPr>
              <w:t>3.供应商和协审人员与服务对象、被评审单位有关人员之间有夫妻关系、直系血亲关系、三代以内旁系血亲以及近姻亲关系的；与服务对象、被评审单位或者评审事项有经济利益关系的，可能影响评审质量的；遇有承担过建设单位委托的工程估算编制、概算编制、招标代理、招标控制价编制、预算编制、施工监理、全过程咨询、工程竣工价款结算编制等业务的，供应商和协审人员应主动提出回避。</w:t>
            </w:r>
          </w:p>
          <w:p w14:paraId="2D099735">
            <w:pPr>
              <w:spacing w:line="400" w:lineRule="exact"/>
              <w:jc w:val="left"/>
              <w:rPr>
                <w:rFonts w:eastAsia="宋体"/>
                <w:color w:val="auto"/>
                <w:highlight w:val="none"/>
              </w:rPr>
            </w:pPr>
            <w:r>
              <w:rPr>
                <w:rFonts w:hint="eastAsia" w:eastAsia="宋体"/>
                <w:color w:val="auto"/>
                <w:highlight w:val="none"/>
              </w:rPr>
              <w:t xml:space="preserve">4.供应商不得将评审业务转托给其它机构或个人，也不得私自向被评审单位收取任何费用。  </w:t>
            </w:r>
          </w:p>
        </w:tc>
        <w:tc>
          <w:tcPr>
            <w:tcW w:w="1488" w:type="dxa"/>
            <w:vAlign w:val="center"/>
          </w:tcPr>
          <w:p w14:paraId="6B81038C">
            <w:pPr>
              <w:spacing w:line="400" w:lineRule="exact"/>
              <w:jc w:val="center"/>
              <w:rPr>
                <w:rFonts w:eastAsia="宋体"/>
                <w:color w:val="auto"/>
                <w:highlight w:val="none"/>
              </w:rPr>
            </w:pPr>
          </w:p>
        </w:tc>
        <w:tc>
          <w:tcPr>
            <w:tcW w:w="886" w:type="dxa"/>
            <w:vAlign w:val="center"/>
          </w:tcPr>
          <w:p w14:paraId="4A3C19A2">
            <w:pPr>
              <w:spacing w:line="400" w:lineRule="exact"/>
              <w:jc w:val="left"/>
              <w:rPr>
                <w:rFonts w:eastAsia="宋体"/>
                <w:b/>
                <w:bCs/>
                <w:color w:val="auto"/>
                <w:highlight w:val="none"/>
              </w:rPr>
            </w:pPr>
          </w:p>
        </w:tc>
      </w:tr>
      <w:tr w14:paraId="084B6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59CC8C3A">
            <w:pPr>
              <w:spacing w:line="400" w:lineRule="exact"/>
              <w:jc w:val="center"/>
              <w:rPr>
                <w:rFonts w:eastAsia="宋体"/>
                <w:b/>
                <w:bCs/>
                <w:color w:val="auto"/>
                <w:highlight w:val="none"/>
              </w:rPr>
            </w:pPr>
            <w:r>
              <w:rPr>
                <w:rFonts w:hint="eastAsia" w:eastAsia="宋体"/>
                <w:b/>
                <w:bCs/>
                <w:color w:val="auto"/>
                <w:highlight w:val="none"/>
              </w:rPr>
              <w:t>七、资料要求</w:t>
            </w:r>
          </w:p>
        </w:tc>
        <w:tc>
          <w:tcPr>
            <w:tcW w:w="7100" w:type="dxa"/>
            <w:vAlign w:val="center"/>
          </w:tcPr>
          <w:p w14:paraId="5C871C90">
            <w:pPr>
              <w:spacing w:line="400" w:lineRule="exact"/>
              <w:jc w:val="left"/>
              <w:rPr>
                <w:rFonts w:eastAsia="宋体"/>
                <w:color w:val="auto"/>
                <w:highlight w:val="none"/>
              </w:rPr>
            </w:pPr>
            <w:r>
              <w:rPr>
                <w:rFonts w:hint="eastAsia" w:eastAsia="宋体"/>
                <w:color w:val="auto"/>
                <w:highlight w:val="none"/>
              </w:rPr>
              <w:t>供应商不得遗失、损坏、篡改各类资料，亦不得将受托项目的评审资料交于他人，如发生此类情况，供应商应承担相应责任。同时服务对象有权中止与其签订的采购合同，并做出相应的处罚。</w:t>
            </w:r>
          </w:p>
        </w:tc>
        <w:tc>
          <w:tcPr>
            <w:tcW w:w="1488" w:type="dxa"/>
            <w:vAlign w:val="center"/>
          </w:tcPr>
          <w:p w14:paraId="46726E19">
            <w:pPr>
              <w:spacing w:line="400" w:lineRule="exact"/>
              <w:jc w:val="center"/>
              <w:rPr>
                <w:rFonts w:eastAsia="宋体"/>
                <w:color w:val="auto"/>
                <w:highlight w:val="none"/>
              </w:rPr>
            </w:pPr>
          </w:p>
        </w:tc>
        <w:tc>
          <w:tcPr>
            <w:tcW w:w="886" w:type="dxa"/>
            <w:vAlign w:val="center"/>
          </w:tcPr>
          <w:p w14:paraId="5466101E">
            <w:pPr>
              <w:spacing w:line="400" w:lineRule="exact"/>
              <w:jc w:val="left"/>
              <w:rPr>
                <w:rFonts w:eastAsia="宋体"/>
                <w:b/>
                <w:bCs/>
                <w:color w:val="auto"/>
                <w:highlight w:val="none"/>
              </w:rPr>
            </w:pPr>
          </w:p>
        </w:tc>
      </w:tr>
      <w:tr w14:paraId="1906D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468A718D">
            <w:pPr>
              <w:spacing w:line="400" w:lineRule="exact"/>
              <w:jc w:val="center"/>
              <w:rPr>
                <w:rFonts w:eastAsia="宋体"/>
                <w:b/>
                <w:bCs/>
                <w:color w:val="auto"/>
                <w:highlight w:val="none"/>
              </w:rPr>
            </w:pPr>
            <w:r>
              <w:rPr>
                <w:rFonts w:hint="eastAsia" w:eastAsia="宋体"/>
                <w:b/>
                <w:bCs/>
                <w:color w:val="auto"/>
                <w:highlight w:val="none"/>
              </w:rPr>
              <w:t>八、封闭式框架协议的订立</w:t>
            </w:r>
          </w:p>
        </w:tc>
        <w:tc>
          <w:tcPr>
            <w:tcW w:w="7100" w:type="dxa"/>
            <w:vAlign w:val="center"/>
          </w:tcPr>
          <w:p w14:paraId="74E17237">
            <w:pPr>
              <w:spacing w:line="400" w:lineRule="exact"/>
              <w:jc w:val="left"/>
              <w:rPr>
                <w:rFonts w:eastAsia="宋体"/>
                <w:color w:val="auto"/>
                <w:highlight w:val="none"/>
              </w:rPr>
            </w:pPr>
            <w:r>
              <w:rPr>
                <w:rFonts w:hint="eastAsia" w:eastAsia="宋体"/>
                <w:color w:val="auto"/>
                <w:highlight w:val="none"/>
              </w:rPr>
              <w:t>1.框架协议的签订</w:t>
            </w:r>
          </w:p>
          <w:p w14:paraId="1B3E4F9C">
            <w:pPr>
              <w:spacing w:line="400" w:lineRule="exact"/>
              <w:jc w:val="left"/>
              <w:rPr>
                <w:rFonts w:eastAsia="宋体"/>
                <w:color w:val="auto"/>
                <w:highlight w:val="none"/>
              </w:rPr>
            </w:pPr>
            <w:r>
              <w:rPr>
                <w:rFonts w:hint="eastAsia" w:eastAsia="宋体"/>
                <w:color w:val="auto"/>
                <w:highlight w:val="none"/>
              </w:rPr>
              <w:t>（1）入围供应商应当在入围通知书发出之日起30日内，和征集人签订框架协议。框架协议不得对征集文件确定的事项以及入围供应商的响应文件作实质性修改。</w:t>
            </w:r>
          </w:p>
          <w:p w14:paraId="00D28E86">
            <w:pPr>
              <w:spacing w:line="400" w:lineRule="exact"/>
              <w:jc w:val="left"/>
              <w:rPr>
                <w:rFonts w:eastAsia="宋体"/>
                <w:color w:val="auto"/>
                <w:highlight w:val="none"/>
              </w:rPr>
            </w:pPr>
            <w:r>
              <w:rPr>
                <w:rFonts w:hint="eastAsia" w:eastAsia="宋体"/>
                <w:color w:val="auto"/>
                <w:highlight w:val="none"/>
              </w:rPr>
              <w:t>（2）第一阶段入围供应商的协议价格是采购人确定第二阶段成交供应商的最高限价。</w:t>
            </w:r>
          </w:p>
          <w:p w14:paraId="11436809">
            <w:pPr>
              <w:spacing w:line="400" w:lineRule="exact"/>
              <w:jc w:val="left"/>
              <w:rPr>
                <w:rFonts w:eastAsia="宋体"/>
                <w:color w:val="auto"/>
                <w:highlight w:val="none"/>
              </w:rPr>
            </w:pPr>
            <w:r>
              <w:rPr>
                <w:rFonts w:hint="eastAsia" w:eastAsia="宋体"/>
                <w:color w:val="auto"/>
                <w:highlight w:val="none"/>
              </w:rPr>
              <w:t>（3）征集人在框架协议签订后7个工作日内，将框架协议副本报本级财政部门备案。同时，征集人应当在框架协议签订后3个工作日内，通过电子化采购系统将入围信息告知适用框架协议的所有采购人或者服务对象。</w:t>
            </w:r>
          </w:p>
          <w:p w14:paraId="0100729D">
            <w:pPr>
              <w:spacing w:line="400" w:lineRule="exact"/>
              <w:jc w:val="left"/>
              <w:rPr>
                <w:rFonts w:eastAsia="宋体"/>
                <w:color w:val="auto"/>
                <w:highlight w:val="none"/>
              </w:rPr>
            </w:pPr>
            <w:r>
              <w:rPr>
                <w:rFonts w:hint="eastAsia" w:eastAsia="宋体"/>
                <w:color w:val="auto"/>
                <w:highlight w:val="none"/>
              </w:rPr>
              <w:t>2.入围服务要求</w:t>
            </w:r>
          </w:p>
          <w:p w14:paraId="72CB89EF">
            <w:pPr>
              <w:spacing w:line="400" w:lineRule="exact"/>
              <w:jc w:val="left"/>
              <w:rPr>
                <w:rFonts w:eastAsia="宋体"/>
                <w:color w:val="auto"/>
                <w:highlight w:val="none"/>
              </w:rPr>
            </w:pPr>
            <w:r>
              <w:rPr>
                <w:rFonts w:hint="eastAsia" w:eastAsia="宋体"/>
                <w:color w:val="auto"/>
                <w:highlight w:val="none"/>
              </w:rPr>
              <w:t>（1）供应商响应的服务的技术、商务等条件不得低于采购需求。</w:t>
            </w:r>
          </w:p>
          <w:p w14:paraId="4D3112C6">
            <w:pPr>
              <w:spacing w:line="400" w:lineRule="exact"/>
              <w:jc w:val="left"/>
              <w:rPr>
                <w:rFonts w:eastAsia="宋体"/>
                <w:color w:val="auto"/>
                <w:highlight w:val="none"/>
              </w:rPr>
            </w:pPr>
            <w:r>
              <w:rPr>
                <w:rFonts w:hint="eastAsia" w:eastAsia="宋体"/>
                <w:color w:val="auto"/>
                <w:highlight w:val="none"/>
              </w:rPr>
              <w:t>（2）入围供应商在框架协议采购系统填报服务信息，执行框架协议，所填报服务信息应与响应文件服务信息一致。</w:t>
            </w:r>
          </w:p>
          <w:p w14:paraId="16498893">
            <w:pPr>
              <w:spacing w:line="400" w:lineRule="exact"/>
              <w:jc w:val="left"/>
              <w:rPr>
                <w:rFonts w:eastAsia="宋体"/>
                <w:color w:val="auto"/>
                <w:highlight w:val="none"/>
              </w:rPr>
            </w:pPr>
            <w:r>
              <w:rPr>
                <w:rFonts w:hint="eastAsia" w:eastAsia="宋体"/>
                <w:color w:val="auto"/>
                <w:highlight w:val="none"/>
              </w:rPr>
              <w:t>3.入围供应商服务要求</w:t>
            </w:r>
          </w:p>
          <w:p w14:paraId="1999AE88">
            <w:pPr>
              <w:spacing w:line="400" w:lineRule="exact"/>
              <w:jc w:val="left"/>
              <w:rPr>
                <w:rFonts w:eastAsia="宋体"/>
                <w:color w:val="auto"/>
                <w:highlight w:val="none"/>
              </w:rPr>
            </w:pPr>
            <w:r>
              <w:rPr>
                <w:rFonts w:hint="eastAsia" w:eastAsia="宋体"/>
                <w:color w:val="auto"/>
                <w:highlight w:val="none"/>
              </w:rPr>
              <w:t>（1）保证本次框架协议服务入围价是真实的，可考量的，接受征集人的监督、检查。</w:t>
            </w:r>
          </w:p>
          <w:p w14:paraId="2F573ABD">
            <w:pPr>
              <w:spacing w:line="400" w:lineRule="exact"/>
              <w:jc w:val="left"/>
              <w:rPr>
                <w:rFonts w:eastAsia="宋体"/>
                <w:color w:val="auto"/>
                <w:highlight w:val="none"/>
              </w:rPr>
            </w:pPr>
            <w:r>
              <w:rPr>
                <w:rFonts w:hint="eastAsia" w:eastAsia="宋体"/>
                <w:color w:val="auto"/>
                <w:highlight w:val="none"/>
              </w:rPr>
              <w:t>（2）保证所提供的服务符合国家有关质量技术标准及相关法律、法规规定的要求。</w:t>
            </w:r>
          </w:p>
          <w:p w14:paraId="25F64513">
            <w:pPr>
              <w:spacing w:line="400" w:lineRule="exact"/>
              <w:jc w:val="left"/>
              <w:rPr>
                <w:rFonts w:eastAsia="宋体"/>
                <w:color w:val="auto"/>
                <w:highlight w:val="none"/>
              </w:rPr>
            </w:pPr>
            <w:r>
              <w:rPr>
                <w:rFonts w:hint="eastAsia" w:eastAsia="宋体"/>
                <w:color w:val="auto"/>
                <w:highlight w:val="none"/>
              </w:rPr>
              <w:t>（3）保证本项目征集人优先享受各项服务。</w:t>
            </w:r>
          </w:p>
          <w:p w14:paraId="1E034B8E">
            <w:pPr>
              <w:spacing w:line="400" w:lineRule="exact"/>
              <w:jc w:val="left"/>
              <w:rPr>
                <w:rFonts w:eastAsia="宋体"/>
                <w:color w:val="auto"/>
                <w:highlight w:val="none"/>
              </w:rPr>
            </w:pPr>
            <w:r>
              <w:rPr>
                <w:rFonts w:hint="eastAsia" w:eastAsia="宋体"/>
                <w:color w:val="auto"/>
                <w:highlight w:val="none"/>
              </w:rPr>
              <w:t>（4）针对本项目成立服务小组，指派专人负责日常管理及联络工作。</w:t>
            </w:r>
          </w:p>
          <w:p w14:paraId="5130CA03">
            <w:pPr>
              <w:spacing w:line="400" w:lineRule="exact"/>
              <w:jc w:val="left"/>
              <w:rPr>
                <w:rFonts w:eastAsia="宋体"/>
                <w:color w:val="auto"/>
                <w:highlight w:val="none"/>
              </w:rPr>
            </w:pPr>
            <w:r>
              <w:rPr>
                <w:rFonts w:hint="eastAsia" w:eastAsia="宋体"/>
                <w:color w:val="auto"/>
                <w:highlight w:val="none"/>
              </w:rPr>
              <w:t>（5）建立征集人投诉及处理台帐，记录投诉内容及协调处理方法，有效督促严格履约。</w:t>
            </w:r>
          </w:p>
          <w:p w14:paraId="7A15E799">
            <w:pPr>
              <w:spacing w:line="400" w:lineRule="exact"/>
              <w:jc w:val="left"/>
              <w:rPr>
                <w:rFonts w:eastAsia="宋体"/>
                <w:color w:val="auto"/>
                <w:highlight w:val="none"/>
              </w:rPr>
            </w:pPr>
            <w:r>
              <w:rPr>
                <w:rFonts w:hint="eastAsia" w:eastAsia="宋体"/>
                <w:color w:val="auto"/>
                <w:highlight w:val="none"/>
              </w:rPr>
              <w:t>（6）提供技术服务热线（7×24小时），负责解答征集人遇到的问题。</w:t>
            </w:r>
          </w:p>
          <w:p w14:paraId="6D0DE0B9">
            <w:pPr>
              <w:spacing w:line="400" w:lineRule="exact"/>
              <w:jc w:val="left"/>
              <w:rPr>
                <w:rFonts w:eastAsia="宋体"/>
                <w:color w:val="auto"/>
                <w:highlight w:val="none"/>
              </w:rPr>
            </w:pPr>
            <w:r>
              <w:rPr>
                <w:rFonts w:hint="eastAsia" w:eastAsia="宋体"/>
                <w:color w:val="auto"/>
                <w:highlight w:val="none"/>
              </w:rPr>
              <w:t>（7）服从征集人管理要求，通过江苏省框架协议采购系统执行本次框架协议采购合同。</w:t>
            </w:r>
          </w:p>
          <w:p w14:paraId="530CAE23">
            <w:pPr>
              <w:spacing w:line="400" w:lineRule="exact"/>
              <w:jc w:val="left"/>
              <w:rPr>
                <w:rFonts w:eastAsia="宋体"/>
                <w:color w:val="auto"/>
                <w:highlight w:val="none"/>
              </w:rPr>
            </w:pPr>
            <w:r>
              <w:rPr>
                <w:rFonts w:hint="eastAsia" w:eastAsia="宋体"/>
                <w:color w:val="auto"/>
                <w:highlight w:val="none"/>
              </w:rPr>
              <w:t>（8）协助有关部门做好廉政工作，防止腐败现象的出现。</w:t>
            </w:r>
          </w:p>
          <w:p w14:paraId="4E0D754A">
            <w:pPr>
              <w:spacing w:line="400" w:lineRule="exact"/>
              <w:jc w:val="left"/>
              <w:rPr>
                <w:rFonts w:eastAsia="宋体"/>
                <w:color w:val="auto"/>
                <w:highlight w:val="none"/>
              </w:rPr>
            </w:pPr>
            <w:r>
              <w:rPr>
                <w:rFonts w:hint="eastAsia" w:eastAsia="宋体"/>
                <w:color w:val="auto"/>
                <w:highlight w:val="none"/>
              </w:rPr>
              <w:t>（9）供应商提供的其他服务承诺。</w:t>
            </w:r>
          </w:p>
          <w:p w14:paraId="71F307EB">
            <w:pPr>
              <w:spacing w:line="400" w:lineRule="exact"/>
              <w:jc w:val="left"/>
              <w:rPr>
                <w:rFonts w:eastAsia="宋体"/>
                <w:color w:val="auto"/>
                <w:highlight w:val="none"/>
              </w:rPr>
            </w:pPr>
            <w:r>
              <w:rPr>
                <w:rFonts w:hint="eastAsia" w:eastAsia="宋体"/>
                <w:color w:val="auto"/>
                <w:highlight w:val="none"/>
              </w:rPr>
              <w:t>（10）入围供应商应按照框架协议管理相关规定，主动配合征集人和各级财政部门的管理，按照相关的要求实施框架协议采购，并应做好信息维护、履约管理等工作。</w:t>
            </w:r>
          </w:p>
          <w:p w14:paraId="1915485C">
            <w:pPr>
              <w:spacing w:line="400" w:lineRule="exact"/>
              <w:jc w:val="left"/>
              <w:rPr>
                <w:rFonts w:eastAsia="宋体"/>
                <w:color w:val="auto"/>
                <w:highlight w:val="none"/>
              </w:rPr>
            </w:pPr>
            <w:r>
              <w:rPr>
                <w:rFonts w:hint="eastAsia" w:eastAsia="宋体"/>
                <w:color w:val="auto"/>
                <w:highlight w:val="none"/>
              </w:rPr>
              <w:t>（11）框架协议期限：两年（自框架协议签订之日起两年）。</w:t>
            </w:r>
          </w:p>
          <w:p w14:paraId="0F00384C">
            <w:pPr>
              <w:spacing w:line="400" w:lineRule="exact"/>
              <w:jc w:val="left"/>
              <w:rPr>
                <w:rFonts w:eastAsia="宋体"/>
                <w:color w:val="auto"/>
                <w:highlight w:val="none"/>
              </w:rPr>
            </w:pPr>
            <w:r>
              <w:rPr>
                <w:rFonts w:hint="eastAsia" w:eastAsia="宋体"/>
                <w:color w:val="auto"/>
                <w:highlight w:val="none"/>
              </w:rPr>
              <w:t xml:space="preserve">（12）入围供应商在“苏采云”系统框架协议采购管理模块（http://jszfcg.jsczt.cn/jszc/login）填报信息，执行框架协议，所填报信息应与响应文件信息一致。   </w:t>
            </w:r>
          </w:p>
        </w:tc>
        <w:tc>
          <w:tcPr>
            <w:tcW w:w="1488" w:type="dxa"/>
            <w:vAlign w:val="center"/>
          </w:tcPr>
          <w:p w14:paraId="18CF5B0F">
            <w:pPr>
              <w:spacing w:line="400" w:lineRule="exact"/>
              <w:jc w:val="center"/>
              <w:rPr>
                <w:rFonts w:eastAsia="宋体"/>
                <w:color w:val="auto"/>
                <w:highlight w:val="none"/>
              </w:rPr>
            </w:pPr>
          </w:p>
        </w:tc>
        <w:tc>
          <w:tcPr>
            <w:tcW w:w="886" w:type="dxa"/>
            <w:vAlign w:val="center"/>
          </w:tcPr>
          <w:p w14:paraId="5989B254">
            <w:pPr>
              <w:spacing w:line="400" w:lineRule="exact"/>
              <w:jc w:val="left"/>
              <w:rPr>
                <w:rFonts w:eastAsia="宋体"/>
                <w:b/>
                <w:bCs/>
                <w:color w:val="auto"/>
                <w:highlight w:val="none"/>
              </w:rPr>
            </w:pPr>
          </w:p>
        </w:tc>
      </w:tr>
      <w:tr w14:paraId="03661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702BDBDC">
            <w:pPr>
              <w:spacing w:line="400" w:lineRule="exact"/>
              <w:jc w:val="left"/>
              <w:rPr>
                <w:rFonts w:eastAsia="宋体"/>
                <w:b/>
                <w:bCs/>
                <w:color w:val="auto"/>
                <w:highlight w:val="none"/>
              </w:rPr>
            </w:pPr>
            <w:r>
              <w:rPr>
                <w:rFonts w:hint="eastAsia" w:eastAsia="宋体"/>
                <w:b/>
                <w:bCs/>
                <w:color w:val="auto"/>
                <w:highlight w:val="none"/>
              </w:rPr>
              <w:t>九、采购合同的授予</w:t>
            </w:r>
          </w:p>
        </w:tc>
        <w:tc>
          <w:tcPr>
            <w:tcW w:w="7100" w:type="dxa"/>
            <w:vAlign w:val="center"/>
          </w:tcPr>
          <w:p w14:paraId="5162C72F">
            <w:pPr>
              <w:spacing w:line="420" w:lineRule="exact"/>
              <w:outlineLvl w:val="2"/>
              <w:rPr>
                <w:rFonts w:eastAsia="宋体" w:cs="宋体"/>
                <w:b/>
                <w:bCs/>
                <w:color w:val="auto"/>
                <w:highlight w:val="none"/>
              </w:rPr>
            </w:pPr>
            <w:r>
              <w:rPr>
                <w:rFonts w:hint="eastAsia" w:eastAsia="宋体" w:cs="宋体"/>
                <w:b/>
                <w:bCs/>
                <w:color w:val="auto"/>
                <w:highlight w:val="none"/>
              </w:rPr>
              <w:t>（一）确定第二阶段成交供应商的方式</w:t>
            </w:r>
          </w:p>
          <w:p w14:paraId="790A6BB9">
            <w:pPr>
              <w:spacing w:line="420" w:lineRule="exact"/>
              <w:rPr>
                <w:rFonts w:eastAsia="宋体" w:cs="宋体"/>
                <w:color w:val="auto"/>
                <w:highlight w:val="none"/>
              </w:rPr>
            </w:pPr>
            <w:r>
              <w:rPr>
                <w:rFonts w:hint="eastAsia" w:eastAsia="宋体" w:cs="宋体"/>
                <w:color w:val="auto"/>
                <w:highlight w:val="none"/>
              </w:rPr>
              <w:t>1.采购人采购框架协议约定的服务，应当将第二阶段的采购合同授予入围供应商，且双方应当按照框架协议中规定的“采购合同文本”格式签订电子采购合同，不得擅自改变框架协议约定的合同实质性条款。</w:t>
            </w:r>
          </w:p>
          <w:p w14:paraId="44DDDE2B">
            <w:pPr>
              <w:spacing w:line="420" w:lineRule="exact"/>
              <w:rPr>
                <w:rFonts w:eastAsia="宋体" w:cs="宋体"/>
                <w:color w:val="auto"/>
                <w:highlight w:val="none"/>
              </w:rPr>
            </w:pPr>
            <w:r>
              <w:rPr>
                <w:rFonts w:hint="eastAsia" w:eastAsia="宋体" w:cs="宋体"/>
                <w:color w:val="auto"/>
                <w:highlight w:val="none"/>
              </w:rPr>
              <w:t>2.采购人依据入围服务价格、质量、经营活动中重大违法记录情况、以及服务便利性、用户评价等因素，从第一阶段入围供应商中直接选定。</w:t>
            </w:r>
          </w:p>
          <w:p w14:paraId="4357EA6E">
            <w:pPr>
              <w:spacing w:line="420" w:lineRule="exact"/>
              <w:rPr>
                <w:rFonts w:eastAsia="宋体" w:cs="宋体"/>
                <w:color w:val="auto"/>
                <w:highlight w:val="none"/>
              </w:rPr>
            </w:pPr>
            <w:r>
              <w:rPr>
                <w:rFonts w:hint="eastAsia" w:eastAsia="宋体" w:cs="宋体"/>
                <w:color w:val="auto"/>
                <w:highlight w:val="none"/>
              </w:rPr>
              <w:t>3.服务时间地点：采购人与供应商根据合同约定完成。</w:t>
            </w:r>
          </w:p>
          <w:p w14:paraId="11E656CF">
            <w:pPr>
              <w:spacing w:line="420" w:lineRule="exact"/>
              <w:rPr>
                <w:rFonts w:eastAsia="宋体" w:cs="宋体"/>
                <w:color w:val="auto"/>
                <w:highlight w:val="none"/>
              </w:rPr>
            </w:pPr>
            <w:r>
              <w:rPr>
                <w:rFonts w:hint="eastAsia" w:eastAsia="宋体" w:cs="宋体"/>
                <w:color w:val="auto"/>
                <w:highlight w:val="none"/>
              </w:rPr>
              <w:t>4.验收：采购人根据合同约定组织验收。</w:t>
            </w:r>
          </w:p>
          <w:p w14:paraId="3476EE68">
            <w:pPr>
              <w:spacing w:line="420" w:lineRule="exact"/>
              <w:rPr>
                <w:rFonts w:eastAsia="宋体" w:cs="宋体"/>
                <w:color w:val="auto"/>
                <w:highlight w:val="none"/>
              </w:rPr>
            </w:pPr>
            <w:r>
              <w:rPr>
                <w:rFonts w:hint="eastAsia" w:eastAsia="宋体" w:cs="宋体"/>
                <w:color w:val="auto"/>
                <w:highlight w:val="none"/>
              </w:rPr>
              <w:t>5.付款要求：由采购人和供应商按合同约定执行。</w:t>
            </w:r>
          </w:p>
          <w:p w14:paraId="0CD5C2DE">
            <w:pPr>
              <w:spacing w:line="420" w:lineRule="exact"/>
              <w:rPr>
                <w:rFonts w:eastAsia="宋体" w:cs="宋体"/>
                <w:color w:val="auto"/>
                <w:highlight w:val="none"/>
              </w:rPr>
            </w:pPr>
            <w:r>
              <w:rPr>
                <w:rFonts w:hint="eastAsia" w:eastAsia="宋体"/>
                <w:color w:val="auto"/>
                <w:highlight w:val="none"/>
                <w:lang w:bidi="ar"/>
              </w:rPr>
              <w:t>6</w:t>
            </w:r>
            <w:r>
              <w:rPr>
                <w:rFonts w:eastAsia="宋体"/>
                <w:color w:val="auto"/>
                <w:highlight w:val="none"/>
                <w:lang w:bidi="ar"/>
              </w:rPr>
              <w:t>.</w:t>
            </w:r>
            <w:r>
              <w:rPr>
                <w:rFonts w:hint="eastAsia" w:ascii="宋体" w:hAnsi="宋体" w:eastAsia="宋体" w:cs="宋体"/>
                <w:color w:val="auto"/>
                <w:highlight w:val="none"/>
                <w:lang w:bidi="ar"/>
              </w:rPr>
              <w:t>其它事项：对于重要项目，采购人可择优选择供应商。</w:t>
            </w:r>
          </w:p>
          <w:p w14:paraId="7105FBA5">
            <w:pPr>
              <w:spacing w:line="420" w:lineRule="exact"/>
              <w:outlineLvl w:val="2"/>
              <w:rPr>
                <w:rFonts w:eastAsia="宋体" w:cs="宋体"/>
                <w:b/>
                <w:bCs/>
                <w:color w:val="auto"/>
                <w:highlight w:val="none"/>
              </w:rPr>
            </w:pPr>
            <w:r>
              <w:rPr>
                <w:rFonts w:hint="eastAsia" w:eastAsia="宋体" w:cs="宋体"/>
                <w:b/>
                <w:bCs/>
                <w:color w:val="auto"/>
                <w:highlight w:val="none"/>
              </w:rPr>
              <w:t>（二）单笔成交结果的公告</w:t>
            </w:r>
          </w:p>
          <w:p w14:paraId="27E53BA1">
            <w:pPr>
              <w:spacing w:line="420" w:lineRule="exact"/>
              <w:outlineLvl w:val="2"/>
              <w:rPr>
                <w:rFonts w:eastAsia="宋体" w:cs="宋体"/>
                <w:color w:val="auto"/>
                <w:highlight w:val="none"/>
              </w:rPr>
            </w:pPr>
            <w:r>
              <w:rPr>
                <w:rFonts w:hint="eastAsia" w:eastAsia="宋体" w:cs="宋体"/>
                <w:color w:val="auto"/>
                <w:highlight w:val="none"/>
              </w:rPr>
              <w:t>采购人依据入围服务价格、质量、经营活动中重大违法记录情况、以及服务便利性、用户评价等因素，从第一阶段入围供应商中直接选定。采购人应当在成交供应商确定后的2个工作日内，在江苏政府采购网“框架协议”栏目，发布成交结果公告。</w:t>
            </w:r>
          </w:p>
          <w:p w14:paraId="2390695D">
            <w:pPr>
              <w:spacing w:line="420" w:lineRule="exact"/>
              <w:outlineLvl w:val="2"/>
              <w:rPr>
                <w:rFonts w:eastAsia="宋体" w:cs="宋体"/>
                <w:b/>
                <w:bCs/>
                <w:color w:val="auto"/>
                <w:highlight w:val="none"/>
              </w:rPr>
            </w:pPr>
            <w:r>
              <w:rPr>
                <w:rFonts w:hint="eastAsia" w:eastAsia="宋体" w:cs="宋体"/>
                <w:b/>
                <w:bCs/>
                <w:color w:val="auto"/>
                <w:highlight w:val="none"/>
              </w:rPr>
              <w:t>（三）采购合同授予的价格</w:t>
            </w:r>
          </w:p>
          <w:p w14:paraId="2D7D3C32">
            <w:pPr>
              <w:spacing w:line="420" w:lineRule="exact"/>
              <w:rPr>
                <w:rFonts w:eastAsia="宋体" w:cs="宋体"/>
                <w:color w:val="auto"/>
                <w:highlight w:val="none"/>
              </w:rPr>
            </w:pPr>
            <w:r>
              <w:rPr>
                <w:rFonts w:hint="eastAsia" w:eastAsia="宋体" w:cs="宋体"/>
                <w:color w:val="auto"/>
                <w:highlight w:val="none"/>
              </w:rPr>
              <w:t>1. 框架协议采购应当订立固定</w:t>
            </w:r>
            <w:r>
              <w:rPr>
                <w:rFonts w:hint="eastAsia" w:eastAsia="宋体" w:cs="宋体"/>
                <w:color w:val="auto"/>
                <w:highlight w:val="none"/>
                <w:lang w:val="en-US" w:eastAsia="zh-CN"/>
              </w:rPr>
              <w:t>费率</w:t>
            </w:r>
            <w:r>
              <w:rPr>
                <w:rFonts w:hint="eastAsia" w:eastAsia="宋体" w:cs="宋体"/>
                <w:color w:val="auto"/>
                <w:highlight w:val="none"/>
              </w:rPr>
              <w:t>合同，且在履约期间不得变更单价。因此，在框架协议期间，采购合同授予阶段的价格为入围服务确定的价格，不得上调。</w:t>
            </w:r>
          </w:p>
          <w:p w14:paraId="717D638C">
            <w:pPr>
              <w:spacing w:line="420" w:lineRule="exact"/>
              <w:rPr>
                <w:rFonts w:eastAsia="宋体" w:cs="宋体"/>
                <w:b/>
                <w:bCs/>
                <w:color w:val="auto"/>
                <w:highlight w:val="none"/>
              </w:rPr>
            </w:pPr>
            <w:r>
              <w:rPr>
                <w:rFonts w:hint="eastAsia" w:eastAsia="宋体" w:cs="宋体"/>
                <w:b/>
                <w:bCs/>
                <w:color w:val="auto"/>
                <w:highlight w:val="none"/>
              </w:rPr>
              <w:t>2.价格要求：按照本征集文件</w:t>
            </w:r>
            <w:r>
              <w:rPr>
                <w:rFonts w:hint="eastAsia" w:eastAsia="宋体" w:cs="宋体"/>
                <w:b/>
                <w:bCs/>
                <w:color w:val="auto"/>
                <w:highlight w:val="none"/>
                <w:lang w:eastAsia="zh-CN"/>
              </w:rPr>
              <w:t>第三章第二条</w:t>
            </w:r>
            <w:r>
              <w:rPr>
                <w:rFonts w:hint="eastAsia" w:eastAsia="宋体" w:cs="宋体"/>
                <w:b/>
                <w:bCs/>
                <w:color w:val="auto"/>
                <w:highlight w:val="none"/>
              </w:rPr>
              <w:t>“协审费用的结算</w:t>
            </w:r>
            <w:r>
              <w:rPr>
                <w:rFonts w:hint="eastAsia" w:eastAsia="宋体" w:cs="宋体"/>
                <w:b/>
                <w:bCs/>
                <w:color w:val="auto"/>
                <w:highlight w:val="none"/>
                <w:lang w:val="en-US" w:eastAsia="zh-CN"/>
              </w:rPr>
              <w:t>及</w:t>
            </w:r>
            <w:r>
              <w:rPr>
                <w:rFonts w:hint="eastAsia" w:eastAsia="宋体" w:cs="宋体"/>
                <w:b/>
                <w:bCs/>
                <w:color w:val="auto"/>
                <w:highlight w:val="none"/>
              </w:rPr>
              <w:t>支付”要求执行。</w:t>
            </w:r>
          </w:p>
          <w:p w14:paraId="4F9DBF09">
            <w:pPr>
              <w:spacing w:line="420" w:lineRule="exact"/>
              <w:outlineLvl w:val="2"/>
              <w:rPr>
                <w:rFonts w:eastAsia="宋体" w:cs="宋体"/>
                <w:b/>
                <w:bCs/>
                <w:color w:val="auto"/>
                <w:highlight w:val="none"/>
              </w:rPr>
            </w:pPr>
            <w:r>
              <w:rPr>
                <w:rFonts w:hint="eastAsia" w:eastAsia="宋体" w:cs="宋体"/>
                <w:b/>
                <w:bCs/>
                <w:color w:val="auto"/>
                <w:highlight w:val="none"/>
              </w:rPr>
              <w:t>（四）特殊情形的处理</w:t>
            </w:r>
          </w:p>
          <w:p w14:paraId="0C1CD3DE">
            <w:pPr>
              <w:spacing w:line="420" w:lineRule="exact"/>
              <w:rPr>
                <w:rFonts w:eastAsia="宋体" w:cs="宋体"/>
                <w:color w:val="auto"/>
                <w:highlight w:val="none"/>
              </w:rPr>
            </w:pPr>
            <w:r>
              <w:rPr>
                <w:rFonts w:hint="eastAsia" w:eastAsia="宋体" w:cs="宋体"/>
                <w:color w:val="auto"/>
                <w:highlight w:val="none"/>
              </w:rPr>
              <w:t>1.采购人原则上不得采购框架协议采购范围以外的服务。如框架协议范围内产品确实无法满足采购人的工作需要，应由当地财政部门履行核实及确认手续后组织采购。</w:t>
            </w:r>
          </w:p>
          <w:p w14:paraId="42C76243">
            <w:pPr>
              <w:spacing w:line="420" w:lineRule="exact"/>
              <w:rPr>
                <w:rFonts w:eastAsia="宋体"/>
                <w:color w:val="auto"/>
                <w:highlight w:val="none"/>
              </w:rPr>
            </w:pPr>
            <w:r>
              <w:rPr>
                <w:rFonts w:hint="eastAsia" w:eastAsia="宋体" w:cs="宋体"/>
                <w:color w:val="auto"/>
                <w:highlight w:val="none"/>
              </w:rPr>
              <w:t>2.对于框架协议入围供应商，采购人证明能够以更低价格向非入围供应商采购相同服务，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tc>
        <w:tc>
          <w:tcPr>
            <w:tcW w:w="1488" w:type="dxa"/>
            <w:vAlign w:val="center"/>
          </w:tcPr>
          <w:p w14:paraId="49C80FEF">
            <w:pPr>
              <w:spacing w:line="400" w:lineRule="exact"/>
              <w:jc w:val="center"/>
              <w:rPr>
                <w:rFonts w:eastAsia="宋体"/>
                <w:color w:val="auto"/>
                <w:highlight w:val="none"/>
              </w:rPr>
            </w:pPr>
          </w:p>
        </w:tc>
        <w:tc>
          <w:tcPr>
            <w:tcW w:w="886" w:type="dxa"/>
            <w:vAlign w:val="center"/>
          </w:tcPr>
          <w:p w14:paraId="386038B0">
            <w:pPr>
              <w:spacing w:line="400" w:lineRule="exact"/>
              <w:jc w:val="left"/>
              <w:rPr>
                <w:rFonts w:eastAsia="宋体"/>
                <w:b/>
                <w:bCs/>
                <w:color w:val="auto"/>
                <w:highlight w:val="none"/>
              </w:rPr>
            </w:pPr>
          </w:p>
        </w:tc>
      </w:tr>
      <w:tr w14:paraId="65704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3" w:type="dxa"/>
            <w:vAlign w:val="center"/>
          </w:tcPr>
          <w:p w14:paraId="0F32C028">
            <w:pPr>
              <w:spacing w:line="400" w:lineRule="exact"/>
              <w:jc w:val="left"/>
              <w:rPr>
                <w:rFonts w:eastAsia="宋体"/>
                <w:b/>
                <w:bCs/>
                <w:color w:val="auto"/>
                <w:highlight w:val="none"/>
              </w:rPr>
            </w:pPr>
            <w:r>
              <w:rPr>
                <w:rFonts w:hint="eastAsia" w:eastAsia="宋体"/>
                <w:b/>
                <w:bCs/>
                <w:color w:val="auto"/>
                <w:highlight w:val="none"/>
              </w:rPr>
              <w:t>十、履约管理要求</w:t>
            </w:r>
          </w:p>
        </w:tc>
        <w:tc>
          <w:tcPr>
            <w:tcW w:w="7100" w:type="dxa"/>
            <w:vAlign w:val="center"/>
          </w:tcPr>
          <w:p w14:paraId="1BB24581">
            <w:pPr>
              <w:spacing w:line="400" w:lineRule="exact"/>
              <w:jc w:val="left"/>
              <w:rPr>
                <w:rFonts w:eastAsia="宋体"/>
                <w:color w:val="auto"/>
                <w:highlight w:val="none"/>
              </w:rPr>
            </w:pPr>
            <w:r>
              <w:rPr>
                <w:rFonts w:hint="eastAsia" w:eastAsia="宋体"/>
                <w:color w:val="auto"/>
                <w:highlight w:val="none"/>
              </w:rPr>
              <w:t>1.管理形式</w:t>
            </w:r>
          </w:p>
          <w:p w14:paraId="0C767F17">
            <w:pPr>
              <w:spacing w:line="400" w:lineRule="exact"/>
              <w:jc w:val="left"/>
              <w:rPr>
                <w:rFonts w:eastAsia="宋体"/>
                <w:color w:val="auto"/>
                <w:highlight w:val="none"/>
              </w:rPr>
            </w:pPr>
            <w:r>
              <w:rPr>
                <w:rFonts w:hint="eastAsia" w:eastAsia="宋体"/>
                <w:color w:val="auto"/>
                <w:highlight w:val="none"/>
              </w:rPr>
              <w:t>征集人通过考核管理方式，对框架协议入围供应商开展履约及售后服务监督，检查和处理结果将在框架协议系统公布。</w:t>
            </w:r>
          </w:p>
          <w:p w14:paraId="5245F395">
            <w:pPr>
              <w:spacing w:line="400" w:lineRule="exact"/>
              <w:jc w:val="left"/>
              <w:rPr>
                <w:rFonts w:eastAsia="宋体"/>
                <w:color w:val="auto"/>
                <w:highlight w:val="none"/>
              </w:rPr>
            </w:pPr>
            <w:r>
              <w:rPr>
                <w:rFonts w:hint="eastAsia" w:eastAsia="宋体"/>
                <w:color w:val="auto"/>
                <w:highlight w:val="none"/>
              </w:rPr>
              <w:t>2.考核管理</w:t>
            </w:r>
          </w:p>
          <w:p w14:paraId="6A89BEE9">
            <w:pPr>
              <w:spacing w:line="400" w:lineRule="exact"/>
              <w:jc w:val="left"/>
              <w:rPr>
                <w:rFonts w:eastAsia="宋体"/>
                <w:color w:val="auto"/>
                <w:highlight w:val="none"/>
              </w:rPr>
            </w:pPr>
            <w:r>
              <w:rPr>
                <w:rFonts w:hint="eastAsia" w:eastAsia="宋体"/>
                <w:color w:val="auto"/>
                <w:highlight w:val="none"/>
              </w:rPr>
              <w:t>（1）征集人对入围框架协议供应商和参审人员按《协审单位考核管理评分表》进行考核。</w:t>
            </w:r>
          </w:p>
          <w:p w14:paraId="5FB75C51">
            <w:pPr>
              <w:spacing w:line="400" w:lineRule="exact"/>
              <w:jc w:val="left"/>
              <w:rPr>
                <w:rFonts w:eastAsia="宋体"/>
                <w:color w:val="auto"/>
                <w:highlight w:val="none"/>
              </w:rPr>
            </w:pPr>
            <w:r>
              <w:rPr>
                <w:rFonts w:hint="eastAsia" w:eastAsia="宋体"/>
                <w:color w:val="auto"/>
                <w:highlight w:val="none"/>
              </w:rPr>
              <w:t>（2）考核实行百分制和“一审一评”制。考核结果作为框架协议内，项目结算的依据。</w:t>
            </w:r>
          </w:p>
          <w:p w14:paraId="1B348EB1">
            <w:pPr>
              <w:spacing w:line="400" w:lineRule="exact"/>
              <w:jc w:val="left"/>
              <w:rPr>
                <w:rFonts w:eastAsia="宋体"/>
                <w:color w:val="auto"/>
                <w:highlight w:val="none"/>
              </w:rPr>
            </w:pPr>
            <w:r>
              <w:rPr>
                <w:rFonts w:hint="eastAsia" w:eastAsia="宋体"/>
                <w:color w:val="auto"/>
                <w:highlight w:val="none"/>
              </w:rPr>
              <w:t>（3）考核得分≥80分的，按协议约定标准支付协审费用；70分≤考核得分＜80分的，按约定标准×95%支付协审费用；60分≤考核得分＜70分的，按约定标准×90%支付协审费用；考核得分＜60分的，按约定标准×80%支付协审费用。</w:t>
            </w:r>
          </w:p>
          <w:p w14:paraId="6A315AF8">
            <w:pPr>
              <w:spacing w:line="400" w:lineRule="exact"/>
              <w:jc w:val="left"/>
              <w:rPr>
                <w:rFonts w:eastAsia="宋体"/>
                <w:color w:val="auto"/>
                <w:highlight w:val="none"/>
              </w:rPr>
            </w:pPr>
            <w:r>
              <w:rPr>
                <w:rFonts w:hint="eastAsia" w:eastAsia="宋体"/>
                <w:color w:val="auto"/>
                <w:highlight w:val="none"/>
              </w:rPr>
              <w:t>（4）考核得分＜60分的，解除协审委托协议并立即取消框架协议的入围资格；</w:t>
            </w:r>
          </w:p>
          <w:p w14:paraId="781A5426">
            <w:pPr>
              <w:spacing w:line="400" w:lineRule="exact"/>
              <w:jc w:val="left"/>
              <w:rPr>
                <w:rFonts w:eastAsia="宋体"/>
                <w:color w:val="auto"/>
                <w:highlight w:val="none"/>
              </w:rPr>
            </w:pPr>
            <w:r>
              <w:rPr>
                <w:rFonts w:hint="eastAsia" w:eastAsia="宋体"/>
                <w:color w:val="auto"/>
                <w:highlight w:val="none"/>
              </w:rPr>
              <w:t>3.涉及考核管理的其他未尽事宜，根据征集人制定的相关考核管理制度执行。</w:t>
            </w:r>
          </w:p>
          <w:p w14:paraId="79461F3F">
            <w:pPr>
              <w:spacing w:line="400" w:lineRule="exact"/>
              <w:jc w:val="left"/>
              <w:rPr>
                <w:rFonts w:eastAsia="宋体"/>
                <w:color w:val="auto"/>
                <w:highlight w:val="none"/>
              </w:rPr>
            </w:pPr>
            <w:r>
              <w:rPr>
                <w:rFonts w:hint="eastAsia" w:eastAsia="宋体"/>
                <w:color w:val="auto"/>
                <w:highlight w:val="none"/>
              </w:rPr>
              <w:t>4.责任追究</w:t>
            </w:r>
          </w:p>
          <w:p w14:paraId="773344A7">
            <w:pPr>
              <w:spacing w:line="400" w:lineRule="exact"/>
              <w:jc w:val="left"/>
              <w:rPr>
                <w:rFonts w:eastAsia="宋体"/>
                <w:color w:val="auto"/>
                <w:highlight w:val="none"/>
              </w:rPr>
            </w:pPr>
            <w:r>
              <w:rPr>
                <w:rFonts w:hint="eastAsia" w:eastAsia="宋体"/>
                <w:color w:val="auto"/>
                <w:highlight w:val="none"/>
              </w:rPr>
              <w:t>（1）《政府采购框架协议采购方式管理暂行办法》（财政部令第110号）第十九条：入围供应商有下列情形之一，尚未签订框架协议的，征集人取消其入围资格；已经签订框架协议的，征集人解除与其签订的框架协议：</w:t>
            </w:r>
          </w:p>
          <w:p w14:paraId="79429775">
            <w:pPr>
              <w:spacing w:line="400" w:lineRule="exact"/>
              <w:jc w:val="left"/>
              <w:rPr>
                <w:rFonts w:eastAsia="宋体"/>
                <w:color w:val="auto"/>
                <w:highlight w:val="none"/>
              </w:rPr>
            </w:pPr>
            <w:r>
              <w:rPr>
                <w:rFonts w:hint="eastAsia" w:eastAsia="宋体"/>
                <w:color w:val="auto"/>
                <w:highlight w:val="none"/>
              </w:rPr>
              <w:t>①恶意串通谋取入围或者合同成交的；</w:t>
            </w:r>
          </w:p>
          <w:p w14:paraId="00F96D78">
            <w:pPr>
              <w:spacing w:line="400" w:lineRule="exact"/>
              <w:jc w:val="left"/>
              <w:rPr>
                <w:rFonts w:eastAsia="宋体"/>
                <w:color w:val="auto"/>
                <w:highlight w:val="none"/>
              </w:rPr>
            </w:pPr>
            <w:r>
              <w:rPr>
                <w:rFonts w:hint="eastAsia" w:eastAsia="宋体"/>
                <w:color w:val="auto"/>
                <w:highlight w:val="none"/>
              </w:rPr>
              <w:t>②提供虚假材料谋取入围或者合同成交的；</w:t>
            </w:r>
          </w:p>
          <w:p w14:paraId="532B7E94">
            <w:pPr>
              <w:spacing w:line="400" w:lineRule="exact"/>
              <w:jc w:val="left"/>
              <w:rPr>
                <w:rFonts w:eastAsia="宋体"/>
                <w:color w:val="auto"/>
                <w:highlight w:val="none"/>
              </w:rPr>
            </w:pPr>
            <w:r>
              <w:rPr>
                <w:rFonts w:hint="eastAsia" w:eastAsia="宋体"/>
                <w:color w:val="auto"/>
                <w:highlight w:val="none"/>
              </w:rPr>
              <w:t>③无正当理由拒不接受合同授予的；</w:t>
            </w:r>
          </w:p>
          <w:p w14:paraId="71D0FE9E">
            <w:pPr>
              <w:spacing w:line="400" w:lineRule="exact"/>
              <w:jc w:val="left"/>
              <w:rPr>
                <w:rFonts w:eastAsia="宋体"/>
                <w:color w:val="auto"/>
                <w:highlight w:val="none"/>
              </w:rPr>
            </w:pPr>
            <w:r>
              <w:rPr>
                <w:rFonts w:hint="eastAsia" w:eastAsia="宋体"/>
                <w:color w:val="auto"/>
                <w:highlight w:val="none"/>
              </w:rPr>
              <w:t>④不履行合同义务或者履行合同义务不符合约定，经采购人请求履行后仍不履行或者仍未按约定履行的；</w:t>
            </w:r>
          </w:p>
          <w:p w14:paraId="39F71834">
            <w:pPr>
              <w:spacing w:line="400" w:lineRule="exact"/>
              <w:jc w:val="left"/>
              <w:rPr>
                <w:rFonts w:eastAsia="宋体"/>
                <w:color w:val="auto"/>
                <w:highlight w:val="none"/>
              </w:rPr>
            </w:pPr>
            <w:r>
              <w:rPr>
                <w:rFonts w:hint="eastAsia" w:eastAsia="宋体"/>
                <w:color w:val="auto"/>
                <w:highlight w:val="none"/>
              </w:rPr>
              <w:t>⑤框架协议有效期内，因违法行为被禁止或限制参加政府采购活动的；</w:t>
            </w:r>
          </w:p>
          <w:p w14:paraId="0A1BD9B6">
            <w:pPr>
              <w:spacing w:line="400" w:lineRule="exact"/>
              <w:jc w:val="left"/>
              <w:rPr>
                <w:rFonts w:eastAsia="宋体"/>
                <w:color w:val="auto"/>
                <w:highlight w:val="none"/>
              </w:rPr>
            </w:pPr>
            <w:r>
              <w:rPr>
                <w:rFonts w:hint="eastAsia" w:eastAsia="宋体"/>
                <w:color w:val="auto"/>
                <w:highlight w:val="none"/>
              </w:rPr>
              <w:t>⑥框架协议约定的其他情形。</w:t>
            </w:r>
          </w:p>
          <w:p w14:paraId="2838C1EA">
            <w:pPr>
              <w:spacing w:line="400" w:lineRule="exact"/>
              <w:jc w:val="left"/>
              <w:rPr>
                <w:rFonts w:eastAsia="宋体"/>
                <w:color w:val="auto"/>
                <w:highlight w:val="none"/>
              </w:rPr>
            </w:pPr>
            <w:r>
              <w:rPr>
                <w:rFonts w:hint="eastAsia" w:eastAsia="宋体"/>
                <w:color w:val="auto"/>
                <w:highlight w:val="none"/>
              </w:rPr>
              <w:t>被取消入围资格或者被解除框架协议的供应商不得参加同一封闭式框架协议补充征集，或者重新申请加入同一开放式框架协议。</w:t>
            </w:r>
          </w:p>
          <w:p w14:paraId="191EEDAD">
            <w:pPr>
              <w:spacing w:line="400" w:lineRule="exact"/>
              <w:jc w:val="left"/>
              <w:rPr>
                <w:rFonts w:eastAsia="宋体"/>
                <w:color w:val="auto"/>
                <w:highlight w:val="none"/>
              </w:rPr>
            </w:pPr>
            <w:r>
              <w:rPr>
                <w:rFonts w:hint="eastAsia" w:eastAsia="宋体"/>
                <w:color w:val="auto"/>
                <w:highlight w:val="none"/>
              </w:rPr>
              <w:t>（2）协审供应商或协审人员有下列情形之一的，采购人解除协审委托协议，征集人取消供应商框架协议的入围资格。</w:t>
            </w:r>
          </w:p>
          <w:p w14:paraId="3C0E1C44">
            <w:pPr>
              <w:spacing w:line="400" w:lineRule="exact"/>
              <w:jc w:val="left"/>
              <w:rPr>
                <w:rFonts w:eastAsia="宋体"/>
                <w:color w:val="auto"/>
                <w:highlight w:val="none"/>
              </w:rPr>
            </w:pPr>
            <w:r>
              <w:rPr>
                <w:rFonts w:hint="eastAsia" w:eastAsia="宋体"/>
                <w:color w:val="auto"/>
                <w:highlight w:val="none"/>
              </w:rPr>
              <w:t>①协审中介机构发生变更、注销，协审人员发生执业资格注销、暂停等情形时，未及时通知采购人的；</w:t>
            </w:r>
          </w:p>
          <w:p w14:paraId="57529A04">
            <w:pPr>
              <w:spacing w:line="400" w:lineRule="exact"/>
              <w:jc w:val="left"/>
              <w:rPr>
                <w:rFonts w:eastAsia="宋体"/>
                <w:color w:val="auto"/>
                <w:highlight w:val="none"/>
              </w:rPr>
            </w:pPr>
            <w:r>
              <w:rPr>
                <w:rFonts w:hint="eastAsia" w:eastAsia="宋体"/>
                <w:color w:val="auto"/>
                <w:highlight w:val="none"/>
              </w:rPr>
              <w:t>②擅自变更项目负责人，或在框架协议的服务期限内，累计2次被发现协审人员未正常履职的；</w:t>
            </w:r>
          </w:p>
          <w:p w14:paraId="235BECA0">
            <w:pPr>
              <w:spacing w:line="400" w:lineRule="exact"/>
              <w:jc w:val="left"/>
              <w:rPr>
                <w:rFonts w:eastAsia="宋体"/>
                <w:color w:val="auto"/>
                <w:highlight w:val="none"/>
              </w:rPr>
            </w:pPr>
            <w:r>
              <w:rPr>
                <w:rFonts w:hint="eastAsia" w:eastAsia="宋体"/>
                <w:color w:val="auto"/>
                <w:highlight w:val="none"/>
              </w:rPr>
              <w:t>③接通知后未按时领取协审资料且无故拖延2个工作日以上的；</w:t>
            </w:r>
          </w:p>
          <w:p w14:paraId="3CB45A6F">
            <w:pPr>
              <w:spacing w:line="400" w:lineRule="exact"/>
              <w:jc w:val="left"/>
              <w:rPr>
                <w:rFonts w:eastAsia="宋体"/>
                <w:color w:val="auto"/>
                <w:highlight w:val="none"/>
              </w:rPr>
            </w:pPr>
            <w:r>
              <w:rPr>
                <w:rFonts w:hint="eastAsia" w:eastAsia="宋体"/>
                <w:color w:val="auto"/>
                <w:highlight w:val="none"/>
              </w:rPr>
              <w:t>④接收协审资料后未按时反馈资料缺失情况且无故拖延5个工作日以上的；</w:t>
            </w:r>
          </w:p>
          <w:p w14:paraId="71C34772">
            <w:pPr>
              <w:spacing w:line="400" w:lineRule="exact"/>
              <w:jc w:val="left"/>
              <w:rPr>
                <w:rFonts w:eastAsia="宋体"/>
                <w:color w:val="auto"/>
                <w:highlight w:val="none"/>
              </w:rPr>
            </w:pPr>
            <w:r>
              <w:rPr>
                <w:rFonts w:hint="eastAsia" w:eastAsia="宋体"/>
                <w:color w:val="auto"/>
                <w:highlight w:val="none"/>
              </w:rPr>
              <w:t>⑤因协审供应商原因未按时完成协审任务且无故拖延4周以上的；</w:t>
            </w:r>
          </w:p>
          <w:p w14:paraId="74DB23A2">
            <w:pPr>
              <w:spacing w:line="400" w:lineRule="exact"/>
              <w:jc w:val="left"/>
              <w:rPr>
                <w:rFonts w:eastAsia="宋体"/>
                <w:color w:val="auto"/>
                <w:highlight w:val="none"/>
              </w:rPr>
            </w:pPr>
            <w:r>
              <w:rPr>
                <w:rFonts w:hint="eastAsia" w:eastAsia="宋体"/>
                <w:color w:val="auto"/>
                <w:highlight w:val="none"/>
              </w:rPr>
              <w:t>⑥出具正式结果后未按时报送整理完备的协审资料且无故拖延10个工作日以上的；</w:t>
            </w:r>
          </w:p>
          <w:p w14:paraId="0A17E4A0">
            <w:pPr>
              <w:spacing w:line="400" w:lineRule="exact"/>
              <w:jc w:val="left"/>
              <w:rPr>
                <w:rFonts w:eastAsia="宋体"/>
                <w:color w:val="auto"/>
                <w:highlight w:val="none"/>
              </w:rPr>
            </w:pPr>
            <w:r>
              <w:rPr>
                <w:rFonts w:hint="eastAsia" w:eastAsia="宋体"/>
                <w:color w:val="auto"/>
                <w:highlight w:val="none"/>
              </w:rPr>
              <w:t>⑦在项目协审过程中，协审资料未按规定从采购人处获取，直接向建设单位、施工单位索取的；</w:t>
            </w:r>
          </w:p>
          <w:p w14:paraId="13039459">
            <w:pPr>
              <w:spacing w:line="400" w:lineRule="exact"/>
              <w:jc w:val="left"/>
              <w:rPr>
                <w:rFonts w:eastAsia="宋体"/>
                <w:color w:val="auto"/>
                <w:highlight w:val="none"/>
              </w:rPr>
            </w:pPr>
            <w:r>
              <w:rPr>
                <w:rFonts w:hint="eastAsia" w:eastAsia="宋体"/>
                <w:color w:val="auto"/>
                <w:highlight w:val="none"/>
              </w:rPr>
              <w:t>⑧协审过程中，未经采购人的工作人员同意，擅自与建设单位、施工单位人员进行数据核对或交换意见的；</w:t>
            </w:r>
          </w:p>
          <w:p w14:paraId="56F859C0">
            <w:pPr>
              <w:spacing w:line="400" w:lineRule="exact"/>
              <w:jc w:val="left"/>
              <w:rPr>
                <w:rFonts w:eastAsia="宋体"/>
                <w:color w:val="auto"/>
                <w:highlight w:val="none"/>
              </w:rPr>
            </w:pPr>
            <w:r>
              <w:rPr>
                <w:rFonts w:hint="eastAsia" w:eastAsia="宋体"/>
                <w:color w:val="auto"/>
                <w:highlight w:val="none"/>
              </w:rPr>
              <w:t>⑨存在协审资料遗失情况的；</w:t>
            </w:r>
          </w:p>
          <w:p w14:paraId="7456F485">
            <w:pPr>
              <w:spacing w:line="400" w:lineRule="exact"/>
              <w:jc w:val="left"/>
              <w:rPr>
                <w:rFonts w:eastAsia="宋体"/>
                <w:color w:val="auto"/>
                <w:highlight w:val="none"/>
              </w:rPr>
            </w:pPr>
            <w:r>
              <w:rPr>
                <w:rFonts w:hint="eastAsia" w:eastAsia="宋体"/>
                <w:color w:val="auto"/>
                <w:highlight w:val="none"/>
              </w:rPr>
              <w:t>⑩在框架协议的服务期限内，累计2次不能做到协审事项积极主动与主审沟通、重要事项及时与主审联系会商、紧急项目加班加点、严格按照采购人要求开展相关工作、积极协商处理不一致意见等事项中任一项的；</w:t>
            </w:r>
          </w:p>
          <w:p w14:paraId="0B1E22C7">
            <w:pPr>
              <w:spacing w:line="400" w:lineRule="exact"/>
              <w:jc w:val="left"/>
              <w:rPr>
                <w:rFonts w:eastAsia="宋体"/>
                <w:color w:val="auto"/>
                <w:highlight w:val="none"/>
              </w:rPr>
            </w:pPr>
            <w:r>
              <w:rPr>
                <w:rFonts w:hint="eastAsia" w:eastAsia="宋体"/>
                <w:color w:val="auto"/>
                <w:highlight w:val="none"/>
              </w:rPr>
              <w:t>⑪其他不严格执行协审程序的情形。</w:t>
            </w:r>
          </w:p>
          <w:p w14:paraId="1EB22367">
            <w:pPr>
              <w:spacing w:line="400" w:lineRule="exact"/>
              <w:jc w:val="left"/>
              <w:rPr>
                <w:rFonts w:eastAsia="宋体"/>
                <w:color w:val="auto"/>
                <w:highlight w:val="none"/>
              </w:rPr>
            </w:pPr>
            <w:r>
              <w:rPr>
                <w:rFonts w:hint="eastAsia" w:eastAsia="宋体"/>
                <w:color w:val="auto"/>
                <w:highlight w:val="none"/>
              </w:rPr>
              <w:t>（3）协审供应商或协审人员有下列情形之一的，采购人解除协审委托协议，征集人取消供应商框架协议的入围资格，征集人3年内不再接受协审供应商参与就同一封闭式框架协议采购开展的征集活动。</w:t>
            </w:r>
          </w:p>
          <w:p w14:paraId="7DD87063">
            <w:pPr>
              <w:spacing w:line="400" w:lineRule="exact"/>
              <w:jc w:val="left"/>
              <w:rPr>
                <w:rFonts w:eastAsia="宋体"/>
                <w:color w:val="auto"/>
                <w:highlight w:val="none"/>
              </w:rPr>
            </w:pPr>
            <w:r>
              <w:rPr>
                <w:rFonts w:hint="eastAsia" w:eastAsia="宋体"/>
                <w:color w:val="auto"/>
                <w:highlight w:val="none"/>
              </w:rPr>
              <w:t>①遇有应当回避的情况时，未主动提出回避的；</w:t>
            </w:r>
          </w:p>
          <w:p w14:paraId="6B4D79AE">
            <w:pPr>
              <w:spacing w:line="400" w:lineRule="exact"/>
              <w:jc w:val="left"/>
              <w:rPr>
                <w:rFonts w:eastAsia="宋体"/>
                <w:color w:val="auto"/>
                <w:highlight w:val="none"/>
              </w:rPr>
            </w:pPr>
            <w:r>
              <w:rPr>
                <w:rFonts w:hint="eastAsia" w:eastAsia="宋体"/>
                <w:color w:val="auto"/>
                <w:highlight w:val="none"/>
              </w:rPr>
              <w:t>②拒绝接受采购人的指导和监督的；</w:t>
            </w:r>
          </w:p>
          <w:p w14:paraId="3F27D5C1">
            <w:pPr>
              <w:spacing w:line="400" w:lineRule="exact"/>
              <w:jc w:val="left"/>
              <w:rPr>
                <w:rFonts w:eastAsia="宋体"/>
                <w:color w:val="auto"/>
                <w:highlight w:val="none"/>
              </w:rPr>
            </w:pPr>
            <w:r>
              <w:rPr>
                <w:rFonts w:hint="eastAsia" w:eastAsia="宋体"/>
                <w:color w:val="auto"/>
                <w:highlight w:val="none"/>
              </w:rPr>
              <w:t>③隐瞒、变更协审发现的问题的；</w:t>
            </w:r>
          </w:p>
          <w:p w14:paraId="4E9015C8">
            <w:pPr>
              <w:spacing w:line="400" w:lineRule="exact"/>
              <w:jc w:val="left"/>
              <w:rPr>
                <w:rFonts w:eastAsia="宋体"/>
                <w:color w:val="auto"/>
                <w:highlight w:val="none"/>
              </w:rPr>
            </w:pPr>
            <w:r>
              <w:rPr>
                <w:rFonts w:hint="eastAsia" w:eastAsia="宋体"/>
                <w:color w:val="auto"/>
                <w:highlight w:val="none"/>
              </w:rPr>
              <w:t xml:space="preserve">④不遵守协审保密纪律，出现泄密事件的； </w:t>
            </w:r>
          </w:p>
          <w:p w14:paraId="171A99DB">
            <w:pPr>
              <w:spacing w:line="400" w:lineRule="exact"/>
              <w:jc w:val="left"/>
              <w:rPr>
                <w:rFonts w:eastAsia="宋体"/>
                <w:color w:val="auto"/>
                <w:highlight w:val="none"/>
              </w:rPr>
            </w:pPr>
            <w:r>
              <w:rPr>
                <w:rFonts w:hint="eastAsia" w:eastAsia="宋体"/>
                <w:color w:val="auto"/>
                <w:highlight w:val="none"/>
              </w:rPr>
              <w:t>⑤将采购人分派的协审任务转包或分包给其他单位或个人的；</w:t>
            </w:r>
          </w:p>
          <w:p w14:paraId="5ED9DCB4">
            <w:pPr>
              <w:spacing w:line="400" w:lineRule="exact"/>
              <w:jc w:val="left"/>
              <w:rPr>
                <w:rFonts w:eastAsia="宋体"/>
                <w:color w:val="auto"/>
                <w:highlight w:val="none"/>
              </w:rPr>
            </w:pPr>
            <w:r>
              <w:rPr>
                <w:rFonts w:hint="eastAsia" w:eastAsia="宋体"/>
                <w:color w:val="auto"/>
                <w:highlight w:val="none"/>
              </w:rPr>
              <w:t>⑥采取非正常手段处理不一致意见的；</w:t>
            </w:r>
          </w:p>
          <w:p w14:paraId="67DD95FE">
            <w:pPr>
              <w:spacing w:line="400" w:lineRule="exact"/>
              <w:jc w:val="left"/>
              <w:rPr>
                <w:rFonts w:eastAsia="宋体"/>
                <w:color w:val="auto"/>
                <w:highlight w:val="none"/>
              </w:rPr>
            </w:pPr>
            <w:r>
              <w:rPr>
                <w:rFonts w:hint="eastAsia" w:eastAsia="宋体"/>
                <w:color w:val="auto"/>
                <w:highlight w:val="none"/>
              </w:rPr>
              <w:t>⑦协审资料遗失情况严重的；</w:t>
            </w:r>
          </w:p>
          <w:p w14:paraId="38E68D03">
            <w:pPr>
              <w:spacing w:line="400" w:lineRule="exact"/>
              <w:jc w:val="left"/>
              <w:rPr>
                <w:rFonts w:eastAsia="宋体"/>
                <w:color w:val="auto"/>
                <w:highlight w:val="none"/>
              </w:rPr>
            </w:pPr>
            <w:r>
              <w:rPr>
                <w:rFonts w:hint="eastAsia" w:eastAsia="宋体"/>
                <w:color w:val="auto"/>
                <w:highlight w:val="none"/>
              </w:rPr>
              <w:t>⑧其他严重违反职业道德，或不履行协议规定义务的情形。</w:t>
            </w:r>
          </w:p>
          <w:p w14:paraId="6A0ECAEB">
            <w:pPr>
              <w:spacing w:line="400" w:lineRule="exact"/>
              <w:jc w:val="left"/>
              <w:rPr>
                <w:rFonts w:eastAsia="宋体"/>
                <w:color w:val="auto"/>
                <w:highlight w:val="none"/>
              </w:rPr>
            </w:pPr>
            <w:r>
              <w:rPr>
                <w:rFonts w:hint="eastAsia" w:eastAsia="宋体"/>
                <w:color w:val="auto"/>
                <w:highlight w:val="none"/>
              </w:rPr>
              <w:t>（4）协审供应商或协审人员违反相关法律法规，有下列情形之一的，征集人取消供应商框架协议的入围资格，且征集人3年内不再接受协审供应商参与就同一封闭式框架协议采购开展的征集活动，并提请相关行政主管部门依法对协审供应商和相关责任人予以处理、处罚；情节严重构成犯罪的，依法移交司法机关处理。</w:t>
            </w:r>
          </w:p>
          <w:p w14:paraId="46877D8B">
            <w:pPr>
              <w:spacing w:line="400" w:lineRule="exact"/>
              <w:jc w:val="left"/>
              <w:rPr>
                <w:rFonts w:eastAsia="宋体"/>
                <w:color w:val="auto"/>
                <w:highlight w:val="none"/>
              </w:rPr>
            </w:pPr>
            <w:r>
              <w:rPr>
                <w:rFonts w:hint="eastAsia" w:eastAsia="宋体"/>
                <w:color w:val="auto"/>
                <w:highlight w:val="none"/>
              </w:rPr>
              <w:t>①与相关单位串通舞弊的；</w:t>
            </w:r>
          </w:p>
          <w:p w14:paraId="47A8DB59">
            <w:pPr>
              <w:spacing w:line="400" w:lineRule="exact"/>
              <w:jc w:val="left"/>
              <w:rPr>
                <w:rFonts w:eastAsia="宋体"/>
                <w:color w:val="auto"/>
                <w:highlight w:val="none"/>
              </w:rPr>
            </w:pPr>
            <w:r>
              <w:rPr>
                <w:rFonts w:hint="eastAsia" w:eastAsia="宋体"/>
                <w:color w:val="auto"/>
                <w:highlight w:val="none"/>
              </w:rPr>
              <w:t>②利用受聘工作从相关单位获取不正当利益的；</w:t>
            </w:r>
          </w:p>
          <w:p w14:paraId="47EECCA7">
            <w:pPr>
              <w:spacing w:line="400" w:lineRule="exact"/>
              <w:jc w:val="left"/>
              <w:rPr>
                <w:rFonts w:eastAsia="宋体"/>
                <w:color w:val="auto"/>
                <w:highlight w:val="none"/>
              </w:rPr>
            </w:pPr>
            <w:r>
              <w:rPr>
                <w:rFonts w:hint="eastAsia" w:eastAsia="宋体"/>
                <w:color w:val="auto"/>
                <w:highlight w:val="none"/>
              </w:rPr>
              <w:t>③违背客观、公正和诚实信用原则出具工程造价咨询成果文件的；</w:t>
            </w:r>
          </w:p>
          <w:p w14:paraId="3D112C8C">
            <w:pPr>
              <w:spacing w:line="400" w:lineRule="exact"/>
              <w:jc w:val="left"/>
              <w:rPr>
                <w:rFonts w:eastAsia="宋体"/>
                <w:color w:val="auto"/>
                <w:highlight w:val="none"/>
              </w:rPr>
            </w:pPr>
            <w:r>
              <w:rPr>
                <w:rFonts w:hint="eastAsia" w:eastAsia="宋体"/>
                <w:color w:val="auto"/>
                <w:highlight w:val="none"/>
              </w:rPr>
              <w:t>④因协审质量问题给征集人、相关单位造成经济损失或诉讼的；</w:t>
            </w:r>
          </w:p>
          <w:p w14:paraId="7DA9C127">
            <w:pPr>
              <w:spacing w:line="400" w:lineRule="exact"/>
              <w:jc w:val="left"/>
              <w:rPr>
                <w:rFonts w:eastAsia="宋体"/>
                <w:color w:val="auto"/>
                <w:highlight w:val="none"/>
              </w:rPr>
            </w:pPr>
            <w:r>
              <w:rPr>
                <w:rFonts w:hint="eastAsia" w:eastAsia="宋体"/>
                <w:color w:val="auto"/>
                <w:highlight w:val="none"/>
              </w:rPr>
              <w:t>⑤其他滥用职权，徇私舞弊，玩忽职守的行为。</w:t>
            </w:r>
          </w:p>
        </w:tc>
        <w:tc>
          <w:tcPr>
            <w:tcW w:w="1488" w:type="dxa"/>
            <w:vAlign w:val="center"/>
          </w:tcPr>
          <w:p w14:paraId="4BDB68C5">
            <w:pPr>
              <w:spacing w:line="400" w:lineRule="exact"/>
              <w:jc w:val="center"/>
              <w:rPr>
                <w:rFonts w:eastAsia="宋体"/>
                <w:color w:val="auto"/>
                <w:highlight w:val="none"/>
              </w:rPr>
            </w:pPr>
          </w:p>
        </w:tc>
        <w:tc>
          <w:tcPr>
            <w:tcW w:w="886" w:type="dxa"/>
            <w:vAlign w:val="center"/>
          </w:tcPr>
          <w:p w14:paraId="37CDB795">
            <w:pPr>
              <w:spacing w:line="400" w:lineRule="exact"/>
              <w:jc w:val="left"/>
              <w:rPr>
                <w:rFonts w:eastAsia="宋体"/>
                <w:b/>
                <w:bCs/>
                <w:color w:val="auto"/>
                <w:highlight w:val="none"/>
              </w:rPr>
            </w:pPr>
          </w:p>
        </w:tc>
      </w:tr>
      <w:tr w14:paraId="2997A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663" w:type="dxa"/>
            <w:vAlign w:val="center"/>
          </w:tcPr>
          <w:p w14:paraId="42C6A30A">
            <w:pPr>
              <w:spacing w:line="400" w:lineRule="exact"/>
              <w:jc w:val="center"/>
              <w:rPr>
                <w:rFonts w:eastAsia="宋体"/>
                <w:b/>
                <w:bCs/>
                <w:color w:val="auto"/>
                <w:highlight w:val="none"/>
              </w:rPr>
            </w:pPr>
            <w:r>
              <w:rPr>
                <w:rFonts w:hint="eastAsia" w:eastAsia="宋体"/>
                <w:b/>
                <w:bCs/>
                <w:color w:val="auto"/>
                <w:highlight w:val="none"/>
              </w:rPr>
              <w:t>备注</w:t>
            </w:r>
          </w:p>
        </w:tc>
        <w:tc>
          <w:tcPr>
            <w:tcW w:w="9474" w:type="dxa"/>
            <w:gridSpan w:val="3"/>
            <w:vAlign w:val="center"/>
          </w:tcPr>
          <w:p w14:paraId="77AD10E9">
            <w:pPr>
              <w:spacing w:line="400" w:lineRule="exact"/>
              <w:jc w:val="left"/>
              <w:rPr>
                <w:rFonts w:eastAsia="宋体"/>
                <w:b/>
                <w:bCs/>
                <w:color w:val="auto"/>
                <w:highlight w:val="none"/>
              </w:rPr>
            </w:pPr>
            <w:r>
              <w:rPr>
                <w:rFonts w:hint="eastAsia" w:eastAsia="宋体"/>
                <w:b/>
                <w:bCs/>
                <w:color w:val="auto"/>
                <w:highlight w:val="none"/>
              </w:rPr>
              <w:t>该表不作为供应商提供响应项目服务的各项技术要求等的详细描述和说明的替代。</w:t>
            </w:r>
          </w:p>
        </w:tc>
      </w:tr>
    </w:tbl>
    <w:p w14:paraId="78FEEE57">
      <w:pPr>
        <w:spacing w:line="420" w:lineRule="exact"/>
        <w:ind w:firstLine="4536"/>
        <w:jc w:val="left"/>
        <w:rPr>
          <w:rFonts w:eastAsia="宋体" w:cs="宋体"/>
          <w:color w:val="auto"/>
          <w:highlight w:val="none"/>
        </w:rPr>
      </w:pPr>
      <w:r>
        <w:rPr>
          <w:rFonts w:hint="eastAsia" w:eastAsia="宋体" w:cs="宋体"/>
          <w:color w:val="auto"/>
          <w:highlight w:val="none"/>
        </w:rPr>
        <w:t>供应商全称（加盖CA电子公章）：</w:t>
      </w:r>
    </w:p>
    <w:p w14:paraId="16BF56BD">
      <w:pPr>
        <w:spacing w:line="420" w:lineRule="exact"/>
        <w:ind w:firstLine="5760"/>
        <w:jc w:val="left"/>
        <w:rPr>
          <w:rFonts w:eastAsia="宋体"/>
          <w:color w:val="auto"/>
          <w:highlight w:val="none"/>
        </w:rPr>
      </w:pPr>
      <w:r>
        <w:rPr>
          <w:rFonts w:hint="eastAsia" w:eastAsia="宋体" w:cs="宋体"/>
          <w:color w:val="auto"/>
          <w:highlight w:val="none"/>
        </w:rPr>
        <w:t>日  期：</w:t>
      </w:r>
    </w:p>
    <w:p w14:paraId="6B79276F">
      <w:pPr>
        <w:spacing w:line="420" w:lineRule="exact"/>
        <w:ind w:firstLine="566"/>
        <w:jc w:val="left"/>
        <w:outlineLvl w:val="3"/>
        <w:rPr>
          <w:rFonts w:eastAsia="宋体"/>
          <w:b/>
          <w:bCs/>
          <w:color w:val="auto"/>
          <w:highlight w:val="none"/>
        </w:rPr>
        <w:sectPr>
          <w:pgSz w:w="11906" w:h="16838"/>
          <w:pgMar w:top="851" w:right="851" w:bottom="851" w:left="1134" w:header="567" w:footer="454" w:gutter="0"/>
          <w:cols w:space="425" w:num="1"/>
          <w:docGrid w:linePitch="360" w:charSpace="0"/>
        </w:sectPr>
      </w:pPr>
    </w:p>
    <w:p w14:paraId="470B5DD2">
      <w:pPr>
        <w:spacing w:line="420" w:lineRule="exact"/>
        <w:ind w:firstLine="566"/>
        <w:jc w:val="left"/>
        <w:outlineLvl w:val="3"/>
        <w:rPr>
          <w:rFonts w:eastAsia="宋体"/>
          <w:b/>
          <w:bCs/>
          <w:color w:val="auto"/>
          <w:highlight w:val="none"/>
        </w:rPr>
      </w:pPr>
      <w:r>
        <w:rPr>
          <w:rFonts w:hint="eastAsia" w:eastAsia="宋体"/>
          <w:b/>
          <w:bCs/>
          <w:color w:val="auto"/>
          <w:highlight w:val="none"/>
        </w:rPr>
        <w:t>附件15：企业业绩一览表</w:t>
      </w:r>
    </w:p>
    <w:p w14:paraId="14B4E4B4">
      <w:pPr>
        <w:spacing w:before="240" w:after="240" w:line="420" w:lineRule="exact"/>
        <w:jc w:val="center"/>
        <w:rPr>
          <w:rFonts w:eastAsia="宋体" w:cs="宋体"/>
          <w:b/>
          <w:bCs/>
          <w:color w:val="auto"/>
          <w:sz w:val="28"/>
          <w:szCs w:val="28"/>
          <w:highlight w:val="none"/>
        </w:rPr>
      </w:pPr>
      <w:r>
        <w:rPr>
          <w:rFonts w:hint="eastAsia" w:eastAsia="宋体" w:cs="宋体"/>
          <w:b/>
          <w:bCs/>
          <w:color w:val="auto"/>
          <w:sz w:val="28"/>
          <w:szCs w:val="28"/>
          <w:highlight w:val="none"/>
        </w:rPr>
        <w:t>企业业绩一览表</w:t>
      </w:r>
    </w:p>
    <w:tbl>
      <w:tblPr>
        <w:tblStyle w:val="89"/>
        <w:tblW w:w="9776" w:type="dxa"/>
        <w:tblInd w:w="0" w:type="dxa"/>
        <w:tblLayout w:type="fixed"/>
        <w:tblCellMar>
          <w:top w:w="0" w:type="dxa"/>
          <w:left w:w="108" w:type="dxa"/>
          <w:bottom w:w="0" w:type="dxa"/>
          <w:right w:w="108" w:type="dxa"/>
        </w:tblCellMar>
      </w:tblPr>
      <w:tblGrid>
        <w:gridCol w:w="704"/>
        <w:gridCol w:w="1276"/>
        <w:gridCol w:w="1134"/>
        <w:gridCol w:w="1134"/>
        <w:gridCol w:w="2126"/>
        <w:gridCol w:w="2268"/>
        <w:gridCol w:w="1134"/>
      </w:tblGrid>
      <w:tr w14:paraId="6AD1B9D3">
        <w:tblPrEx>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vAlign w:val="center"/>
          </w:tcPr>
          <w:p w14:paraId="44AE3F9C">
            <w:pPr>
              <w:widowControl/>
              <w:spacing w:line="360" w:lineRule="exact"/>
              <w:jc w:val="center"/>
              <w:rPr>
                <w:rFonts w:eastAsia="宋体"/>
                <w:b/>
                <w:bCs/>
                <w:color w:val="auto"/>
                <w:sz w:val="22"/>
                <w:szCs w:val="22"/>
                <w:highlight w:val="none"/>
              </w:rPr>
            </w:pPr>
            <w:r>
              <w:rPr>
                <w:rFonts w:eastAsia="宋体"/>
                <w:b/>
                <w:bCs/>
                <w:color w:val="auto"/>
                <w:sz w:val="22"/>
                <w:szCs w:val="22"/>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14BCDBD4">
            <w:pPr>
              <w:widowControl/>
              <w:spacing w:line="360" w:lineRule="exact"/>
              <w:jc w:val="center"/>
              <w:rPr>
                <w:rFonts w:eastAsia="宋体"/>
                <w:b/>
                <w:bCs/>
                <w:color w:val="auto"/>
                <w:sz w:val="22"/>
                <w:szCs w:val="22"/>
                <w:highlight w:val="none"/>
              </w:rPr>
            </w:pPr>
            <w:r>
              <w:rPr>
                <w:rFonts w:eastAsia="宋体"/>
                <w:b/>
                <w:bCs/>
                <w:color w:val="auto"/>
                <w:sz w:val="22"/>
                <w:szCs w:val="22"/>
                <w:highlight w:val="none"/>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2694251A">
            <w:pPr>
              <w:widowControl/>
              <w:spacing w:line="360" w:lineRule="exact"/>
              <w:jc w:val="center"/>
              <w:rPr>
                <w:rFonts w:eastAsia="宋体"/>
                <w:b/>
                <w:bCs/>
                <w:color w:val="auto"/>
                <w:sz w:val="22"/>
                <w:szCs w:val="22"/>
                <w:highlight w:val="none"/>
              </w:rPr>
            </w:pPr>
            <w:r>
              <w:rPr>
                <w:rFonts w:eastAsia="宋体"/>
                <w:b/>
                <w:bCs/>
                <w:color w:val="auto"/>
                <w:sz w:val="22"/>
                <w:szCs w:val="22"/>
                <w:highlight w:val="none"/>
              </w:rPr>
              <w:t>委托单位</w:t>
            </w:r>
          </w:p>
        </w:tc>
        <w:tc>
          <w:tcPr>
            <w:tcW w:w="1134" w:type="dxa"/>
            <w:tcBorders>
              <w:top w:val="single" w:color="auto" w:sz="4" w:space="0"/>
              <w:left w:val="single" w:color="auto" w:sz="4" w:space="0"/>
              <w:bottom w:val="single" w:color="auto" w:sz="4" w:space="0"/>
              <w:right w:val="single" w:color="auto" w:sz="4" w:space="0"/>
            </w:tcBorders>
            <w:vAlign w:val="center"/>
          </w:tcPr>
          <w:p w14:paraId="6D1BD042">
            <w:pPr>
              <w:widowControl/>
              <w:spacing w:line="360" w:lineRule="exact"/>
              <w:jc w:val="center"/>
              <w:rPr>
                <w:rFonts w:eastAsia="宋体"/>
                <w:b/>
                <w:bCs/>
                <w:color w:val="auto"/>
                <w:sz w:val="22"/>
                <w:szCs w:val="22"/>
                <w:highlight w:val="none"/>
              </w:rPr>
            </w:pPr>
            <w:r>
              <w:rPr>
                <w:rFonts w:hint="eastAsia" w:eastAsia="宋体"/>
                <w:b/>
                <w:bCs/>
                <w:color w:val="auto"/>
                <w:sz w:val="22"/>
                <w:szCs w:val="22"/>
                <w:highlight w:val="none"/>
              </w:rPr>
              <w:t>专业类别</w:t>
            </w:r>
          </w:p>
        </w:tc>
        <w:tc>
          <w:tcPr>
            <w:tcW w:w="2126" w:type="dxa"/>
            <w:tcBorders>
              <w:top w:val="single" w:color="auto" w:sz="4" w:space="0"/>
              <w:left w:val="single" w:color="auto" w:sz="4" w:space="0"/>
              <w:bottom w:val="single" w:color="auto" w:sz="4" w:space="0"/>
              <w:right w:val="single" w:color="auto" w:sz="4" w:space="0"/>
            </w:tcBorders>
            <w:vAlign w:val="center"/>
          </w:tcPr>
          <w:p w14:paraId="207C2BAF">
            <w:pPr>
              <w:widowControl/>
              <w:jc w:val="center"/>
              <w:rPr>
                <w:rFonts w:eastAsia="宋体"/>
                <w:b/>
                <w:bCs/>
                <w:color w:val="auto"/>
                <w:sz w:val="22"/>
                <w:szCs w:val="22"/>
                <w:highlight w:val="none"/>
              </w:rPr>
            </w:pPr>
            <w:r>
              <w:rPr>
                <w:rFonts w:hint="eastAsia" w:eastAsia="宋体"/>
                <w:b/>
                <w:bCs/>
                <w:color w:val="auto"/>
                <w:sz w:val="22"/>
                <w:szCs w:val="22"/>
                <w:highlight w:val="none"/>
              </w:rPr>
              <w:t>评审</w:t>
            </w:r>
            <w:r>
              <w:rPr>
                <w:rFonts w:eastAsia="宋体"/>
                <w:b/>
                <w:bCs/>
                <w:color w:val="auto"/>
                <w:sz w:val="22"/>
                <w:szCs w:val="22"/>
                <w:highlight w:val="none"/>
              </w:rPr>
              <w:t>报告编号</w:t>
            </w:r>
          </w:p>
        </w:tc>
        <w:tc>
          <w:tcPr>
            <w:tcW w:w="2268" w:type="dxa"/>
            <w:tcBorders>
              <w:top w:val="single" w:color="auto" w:sz="4" w:space="0"/>
              <w:left w:val="single" w:color="auto" w:sz="4" w:space="0"/>
              <w:bottom w:val="single" w:color="auto" w:sz="4" w:space="0"/>
              <w:right w:val="single" w:color="auto" w:sz="4" w:space="0"/>
            </w:tcBorders>
            <w:vAlign w:val="center"/>
          </w:tcPr>
          <w:p w14:paraId="465E78CB">
            <w:pPr>
              <w:widowControl/>
              <w:spacing w:line="360" w:lineRule="exact"/>
              <w:jc w:val="center"/>
              <w:rPr>
                <w:rFonts w:eastAsia="宋体"/>
                <w:b/>
                <w:bCs/>
                <w:color w:val="auto"/>
                <w:sz w:val="22"/>
                <w:szCs w:val="22"/>
                <w:highlight w:val="none"/>
              </w:rPr>
            </w:pPr>
            <w:r>
              <w:rPr>
                <w:rFonts w:hint="eastAsia" w:eastAsia="宋体"/>
                <w:b/>
                <w:bCs/>
                <w:color w:val="auto"/>
                <w:sz w:val="22"/>
                <w:szCs w:val="22"/>
                <w:highlight w:val="none"/>
              </w:rPr>
              <w:t>评审</w:t>
            </w:r>
            <w:r>
              <w:rPr>
                <w:rFonts w:eastAsia="宋体"/>
                <w:b/>
                <w:bCs/>
                <w:color w:val="auto"/>
                <w:sz w:val="22"/>
                <w:szCs w:val="22"/>
                <w:highlight w:val="none"/>
              </w:rPr>
              <w:t>报告</w:t>
            </w:r>
            <w:r>
              <w:rPr>
                <w:rFonts w:hint="eastAsia" w:eastAsia="宋体"/>
                <w:b/>
                <w:bCs/>
                <w:color w:val="auto"/>
                <w:sz w:val="22"/>
                <w:szCs w:val="22"/>
                <w:highlight w:val="none"/>
              </w:rPr>
              <w:t>出具时间</w:t>
            </w:r>
          </w:p>
        </w:tc>
        <w:tc>
          <w:tcPr>
            <w:tcW w:w="1134" w:type="dxa"/>
            <w:tcBorders>
              <w:top w:val="single" w:color="auto" w:sz="4" w:space="0"/>
              <w:left w:val="single" w:color="auto" w:sz="4" w:space="0"/>
              <w:bottom w:val="single" w:color="auto" w:sz="4" w:space="0"/>
              <w:right w:val="single" w:color="auto" w:sz="4" w:space="0"/>
            </w:tcBorders>
            <w:vAlign w:val="center"/>
          </w:tcPr>
          <w:p w14:paraId="5F7D5D8C">
            <w:pPr>
              <w:widowControl/>
              <w:spacing w:line="360" w:lineRule="exact"/>
              <w:jc w:val="center"/>
              <w:rPr>
                <w:rFonts w:eastAsia="宋体"/>
                <w:b/>
                <w:bCs/>
                <w:color w:val="auto"/>
                <w:sz w:val="22"/>
                <w:szCs w:val="22"/>
                <w:highlight w:val="none"/>
              </w:rPr>
            </w:pPr>
            <w:r>
              <w:rPr>
                <w:rFonts w:eastAsia="宋体"/>
                <w:b/>
                <w:bCs/>
                <w:color w:val="auto"/>
                <w:sz w:val="22"/>
                <w:szCs w:val="22"/>
                <w:highlight w:val="none"/>
              </w:rPr>
              <w:t>备注</w:t>
            </w:r>
          </w:p>
        </w:tc>
      </w:tr>
      <w:tr w14:paraId="52EB2A33">
        <w:tblPrEx>
          <w:tblCellMar>
            <w:top w:w="0" w:type="dxa"/>
            <w:left w:w="108" w:type="dxa"/>
            <w:bottom w:w="0" w:type="dxa"/>
            <w:right w:w="108" w:type="dxa"/>
          </w:tblCellMar>
        </w:tblPrEx>
        <w:trPr>
          <w:trHeight w:val="568" w:hRule="atLeast"/>
        </w:trPr>
        <w:tc>
          <w:tcPr>
            <w:tcW w:w="704" w:type="dxa"/>
            <w:tcBorders>
              <w:top w:val="nil"/>
              <w:left w:val="single" w:color="auto" w:sz="4" w:space="0"/>
              <w:bottom w:val="single" w:color="auto" w:sz="4" w:space="0"/>
              <w:right w:val="single" w:color="auto" w:sz="4" w:space="0"/>
            </w:tcBorders>
            <w:vAlign w:val="center"/>
          </w:tcPr>
          <w:p w14:paraId="44DB55DF">
            <w:pPr>
              <w:widowControl/>
              <w:spacing w:line="360" w:lineRule="exact"/>
              <w:jc w:val="center"/>
              <w:rPr>
                <w:rFonts w:eastAsia="宋体"/>
                <w:color w:val="auto"/>
                <w:sz w:val="22"/>
                <w:szCs w:val="22"/>
                <w:highlight w:val="none"/>
              </w:rPr>
            </w:pPr>
            <w:r>
              <w:rPr>
                <w:rFonts w:eastAsia="宋体"/>
                <w:color w:val="auto"/>
                <w:sz w:val="22"/>
                <w:szCs w:val="22"/>
                <w:highlight w:val="none"/>
              </w:rPr>
              <w:t>1</w:t>
            </w:r>
          </w:p>
        </w:tc>
        <w:tc>
          <w:tcPr>
            <w:tcW w:w="1276" w:type="dxa"/>
            <w:tcBorders>
              <w:top w:val="single" w:color="auto" w:sz="4" w:space="0"/>
              <w:left w:val="nil"/>
              <w:bottom w:val="single" w:color="auto" w:sz="4" w:space="0"/>
              <w:right w:val="single" w:color="auto" w:sz="4" w:space="0"/>
            </w:tcBorders>
            <w:vAlign w:val="center"/>
          </w:tcPr>
          <w:p w14:paraId="45207B36">
            <w:pPr>
              <w:widowControl/>
              <w:spacing w:line="360" w:lineRule="exact"/>
              <w:jc w:val="center"/>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A6350DE">
            <w:pPr>
              <w:widowControl/>
              <w:spacing w:line="360" w:lineRule="exact"/>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15DE47">
            <w:pPr>
              <w:widowControl/>
              <w:spacing w:line="360" w:lineRule="exact"/>
              <w:rPr>
                <w:rFonts w:eastAsia="宋体"/>
                <w:color w:val="auto"/>
                <w:sz w:val="22"/>
                <w:szCs w:val="22"/>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3602B3E6">
            <w:pPr>
              <w:widowControl/>
              <w:spacing w:line="360" w:lineRule="exact"/>
              <w:rPr>
                <w:rFonts w:eastAsia="宋体"/>
                <w:color w:val="auto"/>
                <w:sz w:val="22"/>
                <w:szCs w:val="22"/>
                <w:highlight w:val="none"/>
              </w:rPr>
            </w:pPr>
          </w:p>
        </w:tc>
        <w:tc>
          <w:tcPr>
            <w:tcW w:w="2268" w:type="dxa"/>
            <w:tcBorders>
              <w:top w:val="nil"/>
              <w:left w:val="nil"/>
              <w:bottom w:val="single" w:color="auto" w:sz="4" w:space="0"/>
              <w:right w:val="single" w:color="auto" w:sz="4" w:space="0"/>
            </w:tcBorders>
            <w:vAlign w:val="center"/>
          </w:tcPr>
          <w:p w14:paraId="792A3681">
            <w:pPr>
              <w:widowControl/>
              <w:spacing w:line="360" w:lineRule="exact"/>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82C1B2">
            <w:pPr>
              <w:widowControl/>
              <w:spacing w:line="360" w:lineRule="exact"/>
              <w:rPr>
                <w:rFonts w:eastAsia="宋体"/>
                <w:color w:val="auto"/>
                <w:sz w:val="22"/>
                <w:szCs w:val="22"/>
                <w:highlight w:val="none"/>
              </w:rPr>
            </w:pPr>
          </w:p>
        </w:tc>
      </w:tr>
      <w:tr w14:paraId="706894CD">
        <w:tblPrEx>
          <w:tblCellMar>
            <w:top w:w="0" w:type="dxa"/>
            <w:left w:w="108" w:type="dxa"/>
            <w:bottom w:w="0" w:type="dxa"/>
            <w:right w:w="108" w:type="dxa"/>
          </w:tblCellMar>
        </w:tblPrEx>
        <w:trPr>
          <w:trHeight w:val="568" w:hRule="atLeast"/>
        </w:trPr>
        <w:tc>
          <w:tcPr>
            <w:tcW w:w="704" w:type="dxa"/>
            <w:tcBorders>
              <w:top w:val="nil"/>
              <w:left w:val="single" w:color="auto" w:sz="4" w:space="0"/>
              <w:bottom w:val="single" w:color="auto" w:sz="4" w:space="0"/>
              <w:right w:val="single" w:color="auto" w:sz="4" w:space="0"/>
            </w:tcBorders>
            <w:vAlign w:val="center"/>
          </w:tcPr>
          <w:p w14:paraId="266539A1">
            <w:pPr>
              <w:widowControl/>
              <w:spacing w:line="360" w:lineRule="exact"/>
              <w:jc w:val="center"/>
              <w:rPr>
                <w:rFonts w:eastAsia="宋体"/>
                <w:color w:val="auto"/>
                <w:sz w:val="22"/>
                <w:szCs w:val="22"/>
                <w:highlight w:val="none"/>
              </w:rPr>
            </w:pPr>
            <w:r>
              <w:rPr>
                <w:rFonts w:eastAsia="宋体"/>
                <w:color w:val="auto"/>
                <w:sz w:val="22"/>
                <w:szCs w:val="22"/>
                <w:highlight w:val="none"/>
              </w:rPr>
              <w:t>2</w:t>
            </w:r>
          </w:p>
        </w:tc>
        <w:tc>
          <w:tcPr>
            <w:tcW w:w="1276" w:type="dxa"/>
            <w:tcBorders>
              <w:top w:val="single" w:color="auto" w:sz="4" w:space="0"/>
              <w:left w:val="nil"/>
              <w:bottom w:val="single" w:color="auto" w:sz="4" w:space="0"/>
              <w:right w:val="single" w:color="auto" w:sz="4" w:space="0"/>
            </w:tcBorders>
            <w:vAlign w:val="center"/>
          </w:tcPr>
          <w:p w14:paraId="24D2F798">
            <w:pPr>
              <w:widowControl/>
              <w:spacing w:line="360" w:lineRule="exact"/>
              <w:jc w:val="center"/>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A0B5C9">
            <w:pPr>
              <w:widowControl/>
              <w:spacing w:line="360" w:lineRule="exact"/>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BE446B">
            <w:pPr>
              <w:widowControl/>
              <w:spacing w:line="360" w:lineRule="exact"/>
              <w:rPr>
                <w:rFonts w:eastAsia="宋体"/>
                <w:color w:val="auto"/>
                <w:sz w:val="22"/>
                <w:szCs w:val="22"/>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519A8416">
            <w:pPr>
              <w:widowControl/>
              <w:spacing w:line="360" w:lineRule="exact"/>
              <w:rPr>
                <w:rFonts w:eastAsia="宋体"/>
                <w:color w:val="auto"/>
                <w:sz w:val="22"/>
                <w:szCs w:val="22"/>
                <w:highlight w:val="none"/>
              </w:rPr>
            </w:pPr>
          </w:p>
        </w:tc>
        <w:tc>
          <w:tcPr>
            <w:tcW w:w="2268" w:type="dxa"/>
            <w:tcBorders>
              <w:top w:val="nil"/>
              <w:left w:val="nil"/>
              <w:bottom w:val="single" w:color="auto" w:sz="4" w:space="0"/>
              <w:right w:val="single" w:color="auto" w:sz="4" w:space="0"/>
            </w:tcBorders>
            <w:vAlign w:val="center"/>
          </w:tcPr>
          <w:p w14:paraId="7A7D52B0">
            <w:pPr>
              <w:widowControl/>
              <w:spacing w:line="360" w:lineRule="exact"/>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6120A9">
            <w:pPr>
              <w:widowControl/>
              <w:spacing w:line="360" w:lineRule="exact"/>
              <w:rPr>
                <w:rFonts w:eastAsia="宋体"/>
                <w:color w:val="auto"/>
                <w:sz w:val="22"/>
                <w:szCs w:val="22"/>
                <w:highlight w:val="none"/>
              </w:rPr>
            </w:pPr>
          </w:p>
        </w:tc>
      </w:tr>
      <w:tr w14:paraId="6FACB895">
        <w:tblPrEx>
          <w:tblCellMar>
            <w:top w:w="0" w:type="dxa"/>
            <w:left w:w="108" w:type="dxa"/>
            <w:bottom w:w="0" w:type="dxa"/>
            <w:right w:w="108" w:type="dxa"/>
          </w:tblCellMar>
        </w:tblPrEx>
        <w:trPr>
          <w:trHeight w:val="568" w:hRule="atLeast"/>
        </w:trPr>
        <w:tc>
          <w:tcPr>
            <w:tcW w:w="704" w:type="dxa"/>
            <w:tcBorders>
              <w:top w:val="nil"/>
              <w:left w:val="single" w:color="auto" w:sz="4" w:space="0"/>
              <w:bottom w:val="single" w:color="auto" w:sz="4" w:space="0"/>
              <w:right w:val="single" w:color="auto" w:sz="4" w:space="0"/>
            </w:tcBorders>
            <w:vAlign w:val="center"/>
          </w:tcPr>
          <w:p w14:paraId="67C0530C">
            <w:pPr>
              <w:widowControl/>
              <w:spacing w:line="360" w:lineRule="exact"/>
              <w:jc w:val="center"/>
              <w:rPr>
                <w:rFonts w:eastAsia="宋体"/>
                <w:color w:val="auto"/>
                <w:sz w:val="22"/>
                <w:szCs w:val="22"/>
                <w:highlight w:val="none"/>
              </w:rPr>
            </w:pPr>
            <w:r>
              <w:rPr>
                <w:rFonts w:eastAsia="宋体"/>
                <w:color w:val="auto"/>
                <w:sz w:val="22"/>
                <w:szCs w:val="22"/>
                <w:highlight w:val="none"/>
              </w:rPr>
              <w:t>3</w:t>
            </w:r>
          </w:p>
        </w:tc>
        <w:tc>
          <w:tcPr>
            <w:tcW w:w="1276" w:type="dxa"/>
            <w:tcBorders>
              <w:top w:val="single" w:color="auto" w:sz="4" w:space="0"/>
              <w:left w:val="nil"/>
              <w:bottom w:val="single" w:color="auto" w:sz="4" w:space="0"/>
              <w:right w:val="single" w:color="auto" w:sz="4" w:space="0"/>
            </w:tcBorders>
            <w:vAlign w:val="center"/>
          </w:tcPr>
          <w:p w14:paraId="5DC5BEDF">
            <w:pPr>
              <w:widowControl/>
              <w:spacing w:line="360" w:lineRule="exact"/>
              <w:jc w:val="center"/>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46DFBE4">
            <w:pPr>
              <w:widowControl/>
              <w:spacing w:line="360" w:lineRule="exact"/>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EE6AE21">
            <w:pPr>
              <w:widowControl/>
              <w:spacing w:line="360" w:lineRule="exact"/>
              <w:rPr>
                <w:rFonts w:eastAsia="宋体"/>
                <w:color w:val="auto"/>
                <w:sz w:val="22"/>
                <w:szCs w:val="22"/>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677B2CB9">
            <w:pPr>
              <w:widowControl/>
              <w:spacing w:line="360" w:lineRule="exact"/>
              <w:rPr>
                <w:rFonts w:eastAsia="宋体"/>
                <w:color w:val="auto"/>
                <w:sz w:val="22"/>
                <w:szCs w:val="22"/>
                <w:highlight w:val="none"/>
              </w:rPr>
            </w:pPr>
          </w:p>
        </w:tc>
        <w:tc>
          <w:tcPr>
            <w:tcW w:w="2268" w:type="dxa"/>
            <w:tcBorders>
              <w:top w:val="nil"/>
              <w:left w:val="nil"/>
              <w:bottom w:val="single" w:color="auto" w:sz="4" w:space="0"/>
              <w:right w:val="single" w:color="auto" w:sz="4" w:space="0"/>
            </w:tcBorders>
            <w:vAlign w:val="center"/>
          </w:tcPr>
          <w:p w14:paraId="1D89A437">
            <w:pPr>
              <w:widowControl/>
              <w:spacing w:line="360" w:lineRule="exact"/>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7A483A">
            <w:pPr>
              <w:widowControl/>
              <w:spacing w:line="360" w:lineRule="exact"/>
              <w:rPr>
                <w:rFonts w:eastAsia="宋体"/>
                <w:color w:val="auto"/>
                <w:sz w:val="22"/>
                <w:szCs w:val="22"/>
                <w:highlight w:val="none"/>
              </w:rPr>
            </w:pPr>
          </w:p>
        </w:tc>
      </w:tr>
      <w:tr w14:paraId="55969B3D">
        <w:tblPrEx>
          <w:tblCellMar>
            <w:top w:w="0" w:type="dxa"/>
            <w:left w:w="108" w:type="dxa"/>
            <w:bottom w:w="0" w:type="dxa"/>
            <w:right w:w="108" w:type="dxa"/>
          </w:tblCellMar>
        </w:tblPrEx>
        <w:trPr>
          <w:trHeight w:val="568" w:hRule="atLeast"/>
        </w:trPr>
        <w:tc>
          <w:tcPr>
            <w:tcW w:w="704" w:type="dxa"/>
            <w:tcBorders>
              <w:top w:val="nil"/>
              <w:left w:val="single" w:color="auto" w:sz="4" w:space="0"/>
              <w:bottom w:val="single" w:color="auto" w:sz="4" w:space="0"/>
              <w:right w:val="single" w:color="auto" w:sz="4" w:space="0"/>
            </w:tcBorders>
            <w:vAlign w:val="center"/>
          </w:tcPr>
          <w:p w14:paraId="3981CC08">
            <w:pPr>
              <w:widowControl/>
              <w:spacing w:line="360" w:lineRule="exact"/>
              <w:jc w:val="center"/>
              <w:rPr>
                <w:rFonts w:eastAsia="宋体"/>
                <w:color w:val="auto"/>
                <w:sz w:val="22"/>
                <w:szCs w:val="22"/>
                <w:highlight w:val="none"/>
              </w:rPr>
            </w:pPr>
            <w:r>
              <w:rPr>
                <w:rFonts w:eastAsia="宋体"/>
                <w:color w:val="auto"/>
                <w:sz w:val="22"/>
                <w:szCs w:val="22"/>
                <w:highlight w:val="none"/>
              </w:rPr>
              <w:t>4</w:t>
            </w:r>
          </w:p>
        </w:tc>
        <w:tc>
          <w:tcPr>
            <w:tcW w:w="1276" w:type="dxa"/>
            <w:tcBorders>
              <w:top w:val="single" w:color="auto" w:sz="4" w:space="0"/>
              <w:left w:val="nil"/>
              <w:bottom w:val="single" w:color="auto" w:sz="4" w:space="0"/>
              <w:right w:val="single" w:color="auto" w:sz="4" w:space="0"/>
            </w:tcBorders>
            <w:vAlign w:val="center"/>
          </w:tcPr>
          <w:p w14:paraId="316D34D7">
            <w:pPr>
              <w:widowControl/>
              <w:spacing w:line="360" w:lineRule="exact"/>
              <w:jc w:val="center"/>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3D3CA23">
            <w:pPr>
              <w:widowControl/>
              <w:spacing w:line="360" w:lineRule="exact"/>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285D80">
            <w:pPr>
              <w:widowControl/>
              <w:spacing w:line="360" w:lineRule="exact"/>
              <w:rPr>
                <w:rFonts w:eastAsia="宋体"/>
                <w:color w:val="auto"/>
                <w:sz w:val="22"/>
                <w:szCs w:val="22"/>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268EB282">
            <w:pPr>
              <w:widowControl/>
              <w:spacing w:line="360" w:lineRule="exact"/>
              <w:rPr>
                <w:rFonts w:eastAsia="宋体"/>
                <w:color w:val="auto"/>
                <w:sz w:val="22"/>
                <w:szCs w:val="22"/>
                <w:highlight w:val="none"/>
              </w:rPr>
            </w:pPr>
          </w:p>
        </w:tc>
        <w:tc>
          <w:tcPr>
            <w:tcW w:w="2268" w:type="dxa"/>
            <w:tcBorders>
              <w:top w:val="nil"/>
              <w:left w:val="nil"/>
              <w:bottom w:val="single" w:color="auto" w:sz="4" w:space="0"/>
              <w:right w:val="single" w:color="auto" w:sz="4" w:space="0"/>
            </w:tcBorders>
            <w:vAlign w:val="center"/>
          </w:tcPr>
          <w:p w14:paraId="129367E7">
            <w:pPr>
              <w:widowControl/>
              <w:spacing w:line="360" w:lineRule="exact"/>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FCBA7B9">
            <w:pPr>
              <w:widowControl/>
              <w:spacing w:line="360" w:lineRule="exact"/>
              <w:rPr>
                <w:rFonts w:eastAsia="宋体"/>
                <w:color w:val="auto"/>
                <w:sz w:val="22"/>
                <w:szCs w:val="22"/>
                <w:highlight w:val="none"/>
              </w:rPr>
            </w:pPr>
          </w:p>
        </w:tc>
      </w:tr>
      <w:tr w14:paraId="0E1A5CE0">
        <w:tblPrEx>
          <w:tblCellMar>
            <w:top w:w="0" w:type="dxa"/>
            <w:left w:w="108" w:type="dxa"/>
            <w:bottom w:w="0" w:type="dxa"/>
            <w:right w:w="108" w:type="dxa"/>
          </w:tblCellMar>
        </w:tblPrEx>
        <w:trPr>
          <w:trHeight w:val="568" w:hRule="atLeast"/>
        </w:trPr>
        <w:tc>
          <w:tcPr>
            <w:tcW w:w="704" w:type="dxa"/>
            <w:tcBorders>
              <w:top w:val="nil"/>
              <w:left w:val="single" w:color="auto" w:sz="4" w:space="0"/>
              <w:bottom w:val="single" w:color="auto" w:sz="4" w:space="0"/>
              <w:right w:val="single" w:color="auto" w:sz="4" w:space="0"/>
            </w:tcBorders>
            <w:vAlign w:val="center"/>
          </w:tcPr>
          <w:p w14:paraId="56F7DA9A">
            <w:pPr>
              <w:widowControl/>
              <w:spacing w:line="360" w:lineRule="exact"/>
              <w:jc w:val="center"/>
              <w:rPr>
                <w:rFonts w:eastAsia="宋体"/>
                <w:color w:val="auto"/>
                <w:sz w:val="22"/>
                <w:szCs w:val="22"/>
                <w:highlight w:val="none"/>
              </w:rPr>
            </w:pPr>
            <w:r>
              <w:rPr>
                <w:rFonts w:eastAsia="宋体"/>
                <w:color w:val="auto"/>
                <w:sz w:val="22"/>
                <w:szCs w:val="22"/>
                <w:highlight w:val="none"/>
              </w:rPr>
              <w:t>…</w:t>
            </w:r>
          </w:p>
        </w:tc>
        <w:tc>
          <w:tcPr>
            <w:tcW w:w="1276" w:type="dxa"/>
            <w:tcBorders>
              <w:top w:val="single" w:color="auto" w:sz="4" w:space="0"/>
              <w:left w:val="nil"/>
              <w:bottom w:val="single" w:color="auto" w:sz="4" w:space="0"/>
              <w:right w:val="single" w:color="auto" w:sz="4" w:space="0"/>
            </w:tcBorders>
            <w:vAlign w:val="center"/>
          </w:tcPr>
          <w:p w14:paraId="1B26041B">
            <w:pPr>
              <w:widowControl/>
              <w:spacing w:line="360" w:lineRule="exact"/>
              <w:jc w:val="center"/>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C14754">
            <w:pPr>
              <w:widowControl/>
              <w:spacing w:line="360" w:lineRule="exact"/>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D8BD50">
            <w:pPr>
              <w:widowControl/>
              <w:spacing w:line="360" w:lineRule="exact"/>
              <w:rPr>
                <w:rFonts w:eastAsia="宋体"/>
                <w:color w:val="auto"/>
                <w:sz w:val="22"/>
                <w:szCs w:val="22"/>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22ABBADA">
            <w:pPr>
              <w:widowControl/>
              <w:spacing w:line="360" w:lineRule="exact"/>
              <w:rPr>
                <w:rFonts w:eastAsia="宋体"/>
                <w:color w:val="auto"/>
                <w:sz w:val="22"/>
                <w:szCs w:val="22"/>
                <w:highlight w:val="none"/>
              </w:rPr>
            </w:pPr>
          </w:p>
        </w:tc>
        <w:tc>
          <w:tcPr>
            <w:tcW w:w="2268" w:type="dxa"/>
            <w:tcBorders>
              <w:top w:val="nil"/>
              <w:left w:val="nil"/>
              <w:bottom w:val="single" w:color="auto" w:sz="4" w:space="0"/>
              <w:right w:val="single" w:color="auto" w:sz="4" w:space="0"/>
            </w:tcBorders>
            <w:vAlign w:val="center"/>
          </w:tcPr>
          <w:p w14:paraId="18B5AA18">
            <w:pPr>
              <w:widowControl/>
              <w:spacing w:line="360" w:lineRule="exact"/>
              <w:rPr>
                <w:rFonts w:eastAsia="宋体"/>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26D5CDD">
            <w:pPr>
              <w:widowControl/>
              <w:spacing w:line="360" w:lineRule="exact"/>
              <w:rPr>
                <w:rFonts w:eastAsia="宋体"/>
                <w:color w:val="auto"/>
                <w:sz w:val="22"/>
                <w:szCs w:val="22"/>
                <w:highlight w:val="none"/>
              </w:rPr>
            </w:pPr>
          </w:p>
        </w:tc>
      </w:tr>
    </w:tbl>
    <w:p w14:paraId="12D11AB7">
      <w:pPr>
        <w:spacing w:line="420" w:lineRule="exact"/>
        <w:ind w:firstLine="567"/>
        <w:jc w:val="left"/>
        <w:rPr>
          <w:rFonts w:eastAsia="宋体" w:cs="宋体"/>
          <w:color w:val="auto"/>
          <w:highlight w:val="none"/>
        </w:rPr>
      </w:pPr>
    </w:p>
    <w:p w14:paraId="26A90E6C">
      <w:pPr>
        <w:spacing w:line="420" w:lineRule="exact"/>
        <w:ind w:firstLine="567"/>
        <w:jc w:val="left"/>
        <w:rPr>
          <w:rFonts w:eastAsia="宋体" w:cs="宋体"/>
          <w:bCs/>
          <w:color w:val="auto"/>
          <w:highlight w:val="none"/>
        </w:rPr>
      </w:pPr>
      <w:r>
        <w:rPr>
          <w:rFonts w:hint="eastAsia" w:eastAsia="宋体" w:cs="宋体"/>
          <w:bCs/>
          <w:color w:val="auto"/>
          <w:highlight w:val="none"/>
        </w:rPr>
        <w:t>注：</w:t>
      </w:r>
    </w:p>
    <w:p w14:paraId="5B271D2D">
      <w:pPr>
        <w:spacing w:line="420" w:lineRule="exact"/>
        <w:ind w:firstLine="567"/>
        <w:jc w:val="left"/>
        <w:rPr>
          <w:rFonts w:eastAsia="宋体" w:cs="宋体"/>
          <w:color w:val="auto"/>
          <w:highlight w:val="none"/>
        </w:rPr>
      </w:pPr>
      <w:r>
        <w:rPr>
          <w:rFonts w:hint="eastAsia" w:eastAsia="宋体" w:cs="宋体"/>
          <w:color w:val="auto"/>
          <w:highlight w:val="none"/>
        </w:rPr>
        <w:t>1.业绩必须为</w:t>
      </w:r>
      <w:r>
        <w:rPr>
          <w:rFonts w:hint="eastAsia" w:ascii="宋体" w:hAnsi="宋体" w:eastAsia="宋体" w:cs="宋体"/>
          <w:bCs/>
          <w:color w:val="auto"/>
          <w:highlight w:val="none"/>
          <w:lang w:bidi="ar"/>
        </w:rPr>
        <w:t>供应商自</w:t>
      </w:r>
      <w:r>
        <w:rPr>
          <w:rFonts w:eastAsia="宋体"/>
          <w:bCs/>
          <w:color w:val="auto"/>
          <w:highlight w:val="none"/>
          <w:lang w:bidi="ar"/>
        </w:rPr>
        <w:t>202</w:t>
      </w:r>
      <w:r>
        <w:rPr>
          <w:rFonts w:hint="eastAsia" w:eastAsia="宋体"/>
          <w:bCs/>
          <w:color w:val="auto"/>
          <w:highlight w:val="none"/>
          <w:lang w:bidi="ar"/>
        </w:rPr>
        <w:t>2</w:t>
      </w:r>
      <w:r>
        <w:rPr>
          <w:rFonts w:hint="eastAsia" w:ascii="宋体" w:hAnsi="宋体" w:eastAsia="宋体" w:cs="宋体"/>
          <w:bCs/>
          <w:color w:val="auto"/>
          <w:highlight w:val="none"/>
          <w:lang w:bidi="ar"/>
        </w:rPr>
        <w:t>年</w:t>
      </w:r>
      <w:r>
        <w:rPr>
          <w:rFonts w:eastAsia="宋体"/>
          <w:bCs/>
          <w:color w:val="auto"/>
          <w:highlight w:val="none"/>
          <w:lang w:bidi="ar"/>
        </w:rPr>
        <w:t>1</w:t>
      </w:r>
      <w:r>
        <w:rPr>
          <w:rFonts w:hint="eastAsia" w:ascii="宋体" w:hAnsi="宋体" w:eastAsia="宋体" w:cs="宋体"/>
          <w:bCs/>
          <w:color w:val="auto"/>
          <w:highlight w:val="none"/>
          <w:lang w:bidi="ar"/>
        </w:rPr>
        <w:t>月</w:t>
      </w:r>
      <w:r>
        <w:rPr>
          <w:rFonts w:eastAsia="宋体"/>
          <w:bCs/>
          <w:color w:val="auto"/>
          <w:highlight w:val="none"/>
          <w:lang w:bidi="ar"/>
        </w:rPr>
        <w:t>1</w:t>
      </w:r>
      <w:r>
        <w:rPr>
          <w:rFonts w:hint="eastAsia" w:ascii="宋体" w:hAnsi="宋体" w:eastAsia="宋体" w:cs="宋体"/>
          <w:bCs/>
          <w:color w:val="auto"/>
          <w:highlight w:val="none"/>
          <w:lang w:bidi="ar"/>
        </w:rPr>
        <w:t>日以来（以评审报告出具时间为准），分别具有“土木建筑工程、安装工程、公路、水利工程、市政、绿化”这六类中的审核业务业绩，专业类别以审核报告中体现为准</w:t>
      </w:r>
      <w:r>
        <w:rPr>
          <w:rFonts w:hint="eastAsia" w:eastAsia="宋体" w:cs="宋体"/>
          <w:color w:val="auto"/>
          <w:highlight w:val="none"/>
        </w:rPr>
        <w:t>。</w:t>
      </w:r>
    </w:p>
    <w:p w14:paraId="7EE69623">
      <w:pPr>
        <w:spacing w:line="420" w:lineRule="exact"/>
        <w:ind w:firstLine="567"/>
        <w:jc w:val="left"/>
        <w:rPr>
          <w:rFonts w:eastAsia="宋体" w:cs="宋体"/>
          <w:color w:val="auto"/>
          <w:highlight w:val="none"/>
        </w:rPr>
      </w:pPr>
      <w:r>
        <w:rPr>
          <w:rFonts w:hint="eastAsia" w:eastAsia="宋体" w:cs="宋体"/>
          <w:color w:val="auto"/>
          <w:highlight w:val="none"/>
        </w:rPr>
        <w:t>2.每类业务提供：</w:t>
      </w:r>
    </w:p>
    <w:p w14:paraId="4A2211B6">
      <w:pPr>
        <w:widowControl/>
        <w:spacing w:line="420" w:lineRule="exact"/>
        <w:ind w:firstLine="480" w:firstLineChars="200"/>
        <w:rPr>
          <w:rFonts w:ascii="宋体" w:hAnsi="宋体" w:eastAsia="宋体" w:cs="宋体"/>
          <w:bCs/>
          <w:color w:val="auto"/>
          <w:highlight w:val="none"/>
          <w:lang w:bidi="ar"/>
        </w:rPr>
      </w:pPr>
      <w:r>
        <w:rPr>
          <w:rFonts w:ascii="Cambria Math" w:hAnsi="Cambria Math" w:eastAsia="Cambria Math" w:cs="Cambria Math"/>
          <w:bCs/>
          <w:color w:val="auto"/>
          <w:highlight w:val="none"/>
          <w:lang w:bidi="ar"/>
        </w:rPr>
        <w:t>①</w:t>
      </w:r>
      <w:r>
        <w:rPr>
          <w:rFonts w:hint="eastAsia" w:ascii="宋体" w:hAnsi="宋体" w:eastAsia="宋体" w:cs="宋体"/>
          <w:bCs/>
          <w:color w:val="auto"/>
          <w:highlight w:val="none"/>
          <w:lang w:bidi="ar"/>
        </w:rPr>
        <w:t>成交（中标）公告截图或成交（中标）通知书。</w:t>
      </w:r>
    </w:p>
    <w:p w14:paraId="180E50EE">
      <w:pPr>
        <w:widowControl/>
        <w:spacing w:line="420" w:lineRule="exact"/>
        <w:ind w:firstLine="480" w:firstLineChars="200"/>
        <w:rPr>
          <w:rFonts w:hint="eastAsia" w:ascii="Cambria Math" w:hAnsi="Cambria Math" w:eastAsia="宋体" w:cs="Cambria Math"/>
          <w:bCs/>
          <w:color w:val="auto"/>
          <w:highlight w:val="none"/>
        </w:rPr>
      </w:pPr>
      <w:r>
        <w:rPr>
          <w:rFonts w:ascii="Cambria Math" w:hAnsi="Cambria Math" w:eastAsia="Cambria Math" w:cs="Cambria Math"/>
          <w:bCs/>
          <w:color w:val="auto"/>
          <w:highlight w:val="none"/>
          <w:lang w:bidi="ar"/>
        </w:rPr>
        <w:t>②</w:t>
      </w:r>
      <w:r>
        <w:rPr>
          <w:rFonts w:hint="eastAsia" w:ascii="宋体" w:hAnsi="宋体" w:eastAsia="宋体" w:cs="宋体"/>
          <w:bCs/>
          <w:color w:val="auto"/>
          <w:highlight w:val="none"/>
          <w:lang w:bidi="ar"/>
        </w:rPr>
        <w:t>相关委托服务合同；</w:t>
      </w:r>
    </w:p>
    <w:p w14:paraId="78437DD2">
      <w:pPr>
        <w:widowControl/>
        <w:spacing w:line="420" w:lineRule="exact"/>
        <w:ind w:firstLine="480" w:firstLineChars="200"/>
        <w:rPr>
          <w:rFonts w:hint="eastAsia" w:ascii="Cambria Math" w:hAnsi="Cambria Math" w:eastAsia="宋体" w:cs="Cambria Math"/>
          <w:bCs/>
          <w:color w:val="auto"/>
          <w:highlight w:val="none"/>
        </w:rPr>
      </w:pPr>
      <w:r>
        <w:rPr>
          <w:rFonts w:hint="eastAsia" w:ascii="宋体" w:hAnsi="宋体" w:eastAsia="宋体" w:cs="宋体"/>
          <w:bCs/>
          <w:color w:val="auto"/>
          <w:highlight w:val="none"/>
          <w:lang w:bidi="ar"/>
        </w:rPr>
        <w:t>③评审</w:t>
      </w:r>
      <w:r>
        <w:rPr>
          <w:rFonts w:hint="eastAsia" w:ascii="宋体" w:hAnsi="宋体" w:eastAsia="宋体" w:cs="宋体"/>
          <w:bCs/>
          <w:color w:val="auto"/>
          <w:highlight w:val="none"/>
          <w:lang w:val="en-US" w:eastAsia="zh-CN" w:bidi="ar"/>
        </w:rPr>
        <w:t>或审计</w:t>
      </w:r>
      <w:r>
        <w:rPr>
          <w:rFonts w:hint="eastAsia" w:ascii="宋体" w:hAnsi="宋体" w:eastAsia="宋体" w:cs="宋体"/>
          <w:bCs/>
          <w:color w:val="auto"/>
          <w:highlight w:val="none"/>
          <w:lang w:bidi="ar"/>
        </w:rPr>
        <w:t>报告；</w:t>
      </w:r>
    </w:p>
    <w:p w14:paraId="4F6ACF81">
      <w:pPr>
        <w:spacing w:line="420" w:lineRule="exact"/>
        <w:ind w:firstLine="567"/>
        <w:jc w:val="left"/>
        <w:rPr>
          <w:rFonts w:eastAsia="宋体" w:cs="宋体"/>
          <w:iCs/>
          <w:color w:val="auto"/>
          <w:highlight w:val="none"/>
        </w:rPr>
      </w:pPr>
      <w:r>
        <w:rPr>
          <w:rFonts w:hint="eastAsia" w:eastAsia="宋体" w:cs="宋体"/>
          <w:iCs/>
          <w:color w:val="auto"/>
          <w:highlight w:val="none"/>
        </w:rPr>
        <w:t>（①- ③点的材料三者缺一不可）；</w:t>
      </w:r>
    </w:p>
    <w:p w14:paraId="4F3EF0F5">
      <w:pPr>
        <w:spacing w:line="420" w:lineRule="exact"/>
        <w:ind w:firstLine="567"/>
        <w:jc w:val="left"/>
        <w:rPr>
          <w:rFonts w:eastAsia="宋体" w:cs="宋体"/>
          <w:iCs/>
          <w:color w:val="auto"/>
          <w:highlight w:val="none"/>
        </w:rPr>
      </w:pPr>
      <w:r>
        <w:rPr>
          <w:rFonts w:hint="eastAsia" w:eastAsia="宋体" w:cs="宋体"/>
          <w:iCs/>
          <w:color w:val="auto"/>
          <w:highlight w:val="none"/>
        </w:rPr>
        <w:t>3.供应商应当提供填列的《企业业绩一览表》（不填列不得分。）及按规定应提供的证明材料（附本表后）。</w:t>
      </w:r>
    </w:p>
    <w:p w14:paraId="64990E73">
      <w:pPr>
        <w:spacing w:line="420" w:lineRule="exact"/>
        <w:ind w:firstLine="567"/>
        <w:jc w:val="left"/>
        <w:rPr>
          <w:rFonts w:eastAsia="宋体" w:cs="宋体"/>
          <w:b/>
          <w:bCs/>
          <w:color w:val="auto"/>
          <w:highlight w:val="none"/>
          <w:u w:val="single"/>
        </w:rPr>
      </w:pPr>
      <w:r>
        <w:rPr>
          <w:rFonts w:hint="eastAsia" w:eastAsia="宋体" w:cs="宋体"/>
          <w:b/>
          <w:bCs/>
          <w:color w:val="auto"/>
          <w:highlight w:val="none"/>
          <w:u w:val="single"/>
        </w:rPr>
        <w:t>上述所有材料须加盖供应商CA公章。（四者缺一不可）。</w:t>
      </w:r>
    </w:p>
    <w:p w14:paraId="1D60226A">
      <w:pPr>
        <w:spacing w:line="420" w:lineRule="exact"/>
        <w:ind w:firstLine="567"/>
        <w:jc w:val="left"/>
        <w:rPr>
          <w:rFonts w:eastAsia="宋体" w:cs="宋体"/>
          <w:iCs/>
          <w:color w:val="auto"/>
          <w:highlight w:val="none"/>
        </w:rPr>
      </w:pPr>
    </w:p>
    <w:p w14:paraId="1C183DFC">
      <w:pPr>
        <w:spacing w:line="420" w:lineRule="exact"/>
        <w:ind w:firstLine="567"/>
        <w:jc w:val="left"/>
        <w:rPr>
          <w:rFonts w:eastAsia="宋体" w:cs="宋体"/>
          <w:iCs/>
          <w:color w:val="auto"/>
          <w:highlight w:val="none"/>
        </w:rPr>
      </w:pPr>
    </w:p>
    <w:p w14:paraId="1CBD330A">
      <w:pPr>
        <w:spacing w:line="420" w:lineRule="exact"/>
        <w:ind w:firstLine="567"/>
        <w:jc w:val="left"/>
        <w:rPr>
          <w:rFonts w:eastAsia="宋体" w:cs="宋体"/>
          <w:iCs/>
          <w:color w:val="auto"/>
          <w:highlight w:val="none"/>
        </w:rPr>
      </w:pPr>
      <w:r>
        <w:rPr>
          <w:rFonts w:eastAsia="宋体" w:cs="宋体"/>
          <w:iCs/>
          <w:color w:val="auto"/>
          <w:highlight w:val="none"/>
        </w:rPr>
        <w:t>供应商全称（加盖CA电子公章）：</w:t>
      </w:r>
    </w:p>
    <w:p w14:paraId="7F3E48B0">
      <w:pPr>
        <w:spacing w:line="420" w:lineRule="exact"/>
        <w:ind w:firstLine="567"/>
        <w:jc w:val="left"/>
        <w:rPr>
          <w:rFonts w:eastAsia="宋体" w:cs="宋体"/>
          <w:color w:val="auto"/>
          <w:highlight w:val="none"/>
        </w:rPr>
      </w:pPr>
      <w:r>
        <w:rPr>
          <w:rFonts w:eastAsia="宋体" w:cs="宋体"/>
          <w:iCs/>
          <w:color w:val="auto"/>
          <w:highlight w:val="none"/>
        </w:rPr>
        <w:t>日期：</w:t>
      </w:r>
    </w:p>
    <w:p w14:paraId="053A9208">
      <w:pPr>
        <w:spacing w:line="420" w:lineRule="exact"/>
        <w:ind w:firstLine="566"/>
        <w:jc w:val="left"/>
        <w:outlineLvl w:val="3"/>
        <w:rPr>
          <w:rFonts w:hint="eastAsia" w:eastAsia="宋体"/>
          <w:b/>
          <w:bCs/>
          <w:color w:val="auto"/>
          <w:highlight w:val="none"/>
        </w:rPr>
      </w:pPr>
    </w:p>
    <w:p w14:paraId="0255F49B">
      <w:pPr>
        <w:pStyle w:val="2"/>
        <w:rPr>
          <w:rFonts w:hint="eastAsia"/>
          <w:color w:val="auto"/>
          <w:highlight w:val="none"/>
        </w:rPr>
      </w:pPr>
    </w:p>
    <w:p w14:paraId="36959738">
      <w:pPr>
        <w:pStyle w:val="2"/>
        <w:rPr>
          <w:rFonts w:hint="eastAsia"/>
          <w:color w:val="auto"/>
          <w:highlight w:val="none"/>
        </w:rPr>
      </w:pPr>
    </w:p>
    <w:p w14:paraId="101780B0">
      <w:pPr>
        <w:widowControl/>
        <w:spacing w:line="420" w:lineRule="exact"/>
        <w:rPr>
          <w:rFonts w:eastAsia="宋体"/>
          <w:bCs/>
          <w:color w:val="auto"/>
          <w:highlight w:val="none"/>
        </w:rPr>
      </w:pPr>
      <w:r>
        <w:rPr>
          <w:rFonts w:hint="eastAsia" w:ascii="宋体" w:hAnsi="宋体" w:eastAsia="宋体" w:cs="宋体"/>
          <w:bCs/>
          <w:color w:val="auto"/>
          <w:highlight w:val="none"/>
          <w:lang w:bidi="ar"/>
        </w:rPr>
        <w:t xml:space="preserve"> </w:t>
      </w:r>
    </w:p>
    <w:p w14:paraId="393BEAF3">
      <w:pPr>
        <w:spacing w:line="420" w:lineRule="exact"/>
        <w:ind w:firstLine="566"/>
        <w:jc w:val="left"/>
        <w:outlineLvl w:val="3"/>
        <w:rPr>
          <w:rFonts w:hint="eastAsia" w:ascii="Cambria Math" w:hAnsi="Cambria Math" w:cs="Cambria Math" w:eastAsiaTheme="minorEastAsia"/>
          <w:bCs/>
          <w:color w:val="auto"/>
          <w:highlight w:val="none"/>
          <w:lang w:bidi="ar"/>
        </w:rPr>
      </w:pPr>
    </w:p>
    <w:p w14:paraId="4AB14A3D">
      <w:pPr>
        <w:spacing w:line="420" w:lineRule="exact"/>
        <w:ind w:firstLine="566"/>
        <w:jc w:val="left"/>
        <w:outlineLvl w:val="3"/>
        <w:rPr>
          <w:rFonts w:hint="eastAsia" w:ascii="Cambria Math" w:hAnsi="Cambria Math" w:cs="Cambria Math" w:eastAsiaTheme="minorEastAsia"/>
          <w:bCs/>
          <w:color w:val="auto"/>
          <w:highlight w:val="none"/>
          <w:lang w:bidi="ar"/>
        </w:rPr>
      </w:pPr>
    </w:p>
    <w:p w14:paraId="0E79D776">
      <w:pPr>
        <w:spacing w:line="420" w:lineRule="exact"/>
        <w:ind w:firstLine="566"/>
        <w:jc w:val="left"/>
        <w:outlineLvl w:val="3"/>
        <w:rPr>
          <w:rFonts w:hint="eastAsia" w:ascii="Cambria Math" w:hAnsi="Cambria Math" w:cs="Cambria Math" w:eastAsiaTheme="minorEastAsia"/>
          <w:bCs/>
          <w:color w:val="auto"/>
          <w:highlight w:val="none"/>
          <w:lang w:bidi="ar"/>
        </w:rPr>
      </w:pPr>
    </w:p>
    <w:p w14:paraId="734B806A">
      <w:pPr>
        <w:spacing w:line="420" w:lineRule="exact"/>
        <w:ind w:firstLine="566"/>
        <w:jc w:val="left"/>
        <w:outlineLvl w:val="3"/>
        <w:rPr>
          <w:rFonts w:hint="eastAsia" w:ascii="Cambria Math" w:hAnsi="Cambria Math" w:cs="Cambria Math" w:eastAsiaTheme="minorEastAsia"/>
          <w:bCs/>
          <w:color w:val="auto"/>
          <w:highlight w:val="none"/>
          <w:lang w:bidi="ar"/>
        </w:rPr>
      </w:pPr>
    </w:p>
    <w:p w14:paraId="295E83B2">
      <w:pPr>
        <w:spacing w:line="420" w:lineRule="exact"/>
        <w:ind w:firstLine="566"/>
        <w:jc w:val="left"/>
        <w:outlineLvl w:val="3"/>
        <w:rPr>
          <w:rFonts w:eastAsia="宋体"/>
          <w:b/>
          <w:bCs/>
          <w:color w:val="auto"/>
          <w:highlight w:val="none"/>
        </w:rPr>
      </w:pPr>
      <w:r>
        <w:rPr>
          <w:rFonts w:hint="eastAsia" w:eastAsia="宋体"/>
          <w:b/>
          <w:bCs/>
          <w:color w:val="auto"/>
          <w:highlight w:val="none"/>
        </w:rPr>
        <w:t>附件16：</w:t>
      </w:r>
      <w:r>
        <w:rPr>
          <w:rFonts w:hint="eastAsia" w:ascii="宋体" w:hAnsi="宋体" w:eastAsia="宋体" w:cs="宋体"/>
          <w:b/>
          <w:bCs/>
          <w:color w:val="auto"/>
          <w:highlight w:val="none"/>
          <w:lang w:bidi="ar"/>
        </w:rPr>
        <w:t>人员配备一览表</w:t>
      </w:r>
    </w:p>
    <w:p w14:paraId="4F245BBD">
      <w:pPr>
        <w:spacing w:before="240" w:after="240" w:line="420" w:lineRule="exact"/>
        <w:jc w:val="center"/>
        <w:rPr>
          <w:rFonts w:eastAsia="宋体" w:cs="宋体"/>
          <w:b/>
          <w:bCs/>
          <w:color w:val="auto"/>
          <w:sz w:val="28"/>
          <w:szCs w:val="28"/>
          <w:highlight w:val="none"/>
        </w:rPr>
      </w:pPr>
      <w:r>
        <w:rPr>
          <w:rFonts w:hint="eastAsia" w:eastAsia="宋体" w:cs="宋体"/>
          <w:b/>
          <w:bCs/>
          <w:color w:val="auto"/>
          <w:sz w:val="28"/>
          <w:szCs w:val="28"/>
          <w:highlight w:val="none"/>
        </w:rPr>
        <w:t>人员配备一览表</w:t>
      </w:r>
    </w:p>
    <w:tbl>
      <w:tblPr>
        <w:tblStyle w:val="89"/>
        <w:tblW w:w="967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570"/>
        <w:gridCol w:w="662"/>
        <w:gridCol w:w="638"/>
        <w:gridCol w:w="1028"/>
        <w:gridCol w:w="611"/>
        <w:gridCol w:w="1063"/>
        <w:gridCol w:w="1289"/>
        <w:gridCol w:w="1470"/>
        <w:gridCol w:w="678"/>
        <w:gridCol w:w="595"/>
      </w:tblGrid>
      <w:tr w14:paraId="0F09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670" w:type="dxa"/>
            <w:gridSpan w:val="11"/>
          </w:tcPr>
          <w:p w14:paraId="67AD9AE7">
            <w:pPr>
              <w:spacing w:line="360" w:lineRule="exact"/>
              <w:jc w:val="center"/>
              <w:rPr>
                <w:rFonts w:eastAsia="宋体"/>
                <w:color w:val="auto"/>
                <w:sz w:val="21"/>
                <w:szCs w:val="21"/>
                <w:highlight w:val="none"/>
              </w:rPr>
            </w:pPr>
            <w:r>
              <w:rPr>
                <w:rFonts w:eastAsia="宋体"/>
                <w:color w:val="auto"/>
                <w:sz w:val="21"/>
                <w:szCs w:val="21"/>
                <w:highlight w:val="none"/>
              </w:rPr>
              <w:t>一、注册造价工程师</w:t>
            </w:r>
          </w:p>
        </w:tc>
      </w:tr>
      <w:tr w14:paraId="39E8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067" w:type="dxa"/>
            <w:vMerge w:val="restart"/>
            <w:vAlign w:val="center"/>
          </w:tcPr>
          <w:p w14:paraId="5D888D0B">
            <w:pPr>
              <w:spacing w:line="360" w:lineRule="exact"/>
              <w:jc w:val="center"/>
              <w:rPr>
                <w:rFonts w:eastAsia="宋体"/>
                <w:color w:val="auto"/>
                <w:sz w:val="21"/>
                <w:szCs w:val="21"/>
                <w:highlight w:val="none"/>
              </w:rPr>
            </w:pPr>
            <w:r>
              <w:rPr>
                <w:rFonts w:hint="eastAsia" w:eastAsia="宋体"/>
                <w:color w:val="auto"/>
                <w:sz w:val="21"/>
                <w:szCs w:val="21"/>
                <w:highlight w:val="none"/>
              </w:rPr>
              <w:t xml:space="preserve"> 序号</w:t>
            </w:r>
          </w:p>
        </w:tc>
        <w:tc>
          <w:tcPr>
            <w:tcW w:w="570" w:type="dxa"/>
            <w:vMerge w:val="restart"/>
            <w:vAlign w:val="center"/>
          </w:tcPr>
          <w:p w14:paraId="4EDD9221">
            <w:pPr>
              <w:spacing w:line="360" w:lineRule="exact"/>
              <w:jc w:val="center"/>
              <w:rPr>
                <w:rFonts w:eastAsia="宋体"/>
                <w:color w:val="auto"/>
                <w:sz w:val="21"/>
                <w:szCs w:val="21"/>
                <w:highlight w:val="none"/>
              </w:rPr>
            </w:pPr>
            <w:r>
              <w:rPr>
                <w:rFonts w:eastAsia="宋体"/>
                <w:color w:val="auto"/>
                <w:sz w:val="21"/>
                <w:szCs w:val="21"/>
                <w:highlight w:val="none"/>
              </w:rPr>
              <w:t>姓名</w:t>
            </w:r>
          </w:p>
        </w:tc>
        <w:tc>
          <w:tcPr>
            <w:tcW w:w="662" w:type="dxa"/>
            <w:vMerge w:val="restart"/>
            <w:vAlign w:val="center"/>
          </w:tcPr>
          <w:p w14:paraId="1D26FB1C">
            <w:pPr>
              <w:spacing w:line="360" w:lineRule="exact"/>
              <w:jc w:val="center"/>
              <w:rPr>
                <w:rFonts w:eastAsia="宋体"/>
                <w:color w:val="auto"/>
                <w:sz w:val="21"/>
                <w:szCs w:val="21"/>
                <w:highlight w:val="none"/>
              </w:rPr>
            </w:pPr>
            <w:r>
              <w:rPr>
                <w:rFonts w:eastAsia="宋体"/>
                <w:color w:val="auto"/>
                <w:sz w:val="21"/>
                <w:szCs w:val="21"/>
                <w:highlight w:val="none"/>
              </w:rPr>
              <w:t>性别</w:t>
            </w:r>
          </w:p>
        </w:tc>
        <w:tc>
          <w:tcPr>
            <w:tcW w:w="638" w:type="dxa"/>
            <w:vMerge w:val="restart"/>
            <w:vAlign w:val="center"/>
          </w:tcPr>
          <w:p w14:paraId="11A85662">
            <w:pPr>
              <w:spacing w:line="360" w:lineRule="exact"/>
              <w:jc w:val="center"/>
              <w:rPr>
                <w:rFonts w:eastAsia="宋体"/>
                <w:color w:val="auto"/>
                <w:sz w:val="21"/>
                <w:szCs w:val="21"/>
                <w:highlight w:val="none"/>
              </w:rPr>
            </w:pPr>
            <w:r>
              <w:rPr>
                <w:rFonts w:eastAsia="宋体"/>
                <w:color w:val="auto"/>
                <w:sz w:val="21"/>
                <w:szCs w:val="21"/>
                <w:highlight w:val="none"/>
              </w:rPr>
              <w:t>从事专业</w:t>
            </w:r>
          </w:p>
        </w:tc>
        <w:tc>
          <w:tcPr>
            <w:tcW w:w="1640" w:type="dxa"/>
            <w:gridSpan w:val="2"/>
            <w:vAlign w:val="center"/>
          </w:tcPr>
          <w:p w14:paraId="64FC714B">
            <w:pPr>
              <w:spacing w:line="360" w:lineRule="exact"/>
              <w:jc w:val="center"/>
              <w:rPr>
                <w:rFonts w:eastAsia="宋体"/>
                <w:color w:val="auto"/>
                <w:sz w:val="21"/>
                <w:szCs w:val="21"/>
                <w:highlight w:val="none"/>
              </w:rPr>
            </w:pPr>
            <w:r>
              <w:rPr>
                <w:rFonts w:eastAsia="宋体"/>
                <w:color w:val="auto"/>
                <w:sz w:val="21"/>
                <w:szCs w:val="21"/>
                <w:highlight w:val="none"/>
              </w:rPr>
              <w:t>造价工程师</w:t>
            </w:r>
            <w:r>
              <w:rPr>
                <w:rFonts w:hint="eastAsia" w:eastAsia="宋体"/>
                <w:color w:val="auto"/>
                <w:sz w:val="21"/>
                <w:szCs w:val="21"/>
                <w:highlight w:val="none"/>
              </w:rPr>
              <w:t>执业（职业）资格</w:t>
            </w:r>
            <w:r>
              <w:rPr>
                <w:rFonts w:eastAsia="宋体"/>
                <w:color w:val="auto"/>
                <w:sz w:val="21"/>
                <w:szCs w:val="21"/>
                <w:highlight w:val="none"/>
              </w:rPr>
              <w:t>证书</w:t>
            </w:r>
          </w:p>
        </w:tc>
        <w:tc>
          <w:tcPr>
            <w:tcW w:w="3825" w:type="dxa"/>
            <w:gridSpan w:val="3"/>
            <w:vAlign w:val="center"/>
          </w:tcPr>
          <w:p w14:paraId="5E5193FB">
            <w:pPr>
              <w:spacing w:line="240" w:lineRule="exact"/>
              <w:jc w:val="center"/>
              <w:rPr>
                <w:rFonts w:eastAsia="宋体"/>
                <w:color w:val="auto"/>
                <w:sz w:val="21"/>
                <w:szCs w:val="21"/>
                <w:highlight w:val="none"/>
              </w:rPr>
            </w:pPr>
            <w:r>
              <w:rPr>
                <w:rFonts w:eastAsia="宋体"/>
                <w:color w:val="auto"/>
                <w:sz w:val="21"/>
                <w:szCs w:val="21"/>
                <w:highlight w:val="none"/>
              </w:rPr>
              <w:t>造价工程师注册证</w:t>
            </w:r>
          </w:p>
        </w:tc>
        <w:tc>
          <w:tcPr>
            <w:tcW w:w="673" w:type="dxa"/>
            <w:vAlign w:val="center"/>
          </w:tcPr>
          <w:p w14:paraId="3012C283">
            <w:pPr>
              <w:spacing w:line="360" w:lineRule="exact"/>
              <w:jc w:val="center"/>
              <w:rPr>
                <w:rFonts w:eastAsia="宋体"/>
                <w:color w:val="auto"/>
                <w:sz w:val="21"/>
                <w:szCs w:val="21"/>
                <w:highlight w:val="none"/>
              </w:rPr>
            </w:pPr>
            <w:r>
              <w:rPr>
                <w:rFonts w:hint="eastAsia" w:eastAsia="宋体"/>
                <w:color w:val="auto"/>
                <w:sz w:val="21"/>
                <w:szCs w:val="21"/>
                <w:highlight w:val="none"/>
              </w:rPr>
              <w:t>职称</w:t>
            </w:r>
          </w:p>
        </w:tc>
        <w:tc>
          <w:tcPr>
            <w:tcW w:w="595" w:type="dxa"/>
            <w:vAlign w:val="center"/>
          </w:tcPr>
          <w:p w14:paraId="0D656266">
            <w:pPr>
              <w:spacing w:line="360" w:lineRule="exact"/>
              <w:jc w:val="center"/>
              <w:rPr>
                <w:rFonts w:eastAsia="宋体"/>
                <w:color w:val="auto"/>
                <w:sz w:val="21"/>
                <w:szCs w:val="21"/>
                <w:highlight w:val="none"/>
              </w:rPr>
            </w:pPr>
            <w:r>
              <w:rPr>
                <w:rFonts w:hint="eastAsia" w:eastAsia="宋体"/>
                <w:color w:val="auto"/>
                <w:sz w:val="21"/>
                <w:szCs w:val="21"/>
                <w:highlight w:val="none"/>
              </w:rPr>
              <w:t>备注</w:t>
            </w:r>
          </w:p>
        </w:tc>
      </w:tr>
      <w:tr w14:paraId="60DF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7" w:type="dxa"/>
            <w:vMerge w:val="continue"/>
            <w:vAlign w:val="center"/>
          </w:tcPr>
          <w:p w14:paraId="74D9FE03">
            <w:pPr>
              <w:widowControl/>
              <w:spacing w:line="360" w:lineRule="exact"/>
              <w:rPr>
                <w:rFonts w:eastAsia="宋体"/>
                <w:color w:val="auto"/>
                <w:sz w:val="21"/>
                <w:szCs w:val="21"/>
                <w:highlight w:val="none"/>
              </w:rPr>
            </w:pPr>
          </w:p>
        </w:tc>
        <w:tc>
          <w:tcPr>
            <w:tcW w:w="570" w:type="dxa"/>
            <w:vMerge w:val="continue"/>
            <w:vAlign w:val="center"/>
          </w:tcPr>
          <w:p w14:paraId="287D2B64">
            <w:pPr>
              <w:widowControl/>
              <w:spacing w:line="360" w:lineRule="exact"/>
              <w:rPr>
                <w:rFonts w:eastAsia="宋体"/>
                <w:color w:val="auto"/>
                <w:sz w:val="21"/>
                <w:szCs w:val="21"/>
                <w:highlight w:val="none"/>
              </w:rPr>
            </w:pPr>
          </w:p>
        </w:tc>
        <w:tc>
          <w:tcPr>
            <w:tcW w:w="662" w:type="dxa"/>
            <w:vMerge w:val="continue"/>
            <w:vAlign w:val="center"/>
          </w:tcPr>
          <w:p w14:paraId="2178781E">
            <w:pPr>
              <w:widowControl/>
              <w:spacing w:line="360" w:lineRule="exact"/>
              <w:rPr>
                <w:rFonts w:eastAsia="宋体"/>
                <w:color w:val="auto"/>
                <w:sz w:val="21"/>
                <w:szCs w:val="21"/>
                <w:highlight w:val="none"/>
              </w:rPr>
            </w:pPr>
          </w:p>
        </w:tc>
        <w:tc>
          <w:tcPr>
            <w:tcW w:w="638" w:type="dxa"/>
            <w:vMerge w:val="continue"/>
          </w:tcPr>
          <w:p w14:paraId="34020A4A">
            <w:pPr>
              <w:spacing w:line="360" w:lineRule="exact"/>
              <w:jc w:val="center"/>
              <w:rPr>
                <w:rFonts w:eastAsia="宋体"/>
                <w:color w:val="auto"/>
                <w:sz w:val="21"/>
                <w:szCs w:val="21"/>
                <w:highlight w:val="none"/>
              </w:rPr>
            </w:pPr>
          </w:p>
        </w:tc>
        <w:tc>
          <w:tcPr>
            <w:tcW w:w="1029" w:type="dxa"/>
            <w:vAlign w:val="center"/>
          </w:tcPr>
          <w:p w14:paraId="3C8B6E12">
            <w:pPr>
              <w:spacing w:line="360" w:lineRule="exact"/>
              <w:jc w:val="center"/>
              <w:rPr>
                <w:rFonts w:eastAsia="宋体"/>
                <w:color w:val="auto"/>
                <w:sz w:val="21"/>
                <w:szCs w:val="21"/>
                <w:highlight w:val="none"/>
              </w:rPr>
            </w:pPr>
            <w:r>
              <w:rPr>
                <w:rFonts w:eastAsia="宋体"/>
                <w:color w:val="auto"/>
                <w:sz w:val="21"/>
                <w:szCs w:val="21"/>
                <w:highlight w:val="none"/>
              </w:rPr>
              <w:t>签发日期</w:t>
            </w:r>
          </w:p>
        </w:tc>
        <w:tc>
          <w:tcPr>
            <w:tcW w:w="611" w:type="dxa"/>
            <w:vAlign w:val="center"/>
          </w:tcPr>
          <w:p w14:paraId="2785B3CB">
            <w:pPr>
              <w:spacing w:line="360" w:lineRule="exact"/>
              <w:jc w:val="center"/>
              <w:rPr>
                <w:rFonts w:eastAsia="宋体"/>
                <w:color w:val="auto"/>
                <w:sz w:val="21"/>
                <w:szCs w:val="21"/>
                <w:highlight w:val="none"/>
              </w:rPr>
            </w:pPr>
            <w:r>
              <w:rPr>
                <w:rFonts w:eastAsia="宋体"/>
                <w:color w:val="auto"/>
                <w:sz w:val="21"/>
                <w:szCs w:val="21"/>
                <w:highlight w:val="none"/>
              </w:rPr>
              <w:t>专业</w:t>
            </w:r>
          </w:p>
        </w:tc>
        <w:tc>
          <w:tcPr>
            <w:tcW w:w="1064" w:type="dxa"/>
            <w:vAlign w:val="center"/>
          </w:tcPr>
          <w:p w14:paraId="209FD943">
            <w:pPr>
              <w:spacing w:line="360" w:lineRule="exact"/>
              <w:jc w:val="center"/>
              <w:rPr>
                <w:rFonts w:eastAsia="宋体"/>
                <w:color w:val="auto"/>
                <w:sz w:val="21"/>
                <w:szCs w:val="21"/>
                <w:highlight w:val="none"/>
              </w:rPr>
            </w:pPr>
            <w:r>
              <w:rPr>
                <w:rFonts w:eastAsia="宋体"/>
                <w:color w:val="auto"/>
                <w:sz w:val="21"/>
                <w:szCs w:val="21"/>
                <w:highlight w:val="none"/>
              </w:rPr>
              <w:t>注册证号</w:t>
            </w:r>
          </w:p>
        </w:tc>
        <w:tc>
          <w:tcPr>
            <w:tcW w:w="1290" w:type="dxa"/>
            <w:vAlign w:val="center"/>
          </w:tcPr>
          <w:p w14:paraId="1D41E2F3">
            <w:pPr>
              <w:spacing w:line="360" w:lineRule="exact"/>
              <w:jc w:val="center"/>
              <w:rPr>
                <w:rFonts w:eastAsia="宋体"/>
                <w:color w:val="auto"/>
                <w:sz w:val="21"/>
                <w:szCs w:val="21"/>
                <w:highlight w:val="none"/>
              </w:rPr>
            </w:pPr>
            <w:r>
              <w:rPr>
                <w:rFonts w:eastAsia="宋体"/>
                <w:color w:val="auto"/>
                <w:sz w:val="21"/>
                <w:szCs w:val="21"/>
                <w:highlight w:val="none"/>
              </w:rPr>
              <w:t>注册有效期</w:t>
            </w:r>
          </w:p>
        </w:tc>
        <w:tc>
          <w:tcPr>
            <w:tcW w:w="1471" w:type="dxa"/>
            <w:vAlign w:val="center"/>
          </w:tcPr>
          <w:p w14:paraId="1301BEDA">
            <w:pPr>
              <w:spacing w:line="360" w:lineRule="exact"/>
              <w:jc w:val="center"/>
              <w:rPr>
                <w:rFonts w:eastAsia="宋体"/>
                <w:color w:val="auto"/>
                <w:sz w:val="21"/>
                <w:szCs w:val="21"/>
                <w:highlight w:val="none"/>
              </w:rPr>
            </w:pPr>
            <w:r>
              <w:rPr>
                <w:rFonts w:eastAsia="宋体"/>
                <w:color w:val="auto"/>
                <w:sz w:val="21"/>
                <w:szCs w:val="21"/>
                <w:highlight w:val="none"/>
              </w:rPr>
              <w:t>聘用单位</w:t>
            </w:r>
          </w:p>
        </w:tc>
        <w:tc>
          <w:tcPr>
            <w:tcW w:w="678" w:type="dxa"/>
            <w:vAlign w:val="center"/>
          </w:tcPr>
          <w:p w14:paraId="29A3B032">
            <w:pPr>
              <w:widowControl/>
              <w:spacing w:line="360" w:lineRule="exact"/>
              <w:rPr>
                <w:rFonts w:eastAsia="宋体"/>
                <w:color w:val="auto"/>
                <w:sz w:val="21"/>
                <w:szCs w:val="21"/>
                <w:highlight w:val="none"/>
              </w:rPr>
            </w:pPr>
          </w:p>
        </w:tc>
        <w:tc>
          <w:tcPr>
            <w:tcW w:w="590" w:type="dxa"/>
            <w:vAlign w:val="center"/>
          </w:tcPr>
          <w:p w14:paraId="4B21D6D7">
            <w:pPr>
              <w:widowControl/>
              <w:spacing w:line="360" w:lineRule="exact"/>
              <w:rPr>
                <w:rFonts w:eastAsia="宋体"/>
                <w:color w:val="auto"/>
                <w:sz w:val="21"/>
                <w:szCs w:val="21"/>
                <w:highlight w:val="none"/>
              </w:rPr>
            </w:pPr>
          </w:p>
        </w:tc>
      </w:tr>
      <w:tr w14:paraId="691C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67" w:type="dxa"/>
            <w:vAlign w:val="center"/>
          </w:tcPr>
          <w:p w14:paraId="52DBAB73">
            <w:pPr>
              <w:spacing w:line="360" w:lineRule="exact"/>
              <w:jc w:val="center"/>
              <w:rPr>
                <w:rFonts w:eastAsia="宋体"/>
                <w:color w:val="auto"/>
                <w:sz w:val="21"/>
                <w:szCs w:val="21"/>
                <w:highlight w:val="none"/>
              </w:rPr>
            </w:pPr>
            <w:r>
              <w:rPr>
                <w:rFonts w:hint="eastAsia" w:eastAsia="宋体"/>
                <w:color w:val="auto"/>
                <w:sz w:val="21"/>
                <w:szCs w:val="21"/>
                <w:highlight w:val="none"/>
              </w:rPr>
              <w:t>项目负责人</w:t>
            </w:r>
          </w:p>
        </w:tc>
        <w:tc>
          <w:tcPr>
            <w:tcW w:w="570" w:type="dxa"/>
            <w:vAlign w:val="center"/>
          </w:tcPr>
          <w:p w14:paraId="2B1B5530">
            <w:pPr>
              <w:spacing w:line="360" w:lineRule="exact"/>
              <w:jc w:val="center"/>
              <w:rPr>
                <w:rFonts w:eastAsia="宋体"/>
                <w:color w:val="auto"/>
                <w:sz w:val="21"/>
                <w:szCs w:val="21"/>
                <w:highlight w:val="none"/>
              </w:rPr>
            </w:pPr>
          </w:p>
        </w:tc>
        <w:tc>
          <w:tcPr>
            <w:tcW w:w="662" w:type="dxa"/>
            <w:vAlign w:val="center"/>
          </w:tcPr>
          <w:p w14:paraId="3FB5C55E">
            <w:pPr>
              <w:spacing w:line="360" w:lineRule="exact"/>
              <w:jc w:val="center"/>
              <w:rPr>
                <w:rFonts w:eastAsia="宋体"/>
                <w:color w:val="auto"/>
                <w:sz w:val="21"/>
                <w:szCs w:val="21"/>
                <w:highlight w:val="none"/>
              </w:rPr>
            </w:pPr>
          </w:p>
        </w:tc>
        <w:tc>
          <w:tcPr>
            <w:tcW w:w="638" w:type="dxa"/>
          </w:tcPr>
          <w:p w14:paraId="170E5A30">
            <w:pPr>
              <w:spacing w:line="360" w:lineRule="exact"/>
              <w:jc w:val="center"/>
              <w:rPr>
                <w:rFonts w:eastAsia="宋体"/>
                <w:color w:val="auto"/>
                <w:sz w:val="21"/>
                <w:szCs w:val="21"/>
                <w:highlight w:val="none"/>
              </w:rPr>
            </w:pPr>
          </w:p>
        </w:tc>
        <w:tc>
          <w:tcPr>
            <w:tcW w:w="1029" w:type="dxa"/>
            <w:vAlign w:val="center"/>
          </w:tcPr>
          <w:p w14:paraId="00A4223A">
            <w:pPr>
              <w:spacing w:line="360" w:lineRule="exact"/>
              <w:jc w:val="center"/>
              <w:rPr>
                <w:rFonts w:eastAsia="宋体"/>
                <w:color w:val="auto"/>
                <w:sz w:val="21"/>
                <w:szCs w:val="21"/>
                <w:highlight w:val="none"/>
              </w:rPr>
            </w:pPr>
          </w:p>
        </w:tc>
        <w:tc>
          <w:tcPr>
            <w:tcW w:w="611" w:type="dxa"/>
            <w:vAlign w:val="center"/>
          </w:tcPr>
          <w:p w14:paraId="2EA59D5A">
            <w:pPr>
              <w:spacing w:line="360" w:lineRule="exact"/>
              <w:jc w:val="center"/>
              <w:rPr>
                <w:rFonts w:eastAsia="宋体"/>
                <w:color w:val="auto"/>
                <w:sz w:val="21"/>
                <w:szCs w:val="21"/>
                <w:highlight w:val="none"/>
              </w:rPr>
            </w:pPr>
          </w:p>
        </w:tc>
        <w:tc>
          <w:tcPr>
            <w:tcW w:w="1064" w:type="dxa"/>
            <w:vAlign w:val="center"/>
          </w:tcPr>
          <w:p w14:paraId="1B1917BA">
            <w:pPr>
              <w:spacing w:line="360" w:lineRule="exact"/>
              <w:jc w:val="center"/>
              <w:rPr>
                <w:rFonts w:eastAsia="宋体"/>
                <w:color w:val="auto"/>
                <w:sz w:val="21"/>
                <w:szCs w:val="21"/>
                <w:highlight w:val="none"/>
              </w:rPr>
            </w:pPr>
          </w:p>
        </w:tc>
        <w:tc>
          <w:tcPr>
            <w:tcW w:w="1290" w:type="dxa"/>
            <w:vAlign w:val="center"/>
          </w:tcPr>
          <w:p w14:paraId="4338527F">
            <w:pPr>
              <w:spacing w:line="360" w:lineRule="exact"/>
              <w:jc w:val="center"/>
              <w:rPr>
                <w:rFonts w:eastAsia="宋体"/>
                <w:color w:val="auto"/>
                <w:sz w:val="21"/>
                <w:szCs w:val="21"/>
                <w:highlight w:val="none"/>
              </w:rPr>
            </w:pPr>
          </w:p>
        </w:tc>
        <w:tc>
          <w:tcPr>
            <w:tcW w:w="1471" w:type="dxa"/>
            <w:vAlign w:val="center"/>
          </w:tcPr>
          <w:p w14:paraId="5980E1BA">
            <w:pPr>
              <w:spacing w:line="360" w:lineRule="exact"/>
              <w:jc w:val="center"/>
              <w:rPr>
                <w:rFonts w:eastAsia="宋体"/>
                <w:color w:val="auto"/>
                <w:sz w:val="21"/>
                <w:szCs w:val="21"/>
                <w:highlight w:val="none"/>
              </w:rPr>
            </w:pPr>
          </w:p>
        </w:tc>
        <w:tc>
          <w:tcPr>
            <w:tcW w:w="678" w:type="dxa"/>
            <w:vAlign w:val="center"/>
          </w:tcPr>
          <w:p w14:paraId="190CFC66">
            <w:pPr>
              <w:spacing w:line="360" w:lineRule="exact"/>
              <w:jc w:val="center"/>
              <w:rPr>
                <w:rFonts w:eastAsia="宋体"/>
                <w:color w:val="auto"/>
                <w:sz w:val="21"/>
                <w:szCs w:val="21"/>
                <w:highlight w:val="none"/>
              </w:rPr>
            </w:pPr>
          </w:p>
        </w:tc>
        <w:tc>
          <w:tcPr>
            <w:tcW w:w="590" w:type="dxa"/>
            <w:vAlign w:val="center"/>
          </w:tcPr>
          <w:p w14:paraId="281092F0">
            <w:pPr>
              <w:spacing w:line="360" w:lineRule="exact"/>
              <w:jc w:val="center"/>
              <w:rPr>
                <w:rFonts w:eastAsia="宋体"/>
                <w:color w:val="auto"/>
                <w:sz w:val="21"/>
                <w:szCs w:val="21"/>
                <w:highlight w:val="none"/>
              </w:rPr>
            </w:pPr>
          </w:p>
        </w:tc>
      </w:tr>
      <w:tr w14:paraId="50F7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67" w:type="dxa"/>
            <w:vAlign w:val="center"/>
          </w:tcPr>
          <w:p w14:paraId="4A01B570">
            <w:pPr>
              <w:spacing w:line="360" w:lineRule="exact"/>
              <w:jc w:val="center"/>
              <w:rPr>
                <w:rFonts w:eastAsia="宋体"/>
                <w:color w:val="auto"/>
                <w:sz w:val="21"/>
                <w:szCs w:val="21"/>
                <w:highlight w:val="none"/>
              </w:rPr>
            </w:pPr>
            <w:r>
              <w:rPr>
                <w:rFonts w:hint="eastAsia" w:eastAsia="宋体"/>
                <w:color w:val="auto"/>
                <w:sz w:val="21"/>
                <w:szCs w:val="21"/>
                <w:highlight w:val="none"/>
              </w:rPr>
              <w:t>项目组成人员1</w:t>
            </w:r>
          </w:p>
        </w:tc>
        <w:tc>
          <w:tcPr>
            <w:tcW w:w="570" w:type="dxa"/>
            <w:vAlign w:val="center"/>
          </w:tcPr>
          <w:p w14:paraId="75E50043">
            <w:pPr>
              <w:spacing w:line="360" w:lineRule="exact"/>
              <w:jc w:val="center"/>
              <w:rPr>
                <w:rFonts w:eastAsia="宋体"/>
                <w:color w:val="auto"/>
                <w:sz w:val="21"/>
                <w:szCs w:val="21"/>
                <w:highlight w:val="none"/>
              </w:rPr>
            </w:pPr>
          </w:p>
        </w:tc>
        <w:tc>
          <w:tcPr>
            <w:tcW w:w="662" w:type="dxa"/>
            <w:vAlign w:val="center"/>
          </w:tcPr>
          <w:p w14:paraId="6966215C">
            <w:pPr>
              <w:spacing w:line="360" w:lineRule="exact"/>
              <w:jc w:val="center"/>
              <w:rPr>
                <w:rFonts w:eastAsia="宋体"/>
                <w:color w:val="auto"/>
                <w:sz w:val="21"/>
                <w:szCs w:val="21"/>
                <w:highlight w:val="none"/>
              </w:rPr>
            </w:pPr>
          </w:p>
        </w:tc>
        <w:tc>
          <w:tcPr>
            <w:tcW w:w="638" w:type="dxa"/>
          </w:tcPr>
          <w:p w14:paraId="6DA5F869">
            <w:pPr>
              <w:spacing w:line="360" w:lineRule="exact"/>
              <w:jc w:val="center"/>
              <w:rPr>
                <w:rFonts w:eastAsia="宋体"/>
                <w:color w:val="auto"/>
                <w:sz w:val="21"/>
                <w:szCs w:val="21"/>
                <w:highlight w:val="none"/>
              </w:rPr>
            </w:pPr>
          </w:p>
        </w:tc>
        <w:tc>
          <w:tcPr>
            <w:tcW w:w="1029" w:type="dxa"/>
            <w:vAlign w:val="center"/>
          </w:tcPr>
          <w:p w14:paraId="4B7813BC">
            <w:pPr>
              <w:spacing w:line="360" w:lineRule="exact"/>
              <w:jc w:val="center"/>
              <w:rPr>
                <w:rFonts w:eastAsia="宋体"/>
                <w:color w:val="auto"/>
                <w:sz w:val="21"/>
                <w:szCs w:val="21"/>
                <w:highlight w:val="none"/>
              </w:rPr>
            </w:pPr>
          </w:p>
        </w:tc>
        <w:tc>
          <w:tcPr>
            <w:tcW w:w="611" w:type="dxa"/>
            <w:vAlign w:val="center"/>
          </w:tcPr>
          <w:p w14:paraId="256EB215">
            <w:pPr>
              <w:spacing w:line="360" w:lineRule="exact"/>
              <w:jc w:val="center"/>
              <w:rPr>
                <w:rFonts w:eastAsia="宋体"/>
                <w:color w:val="auto"/>
                <w:sz w:val="21"/>
                <w:szCs w:val="21"/>
                <w:highlight w:val="none"/>
              </w:rPr>
            </w:pPr>
          </w:p>
        </w:tc>
        <w:tc>
          <w:tcPr>
            <w:tcW w:w="1064" w:type="dxa"/>
            <w:vAlign w:val="center"/>
          </w:tcPr>
          <w:p w14:paraId="05D8A4CC">
            <w:pPr>
              <w:spacing w:line="360" w:lineRule="exact"/>
              <w:jc w:val="center"/>
              <w:rPr>
                <w:rFonts w:eastAsia="宋体"/>
                <w:color w:val="auto"/>
                <w:sz w:val="21"/>
                <w:szCs w:val="21"/>
                <w:highlight w:val="none"/>
              </w:rPr>
            </w:pPr>
          </w:p>
        </w:tc>
        <w:tc>
          <w:tcPr>
            <w:tcW w:w="1290" w:type="dxa"/>
            <w:vAlign w:val="center"/>
          </w:tcPr>
          <w:p w14:paraId="6DC4F78C">
            <w:pPr>
              <w:spacing w:line="360" w:lineRule="exact"/>
              <w:jc w:val="center"/>
              <w:rPr>
                <w:rFonts w:eastAsia="宋体"/>
                <w:color w:val="auto"/>
                <w:sz w:val="21"/>
                <w:szCs w:val="21"/>
                <w:highlight w:val="none"/>
              </w:rPr>
            </w:pPr>
          </w:p>
        </w:tc>
        <w:tc>
          <w:tcPr>
            <w:tcW w:w="1471" w:type="dxa"/>
            <w:vAlign w:val="center"/>
          </w:tcPr>
          <w:p w14:paraId="7ECD4564">
            <w:pPr>
              <w:spacing w:line="360" w:lineRule="exact"/>
              <w:jc w:val="center"/>
              <w:rPr>
                <w:rFonts w:eastAsia="宋体"/>
                <w:color w:val="auto"/>
                <w:sz w:val="21"/>
                <w:szCs w:val="21"/>
                <w:highlight w:val="none"/>
              </w:rPr>
            </w:pPr>
          </w:p>
        </w:tc>
        <w:tc>
          <w:tcPr>
            <w:tcW w:w="678" w:type="dxa"/>
            <w:vAlign w:val="center"/>
          </w:tcPr>
          <w:p w14:paraId="479BD2F0">
            <w:pPr>
              <w:spacing w:line="360" w:lineRule="exact"/>
              <w:jc w:val="center"/>
              <w:rPr>
                <w:rFonts w:eastAsia="宋体"/>
                <w:color w:val="auto"/>
                <w:sz w:val="21"/>
                <w:szCs w:val="21"/>
                <w:highlight w:val="none"/>
              </w:rPr>
            </w:pPr>
          </w:p>
        </w:tc>
        <w:tc>
          <w:tcPr>
            <w:tcW w:w="590" w:type="dxa"/>
            <w:vAlign w:val="center"/>
          </w:tcPr>
          <w:p w14:paraId="7184C3C3">
            <w:pPr>
              <w:spacing w:line="360" w:lineRule="exact"/>
              <w:jc w:val="center"/>
              <w:rPr>
                <w:rFonts w:eastAsia="宋体"/>
                <w:color w:val="auto"/>
                <w:sz w:val="21"/>
                <w:szCs w:val="21"/>
                <w:highlight w:val="none"/>
              </w:rPr>
            </w:pPr>
          </w:p>
        </w:tc>
      </w:tr>
      <w:tr w14:paraId="0874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67" w:type="dxa"/>
            <w:vAlign w:val="center"/>
          </w:tcPr>
          <w:p w14:paraId="02157A5F">
            <w:pPr>
              <w:spacing w:line="360" w:lineRule="exact"/>
              <w:jc w:val="center"/>
              <w:rPr>
                <w:rFonts w:eastAsia="宋体"/>
                <w:color w:val="auto"/>
                <w:sz w:val="21"/>
                <w:szCs w:val="21"/>
                <w:highlight w:val="none"/>
              </w:rPr>
            </w:pPr>
            <w:r>
              <w:rPr>
                <w:rFonts w:hint="eastAsia" w:eastAsia="宋体"/>
                <w:color w:val="auto"/>
                <w:sz w:val="21"/>
                <w:szCs w:val="21"/>
                <w:highlight w:val="none"/>
              </w:rPr>
              <w:t xml:space="preserve">项目组成人员2 </w:t>
            </w:r>
          </w:p>
        </w:tc>
        <w:tc>
          <w:tcPr>
            <w:tcW w:w="570" w:type="dxa"/>
            <w:vAlign w:val="center"/>
          </w:tcPr>
          <w:p w14:paraId="3041C66D">
            <w:pPr>
              <w:spacing w:line="360" w:lineRule="exact"/>
              <w:jc w:val="center"/>
              <w:rPr>
                <w:rFonts w:eastAsia="宋体"/>
                <w:color w:val="auto"/>
                <w:sz w:val="21"/>
                <w:szCs w:val="21"/>
                <w:highlight w:val="none"/>
              </w:rPr>
            </w:pPr>
          </w:p>
        </w:tc>
        <w:tc>
          <w:tcPr>
            <w:tcW w:w="662" w:type="dxa"/>
            <w:vAlign w:val="center"/>
          </w:tcPr>
          <w:p w14:paraId="2B52CECD">
            <w:pPr>
              <w:spacing w:line="360" w:lineRule="exact"/>
              <w:jc w:val="center"/>
              <w:rPr>
                <w:rFonts w:eastAsia="宋体"/>
                <w:color w:val="auto"/>
                <w:sz w:val="21"/>
                <w:szCs w:val="21"/>
                <w:highlight w:val="none"/>
              </w:rPr>
            </w:pPr>
          </w:p>
        </w:tc>
        <w:tc>
          <w:tcPr>
            <w:tcW w:w="638" w:type="dxa"/>
          </w:tcPr>
          <w:p w14:paraId="6BB5B72C">
            <w:pPr>
              <w:spacing w:line="360" w:lineRule="exact"/>
              <w:jc w:val="center"/>
              <w:rPr>
                <w:rFonts w:eastAsia="宋体"/>
                <w:color w:val="auto"/>
                <w:sz w:val="21"/>
                <w:szCs w:val="21"/>
                <w:highlight w:val="none"/>
              </w:rPr>
            </w:pPr>
          </w:p>
        </w:tc>
        <w:tc>
          <w:tcPr>
            <w:tcW w:w="1029" w:type="dxa"/>
            <w:vAlign w:val="center"/>
          </w:tcPr>
          <w:p w14:paraId="6B16FB2C">
            <w:pPr>
              <w:spacing w:line="360" w:lineRule="exact"/>
              <w:jc w:val="center"/>
              <w:rPr>
                <w:rFonts w:eastAsia="宋体"/>
                <w:color w:val="auto"/>
                <w:sz w:val="21"/>
                <w:szCs w:val="21"/>
                <w:highlight w:val="none"/>
              </w:rPr>
            </w:pPr>
          </w:p>
        </w:tc>
        <w:tc>
          <w:tcPr>
            <w:tcW w:w="611" w:type="dxa"/>
            <w:vAlign w:val="center"/>
          </w:tcPr>
          <w:p w14:paraId="29A91452">
            <w:pPr>
              <w:spacing w:line="360" w:lineRule="exact"/>
              <w:jc w:val="center"/>
              <w:rPr>
                <w:rFonts w:eastAsia="宋体"/>
                <w:color w:val="auto"/>
                <w:sz w:val="21"/>
                <w:szCs w:val="21"/>
                <w:highlight w:val="none"/>
              </w:rPr>
            </w:pPr>
          </w:p>
        </w:tc>
        <w:tc>
          <w:tcPr>
            <w:tcW w:w="1064" w:type="dxa"/>
            <w:vAlign w:val="center"/>
          </w:tcPr>
          <w:p w14:paraId="1EADCBF9">
            <w:pPr>
              <w:spacing w:line="360" w:lineRule="exact"/>
              <w:jc w:val="center"/>
              <w:rPr>
                <w:rFonts w:eastAsia="宋体"/>
                <w:color w:val="auto"/>
                <w:sz w:val="21"/>
                <w:szCs w:val="21"/>
                <w:highlight w:val="none"/>
              </w:rPr>
            </w:pPr>
          </w:p>
        </w:tc>
        <w:tc>
          <w:tcPr>
            <w:tcW w:w="1290" w:type="dxa"/>
            <w:vAlign w:val="center"/>
          </w:tcPr>
          <w:p w14:paraId="5A5249BB">
            <w:pPr>
              <w:spacing w:line="360" w:lineRule="exact"/>
              <w:jc w:val="center"/>
              <w:rPr>
                <w:rFonts w:eastAsia="宋体"/>
                <w:color w:val="auto"/>
                <w:sz w:val="21"/>
                <w:szCs w:val="21"/>
                <w:highlight w:val="none"/>
              </w:rPr>
            </w:pPr>
          </w:p>
        </w:tc>
        <w:tc>
          <w:tcPr>
            <w:tcW w:w="1471" w:type="dxa"/>
            <w:vAlign w:val="center"/>
          </w:tcPr>
          <w:p w14:paraId="4639C8D1">
            <w:pPr>
              <w:spacing w:line="360" w:lineRule="exact"/>
              <w:jc w:val="center"/>
              <w:rPr>
                <w:rFonts w:eastAsia="宋体"/>
                <w:color w:val="auto"/>
                <w:sz w:val="21"/>
                <w:szCs w:val="21"/>
                <w:highlight w:val="none"/>
              </w:rPr>
            </w:pPr>
          </w:p>
        </w:tc>
        <w:tc>
          <w:tcPr>
            <w:tcW w:w="678" w:type="dxa"/>
            <w:vAlign w:val="center"/>
          </w:tcPr>
          <w:p w14:paraId="04A4273E">
            <w:pPr>
              <w:spacing w:line="360" w:lineRule="exact"/>
              <w:jc w:val="center"/>
              <w:rPr>
                <w:rFonts w:eastAsia="宋体"/>
                <w:color w:val="auto"/>
                <w:sz w:val="21"/>
                <w:szCs w:val="21"/>
                <w:highlight w:val="none"/>
              </w:rPr>
            </w:pPr>
          </w:p>
        </w:tc>
        <w:tc>
          <w:tcPr>
            <w:tcW w:w="590" w:type="dxa"/>
            <w:vAlign w:val="center"/>
          </w:tcPr>
          <w:p w14:paraId="79FEBE86">
            <w:pPr>
              <w:spacing w:line="360" w:lineRule="exact"/>
              <w:jc w:val="center"/>
              <w:rPr>
                <w:rFonts w:eastAsia="宋体"/>
                <w:color w:val="auto"/>
                <w:sz w:val="21"/>
                <w:szCs w:val="21"/>
                <w:highlight w:val="none"/>
              </w:rPr>
            </w:pPr>
          </w:p>
        </w:tc>
      </w:tr>
      <w:tr w14:paraId="62F7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67" w:type="dxa"/>
            <w:vAlign w:val="center"/>
          </w:tcPr>
          <w:p w14:paraId="666CFD9E">
            <w:pPr>
              <w:spacing w:line="360" w:lineRule="exact"/>
              <w:jc w:val="center"/>
              <w:rPr>
                <w:rFonts w:eastAsia="宋体"/>
                <w:color w:val="auto"/>
                <w:sz w:val="21"/>
                <w:szCs w:val="21"/>
                <w:highlight w:val="none"/>
              </w:rPr>
            </w:pPr>
            <w:r>
              <w:rPr>
                <w:rFonts w:eastAsia="宋体"/>
                <w:color w:val="auto"/>
                <w:sz w:val="21"/>
                <w:szCs w:val="21"/>
                <w:highlight w:val="none"/>
              </w:rPr>
              <w:t>…</w:t>
            </w:r>
          </w:p>
        </w:tc>
        <w:tc>
          <w:tcPr>
            <w:tcW w:w="570" w:type="dxa"/>
            <w:vAlign w:val="center"/>
          </w:tcPr>
          <w:p w14:paraId="73ED9E3C">
            <w:pPr>
              <w:spacing w:line="360" w:lineRule="exact"/>
              <w:jc w:val="center"/>
              <w:rPr>
                <w:rFonts w:eastAsia="宋体"/>
                <w:color w:val="auto"/>
                <w:sz w:val="21"/>
                <w:szCs w:val="21"/>
                <w:highlight w:val="none"/>
              </w:rPr>
            </w:pPr>
          </w:p>
        </w:tc>
        <w:tc>
          <w:tcPr>
            <w:tcW w:w="662" w:type="dxa"/>
            <w:vAlign w:val="center"/>
          </w:tcPr>
          <w:p w14:paraId="2A05BFB4">
            <w:pPr>
              <w:spacing w:line="360" w:lineRule="exact"/>
              <w:jc w:val="center"/>
              <w:rPr>
                <w:rFonts w:eastAsia="宋体"/>
                <w:color w:val="auto"/>
                <w:sz w:val="21"/>
                <w:szCs w:val="21"/>
                <w:highlight w:val="none"/>
              </w:rPr>
            </w:pPr>
          </w:p>
        </w:tc>
        <w:tc>
          <w:tcPr>
            <w:tcW w:w="638" w:type="dxa"/>
          </w:tcPr>
          <w:p w14:paraId="3B5BB0AA">
            <w:pPr>
              <w:spacing w:line="360" w:lineRule="exact"/>
              <w:jc w:val="center"/>
              <w:rPr>
                <w:rFonts w:eastAsia="宋体"/>
                <w:color w:val="auto"/>
                <w:sz w:val="21"/>
                <w:szCs w:val="21"/>
                <w:highlight w:val="none"/>
              </w:rPr>
            </w:pPr>
          </w:p>
        </w:tc>
        <w:tc>
          <w:tcPr>
            <w:tcW w:w="1029" w:type="dxa"/>
            <w:vAlign w:val="center"/>
          </w:tcPr>
          <w:p w14:paraId="1FDA07A8">
            <w:pPr>
              <w:spacing w:line="360" w:lineRule="exact"/>
              <w:jc w:val="center"/>
              <w:rPr>
                <w:rFonts w:eastAsia="宋体"/>
                <w:color w:val="auto"/>
                <w:sz w:val="21"/>
                <w:szCs w:val="21"/>
                <w:highlight w:val="none"/>
              </w:rPr>
            </w:pPr>
          </w:p>
        </w:tc>
        <w:tc>
          <w:tcPr>
            <w:tcW w:w="611" w:type="dxa"/>
            <w:vAlign w:val="center"/>
          </w:tcPr>
          <w:p w14:paraId="65F073AF">
            <w:pPr>
              <w:spacing w:line="360" w:lineRule="exact"/>
              <w:jc w:val="center"/>
              <w:rPr>
                <w:rFonts w:eastAsia="宋体"/>
                <w:color w:val="auto"/>
                <w:sz w:val="21"/>
                <w:szCs w:val="21"/>
                <w:highlight w:val="none"/>
              </w:rPr>
            </w:pPr>
          </w:p>
        </w:tc>
        <w:tc>
          <w:tcPr>
            <w:tcW w:w="1064" w:type="dxa"/>
            <w:vAlign w:val="center"/>
          </w:tcPr>
          <w:p w14:paraId="0EF2FAA5">
            <w:pPr>
              <w:spacing w:line="360" w:lineRule="exact"/>
              <w:jc w:val="center"/>
              <w:rPr>
                <w:rFonts w:eastAsia="宋体"/>
                <w:color w:val="auto"/>
                <w:sz w:val="21"/>
                <w:szCs w:val="21"/>
                <w:highlight w:val="none"/>
              </w:rPr>
            </w:pPr>
          </w:p>
        </w:tc>
        <w:tc>
          <w:tcPr>
            <w:tcW w:w="1290" w:type="dxa"/>
            <w:vAlign w:val="center"/>
          </w:tcPr>
          <w:p w14:paraId="32BBFED4">
            <w:pPr>
              <w:spacing w:line="360" w:lineRule="exact"/>
              <w:jc w:val="center"/>
              <w:rPr>
                <w:rFonts w:eastAsia="宋体"/>
                <w:color w:val="auto"/>
                <w:sz w:val="21"/>
                <w:szCs w:val="21"/>
                <w:highlight w:val="none"/>
              </w:rPr>
            </w:pPr>
          </w:p>
        </w:tc>
        <w:tc>
          <w:tcPr>
            <w:tcW w:w="1471" w:type="dxa"/>
            <w:vAlign w:val="center"/>
          </w:tcPr>
          <w:p w14:paraId="1115BC1F">
            <w:pPr>
              <w:spacing w:line="360" w:lineRule="exact"/>
              <w:jc w:val="center"/>
              <w:rPr>
                <w:rFonts w:eastAsia="宋体"/>
                <w:color w:val="auto"/>
                <w:sz w:val="21"/>
                <w:szCs w:val="21"/>
                <w:highlight w:val="none"/>
              </w:rPr>
            </w:pPr>
          </w:p>
        </w:tc>
        <w:tc>
          <w:tcPr>
            <w:tcW w:w="678" w:type="dxa"/>
            <w:vAlign w:val="center"/>
          </w:tcPr>
          <w:p w14:paraId="4EB169F1">
            <w:pPr>
              <w:spacing w:line="360" w:lineRule="exact"/>
              <w:jc w:val="center"/>
              <w:rPr>
                <w:rFonts w:eastAsia="宋体"/>
                <w:color w:val="auto"/>
                <w:sz w:val="21"/>
                <w:szCs w:val="21"/>
                <w:highlight w:val="none"/>
              </w:rPr>
            </w:pPr>
          </w:p>
        </w:tc>
        <w:tc>
          <w:tcPr>
            <w:tcW w:w="590" w:type="dxa"/>
            <w:vAlign w:val="center"/>
          </w:tcPr>
          <w:p w14:paraId="1AA18B5A">
            <w:pPr>
              <w:spacing w:line="360" w:lineRule="exact"/>
              <w:jc w:val="center"/>
              <w:rPr>
                <w:rFonts w:eastAsia="宋体"/>
                <w:color w:val="auto"/>
                <w:sz w:val="21"/>
                <w:szCs w:val="21"/>
                <w:highlight w:val="none"/>
              </w:rPr>
            </w:pPr>
          </w:p>
        </w:tc>
      </w:tr>
    </w:tbl>
    <w:p w14:paraId="2166DA6E">
      <w:pPr>
        <w:spacing w:line="420" w:lineRule="exact"/>
        <w:ind w:firstLine="567"/>
        <w:jc w:val="left"/>
        <w:rPr>
          <w:rFonts w:eastAsia="宋体" w:cs="宋体"/>
          <w:b/>
          <w:bCs/>
          <w:iCs/>
          <w:color w:val="auto"/>
          <w:highlight w:val="none"/>
        </w:rPr>
      </w:pPr>
    </w:p>
    <w:p w14:paraId="74625FF0">
      <w:pPr>
        <w:spacing w:line="420" w:lineRule="exact"/>
        <w:ind w:firstLine="567"/>
        <w:jc w:val="left"/>
        <w:rPr>
          <w:rFonts w:eastAsia="宋体" w:cs="宋体"/>
          <w:b/>
          <w:bCs/>
          <w:iCs/>
          <w:color w:val="auto"/>
          <w:highlight w:val="none"/>
        </w:rPr>
      </w:pPr>
      <w:r>
        <w:rPr>
          <w:rFonts w:hint="eastAsia" w:eastAsia="宋体" w:cs="宋体"/>
          <w:b/>
          <w:bCs/>
          <w:iCs/>
          <w:color w:val="auto"/>
          <w:highlight w:val="none"/>
        </w:rPr>
        <w:t>注：</w:t>
      </w:r>
    </w:p>
    <w:p w14:paraId="486162CB">
      <w:pPr>
        <w:spacing w:line="420" w:lineRule="exact"/>
        <w:ind w:firstLine="567"/>
        <w:jc w:val="left"/>
        <w:rPr>
          <w:rFonts w:eastAsia="宋体" w:cs="宋体"/>
          <w:iCs/>
          <w:color w:val="auto"/>
          <w:highlight w:val="none"/>
        </w:rPr>
      </w:pPr>
      <w:r>
        <w:rPr>
          <w:rFonts w:hint="eastAsia" w:eastAsia="宋体" w:cs="宋体"/>
          <w:iCs/>
          <w:color w:val="auto"/>
          <w:highlight w:val="none"/>
        </w:rPr>
        <w:t>1. 供应商应当提供拟派项目组人员名单，并填列《项目组成人员一览表》（不填列不得分）。</w:t>
      </w:r>
    </w:p>
    <w:p w14:paraId="6C164C91">
      <w:pPr>
        <w:spacing w:line="420" w:lineRule="exact"/>
        <w:ind w:firstLine="567"/>
        <w:jc w:val="left"/>
        <w:rPr>
          <w:rFonts w:eastAsia="宋体" w:cs="宋体"/>
          <w:iCs/>
          <w:color w:val="auto"/>
          <w:highlight w:val="none"/>
        </w:rPr>
      </w:pPr>
      <w:r>
        <w:rPr>
          <w:rFonts w:hint="eastAsia" w:eastAsia="宋体" w:cs="宋体"/>
          <w:iCs/>
          <w:color w:val="auto"/>
          <w:highlight w:val="none"/>
        </w:rPr>
        <w:t>2.在填写时，供应商可自行扩展，但不得删除本表所列要素。</w:t>
      </w:r>
    </w:p>
    <w:p w14:paraId="623BFC46">
      <w:pPr>
        <w:spacing w:line="420" w:lineRule="exact"/>
        <w:ind w:firstLine="567"/>
        <w:jc w:val="left"/>
        <w:rPr>
          <w:rFonts w:eastAsia="宋体" w:cs="宋体"/>
          <w:b/>
          <w:bCs/>
          <w:iCs/>
          <w:color w:val="auto"/>
          <w:highlight w:val="none"/>
          <w:u w:val="single"/>
        </w:rPr>
      </w:pPr>
      <w:r>
        <w:rPr>
          <w:rFonts w:hint="eastAsia" w:eastAsia="宋体" w:cs="宋体"/>
          <w:b/>
          <w:bCs/>
          <w:iCs/>
          <w:color w:val="auto"/>
          <w:highlight w:val="none"/>
          <w:u w:val="single"/>
        </w:rPr>
        <w:t>3..本表后，供应商应提供拟派项目负责人具有的注册造价工程师资质（注：土木建筑工程、安装工程、交通运输工程（公路、水运）、水利工程四类中的任意一种）的证书和供应商为其缴纳的2025年4月至2025年6月中任意一个月的社保证明这2项材料，加盖供应商CA公章。</w:t>
      </w:r>
    </w:p>
    <w:p w14:paraId="13421429">
      <w:pPr>
        <w:spacing w:line="420" w:lineRule="exact"/>
        <w:ind w:firstLine="567"/>
        <w:jc w:val="left"/>
        <w:rPr>
          <w:rFonts w:eastAsia="宋体" w:cs="宋体"/>
          <w:iCs/>
          <w:color w:val="auto"/>
          <w:highlight w:val="none"/>
        </w:rPr>
      </w:pPr>
      <w:r>
        <w:rPr>
          <w:rFonts w:hint="eastAsia" w:eastAsia="宋体" w:cs="宋体"/>
          <w:iCs/>
          <w:color w:val="auto"/>
          <w:highlight w:val="none"/>
        </w:rPr>
        <w:t>5.供应商应提供拟派项目组相关人员的证书和供应商为该人员缴纳的2025年4月至2025年6月中任意一个月的社保证明这2项材料（附本表后），加盖供应商CA公章。</w:t>
      </w:r>
    </w:p>
    <w:p w14:paraId="52558D87">
      <w:pPr>
        <w:spacing w:line="420" w:lineRule="exact"/>
        <w:ind w:firstLine="567"/>
        <w:jc w:val="left"/>
        <w:rPr>
          <w:rFonts w:eastAsia="宋体" w:cs="宋体"/>
          <w:iCs/>
          <w:color w:val="auto"/>
          <w:highlight w:val="none"/>
        </w:rPr>
      </w:pPr>
    </w:p>
    <w:p w14:paraId="4F2233DA">
      <w:pPr>
        <w:spacing w:line="420" w:lineRule="exact"/>
        <w:ind w:firstLine="567"/>
        <w:jc w:val="left"/>
        <w:rPr>
          <w:rFonts w:eastAsia="宋体" w:cs="宋体"/>
          <w:iCs/>
          <w:color w:val="auto"/>
          <w:highlight w:val="none"/>
        </w:rPr>
      </w:pPr>
      <w:r>
        <w:rPr>
          <w:rFonts w:eastAsia="宋体" w:cs="宋体"/>
          <w:iCs/>
          <w:color w:val="auto"/>
          <w:highlight w:val="none"/>
        </w:rPr>
        <w:t>供应商全称（加盖CA电子公章）：</w:t>
      </w:r>
    </w:p>
    <w:p w14:paraId="543015BB">
      <w:pPr>
        <w:spacing w:line="420" w:lineRule="exact"/>
        <w:ind w:firstLine="567"/>
        <w:jc w:val="left"/>
        <w:rPr>
          <w:rFonts w:eastAsia="宋体" w:cs="宋体"/>
          <w:color w:val="auto"/>
          <w:highlight w:val="none"/>
        </w:rPr>
      </w:pPr>
      <w:r>
        <w:rPr>
          <w:rFonts w:eastAsia="宋体" w:cs="宋体"/>
          <w:iCs/>
          <w:color w:val="auto"/>
          <w:highlight w:val="none"/>
        </w:rPr>
        <w:t>日期：</w:t>
      </w:r>
    </w:p>
    <w:p w14:paraId="0497A9E5">
      <w:pPr>
        <w:spacing w:line="420" w:lineRule="exact"/>
        <w:ind w:firstLine="566"/>
        <w:jc w:val="left"/>
        <w:outlineLvl w:val="3"/>
        <w:rPr>
          <w:rFonts w:eastAsia="宋体"/>
          <w:b/>
          <w:bCs/>
          <w:color w:val="auto"/>
          <w:highlight w:val="none"/>
        </w:rPr>
        <w:sectPr>
          <w:pgSz w:w="11906" w:h="16838"/>
          <w:pgMar w:top="851" w:right="851" w:bottom="851" w:left="1134" w:header="567" w:footer="471" w:gutter="0"/>
          <w:cols w:space="425" w:num="1"/>
          <w:docGrid w:linePitch="360" w:charSpace="0"/>
        </w:sectPr>
      </w:pPr>
      <w:bookmarkStart w:id="197" w:name="_Hlk174631127"/>
    </w:p>
    <w:p w14:paraId="2BE2BE1D">
      <w:pPr>
        <w:spacing w:line="420" w:lineRule="exact"/>
        <w:ind w:firstLine="566"/>
        <w:jc w:val="left"/>
        <w:outlineLvl w:val="3"/>
        <w:rPr>
          <w:rFonts w:eastAsia="宋体"/>
          <w:b/>
          <w:bCs/>
          <w:color w:val="auto"/>
          <w:highlight w:val="none"/>
        </w:rPr>
      </w:pPr>
      <w:r>
        <w:rPr>
          <w:rFonts w:hint="eastAsia" w:eastAsia="宋体"/>
          <w:b/>
          <w:bCs/>
          <w:color w:val="auto"/>
          <w:highlight w:val="none"/>
        </w:rPr>
        <w:t>附件17：</w:t>
      </w:r>
      <w:bookmarkEnd w:id="197"/>
      <w:r>
        <w:rPr>
          <w:rFonts w:hint="eastAsia" w:eastAsia="宋体"/>
          <w:b/>
          <w:bCs/>
          <w:color w:val="auto"/>
          <w:highlight w:val="none"/>
        </w:rPr>
        <w:t>人员业绩一览表</w:t>
      </w:r>
    </w:p>
    <w:p w14:paraId="220CCD00">
      <w:pPr>
        <w:spacing w:before="240" w:after="240" w:line="420" w:lineRule="exact"/>
        <w:jc w:val="center"/>
        <w:rPr>
          <w:rFonts w:eastAsia="宋体" w:cs="宋体"/>
          <w:b/>
          <w:bCs/>
          <w:color w:val="auto"/>
          <w:highlight w:val="none"/>
        </w:rPr>
      </w:pPr>
      <w:r>
        <w:rPr>
          <w:rFonts w:hint="eastAsia" w:eastAsia="宋体" w:cs="宋体"/>
          <w:b/>
          <w:bCs/>
          <w:color w:val="auto"/>
          <w:sz w:val="28"/>
          <w:szCs w:val="28"/>
          <w:highlight w:val="none"/>
        </w:rPr>
        <w:t>人员业绩一览表</w:t>
      </w:r>
    </w:p>
    <w:tbl>
      <w:tblPr>
        <w:tblStyle w:val="89"/>
        <w:tblW w:w="9456" w:type="dxa"/>
        <w:tblInd w:w="0" w:type="dxa"/>
        <w:tblLayout w:type="fixed"/>
        <w:tblCellMar>
          <w:top w:w="0" w:type="dxa"/>
          <w:left w:w="108" w:type="dxa"/>
          <w:bottom w:w="0" w:type="dxa"/>
          <w:right w:w="108" w:type="dxa"/>
        </w:tblCellMar>
      </w:tblPr>
      <w:tblGrid>
        <w:gridCol w:w="1713"/>
        <w:gridCol w:w="1322"/>
        <w:gridCol w:w="2179"/>
        <w:gridCol w:w="1274"/>
        <w:gridCol w:w="1466"/>
        <w:gridCol w:w="1502"/>
      </w:tblGrid>
      <w:tr w14:paraId="55417061">
        <w:tblPrEx>
          <w:tblCellMar>
            <w:top w:w="0" w:type="dxa"/>
            <w:left w:w="108" w:type="dxa"/>
            <w:bottom w:w="0" w:type="dxa"/>
            <w:right w:w="108" w:type="dxa"/>
          </w:tblCellMar>
        </w:tblPrEx>
        <w:trPr>
          <w:trHeight w:val="1158" w:hRule="atLeast"/>
        </w:trPr>
        <w:tc>
          <w:tcPr>
            <w:tcW w:w="1713" w:type="dxa"/>
            <w:tcBorders>
              <w:top w:val="single" w:color="auto" w:sz="4" w:space="0"/>
              <w:left w:val="single" w:color="auto" w:sz="4" w:space="0"/>
              <w:bottom w:val="single" w:color="auto" w:sz="4" w:space="0"/>
              <w:right w:val="single" w:color="auto" w:sz="4" w:space="0"/>
            </w:tcBorders>
            <w:vAlign w:val="center"/>
          </w:tcPr>
          <w:p w14:paraId="7C599C7A">
            <w:pPr>
              <w:widowControl/>
              <w:spacing w:line="360" w:lineRule="exact"/>
              <w:jc w:val="center"/>
              <w:rPr>
                <w:rFonts w:eastAsia="宋体"/>
                <w:color w:val="auto"/>
                <w:szCs w:val="22"/>
                <w:highlight w:val="none"/>
              </w:rPr>
            </w:pPr>
            <w:r>
              <w:rPr>
                <w:rFonts w:hint="eastAsia" w:eastAsia="宋体"/>
                <w:color w:val="auto"/>
                <w:szCs w:val="22"/>
                <w:highlight w:val="none"/>
              </w:rPr>
              <w:t>序号</w:t>
            </w:r>
          </w:p>
        </w:tc>
        <w:tc>
          <w:tcPr>
            <w:tcW w:w="1322" w:type="dxa"/>
            <w:tcBorders>
              <w:top w:val="single" w:color="auto" w:sz="4" w:space="0"/>
              <w:left w:val="single" w:color="auto" w:sz="4" w:space="0"/>
              <w:bottom w:val="single" w:color="auto" w:sz="4" w:space="0"/>
              <w:right w:val="single" w:color="auto" w:sz="4" w:space="0"/>
            </w:tcBorders>
            <w:vAlign w:val="center"/>
          </w:tcPr>
          <w:p w14:paraId="18393FA7">
            <w:pPr>
              <w:widowControl/>
              <w:spacing w:line="360" w:lineRule="exact"/>
              <w:jc w:val="center"/>
              <w:rPr>
                <w:rFonts w:eastAsia="宋体"/>
                <w:color w:val="auto"/>
                <w:szCs w:val="22"/>
                <w:highlight w:val="none"/>
              </w:rPr>
            </w:pPr>
            <w:r>
              <w:rPr>
                <w:rFonts w:hint="eastAsia" w:eastAsia="宋体"/>
                <w:color w:val="auto"/>
                <w:szCs w:val="22"/>
                <w:highlight w:val="none"/>
              </w:rPr>
              <w:t>姓名</w:t>
            </w:r>
          </w:p>
        </w:tc>
        <w:tc>
          <w:tcPr>
            <w:tcW w:w="2179" w:type="dxa"/>
            <w:tcBorders>
              <w:top w:val="single" w:color="auto" w:sz="4" w:space="0"/>
              <w:left w:val="single" w:color="auto" w:sz="4" w:space="0"/>
              <w:bottom w:val="single" w:color="auto" w:sz="4" w:space="0"/>
              <w:right w:val="single" w:color="auto" w:sz="4" w:space="0"/>
            </w:tcBorders>
            <w:vAlign w:val="center"/>
          </w:tcPr>
          <w:p w14:paraId="747229F0">
            <w:pPr>
              <w:widowControl/>
              <w:spacing w:line="360" w:lineRule="exact"/>
              <w:jc w:val="center"/>
              <w:rPr>
                <w:rFonts w:eastAsia="宋体"/>
                <w:color w:val="auto"/>
                <w:szCs w:val="22"/>
                <w:highlight w:val="none"/>
              </w:rPr>
            </w:pPr>
            <w:r>
              <w:rPr>
                <w:rFonts w:eastAsia="宋体"/>
                <w:color w:val="auto"/>
                <w:szCs w:val="22"/>
                <w:highlight w:val="none"/>
              </w:rPr>
              <w:t>项目名称</w:t>
            </w:r>
          </w:p>
        </w:tc>
        <w:tc>
          <w:tcPr>
            <w:tcW w:w="1274" w:type="dxa"/>
            <w:tcBorders>
              <w:top w:val="single" w:color="auto" w:sz="4" w:space="0"/>
              <w:left w:val="single" w:color="auto" w:sz="4" w:space="0"/>
              <w:bottom w:val="single" w:color="auto" w:sz="4" w:space="0"/>
              <w:right w:val="single" w:color="auto" w:sz="4" w:space="0"/>
            </w:tcBorders>
            <w:vAlign w:val="center"/>
          </w:tcPr>
          <w:p w14:paraId="42A7F08A">
            <w:pPr>
              <w:widowControl/>
              <w:spacing w:line="360" w:lineRule="exact"/>
              <w:jc w:val="center"/>
              <w:rPr>
                <w:rFonts w:eastAsia="宋体"/>
                <w:color w:val="auto"/>
                <w:szCs w:val="22"/>
                <w:highlight w:val="none"/>
              </w:rPr>
            </w:pPr>
            <w:r>
              <w:rPr>
                <w:rFonts w:eastAsia="宋体"/>
                <w:color w:val="auto"/>
                <w:szCs w:val="22"/>
                <w:highlight w:val="none"/>
              </w:rPr>
              <w:t>委托单位</w:t>
            </w:r>
          </w:p>
        </w:tc>
        <w:tc>
          <w:tcPr>
            <w:tcW w:w="1466" w:type="dxa"/>
            <w:tcBorders>
              <w:top w:val="single" w:color="auto" w:sz="4" w:space="0"/>
              <w:left w:val="single" w:color="auto" w:sz="4" w:space="0"/>
              <w:bottom w:val="single" w:color="auto" w:sz="4" w:space="0"/>
              <w:right w:val="single" w:color="auto" w:sz="4" w:space="0"/>
            </w:tcBorders>
            <w:vAlign w:val="center"/>
          </w:tcPr>
          <w:p w14:paraId="2E2847F5">
            <w:pPr>
              <w:widowControl/>
              <w:jc w:val="center"/>
              <w:rPr>
                <w:rFonts w:eastAsia="宋体"/>
                <w:color w:val="auto"/>
                <w:szCs w:val="22"/>
                <w:highlight w:val="none"/>
              </w:rPr>
            </w:pPr>
            <w:r>
              <w:rPr>
                <w:rFonts w:hint="eastAsia" w:eastAsia="宋体"/>
                <w:color w:val="auto"/>
                <w:szCs w:val="22"/>
                <w:highlight w:val="none"/>
              </w:rPr>
              <w:t>协审</w:t>
            </w:r>
            <w:r>
              <w:rPr>
                <w:rFonts w:eastAsia="宋体"/>
                <w:color w:val="auto"/>
                <w:szCs w:val="22"/>
                <w:highlight w:val="none"/>
              </w:rPr>
              <w:t>报告编号</w:t>
            </w:r>
          </w:p>
        </w:tc>
        <w:tc>
          <w:tcPr>
            <w:tcW w:w="1502" w:type="dxa"/>
            <w:tcBorders>
              <w:top w:val="single" w:color="auto" w:sz="4" w:space="0"/>
              <w:left w:val="single" w:color="auto" w:sz="4" w:space="0"/>
              <w:bottom w:val="single" w:color="auto" w:sz="4" w:space="0"/>
              <w:right w:val="single" w:color="auto" w:sz="4" w:space="0"/>
            </w:tcBorders>
            <w:vAlign w:val="center"/>
          </w:tcPr>
          <w:p w14:paraId="6375F8FB">
            <w:pPr>
              <w:widowControl/>
              <w:spacing w:line="360" w:lineRule="exact"/>
              <w:jc w:val="center"/>
              <w:rPr>
                <w:rFonts w:eastAsia="宋体"/>
                <w:color w:val="auto"/>
                <w:szCs w:val="22"/>
                <w:highlight w:val="none"/>
              </w:rPr>
            </w:pPr>
            <w:r>
              <w:rPr>
                <w:rFonts w:hint="eastAsia" w:eastAsia="宋体"/>
                <w:color w:val="auto"/>
                <w:szCs w:val="22"/>
                <w:highlight w:val="none"/>
              </w:rPr>
              <w:t>协审报告出具</w:t>
            </w:r>
            <w:r>
              <w:rPr>
                <w:rFonts w:eastAsia="宋体"/>
                <w:color w:val="auto"/>
                <w:szCs w:val="22"/>
                <w:highlight w:val="none"/>
              </w:rPr>
              <w:t>时间</w:t>
            </w:r>
          </w:p>
        </w:tc>
      </w:tr>
      <w:tr w14:paraId="175E6D2B">
        <w:tblPrEx>
          <w:tblCellMar>
            <w:top w:w="0" w:type="dxa"/>
            <w:left w:w="108" w:type="dxa"/>
            <w:bottom w:w="0" w:type="dxa"/>
            <w:right w:w="108" w:type="dxa"/>
          </w:tblCellMar>
        </w:tblPrEx>
        <w:trPr>
          <w:trHeight w:val="881" w:hRule="atLeast"/>
        </w:trPr>
        <w:tc>
          <w:tcPr>
            <w:tcW w:w="1713" w:type="dxa"/>
            <w:tcBorders>
              <w:top w:val="nil"/>
              <w:left w:val="single" w:color="auto" w:sz="4" w:space="0"/>
              <w:bottom w:val="single" w:color="auto" w:sz="4" w:space="0"/>
              <w:right w:val="single" w:color="auto" w:sz="4" w:space="0"/>
            </w:tcBorders>
            <w:vAlign w:val="center"/>
          </w:tcPr>
          <w:p w14:paraId="44E681EB">
            <w:pPr>
              <w:widowControl/>
              <w:spacing w:line="360" w:lineRule="exact"/>
              <w:jc w:val="center"/>
              <w:rPr>
                <w:rFonts w:eastAsia="宋体"/>
                <w:color w:val="auto"/>
                <w:sz w:val="21"/>
                <w:szCs w:val="21"/>
                <w:highlight w:val="none"/>
              </w:rPr>
            </w:pPr>
            <w:r>
              <w:rPr>
                <w:rFonts w:hint="eastAsia" w:eastAsia="宋体"/>
                <w:color w:val="auto"/>
                <w:sz w:val="21"/>
                <w:szCs w:val="21"/>
                <w:highlight w:val="none"/>
              </w:rPr>
              <w:t>项目负责人</w:t>
            </w:r>
          </w:p>
        </w:tc>
        <w:tc>
          <w:tcPr>
            <w:tcW w:w="1322" w:type="dxa"/>
            <w:tcBorders>
              <w:top w:val="single" w:color="auto" w:sz="4" w:space="0"/>
              <w:left w:val="nil"/>
              <w:bottom w:val="single" w:color="auto" w:sz="4" w:space="0"/>
              <w:right w:val="single" w:color="auto" w:sz="4" w:space="0"/>
            </w:tcBorders>
            <w:vAlign w:val="center"/>
          </w:tcPr>
          <w:p w14:paraId="0FD14500">
            <w:pPr>
              <w:widowControl/>
              <w:spacing w:line="360" w:lineRule="exact"/>
              <w:jc w:val="center"/>
              <w:rPr>
                <w:rFonts w:eastAsia="宋体"/>
                <w:color w:val="auto"/>
                <w:sz w:val="21"/>
                <w:szCs w:val="21"/>
                <w:highlight w:val="none"/>
              </w:rPr>
            </w:pPr>
          </w:p>
        </w:tc>
        <w:tc>
          <w:tcPr>
            <w:tcW w:w="2179" w:type="dxa"/>
            <w:tcBorders>
              <w:top w:val="single" w:color="auto" w:sz="4" w:space="0"/>
              <w:left w:val="single" w:color="auto" w:sz="4" w:space="0"/>
              <w:bottom w:val="single" w:color="auto" w:sz="4" w:space="0"/>
              <w:right w:val="single" w:color="auto" w:sz="4" w:space="0"/>
            </w:tcBorders>
            <w:vAlign w:val="center"/>
          </w:tcPr>
          <w:p w14:paraId="0FF83133">
            <w:pPr>
              <w:widowControl/>
              <w:spacing w:line="360" w:lineRule="exact"/>
              <w:rPr>
                <w:rFonts w:eastAsia="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3C32A9F6">
            <w:pPr>
              <w:widowControl/>
              <w:spacing w:line="360" w:lineRule="exact"/>
              <w:rPr>
                <w:rFonts w:eastAsia="宋体"/>
                <w:color w:val="auto"/>
                <w:sz w:val="21"/>
                <w:szCs w:val="21"/>
                <w:highlight w:val="none"/>
              </w:rPr>
            </w:pPr>
          </w:p>
        </w:tc>
        <w:tc>
          <w:tcPr>
            <w:tcW w:w="1466" w:type="dxa"/>
            <w:tcBorders>
              <w:top w:val="nil"/>
              <w:left w:val="nil"/>
              <w:bottom w:val="single" w:color="auto" w:sz="4" w:space="0"/>
              <w:right w:val="single" w:color="auto" w:sz="4" w:space="0"/>
            </w:tcBorders>
            <w:vAlign w:val="center"/>
          </w:tcPr>
          <w:p w14:paraId="6BB4F170">
            <w:pPr>
              <w:widowControl/>
              <w:spacing w:line="360" w:lineRule="exact"/>
              <w:rPr>
                <w:rFonts w:eastAsia="宋体"/>
                <w:color w:val="auto"/>
                <w:sz w:val="21"/>
                <w:szCs w:val="21"/>
                <w:highlight w:val="none"/>
              </w:rPr>
            </w:pPr>
          </w:p>
        </w:tc>
        <w:tc>
          <w:tcPr>
            <w:tcW w:w="1502" w:type="dxa"/>
            <w:tcBorders>
              <w:top w:val="nil"/>
              <w:left w:val="nil"/>
              <w:bottom w:val="single" w:color="auto" w:sz="4" w:space="0"/>
              <w:right w:val="single" w:color="auto" w:sz="4" w:space="0"/>
            </w:tcBorders>
            <w:vAlign w:val="center"/>
          </w:tcPr>
          <w:p w14:paraId="0A22CFEA">
            <w:pPr>
              <w:widowControl/>
              <w:spacing w:line="360" w:lineRule="exact"/>
              <w:rPr>
                <w:rFonts w:eastAsia="宋体"/>
                <w:color w:val="auto"/>
                <w:sz w:val="21"/>
                <w:szCs w:val="21"/>
                <w:highlight w:val="none"/>
              </w:rPr>
            </w:pPr>
          </w:p>
        </w:tc>
      </w:tr>
      <w:tr w14:paraId="11C77701">
        <w:tblPrEx>
          <w:tblCellMar>
            <w:top w:w="0" w:type="dxa"/>
            <w:left w:w="108" w:type="dxa"/>
            <w:bottom w:w="0" w:type="dxa"/>
            <w:right w:w="108" w:type="dxa"/>
          </w:tblCellMar>
        </w:tblPrEx>
        <w:trPr>
          <w:trHeight w:val="881" w:hRule="atLeast"/>
        </w:trPr>
        <w:tc>
          <w:tcPr>
            <w:tcW w:w="1713" w:type="dxa"/>
            <w:tcBorders>
              <w:top w:val="nil"/>
              <w:left w:val="single" w:color="auto" w:sz="4" w:space="0"/>
              <w:bottom w:val="single" w:color="auto" w:sz="4" w:space="0"/>
              <w:right w:val="single" w:color="auto" w:sz="4" w:space="0"/>
            </w:tcBorders>
            <w:vAlign w:val="center"/>
          </w:tcPr>
          <w:p w14:paraId="1D4A64DA">
            <w:pPr>
              <w:widowControl/>
              <w:spacing w:line="360" w:lineRule="exact"/>
              <w:jc w:val="center"/>
              <w:rPr>
                <w:rFonts w:eastAsia="宋体"/>
                <w:color w:val="auto"/>
                <w:sz w:val="21"/>
                <w:szCs w:val="21"/>
                <w:highlight w:val="none"/>
              </w:rPr>
            </w:pPr>
            <w:r>
              <w:rPr>
                <w:rFonts w:hint="eastAsia" w:eastAsia="宋体"/>
                <w:color w:val="auto"/>
                <w:sz w:val="21"/>
                <w:szCs w:val="21"/>
                <w:highlight w:val="none"/>
              </w:rPr>
              <w:t>项目组成人员1</w:t>
            </w:r>
          </w:p>
        </w:tc>
        <w:tc>
          <w:tcPr>
            <w:tcW w:w="1322" w:type="dxa"/>
            <w:tcBorders>
              <w:top w:val="single" w:color="auto" w:sz="4" w:space="0"/>
              <w:left w:val="nil"/>
              <w:bottom w:val="single" w:color="auto" w:sz="4" w:space="0"/>
              <w:right w:val="single" w:color="auto" w:sz="4" w:space="0"/>
            </w:tcBorders>
            <w:vAlign w:val="center"/>
          </w:tcPr>
          <w:p w14:paraId="3A324541">
            <w:pPr>
              <w:widowControl/>
              <w:spacing w:line="360" w:lineRule="exact"/>
              <w:jc w:val="center"/>
              <w:rPr>
                <w:rFonts w:eastAsia="宋体"/>
                <w:color w:val="auto"/>
                <w:sz w:val="21"/>
                <w:szCs w:val="21"/>
                <w:highlight w:val="none"/>
              </w:rPr>
            </w:pPr>
          </w:p>
        </w:tc>
        <w:tc>
          <w:tcPr>
            <w:tcW w:w="2179" w:type="dxa"/>
            <w:tcBorders>
              <w:top w:val="single" w:color="auto" w:sz="4" w:space="0"/>
              <w:left w:val="single" w:color="auto" w:sz="4" w:space="0"/>
              <w:bottom w:val="single" w:color="auto" w:sz="4" w:space="0"/>
              <w:right w:val="single" w:color="auto" w:sz="4" w:space="0"/>
            </w:tcBorders>
            <w:vAlign w:val="center"/>
          </w:tcPr>
          <w:p w14:paraId="3B808163">
            <w:pPr>
              <w:widowControl/>
              <w:spacing w:line="360" w:lineRule="exact"/>
              <w:rPr>
                <w:rFonts w:eastAsia="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09791A29">
            <w:pPr>
              <w:widowControl/>
              <w:spacing w:line="360" w:lineRule="exact"/>
              <w:rPr>
                <w:rFonts w:eastAsia="宋体"/>
                <w:color w:val="auto"/>
                <w:sz w:val="21"/>
                <w:szCs w:val="21"/>
                <w:highlight w:val="none"/>
              </w:rPr>
            </w:pPr>
          </w:p>
        </w:tc>
        <w:tc>
          <w:tcPr>
            <w:tcW w:w="1466" w:type="dxa"/>
            <w:tcBorders>
              <w:top w:val="nil"/>
              <w:left w:val="nil"/>
              <w:bottom w:val="single" w:color="auto" w:sz="4" w:space="0"/>
              <w:right w:val="single" w:color="auto" w:sz="4" w:space="0"/>
            </w:tcBorders>
            <w:vAlign w:val="center"/>
          </w:tcPr>
          <w:p w14:paraId="737280FB">
            <w:pPr>
              <w:widowControl/>
              <w:spacing w:line="360" w:lineRule="exact"/>
              <w:rPr>
                <w:rFonts w:eastAsia="宋体"/>
                <w:color w:val="auto"/>
                <w:sz w:val="21"/>
                <w:szCs w:val="21"/>
                <w:highlight w:val="none"/>
              </w:rPr>
            </w:pPr>
          </w:p>
        </w:tc>
        <w:tc>
          <w:tcPr>
            <w:tcW w:w="1502" w:type="dxa"/>
            <w:tcBorders>
              <w:top w:val="nil"/>
              <w:left w:val="nil"/>
              <w:bottom w:val="single" w:color="auto" w:sz="4" w:space="0"/>
              <w:right w:val="single" w:color="auto" w:sz="4" w:space="0"/>
            </w:tcBorders>
            <w:vAlign w:val="center"/>
          </w:tcPr>
          <w:p w14:paraId="0F8D2F7D">
            <w:pPr>
              <w:widowControl/>
              <w:spacing w:line="360" w:lineRule="exact"/>
              <w:rPr>
                <w:rFonts w:eastAsia="宋体"/>
                <w:color w:val="auto"/>
                <w:sz w:val="21"/>
                <w:szCs w:val="21"/>
                <w:highlight w:val="none"/>
              </w:rPr>
            </w:pPr>
          </w:p>
        </w:tc>
      </w:tr>
      <w:tr w14:paraId="155FD981">
        <w:tblPrEx>
          <w:tblCellMar>
            <w:top w:w="0" w:type="dxa"/>
            <w:left w:w="108" w:type="dxa"/>
            <w:bottom w:w="0" w:type="dxa"/>
            <w:right w:w="108" w:type="dxa"/>
          </w:tblCellMar>
        </w:tblPrEx>
        <w:trPr>
          <w:trHeight w:val="527" w:hRule="atLeast"/>
        </w:trPr>
        <w:tc>
          <w:tcPr>
            <w:tcW w:w="1713" w:type="dxa"/>
            <w:tcBorders>
              <w:top w:val="nil"/>
              <w:left w:val="single" w:color="auto" w:sz="4" w:space="0"/>
              <w:bottom w:val="nil"/>
              <w:right w:val="single" w:color="auto" w:sz="4" w:space="0"/>
            </w:tcBorders>
            <w:vAlign w:val="center"/>
          </w:tcPr>
          <w:p w14:paraId="5FFA81D4">
            <w:pPr>
              <w:widowControl/>
              <w:spacing w:line="360" w:lineRule="exact"/>
              <w:jc w:val="center"/>
              <w:rPr>
                <w:rFonts w:eastAsia="宋体"/>
                <w:color w:val="auto"/>
                <w:sz w:val="21"/>
                <w:szCs w:val="21"/>
                <w:highlight w:val="none"/>
              </w:rPr>
            </w:pPr>
            <w:r>
              <w:rPr>
                <w:rFonts w:hint="eastAsia" w:eastAsia="宋体"/>
                <w:color w:val="auto"/>
                <w:sz w:val="21"/>
                <w:szCs w:val="21"/>
                <w:highlight w:val="none"/>
              </w:rPr>
              <w:t>项目组成人员2</w:t>
            </w:r>
          </w:p>
        </w:tc>
        <w:tc>
          <w:tcPr>
            <w:tcW w:w="1322" w:type="dxa"/>
            <w:tcBorders>
              <w:top w:val="single" w:color="auto" w:sz="4" w:space="0"/>
              <w:left w:val="nil"/>
              <w:bottom w:val="single" w:color="auto" w:sz="4" w:space="0"/>
              <w:right w:val="single" w:color="auto" w:sz="4" w:space="0"/>
            </w:tcBorders>
            <w:vAlign w:val="center"/>
          </w:tcPr>
          <w:p w14:paraId="0AB5B866">
            <w:pPr>
              <w:widowControl/>
              <w:spacing w:line="360" w:lineRule="exact"/>
              <w:jc w:val="center"/>
              <w:rPr>
                <w:rFonts w:eastAsia="宋体"/>
                <w:color w:val="auto"/>
                <w:sz w:val="21"/>
                <w:szCs w:val="21"/>
                <w:highlight w:val="none"/>
              </w:rPr>
            </w:pPr>
          </w:p>
        </w:tc>
        <w:tc>
          <w:tcPr>
            <w:tcW w:w="2179" w:type="dxa"/>
            <w:tcBorders>
              <w:top w:val="single" w:color="auto" w:sz="4" w:space="0"/>
              <w:left w:val="single" w:color="auto" w:sz="4" w:space="0"/>
              <w:bottom w:val="single" w:color="auto" w:sz="4" w:space="0"/>
              <w:right w:val="single" w:color="auto" w:sz="4" w:space="0"/>
            </w:tcBorders>
            <w:vAlign w:val="center"/>
          </w:tcPr>
          <w:p w14:paraId="4A6DCCEC">
            <w:pPr>
              <w:widowControl/>
              <w:spacing w:line="360" w:lineRule="exact"/>
              <w:rPr>
                <w:rFonts w:eastAsia="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12CD7653">
            <w:pPr>
              <w:widowControl/>
              <w:spacing w:line="360" w:lineRule="exact"/>
              <w:rPr>
                <w:rFonts w:eastAsia="宋体"/>
                <w:color w:val="auto"/>
                <w:sz w:val="21"/>
                <w:szCs w:val="21"/>
                <w:highlight w:val="none"/>
              </w:rPr>
            </w:pPr>
          </w:p>
        </w:tc>
        <w:tc>
          <w:tcPr>
            <w:tcW w:w="1466" w:type="dxa"/>
            <w:tcBorders>
              <w:top w:val="nil"/>
              <w:left w:val="nil"/>
              <w:bottom w:val="nil"/>
              <w:right w:val="single" w:color="auto" w:sz="4" w:space="0"/>
            </w:tcBorders>
            <w:vAlign w:val="center"/>
          </w:tcPr>
          <w:p w14:paraId="54E1D0DF">
            <w:pPr>
              <w:widowControl/>
              <w:spacing w:line="360" w:lineRule="exact"/>
              <w:rPr>
                <w:rFonts w:eastAsia="宋体"/>
                <w:color w:val="auto"/>
                <w:sz w:val="21"/>
                <w:szCs w:val="21"/>
                <w:highlight w:val="none"/>
              </w:rPr>
            </w:pPr>
          </w:p>
        </w:tc>
        <w:tc>
          <w:tcPr>
            <w:tcW w:w="1502" w:type="dxa"/>
            <w:tcBorders>
              <w:top w:val="nil"/>
              <w:left w:val="nil"/>
              <w:bottom w:val="nil"/>
              <w:right w:val="single" w:color="auto" w:sz="4" w:space="0"/>
            </w:tcBorders>
            <w:vAlign w:val="center"/>
          </w:tcPr>
          <w:p w14:paraId="7228831A">
            <w:pPr>
              <w:widowControl/>
              <w:spacing w:line="360" w:lineRule="exact"/>
              <w:rPr>
                <w:rFonts w:eastAsia="宋体"/>
                <w:color w:val="auto"/>
                <w:sz w:val="21"/>
                <w:szCs w:val="21"/>
                <w:highlight w:val="none"/>
              </w:rPr>
            </w:pPr>
          </w:p>
        </w:tc>
      </w:tr>
      <w:tr w14:paraId="6BACAD12">
        <w:tblPrEx>
          <w:tblCellMar>
            <w:top w:w="0" w:type="dxa"/>
            <w:left w:w="108" w:type="dxa"/>
            <w:bottom w:w="0" w:type="dxa"/>
            <w:right w:w="108" w:type="dxa"/>
          </w:tblCellMar>
        </w:tblPrEx>
        <w:trPr>
          <w:trHeight w:val="467" w:hRule="atLeast"/>
        </w:trPr>
        <w:tc>
          <w:tcPr>
            <w:tcW w:w="1713" w:type="dxa"/>
            <w:tcBorders>
              <w:top w:val="nil"/>
              <w:left w:val="single" w:color="auto" w:sz="4" w:space="0"/>
              <w:bottom w:val="single" w:color="auto" w:sz="4" w:space="0"/>
              <w:right w:val="single" w:color="auto" w:sz="4" w:space="0"/>
            </w:tcBorders>
            <w:vAlign w:val="center"/>
          </w:tcPr>
          <w:p w14:paraId="2518BCDF">
            <w:pPr>
              <w:widowControl/>
              <w:spacing w:line="360" w:lineRule="exact"/>
              <w:jc w:val="center"/>
              <w:rPr>
                <w:rFonts w:eastAsia="宋体"/>
                <w:color w:val="auto"/>
                <w:sz w:val="21"/>
                <w:szCs w:val="21"/>
                <w:highlight w:val="none"/>
              </w:rPr>
            </w:pPr>
            <w:r>
              <w:rPr>
                <w:rFonts w:hint="eastAsia" w:eastAsia="宋体"/>
                <w:color w:val="auto"/>
                <w:sz w:val="21"/>
                <w:szCs w:val="21"/>
                <w:highlight w:val="none"/>
              </w:rPr>
              <w:t>........</w:t>
            </w:r>
          </w:p>
        </w:tc>
        <w:tc>
          <w:tcPr>
            <w:tcW w:w="1322" w:type="dxa"/>
            <w:tcBorders>
              <w:top w:val="single" w:color="auto" w:sz="4" w:space="0"/>
              <w:left w:val="nil"/>
              <w:bottom w:val="single" w:color="auto" w:sz="4" w:space="0"/>
              <w:right w:val="single" w:color="auto" w:sz="4" w:space="0"/>
            </w:tcBorders>
            <w:vAlign w:val="center"/>
          </w:tcPr>
          <w:p w14:paraId="1ED701BF">
            <w:pPr>
              <w:widowControl/>
              <w:spacing w:line="360" w:lineRule="exact"/>
              <w:jc w:val="center"/>
              <w:rPr>
                <w:rFonts w:eastAsia="宋体"/>
                <w:color w:val="auto"/>
                <w:sz w:val="21"/>
                <w:szCs w:val="21"/>
                <w:highlight w:val="none"/>
              </w:rPr>
            </w:pPr>
          </w:p>
        </w:tc>
        <w:tc>
          <w:tcPr>
            <w:tcW w:w="2179" w:type="dxa"/>
            <w:tcBorders>
              <w:top w:val="single" w:color="auto" w:sz="4" w:space="0"/>
              <w:left w:val="single" w:color="auto" w:sz="4" w:space="0"/>
              <w:bottom w:val="single" w:color="auto" w:sz="4" w:space="0"/>
              <w:right w:val="single" w:color="auto" w:sz="4" w:space="0"/>
            </w:tcBorders>
            <w:vAlign w:val="center"/>
          </w:tcPr>
          <w:p w14:paraId="61411519">
            <w:pPr>
              <w:widowControl/>
              <w:spacing w:line="360" w:lineRule="exact"/>
              <w:rPr>
                <w:rFonts w:eastAsia="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7FA5DE5B">
            <w:pPr>
              <w:widowControl/>
              <w:spacing w:line="360" w:lineRule="exact"/>
              <w:rPr>
                <w:rFonts w:eastAsia="宋体"/>
                <w:color w:val="auto"/>
                <w:sz w:val="21"/>
                <w:szCs w:val="21"/>
                <w:highlight w:val="none"/>
              </w:rPr>
            </w:pPr>
          </w:p>
        </w:tc>
        <w:tc>
          <w:tcPr>
            <w:tcW w:w="1466" w:type="dxa"/>
            <w:tcBorders>
              <w:top w:val="nil"/>
              <w:left w:val="nil"/>
              <w:bottom w:val="single" w:color="auto" w:sz="4" w:space="0"/>
              <w:right w:val="single" w:color="auto" w:sz="4" w:space="0"/>
            </w:tcBorders>
            <w:vAlign w:val="center"/>
          </w:tcPr>
          <w:p w14:paraId="4433D9D1">
            <w:pPr>
              <w:widowControl/>
              <w:spacing w:line="360" w:lineRule="exact"/>
              <w:rPr>
                <w:rFonts w:eastAsia="宋体"/>
                <w:color w:val="auto"/>
                <w:sz w:val="21"/>
                <w:szCs w:val="21"/>
                <w:highlight w:val="none"/>
              </w:rPr>
            </w:pPr>
          </w:p>
        </w:tc>
        <w:tc>
          <w:tcPr>
            <w:tcW w:w="1502" w:type="dxa"/>
            <w:tcBorders>
              <w:top w:val="nil"/>
              <w:left w:val="nil"/>
              <w:bottom w:val="single" w:color="auto" w:sz="4" w:space="0"/>
              <w:right w:val="single" w:color="auto" w:sz="4" w:space="0"/>
            </w:tcBorders>
            <w:vAlign w:val="center"/>
          </w:tcPr>
          <w:p w14:paraId="4D50FBA0">
            <w:pPr>
              <w:widowControl/>
              <w:spacing w:line="360" w:lineRule="exact"/>
              <w:rPr>
                <w:rFonts w:eastAsia="宋体"/>
                <w:color w:val="auto"/>
                <w:sz w:val="21"/>
                <w:szCs w:val="21"/>
                <w:highlight w:val="none"/>
              </w:rPr>
            </w:pPr>
          </w:p>
        </w:tc>
      </w:tr>
    </w:tbl>
    <w:p w14:paraId="393F2DF1">
      <w:pPr>
        <w:spacing w:line="420" w:lineRule="exact"/>
        <w:ind w:firstLine="567"/>
        <w:jc w:val="left"/>
        <w:rPr>
          <w:rFonts w:eastAsia="宋体" w:cs="宋体"/>
          <w:color w:val="auto"/>
          <w:highlight w:val="none"/>
        </w:rPr>
      </w:pPr>
    </w:p>
    <w:p w14:paraId="7AFE7826">
      <w:pPr>
        <w:spacing w:line="420" w:lineRule="exact"/>
        <w:ind w:firstLine="567"/>
        <w:jc w:val="left"/>
        <w:rPr>
          <w:rFonts w:eastAsia="宋体" w:cs="宋体"/>
          <w:b/>
          <w:bCs/>
          <w:iCs/>
          <w:color w:val="auto"/>
          <w:highlight w:val="none"/>
        </w:rPr>
      </w:pPr>
      <w:r>
        <w:rPr>
          <w:rFonts w:hint="eastAsia" w:eastAsia="宋体" w:cs="宋体"/>
          <w:b/>
          <w:bCs/>
          <w:iCs/>
          <w:color w:val="auto"/>
          <w:highlight w:val="none"/>
        </w:rPr>
        <w:t>注：</w:t>
      </w:r>
    </w:p>
    <w:p w14:paraId="64ED081C">
      <w:pPr>
        <w:spacing w:line="420" w:lineRule="exact"/>
        <w:ind w:firstLine="567"/>
        <w:jc w:val="left"/>
        <w:rPr>
          <w:rFonts w:eastAsia="宋体" w:cs="宋体"/>
          <w:iCs/>
          <w:color w:val="auto"/>
          <w:highlight w:val="none"/>
        </w:rPr>
      </w:pPr>
      <w:r>
        <w:rPr>
          <w:rFonts w:hint="eastAsia" w:eastAsia="宋体" w:cs="宋体"/>
          <w:iCs/>
          <w:color w:val="auto"/>
          <w:highlight w:val="none"/>
        </w:rPr>
        <w:t>1.上述人员业绩必须是2022年1月1日以来，拟投入项目造价从业人员负责或参与完成的工程协审业务业绩。</w:t>
      </w:r>
    </w:p>
    <w:p w14:paraId="3BC9E008">
      <w:pPr>
        <w:spacing w:line="420" w:lineRule="exact"/>
        <w:ind w:firstLine="567"/>
        <w:jc w:val="left"/>
        <w:rPr>
          <w:rFonts w:eastAsia="宋体" w:cs="宋体"/>
          <w:iCs/>
          <w:color w:val="auto"/>
          <w:highlight w:val="none"/>
        </w:rPr>
      </w:pPr>
      <w:r>
        <w:rPr>
          <w:rFonts w:hint="eastAsia" w:eastAsia="宋体" w:cs="宋体"/>
          <w:iCs/>
          <w:color w:val="auto"/>
          <w:highlight w:val="none"/>
        </w:rPr>
        <w:t>2.人员业绩须提供“①相关委托协审咨询服务合同；②</w:t>
      </w:r>
      <w:bookmarkStart w:id="198" w:name="_Hlk188279163"/>
      <w:r>
        <w:rPr>
          <w:rFonts w:hint="eastAsia" w:eastAsia="宋体" w:cs="宋体"/>
          <w:iCs/>
          <w:color w:val="auto"/>
          <w:highlight w:val="none"/>
        </w:rPr>
        <w:t>符合造价执业规范的项目协审报告并含有审定单</w:t>
      </w:r>
      <w:bookmarkEnd w:id="198"/>
      <w:r>
        <w:rPr>
          <w:rFonts w:hint="eastAsia" w:eastAsia="宋体" w:cs="宋体"/>
          <w:iCs/>
          <w:color w:val="auto"/>
          <w:highlight w:val="none"/>
        </w:rPr>
        <w:t>”这2项证明材料。</w:t>
      </w:r>
    </w:p>
    <w:p w14:paraId="1A8A40A7">
      <w:pPr>
        <w:spacing w:line="420" w:lineRule="exact"/>
        <w:ind w:firstLine="567"/>
        <w:jc w:val="left"/>
        <w:rPr>
          <w:rFonts w:eastAsia="宋体" w:cs="宋体"/>
          <w:iCs/>
          <w:color w:val="auto"/>
          <w:highlight w:val="none"/>
        </w:rPr>
      </w:pPr>
      <w:r>
        <w:rPr>
          <w:rFonts w:hint="eastAsia" w:eastAsia="宋体" w:cs="宋体"/>
          <w:iCs/>
          <w:color w:val="auto"/>
          <w:highlight w:val="none"/>
        </w:rPr>
        <w:t>若①或②材料中未明确项目组成员，则须增加提供与②材料一致的：经相关委托协审咨询服务合同委托方盖章确认的含有“协审项目名称、项目送审价、审定价、项目组成员名单”这4要素齐全的“证明材料”。</w:t>
      </w:r>
    </w:p>
    <w:p w14:paraId="16DC2E4D">
      <w:pPr>
        <w:spacing w:line="420" w:lineRule="exact"/>
        <w:ind w:firstLine="567"/>
        <w:jc w:val="left"/>
        <w:rPr>
          <w:rFonts w:eastAsia="宋体" w:cs="宋体"/>
          <w:iCs/>
          <w:color w:val="auto"/>
          <w:highlight w:val="none"/>
        </w:rPr>
      </w:pPr>
      <w:r>
        <w:rPr>
          <w:rFonts w:hint="eastAsia" w:eastAsia="宋体" w:cs="宋体"/>
          <w:iCs/>
          <w:color w:val="auto"/>
          <w:highlight w:val="none"/>
        </w:rPr>
        <w:t>3.人员业绩不重复得分，如相关委托协审咨询服务合同或符合造价执业规范的项目协审报告并含有审定单或经委托方盖章确认的“证明材料”中，单个项目审核人员为多人的，则仅能作为该业绩项目的一人业绩得1次分。</w:t>
      </w:r>
    </w:p>
    <w:p w14:paraId="02918A44">
      <w:pPr>
        <w:spacing w:line="420" w:lineRule="exact"/>
        <w:ind w:firstLine="567"/>
        <w:jc w:val="left"/>
        <w:rPr>
          <w:rFonts w:eastAsia="宋体" w:cs="宋体"/>
          <w:b/>
          <w:bCs/>
          <w:iCs/>
          <w:color w:val="auto"/>
          <w:highlight w:val="none"/>
        </w:rPr>
      </w:pPr>
      <w:r>
        <w:rPr>
          <w:rFonts w:hint="eastAsia" w:eastAsia="宋体" w:cs="宋体"/>
          <w:iCs/>
          <w:color w:val="auto"/>
          <w:highlight w:val="none"/>
        </w:rPr>
        <w:t>4.提供的项目协审报告，应“对应”拟投入人员，如人员情况不一致，此项不得分。如因序</w:t>
      </w:r>
      <w:r>
        <w:rPr>
          <w:rFonts w:hint="eastAsia" w:eastAsia="宋体" w:cs="宋体"/>
          <w:b/>
          <w:bCs/>
          <w:iCs/>
          <w:color w:val="auto"/>
          <w:highlight w:val="none"/>
        </w:rPr>
        <w:t>号错误造成的后果由供应商负责。</w:t>
      </w:r>
    </w:p>
    <w:p w14:paraId="6547E819">
      <w:pPr>
        <w:spacing w:line="420" w:lineRule="exact"/>
        <w:ind w:firstLine="567"/>
        <w:jc w:val="left"/>
        <w:rPr>
          <w:rFonts w:eastAsia="宋体" w:cs="宋体"/>
          <w:b/>
          <w:bCs/>
          <w:iCs/>
          <w:color w:val="auto"/>
          <w:highlight w:val="none"/>
          <w:u w:val="single"/>
        </w:rPr>
      </w:pPr>
      <w:r>
        <w:rPr>
          <w:rFonts w:hint="eastAsia" w:eastAsia="宋体" w:cs="宋体"/>
          <w:b/>
          <w:bCs/>
          <w:iCs/>
          <w:color w:val="auto"/>
          <w:highlight w:val="none"/>
          <w:u w:val="single"/>
        </w:rPr>
        <w:t>拟投入人员编号为“附件16：供应商造价人员一览表”中，人员姓名前的序号栏中填具的编号。</w:t>
      </w:r>
    </w:p>
    <w:p w14:paraId="7AE9B1A1">
      <w:pPr>
        <w:spacing w:line="420" w:lineRule="exact"/>
        <w:ind w:firstLine="567"/>
        <w:jc w:val="left"/>
        <w:rPr>
          <w:rFonts w:eastAsia="宋体" w:cs="宋体"/>
          <w:iCs/>
          <w:color w:val="auto"/>
          <w:highlight w:val="none"/>
        </w:rPr>
      </w:pPr>
      <w:r>
        <w:rPr>
          <w:rFonts w:hint="eastAsia" w:eastAsia="宋体" w:cs="宋体"/>
          <w:iCs/>
          <w:color w:val="auto"/>
          <w:highlight w:val="none"/>
        </w:rPr>
        <w:t>5.</w:t>
      </w:r>
      <w:r>
        <w:rPr>
          <w:rFonts w:hint="eastAsia" w:eastAsia="宋体" w:cs="宋体"/>
          <w:b/>
          <w:bCs/>
          <w:iCs/>
          <w:color w:val="auto"/>
          <w:highlight w:val="none"/>
          <w:u w:val="single"/>
        </w:rPr>
        <w:t>企业业绩与人员业绩不重复得分</w:t>
      </w:r>
      <w:r>
        <w:rPr>
          <w:rFonts w:hint="eastAsia" w:eastAsia="宋体" w:cs="宋体"/>
          <w:iCs/>
          <w:color w:val="auto"/>
          <w:highlight w:val="none"/>
        </w:rPr>
        <w:t>；</w:t>
      </w:r>
    </w:p>
    <w:p w14:paraId="63B181D6">
      <w:pPr>
        <w:spacing w:line="420" w:lineRule="exact"/>
        <w:ind w:firstLine="567"/>
        <w:jc w:val="left"/>
        <w:rPr>
          <w:rFonts w:eastAsia="宋体" w:cs="宋体"/>
          <w:iCs/>
          <w:color w:val="auto"/>
          <w:highlight w:val="none"/>
        </w:rPr>
      </w:pPr>
      <w:r>
        <w:rPr>
          <w:rFonts w:hint="eastAsia" w:eastAsia="宋体" w:cs="宋体"/>
          <w:iCs/>
          <w:color w:val="auto"/>
          <w:highlight w:val="none"/>
        </w:rPr>
        <w:t>6.供应商应当提供填列的《拟投入项目造价从业人员审核情况一览表》（不填列不得分。）及按规定提供的证明材料（附本表后）。</w:t>
      </w:r>
    </w:p>
    <w:p w14:paraId="084DDEDC">
      <w:pPr>
        <w:spacing w:line="420" w:lineRule="exact"/>
        <w:ind w:firstLine="567"/>
        <w:jc w:val="left"/>
        <w:rPr>
          <w:rFonts w:eastAsia="宋体" w:cs="宋体"/>
          <w:iCs/>
          <w:color w:val="auto"/>
          <w:highlight w:val="none"/>
        </w:rPr>
      </w:pPr>
      <w:r>
        <w:rPr>
          <w:rFonts w:hint="eastAsia" w:eastAsia="宋体" w:cs="宋体"/>
          <w:iCs/>
          <w:color w:val="auto"/>
          <w:highlight w:val="none"/>
        </w:rPr>
        <w:t>7.所有上传的材料须加盖供应商CA公章，否则不得分。</w:t>
      </w:r>
    </w:p>
    <w:p w14:paraId="080366E9">
      <w:pPr>
        <w:spacing w:line="420" w:lineRule="exact"/>
        <w:ind w:firstLine="567"/>
        <w:jc w:val="left"/>
        <w:rPr>
          <w:rFonts w:eastAsia="宋体" w:cs="宋体"/>
          <w:iCs/>
          <w:color w:val="auto"/>
          <w:highlight w:val="none"/>
        </w:rPr>
      </w:pPr>
    </w:p>
    <w:p w14:paraId="6D40C04E">
      <w:pPr>
        <w:spacing w:line="420" w:lineRule="exact"/>
        <w:ind w:firstLine="567"/>
        <w:jc w:val="left"/>
        <w:rPr>
          <w:rFonts w:eastAsia="宋体" w:cs="宋体"/>
          <w:iCs/>
          <w:color w:val="auto"/>
          <w:highlight w:val="none"/>
        </w:rPr>
      </w:pPr>
      <w:r>
        <w:rPr>
          <w:rFonts w:eastAsia="宋体" w:cs="宋体"/>
          <w:iCs/>
          <w:color w:val="auto"/>
          <w:highlight w:val="none"/>
        </w:rPr>
        <w:t>供应商全称（加盖CA电子公章）：</w:t>
      </w:r>
    </w:p>
    <w:p w14:paraId="09CF6295">
      <w:pPr>
        <w:spacing w:line="420" w:lineRule="exact"/>
        <w:ind w:firstLine="567"/>
        <w:jc w:val="left"/>
        <w:rPr>
          <w:rFonts w:eastAsia="宋体" w:cs="宋体"/>
          <w:color w:val="auto"/>
          <w:highlight w:val="none"/>
        </w:rPr>
      </w:pPr>
      <w:r>
        <w:rPr>
          <w:rFonts w:eastAsia="宋体" w:cs="宋体"/>
          <w:iCs/>
          <w:color w:val="auto"/>
          <w:highlight w:val="none"/>
        </w:rPr>
        <w:t>日期：</w:t>
      </w:r>
    </w:p>
    <w:p w14:paraId="1F693F04">
      <w:pPr>
        <w:spacing w:line="420" w:lineRule="exact"/>
        <w:ind w:firstLine="566"/>
        <w:jc w:val="left"/>
        <w:outlineLvl w:val="3"/>
        <w:rPr>
          <w:rFonts w:eastAsia="宋体"/>
          <w:b/>
          <w:bCs/>
          <w:color w:val="auto"/>
          <w:highlight w:val="none"/>
        </w:rPr>
        <w:sectPr>
          <w:pgSz w:w="11906" w:h="16838"/>
          <w:pgMar w:top="851" w:right="851" w:bottom="851" w:left="1134" w:header="567" w:footer="471" w:gutter="0"/>
          <w:cols w:space="425" w:num="1"/>
          <w:docGrid w:linePitch="360" w:charSpace="0"/>
        </w:sectPr>
      </w:pPr>
    </w:p>
    <w:p w14:paraId="0273AED7">
      <w:pPr>
        <w:spacing w:line="420" w:lineRule="exact"/>
        <w:ind w:firstLine="566"/>
        <w:jc w:val="left"/>
        <w:outlineLvl w:val="3"/>
        <w:rPr>
          <w:rFonts w:eastAsia="宋体"/>
          <w:b/>
          <w:bCs/>
          <w:color w:val="auto"/>
          <w:highlight w:val="none"/>
        </w:rPr>
      </w:pPr>
      <w:r>
        <w:rPr>
          <w:rFonts w:hint="eastAsia" w:eastAsia="宋体"/>
          <w:b/>
          <w:bCs/>
          <w:color w:val="auto"/>
          <w:highlight w:val="none"/>
        </w:rPr>
        <w:t>附件18：服务响应承诺</w:t>
      </w:r>
    </w:p>
    <w:p w14:paraId="32B90F0B">
      <w:pPr>
        <w:spacing w:before="240" w:after="240" w:line="420" w:lineRule="exact"/>
        <w:jc w:val="center"/>
        <w:rPr>
          <w:rFonts w:eastAsia="宋体" w:cs="宋体"/>
          <w:b/>
          <w:bCs/>
          <w:color w:val="auto"/>
          <w:sz w:val="28"/>
          <w:szCs w:val="28"/>
          <w:highlight w:val="none"/>
        </w:rPr>
      </w:pPr>
      <w:r>
        <w:rPr>
          <w:rFonts w:hint="eastAsia" w:eastAsia="宋体" w:cs="宋体"/>
          <w:b/>
          <w:bCs/>
          <w:color w:val="auto"/>
          <w:sz w:val="28"/>
          <w:szCs w:val="28"/>
          <w:highlight w:val="none"/>
        </w:rPr>
        <w:t>服务响应承诺</w:t>
      </w:r>
    </w:p>
    <w:p w14:paraId="03FBB461">
      <w:pPr>
        <w:spacing w:line="420" w:lineRule="exact"/>
        <w:ind w:firstLine="567"/>
        <w:jc w:val="left"/>
        <w:rPr>
          <w:rFonts w:eastAsia="宋体" w:cs="宋体"/>
          <w:iCs/>
          <w:color w:val="auto"/>
          <w:highlight w:val="none"/>
        </w:rPr>
      </w:pPr>
      <w:r>
        <w:rPr>
          <w:rFonts w:hint="eastAsia" w:eastAsia="宋体" w:cs="宋体"/>
          <w:iCs/>
          <w:color w:val="auto"/>
          <w:highlight w:val="none"/>
        </w:rPr>
        <w:t>我单位承诺在框架协议有效期内，投入框架协议范围内所有造价人员均满足征集文件要求，同时承诺在框架协议有效期后的协审行为延续期间，保证充足的协审技术和保障等力量。</w:t>
      </w:r>
    </w:p>
    <w:p w14:paraId="146CD5C5">
      <w:pPr>
        <w:spacing w:line="420" w:lineRule="exact"/>
        <w:ind w:firstLine="567"/>
        <w:jc w:val="left"/>
        <w:rPr>
          <w:rFonts w:eastAsia="宋体" w:cs="宋体"/>
          <w:iCs/>
          <w:color w:val="auto"/>
          <w:highlight w:val="none"/>
        </w:rPr>
      </w:pPr>
      <w:r>
        <w:rPr>
          <w:rFonts w:hint="eastAsia" w:eastAsia="宋体" w:cs="宋体"/>
          <w:iCs/>
          <w:color w:val="auto"/>
          <w:highlight w:val="none"/>
        </w:rPr>
        <w:t>若有违背，我公司（单位）愿意承担因“提供虚假材料谋取入围或者合同成交的”的一切法律后果。</w:t>
      </w:r>
    </w:p>
    <w:p w14:paraId="2FE32FEA">
      <w:pPr>
        <w:spacing w:line="420" w:lineRule="exact"/>
        <w:ind w:firstLine="567"/>
        <w:jc w:val="left"/>
        <w:rPr>
          <w:rFonts w:eastAsia="宋体" w:cs="宋体"/>
          <w:iCs/>
          <w:color w:val="auto"/>
          <w:highlight w:val="none"/>
        </w:rPr>
      </w:pPr>
    </w:p>
    <w:p w14:paraId="0425AA8C">
      <w:pPr>
        <w:spacing w:line="420" w:lineRule="exact"/>
        <w:ind w:firstLine="567"/>
        <w:jc w:val="left"/>
        <w:rPr>
          <w:rFonts w:eastAsia="宋体" w:cs="宋体"/>
          <w:iCs/>
          <w:color w:val="auto"/>
          <w:highlight w:val="none"/>
        </w:rPr>
      </w:pPr>
      <w:r>
        <w:rPr>
          <w:rFonts w:eastAsia="宋体" w:cs="宋体"/>
          <w:iCs/>
          <w:color w:val="auto"/>
          <w:highlight w:val="none"/>
        </w:rPr>
        <w:t>供应商全称（加盖CA电子公章）：</w:t>
      </w:r>
    </w:p>
    <w:p w14:paraId="5FEF69CC">
      <w:pPr>
        <w:spacing w:line="420" w:lineRule="exact"/>
        <w:ind w:firstLine="567"/>
        <w:jc w:val="left"/>
        <w:rPr>
          <w:rFonts w:eastAsia="宋体" w:cs="宋体"/>
          <w:color w:val="auto"/>
          <w:highlight w:val="none"/>
        </w:rPr>
      </w:pPr>
      <w:r>
        <w:rPr>
          <w:rFonts w:eastAsia="宋体" w:cs="宋体"/>
          <w:iCs/>
          <w:color w:val="auto"/>
          <w:highlight w:val="none"/>
        </w:rPr>
        <w:t>日期：</w:t>
      </w:r>
      <w:r>
        <w:rPr>
          <w:rFonts w:eastAsia="宋体" w:cs="宋体"/>
          <w:color w:val="auto"/>
          <w:highlight w:val="none"/>
        </w:rPr>
        <w:t xml:space="preserve"> </w:t>
      </w:r>
    </w:p>
    <w:p w14:paraId="0F42B0B5">
      <w:pPr>
        <w:spacing w:line="420" w:lineRule="exact"/>
        <w:ind w:firstLine="487"/>
        <w:jc w:val="left"/>
        <w:outlineLvl w:val="1"/>
        <w:rPr>
          <w:rFonts w:eastAsia="宋体" w:cs="宋体"/>
          <w:b/>
          <w:bCs/>
          <w:color w:val="auto"/>
          <w:highlight w:val="none"/>
        </w:rPr>
        <w:sectPr>
          <w:pgSz w:w="11906" w:h="16838"/>
          <w:pgMar w:top="851" w:right="851" w:bottom="851" w:left="1134" w:header="567" w:footer="471" w:gutter="0"/>
          <w:cols w:space="425" w:num="1"/>
          <w:docGrid w:linePitch="360" w:charSpace="0"/>
        </w:sectPr>
      </w:pPr>
    </w:p>
    <w:p w14:paraId="4D506DEF">
      <w:pPr>
        <w:spacing w:line="420" w:lineRule="exact"/>
        <w:ind w:firstLine="487"/>
        <w:jc w:val="left"/>
        <w:outlineLvl w:val="1"/>
        <w:rPr>
          <w:rFonts w:eastAsia="宋体" w:cs="宋体"/>
          <w:b/>
          <w:bCs/>
          <w:color w:val="auto"/>
          <w:highlight w:val="none"/>
        </w:rPr>
      </w:pPr>
      <w:r>
        <w:rPr>
          <w:rFonts w:hint="eastAsia" w:eastAsia="宋体" w:cs="宋体"/>
          <w:b/>
          <w:bCs/>
          <w:color w:val="auto"/>
          <w:highlight w:val="none"/>
        </w:rPr>
        <w:t>八、质疑函范本</w:t>
      </w:r>
    </w:p>
    <w:p w14:paraId="56B8F68B">
      <w:pPr>
        <w:spacing w:before="240" w:after="240" w:line="420" w:lineRule="exact"/>
        <w:jc w:val="center"/>
        <w:rPr>
          <w:rFonts w:eastAsia="宋体" w:cs="宋体"/>
          <w:b/>
          <w:bCs/>
          <w:color w:val="auto"/>
          <w:sz w:val="28"/>
          <w:szCs w:val="28"/>
          <w:highlight w:val="none"/>
        </w:rPr>
      </w:pPr>
      <w:r>
        <w:rPr>
          <w:rFonts w:hint="eastAsia" w:eastAsia="宋体" w:cs="宋体"/>
          <w:b/>
          <w:bCs/>
          <w:color w:val="auto"/>
          <w:sz w:val="28"/>
          <w:szCs w:val="28"/>
          <w:highlight w:val="none"/>
        </w:rPr>
        <w:t>质疑函范本</w:t>
      </w:r>
    </w:p>
    <w:p w14:paraId="1556398C">
      <w:pPr>
        <w:spacing w:line="420" w:lineRule="exact"/>
        <w:ind w:firstLine="485"/>
        <w:jc w:val="left"/>
        <w:rPr>
          <w:rFonts w:eastAsia="宋体"/>
          <w:color w:val="auto"/>
          <w:highlight w:val="none"/>
        </w:rPr>
      </w:pPr>
      <w:r>
        <w:rPr>
          <w:rFonts w:hint="eastAsia" w:eastAsia="宋体"/>
          <w:color w:val="auto"/>
          <w:highlight w:val="none"/>
        </w:rPr>
        <w:t>一、质疑供应商基本信息</w:t>
      </w:r>
    </w:p>
    <w:p w14:paraId="334AB17F">
      <w:pPr>
        <w:spacing w:line="420" w:lineRule="exact"/>
        <w:ind w:firstLine="485"/>
        <w:jc w:val="left"/>
        <w:rPr>
          <w:rFonts w:eastAsia="宋体"/>
          <w:color w:val="auto"/>
          <w:highlight w:val="none"/>
          <w:u w:val="single"/>
        </w:rPr>
      </w:pPr>
      <w:r>
        <w:rPr>
          <w:rFonts w:hint="eastAsia" w:eastAsia="宋体"/>
          <w:color w:val="auto"/>
          <w:highlight w:val="none"/>
        </w:rPr>
        <w:t>质疑供应商：</w:t>
      </w:r>
      <w:r>
        <w:rPr>
          <w:rFonts w:hint="eastAsia" w:eastAsia="宋体"/>
          <w:color w:val="auto"/>
          <w:highlight w:val="none"/>
          <w:u w:val="single"/>
        </w:rPr>
        <w:t xml:space="preserve">                                                              </w:t>
      </w:r>
    </w:p>
    <w:p w14:paraId="62850E83">
      <w:pPr>
        <w:spacing w:line="420" w:lineRule="exact"/>
        <w:ind w:firstLine="485"/>
        <w:jc w:val="left"/>
        <w:rPr>
          <w:rFonts w:eastAsia="宋体"/>
          <w:color w:val="auto"/>
          <w:highlight w:val="none"/>
        </w:rPr>
      </w:pPr>
      <w:r>
        <w:rPr>
          <w:rFonts w:hint="eastAsia" w:eastAsia="宋体"/>
          <w:color w:val="auto"/>
          <w:highlight w:val="none"/>
        </w:rPr>
        <w:t>地址：</w:t>
      </w:r>
      <w:r>
        <w:rPr>
          <w:rFonts w:hint="eastAsia" w:eastAsia="宋体"/>
          <w:color w:val="auto"/>
          <w:highlight w:val="none"/>
          <w:u w:val="single"/>
        </w:rPr>
        <w:t xml:space="preserve">                             </w:t>
      </w:r>
      <w:r>
        <w:rPr>
          <w:rFonts w:hint="eastAsia" w:eastAsia="宋体"/>
          <w:color w:val="auto"/>
          <w:highlight w:val="none"/>
        </w:rPr>
        <w:t>邮编：</w:t>
      </w:r>
      <w:r>
        <w:rPr>
          <w:rFonts w:hint="eastAsia" w:eastAsia="宋体"/>
          <w:color w:val="auto"/>
          <w:highlight w:val="none"/>
          <w:u w:val="single"/>
        </w:rPr>
        <w:t xml:space="preserve">                                    </w:t>
      </w:r>
    </w:p>
    <w:p w14:paraId="45B061B5">
      <w:pPr>
        <w:spacing w:line="420" w:lineRule="exact"/>
        <w:ind w:firstLine="485"/>
        <w:jc w:val="left"/>
        <w:rPr>
          <w:rFonts w:eastAsia="宋体"/>
          <w:color w:val="auto"/>
          <w:highlight w:val="none"/>
        </w:rPr>
      </w:pPr>
      <w:r>
        <w:rPr>
          <w:rFonts w:hint="eastAsia" w:eastAsia="宋体"/>
          <w:color w:val="auto"/>
          <w:highlight w:val="none"/>
        </w:rPr>
        <w:t>联系人：</w:t>
      </w:r>
      <w:r>
        <w:rPr>
          <w:rFonts w:hint="eastAsia" w:eastAsia="宋体"/>
          <w:color w:val="auto"/>
          <w:highlight w:val="none"/>
          <w:u w:val="single"/>
        </w:rPr>
        <w:t xml:space="preserve">                      </w:t>
      </w:r>
      <w:r>
        <w:rPr>
          <w:rFonts w:hint="eastAsia" w:eastAsia="宋体"/>
          <w:color w:val="auto"/>
          <w:highlight w:val="none"/>
        </w:rPr>
        <w:t>联系电话：</w:t>
      </w:r>
      <w:r>
        <w:rPr>
          <w:rFonts w:hint="eastAsia" w:eastAsia="宋体"/>
          <w:color w:val="auto"/>
          <w:highlight w:val="none"/>
          <w:u w:val="single"/>
        </w:rPr>
        <w:t xml:space="preserve">                                       </w:t>
      </w:r>
    </w:p>
    <w:p w14:paraId="3E1C7063">
      <w:pPr>
        <w:spacing w:line="420" w:lineRule="exact"/>
        <w:ind w:firstLine="485"/>
        <w:jc w:val="left"/>
        <w:rPr>
          <w:rFonts w:eastAsia="宋体"/>
          <w:color w:val="auto"/>
          <w:highlight w:val="none"/>
          <w:u w:val="single"/>
        </w:rPr>
      </w:pPr>
      <w:r>
        <w:rPr>
          <w:rFonts w:hint="eastAsia" w:eastAsia="宋体"/>
          <w:color w:val="auto"/>
          <w:highlight w:val="none"/>
        </w:rPr>
        <w:t>授权代表：</w:t>
      </w:r>
      <w:r>
        <w:rPr>
          <w:rFonts w:hint="eastAsia" w:eastAsia="宋体"/>
          <w:color w:val="auto"/>
          <w:highlight w:val="none"/>
          <w:u w:val="single"/>
        </w:rPr>
        <w:t xml:space="preserve">                                                                 </w:t>
      </w:r>
    </w:p>
    <w:p w14:paraId="5FE2FDD7">
      <w:pPr>
        <w:spacing w:line="420" w:lineRule="exact"/>
        <w:ind w:firstLine="485"/>
        <w:jc w:val="left"/>
        <w:rPr>
          <w:rFonts w:eastAsia="宋体"/>
          <w:color w:val="auto"/>
          <w:highlight w:val="none"/>
        </w:rPr>
      </w:pPr>
      <w:r>
        <w:rPr>
          <w:rFonts w:hint="eastAsia" w:eastAsia="宋体"/>
          <w:color w:val="auto"/>
          <w:highlight w:val="none"/>
        </w:rPr>
        <w:t>联系电话：</w:t>
      </w:r>
      <w:r>
        <w:rPr>
          <w:rFonts w:hint="eastAsia" w:eastAsia="宋体"/>
          <w:color w:val="auto"/>
          <w:highlight w:val="none"/>
          <w:u w:val="single"/>
        </w:rPr>
        <w:t xml:space="preserve">                                                                </w:t>
      </w:r>
    </w:p>
    <w:p w14:paraId="31324551">
      <w:pPr>
        <w:spacing w:line="420" w:lineRule="exact"/>
        <w:ind w:firstLine="485"/>
        <w:jc w:val="left"/>
        <w:rPr>
          <w:rFonts w:eastAsia="宋体"/>
          <w:color w:val="auto"/>
          <w:highlight w:val="none"/>
        </w:rPr>
      </w:pPr>
      <w:r>
        <w:rPr>
          <w:rFonts w:hint="eastAsia" w:eastAsia="宋体"/>
          <w:color w:val="auto"/>
          <w:highlight w:val="none"/>
        </w:rPr>
        <w:t xml:space="preserve">地址： </w:t>
      </w:r>
      <w:r>
        <w:rPr>
          <w:rFonts w:hint="eastAsia" w:eastAsia="宋体"/>
          <w:color w:val="auto"/>
          <w:highlight w:val="none"/>
          <w:u w:val="single"/>
        </w:rPr>
        <w:t xml:space="preserve">                        </w:t>
      </w:r>
      <w:r>
        <w:rPr>
          <w:rFonts w:hint="eastAsia" w:eastAsia="宋体"/>
          <w:color w:val="auto"/>
          <w:highlight w:val="none"/>
        </w:rPr>
        <w:t>邮编：</w:t>
      </w:r>
      <w:r>
        <w:rPr>
          <w:rFonts w:hint="eastAsia" w:eastAsia="宋体"/>
          <w:color w:val="auto"/>
          <w:highlight w:val="none"/>
          <w:u w:val="single"/>
        </w:rPr>
        <w:t xml:space="preserve">                                     </w:t>
      </w:r>
    </w:p>
    <w:p w14:paraId="03C10E98">
      <w:pPr>
        <w:spacing w:line="420" w:lineRule="exact"/>
        <w:ind w:firstLine="485"/>
        <w:jc w:val="left"/>
        <w:rPr>
          <w:rFonts w:eastAsia="宋体"/>
          <w:color w:val="auto"/>
          <w:highlight w:val="none"/>
        </w:rPr>
      </w:pPr>
      <w:r>
        <w:rPr>
          <w:rFonts w:hint="eastAsia" w:eastAsia="宋体"/>
          <w:color w:val="auto"/>
          <w:highlight w:val="none"/>
        </w:rPr>
        <w:t>二、质疑项目基本情况</w:t>
      </w:r>
    </w:p>
    <w:p w14:paraId="077124BC">
      <w:pPr>
        <w:spacing w:line="420" w:lineRule="exact"/>
        <w:ind w:firstLine="485"/>
        <w:jc w:val="left"/>
        <w:rPr>
          <w:rFonts w:eastAsia="宋体"/>
          <w:color w:val="auto"/>
          <w:highlight w:val="none"/>
        </w:rPr>
      </w:pPr>
      <w:r>
        <w:rPr>
          <w:rFonts w:hint="eastAsia" w:eastAsia="宋体"/>
          <w:color w:val="auto"/>
          <w:highlight w:val="none"/>
        </w:rPr>
        <w:t>质疑项目的名称：</w:t>
      </w:r>
      <w:r>
        <w:rPr>
          <w:rFonts w:hint="eastAsia" w:eastAsia="宋体"/>
          <w:color w:val="auto"/>
          <w:highlight w:val="none"/>
          <w:u w:val="single"/>
        </w:rPr>
        <w:t xml:space="preserve">                                                          </w:t>
      </w:r>
    </w:p>
    <w:p w14:paraId="61AEC4BE">
      <w:pPr>
        <w:spacing w:line="420" w:lineRule="exact"/>
        <w:ind w:firstLine="485"/>
        <w:jc w:val="left"/>
        <w:rPr>
          <w:rFonts w:eastAsia="宋体"/>
          <w:color w:val="auto"/>
          <w:highlight w:val="none"/>
        </w:rPr>
      </w:pPr>
      <w:r>
        <w:rPr>
          <w:rFonts w:hint="eastAsia" w:eastAsia="宋体"/>
          <w:color w:val="auto"/>
          <w:highlight w:val="none"/>
        </w:rPr>
        <w:t>质疑项目的编号：</w:t>
      </w:r>
      <w:r>
        <w:rPr>
          <w:rFonts w:hint="eastAsia" w:eastAsia="宋体"/>
          <w:color w:val="auto"/>
          <w:highlight w:val="none"/>
          <w:u w:val="single"/>
        </w:rPr>
        <w:t xml:space="preserve">                         </w:t>
      </w:r>
      <w:r>
        <w:rPr>
          <w:rFonts w:hint="eastAsia" w:eastAsia="宋体"/>
          <w:color w:val="auto"/>
          <w:highlight w:val="none"/>
        </w:rPr>
        <w:t>包号：</w:t>
      </w:r>
      <w:r>
        <w:rPr>
          <w:rFonts w:hint="eastAsia" w:eastAsia="宋体"/>
          <w:color w:val="auto"/>
          <w:highlight w:val="none"/>
          <w:u w:val="single"/>
        </w:rPr>
        <w:t xml:space="preserve">                           </w:t>
      </w:r>
    </w:p>
    <w:p w14:paraId="505E5722">
      <w:pPr>
        <w:spacing w:line="420" w:lineRule="exact"/>
        <w:ind w:firstLine="485"/>
        <w:jc w:val="left"/>
        <w:rPr>
          <w:rFonts w:eastAsia="宋体"/>
          <w:color w:val="auto"/>
          <w:highlight w:val="none"/>
          <w:u w:val="single"/>
        </w:rPr>
      </w:pPr>
      <w:r>
        <w:rPr>
          <w:rFonts w:hint="eastAsia" w:eastAsia="宋体"/>
          <w:color w:val="auto"/>
          <w:highlight w:val="none"/>
        </w:rPr>
        <w:t>征集人名称：</w:t>
      </w:r>
      <w:r>
        <w:rPr>
          <w:rFonts w:hint="eastAsia" w:eastAsia="宋体"/>
          <w:color w:val="auto"/>
          <w:highlight w:val="none"/>
          <w:u w:val="single"/>
        </w:rPr>
        <w:t xml:space="preserve">                                                              </w:t>
      </w:r>
    </w:p>
    <w:p w14:paraId="7E3E5FF9">
      <w:pPr>
        <w:spacing w:line="420" w:lineRule="exact"/>
        <w:ind w:firstLine="485"/>
        <w:jc w:val="left"/>
        <w:rPr>
          <w:rFonts w:eastAsia="宋体"/>
          <w:color w:val="auto"/>
          <w:highlight w:val="none"/>
        </w:rPr>
      </w:pPr>
      <w:r>
        <w:rPr>
          <w:rFonts w:hint="eastAsia" w:eastAsia="宋体"/>
          <w:color w:val="auto"/>
          <w:highlight w:val="none"/>
        </w:rPr>
        <w:t>征集文件获取日期：</w:t>
      </w:r>
      <w:r>
        <w:rPr>
          <w:rFonts w:hint="eastAsia" w:eastAsia="宋体"/>
          <w:color w:val="auto"/>
          <w:highlight w:val="none"/>
          <w:u w:val="single"/>
        </w:rPr>
        <w:t xml:space="preserve">                                                        </w:t>
      </w:r>
    </w:p>
    <w:p w14:paraId="33A918BB">
      <w:pPr>
        <w:spacing w:line="420" w:lineRule="exact"/>
        <w:ind w:firstLine="485"/>
        <w:jc w:val="left"/>
        <w:rPr>
          <w:rFonts w:eastAsia="宋体"/>
          <w:color w:val="auto"/>
          <w:highlight w:val="none"/>
        </w:rPr>
      </w:pPr>
      <w:r>
        <w:rPr>
          <w:rFonts w:hint="eastAsia" w:eastAsia="宋体"/>
          <w:color w:val="auto"/>
          <w:highlight w:val="none"/>
        </w:rPr>
        <w:t>三、质疑事项具体内容</w:t>
      </w:r>
    </w:p>
    <w:p w14:paraId="631691BD">
      <w:pPr>
        <w:spacing w:line="420" w:lineRule="exact"/>
        <w:ind w:firstLine="485"/>
        <w:jc w:val="left"/>
        <w:rPr>
          <w:rFonts w:eastAsia="宋体"/>
          <w:color w:val="auto"/>
          <w:highlight w:val="none"/>
          <w:u w:val="single"/>
        </w:rPr>
      </w:pPr>
      <w:r>
        <w:rPr>
          <w:rFonts w:hint="eastAsia" w:eastAsia="宋体"/>
          <w:color w:val="auto"/>
          <w:highlight w:val="none"/>
        </w:rPr>
        <w:t>质疑事项1：</w:t>
      </w:r>
      <w:r>
        <w:rPr>
          <w:rFonts w:hint="eastAsia" w:eastAsia="宋体"/>
          <w:color w:val="auto"/>
          <w:highlight w:val="none"/>
          <w:u w:val="single"/>
        </w:rPr>
        <w:t xml:space="preserve">                                                              </w:t>
      </w:r>
    </w:p>
    <w:p w14:paraId="03F082D3">
      <w:pPr>
        <w:spacing w:line="420" w:lineRule="exact"/>
        <w:ind w:firstLine="485"/>
        <w:jc w:val="left"/>
        <w:rPr>
          <w:rFonts w:eastAsia="宋体"/>
          <w:color w:val="auto"/>
          <w:highlight w:val="none"/>
          <w:u w:val="single"/>
        </w:rPr>
      </w:pPr>
      <w:r>
        <w:rPr>
          <w:rFonts w:hint="eastAsia" w:eastAsia="宋体"/>
          <w:color w:val="auto"/>
          <w:highlight w:val="none"/>
        </w:rPr>
        <w:t>事实依据：</w:t>
      </w:r>
      <w:r>
        <w:rPr>
          <w:rFonts w:hint="eastAsia" w:eastAsia="宋体"/>
          <w:color w:val="auto"/>
          <w:highlight w:val="none"/>
          <w:u w:val="single"/>
        </w:rPr>
        <w:t xml:space="preserve">                                                                </w:t>
      </w:r>
    </w:p>
    <w:p w14:paraId="3977B0B1">
      <w:pPr>
        <w:spacing w:line="420" w:lineRule="exact"/>
        <w:ind w:firstLine="485"/>
        <w:jc w:val="left"/>
        <w:rPr>
          <w:rFonts w:eastAsia="宋体"/>
          <w:color w:val="auto"/>
          <w:highlight w:val="none"/>
        </w:rPr>
      </w:pPr>
      <w:r>
        <w:rPr>
          <w:rFonts w:hint="eastAsia" w:eastAsia="宋体"/>
          <w:color w:val="auto"/>
          <w:highlight w:val="none"/>
          <w:u w:val="single"/>
        </w:rPr>
        <w:t xml:space="preserve">                                                                           </w:t>
      </w:r>
    </w:p>
    <w:p w14:paraId="75A1AC30">
      <w:pPr>
        <w:spacing w:line="420" w:lineRule="exact"/>
        <w:ind w:firstLine="485"/>
        <w:jc w:val="left"/>
        <w:rPr>
          <w:rFonts w:eastAsia="宋体"/>
          <w:color w:val="auto"/>
          <w:highlight w:val="none"/>
          <w:u w:val="single"/>
        </w:rPr>
      </w:pPr>
      <w:r>
        <w:rPr>
          <w:rFonts w:hint="eastAsia" w:eastAsia="宋体"/>
          <w:color w:val="auto"/>
          <w:highlight w:val="none"/>
        </w:rPr>
        <w:t>法律依据：</w:t>
      </w:r>
      <w:r>
        <w:rPr>
          <w:rFonts w:hint="eastAsia" w:eastAsia="宋体"/>
          <w:color w:val="auto"/>
          <w:highlight w:val="none"/>
          <w:u w:val="single"/>
        </w:rPr>
        <w:t xml:space="preserve">                                                                 </w:t>
      </w:r>
    </w:p>
    <w:p w14:paraId="43671B74">
      <w:pPr>
        <w:spacing w:line="420" w:lineRule="exact"/>
        <w:ind w:firstLine="485"/>
        <w:jc w:val="left"/>
        <w:rPr>
          <w:rFonts w:eastAsia="宋体"/>
          <w:color w:val="auto"/>
          <w:highlight w:val="none"/>
          <w:u w:val="single"/>
        </w:rPr>
      </w:pPr>
      <w:r>
        <w:rPr>
          <w:rFonts w:hint="eastAsia" w:eastAsia="宋体"/>
          <w:color w:val="auto"/>
          <w:highlight w:val="none"/>
          <w:u w:val="single"/>
        </w:rPr>
        <w:t xml:space="preserve">                                                                           </w:t>
      </w:r>
    </w:p>
    <w:p w14:paraId="28E12594">
      <w:pPr>
        <w:spacing w:line="420" w:lineRule="exact"/>
        <w:ind w:firstLine="485"/>
        <w:jc w:val="left"/>
        <w:rPr>
          <w:rFonts w:eastAsia="宋体"/>
          <w:color w:val="auto"/>
          <w:highlight w:val="none"/>
          <w:u w:val="single"/>
        </w:rPr>
      </w:pPr>
      <w:r>
        <w:rPr>
          <w:rFonts w:hint="eastAsia" w:eastAsia="宋体"/>
          <w:color w:val="auto"/>
          <w:highlight w:val="none"/>
        </w:rPr>
        <w:t>质疑事项2</w:t>
      </w:r>
    </w:p>
    <w:p w14:paraId="67E9D8DA">
      <w:pPr>
        <w:spacing w:line="420" w:lineRule="exact"/>
        <w:ind w:firstLine="485"/>
        <w:jc w:val="left"/>
        <w:rPr>
          <w:rFonts w:eastAsia="宋体"/>
          <w:color w:val="auto"/>
          <w:highlight w:val="none"/>
        </w:rPr>
      </w:pPr>
      <w:r>
        <w:rPr>
          <w:rFonts w:hint="eastAsia" w:eastAsia="宋体"/>
          <w:color w:val="auto"/>
          <w:highlight w:val="none"/>
        </w:rPr>
        <w:t>……</w:t>
      </w:r>
    </w:p>
    <w:p w14:paraId="00F6C8A9">
      <w:pPr>
        <w:spacing w:line="420" w:lineRule="exact"/>
        <w:ind w:firstLine="485"/>
        <w:jc w:val="left"/>
        <w:rPr>
          <w:rFonts w:eastAsia="宋体"/>
          <w:color w:val="auto"/>
          <w:highlight w:val="none"/>
        </w:rPr>
      </w:pPr>
      <w:r>
        <w:rPr>
          <w:rFonts w:hint="eastAsia" w:eastAsia="宋体"/>
          <w:color w:val="auto"/>
          <w:highlight w:val="none"/>
        </w:rPr>
        <w:t>四、与质疑事项相关的质疑请求</w:t>
      </w:r>
    </w:p>
    <w:p w14:paraId="2DEEA39C">
      <w:pPr>
        <w:spacing w:line="420" w:lineRule="exact"/>
        <w:ind w:firstLine="485"/>
        <w:jc w:val="left"/>
        <w:rPr>
          <w:rFonts w:eastAsia="宋体"/>
          <w:color w:val="auto"/>
          <w:highlight w:val="none"/>
          <w:u w:val="single"/>
        </w:rPr>
      </w:pPr>
      <w:r>
        <w:rPr>
          <w:rFonts w:hint="eastAsia" w:eastAsia="宋体"/>
          <w:color w:val="auto"/>
          <w:highlight w:val="none"/>
        </w:rPr>
        <w:t>请求：</w:t>
      </w:r>
      <w:r>
        <w:rPr>
          <w:rFonts w:hint="eastAsia" w:eastAsia="宋体"/>
          <w:color w:val="auto"/>
          <w:highlight w:val="none"/>
          <w:u w:val="single"/>
        </w:rPr>
        <w:t xml:space="preserve">                                                                     </w:t>
      </w:r>
    </w:p>
    <w:p w14:paraId="61ABB78C">
      <w:pPr>
        <w:spacing w:line="420" w:lineRule="exact"/>
        <w:ind w:firstLine="485"/>
        <w:jc w:val="left"/>
        <w:rPr>
          <w:rFonts w:eastAsia="宋体"/>
          <w:color w:val="auto"/>
          <w:highlight w:val="none"/>
        </w:rPr>
      </w:pPr>
    </w:p>
    <w:p w14:paraId="05C9F579">
      <w:pPr>
        <w:spacing w:line="420" w:lineRule="exact"/>
        <w:ind w:firstLine="485"/>
        <w:jc w:val="left"/>
        <w:rPr>
          <w:rFonts w:eastAsia="宋体"/>
          <w:color w:val="auto"/>
          <w:highlight w:val="none"/>
        </w:rPr>
      </w:pPr>
      <w:r>
        <w:rPr>
          <w:rFonts w:hint="eastAsia" w:eastAsia="宋体"/>
          <w:color w:val="auto"/>
          <w:highlight w:val="none"/>
        </w:rPr>
        <w:t xml:space="preserve">签字(签章)：                   公章：                      </w:t>
      </w:r>
    </w:p>
    <w:p w14:paraId="2DD5C193">
      <w:pPr>
        <w:spacing w:line="420" w:lineRule="exact"/>
        <w:ind w:firstLine="485"/>
        <w:jc w:val="left"/>
        <w:rPr>
          <w:rFonts w:eastAsia="宋体"/>
          <w:color w:val="auto"/>
          <w:highlight w:val="none"/>
        </w:rPr>
      </w:pPr>
      <w:r>
        <w:rPr>
          <w:rFonts w:hint="eastAsia" w:eastAsia="宋体"/>
          <w:color w:val="auto"/>
          <w:highlight w:val="none"/>
        </w:rPr>
        <w:t xml:space="preserve">日期：    </w:t>
      </w:r>
    </w:p>
    <w:p w14:paraId="73B86C06">
      <w:pPr>
        <w:spacing w:line="420" w:lineRule="exact"/>
        <w:ind w:firstLine="485"/>
        <w:jc w:val="left"/>
        <w:rPr>
          <w:rFonts w:eastAsia="宋体"/>
          <w:color w:val="auto"/>
          <w:highlight w:val="none"/>
        </w:rPr>
      </w:pPr>
    </w:p>
    <w:p w14:paraId="52D91C46">
      <w:pPr>
        <w:spacing w:line="420" w:lineRule="exact"/>
        <w:ind w:firstLine="485"/>
        <w:jc w:val="left"/>
        <w:rPr>
          <w:rFonts w:eastAsia="宋体"/>
          <w:color w:val="auto"/>
          <w:highlight w:val="none"/>
        </w:rPr>
      </w:pPr>
      <w:r>
        <w:rPr>
          <w:rFonts w:hint="eastAsia" w:eastAsia="宋体"/>
          <w:color w:val="auto"/>
          <w:highlight w:val="none"/>
        </w:rPr>
        <w:t>质疑函制作说明：</w:t>
      </w:r>
    </w:p>
    <w:p w14:paraId="6CFCE9BD">
      <w:pPr>
        <w:spacing w:line="420" w:lineRule="exact"/>
        <w:ind w:firstLine="485"/>
        <w:jc w:val="left"/>
        <w:rPr>
          <w:rFonts w:eastAsia="宋体"/>
          <w:color w:val="auto"/>
          <w:highlight w:val="none"/>
        </w:rPr>
      </w:pPr>
      <w:r>
        <w:rPr>
          <w:rFonts w:hint="eastAsia" w:eastAsia="宋体"/>
          <w:color w:val="auto"/>
          <w:highlight w:val="none"/>
        </w:rPr>
        <w:t>1.供应商提出质疑时，应提交质疑函和必要的证明材料。</w:t>
      </w:r>
    </w:p>
    <w:p w14:paraId="59071E31">
      <w:pPr>
        <w:spacing w:line="420" w:lineRule="exact"/>
        <w:ind w:firstLine="485"/>
        <w:jc w:val="left"/>
        <w:rPr>
          <w:rFonts w:eastAsia="宋体"/>
          <w:color w:val="auto"/>
          <w:highlight w:val="none"/>
        </w:rPr>
      </w:pPr>
      <w:r>
        <w:rPr>
          <w:rFonts w:hint="eastAsia" w:eastAsia="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777E787">
      <w:pPr>
        <w:spacing w:line="420" w:lineRule="exact"/>
        <w:ind w:firstLine="485"/>
        <w:jc w:val="left"/>
        <w:rPr>
          <w:rFonts w:eastAsia="宋体"/>
          <w:color w:val="auto"/>
          <w:highlight w:val="none"/>
        </w:rPr>
      </w:pPr>
      <w:r>
        <w:rPr>
          <w:rFonts w:hint="eastAsia" w:eastAsia="宋体"/>
          <w:color w:val="auto"/>
          <w:highlight w:val="none"/>
        </w:rPr>
        <w:t>3.质疑供应商若对项目的某一分包进行质疑，质疑函中应列明具体分包号。</w:t>
      </w:r>
    </w:p>
    <w:p w14:paraId="57E19BF0">
      <w:pPr>
        <w:spacing w:line="420" w:lineRule="exact"/>
        <w:ind w:firstLine="485"/>
        <w:jc w:val="left"/>
        <w:rPr>
          <w:rFonts w:eastAsia="宋体"/>
          <w:color w:val="auto"/>
          <w:highlight w:val="none"/>
        </w:rPr>
      </w:pPr>
      <w:r>
        <w:rPr>
          <w:rFonts w:hint="eastAsia" w:eastAsia="宋体"/>
          <w:color w:val="auto"/>
          <w:highlight w:val="none"/>
        </w:rPr>
        <w:t>4.质疑函的质疑事项应具体、明确，并有必要的事实依据和法律依据。</w:t>
      </w:r>
    </w:p>
    <w:p w14:paraId="3A129607">
      <w:pPr>
        <w:spacing w:line="420" w:lineRule="exact"/>
        <w:ind w:firstLine="485"/>
        <w:jc w:val="left"/>
        <w:rPr>
          <w:rFonts w:eastAsia="宋体"/>
          <w:color w:val="auto"/>
          <w:highlight w:val="none"/>
        </w:rPr>
      </w:pPr>
      <w:r>
        <w:rPr>
          <w:rFonts w:hint="eastAsia" w:eastAsia="宋体"/>
          <w:color w:val="auto"/>
          <w:highlight w:val="none"/>
        </w:rPr>
        <w:t>5.质疑函的质疑请求应与质疑事项相关。</w:t>
      </w:r>
    </w:p>
    <w:p w14:paraId="3DD4CC61">
      <w:pPr>
        <w:spacing w:line="420" w:lineRule="exact"/>
        <w:ind w:firstLine="485"/>
        <w:jc w:val="left"/>
        <w:rPr>
          <w:rFonts w:eastAsia="宋体"/>
          <w:color w:val="auto"/>
          <w:highlight w:val="none"/>
        </w:rPr>
      </w:pPr>
      <w:r>
        <w:rPr>
          <w:rFonts w:hint="eastAsia" w:eastAsia="宋体"/>
          <w:color w:val="auto"/>
          <w:highlight w:val="none"/>
        </w:rPr>
        <w:t>6.质疑供应商为自然人的，质疑函应由本人签字；质疑供应商为法人或者其他组织的，质疑函应由法定代表人、主要负责人，或者其授权代表签字或者盖章，并加盖公章。</w:t>
      </w:r>
    </w:p>
    <w:p w14:paraId="7E549780">
      <w:pPr>
        <w:spacing w:line="420" w:lineRule="exact"/>
        <w:ind w:firstLine="485"/>
        <w:jc w:val="left"/>
        <w:rPr>
          <w:rFonts w:eastAsia="宋体"/>
          <w:color w:val="auto"/>
          <w:highlight w:val="none"/>
        </w:rPr>
      </w:pPr>
    </w:p>
    <w:p w14:paraId="5A361A51">
      <w:pPr>
        <w:spacing w:line="420" w:lineRule="exact"/>
        <w:jc w:val="center"/>
        <w:rPr>
          <w:rFonts w:eastAsia="宋体"/>
          <w:b/>
          <w:bCs/>
          <w:color w:val="auto"/>
          <w:highlight w:val="none"/>
        </w:rPr>
      </w:pPr>
      <w:r>
        <w:rPr>
          <w:rFonts w:eastAsia="宋体"/>
          <w:b/>
          <w:bCs/>
          <w:color w:val="auto"/>
          <w:highlight w:val="none"/>
        </w:rPr>
        <w:t>……</w:t>
      </w:r>
      <w:r>
        <w:rPr>
          <w:rFonts w:hint="eastAsia" w:eastAsia="宋体" w:cs="宋体"/>
          <w:b/>
          <w:bCs/>
          <w:color w:val="auto"/>
          <w:highlight w:val="none"/>
        </w:rPr>
        <w:t>全文结束</w:t>
      </w:r>
      <w:r>
        <w:rPr>
          <w:rFonts w:eastAsia="宋体"/>
          <w:b/>
          <w:bCs/>
          <w:color w:val="auto"/>
          <w:highlight w:val="none"/>
        </w:rPr>
        <w:t>……</w:t>
      </w:r>
    </w:p>
    <w:sectPr>
      <w:pgSz w:w="11906" w:h="16838"/>
      <w:pgMar w:top="851" w:right="851" w:bottom="851" w:left="1134" w:header="567" w:footer="471"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创艺简仿宋">
    <w:altName w:val="仿宋"/>
    <w:panose1 w:val="00000000000000000000"/>
    <w:charset w:val="00"/>
    <w:family w:val="auto"/>
    <w:pitch w:val="default"/>
    <w:sig w:usb0="00000000" w:usb1="00000000" w:usb2="00000000" w:usb3="00000000" w:csb0="00000000" w:csb1="00000000"/>
  </w:font>
  <w:font w:name="Menlo">
    <w:altName w:val="DejaVu Math TeX Gyre"/>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7E68C">
    <w:pPr>
      <w:pStyle w:val="56"/>
      <w:jc w:val="center"/>
    </w:pPr>
    <w:r>
      <w:rPr>
        <w:b/>
        <w:bCs/>
      </w:rPr>
      <w:fldChar w:fldCharType="begin"/>
    </w:r>
    <w:r>
      <w:rPr>
        <w:b/>
        <w:bCs/>
      </w:rPr>
      <w:instrText xml:space="preserve">PAGE</w:instrText>
    </w:r>
    <w:r>
      <w:rPr>
        <w:b/>
        <w:bCs/>
      </w:rPr>
      <w:fldChar w:fldCharType="separate"/>
    </w:r>
    <w:r>
      <w:rPr>
        <w:b/>
        <w:bCs/>
      </w:rPr>
      <w:t>24</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73</w:t>
    </w:r>
    <w:r>
      <w:rPr>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5F69">
    <w:pPr>
      <w:pStyle w:val="5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pStyle w:val="48"/>
      <w:lvlText w:val="%1."/>
      <w:lvlJc w:val="left"/>
      <w:pPr>
        <w:tabs>
          <w:tab w:val="left" w:pos="1620"/>
        </w:tabs>
        <w:ind w:left="162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A20DB5BF"/>
    <w:multiLevelType w:val="singleLevel"/>
    <w:tmpl w:val="A20DB5BF"/>
    <w:lvl w:ilvl="0" w:tentative="0">
      <w:start w:val="2"/>
      <w:numFmt w:val="decimal"/>
      <w:lvlText w:val="%1."/>
      <w:lvlJc w:val="left"/>
      <w:pPr>
        <w:tabs>
          <w:tab w:val="left" w:pos="312"/>
        </w:tabs>
      </w:pPr>
    </w:lvl>
  </w:abstractNum>
  <w:abstractNum w:abstractNumId="2">
    <w:nsid w:val="B5E306ED"/>
    <w:multiLevelType w:val="multilevel"/>
    <w:tmpl w:val="B5E306ED"/>
    <w:lvl w:ilvl="0" w:tentative="0">
      <w:start w:val="1"/>
      <w:numFmt w:val="bullet"/>
      <w:pStyle w:val="25"/>
      <w:lvlText w:val=""/>
      <w:lvlJc w:val="left"/>
      <w:pPr>
        <w:tabs>
          <w:tab w:val="left" w:pos="360"/>
        </w:tabs>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BF205925"/>
    <w:multiLevelType w:val="multilevel"/>
    <w:tmpl w:val="BF205925"/>
    <w:lvl w:ilvl="0" w:tentative="0">
      <w:start w:val="1"/>
      <w:numFmt w:val="decimal"/>
      <w:pStyle w:val="22"/>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CF092B84"/>
    <w:multiLevelType w:val="multilevel"/>
    <w:tmpl w:val="CF092B84"/>
    <w:lvl w:ilvl="0" w:tentative="0">
      <w:start w:val="1"/>
      <w:numFmt w:val="decimal"/>
      <w:pStyle w:val="16"/>
      <w:lvlText w:val="%1."/>
      <w:lvlJc w:val="left"/>
      <w:pPr>
        <w:tabs>
          <w:tab w:val="left" w:pos="780"/>
        </w:tabs>
        <w:ind w:left="78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D6C5A408"/>
    <w:multiLevelType w:val="singleLevel"/>
    <w:tmpl w:val="D6C5A408"/>
    <w:lvl w:ilvl="0" w:tentative="0">
      <w:start w:val="2"/>
      <w:numFmt w:val="decimal"/>
      <w:suff w:val="nothing"/>
      <w:lvlText w:val="%1、"/>
      <w:lvlJc w:val="left"/>
    </w:lvl>
  </w:abstractNum>
  <w:abstractNum w:abstractNumId="6">
    <w:nsid w:val="0053208E"/>
    <w:multiLevelType w:val="multilevel"/>
    <w:tmpl w:val="0053208E"/>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7">
    <w:nsid w:val="0248C179"/>
    <w:multiLevelType w:val="multilevel"/>
    <w:tmpl w:val="0248C179"/>
    <w:lvl w:ilvl="0" w:tentative="0">
      <w:start w:val="1"/>
      <w:numFmt w:val="bullet"/>
      <w:pStyle w:val="47"/>
      <w:lvlText w:val=""/>
      <w:lvlJc w:val="left"/>
      <w:pPr>
        <w:tabs>
          <w:tab w:val="left" w:pos="2040"/>
        </w:tabs>
        <w:ind w:left="204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03D62ECE"/>
    <w:multiLevelType w:val="multilevel"/>
    <w:tmpl w:val="03D62ECE"/>
    <w:lvl w:ilvl="0" w:tentative="0">
      <w:start w:val="1"/>
      <w:numFmt w:val="bullet"/>
      <w:pStyle w:val="34"/>
      <w:lvlText w:val=""/>
      <w:lvlJc w:val="left"/>
      <w:pPr>
        <w:tabs>
          <w:tab w:val="left" w:pos="1200"/>
        </w:tabs>
        <w:ind w:left="120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25B654F3"/>
    <w:multiLevelType w:val="multilevel"/>
    <w:tmpl w:val="25B654F3"/>
    <w:lvl w:ilvl="0" w:tentative="0">
      <w:start w:val="1"/>
      <w:numFmt w:val="decimal"/>
      <w:pStyle w:val="37"/>
      <w:lvlText w:val="%1."/>
      <w:lvlJc w:val="left"/>
      <w:pPr>
        <w:tabs>
          <w:tab w:val="left" w:pos="1200"/>
        </w:tabs>
        <w:ind w:left="120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2A8F537B"/>
    <w:multiLevelType w:val="multilevel"/>
    <w:tmpl w:val="2A8F537B"/>
    <w:lvl w:ilvl="0" w:tentative="0">
      <w:start w:val="1"/>
      <w:numFmt w:val="decimal"/>
      <w:pStyle w:val="66"/>
      <w:lvlText w:val="%1."/>
      <w:lvlJc w:val="left"/>
      <w:pPr>
        <w:tabs>
          <w:tab w:val="left" w:pos="2040"/>
        </w:tabs>
        <w:ind w:left="204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59ADCABA"/>
    <w:multiLevelType w:val="multilevel"/>
    <w:tmpl w:val="59ADCABA"/>
    <w:lvl w:ilvl="0" w:tentative="0">
      <w:start w:val="1"/>
      <w:numFmt w:val="bullet"/>
      <w:pStyle w:val="19"/>
      <w:lvlText w:val=""/>
      <w:lvlJc w:val="left"/>
      <w:pPr>
        <w:tabs>
          <w:tab w:val="left" w:pos="1620"/>
        </w:tabs>
        <w:ind w:left="162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72183CF9"/>
    <w:multiLevelType w:val="multilevel"/>
    <w:tmpl w:val="72183CF9"/>
    <w:lvl w:ilvl="0" w:tentative="0">
      <w:start w:val="1"/>
      <w:numFmt w:val="bullet"/>
      <w:pStyle w:val="41"/>
      <w:lvlText w:val=""/>
      <w:lvlJc w:val="left"/>
      <w:pPr>
        <w:tabs>
          <w:tab w:val="left" w:pos="780"/>
        </w:tabs>
        <w:ind w:left="78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6"/>
  </w:num>
  <w:num w:numId="2">
    <w:abstractNumId w:val="4"/>
  </w:num>
  <w:num w:numId="3">
    <w:abstractNumId w:val="11"/>
  </w:num>
  <w:num w:numId="4">
    <w:abstractNumId w:val="3"/>
  </w:num>
  <w:num w:numId="5">
    <w:abstractNumId w:val="2"/>
  </w:num>
  <w:num w:numId="6">
    <w:abstractNumId w:val="8"/>
  </w:num>
  <w:num w:numId="7">
    <w:abstractNumId w:val="9"/>
  </w:num>
  <w:num w:numId="8">
    <w:abstractNumId w:val="12"/>
  </w:num>
  <w:num w:numId="9">
    <w:abstractNumId w:val="7"/>
  </w:num>
  <w:num w:numId="10">
    <w:abstractNumId w:val="0"/>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8E"/>
    <w:rsid w:val="0000141F"/>
    <w:rsid w:val="000606B9"/>
    <w:rsid w:val="000B1BA8"/>
    <w:rsid w:val="000C024B"/>
    <w:rsid w:val="000E7B1F"/>
    <w:rsid w:val="00132153"/>
    <w:rsid w:val="00133387"/>
    <w:rsid w:val="001640ED"/>
    <w:rsid w:val="0018099E"/>
    <w:rsid w:val="001A4716"/>
    <w:rsid w:val="001C35A4"/>
    <w:rsid w:val="001D557F"/>
    <w:rsid w:val="001F73E4"/>
    <w:rsid w:val="00232E99"/>
    <w:rsid w:val="00274F0B"/>
    <w:rsid w:val="00283956"/>
    <w:rsid w:val="002E7AF3"/>
    <w:rsid w:val="00373BB1"/>
    <w:rsid w:val="003C68B4"/>
    <w:rsid w:val="003D2A76"/>
    <w:rsid w:val="0040418F"/>
    <w:rsid w:val="00415599"/>
    <w:rsid w:val="00422301"/>
    <w:rsid w:val="004418E6"/>
    <w:rsid w:val="00447739"/>
    <w:rsid w:val="004B1461"/>
    <w:rsid w:val="004E7F1D"/>
    <w:rsid w:val="00516456"/>
    <w:rsid w:val="005925C4"/>
    <w:rsid w:val="00627E6B"/>
    <w:rsid w:val="00636771"/>
    <w:rsid w:val="00643BE3"/>
    <w:rsid w:val="00680EDB"/>
    <w:rsid w:val="00684430"/>
    <w:rsid w:val="006D067F"/>
    <w:rsid w:val="00715CA0"/>
    <w:rsid w:val="00801A5D"/>
    <w:rsid w:val="0083534A"/>
    <w:rsid w:val="00844DB8"/>
    <w:rsid w:val="008526A3"/>
    <w:rsid w:val="0085688E"/>
    <w:rsid w:val="00861DAB"/>
    <w:rsid w:val="008866EF"/>
    <w:rsid w:val="00893DAE"/>
    <w:rsid w:val="008F6DD3"/>
    <w:rsid w:val="00910429"/>
    <w:rsid w:val="00923784"/>
    <w:rsid w:val="00930024"/>
    <w:rsid w:val="00962042"/>
    <w:rsid w:val="00A77E23"/>
    <w:rsid w:val="00AA3CEC"/>
    <w:rsid w:val="00AF1302"/>
    <w:rsid w:val="00AF2072"/>
    <w:rsid w:val="00B51078"/>
    <w:rsid w:val="00BA5336"/>
    <w:rsid w:val="00BA7340"/>
    <w:rsid w:val="00BC757B"/>
    <w:rsid w:val="00BC794F"/>
    <w:rsid w:val="00BE7797"/>
    <w:rsid w:val="00C079E9"/>
    <w:rsid w:val="00C177D5"/>
    <w:rsid w:val="00C332D0"/>
    <w:rsid w:val="00C66881"/>
    <w:rsid w:val="00C7772E"/>
    <w:rsid w:val="00C850BB"/>
    <w:rsid w:val="00CB55B5"/>
    <w:rsid w:val="00CC792C"/>
    <w:rsid w:val="00DB7AA9"/>
    <w:rsid w:val="00E32F9A"/>
    <w:rsid w:val="00E7626C"/>
    <w:rsid w:val="00E865C2"/>
    <w:rsid w:val="00E92BE0"/>
    <w:rsid w:val="00E93A29"/>
    <w:rsid w:val="00EA6660"/>
    <w:rsid w:val="00EC4916"/>
    <w:rsid w:val="00EE5049"/>
    <w:rsid w:val="00EE5382"/>
    <w:rsid w:val="00F92B22"/>
    <w:rsid w:val="00FB318B"/>
    <w:rsid w:val="01017684"/>
    <w:rsid w:val="010A29DC"/>
    <w:rsid w:val="01101675"/>
    <w:rsid w:val="01161381"/>
    <w:rsid w:val="011B6997"/>
    <w:rsid w:val="01457570"/>
    <w:rsid w:val="01822573"/>
    <w:rsid w:val="018502B5"/>
    <w:rsid w:val="0187402D"/>
    <w:rsid w:val="018A58CB"/>
    <w:rsid w:val="01910A08"/>
    <w:rsid w:val="01981D96"/>
    <w:rsid w:val="01A4698D"/>
    <w:rsid w:val="01AE15BA"/>
    <w:rsid w:val="01B97168"/>
    <w:rsid w:val="01B97F5E"/>
    <w:rsid w:val="01BA61B0"/>
    <w:rsid w:val="01C901A1"/>
    <w:rsid w:val="01C94F17"/>
    <w:rsid w:val="01D31020"/>
    <w:rsid w:val="01D37272"/>
    <w:rsid w:val="01E054EB"/>
    <w:rsid w:val="01E7687A"/>
    <w:rsid w:val="01EC1BC6"/>
    <w:rsid w:val="02076F1C"/>
    <w:rsid w:val="020B6A0C"/>
    <w:rsid w:val="02111B48"/>
    <w:rsid w:val="021653B1"/>
    <w:rsid w:val="0227311A"/>
    <w:rsid w:val="0241242E"/>
    <w:rsid w:val="02447828"/>
    <w:rsid w:val="025F28B4"/>
    <w:rsid w:val="026003DA"/>
    <w:rsid w:val="027125E7"/>
    <w:rsid w:val="027F222A"/>
    <w:rsid w:val="0297204E"/>
    <w:rsid w:val="029D33DC"/>
    <w:rsid w:val="02B50726"/>
    <w:rsid w:val="02CE3596"/>
    <w:rsid w:val="02D84414"/>
    <w:rsid w:val="02DE7C7D"/>
    <w:rsid w:val="02E64D83"/>
    <w:rsid w:val="02ED7EC0"/>
    <w:rsid w:val="03011BBD"/>
    <w:rsid w:val="03092820"/>
    <w:rsid w:val="0332621A"/>
    <w:rsid w:val="03351867"/>
    <w:rsid w:val="033755DF"/>
    <w:rsid w:val="033B6E7D"/>
    <w:rsid w:val="034649C6"/>
    <w:rsid w:val="034C78E7"/>
    <w:rsid w:val="035420D9"/>
    <w:rsid w:val="03561F09"/>
    <w:rsid w:val="035A7C07"/>
    <w:rsid w:val="035B751F"/>
    <w:rsid w:val="036D4EAF"/>
    <w:rsid w:val="03792B6C"/>
    <w:rsid w:val="03892540"/>
    <w:rsid w:val="038B1487"/>
    <w:rsid w:val="03920A67"/>
    <w:rsid w:val="0397607D"/>
    <w:rsid w:val="039842CF"/>
    <w:rsid w:val="039B791C"/>
    <w:rsid w:val="039D7B38"/>
    <w:rsid w:val="03AA7B5F"/>
    <w:rsid w:val="03B10EED"/>
    <w:rsid w:val="03BB1D6C"/>
    <w:rsid w:val="03BE185C"/>
    <w:rsid w:val="03D60954"/>
    <w:rsid w:val="03E5503B"/>
    <w:rsid w:val="03EA2651"/>
    <w:rsid w:val="03EF5EB9"/>
    <w:rsid w:val="03F31506"/>
    <w:rsid w:val="03FD2384"/>
    <w:rsid w:val="03FD4132"/>
    <w:rsid w:val="03FE7EAB"/>
    <w:rsid w:val="040000C7"/>
    <w:rsid w:val="040B06E5"/>
    <w:rsid w:val="040F08CA"/>
    <w:rsid w:val="042C4A18"/>
    <w:rsid w:val="043D09D3"/>
    <w:rsid w:val="04431B4F"/>
    <w:rsid w:val="04610B65"/>
    <w:rsid w:val="046441B2"/>
    <w:rsid w:val="046B5540"/>
    <w:rsid w:val="046E6115"/>
    <w:rsid w:val="04775EC4"/>
    <w:rsid w:val="047C20F3"/>
    <w:rsid w:val="047D1717"/>
    <w:rsid w:val="04811285"/>
    <w:rsid w:val="04A46CA4"/>
    <w:rsid w:val="04B0389B"/>
    <w:rsid w:val="04C3537C"/>
    <w:rsid w:val="04C95D42"/>
    <w:rsid w:val="04DA26C6"/>
    <w:rsid w:val="04E84DE3"/>
    <w:rsid w:val="04F419D9"/>
    <w:rsid w:val="04F55751"/>
    <w:rsid w:val="051F457C"/>
    <w:rsid w:val="052676B9"/>
    <w:rsid w:val="052B2F21"/>
    <w:rsid w:val="05372614"/>
    <w:rsid w:val="053973EC"/>
    <w:rsid w:val="053F69CD"/>
    <w:rsid w:val="05526700"/>
    <w:rsid w:val="055E50A5"/>
    <w:rsid w:val="056106F1"/>
    <w:rsid w:val="056A1C9B"/>
    <w:rsid w:val="05852631"/>
    <w:rsid w:val="058A7C48"/>
    <w:rsid w:val="05900FD6"/>
    <w:rsid w:val="05A351AD"/>
    <w:rsid w:val="05AB5E10"/>
    <w:rsid w:val="05B42F17"/>
    <w:rsid w:val="05C321A6"/>
    <w:rsid w:val="05C82C12"/>
    <w:rsid w:val="05D0614D"/>
    <w:rsid w:val="05D709B3"/>
    <w:rsid w:val="05EE467B"/>
    <w:rsid w:val="0608353B"/>
    <w:rsid w:val="060A0D89"/>
    <w:rsid w:val="06113EC5"/>
    <w:rsid w:val="061B2F96"/>
    <w:rsid w:val="061D0ABC"/>
    <w:rsid w:val="06293905"/>
    <w:rsid w:val="062C0CFF"/>
    <w:rsid w:val="0634264D"/>
    <w:rsid w:val="06361B7E"/>
    <w:rsid w:val="063858F6"/>
    <w:rsid w:val="06442682"/>
    <w:rsid w:val="064C13A1"/>
    <w:rsid w:val="06514C09"/>
    <w:rsid w:val="06565D7C"/>
    <w:rsid w:val="06622973"/>
    <w:rsid w:val="066466EB"/>
    <w:rsid w:val="066606B5"/>
    <w:rsid w:val="066F04FF"/>
    <w:rsid w:val="0671705A"/>
    <w:rsid w:val="067C40FB"/>
    <w:rsid w:val="06905732"/>
    <w:rsid w:val="06915006"/>
    <w:rsid w:val="06B46E17"/>
    <w:rsid w:val="06C62F02"/>
    <w:rsid w:val="06D53145"/>
    <w:rsid w:val="06DC0977"/>
    <w:rsid w:val="06DF3FC3"/>
    <w:rsid w:val="06E31D05"/>
    <w:rsid w:val="06E45A7E"/>
    <w:rsid w:val="06F85085"/>
    <w:rsid w:val="06FA0DFD"/>
    <w:rsid w:val="07027CB2"/>
    <w:rsid w:val="070752C8"/>
    <w:rsid w:val="071A4FFB"/>
    <w:rsid w:val="07230354"/>
    <w:rsid w:val="07261BF2"/>
    <w:rsid w:val="073E6F3C"/>
    <w:rsid w:val="075229E7"/>
    <w:rsid w:val="0753050D"/>
    <w:rsid w:val="078B414B"/>
    <w:rsid w:val="078D7EC3"/>
    <w:rsid w:val="07936671"/>
    <w:rsid w:val="079B25E0"/>
    <w:rsid w:val="07A86AAB"/>
    <w:rsid w:val="07C35693"/>
    <w:rsid w:val="07C37441"/>
    <w:rsid w:val="07DE071F"/>
    <w:rsid w:val="07EA70C4"/>
    <w:rsid w:val="07F910B5"/>
    <w:rsid w:val="07F95559"/>
    <w:rsid w:val="08114650"/>
    <w:rsid w:val="08161C67"/>
    <w:rsid w:val="08167EB9"/>
    <w:rsid w:val="081B727D"/>
    <w:rsid w:val="08212539"/>
    <w:rsid w:val="08234384"/>
    <w:rsid w:val="08236132"/>
    <w:rsid w:val="08253C58"/>
    <w:rsid w:val="082C148A"/>
    <w:rsid w:val="0831084F"/>
    <w:rsid w:val="08316AA1"/>
    <w:rsid w:val="083245C7"/>
    <w:rsid w:val="0834033F"/>
    <w:rsid w:val="083640B7"/>
    <w:rsid w:val="08470072"/>
    <w:rsid w:val="084C38DA"/>
    <w:rsid w:val="084E7652"/>
    <w:rsid w:val="084F5179"/>
    <w:rsid w:val="086C5D2B"/>
    <w:rsid w:val="08760957"/>
    <w:rsid w:val="087D3A94"/>
    <w:rsid w:val="088272FC"/>
    <w:rsid w:val="08856DEC"/>
    <w:rsid w:val="08907C6B"/>
    <w:rsid w:val="089963F4"/>
    <w:rsid w:val="08B33959"/>
    <w:rsid w:val="08CB2A51"/>
    <w:rsid w:val="08D00067"/>
    <w:rsid w:val="08DC3C7C"/>
    <w:rsid w:val="08DD2784"/>
    <w:rsid w:val="08E81855"/>
    <w:rsid w:val="091361A6"/>
    <w:rsid w:val="091F0FEF"/>
    <w:rsid w:val="0922463B"/>
    <w:rsid w:val="092E2FE0"/>
    <w:rsid w:val="093F343F"/>
    <w:rsid w:val="096867B1"/>
    <w:rsid w:val="096A04BC"/>
    <w:rsid w:val="09774987"/>
    <w:rsid w:val="097A3797"/>
    <w:rsid w:val="09954E0D"/>
    <w:rsid w:val="099F5C8C"/>
    <w:rsid w:val="09A432A2"/>
    <w:rsid w:val="09BB0D18"/>
    <w:rsid w:val="09C0632E"/>
    <w:rsid w:val="09C851E3"/>
    <w:rsid w:val="09E244F6"/>
    <w:rsid w:val="09E57B43"/>
    <w:rsid w:val="09E92ED1"/>
    <w:rsid w:val="09EB0ED1"/>
    <w:rsid w:val="09F064E7"/>
    <w:rsid w:val="09F75AC8"/>
    <w:rsid w:val="09FB55B8"/>
    <w:rsid w:val="0A006E28"/>
    <w:rsid w:val="0A0501E5"/>
    <w:rsid w:val="0A081A83"/>
    <w:rsid w:val="0A116B8A"/>
    <w:rsid w:val="0A1D552E"/>
    <w:rsid w:val="0A302067"/>
    <w:rsid w:val="0A3B59B5"/>
    <w:rsid w:val="0A4C1970"/>
    <w:rsid w:val="0A4C4782"/>
    <w:rsid w:val="0A5E78F5"/>
    <w:rsid w:val="0A6C237D"/>
    <w:rsid w:val="0A8729A8"/>
    <w:rsid w:val="0A92134D"/>
    <w:rsid w:val="0A96149A"/>
    <w:rsid w:val="0AA01CBB"/>
    <w:rsid w:val="0AAC240E"/>
    <w:rsid w:val="0AB81BDE"/>
    <w:rsid w:val="0ACE05D7"/>
    <w:rsid w:val="0AD11E75"/>
    <w:rsid w:val="0AF52007"/>
    <w:rsid w:val="0B0E30C9"/>
    <w:rsid w:val="0B1C3A38"/>
    <w:rsid w:val="0B3A2110"/>
    <w:rsid w:val="0B5036E2"/>
    <w:rsid w:val="0B534F80"/>
    <w:rsid w:val="0B6B4077"/>
    <w:rsid w:val="0B6E3B68"/>
    <w:rsid w:val="0B772A1C"/>
    <w:rsid w:val="0B7849E6"/>
    <w:rsid w:val="0B7A69B0"/>
    <w:rsid w:val="0B7F3FC7"/>
    <w:rsid w:val="0B811AED"/>
    <w:rsid w:val="0B81389B"/>
    <w:rsid w:val="0BA47589"/>
    <w:rsid w:val="0BA8707A"/>
    <w:rsid w:val="0BAE0408"/>
    <w:rsid w:val="0BBF43C3"/>
    <w:rsid w:val="0BBF6171"/>
    <w:rsid w:val="0BC55E7E"/>
    <w:rsid w:val="0BCD088E"/>
    <w:rsid w:val="0BDF4976"/>
    <w:rsid w:val="0BF422BF"/>
    <w:rsid w:val="0C083FBC"/>
    <w:rsid w:val="0C264442"/>
    <w:rsid w:val="0C272694"/>
    <w:rsid w:val="0C2C7CAB"/>
    <w:rsid w:val="0C360B29"/>
    <w:rsid w:val="0C3E353A"/>
    <w:rsid w:val="0C4D5E73"/>
    <w:rsid w:val="0C523489"/>
    <w:rsid w:val="0C540FAF"/>
    <w:rsid w:val="0C5B0590"/>
    <w:rsid w:val="0C656D19"/>
    <w:rsid w:val="0C675B20"/>
    <w:rsid w:val="0C6C62F9"/>
    <w:rsid w:val="0C746EAB"/>
    <w:rsid w:val="0C774C9E"/>
    <w:rsid w:val="0C7843D8"/>
    <w:rsid w:val="0C7B653C"/>
    <w:rsid w:val="0C7D0506"/>
    <w:rsid w:val="0C880C59"/>
    <w:rsid w:val="0C882A07"/>
    <w:rsid w:val="0C8E44C1"/>
    <w:rsid w:val="0C9615C8"/>
    <w:rsid w:val="0CAA6E21"/>
    <w:rsid w:val="0CB63A18"/>
    <w:rsid w:val="0CBA272C"/>
    <w:rsid w:val="0CBD0903"/>
    <w:rsid w:val="0CC31C91"/>
    <w:rsid w:val="0CCC4FEA"/>
    <w:rsid w:val="0CDA7707"/>
    <w:rsid w:val="0CE55421"/>
    <w:rsid w:val="0CE560AB"/>
    <w:rsid w:val="0CE9794A"/>
    <w:rsid w:val="0CF33FB3"/>
    <w:rsid w:val="0D091D9A"/>
    <w:rsid w:val="0D093B48"/>
    <w:rsid w:val="0D10226E"/>
    <w:rsid w:val="0D106986"/>
    <w:rsid w:val="0D2C3CDA"/>
    <w:rsid w:val="0D2C5A88"/>
    <w:rsid w:val="0D6C2329"/>
    <w:rsid w:val="0D8164E3"/>
    <w:rsid w:val="0D8853B5"/>
    <w:rsid w:val="0D894C89"/>
    <w:rsid w:val="0D991370"/>
    <w:rsid w:val="0DA675E9"/>
    <w:rsid w:val="0DB22432"/>
    <w:rsid w:val="0DB461AA"/>
    <w:rsid w:val="0DB717F6"/>
    <w:rsid w:val="0DBC505E"/>
    <w:rsid w:val="0DBD4932"/>
    <w:rsid w:val="0DBF4B4E"/>
    <w:rsid w:val="0DC42165"/>
    <w:rsid w:val="0DC83A03"/>
    <w:rsid w:val="0DD405FA"/>
    <w:rsid w:val="0DE95727"/>
    <w:rsid w:val="0DF04D08"/>
    <w:rsid w:val="0E023C9B"/>
    <w:rsid w:val="0E0D1416"/>
    <w:rsid w:val="0E1409F6"/>
    <w:rsid w:val="0E213113"/>
    <w:rsid w:val="0E342E47"/>
    <w:rsid w:val="0E43308A"/>
    <w:rsid w:val="0E4532A6"/>
    <w:rsid w:val="0E4D3F08"/>
    <w:rsid w:val="0E59465B"/>
    <w:rsid w:val="0E653000"/>
    <w:rsid w:val="0E72571D"/>
    <w:rsid w:val="0E772D33"/>
    <w:rsid w:val="0E8536A2"/>
    <w:rsid w:val="0E8611C8"/>
    <w:rsid w:val="0E8A6F0A"/>
    <w:rsid w:val="0E9953A0"/>
    <w:rsid w:val="0EA224A6"/>
    <w:rsid w:val="0EA31D7A"/>
    <w:rsid w:val="0ECE329B"/>
    <w:rsid w:val="0EDB59B8"/>
    <w:rsid w:val="0EF44384"/>
    <w:rsid w:val="0EF83E74"/>
    <w:rsid w:val="0EFA4090"/>
    <w:rsid w:val="0F0E7B3C"/>
    <w:rsid w:val="0F0F5662"/>
    <w:rsid w:val="0F1113DA"/>
    <w:rsid w:val="0F113188"/>
    <w:rsid w:val="0F2E5644"/>
    <w:rsid w:val="0F3A79F0"/>
    <w:rsid w:val="0F4C0664"/>
    <w:rsid w:val="0F501F02"/>
    <w:rsid w:val="0F503CB0"/>
    <w:rsid w:val="0F53554E"/>
    <w:rsid w:val="0F553A5B"/>
    <w:rsid w:val="0F825E34"/>
    <w:rsid w:val="0F8A3E81"/>
    <w:rsid w:val="0F9A13CF"/>
    <w:rsid w:val="0FA91612"/>
    <w:rsid w:val="0FB81855"/>
    <w:rsid w:val="0FBB0301"/>
    <w:rsid w:val="0FD0094D"/>
    <w:rsid w:val="0FF30ADF"/>
    <w:rsid w:val="0FF46D31"/>
    <w:rsid w:val="0FF7412C"/>
    <w:rsid w:val="0FF87EA4"/>
    <w:rsid w:val="10022AD1"/>
    <w:rsid w:val="100D38A2"/>
    <w:rsid w:val="101822F4"/>
    <w:rsid w:val="102E1B18"/>
    <w:rsid w:val="10321608"/>
    <w:rsid w:val="10354C54"/>
    <w:rsid w:val="103B3D86"/>
    <w:rsid w:val="103E3E14"/>
    <w:rsid w:val="104355C3"/>
    <w:rsid w:val="105F7F23"/>
    <w:rsid w:val="10686DD7"/>
    <w:rsid w:val="10795489"/>
    <w:rsid w:val="108C0107"/>
    <w:rsid w:val="10A65B52"/>
    <w:rsid w:val="10AF0EAA"/>
    <w:rsid w:val="10C009C2"/>
    <w:rsid w:val="10CD1330"/>
    <w:rsid w:val="10D66437"/>
    <w:rsid w:val="10DC394E"/>
    <w:rsid w:val="10E16B8A"/>
    <w:rsid w:val="10EA5A3E"/>
    <w:rsid w:val="10FE598E"/>
    <w:rsid w:val="110765F0"/>
    <w:rsid w:val="11186A50"/>
    <w:rsid w:val="11194576"/>
    <w:rsid w:val="11205904"/>
    <w:rsid w:val="11276C93"/>
    <w:rsid w:val="113413B0"/>
    <w:rsid w:val="113B273E"/>
    <w:rsid w:val="113D2012"/>
    <w:rsid w:val="11423643"/>
    <w:rsid w:val="114809B7"/>
    <w:rsid w:val="114F1D45"/>
    <w:rsid w:val="115B06EA"/>
    <w:rsid w:val="115B275C"/>
    <w:rsid w:val="115D26B4"/>
    <w:rsid w:val="115D4462"/>
    <w:rsid w:val="11621A79"/>
    <w:rsid w:val="116E2B13"/>
    <w:rsid w:val="1182036D"/>
    <w:rsid w:val="118A0FD0"/>
    <w:rsid w:val="118A3AC3"/>
    <w:rsid w:val="118E0AC0"/>
    <w:rsid w:val="11A007F3"/>
    <w:rsid w:val="11B06C88"/>
    <w:rsid w:val="11BC387F"/>
    <w:rsid w:val="11C40985"/>
    <w:rsid w:val="11CC15E8"/>
    <w:rsid w:val="11DA1F57"/>
    <w:rsid w:val="11E42DD6"/>
    <w:rsid w:val="11EE155E"/>
    <w:rsid w:val="11FC011F"/>
    <w:rsid w:val="12046FD4"/>
    <w:rsid w:val="120945EA"/>
    <w:rsid w:val="121F5BBC"/>
    <w:rsid w:val="124666C8"/>
    <w:rsid w:val="125C296C"/>
    <w:rsid w:val="12696E37"/>
    <w:rsid w:val="126A32DB"/>
    <w:rsid w:val="127001F4"/>
    <w:rsid w:val="127952CC"/>
    <w:rsid w:val="128A74D9"/>
    <w:rsid w:val="128B3251"/>
    <w:rsid w:val="129465AA"/>
    <w:rsid w:val="12957C2C"/>
    <w:rsid w:val="12B427A8"/>
    <w:rsid w:val="12B5207C"/>
    <w:rsid w:val="12B66520"/>
    <w:rsid w:val="12D90460"/>
    <w:rsid w:val="12DD1CFF"/>
    <w:rsid w:val="12E0359D"/>
    <w:rsid w:val="12F64B6E"/>
    <w:rsid w:val="13001549"/>
    <w:rsid w:val="13010ECD"/>
    <w:rsid w:val="13023513"/>
    <w:rsid w:val="130322F6"/>
    <w:rsid w:val="13086650"/>
    <w:rsid w:val="13117BFA"/>
    <w:rsid w:val="13180F89"/>
    <w:rsid w:val="132F0080"/>
    <w:rsid w:val="133B4C77"/>
    <w:rsid w:val="13477178"/>
    <w:rsid w:val="13505521"/>
    <w:rsid w:val="1360023A"/>
    <w:rsid w:val="13631E88"/>
    <w:rsid w:val="136F4921"/>
    <w:rsid w:val="136F66CF"/>
    <w:rsid w:val="13854144"/>
    <w:rsid w:val="138959E3"/>
    <w:rsid w:val="13912AE9"/>
    <w:rsid w:val="1393060F"/>
    <w:rsid w:val="1399374C"/>
    <w:rsid w:val="13A445CA"/>
    <w:rsid w:val="13A91BE1"/>
    <w:rsid w:val="13AA5959"/>
    <w:rsid w:val="13B30CB1"/>
    <w:rsid w:val="13D84AA3"/>
    <w:rsid w:val="13DB164B"/>
    <w:rsid w:val="13EE5846"/>
    <w:rsid w:val="13F15336"/>
    <w:rsid w:val="1404150D"/>
    <w:rsid w:val="140E2683"/>
    <w:rsid w:val="14180B15"/>
    <w:rsid w:val="143811B7"/>
    <w:rsid w:val="143A4F2F"/>
    <w:rsid w:val="143A6CDD"/>
    <w:rsid w:val="144813FA"/>
    <w:rsid w:val="144C07BE"/>
    <w:rsid w:val="145C6C53"/>
    <w:rsid w:val="147E4E1C"/>
    <w:rsid w:val="149A3C1F"/>
    <w:rsid w:val="149F2FE4"/>
    <w:rsid w:val="14A81E98"/>
    <w:rsid w:val="14BB6070"/>
    <w:rsid w:val="14BC5944"/>
    <w:rsid w:val="14C91E0F"/>
    <w:rsid w:val="14E54E9B"/>
    <w:rsid w:val="14EF7AC7"/>
    <w:rsid w:val="14F21366"/>
    <w:rsid w:val="14F92001"/>
    <w:rsid w:val="150572EB"/>
    <w:rsid w:val="150F1F18"/>
    <w:rsid w:val="151B4EE0"/>
    <w:rsid w:val="151E03AD"/>
    <w:rsid w:val="15237771"/>
    <w:rsid w:val="152754B3"/>
    <w:rsid w:val="152F25BA"/>
    <w:rsid w:val="153100E0"/>
    <w:rsid w:val="1537321C"/>
    <w:rsid w:val="15477903"/>
    <w:rsid w:val="15485429"/>
    <w:rsid w:val="154A2F50"/>
    <w:rsid w:val="154D2A40"/>
    <w:rsid w:val="156264EB"/>
    <w:rsid w:val="156C55BC"/>
    <w:rsid w:val="15761F97"/>
    <w:rsid w:val="157D3325"/>
    <w:rsid w:val="157D4A1B"/>
    <w:rsid w:val="158346B4"/>
    <w:rsid w:val="158F7C34"/>
    <w:rsid w:val="15966195"/>
    <w:rsid w:val="15C03212"/>
    <w:rsid w:val="15DF7B3C"/>
    <w:rsid w:val="15E909BB"/>
    <w:rsid w:val="15F630D7"/>
    <w:rsid w:val="15FD6214"/>
    <w:rsid w:val="15FD7FC2"/>
    <w:rsid w:val="16054060"/>
    <w:rsid w:val="16111CBF"/>
    <w:rsid w:val="16184DFC"/>
    <w:rsid w:val="16223ECC"/>
    <w:rsid w:val="162419F3"/>
    <w:rsid w:val="16255FA0"/>
    <w:rsid w:val="16414353"/>
    <w:rsid w:val="164B6F7F"/>
    <w:rsid w:val="16556050"/>
    <w:rsid w:val="16585B40"/>
    <w:rsid w:val="166E7112"/>
    <w:rsid w:val="167364D6"/>
    <w:rsid w:val="16810BF3"/>
    <w:rsid w:val="16812F01"/>
    <w:rsid w:val="16881F81"/>
    <w:rsid w:val="1699418F"/>
    <w:rsid w:val="169C3C7F"/>
    <w:rsid w:val="16A843D2"/>
    <w:rsid w:val="16AF39B2"/>
    <w:rsid w:val="16B70AB9"/>
    <w:rsid w:val="16C15493"/>
    <w:rsid w:val="16C64858"/>
    <w:rsid w:val="16CD3E38"/>
    <w:rsid w:val="16D451C7"/>
    <w:rsid w:val="16E54414"/>
    <w:rsid w:val="16ED6288"/>
    <w:rsid w:val="17057DAB"/>
    <w:rsid w:val="17173305"/>
    <w:rsid w:val="17214184"/>
    <w:rsid w:val="17231CAA"/>
    <w:rsid w:val="1732013F"/>
    <w:rsid w:val="17321EED"/>
    <w:rsid w:val="17345C65"/>
    <w:rsid w:val="174A7237"/>
    <w:rsid w:val="17606A5A"/>
    <w:rsid w:val="177E3384"/>
    <w:rsid w:val="1791130A"/>
    <w:rsid w:val="17942BA8"/>
    <w:rsid w:val="179B5CE4"/>
    <w:rsid w:val="17A34B99"/>
    <w:rsid w:val="17A56B63"/>
    <w:rsid w:val="17A74689"/>
    <w:rsid w:val="17B172B6"/>
    <w:rsid w:val="17B943BD"/>
    <w:rsid w:val="17D2722C"/>
    <w:rsid w:val="17D336D0"/>
    <w:rsid w:val="17E31439"/>
    <w:rsid w:val="17E551B2"/>
    <w:rsid w:val="17F65611"/>
    <w:rsid w:val="17FD074D"/>
    <w:rsid w:val="17FF2717"/>
    <w:rsid w:val="181F06C4"/>
    <w:rsid w:val="1821268E"/>
    <w:rsid w:val="182E0907"/>
    <w:rsid w:val="18365A0D"/>
    <w:rsid w:val="183A374F"/>
    <w:rsid w:val="184E2D57"/>
    <w:rsid w:val="185F4F64"/>
    <w:rsid w:val="18620FC8"/>
    <w:rsid w:val="186D63A9"/>
    <w:rsid w:val="18786026"/>
    <w:rsid w:val="18826EA4"/>
    <w:rsid w:val="188B5D59"/>
    <w:rsid w:val="188D7D23"/>
    <w:rsid w:val="18A8690B"/>
    <w:rsid w:val="18BF5A03"/>
    <w:rsid w:val="18C15C1F"/>
    <w:rsid w:val="18C748B7"/>
    <w:rsid w:val="18D75B41"/>
    <w:rsid w:val="18F47C3A"/>
    <w:rsid w:val="18FF04F5"/>
    <w:rsid w:val="19002AD9"/>
    <w:rsid w:val="191775ED"/>
    <w:rsid w:val="19306900"/>
    <w:rsid w:val="19481E9C"/>
    <w:rsid w:val="194A1770"/>
    <w:rsid w:val="196842EC"/>
    <w:rsid w:val="197113F3"/>
    <w:rsid w:val="199649B5"/>
    <w:rsid w:val="19B412DF"/>
    <w:rsid w:val="19CA28B1"/>
    <w:rsid w:val="19E33973"/>
    <w:rsid w:val="19E41BC5"/>
    <w:rsid w:val="19FB6F0F"/>
    <w:rsid w:val="19FE07AD"/>
    <w:rsid w:val="1A0C111B"/>
    <w:rsid w:val="1A11228E"/>
    <w:rsid w:val="1A1A3838"/>
    <w:rsid w:val="1A2024D1"/>
    <w:rsid w:val="1A2F6BB8"/>
    <w:rsid w:val="1A3664FF"/>
    <w:rsid w:val="1A425633"/>
    <w:rsid w:val="1A534654"/>
    <w:rsid w:val="1A584361"/>
    <w:rsid w:val="1A642D06"/>
    <w:rsid w:val="1A644AB4"/>
    <w:rsid w:val="1A6745A4"/>
    <w:rsid w:val="1A6E76E0"/>
    <w:rsid w:val="1A7840BB"/>
    <w:rsid w:val="1A862C7C"/>
    <w:rsid w:val="1A872550"/>
    <w:rsid w:val="1A937147"/>
    <w:rsid w:val="1A976C37"/>
    <w:rsid w:val="1AA255DC"/>
    <w:rsid w:val="1AA72BF2"/>
    <w:rsid w:val="1AA9696A"/>
    <w:rsid w:val="1ACB3D0A"/>
    <w:rsid w:val="1AD02149"/>
    <w:rsid w:val="1AE9320B"/>
    <w:rsid w:val="1AEC6857"/>
    <w:rsid w:val="1AFD0A64"/>
    <w:rsid w:val="1B0465EC"/>
    <w:rsid w:val="1B065B6B"/>
    <w:rsid w:val="1B0A2B9D"/>
    <w:rsid w:val="1B207C5E"/>
    <w:rsid w:val="1B267FBB"/>
    <w:rsid w:val="1B281F85"/>
    <w:rsid w:val="1B2E0C1E"/>
    <w:rsid w:val="1B446B4C"/>
    <w:rsid w:val="1B472E09"/>
    <w:rsid w:val="1B577360"/>
    <w:rsid w:val="1B5E1503"/>
    <w:rsid w:val="1B686FEC"/>
    <w:rsid w:val="1B860A5A"/>
    <w:rsid w:val="1B8847D2"/>
    <w:rsid w:val="1BA3785E"/>
    <w:rsid w:val="1BAF1D5E"/>
    <w:rsid w:val="1BB11F7A"/>
    <w:rsid w:val="1BBC26CD"/>
    <w:rsid w:val="1BC25F36"/>
    <w:rsid w:val="1BC7354C"/>
    <w:rsid w:val="1BCC0B62"/>
    <w:rsid w:val="1BEB1F58"/>
    <w:rsid w:val="1BF34341"/>
    <w:rsid w:val="1BF73705"/>
    <w:rsid w:val="1C00080C"/>
    <w:rsid w:val="1C14576A"/>
    <w:rsid w:val="1C2C1601"/>
    <w:rsid w:val="1C3E1334"/>
    <w:rsid w:val="1C424981"/>
    <w:rsid w:val="1C47468D"/>
    <w:rsid w:val="1C5B3C94"/>
    <w:rsid w:val="1C7F7983"/>
    <w:rsid w:val="1C817B9F"/>
    <w:rsid w:val="1C8431EB"/>
    <w:rsid w:val="1C8C02F2"/>
    <w:rsid w:val="1C9A0C60"/>
    <w:rsid w:val="1C9F1DD3"/>
    <w:rsid w:val="1CA019C3"/>
    <w:rsid w:val="1CB17D58"/>
    <w:rsid w:val="1CBC2C96"/>
    <w:rsid w:val="1CC17F9B"/>
    <w:rsid w:val="1CD04682"/>
    <w:rsid w:val="1CD51C99"/>
    <w:rsid w:val="1CD557F5"/>
    <w:rsid w:val="1CE00CD8"/>
    <w:rsid w:val="1CE41EDC"/>
    <w:rsid w:val="1CE912A0"/>
    <w:rsid w:val="1CEE68B6"/>
    <w:rsid w:val="1CFD4D4B"/>
    <w:rsid w:val="1CFF6D16"/>
    <w:rsid w:val="1D300C7D"/>
    <w:rsid w:val="1D3F35B6"/>
    <w:rsid w:val="1D4209B0"/>
    <w:rsid w:val="1D4666F2"/>
    <w:rsid w:val="1D4E55A7"/>
    <w:rsid w:val="1D61352C"/>
    <w:rsid w:val="1D6D3C7F"/>
    <w:rsid w:val="1D760AC3"/>
    <w:rsid w:val="1D7A45EE"/>
    <w:rsid w:val="1D81597C"/>
    <w:rsid w:val="1D8611E5"/>
    <w:rsid w:val="1DAC0C4B"/>
    <w:rsid w:val="1DAD0520"/>
    <w:rsid w:val="1DAF24EA"/>
    <w:rsid w:val="1DB00010"/>
    <w:rsid w:val="1DB01DBE"/>
    <w:rsid w:val="1DB45D52"/>
    <w:rsid w:val="1DB7314C"/>
    <w:rsid w:val="1DBA2C3C"/>
    <w:rsid w:val="1E002D45"/>
    <w:rsid w:val="1E04324C"/>
    <w:rsid w:val="1E075E82"/>
    <w:rsid w:val="1E0C64F4"/>
    <w:rsid w:val="1E170E52"/>
    <w:rsid w:val="1E1D56A5"/>
    <w:rsid w:val="1E2702D2"/>
    <w:rsid w:val="1E401394"/>
    <w:rsid w:val="1E42510C"/>
    <w:rsid w:val="1E4F5A7B"/>
    <w:rsid w:val="1E707ECB"/>
    <w:rsid w:val="1E7554E1"/>
    <w:rsid w:val="1E7948A6"/>
    <w:rsid w:val="1E796654"/>
    <w:rsid w:val="1E846228"/>
    <w:rsid w:val="1E892D3B"/>
    <w:rsid w:val="1E8F40C9"/>
    <w:rsid w:val="1E9A6CF6"/>
    <w:rsid w:val="1E9B481C"/>
    <w:rsid w:val="1EA41923"/>
    <w:rsid w:val="1EA9518B"/>
    <w:rsid w:val="1EB31B66"/>
    <w:rsid w:val="1EBD4792"/>
    <w:rsid w:val="1ED32208"/>
    <w:rsid w:val="1EF04B68"/>
    <w:rsid w:val="1EF36A41"/>
    <w:rsid w:val="1F016D75"/>
    <w:rsid w:val="1F1A7859"/>
    <w:rsid w:val="1F1A7E37"/>
    <w:rsid w:val="1F234F3D"/>
    <w:rsid w:val="1F2D7B6A"/>
    <w:rsid w:val="1F354C71"/>
    <w:rsid w:val="1F3F33F9"/>
    <w:rsid w:val="1F5D7D23"/>
    <w:rsid w:val="1F615A66"/>
    <w:rsid w:val="1F707A57"/>
    <w:rsid w:val="1F833C2E"/>
    <w:rsid w:val="1F841754"/>
    <w:rsid w:val="1F861028"/>
    <w:rsid w:val="1F86727A"/>
    <w:rsid w:val="1F890B18"/>
    <w:rsid w:val="1F8B663F"/>
    <w:rsid w:val="1FA23B2A"/>
    <w:rsid w:val="1FA37E2C"/>
    <w:rsid w:val="1FB04EF2"/>
    <w:rsid w:val="1FB2006F"/>
    <w:rsid w:val="1FBA5176"/>
    <w:rsid w:val="1FCB7383"/>
    <w:rsid w:val="1FDC333E"/>
    <w:rsid w:val="1FE83A91"/>
    <w:rsid w:val="1FEF6BCD"/>
    <w:rsid w:val="1FF71F26"/>
    <w:rsid w:val="20036B1D"/>
    <w:rsid w:val="20054643"/>
    <w:rsid w:val="200F7270"/>
    <w:rsid w:val="20144886"/>
    <w:rsid w:val="20150C7D"/>
    <w:rsid w:val="201C198C"/>
    <w:rsid w:val="202076CF"/>
    <w:rsid w:val="202645B9"/>
    <w:rsid w:val="202A22FB"/>
    <w:rsid w:val="202A40A9"/>
    <w:rsid w:val="202B5191"/>
    <w:rsid w:val="203D202F"/>
    <w:rsid w:val="204D7D98"/>
    <w:rsid w:val="20586E69"/>
    <w:rsid w:val="205D447F"/>
    <w:rsid w:val="20653333"/>
    <w:rsid w:val="207D067D"/>
    <w:rsid w:val="2080016D"/>
    <w:rsid w:val="208732AA"/>
    <w:rsid w:val="208A0FEC"/>
    <w:rsid w:val="208F215E"/>
    <w:rsid w:val="20931C4F"/>
    <w:rsid w:val="20A21E92"/>
    <w:rsid w:val="20A420AE"/>
    <w:rsid w:val="20AC0F62"/>
    <w:rsid w:val="20B41BC5"/>
    <w:rsid w:val="20BB73F7"/>
    <w:rsid w:val="20D34741"/>
    <w:rsid w:val="20D52267"/>
    <w:rsid w:val="20DC5334"/>
    <w:rsid w:val="20EB1A8B"/>
    <w:rsid w:val="20F36B91"/>
    <w:rsid w:val="20F62BFB"/>
    <w:rsid w:val="21020B82"/>
    <w:rsid w:val="210466A8"/>
    <w:rsid w:val="210B3EDB"/>
    <w:rsid w:val="210C7C53"/>
    <w:rsid w:val="21134B3E"/>
    <w:rsid w:val="211508B6"/>
    <w:rsid w:val="21321F54"/>
    <w:rsid w:val="213B4094"/>
    <w:rsid w:val="213B5E42"/>
    <w:rsid w:val="213D605E"/>
    <w:rsid w:val="21415B4F"/>
    <w:rsid w:val="214473ED"/>
    <w:rsid w:val="214D44F3"/>
    <w:rsid w:val="215D225D"/>
    <w:rsid w:val="21701F90"/>
    <w:rsid w:val="21906D2E"/>
    <w:rsid w:val="21B55BF5"/>
    <w:rsid w:val="21D818E3"/>
    <w:rsid w:val="21D84004"/>
    <w:rsid w:val="21F40AF0"/>
    <w:rsid w:val="2201708C"/>
    <w:rsid w:val="220D3C83"/>
    <w:rsid w:val="221B63A0"/>
    <w:rsid w:val="22327245"/>
    <w:rsid w:val="223613C5"/>
    <w:rsid w:val="22525B39"/>
    <w:rsid w:val="22573150"/>
    <w:rsid w:val="226A2E83"/>
    <w:rsid w:val="22737F8A"/>
    <w:rsid w:val="22761828"/>
    <w:rsid w:val="229E48DB"/>
    <w:rsid w:val="22A10409"/>
    <w:rsid w:val="22AE0FC2"/>
    <w:rsid w:val="22C04851"/>
    <w:rsid w:val="22C32593"/>
    <w:rsid w:val="22E04EF3"/>
    <w:rsid w:val="22EC5646"/>
    <w:rsid w:val="22EE7610"/>
    <w:rsid w:val="22F369D5"/>
    <w:rsid w:val="22F664C5"/>
    <w:rsid w:val="230230BC"/>
    <w:rsid w:val="231E77CA"/>
    <w:rsid w:val="23377209"/>
    <w:rsid w:val="233F60BE"/>
    <w:rsid w:val="2342170A"/>
    <w:rsid w:val="2366189C"/>
    <w:rsid w:val="23751ADF"/>
    <w:rsid w:val="237815D0"/>
    <w:rsid w:val="238E494F"/>
    <w:rsid w:val="239161EE"/>
    <w:rsid w:val="23B95E70"/>
    <w:rsid w:val="23BC14BC"/>
    <w:rsid w:val="23E12CD1"/>
    <w:rsid w:val="23E32EED"/>
    <w:rsid w:val="23F549CE"/>
    <w:rsid w:val="23FE3883"/>
    <w:rsid w:val="23FF584D"/>
    <w:rsid w:val="240920B7"/>
    <w:rsid w:val="241C63FF"/>
    <w:rsid w:val="2423153B"/>
    <w:rsid w:val="24255ABF"/>
    <w:rsid w:val="24280900"/>
    <w:rsid w:val="242B6642"/>
    <w:rsid w:val="243E6375"/>
    <w:rsid w:val="243F3E9B"/>
    <w:rsid w:val="246555E1"/>
    <w:rsid w:val="2479115B"/>
    <w:rsid w:val="2485348A"/>
    <w:rsid w:val="249064A5"/>
    <w:rsid w:val="24A02B8C"/>
    <w:rsid w:val="24AA7567"/>
    <w:rsid w:val="24B623B0"/>
    <w:rsid w:val="24C0322E"/>
    <w:rsid w:val="24CA7C09"/>
    <w:rsid w:val="24D171E9"/>
    <w:rsid w:val="24D42836"/>
    <w:rsid w:val="24E0567E"/>
    <w:rsid w:val="24E30CCB"/>
    <w:rsid w:val="24E707BB"/>
    <w:rsid w:val="24E8008F"/>
    <w:rsid w:val="24EF3B8A"/>
    <w:rsid w:val="24F42ED8"/>
    <w:rsid w:val="2503311B"/>
    <w:rsid w:val="251470D6"/>
    <w:rsid w:val="251946ED"/>
    <w:rsid w:val="25203CCD"/>
    <w:rsid w:val="25205A7B"/>
    <w:rsid w:val="25311A36"/>
    <w:rsid w:val="253D4222"/>
    <w:rsid w:val="25545725"/>
    <w:rsid w:val="256E4A38"/>
    <w:rsid w:val="2582004E"/>
    <w:rsid w:val="25875AFA"/>
    <w:rsid w:val="258778A8"/>
    <w:rsid w:val="25A20B86"/>
    <w:rsid w:val="25A641D2"/>
    <w:rsid w:val="25B83F05"/>
    <w:rsid w:val="25BC39F6"/>
    <w:rsid w:val="25BF5294"/>
    <w:rsid w:val="25C64874"/>
    <w:rsid w:val="25D24FC7"/>
    <w:rsid w:val="25D32AED"/>
    <w:rsid w:val="25E46AA9"/>
    <w:rsid w:val="25F56F08"/>
    <w:rsid w:val="26282E39"/>
    <w:rsid w:val="262E5F76"/>
    <w:rsid w:val="2635298F"/>
    <w:rsid w:val="26492DAF"/>
    <w:rsid w:val="264B6B28"/>
    <w:rsid w:val="268A5408"/>
    <w:rsid w:val="268F110A"/>
    <w:rsid w:val="269404CF"/>
    <w:rsid w:val="26964247"/>
    <w:rsid w:val="26997893"/>
    <w:rsid w:val="26C012C4"/>
    <w:rsid w:val="26C03072"/>
    <w:rsid w:val="26C07516"/>
    <w:rsid w:val="26C50688"/>
    <w:rsid w:val="26C568DA"/>
    <w:rsid w:val="26CB1A16"/>
    <w:rsid w:val="26DD00C8"/>
    <w:rsid w:val="26EE0DB8"/>
    <w:rsid w:val="270218DC"/>
    <w:rsid w:val="27027B2E"/>
    <w:rsid w:val="270F224B"/>
    <w:rsid w:val="271E423C"/>
    <w:rsid w:val="271E5FEA"/>
    <w:rsid w:val="27201D62"/>
    <w:rsid w:val="27207FB4"/>
    <w:rsid w:val="273852FE"/>
    <w:rsid w:val="274C2B57"/>
    <w:rsid w:val="274F2647"/>
    <w:rsid w:val="278E673B"/>
    <w:rsid w:val="279F537D"/>
    <w:rsid w:val="27AA0124"/>
    <w:rsid w:val="27AF30E6"/>
    <w:rsid w:val="27BB1A8B"/>
    <w:rsid w:val="27C748D4"/>
    <w:rsid w:val="27CB43C4"/>
    <w:rsid w:val="27CE17BE"/>
    <w:rsid w:val="27D25752"/>
    <w:rsid w:val="27D72D69"/>
    <w:rsid w:val="27E40FE2"/>
    <w:rsid w:val="27E56B08"/>
    <w:rsid w:val="27FC457D"/>
    <w:rsid w:val="27FD02F5"/>
    <w:rsid w:val="280B656E"/>
    <w:rsid w:val="281C077C"/>
    <w:rsid w:val="281C69CE"/>
    <w:rsid w:val="282615FA"/>
    <w:rsid w:val="282B6C11"/>
    <w:rsid w:val="282E04AF"/>
    <w:rsid w:val="283006CB"/>
    <w:rsid w:val="28327F9F"/>
    <w:rsid w:val="28441A80"/>
    <w:rsid w:val="284E28FF"/>
    <w:rsid w:val="28520641"/>
    <w:rsid w:val="28610884"/>
    <w:rsid w:val="28643ED1"/>
    <w:rsid w:val="286B525F"/>
    <w:rsid w:val="28754330"/>
    <w:rsid w:val="287E31E4"/>
    <w:rsid w:val="287F0D0A"/>
    <w:rsid w:val="28810F26"/>
    <w:rsid w:val="289742A6"/>
    <w:rsid w:val="28A075FF"/>
    <w:rsid w:val="28B27CA3"/>
    <w:rsid w:val="28C826B1"/>
    <w:rsid w:val="28CF1C92"/>
    <w:rsid w:val="28ED3EC6"/>
    <w:rsid w:val="29001E4B"/>
    <w:rsid w:val="29053906"/>
    <w:rsid w:val="29324F91"/>
    <w:rsid w:val="293935AF"/>
    <w:rsid w:val="293B10D5"/>
    <w:rsid w:val="29591B52"/>
    <w:rsid w:val="295B52D4"/>
    <w:rsid w:val="29785E86"/>
    <w:rsid w:val="297B3BC8"/>
    <w:rsid w:val="298B6CFA"/>
    <w:rsid w:val="29986528"/>
    <w:rsid w:val="299B2660"/>
    <w:rsid w:val="299D769A"/>
    <w:rsid w:val="29AC5B2F"/>
    <w:rsid w:val="29B13146"/>
    <w:rsid w:val="29C72969"/>
    <w:rsid w:val="29C76E0D"/>
    <w:rsid w:val="29CA4207"/>
    <w:rsid w:val="29E03A2B"/>
    <w:rsid w:val="29E277A3"/>
    <w:rsid w:val="29F37C02"/>
    <w:rsid w:val="2A094D30"/>
    <w:rsid w:val="2A1B4A63"/>
    <w:rsid w:val="2A2C6C70"/>
    <w:rsid w:val="2A3E70CF"/>
    <w:rsid w:val="2A4B359A"/>
    <w:rsid w:val="2A57508D"/>
    <w:rsid w:val="2A677CA8"/>
    <w:rsid w:val="2A6D3510"/>
    <w:rsid w:val="2A6E1037"/>
    <w:rsid w:val="2A701253"/>
    <w:rsid w:val="2A8940C2"/>
    <w:rsid w:val="2A8B3997"/>
    <w:rsid w:val="2A97233B"/>
    <w:rsid w:val="2AAB5DE7"/>
    <w:rsid w:val="2AB47391"/>
    <w:rsid w:val="2AC45412"/>
    <w:rsid w:val="2AD05870"/>
    <w:rsid w:val="2AE9690F"/>
    <w:rsid w:val="2AED63FF"/>
    <w:rsid w:val="2AF91248"/>
    <w:rsid w:val="2AF92FF6"/>
    <w:rsid w:val="2AFA28CA"/>
    <w:rsid w:val="2AFE060C"/>
    <w:rsid w:val="2B073965"/>
    <w:rsid w:val="2B0A6FB1"/>
    <w:rsid w:val="2B114535"/>
    <w:rsid w:val="2B2D0EF2"/>
    <w:rsid w:val="2B45623B"/>
    <w:rsid w:val="2B4F358C"/>
    <w:rsid w:val="2B5621F6"/>
    <w:rsid w:val="2B606BD1"/>
    <w:rsid w:val="2B674A91"/>
    <w:rsid w:val="2B6E5792"/>
    <w:rsid w:val="2B830B12"/>
    <w:rsid w:val="2B8C5C18"/>
    <w:rsid w:val="2B920D55"/>
    <w:rsid w:val="2BBB02AC"/>
    <w:rsid w:val="2BBD04C8"/>
    <w:rsid w:val="2BC76C50"/>
    <w:rsid w:val="2BC90C1A"/>
    <w:rsid w:val="2BCF1FA9"/>
    <w:rsid w:val="2BD31A99"/>
    <w:rsid w:val="2BF0264B"/>
    <w:rsid w:val="2BFF463C"/>
    <w:rsid w:val="2C1A76C8"/>
    <w:rsid w:val="2C3167C0"/>
    <w:rsid w:val="2C3D5164"/>
    <w:rsid w:val="2C4402A1"/>
    <w:rsid w:val="2C5030EA"/>
    <w:rsid w:val="2C6170A5"/>
    <w:rsid w:val="2C6D3C9C"/>
    <w:rsid w:val="2C7A0167"/>
    <w:rsid w:val="2C8965FC"/>
    <w:rsid w:val="2C932FD6"/>
    <w:rsid w:val="2C974875"/>
    <w:rsid w:val="2CA451E4"/>
    <w:rsid w:val="2CAD4098"/>
    <w:rsid w:val="2CB371D5"/>
    <w:rsid w:val="2CBE44F7"/>
    <w:rsid w:val="2CE13D42"/>
    <w:rsid w:val="2CED0939"/>
    <w:rsid w:val="2CF9108B"/>
    <w:rsid w:val="2CFC6DCE"/>
    <w:rsid w:val="2D03015C"/>
    <w:rsid w:val="2D0B0DBF"/>
    <w:rsid w:val="2D102879"/>
    <w:rsid w:val="2D1B36F8"/>
    <w:rsid w:val="2D2F71A3"/>
    <w:rsid w:val="2D3227EF"/>
    <w:rsid w:val="2D3C366E"/>
    <w:rsid w:val="2D6230D5"/>
    <w:rsid w:val="2D654973"/>
    <w:rsid w:val="2D746964"/>
    <w:rsid w:val="2D773818"/>
    <w:rsid w:val="2D79041E"/>
    <w:rsid w:val="2D931734"/>
    <w:rsid w:val="2D984D48"/>
    <w:rsid w:val="2DA84860"/>
    <w:rsid w:val="2DAD00C8"/>
    <w:rsid w:val="2DBF0527"/>
    <w:rsid w:val="2DC93154"/>
    <w:rsid w:val="2DD13DB6"/>
    <w:rsid w:val="2DD218DC"/>
    <w:rsid w:val="2DDD6BFF"/>
    <w:rsid w:val="2DFE0923"/>
    <w:rsid w:val="2E0979E2"/>
    <w:rsid w:val="2E110657"/>
    <w:rsid w:val="2E112405"/>
    <w:rsid w:val="2E20089A"/>
    <w:rsid w:val="2E220AB6"/>
    <w:rsid w:val="2E374561"/>
    <w:rsid w:val="2E400F3C"/>
    <w:rsid w:val="2E56250D"/>
    <w:rsid w:val="2E5C5D76"/>
    <w:rsid w:val="2E741572"/>
    <w:rsid w:val="2E772BB0"/>
    <w:rsid w:val="2E782484"/>
    <w:rsid w:val="2E8B0409"/>
    <w:rsid w:val="2E9A6766"/>
    <w:rsid w:val="2E9D638E"/>
    <w:rsid w:val="2E9F3EB4"/>
    <w:rsid w:val="2EA119DB"/>
    <w:rsid w:val="2EA14510"/>
    <w:rsid w:val="2EA15E7F"/>
    <w:rsid w:val="2EA65243"/>
    <w:rsid w:val="2EAD65D1"/>
    <w:rsid w:val="2EB15996"/>
    <w:rsid w:val="2EC1207D"/>
    <w:rsid w:val="2EC851B9"/>
    <w:rsid w:val="2ECD0A22"/>
    <w:rsid w:val="2ED022C0"/>
    <w:rsid w:val="2ED40002"/>
    <w:rsid w:val="2ED55B28"/>
    <w:rsid w:val="2EED10C4"/>
    <w:rsid w:val="2EED4C20"/>
    <w:rsid w:val="2EF91817"/>
    <w:rsid w:val="2EFE0BDB"/>
    <w:rsid w:val="2F0F103A"/>
    <w:rsid w:val="2F1403FE"/>
    <w:rsid w:val="2F1A178D"/>
    <w:rsid w:val="2F1E74CF"/>
    <w:rsid w:val="2F204FF5"/>
    <w:rsid w:val="2F2443BA"/>
    <w:rsid w:val="2F307202"/>
    <w:rsid w:val="2F326AD7"/>
    <w:rsid w:val="2F4B05D8"/>
    <w:rsid w:val="2F4B1946"/>
    <w:rsid w:val="2F6173BC"/>
    <w:rsid w:val="2F665E23"/>
    <w:rsid w:val="2F6B3D97"/>
    <w:rsid w:val="2F8462B2"/>
    <w:rsid w:val="2F911A4F"/>
    <w:rsid w:val="2F981C93"/>
    <w:rsid w:val="2FAA0D63"/>
    <w:rsid w:val="2FC516F9"/>
    <w:rsid w:val="2FC71915"/>
    <w:rsid w:val="2FD45DE0"/>
    <w:rsid w:val="2FD52F89"/>
    <w:rsid w:val="2FF67B04"/>
    <w:rsid w:val="30000983"/>
    <w:rsid w:val="30071D11"/>
    <w:rsid w:val="30073ABF"/>
    <w:rsid w:val="300A1801"/>
    <w:rsid w:val="300C557A"/>
    <w:rsid w:val="30201025"/>
    <w:rsid w:val="30204B81"/>
    <w:rsid w:val="30226B4B"/>
    <w:rsid w:val="302428C3"/>
    <w:rsid w:val="3049232A"/>
    <w:rsid w:val="304F5466"/>
    <w:rsid w:val="3062519A"/>
    <w:rsid w:val="306929CC"/>
    <w:rsid w:val="307355F9"/>
    <w:rsid w:val="307750E9"/>
    <w:rsid w:val="307A6E68"/>
    <w:rsid w:val="307B625B"/>
    <w:rsid w:val="30937A49"/>
    <w:rsid w:val="30C10112"/>
    <w:rsid w:val="30C6397A"/>
    <w:rsid w:val="30D8545C"/>
    <w:rsid w:val="30E87D95"/>
    <w:rsid w:val="30FC739C"/>
    <w:rsid w:val="30FD381E"/>
    <w:rsid w:val="310C2E74"/>
    <w:rsid w:val="31137DFF"/>
    <w:rsid w:val="312406A1"/>
    <w:rsid w:val="31264419"/>
    <w:rsid w:val="31295CB7"/>
    <w:rsid w:val="313E79B5"/>
    <w:rsid w:val="3140197F"/>
    <w:rsid w:val="31434FCB"/>
    <w:rsid w:val="31466869"/>
    <w:rsid w:val="314B6706"/>
    <w:rsid w:val="31605B7D"/>
    <w:rsid w:val="31684A32"/>
    <w:rsid w:val="31794E91"/>
    <w:rsid w:val="31945827"/>
    <w:rsid w:val="31994BEB"/>
    <w:rsid w:val="319B26BD"/>
    <w:rsid w:val="31B00187"/>
    <w:rsid w:val="31B47C77"/>
    <w:rsid w:val="31C559E0"/>
    <w:rsid w:val="31C83722"/>
    <w:rsid w:val="31E43039"/>
    <w:rsid w:val="31E57EDC"/>
    <w:rsid w:val="31EB2B46"/>
    <w:rsid w:val="32002EBC"/>
    <w:rsid w:val="32180206"/>
    <w:rsid w:val="321E77E6"/>
    <w:rsid w:val="324C4353"/>
    <w:rsid w:val="326276D3"/>
    <w:rsid w:val="327F0285"/>
    <w:rsid w:val="32827D75"/>
    <w:rsid w:val="32902492"/>
    <w:rsid w:val="32977AF8"/>
    <w:rsid w:val="329B2BE5"/>
    <w:rsid w:val="32A016AF"/>
    <w:rsid w:val="32A63A63"/>
    <w:rsid w:val="32C37B36"/>
    <w:rsid w:val="32C97752"/>
    <w:rsid w:val="32CC7242"/>
    <w:rsid w:val="330864CC"/>
    <w:rsid w:val="33095DA0"/>
    <w:rsid w:val="3330157F"/>
    <w:rsid w:val="33437504"/>
    <w:rsid w:val="3344502A"/>
    <w:rsid w:val="33552D94"/>
    <w:rsid w:val="335D1FE1"/>
    <w:rsid w:val="33662286"/>
    <w:rsid w:val="33704071"/>
    <w:rsid w:val="337A6C9E"/>
    <w:rsid w:val="33863895"/>
    <w:rsid w:val="339B5FEF"/>
    <w:rsid w:val="339E0BDF"/>
    <w:rsid w:val="33BA709B"/>
    <w:rsid w:val="33C65A3F"/>
    <w:rsid w:val="33D04B10"/>
    <w:rsid w:val="33D60378"/>
    <w:rsid w:val="33E505BB"/>
    <w:rsid w:val="3411315F"/>
    <w:rsid w:val="34256C0A"/>
    <w:rsid w:val="342833C1"/>
    <w:rsid w:val="342972C2"/>
    <w:rsid w:val="346314E0"/>
    <w:rsid w:val="34666A21"/>
    <w:rsid w:val="346B54F2"/>
    <w:rsid w:val="347436ED"/>
    <w:rsid w:val="348C6C89"/>
    <w:rsid w:val="34963664"/>
    <w:rsid w:val="34A02734"/>
    <w:rsid w:val="34A044E2"/>
    <w:rsid w:val="34B57F16"/>
    <w:rsid w:val="34B8182C"/>
    <w:rsid w:val="34BA37F6"/>
    <w:rsid w:val="34BF705E"/>
    <w:rsid w:val="34CA0B0B"/>
    <w:rsid w:val="34D0301A"/>
    <w:rsid w:val="34F32864"/>
    <w:rsid w:val="34F36D08"/>
    <w:rsid w:val="35020CF9"/>
    <w:rsid w:val="350902DA"/>
    <w:rsid w:val="35103416"/>
    <w:rsid w:val="351078BA"/>
    <w:rsid w:val="35152498"/>
    <w:rsid w:val="35286956"/>
    <w:rsid w:val="352B70A1"/>
    <w:rsid w:val="35417A73"/>
    <w:rsid w:val="35466E38"/>
    <w:rsid w:val="355552CD"/>
    <w:rsid w:val="35613C72"/>
    <w:rsid w:val="35696FCA"/>
    <w:rsid w:val="35700359"/>
    <w:rsid w:val="357339A5"/>
    <w:rsid w:val="357C6CFE"/>
    <w:rsid w:val="35814314"/>
    <w:rsid w:val="3586192A"/>
    <w:rsid w:val="35956011"/>
    <w:rsid w:val="359C114E"/>
    <w:rsid w:val="35A3428A"/>
    <w:rsid w:val="35A61FCC"/>
    <w:rsid w:val="35AE2C2F"/>
    <w:rsid w:val="35E52AF5"/>
    <w:rsid w:val="35F20D6E"/>
    <w:rsid w:val="35F40F8A"/>
    <w:rsid w:val="360A255B"/>
    <w:rsid w:val="360D5BA8"/>
    <w:rsid w:val="36146F36"/>
    <w:rsid w:val="361C403D"/>
    <w:rsid w:val="362F1FC2"/>
    <w:rsid w:val="363650FE"/>
    <w:rsid w:val="363B6490"/>
    <w:rsid w:val="36453593"/>
    <w:rsid w:val="364D41F6"/>
    <w:rsid w:val="36592B9B"/>
    <w:rsid w:val="36624145"/>
    <w:rsid w:val="366A2FFA"/>
    <w:rsid w:val="366B04D8"/>
    <w:rsid w:val="366E2AEA"/>
    <w:rsid w:val="36853990"/>
    <w:rsid w:val="368A5803"/>
    <w:rsid w:val="368E78A4"/>
    <w:rsid w:val="3693465A"/>
    <w:rsid w:val="369E2CA4"/>
    <w:rsid w:val="36A4650C"/>
    <w:rsid w:val="36B83D65"/>
    <w:rsid w:val="36BB3856"/>
    <w:rsid w:val="36BD137C"/>
    <w:rsid w:val="36DA1F2E"/>
    <w:rsid w:val="36FF3742"/>
    <w:rsid w:val="370E607B"/>
    <w:rsid w:val="37103BA1"/>
    <w:rsid w:val="371A0990"/>
    <w:rsid w:val="3720190B"/>
    <w:rsid w:val="37217B5C"/>
    <w:rsid w:val="37294C63"/>
    <w:rsid w:val="372C4736"/>
    <w:rsid w:val="372F1B4E"/>
    <w:rsid w:val="37335AE2"/>
    <w:rsid w:val="373F7FE3"/>
    <w:rsid w:val="37620175"/>
    <w:rsid w:val="378400EB"/>
    <w:rsid w:val="37866CC0"/>
    <w:rsid w:val="379320DC"/>
    <w:rsid w:val="3798104C"/>
    <w:rsid w:val="37A12A4B"/>
    <w:rsid w:val="37BE35FD"/>
    <w:rsid w:val="37C16C4A"/>
    <w:rsid w:val="37CD1A92"/>
    <w:rsid w:val="37D44BCF"/>
    <w:rsid w:val="37DA41AF"/>
    <w:rsid w:val="37DC3A83"/>
    <w:rsid w:val="37E40B8A"/>
    <w:rsid w:val="37EB3CC7"/>
    <w:rsid w:val="37EE502E"/>
    <w:rsid w:val="37F039D3"/>
    <w:rsid w:val="37F52D97"/>
    <w:rsid w:val="38167642"/>
    <w:rsid w:val="38404012"/>
    <w:rsid w:val="38431D54"/>
    <w:rsid w:val="38685317"/>
    <w:rsid w:val="388A34DF"/>
    <w:rsid w:val="389E51DD"/>
    <w:rsid w:val="38A30A45"/>
    <w:rsid w:val="38A74091"/>
    <w:rsid w:val="38AC5B4C"/>
    <w:rsid w:val="38AD5420"/>
    <w:rsid w:val="38B22A36"/>
    <w:rsid w:val="38C42E95"/>
    <w:rsid w:val="38C72022"/>
    <w:rsid w:val="38CF35E8"/>
    <w:rsid w:val="38E4519F"/>
    <w:rsid w:val="38E52E0C"/>
    <w:rsid w:val="38EC5F48"/>
    <w:rsid w:val="38EF3C8A"/>
    <w:rsid w:val="38EF77E6"/>
    <w:rsid w:val="38F82B3F"/>
    <w:rsid w:val="38F92413"/>
    <w:rsid w:val="390019F4"/>
    <w:rsid w:val="390E4110"/>
    <w:rsid w:val="391159AF"/>
    <w:rsid w:val="391B05DB"/>
    <w:rsid w:val="3930052B"/>
    <w:rsid w:val="39693A3D"/>
    <w:rsid w:val="39700927"/>
    <w:rsid w:val="3972255F"/>
    <w:rsid w:val="39812B34"/>
    <w:rsid w:val="3984467A"/>
    <w:rsid w:val="39987E7E"/>
    <w:rsid w:val="399B34CA"/>
    <w:rsid w:val="399D5494"/>
    <w:rsid w:val="39AE1450"/>
    <w:rsid w:val="39C12F31"/>
    <w:rsid w:val="39C46EC5"/>
    <w:rsid w:val="39CB0253"/>
    <w:rsid w:val="39D54C2E"/>
    <w:rsid w:val="39D8471E"/>
    <w:rsid w:val="39E135D3"/>
    <w:rsid w:val="39E906DA"/>
    <w:rsid w:val="39E9692C"/>
    <w:rsid w:val="39F94DC1"/>
    <w:rsid w:val="3A092B2A"/>
    <w:rsid w:val="3A0E1EEE"/>
    <w:rsid w:val="3A325BDD"/>
    <w:rsid w:val="3A377697"/>
    <w:rsid w:val="3A461688"/>
    <w:rsid w:val="3A500759"/>
    <w:rsid w:val="3A60099C"/>
    <w:rsid w:val="3A606BEE"/>
    <w:rsid w:val="3A791A5E"/>
    <w:rsid w:val="3A8328DC"/>
    <w:rsid w:val="3A83468A"/>
    <w:rsid w:val="3A886145"/>
    <w:rsid w:val="3A960861"/>
    <w:rsid w:val="3A995C5C"/>
    <w:rsid w:val="3A9C574C"/>
    <w:rsid w:val="3AAF547F"/>
    <w:rsid w:val="3AB42A96"/>
    <w:rsid w:val="3ABF1071"/>
    <w:rsid w:val="3AC23405"/>
    <w:rsid w:val="3AE3337B"/>
    <w:rsid w:val="3AF31810"/>
    <w:rsid w:val="3AF45588"/>
    <w:rsid w:val="3B007A89"/>
    <w:rsid w:val="3B0E03F8"/>
    <w:rsid w:val="3B1654FE"/>
    <w:rsid w:val="3B1A3241"/>
    <w:rsid w:val="3B225C51"/>
    <w:rsid w:val="3B2319C9"/>
    <w:rsid w:val="3B6224F2"/>
    <w:rsid w:val="3B6E533A"/>
    <w:rsid w:val="3B7346FF"/>
    <w:rsid w:val="3B800BCA"/>
    <w:rsid w:val="3B8E778B"/>
    <w:rsid w:val="3B903503"/>
    <w:rsid w:val="3B9A7EDD"/>
    <w:rsid w:val="3BA50630"/>
    <w:rsid w:val="3BA64AD4"/>
    <w:rsid w:val="3BAC19BF"/>
    <w:rsid w:val="3BAE5737"/>
    <w:rsid w:val="3BBF5B96"/>
    <w:rsid w:val="3BCB453B"/>
    <w:rsid w:val="3BD57167"/>
    <w:rsid w:val="3BDA652C"/>
    <w:rsid w:val="3BDB4052"/>
    <w:rsid w:val="3BF03FA1"/>
    <w:rsid w:val="3BF70E8C"/>
    <w:rsid w:val="3C1557B6"/>
    <w:rsid w:val="3C157564"/>
    <w:rsid w:val="3C37397E"/>
    <w:rsid w:val="3C3A346E"/>
    <w:rsid w:val="3C5207B8"/>
    <w:rsid w:val="3C5502A8"/>
    <w:rsid w:val="3C597D99"/>
    <w:rsid w:val="3C5A766D"/>
    <w:rsid w:val="3C5C33E5"/>
    <w:rsid w:val="3C6F3118"/>
    <w:rsid w:val="3C761AAA"/>
    <w:rsid w:val="3C7626F9"/>
    <w:rsid w:val="3C7F0E81"/>
    <w:rsid w:val="3C84443D"/>
    <w:rsid w:val="3C860462"/>
    <w:rsid w:val="3C942B7F"/>
    <w:rsid w:val="3C97266F"/>
    <w:rsid w:val="3CB7686D"/>
    <w:rsid w:val="3CC64D02"/>
    <w:rsid w:val="3CC80A7A"/>
    <w:rsid w:val="3CCA2A44"/>
    <w:rsid w:val="3CD76F0F"/>
    <w:rsid w:val="3CDC4526"/>
    <w:rsid w:val="3CDE204C"/>
    <w:rsid w:val="3CE43A14"/>
    <w:rsid w:val="3CE5162C"/>
    <w:rsid w:val="3CED249E"/>
    <w:rsid w:val="3CEF6007"/>
    <w:rsid w:val="3D0221DE"/>
    <w:rsid w:val="3D127F47"/>
    <w:rsid w:val="3D1729DA"/>
    <w:rsid w:val="3D1C4922"/>
    <w:rsid w:val="3D235CB1"/>
    <w:rsid w:val="3D31661F"/>
    <w:rsid w:val="3D3D4FC4"/>
    <w:rsid w:val="3D402D06"/>
    <w:rsid w:val="3D4C16AB"/>
    <w:rsid w:val="3D5D7415"/>
    <w:rsid w:val="3D606F05"/>
    <w:rsid w:val="3D61628D"/>
    <w:rsid w:val="3D6764E5"/>
    <w:rsid w:val="3D687B67"/>
    <w:rsid w:val="3D926193"/>
    <w:rsid w:val="3DA212CB"/>
    <w:rsid w:val="3DAC214A"/>
    <w:rsid w:val="3DB37034"/>
    <w:rsid w:val="3DB8289D"/>
    <w:rsid w:val="3DBB238D"/>
    <w:rsid w:val="3DCC459A"/>
    <w:rsid w:val="3DD82F3F"/>
    <w:rsid w:val="3DE013FD"/>
    <w:rsid w:val="3DE11DF4"/>
    <w:rsid w:val="3DF06109"/>
    <w:rsid w:val="3DFF04CC"/>
    <w:rsid w:val="3E03620E"/>
    <w:rsid w:val="3E063608"/>
    <w:rsid w:val="3E1F291C"/>
    <w:rsid w:val="3E2B688F"/>
    <w:rsid w:val="3E3A1504"/>
    <w:rsid w:val="3E4219A7"/>
    <w:rsid w:val="3E4D1237"/>
    <w:rsid w:val="3E52684D"/>
    <w:rsid w:val="3E565CBB"/>
    <w:rsid w:val="3E573E64"/>
    <w:rsid w:val="3E642A25"/>
    <w:rsid w:val="3E6E73FF"/>
    <w:rsid w:val="3E734A16"/>
    <w:rsid w:val="3E815385"/>
    <w:rsid w:val="3E86299B"/>
    <w:rsid w:val="3E94330A"/>
    <w:rsid w:val="3EA42E21"/>
    <w:rsid w:val="3EA90437"/>
    <w:rsid w:val="3EAD1CD6"/>
    <w:rsid w:val="3EB72B54"/>
    <w:rsid w:val="3EBE3E54"/>
    <w:rsid w:val="3ECA0ADA"/>
    <w:rsid w:val="3ED25BE0"/>
    <w:rsid w:val="3EE651E8"/>
    <w:rsid w:val="3EF45B57"/>
    <w:rsid w:val="3EF618CF"/>
    <w:rsid w:val="3EF94F1B"/>
    <w:rsid w:val="3EFB5137"/>
    <w:rsid w:val="3EFB6EE5"/>
    <w:rsid w:val="3F0A35CC"/>
    <w:rsid w:val="3F12422F"/>
    <w:rsid w:val="3F147FA7"/>
    <w:rsid w:val="3F19380F"/>
    <w:rsid w:val="3F1E4982"/>
    <w:rsid w:val="3F283A52"/>
    <w:rsid w:val="3F43088C"/>
    <w:rsid w:val="3F446ADE"/>
    <w:rsid w:val="3F454604"/>
    <w:rsid w:val="3F516B05"/>
    <w:rsid w:val="3F6031EC"/>
    <w:rsid w:val="3F650802"/>
    <w:rsid w:val="3F746C97"/>
    <w:rsid w:val="3F762A0F"/>
    <w:rsid w:val="3F7647BE"/>
    <w:rsid w:val="3F79605C"/>
    <w:rsid w:val="3F8E7D59"/>
    <w:rsid w:val="3F9B2476"/>
    <w:rsid w:val="3FA4132B"/>
    <w:rsid w:val="3FEB51AC"/>
    <w:rsid w:val="3FF658FE"/>
    <w:rsid w:val="400B13AA"/>
    <w:rsid w:val="400E2C48"/>
    <w:rsid w:val="40104C12"/>
    <w:rsid w:val="40167D4F"/>
    <w:rsid w:val="40181D19"/>
    <w:rsid w:val="40183AC7"/>
    <w:rsid w:val="40210BCD"/>
    <w:rsid w:val="40302BBE"/>
    <w:rsid w:val="40321FEF"/>
    <w:rsid w:val="403E177F"/>
    <w:rsid w:val="40436D96"/>
    <w:rsid w:val="405745EF"/>
    <w:rsid w:val="40662A84"/>
    <w:rsid w:val="40694322"/>
    <w:rsid w:val="4070745F"/>
    <w:rsid w:val="407A208B"/>
    <w:rsid w:val="407F3B46"/>
    <w:rsid w:val="408D0011"/>
    <w:rsid w:val="40966E0C"/>
    <w:rsid w:val="409D5D7A"/>
    <w:rsid w:val="40A62E81"/>
    <w:rsid w:val="40B51316"/>
    <w:rsid w:val="40B57568"/>
    <w:rsid w:val="40BA4B7E"/>
    <w:rsid w:val="40C31C84"/>
    <w:rsid w:val="40C63523"/>
    <w:rsid w:val="40CF23D7"/>
    <w:rsid w:val="40DA6FCE"/>
    <w:rsid w:val="40E13F83"/>
    <w:rsid w:val="40E55E64"/>
    <w:rsid w:val="40EA7211"/>
    <w:rsid w:val="40EF6587"/>
    <w:rsid w:val="40FC0B8B"/>
    <w:rsid w:val="4114603C"/>
    <w:rsid w:val="412169AB"/>
    <w:rsid w:val="41320BB8"/>
    <w:rsid w:val="413466DE"/>
    <w:rsid w:val="41355F7A"/>
    <w:rsid w:val="413606A8"/>
    <w:rsid w:val="41432DC5"/>
    <w:rsid w:val="414A4154"/>
    <w:rsid w:val="414F52C6"/>
    <w:rsid w:val="4153125A"/>
    <w:rsid w:val="415D5C35"/>
    <w:rsid w:val="417B255F"/>
    <w:rsid w:val="418A09F4"/>
    <w:rsid w:val="41923405"/>
    <w:rsid w:val="41A35612"/>
    <w:rsid w:val="41B17D2F"/>
    <w:rsid w:val="41B33AA7"/>
    <w:rsid w:val="41BF0FB5"/>
    <w:rsid w:val="41C71300"/>
    <w:rsid w:val="41CA7043"/>
    <w:rsid w:val="41CE08E1"/>
    <w:rsid w:val="41D35EF7"/>
    <w:rsid w:val="41D63C39"/>
    <w:rsid w:val="41DC5957"/>
    <w:rsid w:val="41E06866"/>
    <w:rsid w:val="41EE0F83"/>
    <w:rsid w:val="41F93484"/>
    <w:rsid w:val="41FD4D22"/>
    <w:rsid w:val="42042555"/>
    <w:rsid w:val="42073DF3"/>
    <w:rsid w:val="420B15AE"/>
    <w:rsid w:val="42114C71"/>
    <w:rsid w:val="42116A20"/>
    <w:rsid w:val="42162288"/>
    <w:rsid w:val="42277FF1"/>
    <w:rsid w:val="423050F8"/>
    <w:rsid w:val="42312C1E"/>
    <w:rsid w:val="423746D8"/>
    <w:rsid w:val="42415619"/>
    <w:rsid w:val="425608D6"/>
    <w:rsid w:val="42784CF1"/>
    <w:rsid w:val="427C033D"/>
    <w:rsid w:val="42957651"/>
    <w:rsid w:val="429D6505"/>
    <w:rsid w:val="42A653BA"/>
    <w:rsid w:val="42AE0712"/>
    <w:rsid w:val="42B0448A"/>
    <w:rsid w:val="42B17DA4"/>
    <w:rsid w:val="42B37AD7"/>
    <w:rsid w:val="42C1377E"/>
    <w:rsid w:val="42C27D1A"/>
    <w:rsid w:val="42C3335A"/>
    <w:rsid w:val="42C341BE"/>
    <w:rsid w:val="42C91BD9"/>
    <w:rsid w:val="42D02437"/>
    <w:rsid w:val="42D55C9F"/>
    <w:rsid w:val="42E67EAC"/>
    <w:rsid w:val="42ED123B"/>
    <w:rsid w:val="42F9198D"/>
    <w:rsid w:val="43000F6E"/>
    <w:rsid w:val="43010842"/>
    <w:rsid w:val="43086074"/>
    <w:rsid w:val="4315253F"/>
    <w:rsid w:val="43397FDC"/>
    <w:rsid w:val="434A053E"/>
    <w:rsid w:val="434A3F97"/>
    <w:rsid w:val="43503578"/>
    <w:rsid w:val="43574906"/>
    <w:rsid w:val="435C1F1C"/>
    <w:rsid w:val="4363365F"/>
    <w:rsid w:val="437454B8"/>
    <w:rsid w:val="4392593E"/>
    <w:rsid w:val="43943464"/>
    <w:rsid w:val="43A22025"/>
    <w:rsid w:val="43A37B4B"/>
    <w:rsid w:val="43CC05E0"/>
    <w:rsid w:val="43D16466"/>
    <w:rsid w:val="43D61CCF"/>
    <w:rsid w:val="43E51F12"/>
    <w:rsid w:val="43E72937"/>
    <w:rsid w:val="43EC504E"/>
    <w:rsid w:val="43F62371"/>
    <w:rsid w:val="43F839F3"/>
    <w:rsid w:val="44000AFA"/>
    <w:rsid w:val="440C3942"/>
    <w:rsid w:val="440E3217"/>
    <w:rsid w:val="44134CD1"/>
    <w:rsid w:val="443D1D4E"/>
    <w:rsid w:val="44446C38"/>
    <w:rsid w:val="44511355"/>
    <w:rsid w:val="445157F9"/>
    <w:rsid w:val="445D419E"/>
    <w:rsid w:val="4464552C"/>
    <w:rsid w:val="447D039C"/>
    <w:rsid w:val="44872504"/>
    <w:rsid w:val="4496320C"/>
    <w:rsid w:val="44983428"/>
    <w:rsid w:val="449C6A74"/>
    <w:rsid w:val="44BD4C3D"/>
    <w:rsid w:val="44BF2763"/>
    <w:rsid w:val="44C63AF1"/>
    <w:rsid w:val="44CD30D2"/>
    <w:rsid w:val="44DC50C3"/>
    <w:rsid w:val="44F3240C"/>
    <w:rsid w:val="45085EB8"/>
    <w:rsid w:val="45126D36"/>
    <w:rsid w:val="45196317"/>
    <w:rsid w:val="451E56DB"/>
    <w:rsid w:val="45202DCD"/>
    <w:rsid w:val="452847AC"/>
    <w:rsid w:val="45294080"/>
    <w:rsid w:val="452A22D2"/>
    <w:rsid w:val="453749EF"/>
    <w:rsid w:val="45401AF6"/>
    <w:rsid w:val="4544417F"/>
    <w:rsid w:val="454A058C"/>
    <w:rsid w:val="455F7AA2"/>
    <w:rsid w:val="45725A27"/>
    <w:rsid w:val="4585575A"/>
    <w:rsid w:val="4594599D"/>
    <w:rsid w:val="45A02594"/>
    <w:rsid w:val="45A656D1"/>
    <w:rsid w:val="45A858ED"/>
    <w:rsid w:val="45B7168C"/>
    <w:rsid w:val="45BC4EF4"/>
    <w:rsid w:val="45CA7611"/>
    <w:rsid w:val="45D40490"/>
    <w:rsid w:val="45DB181E"/>
    <w:rsid w:val="45E05087"/>
    <w:rsid w:val="45E06E35"/>
    <w:rsid w:val="45E2495B"/>
    <w:rsid w:val="45F50C66"/>
    <w:rsid w:val="46040D75"/>
    <w:rsid w:val="460F14C8"/>
    <w:rsid w:val="46222FA9"/>
    <w:rsid w:val="46236D21"/>
    <w:rsid w:val="46366A55"/>
    <w:rsid w:val="465F5514"/>
    <w:rsid w:val="46641814"/>
    <w:rsid w:val="46656B77"/>
    <w:rsid w:val="4665733A"/>
    <w:rsid w:val="466A4950"/>
    <w:rsid w:val="467557CF"/>
    <w:rsid w:val="46767799"/>
    <w:rsid w:val="467B6B5D"/>
    <w:rsid w:val="46804174"/>
    <w:rsid w:val="46843C64"/>
    <w:rsid w:val="469320F9"/>
    <w:rsid w:val="469519CD"/>
    <w:rsid w:val="469C7200"/>
    <w:rsid w:val="46A2233C"/>
    <w:rsid w:val="46A63BDA"/>
    <w:rsid w:val="46BA58D8"/>
    <w:rsid w:val="46D629D4"/>
    <w:rsid w:val="46F34946"/>
    <w:rsid w:val="46FA5CD4"/>
    <w:rsid w:val="471A6804"/>
    <w:rsid w:val="471E5E67"/>
    <w:rsid w:val="473C62ED"/>
    <w:rsid w:val="473F7B8B"/>
    <w:rsid w:val="47413903"/>
    <w:rsid w:val="47431429"/>
    <w:rsid w:val="474D6E84"/>
    <w:rsid w:val="474E6020"/>
    <w:rsid w:val="47555600"/>
    <w:rsid w:val="475E6263"/>
    <w:rsid w:val="47631ACB"/>
    <w:rsid w:val="47665118"/>
    <w:rsid w:val="476D64A6"/>
    <w:rsid w:val="477C493B"/>
    <w:rsid w:val="478101A3"/>
    <w:rsid w:val="478F466E"/>
    <w:rsid w:val="47975C19"/>
    <w:rsid w:val="47B10A89"/>
    <w:rsid w:val="47BF4855"/>
    <w:rsid w:val="47C00CCC"/>
    <w:rsid w:val="47CA7D9C"/>
    <w:rsid w:val="47D12ED9"/>
    <w:rsid w:val="47D76015"/>
    <w:rsid w:val="47EF7803"/>
    <w:rsid w:val="4800556C"/>
    <w:rsid w:val="48074B4D"/>
    <w:rsid w:val="480E5EDB"/>
    <w:rsid w:val="48142DC6"/>
    <w:rsid w:val="481728B6"/>
    <w:rsid w:val="4819662E"/>
    <w:rsid w:val="481C1C7A"/>
    <w:rsid w:val="4828061F"/>
    <w:rsid w:val="482F19AD"/>
    <w:rsid w:val="483D231C"/>
    <w:rsid w:val="48403BBB"/>
    <w:rsid w:val="484916ED"/>
    <w:rsid w:val="484A4A39"/>
    <w:rsid w:val="48561630"/>
    <w:rsid w:val="486A0C38"/>
    <w:rsid w:val="48764885"/>
    <w:rsid w:val="48816489"/>
    <w:rsid w:val="48877A3B"/>
    <w:rsid w:val="488D786C"/>
    <w:rsid w:val="488F069E"/>
    <w:rsid w:val="488F68F0"/>
    <w:rsid w:val="489363E0"/>
    <w:rsid w:val="48943F06"/>
    <w:rsid w:val="489D100D"/>
    <w:rsid w:val="489F4D85"/>
    <w:rsid w:val="48A4239B"/>
    <w:rsid w:val="48C742DC"/>
    <w:rsid w:val="48C7608A"/>
    <w:rsid w:val="48CB3DCC"/>
    <w:rsid w:val="48EC3D42"/>
    <w:rsid w:val="49064E04"/>
    <w:rsid w:val="490966A2"/>
    <w:rsid w:val="491A440C"/>
    <w:rsid w:val="491F7C74"/>
    <w:rsid w:val="49431BB4"/>
    <w:rsid w:val="49437E06"/>
    <w:rsid w:val="494E2307"/>
    <w:rsid w:val="494F67AB"/>
    <w:rsid w:val="495C4A24"/>
    <w:rsid w:val="495C67D2"/>
    <w:rsid w:val="495E69EE"/>
    <w:rsid w:val="49706721"/>
    <w:rsid w:val="4977360C"/>
    <w:rsid w:val="49891591"/>
    <w:rsid w:val="498E6AEC"/>
    <w:rsid w:val="49A62FC2"/>
    <w:rsid w:val="49AD702E"/>
    <w:rsid w:val="49B11CFD"/>
    <w:rsid w:val="49B20AE8"/>
    <w:rsid w:val="49B52386"/>
    <w:rsid w:val="49BB5BEF"/>
    <w:rsid w:val="49BC3715"/>
    <w:rsid w:val="49C10D2B"/>
    <w:rsid w:val="49C44B93"/>
    <w:rsid w:val="49E36EF3"/>
    <w:rsid w:val="49F44C5D"/>
    <w:rsid w:val="49F92273"/>
    <w:rsid w:val="49FB423D"/>
    <w:rsid w:val="49FE1F7F"/>
    <w:rsid w:val="4A031344"/>
    <w:rsid w:val="4A084BAC"/>
    <w:rsid w:val="4A0A0924"/>
    <w:rsid w:val="4A161077"/>
    <w:rsid w:val="4A1A5872"/>
    <w:rsid w:val="4A1E1CDA"/>
    <w:rsid w:val="4A4831FA"/>
    <w:rsid w:val="4A4E6A63"/>
    <w:rsid w:val="4A525E27"/>
    <w:rsid w:val="4A5A1C87"/>
    <w:rsid w:val="4A6242BC"/>
    <w:rsid w:val="4A631DE2"/>
    <w:rsid w:val="4A7E6C1C"/>
    <w:rsid w:val="4A895CED"/>
    <w:rsid w:val="4AAA17BF"/>
    <w:rsid w:val="4AC565F9"/>
    <w:rsid w:val="4AC76815"/>
    <w:rsid w:val="4AC97E97"/>
    <w:rsid w:val="4ADD3943"/>
    <w:rsid w:val="4AE42F23"/>
    <w:rsid w:val="4AE9678B"/>
    <w:rsid w:val="4AEB2504"/>
    <w:rsid w:val="4AFA62A3"/>
    <w:rsid w:val="4B06733D"/>
    <w:rsid w:val="4B116CFB"/>
    <w:rsid w:val="4B1F5D09"/>
    <w:rsid w:val="4B3612A5"/>
    <w:rsid w:val="4B3C4B0D"/>
    <w:rsid w:val="4B3E38C6"/>
    <w:rsid w:val="4B4B6AFE"/>
    <w:rsid w:val="4B4E65EF"/>
    <w:rsid w:val="4B55797D"/>
    <w:rsid w:val="4B5C51AF"/>
    <w:rsid w:val="4B616322"/>
    <w:rsid w:val="4B647BC0"/>
    <w:rsid w:val="4B6E4EE3"/>
    <w:rsid w:val="4B850B76"/>
    <w:rsid w:val="4B897627"/>
    <w:rsid w:val="4B8B6452"/>
    <w:rsid w:val="4B8D7117"/>
    <w:rsid w:val="4B983D0E"/>
    <w:rsid w:val="4B9A5CD8"/>
    <w:rsid w:val="4BAD1567"/>
    <w:rsid w:val="4BCA0873"/>
    <w:rsid w:val="4BCC24D1"/>
    <w:rsid w:val="4BCF3BD3"/>
    <w:rsid w:val="4BD42F98"/>
    <w:rsid w:val="4BE13907"/>
    <w:rsid w:val="4BEF1B80"/>
    <w:rsid w:val="4BF54CBC"/>
    <w:rsid w:val="4BFE0015"/>
    <w:rsid w:val="4C0A0767"/>
    <w:rsid w:val="4C176887"/>
    <w:rsid w:val="4C1965A1"/>
    <w:rsid w:val="4C1E06B7"/>
    <w:rsid w:val="4C286E40"/>
    <w:rsid w:val="4C40062D"/>
    <w:rsid w:val="4C4D68A6"/>
    <w:rsid w:val="4C5145E8"/>
    <w:rsid w:val="4C561BFF"/>
    <w:rsid w:val="4C653BF0"/>
    <w:rsid w:val="4C653E79"/>
    <w:rsid w:val="4C65665F"/>
    <w:rsid w:val="4C6F0F12"/>
    <w:rsid w:val="4C6F2CC0"/>
    <w:rsid w:val="4C760D25"/>
    <w:rsid w:val="4C8D1398"/>
    <w:rsid w:val="4C8E675C"/>
    <w:rsid w:val="4C912C37"/>
    <w:rsid w:val="4CA23096"/>
    <w:rsid w:val="4CA7245A"/>
    <w:rsid w:val="4CAC7A71"/>
    <w:rsid w:val="4CB407AC"/>
    <w:rsid w:val="4CC72AFC"/>
    <w:rsid w:val="4CD174D7"/>
    <w:rsid w:val="4CD62D3F"/>
    <w:rsid w:val="4CDF7E46"/>
    <w:rsid w:val="4CEC2563"/>
    <w:rsid w:val="4CF11FB6"/>
    <w:rsid w:val="4D0C6761"/>
    <w:rsid w:val="4D1675E0"/>
    <w:rsid w:val="4D176E22"/>
    <w:rsid w:val="4D1A70D0"/>
    <w:rsid w:val="4D265A75"/>
    <w:rsid w:val="4D2910C1"/>
    <w:rsid w:val="4D292E6F"/>
    <w:rsid w:val="4D2C6E03"/>
    <w:rsid w:val="4D4E28D6"/>
    <w:rsid w:val="4D4E6D7A"/>
    <w:rsid w:val="4D5325E2"/>
    <w:rsid w:val="4D5A74CD"/>
    <w:rsid w:val="4D64034B"/>
    <w:rsid w:val="4D665E71"/>
    <w:rsid w:val="4D6B792C"/>
    <w:rsid w:val="4D6E11CA"/>
    <w:rsid w:val="4D700A9E"/>
    <w:rsid w:val="4D781156"/>
    <w:rsid w:val="4D785BA5"/>
    <w:rsid w:val="4D812CAB"/>
    <w:rsid w:val="4D8207D1"/>
    <w:rsid w:val="4D8C5F18"/>
    <w:rsid w:val="4D9D111B"/>
    <w:rsid w:val="4D9E1AAF"/>
    <w:rsid w:val="4DA150FB"/>
    <w:rsid w:val="4DA70238"/>
    <w:rsid w:val="4DB90697"/>
    <w:rsid w:val="4DD3727F"/>
    <w:rsid w:val="4DDA060D"/>
    <w:rsid w:val="4DEF40B9"/>
    <w:rsid w:val="4DFC67D6"/>
    <w:rsid w:val="4E04568A"/>
    <w:rsid w:val="4E102281"/>
    <w:rsid w:val="4E165AE9"/>
    <w:rsid w:val="4E465CA3"/>
    <w:rsid w:val="4E5008D0"/>
    <w:rsid w:val="4E5E123E"/>
    <w:rsid w:val="4E8D742E"/>
    <w:rsid w:val="4E9904C8"/>
    <w:rsid w:val="4E9E163B"/>
    <w:rsid w:val="4E9F0C87"/>
    <w:rsid w:val="4EA2737D"/>
    <w:rsid w:val="4ED11A10"/>
    <w:rsid w:val="4EE47996"/>
    <w:rsid w:val="4EEA2AD2"/>
    <w:rsid w:val="4EF70D4B"/>
    <w:rsid w:val="4EF86F9D"/>
    <w:rsid w:val="4F021BCA"/>
    <w:rsid w:val="4F02606E"/>
    <w:rsid w:val="4F0E1669"/>
    <w:rsid w:val="4F2E6E63"/>
    <w:rsid w:val="4F3E7F6B"/>
    <w:rsid w:val="4F55619D"/>
    <w:rsid w:val="4F563CC4"/>
    <w:rsid w:val="4F585C8E"/>
    <w:rsid w:val="4F5B752C"/>
    <w:rsid w:val="4F675ED1"/>
    <w:rsid w:val="4F846A83"/>
    <w:rsid w:val="4F936CC6"/>
    <w:rsid w:val="4FC60E49"/>
    <w:rsid w:val="4FC8656E"/>
    <w:rsid w:val="4FD95020"/>
    <w:rsid w:val="4FDA4BC8"/>
    <w:rsid w:val="4FE90FDC"/>
    <w:rsid w:val="4FFF435B"/>
    <w:rsid w:val="500100D3"/>
    <w:rsid w:val="500B0F52"/>
    <w:rsid w:val="500E459E"/>
    <w:rsid w:val="50285660"/>
    <w:rsid w:val="502A762A"/>
    <w:rsid w:val="50306C0B"/>
    <w:rsid w:val="503E30D6"/>
    <w:rsid w:val="503E6C32"/>
    <w:rsid w:val="5043693E"/>
    <w:rsid w:val="504F0E3F"/>
    <w:rsid w:val="505521CD"/>
    <w:rsid w:val="505A5A36"/>
    <w:rsid w:val="50680152"/>
    <w:rsid w:val="506B379F"/>
    <w:rsid w:val="50746AF7"/>
    <w:rsid w:val="50770396"/>
    <w:rsid w:val="507C1E50"/>
    <w:rsid w:val="507C59AC"/>
    <w:rsid w:val="50895AEF"/>
    <w:rsid w:val="50940F47"/>
    <w:rsid w:val="50AD3DB7"/>
    <w:rsid w:val="50AF18DD"/>
    <w:rsid w:val="50B1337A"/>
    <w:rsid w:val="50B31D72"/>
    <w:rsid w:val="50D13F4A"/>
    <w:rsid w:val="50D15CF8"/>
    <w:rsid w:val="50D41344"/>
    <w:rsid w:val="50D92DFE"/>
    <w:rsid w:val="50EE07FB"/>
    <w:rsid w:val="51024103"/>
    <w:rsid w:val="51025EB1"/>
    <w:rsid w:val="510D4856"/>
    <w:rsid w:val="510F6820"/>
    <w:rsid w:val="51114346"/>
    <w:rsid w:val="51134562"/>
    <w:rsid w:val="511B51C5"/>
    <w:rsid w:val="512C1180"/>
    <w:rsid w:val="5139389D"/>
    <w:rsid w:val="513A1AEF"/>
    <w:rsid w:val="51412E90"/>
    <w:rsid w:val="51501312"/>
    <w:rsid w:val="5164091A"/>
    <w:rsid w:val="516507DA"/>
    <w:rsid w:val="516A5418"/>
    <w:rsid w:val="516B4063"/>
    <w:rsid w:val="516C3C72"/>
    <w:rsid w:val="516E3547"/>
    <w:rsid w:val="51711289"/>
    <w:rsid w:val="5176689F"/>
    <w:rsid w:val="517B3EB5"/>
    <w:rsid w:val="517D7C2E"/>
    <w:rsid w:val="51856AE2"/>
    <w:rsid w:val="5187285A"/>
    <w:rsid w:val="518A5EA7"/>
    <w:rsid w:val="519E38E7"/>
    <w:rsid w:val="51B11685"/>
    <w:rsid w:val="51B178D7"/>
    <w:rsid w:val="51B977CF"/>
    <w:rsid w:val="51BA3A09"/>
    <w:rsid w:val="51C4760A"/>
    <w:rsid w:val="51C94C21"/>
    <w:rsid w:val="51C969CF"/>
    <w:rsid w:val="51DC0DF8"/>
    <w:rsid w:val="51E1640E"/>
    <w:rsid w:val="51F24178"/>
    <w:rsid w:val="52097713"/>
    <w:rsid w:val="520E066F"/>
    <w:rsid w:val="520E6AD8"/>
    <w:rsid w:val="52147B4A"/>
    <w:rsid w:val="521D6D1B"/>
    <w:rsid w:val="52271947"/>
    <w:rsid w:val="522B1438"/>
    <w:rsid w:val="523429E2"/>
    <w:rsid w:val="523A5B1F"/>
    <w:rsid w:val="523E560F"/>
    <w:rsid w:val="524643A1"/>
    <w:rsid w:val="52495D62"/>
    <w:rsid w:val="524D5852"/>
    <w:rsid w:val="525210BA"/>
    <w:rsid w:val="5268268C"/>
    <w:rsid w:val="52744BA5"/>
    <w:rsid w:val="527A416D"/>
    <w:rsid w:val="5281374D"/>
    <w:rsid w:val="528361BB"/>
    <w:rsid w:val="52976ACD"/>
    <w:rsid w:val="529C7623"/>
    <w:rsid w:val="52AD62F0"/>
    <w:rsid w:val="52B458D1"/>
    <w:rsid w:val="52C04276"/>
    <w:rsid w:val="52CD0741"/>
    <w:rsid w:val="52CD6993"/>
    <w:rsid w:val="52D25D57"/>
    <w:rsid w:val="52D4686F"/>
    <w:rsid w:val="52E977E7"/>
    <w:rsid w:val="52F1442F"/>
    <w:rsid w:val="52F21F55"/>
    <w:rsid w:val="5302038E"/>
    <w:rsid w:val="530879CB"/>
    <w:rsid w:val="530A54F1"/>
    <w:rsid w:val="53114AD1"/>
    <w:rsid w:val="53163E96"/>
    <w:rsid w:val="53191BD8"/>
    <w:rsid w:val="5325232B"/>
    <w:rsid w:val="53491DE1"/>
    <w:rsid w:val="536270DB"/>
    <w:rsid w:val="536966BB"/>
    <w:rsid w:val="53963229"/>
    <w:rsid w:val="539A4AC7"/>
    <w:rsid w:val="53A10D2B"/>
    <w:rsid w:val="53A96AB8"/>
    <w:rsid w:val="53BF0089"/>
    <w:rsid w:val="53C02053"/>
    <w:rsid w:val="53C438F2"/>
    <w:rsid w:val="53CC09F8"/>
    <w:rsid w:val="53D53D51"/>
    <w:rsid w:val="53D77AC9"/>
    <w:rsid w:val="53F046E7"/>
    <w:rsid w:val="53F57F4F"/>
    <w:rsid w:val="53F73CC7"/>
    <w:rsid w:val="540939FA"/>
    <w:rsid w:val="540B1521"/>
    <w:rsid w:val="540E2DBF"/>
    <w:rsid w:val="54106B37"/>
    <w:rsid w:val="54251BF3"/>
    <w:rsid w:val="5429409D"/>
    <w:rsid w:val="5429602E"/>
    <w:rsid w:val="542B3971"/>
    <w:rsid w:val="542E2AA1"/>
    <w:rsid w:val="543A3BB4"/>
    <w:rsid w:val="544D1B39"/>
    <w:rsid w:val="545A24A8"/>
    <w:rsid w:val="54646E83"/>
    <w:rsid w:val="546724CF"/>
    <w:rsid w:val="546D21DB"/>
    <w:rsid w:val="547370C6"/>
    <w:rsid w:val="54775BBA"/>
    <w:rsid w:val="54AB0D01"/>
    <w:rsid w:val="54B25E40"/>
    <w:rsid w:val="54B5148C"/>
    <w:rsid w:val="54C31DFB"/>
    <w:rsid w:val="54CD67D6"/>
    <w:rsid w:val="54CE3AA7"/>
    <w:rsid w:val="54D1276A"/>
    <w:rsid w:val="54D71B77"/>
    <w:rsid w:val="54DB5397"/>
    <w:rsid w:val="54E3249D"/>
    <w:rsid w:val="54E3424B"/>
    <w:rsid w:val="54EC75A4"/>
    <w:rsid w:val="54FC355F"/>
    <w:rsid w:val="550B72FE"/>
    <w:rsid w:val="552D196B"/>
    <w:rsid w:val="552D54C7"/>
    <w:rsid w:val="55320D2F"/>
    <w:rsid w:val="554C1DF1"/>
    <w:rsid w:val="554E3DBB"/>
    <w:rsid w:val="5560764A"/>
    <w:rsid w:val="5563713A"/>
    <w:rsid w:val="5567536E"/>
    <w:rsid w:val="5572737D"/>
    <w:rsid w:val="557355CF"/>
    <w:rsid w:val="557D644E"/>
    <w:rsid w:val="55823A64"/>
    <w:rsid w:val="558A2919"/>
    <w:rsid w:val="55956255"/>
    <w:rsid w:val="55E24503"/>
    <w:rsid w:val="55E42029"/>
    <w:rsid w:val="55EA33B8"/>
    <w:rsid w:val="55EC3C1E"/>
    <w:rsid w:val="56102E1E"/>
    <w:rsid w:val="562E599A"/>
    <w:rsid w:val="5630526E"/>
    <w:rsid w:val="563A60ED"/>
    <w:rsid w:val="56440D1A"/>
    <w:rsid w:val="565A053D"/>
    <w:rsid w:val="5661367A"/>
    <w:rsid w:val="5664316A"/>
    <w:rsid w:val="567A298E"/>
    <w:rsid w:val="567D422C"/>
    <w:rsid w:val="56813D1C"/>
    <w:rsid w:val="56835CE6"/>
    <w:rsid w:val="56951575"/>
    <w:rsid w:val="569B7451"/>
    <w:rsid w:val="56A65531"/>
    <w:rsid w:val="56A874FB"/>
    <w:rsid w:val="56C34335"/>
    <w:rsid w:val="56D402F0"/>
    <w:rsid w:val="56D77DE0"/>
    <w:rsid w:val="56D976B4"/>
    <w:rsid w:val="56E322E1"/>
    <w:rsid w:val="56E66275"/>
    <w:rsid w:val="56EF512A"/>
    <w:rsid w:val="57032983"/>
    <w:rsid w:val="5705494D"/>
    <w:rsid w:val="570606C5"/>
    <w:rsid w:val="57106E4E"/>
    <w:rsid w:val="57250B4B"/>
    <w:rsid w:val="57266671"/>
    <w:rsid w:val="573945F7"/>
    <w:rsid w:val="573963A5"/>
    <w:rsid w:val="573A3ECB"/>
    <w:rsid w:val="57407733"/>
    <w:rsid w:val="57603931"/>
    <w:rsid w:val="576F626A"/>
    <w:rsid w:val="57831D16"/>
    <w:rsid w:val="578735B4"/>
    <w:rsid w:val="57914433"/>
    <w:rsid w:val="5798756F"/>
    <w:rsid w:val="57A203EE"/>
    <w:rsid w:val="57B43C7D"/>
    <w:rsid w:val="57D61E46"/>
    <w:rsid w:val="57DE0CFA"/>
    <w:rsid w:val="57E72E4A"/>
    <w:rsid w:val="57EA769F"/>
    <w:rsid w:val="57F137DF"/>
    <w:rsid w:val="57F8000E"/>
    <w:rsid w:val="58022C3B"/>
    <w:rsid w:val="580764A3"/>
    <w:rsid w:val="580E1087"/>
    <w:rsid w:val="582901C7"/>
    <w:rsid w:val="582A3F3F"/>
    <w:rsid w:val="582B2191"/>
    <w:rsid w:val="58313520"/>
    <w:rsid w:val="585A4825"/>
    <w:rsid w:val="586236D9"/>
    <w:rsid w:val="58666421"/>
    <w:rsid w:val="5875165E"/>
    <w:rsid w:val="587873A1"/>
    <w:rsid w:val="58845D45"/>
    <w:rsid w:val="588C0756"/>
    <w:rsid w:val="588D4BFA"/>
    <w:rsid w:val="58A3441E"/>
    <w:rsid w:val="58AE691E"/>
    <w:rsid w:val="58B57CAD"/>
    <w:rsid w:val="58B71C77"/>
    <w:rsid w:val="58BE1257"/>
    <w:rsid w:val="58CB127E"/>
    <w:rsid w:val="58CE0D6F"/>
    <w:rsid w:val="58E6430A"/>
    <w:rsid w:val="5915699E"/>
    <w:rsid w:val="5923730C"/>
    <w:rsid w:val="59266DFD"/>
    <w:rsid w:val="592B61C1"/>
    <w:rsid w:val="59367040"/>
    <w:rsid w:val="597638E0"/>
    <w:rsid w:val="597731B4"/>
    <w:rsid w:val="597A4A53"/>
    <w:rsid w:val="597E4543"/>
    <w:rsid w:val="59861649"/>
    <w:rsid w:val="598633F7"/>
    <w:rsid w:val="59926240"/>
    <w:rsid w:val="59A87812"/>
    <w:rsid w:val="59B62A03"/>
    <w:rsid w:val="59C77C98"/>
    <w:rsid w:val="59CF2FF0"/>
    <w:rsid w:val="59DE4FE1"/>
    <w:rsid w:val="59E52814"/>
    <w:rsid w:val="59FD7B5D"/>
    <w:rsid w:val="5A0709DC"/>
    <w:rsid w:val="5A0C7DA1"/>
    <w:rsid w:val="5A0F163F"/>
    <w:rsid w:val="5A1924BD"/>
    <w:rsid w:val="5A1A070F"/>
    <w:rsid w:val="5A20384C"/>
    <w:rsid w:val="5A2E41BB"/>
    <w:rsid w:val="5A386DE8"/>
    <w:rsid w:val="5A3F0176"/>
    <w:rsid w:val="5A44578C"/>
    <w:rsid w:val="5A494B51"/>
    <w:rsid w:val="5A551748"/>
    <w:rsid w:val="5A5A0B0C"/>
    <w:rsid w:val="5A89319F"/>
    <w:rsid w:val="5A8A4156"/>
    <w:rsid w:val="5A9164F8"/>
    <w:rsid w:val="5A987886"/>
    <w:rsid w:val="5A9D4E9D"/>
    <w:rsid w:val="5A9F2C05"/>
    <w:rsid w:val="5AA20705"/>
    <w:rsid w:val="5AA601F5"/>
    <w:rsid w:val="5AA97CE2"/>
    <w:rsid w:val="5AC661A1"/>
    <w:rsid w:val="5ACB1A0A"/>
    <w:rsid w:val="5AD20FEA"/>
    <w:rsid w:val="5AD92379"/>
    <w:rsid w:val="5ADF1011"/>
    <w:rsid w:val="5AED1980"/>
    <w:rsid w:val="5AF2343A"/>
    <w:rsid w:val="5AF80AC2"/>
    <w:rsid w:val="5AFC7E15"/>
    <w:rsid w:val="5B123195"/>
    <w:rsid w:val="5B2555BE"/>
    <w:rsid w:val="5B305D11"/>
    <w:rsid w:val="5B33135D"/>
    <w:rsid w:val="5B386973"/>
    <w:rsid w:val="5B44356A"/>
    <w:rsid w:val="5B4812AC"/>
    <w:rsid w:val="5B4D241F"/>
    <w:rsid w:val="5B527A35"/>
    <w:rsid w:val="5B5E462C"/>
    <w:rsid w:val="5B5F03A4"/>
    <w:rsid w:val="5B7200D7"/>
    <w:rsid w:val="5B81656C"/>
    <w:rsid w:val="5B8B2F47"/>
    <w:rsid w:val="5BA1276A"/>
    <w:rsid w:val="5BA87F9D"/>
    <w:rsid w:val="5BA919BA"/>
    <w:rsid w:val="5BAB5397"/>
    <w:rsid w:val="5BBE331C"/>
    <w:rsid w:val="5BDE39BF"/>
    <w:rsid w:val="5BF44F90"/>
    <w:rsid w:val="5BF62AB6"/>
    <w:rsid w:val="5BF705DC"/>
    <w:rsid w:val="5BF94355"/>
    <w:rsid w:val="5C0351D3"/>
    <w:rsid w:val="5C3F26AF"/>
    <w:rsid w:val="5C4952DC"/>
    <w:rsid w:val="5C5123E2"/>
    <w:rsid w:val="5C693288"/>
    <w:rsid w:val="5C6E089F"/>
    <w:rsid w:val="5C7B745F"/>
    <w:rsid w:val="5C902F0B"/>
    <w:rsid w:val="5C9A78E6"/>
    <w:rsid w:val="5CBC5AAE"/>
    <w:rsid w:val="5CC26E3C"/>
    <w:rsid w:val="5CEB0141"/>
    <w:rsid w:val="5CED210B"/>
    <w:rsid w:val="5CF35248"/>
    <w:rsid w:val="5D2B2C34"/>
    <w:rsid w:val="5D4B33F2"/>
    <w:rsid w:val="5D4D6706"/>
    <w:rsid w:val="5D5977A1"/>
    <w:rsid w:val="5D5E6B65"/>
    <w:rsid w:val="5D6A375C"/>
    <w:rsid w:val="5D6B35DA"/>
    <w:rsid w:val="5D720862"/>
    <w:rsid w:val="5D8F4F70"/>
    <w:rsid w:val="5D9407D9"/>
    <w:rsid w:val="5D994DFC"/>
    <w:rsid w:val="5DAB78D0"/>
    <w:rsid w:val="5DAD189A"/>
    <w:rsid w:val="5DAE0FA7"/>
    <w:rsid w:val="5DBE5856"/>
    <w:rsid w:val="5DC80482"/>
    <w:rsid w:val="5DC866D4"/>
    <w:rsid w:val="5DD706C5"/>
    <w:rsid w:val="5DE11544"/>
    <w:rsid w:val="5DE80B25"/>
    <w:rsid w:val="5DEF1EB3"/>
    <w:rsid w:val="5DF27EF8"/>
    <w:rsid w:val="5E023994"/>
    <w:rsid w:val="5E074745"/>
    <w:rsid w:val="5E0C4813"/>
    <w:rsid w:val="5E190CDE"/>
    <w:rsid w:val="5E282CCF"/>
    <w:rsid w:val="5E2C6C63"/>
    <w:rsid w:val="5E2D6B90"/>
    <w:rsid w:val="5E31427A"/>
    <w:rsid w:val="5E473A9D"/>
    <w:rsid w:val="5E4A70E9"/>
    <w:rsid w:val="5E4C4C10"/>
    <w:rsid w:val="5E59557E"/>
    <w:rsid w:val="5E60690D"/>
    <w:rsid w:val="5E686551"/>
    <w:rsid w:val="5E6F6D2D"/>
    <w:rsid w:val="5E734892"/>
    <w:rsid w:val="5E800D5D"/>
    <w:rsid w:val="5E8C5954"/>
    <w:rsid w:val="5EAA7B88"/>
    <w:rsid w:val="5EAF519E"/>
    <w:rsid w:val="5EC450EE"/>
    <w:rsid w:val="5ECB647C"/>
    <w:rsid w:val="5ED03A93"/>
    <w:rsid w:val="5ED15115"/>
    <w:rsid w:val="5EE462BB"/>
    <w:rsid w:val="5EEB4428"/>
    <w:rsid w:val="5EEE216B"/>
    <w:rsid w:val="5EF07C91"/>
    <w:rsid w:val="5F0B0627"/>
    <w:rsid w:val="5F1C0A86"/>
    <w:rsid w:val="5F265461"/>
    <w:rsid w:val="5F2B2A77"/>
    <w:rsid w:val="5F2D48AB"/>
    <w:rsid w:val="5F3B6A32"/>
    <w:rsid w:val="5F3D27AA"/>
    <w:rsid w:val="5F441D8B"/>
    <w:rsid w:val="5F465B03"/>
    <w:rsid w:val="5F610B8F"/>
    <w:rsid w:val="5F6441DB"/>
    <w:rsid w:val="5F6B37BB"/>
    <w:rsid w:val="5F7563E8"/>
    <w:rsid w:val="5F772D91"/>
    <w:rsid w:val="5F7A1C50"/>
    <w:rsid w:val="5F7C7776"/>
    <w:rsid w:val="5F8328B3"/>
    <w:rsid w:val="5F84662B"/>
    <w:rsid w:val="5F8B79B9"/>
    <w:rsid w:val="5FAB005C"/>
    <w:rsid w:val="5FBB0035"/>
    <w:rsid w:val="5FCA6734"/>
    <w:rsid w:val="5FCB425A"/>
    <w:rsid w:val="5FD650D9"/>
    <w:rsid w:val="5FD72BFF"/>
    <w:rsid w:val="5FE315A4"/>
    <w:rsid w:val="5FFB4B3F"/>
    <w:rsid w:val="60002155"/>
    <w:rsid w:val="60011A2A"/>
    <w:rsid w:val="6005151A"/>
    <w:rsid w:val="601C4AB5"/>
    <w:rsid w:val="602776E2"/>
    <w:rsid w:val="602D6CC3"/>
    <w:rsid w:val="603B0D22"/>
    <w:rsid w:val="603B318E"/>
    <w:rsid w:val="604007A4"/>
    <w:rsid w:val="60430294"/>
    <w:rsid w:val="606721D5"/>
    <w:rsid w:val="609B3C2C"/>
    <w:rsid w:val="60A76A75"/>
    <w:rsid w:val="60BA0556"/>
    <w:rsid w:val="60BF5B6D"/>
    <w:rsid w:val="60C3607A"/>
    <w:rsid w:val="60C413D5"/>
    <w:rsid w:val="60C56EFB"/>
    <w:rsid w:val="60C90799"/>
    <w:rsid w:val="60DA0BF8"/>
    <w:rsid w:val="60E43825"/>
    <w:rsid w:val="60EC092C"/>
    <w:rsid w:val="60FA6BA5"/>
    <w:rsid w:val="611834CF"/>
    <w:rsid w:val="612B3202"/>
    <w:rsid w:val="61477910"/>
    <w:rsid w:val="616109D2"/>
    <w:rsid w:val="61693D2A"/>
    <w:rsid w:val="617A1A94"/>
    <w:rsid w:val="61811074"/>
    <w:rsid w:val="61826B9A"/>
    <w:rsid w:val="618560EB"/>
    <w:rsid w:val="619A3EE4"/>
    <w:rsid w:val="619F78E4"/>
    <w:rsid w:val="61AD3C17"/>
    <w:rsid w:val="61AE52F7"/>
    <w:rsid w:val="61AE5BE1"/>
    <w:rsid w:val="61BA4586"/>
    <w:rsid w:val="61C15914"/>
    <w:rsid w:val="61CA2A1B"/>
    <w:rsid w:val="61CF0031"/>
    <w:rsid w:val="61D45648"/>
    <w:rsid w:val="61E84C4F"/>
    <w:rsid w:val="61F335F4"/>
    <w:rsid w:val="61F56B7E"/>
    <w:rsid w:val="61FE0917"/>
    <w:rsid w:val="62015D11"/>
    <w:rsid w:val="620677CB"/>
    <w:rsid w:val="620D2908"/>
    <w:rsid w:val="620F042E"/>
    <w:rsid w:val="62165C60"/>
    <w:rsid w:val="621719D8"/>
    <w:rsid w:val="621E68C3"/>
    <w:rsid w:val="622163B3"/>
    <w:rsid w:val="62456545"/>
    <w:rsid w:val="624F1172"/>
    <w:rsid w:val="62540537"/>
    <w:rsid w:val="626764BC"/>
    <w:rsid w:val="626B0816"/>
    <w:rsid w:val="62775FD3"/>
    <w:rsid w:val="62782477"/>
    <w:rsid w:val="627961EF"/>
    <w:rsid w:val="62886432"/>
    <w:rsid w:val="628A03FC"/>
    <w:rsid w:val="629923ED"/>
    <w:rsid w:val="629B43B7"/>
    <w:rsid w:val="62A019CE"/>
    <w:rsid w:val="62A50775"/>
    <w:rsid w:val="62AC447C"/>
    <w:rsid w:val="62C54F90"/>
    <w:rsid w:val="62FD472A"/>
    <w:rsid w:val="62FF66F4"/>
    <w:rsid w:val="63065CD5"/>
    <w:rsid w:val="630806B8"/>
    <w:rsid w:val="6311467A"/>
    <w:rsid w:val="63147CC6"/>
    <w:rsid w:val="631F0B45"/>
    <w:rsid w:val="63275C4B"/>
    <w:rsid w:val="633F11E7"/>
    <w:rsid w:val="63473BF7"/>
    <w:rsid w:val="63660521"/>
    <w:rsid w:val="63730E90"/>
    <w:rsid w:val="637349EC"/>
    <w:rsid w:val="63807109"/>
    <w:rsid w:val="638766EA"/>
    <w:rsid w:val="638B442C"/>
    <w:rsid w:val="638E1826"/>
    <w:rsid w:val="63B868A3"/>
    <w:rsid w:val="63B95DD5"/>
    <w:rsid w:val="63BA6ABF"/>
    <w:rsid w:val="63C11BFC"/>
    <w:rsid w:val="63C96D02"/>
    <w:rsid w:val="63CB2A7A"/>
    <w:rsid w:val="63CE4319"/>
    <w:rsid w:val="63DF2082"/>
    <w:rsid w:val="64127D09"/>
    <w:rsid w:val="641570A5"/>
    <w:rsid w:val="642108EC"/>
    <w:rsid w:val="642D7291"/>
    <w:rsid w:val="643E149E"/>
    <w:rsid w:val="644701EF"/>
    <w:rsid w:val="645B2050"/>
    <w:rsid w:val="645B3DFE"/>
    <w:rsid w:val="645C7B76"/>
    <w:rsid w:val="64616F3B"/>
    <w:rsid w:val="6464424D"/>
    <w:rsid w:val="64852C29"/>
    <w:rsid w:val="64A82DBC"/>
    <w:rsid w:val="64AF7CA6"/>
    <w:rsid w:val="64B27796"/>
    <w:rsid w:val="64B41760"/>
    <w:rsid w:val="64BD0615"/>
    <w:rsid w:val="64DE67DD"/>
    <w:rsid w:val="65091AAC"/>
    <w:rsid w:val="65130235"/>
    <w:rsid w:val="651D5558"/>
    <w:rsid w:val="6522491C"/>
    <w:rsid w:val="65295CAB"/>
    <w:rsid w:val="652E1513"/>
    <w:rsid w:val="65384140"/>
    <w:rsid w:val="653B59DE"/>
    <w:rsid w:val="653F727C"/>
    <w:rsid w:val="65554CF2"/>
    <w:rsid w:val="655645C6"/>
    <w:rsid w:val="655B1BDC"/>
    <w:rsid w:val="65622F6B"/>
    <w:rsid w:val="65766C11"/>
    <w:rsid w:val="657D7DA4"/>
    <w:rsid w:val="657F1404"/>
    <w:rsid w:val="65847385"/>
    <w:rsid w:val="65AB2B63"/>
    <w:rsid w:val="65B5753E"/>
    <w:rsid w:val="65C37EAD"/>
    <w:rsid w:val="65D04378"/>
    <w:rsid w:val="65E46075"/>
    <w:rsid w:val="65E676F8"/>
    <w:rsid w:val="65E971E8"/>
    <w:rsid w:val="65FA7647"/>
    <w:rsid w:val="65FE7137"/>
    <w:rsid w:val="660202AA"/>
    <w:rsid w:val="66100C18"/>
    <w:rsid w:val="661C75BD"/>
    <w:rsid w:val="662446C4"/>
    <w:rsid w:val="663761A5"/>
    <w:rsid w:val="664F7993"/>
    <w:rsid w:val="66546D57"/>
    <w:rsid w:val="666F1DE3"/>
    <w:rsid w:val="667354DB"/>
    <w:rsid w:val="66805D9E"/>
    <w:rsid w:val="66860EDB"/>
    <w:rsid w:val="66967370"/>
    <w:rsid w:val="66A3383B"/>
    <w:rsid w:val="66AB26EF"/>
    <w:rsid w:val="66C537B1"/>
    <w:rsid w:val="66C8504F"/>
    <w:rsid w:val="66CB4B3F"/>
    <w:rsid w:val="66DD46B5"/>
    <w:rsid w:val="66EA76BB"/>
    <w:rsid w:val="66ED4AB6"/>
    <w:rsid w:val="67010561"/>
    <w:rsid w:val="6707201B"/>
    <w:rsid w:val="6712451C"/>
    <w:rsid w:val="6716400D"/>
    <w:rsid w:val="6717075E"/>
    <w:rsid w:val="671E14B8"/>
    <w:rsid w:val="6723497B"/>
    <w:rsid w:val="672506F4"/>
    <w:rsid w:val="672A5D0A"/>
    <w:rsid w:val="672C55DE"/>
    <w:rsid w:val="67346B89"/>
    <w:rsid w:val="673B3A73"/>
    <w:rsid w:val="674212A6"/>
    <w:rsid w:val="67446DCC"/>
    <w:rsid w:val="67452B44"/>
    <w:rsid w:val="674C5C80"/>
    <w:rsid w:val="67507FF1"/>
    <w:rsid w:val="675D1C3B"/>
    <w:rsid w:val="678216A2"/>
    <w:rsid w:val="67902011"/>
    <w:rsid w:val="679A2E90"/>
    <w:rsid w:val="67B37AAD"/>
    <w:rsid w:val="67B57CC9"/>
    <w:rsid w:val="67BA708E"/>
    <w:rsid w:val="67DA14DE"/>
    <w:rsid w:val="67DD2D7C"/>
    <w:rsid w:val="67ED50F2"/>
    <w:rsid w:val="67F87BB6"/>
    <w:rsid w:val="67FC1454"/>
    <w:rsid w:val="68060525"/>
    <w:rsid w:val="68077DF9"/>
    <w:rsid w:val="68080763"/>
    <w:rsid w:val="680E5A14"/>
    <w:rsid w:val="68120C78"/>
    <w:rsid w:val="681F1498"/>
    <w:rsid w:val="681F5143"/>
    <w:rsid w:val="68354966"/>
    <w:rsid w:val="683A1F7D"/>
    <w:rsid w:val="684921C0"/>
    <w:rsid w:val="6865349E"/>
    <w:rsid w:val="68880F3A"/>
    <w:rsid w:val="688B0A2A"/>
    <w:rsid w:val="68AA707D"/>
    <w:rsid w:val="68B47F81"/>
    <w:rsid w:val="68B65AA7"/>
    <w:rsid w:val="68B920CF"/>
    <w:rsid w:val="68B95597"/>
    <w:rsid w:val="68BB30BE"/>
    <w:rsid w:val="68BC5088"/>
    <w:rsid w:val="68BF2482"/>
    <w:rsid w:val="68C43E7D"/>
    <w:rsid w:val="68D75A1D"/>
    <w:rsid w:val="68E00D76"/>
    <w:rsid w:val="68ED3493"/>
    <w:rsid w:val="68F760C0"/>
    <w:rsid w:val="69164798"/>
    <w:rsid w:val="69196036"/>
    <w:rsid w:val="69230C63"/>
    <w:rsid w:val="69286279"/>
    <w:rsid w:val="694A4441"/>
    <w:rsid w:val="69531548"/>
    <w:rsid w:val="69561038"/>
    <w:rsid w:val="695928D6"/>
    <w:rsid w:val="696574CD"/>
    <w:rsid w:val="69690D6B"/>
    <w:rsid w:val="696C085C"/>
    <w:rsid w:val="69790883"/>
    <w:rsid w:val="697B284D"/>
    <w:rsid w:val="69847953"/>
    <w:rsid w:val="698A2A90"/>
    <w:rsid w:val="698F00A6"/>
    <w:rsid w:val="69AA3132"/>
    <w:rsid w:val="69BA15C7"/>
    <w:rsid w:val="69BB0E9B"/>
    <w:rsid w:val="69C75A92"/>
    <w:rsid w:val="69CA7330"/>
    <w:rsid w:val="69E06B54"/>
    <w:rsid w:val="69E55F18"/>
    <w:rsid w:val="6A107439"/>
    <w:rsid w:val="6A132A85"/>
    <w:rsid w:val="6A1F142A"/>
    <w:rsid w:val="6A274783"/>
    <w:rsid w:val="6A2B6021"/>
    <w:rsid w:val="6A3F0348"/>
    <w:rsid w:val="6A537C4E"/>
    <w:rsid w:val="6A5C61DA"/>
    <w:rsid w:val="6A611A43"/>
    <w:rsid w:val="6A7554EE"/>
    <w:rsid w:val="6A7A2B04"/>
    <w:rsid w:val="6A837C0B"/>
    <w:rsid w:val="6A883473"/>
    <w:rsid w:val="6A8B6AC0"/>
    <w:rsid w:val="6A9C0CCD"/>
    <w:rsid w:val="6AAB0D3B"/>
    <w:rsid w:val="6AB46016"/>
    <w:rsid w:val="6ABF6769"/>
    <w:rsid w:val="6AC36259"/>
    <w:rsid w:val="6AC67AF8"/>
    <w:rsid w:val="6ACB3360"/>
    <w:rsid w:val="6AD541DF"/>
    <w:rsid w:val="6ADF6E0B"/>
    <w:rsid w:val="6AE508C6"/>
    <w:rsid w:val="6AEF34F2"/>
    <w:rsid w:val="6AFC79BD"/>
    <w:rsid w:val="6B0B7C00"/>
    <w:rsid w:val="6B0D3978"/>
    <w:rsid w:val="6B142F59"/>
    <w:rsid w:val="6B1B7E43"/>
    <w:rsid w:val="6B27473B"/>
    <w:rsid w:val="6B3727A3"/>
    <w:rsid w:val="6B476E8A"/>
    <w:rsid w:val="6B5E41D4"/>
    <w:rsid w:val="6B6F018F"/>
    <w:rsid w:val="6B721A2E"/>
    <w:rsid w:val="6B824366"/>
    <w:rsid w:val="6B9D2F4E"/>
    <w:rsid w:val="6BB32772"/>
    <w:rsid w:val="6BB362CE"/>
    <w:rsid w:val="6BBA3B00"/>
    <w:rsid w:val="6BC009EB"/>
    <w:rsid w:val="6BDF70C3"/>
    <w:rsid w:val="6BFB5EC7"/>
    <w:rsid w:val="6BFB7C75"/>
    <w:rsid w:val="6BFE7347"/>
    <w:rsid w:val="6C0F78E9"/>
    <w:rsid w:val="6C2234A2"/>
    <w:rsid w:val="6C335661"/>
    <w:rsid w:val="6C3C2767"/>
    <w:rsid w:val="6C3C4515"/>
    <w:rsid w:val="6C3F5DB4"/>
    <w:rsid w:val="6C53185F"/>
    <w:rsid w:val="6C55253B"/>
    <w:rsid w:val="6C553829"/>
    <w:rsid w:val="6C691082"/>
    <w:rsid w:val="6C7F08A6"/>
    <w:rsid w:val="6C81017A"/>
    <w:rsid w:val="6C871509"/>
    <w:rsid w:val="6C8E6D3B"/>
    <w:rsid w:val="6C953C26"/>
    <w:rsid w:val="6CAB3449"/>
    <w:rsid w:val="6CB467A2"/>
    <w:rsid w:val="6CCB5899"/>
    <w:rsid w:val="6CD13207"/>
    <w:rsid w:val="6CE1330F"/>
    <w:rsid w:val="6CE527ED"/>
    <w:rsid w:val="6CE626D3"/>
    <w:rsid w:val="6CF05300"/>
    <w:rsid w:val="6D2A274C"/>
    <w:rsid w:val="6D413DAD"/>
    <w:rsid w:val="6D512242"/>
    <w:rsid w:val="6D61091E"/>
    <w:rsid w:val="6D65184A"/>
    <w:rsid w:val="6D667370"/>
    <w:rsid w:val="6D6A6E60"/>
    <w:rsid w:val="6D747CDF"/>
    <w:rsid w:val="6D77157D"/>
    <w:rsid w:val="6D793547"/>
    <w:rsid w:val="6D8A7502"/>
    <w:rsid w:val="6D94212F"/>
    <w:rsid w:val="6D943EDD"/>
    <w:rsid w:val="6D9E6B0A"/>
    <w:rsid w:val="6DA4384C"/>
    <w:rsid w:val="6DA700B4"/>
    <w:rsid w:val="6DAA3BEC"/>
    <w:rsid w:val="6DAF6F69"/>
    <w:rsid w:val="6DB77BCC"/>
    <w:rsid w:val="6DC20A4A"/>
    <w:rsid w:val="6DC9002B"/>
    <w:rsid w:val="6DCA5B51"/>
    <w:rsid w:val="6DCC3677"/>
    <w:rsid w:val="6DCF4F15"/>
    <w:rsid w:val="6DD24A05"/>
    <w:rsid w:val="6DDB7D5E"/>
    <w:rsid w:val="6DEC3D19"/>
    <w:rsid w:val="6DFE57FA"/>
    <w:rsid w:val="6E1B45FE"/>
    <w:rsid w:val="6E274D51"/>
    <w:rsid w:val="6E2E4332"/>
    <w:rsid w:val="6E3556C0"/>
    <w:rsid w:val="6E364F94"/>
    <w:rsid w:val="6E3D6323"/>
    <w:rsid w:val="6E3E37D4"/>
    <w:rsid w:val="6E3F653F"/>
    <w:rsid w:val="6E4A0A40"/>
    <w:rsid w:val="6E510020"/>
    <w:rsid w:val="6E57355F"/>
    <w:rsid w:val="6E5F273D"/>
    <w:rsid w:val="6E6E2980"/>
    <w:rsid w:val="6EAE5472"/>
    <w:rsid w:val="6EB81E4D"/>
    <w:rsid w:val="6EBA7973"/>
    <w:rsid w:val="6EC407F2"/>
    <w:rsid w:val="6ED529FF"/>
    <w:rsid w:val="6EE1644B"/>
    <w:rsid w:val="6EE3336E"/>
    <w:rsid w:val="6EF530A1"/>
    <w:rsid w:val="6F046E40"/>
    <w:rsid w:val="6F2319BD"/>
    <w:rsid w:val="6F241291"/>
    <w:rsid w:val="6F331FE6"/>
    <w:rsid w:val="6F3A0AB4"/>
    <w:rsid w:val="6F3E4CA8"/>
    <w:rsid w:val="6F4656AB"/>
    <w:rsid w:val="6F487CDD"/>
    <w:rsid w:val="6F4B2CC1"/>
    <w:rsid w:val="6F667AFB"/>
    <w:rsid w:val="6F6D49E6"/>
    <w:rsid w:val="6F775864"/>
    <w:rsid w:val="6F865AA7"/>
    <w:rsid w:val="6FA50623"/>
    <w:rsid w:val="6FA81EC2"/>
    <w:rsid w:val="6FA83C70"/>
    <w:rsid w:val="6FAA342C"/>
    <w:rsid w:val="6FB865A9"/>
    <w:rsid w:val="6FB95E7D"/>
    <w:rsid w:val="6FB97C2B"/>
    <w:rsid w:val="6FBC6961"/>
    <w:rsid w:val="6FCA62DC"/>
    <w:rsid w:val="6FD46699"/>
    <w:rsid w:val="6FDB5DF3"/>
    <w:rsid w:val="6FDD00E5"/>
    <w:rsid w:val="6FEE1FCA"/>
    <w:rsid w:val="6FF13869"/>
    <w:rsid w:val="6FF9174C"/>
    <w:rsid w:val="6FFD3FBC"/>
    <w:rsid w:val="700F1F41"/>
    <w:rsid w:val="701B08E6"/>
    <w:rsid w:val="701D28B0"/>
    <w:rsid w:val="70251764"/>
    <w:rsid w:val="702C0A00"/>
    <w:rsid w:val="703B23DF"/>
    <w:rsid w:val="703B4AE4"/>
    <w:rsid w:val="70587444"/>
    <w:rsid w:val="705D0EFE"/>
    <w:rsid w:val="706202C3"/>
    <w:rsid w:val="706C1141"/>
    <w:rsid w:val="7075449A"/>
    <w:rsid w:val="70765B1C"/>
    <w:rsid w:val="70814BED"/>
    <w:rsid w:val="70840239"/>
    <w:rsid w:val="70871AD7"/>
    <w:rsid w:val="708F6BDE"/>
    <w:rsid w:val="70904E30"/>
    <w:rsid w:val="70BB79D3"/>
    <w:rsid w:val="70D94A29"/>
    <w:rsid w:val="70DC0075"/>
    <w:rsid w:val="70ED4030"/>
    <w:rsid w:val="70F33611"/>
    <w:rsid w:val="710475CC"/>
    <w:rsid w:val="71094BE2"/>
    <w:rsid w:val="710E3FA6"/>
    <w:rsid w:val="711315BD"/>
    <w:rsid w:val="711710AD"/>
    <w:rsid w:val="71267542"/>
    <w:rsid w:val="712D6B22"/>
    <w:rsid w:val="712F4D0B"/>
    <w:rsid w:val="71325EE7"/>
    <w:rsid w:val="713A2FED"/>
    <w:rsid w:val="713C0B14"/>
    <w:rsid w:val="713F23B2"/>
    <w:rsid w:val="714300F4"/>
    <w:rsid w:val="71573B9F"/>
    <w:rsid w:val="7162598C"/>
    <w:rsid w:val="717209D9"/>
    <w:rsid w:val="71724535"/>
    <w:rsid w:val="71791D68"/>
    <w:rsid w:val="71902C0D"/>
    <w:rsid w:val="71973F9C"/>
    <w:rsid w:val="719E357C"/>
    <w:rsid w:val="71A36DE5"/>
    <w:rsid w:val="71A60683"/>
    <w:rsid w:val="71A843FB"/>
    <w:rsid w:val="71CB1E97"/>
    <w:rsid w:val="71D21478"/>
    <w:rsid w:val="71DB20DB"/>
    <w:rsid w:val="71E33685"/>
    <w:rsid w:val="71EC078C"/>
    <w:rsid w:val="71F4319C"/>
    <w:rsid w:val="72005FE5"/>
    <w:rsid w:val="72023B0B"/>
    <w:rsid w:val="720721F4"/>
    <w:rsid w:val="72161365"/>
    <w:rsid w:val="721B4BCD"/>
    <w:rsid w:val="72253C9E"/>
    <w:rsid w:val="7234149C"/>
    <w:rsid w:val="7238752D"/>
    <w:rsid w:val="724A7260"/>
    <w:rsid w:val="724E6D50"/>
    <w:rsid w:val="725974A3"/>
    <w:rsid w:val="725E2D0C"/>
    <w:rsid w:val="72807126"/>
    <w:rsid w:val="728E1843"/>
    <w:rsid w:val="728F1117"/>
    <w:rsid w:val="72930E12"/>
    <w:rsid w:val="72A76461"/>
    <w:rsid w:val="72AC1CC9"/>
    <w:rsid w:val="72BA2638"/>
    <w:rsid w:val="72D66D46"/>
    <w:rsid w:val="72D8486C"/>
    <w:rsid w:val="72F378F8"/>
    <w:rsid w:val="73012015"/>
    <w:rsid w:val="730C2768"/>
    <w:rsid w:val="73117D7E"/>
    <w:rsid w:val="732C6966"/>
    <w:rsid w:val="734819F2"/>
    <w:rsid w:val="73530396"/>
    <w:rsid w:val="7355410F"/>
    <w:rsid w:val="73555EBD"/>
    <w:rsid w:val="735A7977"/>
    <w:rsid w:val="735F6D3B"/>
    <w:rsid w:val="73612AB3"/>
    <w:rsid w:val="73614861"/>
    <w:rsid w:val="73700F48"/>
    <w:rsid w:val="7375030D"/>
    <w:rsid w:val="737C78ED"/>
    <w:rsid w:val="738467A2"/>
    <w:rsid w:val="738549F4"/>
    <w:rsid w:val="73A66718"/>
    <w:rsid w:val="73C372CA"/>
    <w:rsid w:val="73C51294"/>
    <w:rsid w:val="73CB43D1"/>
    <w:rsid w:val="73D96AEE"/>
    <w:rsid w:val="73E01C2A"/>
    <w:rsid w:val="73EA06EE"/>
    <w:rsid w:val="73FB2F08"/>
    <w:rsid w:val="73FC458A"/>
    <w:rsid w:val="74026044"/>
    <w:rsid w:val="74035919"/>
    <w:rsid w:val="740D6797"/>
    <w:rsid w:val="741C4C2C"/>
    <w:rsid w:val="741E09A4"/>
    <w:rsid w:val="7420471D"/>
    <w:rsid w:val="742A559B"/>
    <w:rsid w:val="744A1799"/>
    <w:rsid w:val="744F6DB0"/>
    <w:rsid w:val="745443C6"/>
    <w:rsid w:val="745E5245"/>
    <w:rsid w:val="746E6971"/>
    <w:rsid w:val="747B7BA5"/>
    <w:rsid w:val="74850A24"/>
    <w:rsid w:val="748C3B60"/>
    <w:rsid w:val="74A470FC"/>
    <w:rsid w:val="74A52E74"/>
    <w:rsid w:val="74BF5CE3"/>
    <w:rsid w:val="74C4779E"/>
    <w:rsid w:val="74CC0400"/>
    <w:rsid w:val="74CE23CA"/>
    <w:rsid w:val="74D15A17"/>
    <w:rsid w:val="74D472B5"/>
    <w:rsid w:val="74E7523A"/>
    <w:rsid w:val="74E917AC"/>
    <w:rsid w:val="74FA31C0"/>
    <w:rsid w:val="74FA4F6E"/>
    <w:rsid w:val="75007A5B"/>
    <w:rsid w:val="75096F5F"/>
    <w:rsid w:val="7516167C"/>
    <w:rsid w:val="751F2C26"/>
    <w:rsid w:val="752B3379"/>
    <w:rsid w:val="752B5DD3"/>
    <w:rsid w:val="753366D1"/>
    <w:rsid w:val="75410DEE"/>
    <w:rsid w:val="7544268D"/>
    <w:rsid w:val="75454A9D"/>
    <w:rsid w:val="75510906"/>
    <w:rsid w:val="755469EE"/>
    <w:rsid w:val="755503F6"/>
    <w:rsid w:val="755F3023"/>
    <w:rsid w:val="756248C1"/>
    <w:rsid w:val="75644ADD"/>
    <w:rsid w:val="756C46A5"/>
    <w:rsid w:val="75703482"/>
    <w:rsid w:val="75774810"/>
    <w:rsid w:val="75792336"/>
    <w:rsid w:val="7581743D"/>
    <w:rsid w:val="759233F8"/>
    <w:rsid w:val="75970A0E"/>
    <w:rsid w:val="759E7FEF"/>
    <w:rsid w:val="75B25848"/>
    <w:rsid w:val="75B90985"/>
    <w:rsid w:val="75BC2223"/>
    <w:rsid w:val="75BE41ED"/>
    <w:rsid w:val="75BF1D13"/>
    <w:rsid w:val="75C13CDD"/>
    <w:rsid w:val="75C335B1"/>
    <w:rsid w:val="75DE663D"/>
    <w:rsid w:val="75E1612D"/>
    <w:rsid w:val="75F45E61"/>
    <w:rsid w:val="75F55735"/>
    <w:rsid w:val="7601057E"/>
    <w:rsid w:val="76067942"/>
    <w:rsid w:val="760F67F7"/>
    <w:rsid w:val="76377AFB"/>
    <w:rsid w:val="764B35A7"/>
    <w:rsid w:val="764D731F"/>
    <w:rsid w:val="764F12E9"/>
    <w:rsid w:val="7657019E"/>
    <w:rsid w:val="766C3C49"/>
    <w:rsid w:val="766D79C1"/>
    <w:rsid w:val="76746FA2"/>
    <w:rsid w:val="76760624"/>
    <w:rsid w:val="768C42EB"/>
    <w:rsid w:val="768F7938"/>
    <w:rsid w:val="76981840"/>
    <w:rsid w:val="76A01B45"/>
    <w:rsid w:val="76A35191"/>
    <w:rsid w:val="76A553AD"/>
    <w:rsid w:val="76B63116"/>
    <w:rsid w:val="76B92C06"/>
    <w:rsid w:val="76C05D43"/>
    <w:rsid w:val="76C75323"/>
    <w:rsid w:val="76D11CFE"/>
    <w:rsid w:val="76D31F1A"/>
    <w:rsid w:val="76DD06A3"/>
    <w:rsid w:val="76E2215D"/>
    <w:rsid w:val="76E557A9"/>
    <w:rsid w:val="76EC2FDC"/>
    <w:rsid w:val="76EC6B38"/>
    <w:rsid w:val="76F6110C"/>
    <w:rsid w:val="76FB6D7B"/>
    <w:rsid w:val="77000835"/>
    <w:rsid w:val="77100A78"/>
    <w:rsid w:val="77212C85"/>
    <w:rsid w:val="77274014"/>
    <w:rsid w:val="772E53A2"/>
    <w:rsid w:val="773504DF"/>
    <w:rsid w:val="773C186D"/>
    <w:rsid w:val="775C3CBE"/>
    <w:rsid w:val="775F37AE"/>
    <w:rsid w:val="77664B3C"/>
    <w:rsid w:val="776808B4"/>
    <w:rsid w:val="77732DB5"/>
    <w:rsid w:val="77884AB3"/>
    <w:rsid w:val="77A47413"/>
    <w:rsid w:val="77A613DD"/>
    <w:rsid w:val="77AF64E3"/>
    <w:rsid w:val="77B533CE"/>
    <w:rsid w:val="77BA09E4"/>
    <w:rsid w:val="77C16217"/>
    <w:rsid w:val="77D23F80"/>
    <w:rsid w:val="77E872FF"/>
    <w:rsid w:val="77EB5041"/>
    <w:rsid w:val="77F02658"/>
    <w:rsid w:val="77F27A3E"/>
    <w:rsid w:val="77F959B0"/>
    <w:rsid w:val="780B7492"/>
    <w:rsid w:val="781F4CEB"/>
    <w:rsid w:val="7836450F"/>
    <w:rsid w:val="78393FFF"/>
    <w:rsid w:val="783F0EE9"/>
    <w:rsid w:val="78412EB3"/>
    <w:rsid w:val="78482494"/>
    <w:rsid w:val="784B788E"/>
    <w:rsid w:val="78564BB1"/>
    <w:rsid w:val="785726D7"/>
    <w:rsid w:val="78591FAB"/>
    <w:rsid w:val="7860158C"/>
    <w:rsid w:val="786B3E1B"/>
    <w:rsid w:val="788039DC"/>
    <w:rsid w:val="78837618"/>
    <w:rsid w:val="78917997"/>
    <w:rsid w:val="78A84CE1"/>
    <w:rsid w:val="78AF64EE"/>
    <w:rsid w:val="78B35B5F"/>
    <w:rsid w:val="78BE4504"/>
    <w:rsid w:val="78BF6AF9"/>
    <w:rsid w:val="78D11888"/>
    <w:rsid w:val="78DA631E"/>
    <w:rsid w:val="78E81581"/>
    <w:rsid w:val="78F16688"/>
    <w:rsid w:val="78F341AE"/>
    <w:rsid w:val="79132D7C"/>
    <w:rsid w:val="79181E66"/>
    <w:rsid w:val="79246A5D"/>
    <w:rsid w:val="792627D5"/>
    <w:rsid w:val="793B5B55"/>
    <w:rsid w:val="79490272"/>
    <w:rsid w:val="794B223C"/>
    <w:rsid w:val="794B3FEA"/>
    <w:rsid w:val="795409C4"/>
    <w:rsid w:val="79740C89"/>
    <w:rsid w:val="79751067"/>
    <w:rsid w:val="79817A0B"/>
    <w:rsid w:val="7984574E"/>
    <w:rsid w:val="798968C0"/>
    <w:rsid w:val="798A0E33"/>
    <w:rsid w:val="798E3ED6"/>
    <w:rsid w:val="799D236B"/>
    <w:rsid w:val="799D7BE3"/>
    <w:rsid w:val="79A27982"/>
    <w:rsid w:val="79AB2CDA"/>
    <w:rsid w:val="79CE0777"/>
    <w:rsid w:val="79D57D57"/>
    <w:rsid w:val="79E41D48"/>
    <w:rsid w:val="79F93A46"/>
    <w:rsid w:val="7A0D74F1"/>
    <w:rsid w:val="7A0F3269"/>
    <w:rsid w:val="7A187C44"/>
    <w:rsid w:val="7A2111EE"/>
    <w:rsid w:val="7A2800DC"/>
    <w:rsid w:val="7A293BFF"/>
    <w:rsid w:val="7A2B7977"/>
    <w:rsid w:val="7A396538"/>
    <w:rsid w:val="7A5213A8"/>
    <w:rsid w:val="7A5E1AFB"/>
    <w:rsid w:val="7A7255A6"/>
    <w:rsid w:val="7A8A0B42"/>
    <w:rsid w:val="7AA4405D"/>
    <w:rsid w:val="7AA53BCD"/>
    <w:rsid w:val="7AC34054"/>
    <w:rsid w:val="7AD41DBD"/>
    <w:rsid w:val="7ADB139D"/>
    <w:rsid w:val="7AEA7C69"/>
    <w:rsid w:val="7B03675F"/>
    <w:rsid w:val="7B05641A"/>
    <w:rsid w:val="7B0F7299"/>
    <w:rsid w:val="7B1228E5"/>
    <w:rsid w:val="7B18439F"/>
    <w:rsid w:val="7B1E74DC"/>
    <w:rsid w:val="7B315BCA"/>
    <w:rsid w:val="7B3B008E"/>
    <w:rsid w:val="7B3F192C"/>
    <w:rsid w:val="7B4927AB"/>
    <w:rsid w:val="7B51340D"/>
    <w:rsid w:val="7B5573A2"/>
    <w:rsid w:val="7B6F1AE6"/>
    <w:rsid w:val="7B735A7A"/>
    <w:rsid w:val="7B737828"/>
    <w:rsid w:val="7B7535A0"/>
    <w:rsid w:val="7B840261"/>
    <w:rsid w:val="7B963516"/>
    <w:rsid w:val="7B9A1258"/>
    <w:rsid w:val="7B9D48A5"/>
    <w:rsid w:val="7B9D4EE3"/>
    <w:rsid w:val="7BC2430B"/>
    <w:rsid w:val="7BCB7664"/>
    <w:rsid w:val="7BD04C7A"/>
    <w:rsid w:val="7BE61DA8"/>
    <w:rsid w:val="7BE81FC4"/>
    <w:rsid w:val="7BEB1AB4"/>
    <w:rsid w:val="7BEC6C9C"/>
    <w:rsid w:val="7BF1074D"/>
    <w:rsid w:val="7C0861C2"/>
    <w:rsid w:val="7C142DB9"/>
    <w:rsid w:val="7C15268D"/>
    <w:rsid w:val="7C1903CF"/>
    <w:rsid w:val="7C1C7EBF"/>
    <w:rsid w:val="7C2B0102"/>
    <w:rsid w:val="7C30396B"/>
    <w:rsid w:val="7C38637B"/>
    <w:rsid w:val="7C43544C"/>
    <w:rsid w:val="7C492337"/>
    <w:rsid w:val="7C507B69"/>
    <w:rsid w:val="7C534C0F"/>
    <w:rsid w:val="7C594C70"/>
    <w:rsid w:val="7C5E2286"/>
    <w:rsid w:val="7C5F7DAC"/>
    <w:rsid w:val="7C7962EB"/>
    <w:rsid w:val="7C8E41ED"/>
    <w:rsid w:val="7C8F68E3"/>
    <w:rsid w:val="7C953391"/>
    <w:rsid w:val="7CB77BE8"/>
    <w:rsid w:val="7CBC51FE"/>
    <w:rsid w:val="7CC52305"/>
    <w:rsid w:val="7CCD2F68"/>
    <w:rsid w:val="7CE107C1"/>
    <w:rsid w:val="7CE704CD"/>
    <w:rsid w:val="7CFE66BC"/>
    <w:rsid w:val="7D050953"/>
    <w:rsid w:val="7D0821F2"/>
    <w:rsid w:val="7D0A7D18"/>
    <w:rsid w:val="7D0F532E"/>
    <w:rsid w:val="7D2232B3"/>
    <w:rsid w:val="7D586CD5"/>
    <w:rsid w:val="7D5B4A17"/>
    <w:rsid w:val="7D5D253D"/>
    <w:rsid w:val="7D605B8A"/>
    <w:rsid w:val="7D6A07B6"/>
    <w:rsid w:val="7D6C09D3"/>
    <w:rsid w:val="7D7635FF"/>
    <w:rsid w:val="7D7C53F6"/>
    <w:rsid w:val="7D8D17A6"/>
    <w:rsid w:val="7D937D0D"/>
    <w:rsid w:val="7DA55C93"/>
    <w:rsid w:val="7DB12889"/>
    <w:rsid w:val="7DBF6D54"/>
    <w:rsid w:val="7DC75C09"/>
    <w:rsid w:val="7DC9372F"/>
    <w:rsid w:val="7DCB56F9"/>
    <w:rsid w:val="7DCC327D"/>
    <w:rsid w:val="7DCC76C3"/>
    <w:rsid w:val="7DCE343B"/>
    <w:rsid w:val="7DDB1D8C"/>
    <w:rsid w:val="7DDF11A4"/>
    <w:rsid w:val="7DDF2F52"/>
    <w:rsid w:val="7DE40569"/>
    <w:rsid w:val="7DE60785"/>
    <w:rsid w:val="7DFF610B"/>
    <w:rsid w:val="7E01736D"/>
    <w:rsid w:val="7E0D5D12"/>
    <w:rsid w:val="7E164392"/>
    <w:rsid w:val="7E2001B6"/>
    <w:rsid w:val="7E215319"/>
    <w:rsid w:val="7E235535"/>
    <w:rsid w:val="7E2968C4"/>
    <w:rsid w:val="7E357016"/>
    <w:rsid w:val="7E417769"/>
    <w:rsid w:val="7E4C610E"/>
    <w:rsid w:val="7E552C38"/>
    <w:rsid w:val="7E5A4CCF"/>
    <w:rsid w:val="7E5A6A7D"/>
    <w:rsid w:val="7E5D74F0"/>
    <w:rsid w:val="7E7A0ECD"/>
    <w:rsid w:val="7E7C4C45"/>
    <w:rsid w:val="7E8458A8"/>
    <w:rsid w:val="7E880E0B"/>
    <w:rsid w:val="7EAB1087"/>
    <w:rsid w:val="7EB75C7D"/>
    <w:rsid w:val="7EC65EC0"/>
    <w:rsid w:val="7ED53640"/>
    <w:rsid w:val="7EDB53EC"/>
    <w:rsid w:val="7EDB7BBE"/>
    <w:rsid w:val="7EE822DB"/>
    <w:rsid w:val="7EF27EAD"/>
    <w:rsid w:val="7F054C3B"/>
    <w:rsid w:val="7F1430D0"/>
    <w:rsid w:val="7F18132D"/>
    <w:rsid w:val="7F1C1F84"/>
    <w:rsid w:val="7F272563"/>
    <w:rsid w:val="7F3177DE"/>
    <w:rsid w:val="7F363046"/>
    <w:rsid w:val="7F3948E4"/>
    <w:rsid w:val="7F3D43D5"/>
    <w:rsid w:val="7F5B0CFF"/>
    <w:rsid w:val="7F6851CA"/>
    <w:rsid w:val="7F6C2F0C"/>
    <w:rsid w:val="7F735751"/>
    <w:rsid w:val="7F9F6E3D"/>
    <w:rsid w:val="7FA04963"/>
    <w:rsid w:val="7FA75CF2"/>
    <w:rsid w:val="7FAC155A"/>
    <w:rsid w:val="7FC248DA"/>
    <w:rsid w:val="7FC70142"/>
    <w:rsid w:val="7FC93EBA"/>
    <w:rsid w:val="7FD10FC1"/>
    <w:rsid w:val="7FE74340"/>
    <w:rsid w:val="7FF13411"/>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qFormat="1" w:uiPriority="99" w:name="envelope address"/>
    <w:lsdException w:qFormat="1" w:unhideWhenUsed="0" w:uiPriority="99"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0" w:semiHidden="0"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iPriority="99" w:name="E-mail Signature"/>
    <w:lsdException w:qFormat="1" w:unhideWhenUsed="0" w:uiPriority="0" w:semiHidden="0" w:name="Normal (Web)"/>
    <w:lsdException w:uiPriority="99" w:name="HTML Acronym"/>
    <w:lsdException w:qFormat="1"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24"/>
      <w:szCs w:val="24"/>
      <w:lang w:val="en-US" w:eastAsia="zh-CN" w:bidi="ar-SA"/>
    </w:rPr>
  </w:style>
  <w:style w:type="paragraph" w:styleId="4">
    <w:name w:val="heading 1"/>
    <w:basedOn w:val="1"/>
    <w:next w:val="1"/>
    <w:link w:val="278"/>
    <w:qFormat/>
    <w:uiPriority w:val="9"/>
    <w:pPr>
      <w:keepNext/>
      <w:keepLines/>
      <w:spacing w:before="340" w:after="330" w:line="578" w:lineRule="auto"/>
      <w:outlineLvl w:val="0"/>
    </w:pPr>
    <w:rPr>
      <w:rFonts w:eastAsia="楷体_GB2312"/>
      <w:b/>
      <w:bCs/>
      <w:sz w:val="20"/>
      <w:szCs w:val="20"/>
    </w:rPr>
  </w:style>
  <w:style w:type="paragraph" w:styleId="5">
    <w:name w:val="heading 2"/>
    <w:basedOn w:val="1"/>
    <w:next w:val="1"/>
    <w:link w:val="279"/>
    <w:qFormat/>
    <w:uiPriority w:val="0"/>
    <w:pPr>
      <w:keepNext/>
      <w:keepLines/>
      <w:jc w:val="left"/>
      <w:outlineLvl w:val="1"/>
    </w:pPr>
    <w:rPr>
      <w:rFonts w:ascii="宋体" w:hAnsi="宋体" w:eastAsia="楷体_GB2312" w:cs="宋体"/>
      <w:b/>
      <w:bCs/>
      <w:sz w:val="20"/>
      <w:szCs w:val="20"/>
    </w:rPr>
  </w:style>
  <w:style w:type="paragraph" w:styleId="6">
    <w:name w:val="heading 3"/>
    <w:basedOn w:val="1"/>
    <w:next w:val="1"/>
    <w:link w:val="280"/>
    <w:qFormat/>
    <w:uiPriority w:val="9"/>
    <w:pPr>
      <w:keepNext/>
      <w:keepLines/>
      <w:jc w:val="left"/>
      <w:outlineLvl w:val="2"/>
    </w:pPr>
    <w:rPr>
      <w:rFonts w:eastAsia="楷体_GB2312"/>
      <w:b/>
      <w:bCs/>
      <w:sz w:val="20"/>
      <w:szCs w:val="20"/>
    </w:rPr>
  </w:style>
  <w:style w:type="paragraph" w:styleId="7">
    <w:name w:val="heading 4"/>
    <w:basedOn w:val="1"/>
    <w:next w:val="1"/>
    <w:link w:val="281"/>
    <w:qFormat/>
    <w:uiPriority w:val="9"/>
    <w:pPr>
      <w:keepNext/>
      <w:keepLines/>
      <w:spacing w:before="280" w:after="290" w:line="376" w:lineRule="auto"/>
      <w:outlineLvl w:val="3"/>
    </w:pPr>
    <w:rPr>
      <w:rFonts w:ascii="Cambria" w:hAnsi="Cambria" w:eastAsia="宋体" w:cs="Cambria"/>
      <w:b/>
      <w:bCs/>
      <w:sz w:val="28"/>
      <w:szCs w:val="28"/>
    </w:rPr>
  </w:style>
  <w:style w:type="paragraph" w:styleId="8">
    <w:name w:val="heading 5"/>
    <w:basedOn w:val="1"/>
    <w:next w:val="9"/>
    <w:link w:val="282"/>
    <w:qFormat/>
    <w:uiPriority w:val="9"/>
    <w:pPr>
      <w:keepNext/>
      <w:keepLines/>
      <w:numPr>
        <w:ilvl w:val="4"/>
        <w:numId w:val="1"/>
      </w:numPr>
      <w:spacing w:before="280" w:after="290" w:line="376" w:lineRule="auto"/>
      <w:outlineLvl w:val="4"/>
    </w:pPr>
    <w:rPr>
      <w:rFonts w:ascii="宋体" w:eastAsia="宋体" w:cs="宋体"/>
      <w:b/>
      <w:bCs/>
      <w:spacing w:val="-2"/>
      <w:position w:val="-6"/>
      <w:sz w:val="20"/>
      <w:szCs w:val="20"/>
    </w:rPr>
  </w:style>
  <w:style w:type="paragraph" w:styleId="10">
    <w:name w:val="heading 6"/>
    <w:basedOn w:val="1"/>
    <w:next w:val="9"/>
    <w:link w:val="283"/>
    <w:qFormat/>
    <w:uiPriority w:val="9"/>
    <w:pPr>
      <w:keepNext/>
      <w:keepLines/>
      <w:numPr>
        <w:ilvl w:val="5"/>
        <w:numId w:val="1"/>
      </w:numPr>
      <w:spacing w:before="240" w:after="64" w:line="320" w:lineRule="auto"/>
      <w:outlineLvl w:val="5"/>
    </w:pPr>
    <w:rPr>
      <w:rFonts w:ascii="Arial" w:hAnsi="Arial" w:eastAsia="黑体" w:cs="Arial"/>
      <w:b/>
      <w:bCs/>
      <w:spacing w:val="-2"/>
      <w:position w:val="-6"/>
      <w:sz w:val="20"/>
      <w:szCs w:val="20"/>
    </w:rPr>
  </w:style>
  <w:style w:type="paragraph" w:styleId="11">
    <w:name w:val="heading 7"/>
    <w:basedOn w:val="1"/>
    <w:next w:val="9"/>
    <w:link w:val="284"/>
    <w:qFormat/>
    <w:uiPriority w:val="0"/>
    <w:pPr>
      <w:keepNext/>
      <w:keepLines/>
      <w:numPr>
        <w:ilvl w:val="6"/>
        <w:numId w:val="1"/>
      </w:numPr>
      <w:spacing w:before="240" w:after="64" w:line="320" w:lineRule="auto"/>
      <w:outlineLvl w:val="6"/>
    </w:pPr>
    <w:rPr>
      <w:rFonts w:ascii="宋体" w:eastAsia="宋体" w:cs="宋体"/>
      <w:b/>
      <w:bCs/>
      <w:spacing w:val="-2"/>
      <w:position w:val="-6"/>
      <w:sz w:val="20"/>
      <w:szCs w:val="20"/>
    </w:rPr>
  </w:style>
  <w:style w:type="paragraph" w:styleId="12">
    <w:name w:val="heading 8"/>
    <w:basedOn w:val="1"/>
    <w:next w:val="9"/>
    <w:link w:val="285"/>
    <w:qFormat/>
    <w:uiPriority w:val="0"/>
    <w:pPr>
      <w:keepNext/>
      <w:keepLines/>
      <w:numPr>
        <w:ilvl w:val="7"/>
        <w:numId w:val="1"/>
      </w:numPr>
      <w:spacing w:before="240" w:after="64" w:line="320" w:lineRule="auto"/>
      <w:outlineLvl w:val="7"/>
    </w:pPr>
    <w:rPr>
      <w:rFonts w:ascii="Arial" w:hAnsi="Arial" w:eastAsia="黑体" w:cs="Arial"/>
      <w:spacing w:val="-2"/>
      <w:position w:val="-6"/>
      <w:sz w:val="20"/>
      <w:szCs w:val="20"/>
    </w:rPr>
  </w:style>
  <w:style w:type="paragraph" w:styleId="13">
    <w:name w:val="heading 9"/>
    <w:basedOn w:val="1"/>
    <w:next w:val="9"/>
    <w:link w:val="286"/>
    <w:qFormat/>
    <w:uiPriority w:val="0"/>
    <w:pPr>
      <w:keepNext/>
      <w:keepLines/>
      <w:numPr>
        <w:ilvl w:val="8"/>
        <w:numId w:val="1"/>
      </w:numPr>
      <w:spacing w:before="240" w:after="64" w:line="320" w:lineRule="auto"/>
      <w:outlineLvl w:val="8"/>
    </w:pPr>
    <w:rPr>
      <w:rFonts w:ascii="Arial" w:hAnsi="Arial" w:eastAsia="黑体" w:cs="Arial"/>
      <w:spacing w:val="-2"/>
      <w:position w:val="-6"/>
      <w:sz w:val="20"/>
      <w:szCs w:val="20"/>
    </w:rPr>
  </w:style>
  <w:style w:type="character" w:default="1" w:styleId="92">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
    <w:name w:val="macro"/>
    <w:link w:val="452"/>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sz w:val="24"/>
      <w:szCs w:val="24"/>
      <w:lang w:val="en-US" w:eastAsia="zh-CN" w:bidi="ar-SA"/>
    </w:rPr>
  </w:style>
  <w:style w:type="paragraph" w:styleId="9">
    <w:name w:val="Normal Indent"/>
    <w:basedOn w:val="1"/>
    <w:link w:val="292"/>
    <w:qFormat/>
    <w:uiPriority w:val="0"/>
    <w:pPr>
      <w:ind w:firstLine="420"/>
      <w:jc w:val="left"/>
    </w:pPr>
    <w:rPr>
      <w:rFonts w:eastAsia="楷体_GB2312"/>
      <w:sz w:val="20"/>
      <w:szCs w:val="20"/>
    </w:rPr>
  </w:style>
  <w:style w:type="paragraph" w:styleId="14">
    <w:name w:val="List 3"/>
    <w:basedOn w:val="1"/>
    <w:semiHidden/>
    <w:unhideWhenUsed/>
    <w:qFormat/>
    <w:uiPriority w:val="99"/>
    <w:pPr>
      <w:ind w:left="100" w:hanging="200"/>
      <w:contextualSpacing/>
    </w:pPr>
  </w:style>
  <w:style w:type="paragraph" w:styleId="15">
    <w:name w:val="toc 7"/>
    <w:basedOn w:val="1"/>
    <w:next w:val="1"/>
    <w:semiHidden/>
    <w:qFormat/>
    <w:uiPriority w:val="0"/>
    <w:pPr>
      <w:ind w:left="2520"/>
    </w:pPr>
    <w:rPr>
      <w:rFonts w:eastAsia="楷体_GB2312"/>
      <w:sz w:val="26"/>
      <w:szCs w:val="26"/>
    </w:rPr>
  </w:style>
  <w:style w:type="paragraph" w:styleId="16">
    <w:name w:val="List Number 2"/>
    <w:basedOn w:val="1"/>
    <w:semiHidden/>
    <w:unhideWhenUsed/>
    <w:qFormat/>
    <w:uiPriority w:val="99"/>
    <w:pPr>
      <w:numPr>
        <w:ilvl w:val="0"/>
        <w:numId w:val="2"/>
      </w:numPr>
      <w:contextualSpacing/>
    </w:pPr>
  </w:style>
  <w:style w:type="paragraph" w:styleId="17">
    <w:name w:val="table of authorities"/>
    <w:basedOn w:val="1"/>
    <w:next w:val="1"/>
    <w:semiHidden/>
    <w:unhideWhenUsed/>
    <w:qFormat/>
    <w:uiPriority w:val="99"/>
    <w:pPr>
      <w:ind w:left="420"/>
    </w:pPr>
  </w:style>
  <w:style w:type="paragraph" w:styleId="18">
    <w:name w:val="Note Heading"/>
    <w:basedOn w:val="1"/>
    <w:next w:val="1"/>
    <w:link w:val="460"/>
    <w:semiHidden/>
    <w:unhideWhenUsed/>
    <w:qFormat/>
    <w:uiPriority w:val="99"/>
    <w:pPr>
      <w:jc w:val="center"/>
    </w:pPr>
  </w:style>
  <w:style w:type="paragraph" w:styleId="19">
    <w:name w:val="List Bullet 4"/>
    <w:basedOn w:val="1"/>
    <w:semiHidden/>
    <w:unhideWhenUsed/>
    <w:qFormat/>
    <w:uiPriority w:val="99"/>
    <w:pPr>
      <w:numPr>
        <w:ilvl w:val="0"/>
        <w:numId w:val="3"/>
      </w:numPr>
      <w:contextualSpacing/>
    </w:pPr>
  </w:style>
  <w:style w:type="paragraph" w:styleId="20">
    <w:name w:val="index 8"/>
    <w:basedOn w:val="1"/>
    <w:next w:val="1"/>
    <w:semiHidden/>
    <w:qFormat/>
    <w:uiPriority w:val="0"/>
    <w:pPr>
      <w:ind w:left="2940"/>
    </w:pPr>
    <w:rPr>
      <w:rFonts w:eastAsia="楷体_GB2312"/>
      <w:sz w:val="26"/>
      <w:szCs w:val="26"/>
    </w:rPr>
  </w:style>
  <w:style w:type="paragraph" w:styleId="21">
    <w:name w:val="E-mail Signature"/>
    <w:basedOn w:val="1"/>
    <w:link w:val="451"/>
    <w:semiHidden/>
    <w:unhideWhenUsed/>
    <w:qFormat/>
    <w:uiPriority w:val="99"/>
  </w:style>
  <w:style w:type="paragraph" w:styleId="22">
    <w:name w:val="List Number"/>
    <w:basedOn w:val="1"/>
    <w:semiHidden/>
    <w:unhideWhenUsed/>
    <w:qFormat/>
    <w:uiPriority w:val="99"/>
    <w:pPr>
      <w:numPr>
        <w:ilvl w:val="0"/>
        <w:numId w:val="4"/>
      </w:numPr>
      <w:contextualSpacing/>
    </w:pPr>
  </w:style>
  <w:style w:type="paragraph" w:styleId="2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24">
    <w:name w:val="index 5"/>
    <w:basedOn w:val="1"/>
    <w:next w:val="1"/>
    <w:semiHidden/>
    <w:qFormat/>
    <w:uiPriority w:val="0"/>
    <w:pPr>
      <w:ind w:left="1680"/>
    </w:pPr>
    <w:rPr>
      <w:rFonts w:eastAsia="楷体_GB2312"/>
      <w:sz w:val="26"/>
      <w:szCs w:val="26"/>
    </w:rPr>
  </w:style>
  <w:style w:type="paragraph" w:styleId="25">
    <w:name w:val="List Bullet"/>
    <w:basedOn w:val="1"/>
    <w:semiHidden/>
    <w:unhideWhenUsed/>
    <w:qFormat/>
    <w:uiPriority w:val="99"/>
    <w:pPr>
      <w:numPr>
        <w:ilvl w:val="0"/>
        <w:numId w:val="5"/>
      </w:numPr>
      <w:contextualSpacing/>
    </w:pPr>
  </w:style>
  <w:style w:type="paragraph" w:styleId="26">
    <w:name w:val="envelope address"/>
    <w:basedOn w:val="1"/>
    <w:semiHidden/>
    <w:unhideWhenUsed/>
    <w:qFormat/>
    <w:uiPriority w:val="99"/>
    <w:pPr>
      <w:framePr w:w="7920" w:h="1980" w:hRule="exact" w:hSpace="180" w:wrap="auto" w:vAnchor="margin" w:hAnchor="page" w:xAlign="center" w:yAlign="bottom"/>
      <w:ind w:left="100"/>
    </w:pPr>
    <w:rPr>
      <w:rFonts w:asciiTheme="majorHAnsi" w:hAnsiTheme="majorHAnsi" w:eastAsiaTheme="majorEastAsia" w:cstheme="majorBidi"/>
    </w:rPr>
  </w:style>
  <w:style w:type="paragraph" w:styleId="27">
    <w:name w:val="Document Map"/>
    <w:basedOn w:val="1"/>
    <w:link w:val="326"/>
    <w:semiHidden/>
    <w:qFormat/>
    <w:uiPriority w:val="0"/>
    <w:pPr>
      <w:shd w:val="clear" w:color="auto" w:fill="000080"/>
    </w:pPr>
    <w:rPr>
      <w:rFonts w:eastAsia="楷体_GB2312"/>
      <w:sz w:val="20"/>
      <w:szCs w:val="20"/>
    </w:rPr>
  </w:style>
  <w:style w:type="paragraph" w:styleId="28">
    <w:name w:val="toa heading"/>
    <w:basedOn w:val="1"/>
    <w:next w:val="1"/>
    <w:semiHidden/>
    <w:unhideWhenUsed/>
    <w:qFormat/>
    <w:uiPriority w:val="99"/>
    <w:pPr>
      <w:spacing w:before="120"/>
    </w:pPr>
    <w:rPr>
      <w:rFonts w:asciiTheme="majorHAnsi" w:hAnsiTheme="majorHAnsi" w:eastAsiaTheme="majorEastAsia" w:cstheme="majorBidi"/>
    </w:rPr>
  </w:style>
  <w:style w:type="paragraph" w:styleId="29">
    <w:name w:val="annotation text"/>
    <w:basedOn w:val="1"/>
    <w:link w:val="321"/>
    <w:qFormat/>
    <w:uiPriority w:val="0"/>
    <w:pPr>
      <w:jc w:val="left"/>
    </w:pPr>
  </w:style>
  <w:style w:type="paragraph" w:styleId="30">
    <w:name w:val="index 6"/>
    <w:basedOn w:val="1"/>
    <w:next w:val="1"/>
    <w:semiHidden/>
    <w:qFormat/>
    <w:uiPriority w:val="0"/>
    <w:pPr>
      <w:ind w:left="2100"/>
    </w:pPr>
    <w:rPr>
      <w:rFonts w:eastAsia="楷体_GB2312"/>
      <w:sz w:val="26"/>
      <w:szCs w:val="26"/>
    </w:rPr>
  </w:style>
  <w:style w:type="paragraph" w:styleId="31">
    <w:name w:val="Salutation"/>
    <w:basedOn w:val="1"/>
    <w:next w:val="1"/>
    <w:link w:val="450"/>
    <w:semiHidden/>
    <w:unhideWhenUsed/>
    <w:qFormat/>
    <w:uiPriority w:val="99"/>
  </w:style>
  <w:style w:type="paragraph" w:styleId="32">
    <w:name w:val="Body Text 3"/>
    <w:basedOn w:val="1"/>
    <w:link w:val="458"/>
    <w:semiHidden/>
    <w:unhideWhenUsed/>
    <w:qFormat/>
    <w:uiPriority w:val="99"/>
    <w:pPr>
      <w:spacing w:after="120"/>
    </w:pPr>
    <w:rPr>
      <w:sz w:val="16"/>
      <w:szCs w:val="16"/>
    </w:rPr>
  </w:style>
  <w:style w:type="paragraph" w:styleId="33">
    <w:name w:val="Closing"/>
    <w:basedOn w:val="1"/>
    <w:link w:val="453"/>
    <w:semiHidden/>
    <w:unhideWhenUsed/>
    <w:qFormat/>
    <w:uiPriority w:val="99"/>
    <w:pPr>
      <w:ind w:left="100"/>
    </w:pPr>
  </w:style>
  <w:style w:type="paragraph" w:styleId="34">
    <w:name w:val="List Bullet 3"/>
    <w:basedOn w:val="1"/>
    <w:semiHidden/>
    <w:unhideWhenUsed/>
    <w:qFormat/>
    <w:uiPriority w:val="99"/>
    <w:pPr>
      <w:numPr>
        <w:ilvl w:val="0"/>
        <w:numId w:val="6"/>
      </w:numPr>
      <w:contextualSpacing/>
    </w:pPr>
  </w:style>
  <w:style w:type="paragraph" w:styleId="35">
    <w:name w:val="Body Text"/>
    <w:basedOn w:val="1"/>
    <w:next w:val="2"/>
    <w:link w:val="324"/>
    <w:qFormat/>
    <w:uiPriority w:val="0"/>
    <w:pPr>
      <w:spacing w:line="400" w:lineRule="exact"/>
    </w:pPr>
    <w:rPr>
      <w:rFonts w:ascii="楷体_GB2312" w:eastAsia="楷体_GB2312" w:cs="楷体_GB2312"/>
      <w:sz w:val="20"/>
      <w:szCs w:val="20"/>
    </w:rPr>
  </w:style>
  <w:style w:type="paragraph" w:styleId="36">
    <w:name w:val="Body Text Indent"/>
    <w:basedOn w:val="1"/>
    <w:link w:val="334"/>
    <w:qFormat/>
    <w:uiPriority w:val="0"/>
    <w:pPr>
      <w:spacing w:line="520" w:lineRule="exact"/>
      <w:ind w:left="570"/>
    </w:pPr>
    <w:rPr>
      <w:rFonts w:ascii="方正仿宋简体" w:hAnsi="创艺简仿宋" w:eastAsia="方正仿宋简体" w:cs="方正仿宋简体"/>
      <w:sz w:val="20"/>
      <w:szCs w:val="20"/>
    </w:rPr>
  </w:style>
  <w:style w:type="paragraph" w:styleId="37">
    <w:name w:val="List Number 3"/>
    <w:basedOn w:val="1"/>
    <w:semiHidden/>
    <w:unhideWhenUsed/>
    <w:qFormat/>
    <w:uiPriority w:val="99"/>
    <w:pPr>
      <w:numPr>
        <w:ilvl w:val="0"/>
        <w:numId w:val="7"/>
      </w:numPr>
      <w:contextualSpacing/>
    </w:pPr>
  </w:style>
  <w:style w:type="paragraph" w:styleId="38">
    <w:name w:val="List 2"/>
    <w:basedOn w:val="1"/>
    <w:semiHidden/>
    <w:unhideWhenUsed/>
    <w:qFormat/>
    <w:uiPriority w:val="99"/>
    <w:pPr>
      <w:ind w:left="100" w:hanging="200"/>
      <w:contextualSpacing/>
    </w:pPr>
  </w:style>
  <w:style w:type="paragraph" w:styleId="39">
    <w:name w:val="List Continue"/>
    <w:basedOn w:val="1"/>
    <w:semiHidden/>
    <w:unhideWhenUsed/>
    <w:qFormat/>
    <w:uiPriority w:val="99"/>
    <w:pPr>
      <w:spacing w:after="120"/>
      <w:ind w:left="420"/>
      <w:contextualSpacing/>
    </w:pPr>
  </w:style>
  <w:style w:type="paragraph" w:styleId="40">
    <w:name w:val="Block Text"/>
    <w:basedOn w:val="1"/>
    <w:semiHidden/>
    <w:unhideWhenUsed/>
    <w:qFormat/>
    <w:uiPriority w:val="99"/>
    <w:pPr>
      <w:spacing w:after="120"/>
      <w:ind w:left="1440" w:right="1440"/>
    </w:pPr>
  </w:style>
  <w:style w:type="paragraph" w:styleId="41">
    <w:name w:val="List Bullet 2"/>
    <w:basedOn w:val="1"/>
    <w:semiHidden/>
    <w:unhideWhenUsed/>
    <w:qFormat/>
    <w:uiPriority w:val="99"/>
    <w:pPr>
      <w:numPr>
        <w:ilvl w:val="0"/>
        <w:numId w:val="8"/>
      </w:numPr>
      <w:contextualSpacing/>
    </w:pPr>
  </w:style>
  <w:style w:type="paragraph" w:styleId="42">
    <w:name w:val="HTML Address"/>
    <w:basedOn w:val="1"/>
    <w:link w:val="449"/>
    <w:semiHidden/>
    <w:unhideWhenUsed/>
    <w:qFormat/>
    <w:uiPriority w:val="99"/>
    <w:rPr>
      <w:i/>
      <w:iCs/>
    </w:rPr>
  </w:style>
  <w:style w:type="paragraph" w:styleId="43">
    <w:name w:val="index 4"/>
    <w:basedOn w:val="1"/>
    <w:next w:val="1"/>
    <w:semiHidden/>
    <w:qFormat/>
    <w:uiPriority w:val="0"/>
    <w:pPr>
      <w:ind w:left="1260"/>
    </w:pPr>
    <w:rPr>
      <w:rFonts w:eastAsia="楷体_GB2312"/>
      <w:sz w:val="26"/>
      <w:szCs w:val="26"/>
    </w:rPr>
  </w:style>
  <w:style w:type="paragraph" w:styleId="44">
    <w:name w:val="toc 5"/>
    <w:basedOn w:val="1"/>
    <w:next w:val="1"/>
    <w:semiHidden/>
    <w:qFormat/>
    <w:uiPriority w:val="0"/>
    <w:pPr>
      <w:ind w:left="1680"/>
    </w:pPr>
    <w:rPr>
      <w:rFonts w:eastAsia="楷体_GB2312"/>
      <w:sz w:val="26"/>
      <w:szCs w:val="26"/>
    </w:rPr>
  </w:style>
  <w:style w:type="paragraph" w:styleId="45">
    <w:name w:val="toc 3"/>
    <w:basedOn w:val="1"/>
    <w:next w:val="1"/>
    <w:qFormat/>
    <w:uiPriority w:val="0"/>
    <w:pPr>
      <w:ind w:left="840"/>
    </w:pPr>
    <w:rPr>
      <w:rFonts w:eastAsia="楷体_GB2312"/>
      <w:sz w:val="26"/>
      <w:szCs w:val="26"/>
    </w:rPr>
  </w:style>
  <w:style w:type="paragraph" w:styleId="46">
    <w:name w:val="Plain Text"/>
    <w:basedOn w:val="1"/>
    <w:link w:val="328"/>
    <w:qFormat/>
    <w:uiPriority w:val="0"/>
    <w:rPr>
      <w:rFonts w:ascii="宋体" w:hAnsi="Courier New" w:eastAsia="楷体_GB2312" w:cs="宋体"/>
      <w:sz w:val="26"/>
      <w:szCs w:val="26"/>
    </w:rPr>
  </w:style>
  <w:style w:type="paragraph" w:styleId="47">
    <w:name w:val="List Bullet 5"/>
    <w:basedOn w:val="1"/>
    <w:semiHidden/>
    <w:unhideWhenUsed/>
    <w:qFormat/>
    <w:uiPriority w:val="99"/>
    <w:pPr>
      <w:numPr>
        <w:ilvl w:val="0"/>
        <w:numId w:val="9"/>
      </w:numPr>
      <w:contextualSpacing/>
    </w:pPr>
  </w:style>
  <w:style w:type="paragraph" w:styleId="48">
    <w:name w:val="List Number 4"/>
    <w:basedOn w:val="1"/>
    <w:semiHidden/>
    <w:unhideWhenUsed/>
    <w:qFormat/>
    <w:uiPriority w:val="99"/>
    <w:pPr>
      <w:numPr>
        <w:ilvl w:val="0"/>
        <w:numId w:val="10"/>
      </w:numPr>
      <w:contextualSpacing/>
    </w:pPr>
  </w:style>
  <w:style w:type="paragraph" w:styleId="49">
    <w:name w:val="toc 8"/>
    <w:basedOn w:val="1"/>
    <w:next w:val="1"/>
    <w:semiHidden/>
    <w:qFormat/>
    <w:uiPriority w:val="0"/>
    <w:pPr>
      <w:ind w:left="2940"/>
    </w:pPr>
    <w:rPr>
      <w:rFonts w:eastAsia="楷体_GB2312"/>
      <w:sz w:val="26"/>
      <w:szCs w:val="26"/>
    </w:rPr>
  </w:style>
  <w:style w:type="paragraph" w:styleId="50">
    <w:name w:val="index 3"/>
    <w:basedOn w:val="1"/>
    <w:next w:val="1"/>
    <w:semiHidden/>
    <w:qFormat/>
    <w:uiPriority w:val="0"/>
    <w:pPr>
      <w:ind w:left="840"/>
    </w:pPr>
    <w:rPr>
      <w:rFonts w:eastAsia="楷体_GB2312"/>
      <w:sz w:val="26"/>
      <w:szCs w:val="26"/>
    </w:rPr>
  </w:style>
  <w:style w:type="paragraph" w:styleId="51">
    <w:name w:val="Date"/>
    <w:basedOn w:val="1"/>
    <w:next w:val="1"/>
    <w:link w:val="325"/>
    <w:qFormat/>
    <w:uiPriority w:val="0"/>
    <w:rPr>
      <w:rFonts w:ascii="宋体" w:hAnsi="宋体" w:eastAsia="楷体_GB2312" w:cs="宋体"/>
      <w:sz w:val="20"/>
      <w:szCs w:val="20"/>
    </w:rPr>
  </w:style>
  <w:style w:type="paragraph" w:styleId="52">
    <w:name w:val="Body Text Indent 2"/>
    <w:basedOn w:val="1"/>
    <w:link w:val="332"/>
    <w:qFormat/>
    <w:uiPriority w:val="0"/>
    <w:pPr>
      <w:tabs>
        <w:tab w:val="left" w:pos="0"/>
      </w:tabs>
      <w:spacing w:line="360" w:lineRule="auto"/>
      <w:ind w:firstLine="502"/>
    </w:pPr>
    <w:rPr>
      <w:rFonts w:ascii="宋体" w:eastAsia="宋体" w:cs="宋体"/>
      <w:b/>
      <w:bCs/>
      <w:sz w:val="20"/>
      <w:szCs w:val="20"/>
    </w:rPr>
  </w:style>
  <w:style w:type="paragraph" w:styleId="53">
    <w:name w:val="endnote text"/>
    <w:basedOn w:val="1"/>
    <w:link w:val="276"/>
    <w:semiHidden/>
    <w:unhideWhenUsed/>
    <w:qFormat/>
    <w:uiPriority w:val="99"/>
    <w:rPr>
      <w:sz w:val="20"/>
    </w:rPr>
  </w:style>
  <w:style w:type="paragraph" w:styleId="54">
    <w:name w:val="List Continue 5"/>
    <w:basedOn w:val="1"/>
    <w:semiHidden/>
    <w:unhideWhenUsed/>
    <w:qFormat/>
    <w:uiPriority w:val="99"/>
    <w:pPr>
      <w:spacing w:after="120"/>
      <w:ind w:left="2100"/>
      <w:contextualSpacing/>
    </w:pPr>
  </w:style>
  <w:style w:type="paragraph" w:styleId="55">
    <w:name w:val="Balloon Text"/>
    <w:basedOn w:val="1"/>
    <w:link w:val="320"/>
    <w:qFormat/>
    <w:uiPriority w:val="99"/>
    <w:rPr>
      <w:rFonts w:eastAsia="楷体_GB2312"/>
      <w:sz w:val="18"/>
      <w:szCs w:val="18"/>
    </w:rPr>
  </w:style>
  <w:style w:type="paragraph" w:styleId="56">
    <w:name w:val="footer"/>
    <w:basedOn w:val="1"/>
    <w:link w:val="311"/>
    <w:qFormat/>
    <w:uiPriority w:val="99"/>
    <w:pPr>
      <w:tabs>
        <w:tab w:val="center" w:pos="4153"/>
        <w:tab w:val="right" w:pos="8306"/>
      </w:tabs>
      <w:jc w:val="left"/>
    </w:pPr>
    <w:rPr>
      <w:rFonts w:eastAsia="楷体_GB2312"/>
      <w:sz w:val="18"/>
      <w:szCs w:val="18"/>
    </w:rPr>
  </w:style>
  <w:style w:type="paragraph" w:styleId="57">
    <w:name w:val="envelope return"/>
    <w:basedOn w:val="1"/>
    <w:qFormat/>
    <w:uiPriority w:val="99"/>
    <w:rPr>
      <w:rFonts w:ascii="Arial" w:hAnsi="Arial" w:eastAsia="宋体" w:cs="Arial"/>
      <w:sz w:val="21"/>
    </w:rPr>
  </w:style>
  <w:style w:type="paragraph" w:styleId="58">
    <w:name w:val="header"/>
    <w:basedOn w:val="1"/>
    <w:link w:val="314"/>
    <w:qFormat/>
    <w:uiPriority w:val="0"/>
    <w:pPr>
      <w:pBdr>
        <w:bottom w:val="single" w:color="auto" w:sz="6" w:space="1"/>
      </w:pBdr>
      <w:tabs>
        <w:tab w:val="center" w:pos="4153"/>
        <w:tab w:val="right" w:pos="8306"/>
      </w:tabs>
      <w:jc w:val="center"/>
    </w:pPr>
    <w:rPr>
      <w:rFonts w:eastAsia="楷体_GB2312"/>
      <w:sz w:val="18"/>
      <w:szCs w:val="18"/>
    </w:rPr>
  </w:style>
  <w:style w:type="paragraph" w:styleId="59">
    <w:name w:val="Signature"/>
    <w:basedOn w:val="1"/>
    <w:link w:val="454"/>
    <w:semiHidden/>
    <w:unhideWhenUsed/>
    <w:qFormat/>
    <w:uiPriority w:val="99"/>
    <w:pPr>
      <w:ind w:left="100"/>
    </w:pPr>
  </w:style>
  <w:style w:type="paragraph" w:styleId="60">
    <w:name w:val="toc 1"/>
    <w:basedOn w:val="1"/>
    <w:next w:val="1"/>
    <w:qFormat/>
    <w:uiPriority w:val="39"/>
    <w:pPr>
      <w:jc w:val="left"/>
    </w:pPr>
    <w:rPr>
      <w:rFonts w:eastAsia="楷体_GB2312"/>
    </w:rPr>
  </w:style>
  <w:style w:type="paragraph" w:styleId="61">
    <w:name w:val="List Continue 4"/>
    <w:basedOn w:val="1"/>
    <w:semiHidden/>
    <w:unhideWhenUsed/>
    <w:qFormat/>
    <w:uiPriority w:val="99"/>
    <w:pPr>
      <w:spacing w:after="120"/>
      <w:ind w:left="1680"/>
      <w:contextualSpacing/>
    </w:pPr>
  </w:style>
  <w:style w:type="paragraph" w:styleId="62">
    <w:name w:val="toc 4"/>
    <w:basedOn w:val="1"/>
    <w:next w:val="1"/>
    <w:semiHidden/>
    <w:qFormat/>
    <w:uiPriority w:val="0"/>
    <w:pPr>
      <w:ind w:left="1260"/>
    </w:pPr>
    <w:rPr>
      <w:rFonts w:eastAsia="楷体_GB2312"/>
      <w:sz w:val="26"/>
      <w:szCs w:val="26"/>
    </w:rPr>
  </w:style>
  <w:style w:type="paragraph" w:styleId="63">
    <w:name w:val="index heading"/>
    <w:basedOn w:val="1"/>
    <w:next w:val="64"/>
    <w:semiHidden/>
    <w:qFormat/>
    <w:uiPriority w:val="0"/>
    <w:rPr>
      <w:rFonts w:eastAsia="楷体_GB2312"/>
      <w:sz w:val="26"/>
      <w:szCs w:val="26"/>
    </w:rPr>
  </w:style>
  <w:style w:type="paragraph" w:styleId="64">
    <w:name w:val="index 1"/>
    <w:basedOn w:val="1"/>
    <w:next w:val="1"/>
    <w:semiHidden/>
    <w:qFormat/>
    <w:uiPriority w:val="0"/>
    <w:rPr>
      <w:rFonts w:eastAsia="楷体_GB2312"/>
      <w:sz w:val="26"/>
      <w:szCs w:val="26"/>
    </w:rPr>
  </w:style>
  <w:style w:type="paragraph" w:styleId="65">
    <w:name w:val="Subtitle"/>
    <w:basedOn w:val="1"/>
    <w:next w:val="1"/>
    <w:link w:val="144"/>
    <w:qFormat/>
    <w:uiPriority w:val="11"/>
    <w:pPr>
      <w:spacing w:before="200" w:after="200"/>
    </w:pPr>
  </w:style>
  <w:style w:type="paragraph" w:styleId="66">
    <w:name w:val="List Number 5"/>
    <w:basedOn w:val="1"/>
    <w:semiHidden/>
    <w:unhideWhenUsed/>
    <w:qFormat/>
    <w:uiPriority w:val="99"/>
    <w:pPr>
      <w:numPr>
        <w:ilvl w:val="0"/>
        <w:numId w:val="11"/>
      </w:numPr>
      <w:contextualSpacing/>
    </w:pPr>
  </w:style>
  <w:style w:type="paragraph" w:styleId="67">
    <w:name w:val="List"/>
    <w:basedOn w:val="1"/>
    <w:semiHidden/>
    <w:unhideWhenUsed/>
    <w:qFormat/>
    <w:uiPriority w:val="99"/>
    <w:pPr>
      <w:ind w:left="200" w:hanging="200"/>
      <w:contextualSpacing/>
    </w:pPr>
  </w:style>
  <w:style w:type="paragraph" w:styleId="68">
    <w:name w:val="footnote text"/>
    <w:basedOn w:val="1"/>
    <w:link w:val="331"/>
    <w:semiHidden/>
    <w:qFormat/>
    <w:uiPriority w:val="0"/>
    <w:pPr>
      <w:jc w:val="left"/>
    </w:pPr>
    <w:rPr>
      <w:rFonts w:eastAsia="楷体_GB2312"/>
      <w:sz w:val="20"/>
      <w:szCs w:val="20"/>
    </w:rPr>
  </w:style>
  <w:style w:type="paragraph" w:styleId="69">
    <w:name w:val="toc 6"/>
    <w:basedOn w:val="1"/>
    <w:next w:val="1"/>
    <w:semiHidden/>
    <w:qFormat/>
    <w:uiPriority w:val="0"/>
    <w:pPr>
      <w:ind w:left="2100"/>
    </w:pPr>
    <w:rPr>
      <w:rFonts w:eastAsia="楷体_GB2312"/>
      <w:sz w:val="26"/>
      <w:szCs w:val="26"/>
    </w:rPr>
  </w:style>
  <w:style w:type="paragraph" w:styleId="70">
    <w:name w:val="List 5"/>
    <w:basedOn w:val="1"/>
    <w:semiHidden/>
    <w:unhideWhenUsed/>
    <w:qFormat/>
    <w:uiPriority w:val="99"/>
    <w:pPr>
      <w:ind w:left="100" w:hanging="200"/>
      <w:contextualSpacing/>
    </w:pPr>
  </w:style>
  <w:style w:type="paragraph" w:styleId="71">
    <w:name w:val="Body Text Indent 3"/>
    <w:basedOn w:val="1"/>
    <w:link w:val="318"/>
    <w:qFormat/>
    <w:uiPriority w:val="0"/>
    <w:pPr>
      <w:spacing w:line="360" w:lineRule="auto"/>
      <w:ind w:firstLine="617"/>
    </w:pPr>
    <w:rPr>
      <w:rFonts w:eastAsia="宋体"/>
      <w:sz w:val="20"/>
      <w:szCs w:val="20"/>
    </w:rPr>
  </w:style>
  <w:style w:type="paragraph" w:styleId="72">
    <w:name w:val="index 7"/>
    <w:basedOn w:val="1"/>
    <w:next w:val="1"/>
    <w:semiHidden/>
    <w:qFormat/>
    <w:uiPriority w:val="0"/>
    <w:pPr>
      <w:ind w:left="2520"/>
    </w:pPr>
    <w:rPr>
      <w:rFonts w:eastAsia="楷体_GB2312"/>
      <w:sz w:val="26"/>
      <w:szCs w:val="26"/>
    </w:rPr>
  </w:style>
  <w:style w:type="paragraph" w:styleId="73">
    <w:name w:val="index 9"/>
    <w:basedOn w:val="1"/>
    <w:next w:val="1"/>
    <w:semiHidden/>
    <w:qFormat/>
    <w:uiPriority w:val="0"/>
    <w:pPr>
      <w:ind w:left="3360"/>
    </w:pPr>
    <w:rPr>
      <w:rFonts w:eastAsia="楷体_GB2312"/>
      <w:sz w:val="26"/>
      <w:szCs w:val="26"/>
    </w:rPr>
  </w:style>
  <w:style w:type="paragraph" w:styleId="74">
    <w:name w:val="table of figures"/>
    <w:basedOn w:val="1"/>
    <w:next w:val="1"/>
    <w:semiHidden/>
    <w:qFormat/>
    <w:uiPriority w:val="0"/>
    <w:pPr>
      <w:ind w:left="420" w:hanging="420"/>
      <w:jc w:val="left"/>
    </w:pPr>
    <w:rPr>
      <w:rFonts w:eastAsia="楷体_GB2312"/>
      <w:smallCaps/>
    </w:rPr>
  </w:style>
  <w:style w:type="paragraph" w:styleId="75">
    <w:name w:val="toc 2"/>
    <w:basedOn w:val="1"/>
    <w:next w:val="1"/>
    <w:semiHidden/>
    <w:qFormat/>
    <w:uiPriority w:val="0"/>
    <w:pPr>
      <w:ind w:left="420"/>
    </w:pPr>
    <w:rPr>
      <w:rFonts w:eastAsia="楷体_GB2312"/>
      <w:sz w:val="26"/>
      <w:szCs w:val="26"/>
    </w:rPr>
  </w:style>
  <w:style w:type="paragraph" w:styleId="76">
    <w:name w:val="toc 9"/>
    <w:basedOn w:val="1"/>
    <w:next w:val="1"/>
    <w:semiHidden/>
    <w:qFormat/>
    <w:uiPriority w:val="0"/>
    <w:pPr>
      <w:ind w:left="3360"/>
    </w:pPr>
    <w:rPr>
      <w:rFonts w:eastAsia="楷体_GB2312"/>
      <w:sz w:val="26"/>
      <w:szCs w:val="26"/>
    </w:rPr>
  </w:style>
  <w:style w:type="paragraph" w:styleId="77">
    <w:name w:val="Body Text 2"/>
    <w:basedOn w:val="1"/>
    <w:link w:val="457"/>
    <w:semiHidden/>
    <w:unhideWhenUsed/>
    <w:qFormat/>
    <w:uiPriority w:val="99"/>
    <w:pPr>
      <w:spacing w:after="120" w:line="480" w:lineRule="auto"/>
    </w:pPr>
  </w:style>
  <w:style w:type="paragraph" w:styleId="78">
    <w:name w:val="List 4"/>
    <w:basedOn w:val="1"/>
    <w:semiHidden/>
    <w:unhideWhenUsed/>
    <w:qFormat/>
    <w:uiPriority w:val="99"/>
    <w:pPr>
      <w:ind w:left="100" w:hanging="200"/>
      <w:contextualSpacing/>
    </w:pPr>
  </w:style>
  <w:style w:type="paragraph" w:styleId="79">
    <w:name w:val="List Continue 2"/>
    <w:basedOn w:val="1"/>
    <w:semiHidden/>
    <w:unhideWhenUsed/>
    <w:qFormat/>
    <w:uiPriority w:val="99"/>
    <w:pPr>
      <w:spacing w:after="120"/>
      <w:ind w:left="840"/>
      <w:contextualSpacing/>
    </w:pPr>
  </w:style>
  <w:style w:type="paragraph" w:styleId="80">
    <w:name w:val="Message Header"/>
    <w:basedOn w:val="1"/>
    <w:link w:val="45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paragraph" w:styleId="81">
    <w:name w:val="HTML Preformatted"/>
    <w:basedOn w:val="1"/>
    <w:link w:val="3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sz w:val="20"/>
      <w:szCs w:val="20"/>
    </w:rPr>
  </w:style>
  <w:style w:type="paragraph" w:styleId="82">
    <w:name w:val="Normal (Web)"/>
    <w:basedOn w:val="1"/>
    <w:qFormat/>
    <w:uiPriority w:val="0"/>
    <w:pPr>
      <w:spacing w:before="100" w:beforeAutospacing="1" w:after="100" w:afterAutospacing="1"/>
      <w:jc w:val="left"/>
    </w:pPr>
    <w:rPr>
      <w:rFonts w:ascii="Calibri" w:hAnsi="Calibri" w:eastAsia="宋体" w:cs="Calibri"/>
    </w:rPr>
  </w:style>
  <w:style w:type="paragraph" w:styleId="83">
    <w:name w:val="List Continue 3"/>
    <w:basedOn w:val="1"/>
    <w:semiHidden/>
    <w:unhideWhenUsed/>
    <w:qFormat/>
    <w:uiPriority w:val="99"/>
    <w:pPr>
      <w:spacing w:after="120"/>
      <w:ind w:left="1260"/>
      <w:contextualSpacing/>
    </w:pPr>
  </w:style>
  <w:style w:type="paragraph" w:styleId="84">
    <w:name w:val="index 2"/>
    <w:basedOn w:val="1"/>
    <w:next w:val="1"/>
    <w:semiHidden/>
    <w:qFormat/>
    <w:uiPriority w:val="0"/>
    <w:pPr>
      <w:ind w:left="420"/>
    </w:pPr>
    <w:rPr>
      <w:rFonts w:eastAsia="楷体_GB2312"/>
      <w:sz w:val="26"/>
      <w:szCs w:val="26"/>
    </w:rPr>
  </w:style>
  <w:style w:type="paragraph" w:styleId="85">
    <w:name w:val="Title"/>
    <w:basedOn w:val="1"/>
    <w:next w:val="1"/>
    <w:link w:val="143"/>
    <w:qFormat/>
    <w:uiPriority w:val="10"/>
    <w:pPr>
      <w:spacing w:before="300" w:after="200"/>
      <w:contextualSpacing/>
    </w:pPr>
    <w:rPr>
      <w:sz w:val="48"/>
      <w:szCs w:val="48"/>
    </w:rPr>
  </w:style>
  <w:style w:type="paragraph" w:styleId="86">
    <w:name w:val="annotation subject"/>
    <w:basedOn w:val="29"/>
    <w:next w:val="29"/>
    <w:link w:val="322"/>
    <w:semiHidden/>
    <w:qFormat/>
    <w:uiPriority w:val="0"/>
    <w:rPr>
      <w:rFonts w:eastAsia="楷体_GB2312"/>
      <w:b/>
      <w:bCs/>
      <w:sz w:val="20"/>
      <w:szCs w:val="20"/>
    </w:rPr>
  </w:style>
  <w:style w:type="paragraph" w:styleId="87">
    <w:name w:val="Body Text First Indent"/>
    <w:basedOn w:val="35"/>
    <w:link w:val="459"/>
    <w:semiHidden/>
    <w:unhideWhenUsed/>
    <w:qFormat/>
    <w:uiPriority w:val="99"/>
    <w:pPr>
      <w:spacing w:after="120" w:line="240" w:lineRule="auto"/>
      <w:ind w:firstLine="420"/>
    </w:pPr>
    <w:rPr>
      <w:rFonts w:ascii="Times New Roman" w:eastAsia="仿宋_GB2312" w:cs="Times New Roman"/>
      <w:sz w:val="24"/>
      <w:szCs w:val="24"/>
    </w:rPr>
  </w:style>
  <w:style w:type="paragraph" w:styleId="88">
    <w:name w:val="Body Text First Indent 2"/>
    <w:basedOn w:val="36"/>
    <w:link w:val="444"/>
    <w:semiHidden/>
    <w:unhideWhenUsed/>
    <w:qFormat/>
    <w:uiPriority w:val="99"/>
    <w:pPr>
      <w:spacing w:after="120" w:line="240" w:lineRule="auto"/>
      <w:ind w:left="420" w:firstLine="420"/>
    </w:pPr>
    <w:rPr>
      <w:rFonts w:ascii="Times New Roman" w:hAnsi="Times New Roman" w:eastAsia="仿宋_GB2312" w:cs="Times New Roman"/>
      <w:sz w:val="24"/>
      <w:szCs w:val="24"/>
    </w:rPr>
  </w:style>
  <w:style w:type="table" w:styleId="90">
    <w:name w:val="Table Grid"/>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1">
    <w:name w:val="Table Theme"/>
    <w:basedOn w:val="89"/>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3">
    <w:name w:val="Strong"/>
    <w:qFormat/>
    <w:uiPriority w:val="0"/>
    <w:rPr>
      <w:b/>
      <w:bCs/>
    </w:rPr>
  </w:style>
  <w:style w:type="character" w:styleId="94">
    <w:name w:val="endnote reference"/>
    <w:basedOn w:val="92"/>
    <w:semiHidden/>
    <w:unhideWhenUsed/>
    <w:qFormat/>
    <w:uiPriority w:val="99"/>
    <w:rPr>
      <w:vertAlign w:val="superscript"/>
    </w:rPr>
  </w:style>
  <w:style w:type="character" w:styleId="95">
    <w:name w:val="page number"/>
    <w:basedOn w:val="92"/>
    <w:qFormat/>
    <w:uiPriority w:val="0"/>
  </w:style>
  <w:style w:type="character" w:styleId="96">
    <w:name w:val="FollowedHyperlink"/>
    <w:qFormat/>
    <w:uiPriority w:val="0"/>
    <w:rPr>
      <w:color w:val="auto"/>
      <w:u w:val="single"/>
    </w:rPr>
  </w:style>
  <w:style w:type="character" w:styleId="97">
    <w:name w:val="Emphasis"/>
    <w:qFormat/>
    <w:uiPriority w:val="0"/>
    <w:rPr>
      <w:i/>
      <w:iCs/>
    </w:rPr>
  </w:style>
  <w:style w:type="character" w:styleId="98">
    <w:name w:val="line number"/>
    <w:basedOn w:val="92"/>
    <w:qFormat/>
    <w:uiPriority w:val="0"/>
  </w:style>
  <w:style w:type="character" w:styleId="99">
    <w:name w:val="HTML Definition"/>
    <w:qFormat/>
    <w:uiPriority w:val="0"/>
    <w:rPr>
      <w:i/>
      <w:iCs/>
    </w:rPr>
  </w:style>
  <w:style w:type="character" w:styleId="100">
    <w:name w:val="Hyperlink"/>
    <w:qFormat/>
    <w:uiPriority w:val="99"/>
    <w:rPr>
      <w:color w:val="0000FF"/>
      <w:u w:val="single"/>
    </w:rPr>
  </w:style>
  <w:style w:type="character" w:styleId="101">
    <w:name w:val="HTML Code"/>
    <w:qFormat/>
    <w:uiPriority w:val="0"/>
    <w:rPr>
      <w:rFonts w:ascii="Menlo" w:hAnsi="Menlo" w:cs="Menlo"/>
      <w:color w:val="auto"/>
      <w:sz w:val="21"/>
      <w:szCs w:val="21"/>
      <w:shd w:val="clear" w:color="auto" w:fill="auto"/>
    </w:rPr>
  </w:style>
  <w:style w:type="character" w:styleId="102">
    <w:name w:val="annotation reference"/>
    <w:semiHidden/>
    <w:qFormat/>
    <w:uiPriority w:val="0"/>
    <w:rPr>
      <w:sz w:val="21"/>
      <w:szCs w:val="21"/>
    </w:rPr>
  </w:style>
  <w:style w:type="character" w:styleId="103">
    <w:name w:val="HTML Cite"/>
    <w:basedOn w:val="92"/>
    <w:qFormat/>
    <w:uiPriority w:val="0"/>
  </w:style>
  <w:style w:type="character" w:styleId="104">
    <w:name w:val="footnote reference"/>
    <w:semiHidden/>
    <w:qFormat/>
    <w:uiPriority w:val="0"/>
    <w:rPr>
      <w:vertAlign w:val="superscript"/>
    </w:rPr>
  </w:style>
  <w:style w:type="character" w:styleId="105">
    <w:name w:val="HTML Keyboard"/>
    <w:qFormat/>
    <w:uiPriority w:val="0"/>
    <w:rPr>
      <w:rFonts w:ascii="Menlo" w:hAnsi="Menlo" w:cs="Menlo"/>
      <w:sz w:val="21"/>
      <w:szCs w:val="21"/>
    </w:rPr>
  </w:style>
  <w:style w:type="character" w:styleId="106">
    <w:name w:val="HTML Sample"/>
    <w:qFormat/>
    <w:uiPriority w:val="0"/>
    <w:rPr>
      <w:rFonts w:ascii="Menlo" w:hAnsi="Menlo" w:cs="Menlo"/>
      <w:sz w:val="21"/>
      <w:szCs w:val="21"/>
    </w:rPr>
  </w:style>
  <w:style w:type="character" w:customStyle="1" w:styleId="107">
    <w:name w:val="批注文字 字符"/>
    <w:semiHidden/>
    <w:qFormat/>
    <w:uiPriority w:val="0"/>
    <w:rPr>
      <w:rFonts w:eastAsia="楷体_GB2312"/>
      <w:sz w:val="26"/>
      <w:szCs w:val="26"/>
    </w:rPr>
  </w:style>
  <w:style w:type="character" w:customStyle="1" w:styleId="108">
    <w:name w:val="Title Char"/>
    <w:basedOn w:val="92"/>
    <w:qFormat/>
    <w:uiPriority w:val="10"/>
    <w:rPr>
      <w:sz w:val="48"/>
      <w:szCs w:val="48"/>
    </w:rPr>
  </w:style>
  <w:style w:type="character" w:customStyle="1" w:styleId="109">
    <w:name w:val="Subtitle Char"/>
    <w:basedOn w:val="92"/>
    <w:qFormat/>
    <w:uiPriority w:val="11"/>
    <w:rPr>
      <w:sz w:val="24"/>
      <w:szCs w:val="24"/>
    </w:rPr>
  </w:style>
  <w:style w:type="character" w:customStyle="1" w:styleId="110">
    <w:name w:val="Quote Char"/>
    <w:qFormat/>
    <w:uiPriority w:val="29"/>
    <w:rPr>
      <w:i/>
    </w:rPr>
  </w:style>
  <w:style w:type="character" w:customStyle="1" w:styleId="111">
    <w:name w:val="Intense Quote Char"/>
    <w:qFormat/>
    <w:uiPriority w:val="30"/>
    <w:rPr>
      <w:i/>
    </w:rPr>
  </w:style>
  <w:style w:type="table" w:customStyle="1" w:styleId="112">
    <w:name w:val="Plain Table 1"/>
    <w:basedOn w:val="8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13">
    <w:name w:val="Plain Table 2"/>
    <w:basedOn w:val="89"/>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14">
    <w:name w:val="Plain Table 3"/>
    <w:basedOn w:val="89"/>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5">
    <w:name w:val="Plain Table 4"/>
    <w:basedOn w:val="89"/>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6">
    <w:name w:val="Plain Table 5"/>
    <w:basedOn w:val="89"/>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7">
    <w:name w:val="Grid Table 1 Light"/>
    <w:basedOn w:val="89"/>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18">
    <w:name w:val="Grid Table 2"/>
    <w:basedOn w:val="8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9">
    <w:name w:val="Grid Table 3"/>
    <w:basedOn w:val="8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0">
    <w:name w:val="Grid Table 4"/>
    <w:basedOn w:val="89"/>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1">
    <w:name w:val="Grid Table 5 Dark"/>
    <w:basedOn w:val="8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2">
    <w:name w:val="Grid Table 6 Colorful"/>
    <w:basedOn w:val="89"/>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7 Colorful"/>
    <w:basedOn w:val="89"/>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4">
    <w:name w:val="List Table 1 Light"/>
    <w:basedOn w:val="89"/>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5">
    <w:name w:val="List Table 2"/>
    <w:basedOn w:val="89"/>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6">
    <w:name w:val="List Table 3"/>
    <w:basedOn w:val="8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4"/>
    <w:basedOn w:val="8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8">
    <w:name w:val="List Table 5 Dark"/>
    <w:basedOn w:val="89"/>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29">
    <w:name w:val="List Table 6 Colorful"/>
    <w:basedOn w:val="89"/>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30">
    <w:name w:val="List Table 7 Colorful"/>
    <w:basedOn w:val="89"/>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131">
    <w:name w:val="Endnote Text Char"/>
    <w:qFormat/>
    <w:uiPriority w:val="99"/>
    <w:rPr>
      <w:sz w:val="20"/>
    </w:rPr>
  </w:style>
  <w:style w:type="paragraph" w:customStyle="1" w:styleId="132">
    <w:name w:val="TOC 标题1"/>
    <w:unhideWhenUsed/>
    <w:qFormat/>
    <w:uiPriority w:val="39"/>
    <w:rPr>
      <w:rFonts w:ascii="Times New Roman" w:hAnsi="Times New Roman" w:eastAsia="宋体" w:cs="Times New Roman"/>
      <w:lang w:val="en-US" w:eastAsia="zh-CN" w:bidi="ar-SA"/>
    </w:rPr>
  </w:style>
  <w:style w:type="character" w:customStyle="1" w:styleId="133">
    <w:name w:val="Heading 1 Char"/>
    <w:basedOn w:val="92"/>
    <w:qFormat/>
    <w:uiPriority w:val="9"/>
    <w:rPr>
      <w:rFonts w:ascii="Arial" w:hAnsi="Arial" w:eastAsia="Arial" w:cs="Arial"/>
      <w:sz w:val="40"/>
      <w:szCs w:val="40"/>
    </w:rPr>
  </w:style>
  <w:style w:type="character" w:customStyle="1" w:styleId="134">
    <w:name w:val="Heading 2 Char"/>
    <w:basedOn w:val="92"/>
    <w:qFormat/>
    <w:uiPriority w:val="9"/>
    <w:rPr>
      <w:rFonts w:ascii="Arial" w:hAnsi="Arial" w:eastAsia="Arial" w:cs="Arial"/>
      <w:sz w:val="34"/>
    </w:rPr>
  </w:style>
  <w:style w:type="character" w:customStyle="1" w:styleId="135">
    <w:name w:val="Heading 3 Char"/>
    <w:basedOn w:val="92"/>
    <w:qFormat/>
    <w:uiPriority w:val="9"/>
    <w:rPr>
      <w:rFonts w:ascii="Arial" w:hAnsi="Arial" w:eastAsia="Arial" w:cs="Arial"/>
      <w:sz w:val="30"/>
      <w:szCs w:val="30"/>
    </w:rPr>
  </w:style>
  <w:style w:type="character" w:customStyle="1" w:styleId="136">
    <w:name w:val="Heading 4 Char"/>
    <w:basedOn w:val="92"/>
    <w:qFormat/>
    <w:uiPriority w:val="9"/>
    <w:rPr>
      <w:rFonts w:ascii="Arial" w:hAnsi="Arial" w:eastAsia="Arial" w:cs="Arial"/>
      <w:b/>
      <w:bCs/>
      <w:sz w:val="26"/>
      <w:szCs w:val="26"/>
    </w:rPr>
  </w:style>
  <w:style w:type="character" w:customStyle="1" w:styleId="137">
    <w:name w:val="Heading 5 Char"/>
    <w:basedOn w:val="92"/>
    <w:qFormat/>
    <w:uiPriority w:val="9"/>
    <w:rPr>
      <w:rFonts w:ascii="Arial" w:hAnsi="Arial" w:eastAsia="Arial" w:cs="Arial"/>
      <w:b/>
      <w:bCs/>
      <w:sz w:val="24"/>
      <w:szCs w:val="24"/>
    </w:rPr>
  </w:style>
  <w:style w:type="character" w:customStyle="1" w:styleId="138">
    <w:name w:val="Heading 6 Char"/>
    <w:basedOn w:val="92"/>
    <w:qFormat/>
    <w:uiPriority w:val="9"/>
    <w:rPr>
      <w:rFonts w:ascii="Arial" w:hAnsi="Arial" w:eastAsia="Arial" w:cs="Arial"/>
      <w:b/>
      <w:bCs/>
      <w:sz w:val="22"/>
      <w:szCs w:val="22"/>
    </w:rPr>
  </w:style>
  <w:style w:type="character" w:customStyle="1" w:styleId="139">
    <w:name w:val="Heading 7 Char"/>
    <w:basedOn w:val="92"/>
    <w:qFormat/>
    <w:uiPriority w:val="9"/>
    <w:rPr>
      <w:rFonts w:ascii="Arial" w:hAnsi="Arial" w:eastAsia="Arial" w:cs="Arial"/>
      <w:b/>
      <w:bCs/>
      <w:i/>
      <w:iCs/>
      <w:sz w:val="22"/>
      <w:szCs w:val="22"/>
    </w:rPr>
  </w:style>
  <w:style w:type="character" w:customStyle="1" w:styleId="140">
    <w:name w:val="Heading 8 Char"/>
    <w:basedOn w:val="92"/>
    <w:qFormat/>
    <w:uiPriority w:val="9"/>
    <w:rPr>
      <w:rFonts w:ascii="Arial" w:hAnsi="Arial" w:eastAsia="Arial" w:cs="Arial"/>
      <w:i/>
      <w:iCs/>
      <w:sz w:val="22"/>
      <w:szCs w:val="22"/>
    </w:rPr>
  </w:style>
  <w:style w:type="character" w:customStyle="1" w:styleId="141">
    <w:name w:val="Heading 9 Char"/>
    <w:basedOn w:val="92"/>
    <w:qFormat/>
    <w:uiPriority w:val="9"/>
    <w:rPr>
      <w:rFonts w:ascii="Arial" w:hAnsi="Arial" w:eastAsia="Arial" w:cs="Arial"/>
      <w:i/>
      <w:iCs/>
      <w:sz w:val="21"/>
      <w:szCs w:val="21"/>
    </w:rPr>
  </w:style>
  <w:style w:type="paragraph" w:styleId="142">
    <w:name w:val="No Spacing"/>
    <w:qFormat/>
    <w:uiPriority w:val="1"/>
    <w:rPr>
      <w:rFonts w:ascii="Times New Roman" w:hAnsi="Times New Roman" w:eastAsia="宋体" w:cs="Times New Roman"/>
      <w:lang w:val="en-US" w:eastAsia="zh-CN" w:bidi="ar-SA"/>
    </w:rPr>
  </w:style>
  <w:style w:type="character" w:customStyle="1" w:styleId="143">
    <w:name w:val="标题 Char"/>
    <w:basedOn w:val="92"/>
    <w:link w:val="85"/>
    <w:qFormat/>
    <w:uiPriority w:val="10"/>
    <w:rPr>
      <w:sz w:val="48"/>
      <w:szCs w:val="48"/>
    </w:rPr>
  </w:style>
  <w:style w:type="character" w:customStyle="1" w:styleId="144">
    <w:name w:val="副标题 Char"/>
    <w:basedOn w:val="92"/>
    <w:link w:val="65"/>
    <w:qFormat/>
    <w:uiPriority w:val="11"/>
    <w:rPr>
      <w:sz w:val="24"/>
      <w:szCs w:val="24"/>
    </w:rPr>
  </w:style>
  <w:style w:type="paragraph" w:styleId="145">
    <w:name w:val="Quote"/>
    <w:basedOn w:val="1"/>
    <w:next w:val="1"/>
    <w:link w:val="146"/>
    <w:qFormat/>
    <w:uiPriority w:val="29"/>
    <w:pPr>
      <w:ind w:left="720" w:right="720"/>
    </w:pPr>
    <w:rPr>
      <w:i/>
    </w:rPr>
  </w:style>
  <w:style w:type="character" w:customStyle="1" w:styleId="146">
    <w:name w:val="引用 Char"/>
    <w:link w:val="145"/>
    <w:qFormat/>
    <w:uiPriority w:val="29"/>
    <w:rPr>
      <w:i/>
    </w:rPr>
  </w:style>
  <w:style w:type="paragraph" w:styleId="147">
    <w:name w:val="Intense Quote"/>
    <w:basedOn w:val="1"/>
    <w:next w:val="1"/>
    <w:link w:val="14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48">
    <w:name w:val="明显引用 Char"/>
    <w:link w:val="147"/>
    <w:qFormat/>
    <w:uiPriority w:val="30"/>
    <w:rPr>
      <w:i/>
    </w:rPr>
  </w:style>
  <w:style w:type="character" w:customStyle="1" w:styleId="149">
    <w:name w:val="Caption Char"/>
    <w:qFormat/>
    <w:uiPriority w:val="99"/>
  </w:style>
  <w:style w:type="table" w:customStyle="1" w:styleId="150">
    <w:name w:val="Table Grid Light"/>
    <w:basedOn w:val="8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51">
    <w:name w:val="无格式表格 11"/>
    <w:basedOn w:val="8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52">
    <w:name w:val="无格式表格 21"/>
    <w:basedOn w:val="89"/>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53">
    <w:name w:val="无格式表格 31"/>
    <w:basedOn w:val="89"/>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54">
    <w:name w:val="无格式表格 41"/>
    <w:basedOn w:val="89"/>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55">
    <w:name w:val="无格式表格 51"/>
    <w:basedOn w:val="89"/>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56">
    <w:name w:val="网格表 1 浅色1"/>
    <w:basedOn w:val="89"/>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57">
    <w:name w:val="Grid Table 1 Light - Accent 1"/>
    <w:basedOn w:val="89"/>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58">
    <w:name w:val="Grid Table 1 Light - Accent 2"/>
    <w:basedOn w:val="8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59">
    <w:name w:val="Grid Table 1 Light - Accent 3"/>
    <w:basedOn w:val="8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60">
    <w:name w:val="Grid Table 1 Light - Accent 4"/>
    <w:basedOn w:val="8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61">
    <w:name w:val="Grid Table 1 Light - Accent 5"/>
    <w:basedOn w:val="8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62">
    <w:name w:val="Grid Table 1 Light - Accent 6"/>
    <w:basedOn w:val="8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63">
    <w:name w:val="网格表 21"/>
    <w:basedOn w:val="8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64">
    <w:name w:val="Grid Table 2 - Accent 1"/>
    <w:basedOn w:val="8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65">
    <w:name w:val="Grid Table 2 - Accent 2"/>
    <w:basedOn w:val="8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66">
    <w:name w:val="Grid Table 2 - Accent 3"/>
    <w:basedOn w:val="8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67">
    <w:name w:val="Grid Table 2 - Accent 4"/>
    <w:basedOn w:val="8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68">
    <w:name w:val="Grid Table 2 - Accent 5"/>
    <w:basedOn w:val="89"/>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69">
    <w:name w:val="Grid Table 2 - Accent 6"/>
    <w:basedOn w:val="89"/>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70">
    <w:name w:val="网格表 31"/>
    <w:basedOn w:val="8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71">
    <w:name w:val="Grid Table 3 - Accent 1"/>
    <w:basedOn w:val="8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72">
    <w:name w:val="Grid Table 3 - Accent 2"/>
    <w:basedOn w:val="8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73">
    <w:name w:val="Grid Table 3 - Accent 3"/>
    <w:basedOn w:val="8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74">
    <w:name w:val="Grid Table 3 - Accent 4"/>
    <w:basedOn w:val="8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75">
    <w:name w:val="Grid Table 3 - Accent 5"/>
    <w:basedOn w:val="89"/>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76">
    <w:name w:val="Grid Table 3 - Accent 6"/>
    <w:basedOn w:val="89"/>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77">
    <w:name w:val="网格表 41"/>
    <w:basedOn w:val="89"/>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78">
    <w:name w:val="Grid Table 4 - Accent 1"/>
    <w:basedOn w:val="89"/>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79">
    <w:name w:val="Grid Table 4 - Accent 2"/>
    <w:basedOn w:val="89"/>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80">
    <w:name w:val="Grid Table 4 - Accent 3"/>
    <w:basedOn w:val="89"/>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81">
    <w:name w:val="Grid Table 4 - Accent 4"/>
    <w:basedOn w:val="89"/>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82">
    <w:name w:val="Grid Table 4 - Accent 5"/>
    <w:basedOn w:val="89"/>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83">
    <w:name w:val="Grid Table 4 - Accent 6"/>
    <w:basedOn w:val="89"/>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84">
    <w:name w:val="网格表 5 深色1"/>
    <w:basedOn w:val="8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85">
    <w:name w:val="Grid Table 5 Dark- Accent 1"/>
    <w:basedOn w:val="8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86">
    <w:name w:val="Grid Table 5 Dark - Accent 2"/>
    <w:basedOn w:val="8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87">
    <w:name w:val="Grid Table 5 Dark - Accent 3"/>
    <w:basedOn w:val="8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88">
    <w:name w:val="Grid Table 5 Dark- Accent 4"/>
    <w:basedOn w:val="8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89">
    <w:name w:val="Grid Table 5 Dark - Accent 5"/>
    <w:basedOn w:val="8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90">
    <w:name w:val="Grid Table 5 Dark - Accent 6"/>
    <w:basedOn w:val="8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91">
    <w:name w:val="网格表 6 彩色1"/>
    <w:basedOn w:val="89"/>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2">
    <w:name w:val="Grid Table 6 Colorful - Accent 1"/>
    <w:basedOn w:val="89"/>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93">
    <w:name w:val="Grid Table 6 Colorful - Accent 2"/>
    <w:basedOn w:val="8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4">
    <w:name w:val="Grid Table 6 Colorful - Accent 3"/>
    <w:basedOn w:val="89"/>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95">
    <w:name w:val="Grid Table 6 Colorful - Accent 4"/>
    <w:basedOn w:val="8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6">
    <w:name w:val="Grid Table 6 Colorful - Accent 5"/>
    <w:basedOn w:val="89"/>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97">
    <w:name w:val="Grid Table 6 Colorful - Accent 6"/>
    <w:basedOn w:val="89"/>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98">
    <w:name w:val="网格表 7 彩色1"/>
    <w:basedOn w:val="89"/>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9">
    <w:name w:val="Grid Table 7 Colorful - Accent 1"/>
    <w:basedOn w:val="89"/>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200">
    <w:name w:val="Grid Table 7 Colorful - Accent 2"/>
    <w:basedOn w:val="89"/>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01">
    <w:name w:val="Grid Table 7 Colorful - Accent 3"/>
    <w:basedOn w:val="89"/>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202">
    <w:name w:val="Grid Table 7 Colorful - Accent 4"/>
    <w:basedOn w:val="89"/>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03">
    <w:name w:val="Grid Table 7 Colorful - Accent 5"/>
    <w:basedOn w:val="89"/>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204">
    <w:name w:val="Grid Table 7 Colorful - Accent 6"/>
    <w:basedOn w:val="89"/>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205">
    <w:name w:val="清单表 1 浅色1"/>
    <w:basedOn w:val="89"/>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206">
    <w:name w:val="List Table 1 Light - Accent 1"/>
    <w:basedOn w:val="89"/>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207">
    <w:name w:val="List Table 1 Light - Accent 2"/>
    <w:basedOn w:val="89"/>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208">
    <w:name w:val="List Table 1 Light - Accent 3"/>
    <w:basedOn w:val="89"/>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209">
    <w:name w:val="List Table 1 Light - Accent 4"/>
    <w:basedOn w:val="89"/>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210">
    <w:name w:val="List Table 1 Light - Accent 5"/>
    <w:basedOn w:val="89"/>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211">
    <w:name w:val="List Table 1 Light - Accent 6"/>
    <w:basedOn w:val="89"/>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212">
    <w:name w:val="清单表 21"/>
    <w:basedOn w:val="89"/>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13">
    <w:name w:val="List Table 2 - Accent 1"/>
    <w:basedOn w:val="89"/>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214">
    <w:name w:val="List Table 2 - Accent 2"/>
    <w:basedOn w:val="89"/>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215">
    <w:name w:val="List Table 2 - Accent 3"/>
    <w:basedOn w:val="89"/>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216">
    <w:name w:val="List Table 2 - Accent 4"/>
    <w:basedOn w:val="89"/>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217">
    <w:name w:val="List Table 2 - Accent 5"/>
    <w:basedOn w:val="89"/>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218">
    <w:name w:val="List Table 2 - Accent 6"/>
    <w:basedOn w:val="89"/>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219">
    <w:name w:val="清单表 31"/>
    <w:basedOn w:val="8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220">
    <w:name w:val="List Table 3 - Accent 1"/>
    <w:basedOn w:val="89"/>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221">
    <w:name w:val="List Table 3 - Accent 2"/>
    <w:basedOn w:val="8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222">
    <w:name w:val="List Table 3 - Accent 3"/>
    <w:basedOn w:val="89"/>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223">
    <w:name w:val="List Table 3 - Accent 4"/>
    <w:basedOn w:val="8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224">
    <w:name w:val="List Table 3 - Accent 5"/>
    <w:basedOn w:val="89"/>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225">
    <w:name w:val="List Table 3 - Accent 6"/>
    <w:basedOn w:val="89"/>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226">
    <w:name w:val="清单表 41"/>
    <w:basedOn w:val="8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27">
    <w:name w:val="List Table 4 - Accent 1"/>
    <w:basedOn w:val="89"/>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228">
    <w:name w:val="List Table 4 - Accent 2"/>
    <w:basedOn w:val="89"/>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229">
    <w:name w:val="List Table 4 - Accent 3"/>
    <w:basedOn w:val="89"/>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230">
    <w:name w:val="List Table 4 - Accent 4"/>
    <w:basedOn w:val="89"/>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231">
    <w:name w:val="List Table 4 - Accent 5"/>
    <w:basedOn w:val="89"/>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232">
    <w:name w:val="List Table 4 - Accent 6"/>
    <w:basedOn w:val="89"/>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233">
    <w:name w:val="清单表 5 深色1"/>
    <w:basedOn w:val="89"/>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234">
    <w:name w:val="List Table 5 Dark - Accent 1"/>
    <w:basedOn w:val="89"/>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235">
    <w:name w:val="List Table 5 Dark - Accent 2"/>
    <w:basedOn w:val="89"/>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236">
    <w:name w:val="List Table 5 Dark - Accent 3"/>
    <w:basedOn w:val="89"/>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237">
    <w:name w:val="List Table 5 Dark - Accent 4"/>
    <w:basedOn w:val="89"/>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238">
    <w:name w:val="List Table 5 Dark - Accent 5"/>
    <w:basedOn w:val="89"/>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239">
    <w:name w:val="List Table 5 Dark - Accent 6"/>
    <w:basedOn w:val="89"/>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240">
    <w:name w:val="清单表 6 彩色1"/>
    <w:basedOn w:val="89"/>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241">
    <w:name w:val="List Table 6 Colorful - Accent 1"/>
    <w:basedOn w:val="89"/>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42">
    <w:name w:val="List Table 6 Colorful - Accent 2"/>
    <w:basedOn w:val="89"/>
    <w:qFormat/>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43">
    <w:name w:val="List Table 6 Colorful - Accent 3"/>
    <w:basedOn w:val="89"/>
    <w:qFormat/>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44">
    <w:name w:val="List Table 6 Colorful - Accent 4"/>
    <w:basedOn w:val="89"/>
    <w:qFormat/>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45">
    <w:name w:val="List Table 6 Colorful - Accent 5"/>
    <w:basedOn w:val="89"/>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46">
    <w:name w:val="List Table 6 Colorful - Accent 6"/>
    <w:basedOn w:val="89"/>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47">
    <w:name w:val="清单表 7 彩色1"/>
    <w:basedOn w:val="89"/>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48">
    <w:name w:val="List Table 7 Colorful - Accent 1"/>
    <w:basedOn w:val="89"/>
    <w:qFormat/>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49">
    <w:name w:val="List Table 7 Colorful - Accent 2"/>
    <w:basedOn w:val="89"/>
    <w:qFormat/>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50">
    <w:name w:val="List Table 7 Colorful - Accent 3"/>
    <w:basedOn w:val="89"/>
    <w:qFormat/>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51">
    <w:name w:val="List Table 7 Colorful - Accent 4"/>
    <w:basedOn w:val="89"/>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52">
    <w:name w:val="List Table 7 Colorful - Accent 5"/>
    <w:basedOn w:val="89"/>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53">
    <w:name w:val="List Table 7 Colorful - Accent 6"/>
    <w:basedOn w:val="89"/>
    <w:qFormat/>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54">
    <w:name w:val="Lined - Accent"/>
    <w:basedOn w:val="8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55">
    <w:name w:val="Lined - Accent 1"/>
    <w:basedOn w:val="8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56">
    <w:name w:val="Lined - Accent 2"/>
    <w:basedOn w:val="8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57">
    <w:name w:val="Lined - Accent 3"/>
    <w:basedOn w:val="8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58">
    <w:name w:val="Lined - Accent 4"/>
    <w:basedOn w:val="8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59">
    <w:name w:val="Lined - Accent 5"/>
    <w:basedOn w:val="8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60">
    <w:name w:val="Lined - Accent 6"/>
    <w:basedOn w:val="8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61">
    <w:name w:val="Bordered &amp; Lined - Accent"/>
    <w:basedOn w:val="89"/>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62">
    <w:name w:val="Bordered &amp; Lined - Accent 1"/>
    <w:basedOn w:val="89"/>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63">
    <w:name w:val="Bordered &amp; Lined - Accent 2"/>
    <w:basedOn w:val="89"/>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64">
    <w:name w:val="Bordered &amp; Lined - Accent 3"/>
    <w:basedOn w:val="89"/>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65">
    <w:name w:val="Bordered &amp; Lined - Accent 4"/>
    <w:basedOn w:val="89"/>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66">
    <w:name w:val="Bordered &amp; Lined - Accent 5"/>
    <w:basedOn w:val="89"/>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67">
    <w:name w:val="Bordered &amp; Lined - Accent 6"/>
    <w:basedOn w:val="89"/>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68">
    <w:name w:val="Bordered"/>
    <w:basedOn w:val="89"/>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69">
    <w:name w:val="Bordered - Accent 1"/>
    <w:basedOn w:val="89"/>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70">
    <w:name w:val="Bordered - Accent 2"/>
    <w:basedOn w:val="8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71">
    <w:name w:val="Bordered - Accent 3"/>
    <w:basedOn w:val="8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72">
    <w:name w:val="Bordered - Accent 4"/>
    <w:basedOn w:val="8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73">
    <w:name w:val="Bordered - Accent 5"/>
    <w:basedOn w:val="8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74">
    <w:name w:val="Bordered - Accent 6"/>
    <w:basedOn w:val="8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75">
    <w:name w:val="Footnote Text Char"/>
    <w:qFormat/>
    <w:uiPriority w:val="99"/>
    <w:rPr>
      <w:sz w:val="18"/>
    </w:rPr>
  </w:style>
  <w:style w:type="character" w:customStyle="1" w:styleId="276">
    <w:name w:val="尾注文本 Char"/>
    <w:link w:val="53"/>
    <w:qFormat/>
    <w:uiPriority w:val="99"/>
    <w:rPr>
      <w:sz w:val="20"/>
    </w:rPr>
  </w:style>
  <w:style w:type="paragraph" w:customStyle="1" w:styleId="277">
    <w:name w:val="TOC 标题11"/>
    <w:unhideWhenUsed/>
    <w:qFormat/>
    <w:uiPriority w:val="39"/>
    <w:rPr>
      <w:rFonts w:ascii="Times New Roman" w:hAnsi="Times New Roman" w:eastAsia="宋体" w:cs="Times New Roman"/>
      <w:lang w:val="en-US" w:eastAsia="zh-CN" w:bidi="ar-SA"/>
    </w:rPr>
  </w:style>
  <w:style w:type="character" w:customStyle="1" w:styleId="278">
    <w:name w:val="标题 1 Char1"/>
    <w:link w:val="4"/>
    <w:qFormat/>
    <w:uiPriority w:val="99"/>
    <w:rPr>
      <w:rFonts w:eastAsia="楷体_GB2312"/>
      <w:b/>
      <w:bCs/>
      <w:sz w:val="20"/>
      <w:szCs w:val="20"/>
    </w:rPr>
  </w:style>
  <w:style w:type="character" w:customStyle="1" w:styleId="279">
    <w:name w:val="标题 2 Char1"/>
    <w:link w:val="5"/>
    <w:qFormat/>
    <w:uiPriority w:val="0"/>
    <w:rPr>
      <w:rFonts w:ascii="宋体" w:hAnsi="宋体" w:eastAsia="楷体_GB2312" w:cs="宋体"/>
      <w:b/>
      <w:bCs/>
      <w:sz w:val="20"/>
      <w:szCs w:val="20"/>
    </w:rPr>
  </w:style>
  <w:style w:type="character" w:customStyle="1" w:styleId="280">
    <w:name w:val="标题 3 Char1"/>
    <w:link w:val="6"/>
    <w:qFormat/>
    <w:uiPriority w:val="99"/>
    <w:rPr>
      <w:rFonts w:eastAsia="楷体_GB2312"/>
      <w:b/>
      <w:bCs/>
      <w:sz w:val="20"/>
      <w:szCs w:val="20"/>
    </w:rPr>
  </w:style>
  <w:style w:type="character" w:customStyle="1" w:styleId="281">
    <w:name w:val="标题 4 Char1"/>
    <w:link w:val="7"/>
    <w:qFormat/>
    <w:uiPriority w:val="9"/>
    <w:rPr>
      <w:rFonts w:ascii="Cambria" w:hAnsi="Cambria" w:eastAsia="宋体" w:cs="Cambria"/>
      <w:b/>
      <w:bCs/>
      <w:sz w:val="28"/>
      <w:szCs w:val="28"/>
    </w:rPr>
  </w:style>
  <w:style w:type="character" w:customStyle="1" w:styleId="282">
    <w:name w:val="标题 5 Char1"/>
    <w:link w:val="8"/>
    <w:qFormat/>
    <w:uiPriority w:val="99"/>
    <w:rPr>
      <w:rFonts w:ascii="宋体" w:eastAsia="宋体" w:cs="宋体"/>
      <w:b/>
      <w:bCs/>
      <w:spacing w:val="-2"/>
      <w:position w:val="-6"/>
      <w:sz w:val="20"/>
      <w:szCs w:val="20"/>
    </w:rPr>
  </w:style>
  <w:style w:type="character" w:customStyle="1" w:styleId="283">
    <w:name w:val="标题 6 Char1"/>
    <w:link w:val="10"/>
    <w:qFormat/>
    <w:uiPriority w:val="99"/>
    <w:rPr>
      <w:rFonts w:ascii="Arial" w:hAnsi="Arial" w:eastAsia="黑体" w:cs="Arial"/>
      <w:b/>
      <w:bCs/>
      <w:spacing w:val="-2"/>
      <w:position w:val="-6"/>
      <w:sz w:val="20"/>
      <w:szCs w:val="20"/>
    </w:rPr>
  </w:style>
  <w:style w:type="character" w:customStyle="1" w:styleId="284">
    <w:name w:val="标题 7 Char1"/>
    <w:link w:val="11"/>
    <w:qFormat/>
    <w:uiPriority w:val="99"/>
    <w:rPr>
      <w:rFonts w:ascii="宋体" w:eastAsia="宋体" w:cs="宋体"/>
      <w:b/>
      <w:bCs/>
      <w:spacing w:val="-2"/>
      <w:position w:val="-6"/>
      <w:sz w:val="20"/>
      <w:szCs w:val="20"/>
    </w:rPr>
  </w:style>
  <w:style w:type="character" w:customStyle="1" w:styleId="285">
    <w:name w:val="标题 8 Char1"/>
    <w:link w:val="12"/>
    <w:qFormat/>
    <w:uiPriority w:val="99"/>
    <w:rPr>
      <w:rFonts w:ascii="Arial" w:hAnsi="Arial" w:eastAsia="黑体" w:cs="Arial"/>
      <w:spacing w:val="-2"/>
      <w:position w:val="-6"/>
      <w:sz w:val="20"/>
      <w:szCs w:val="20"/>
    </w:rPr>
  </w:style>
  <w:style w:type="character" w:customStyle="1" w:styleId="286">
    <w:name w:val="标题 9 Char1"/>
    <w:link w:val="13"/>
    <w:qFormat/>
    <w:uiPriority w:val="99"/>
    <w:rPr>
      <w:rFonts w:ascii="Arial" w:hAnsi="Arial" w:eastAsia="黑体" w:cs="Arial"/>
      <w:spacing w:val="-2"/>
      <w:position w:val="-6"/>
      <w:sz w:val="20"/>
      <w:szCs w:val="20"/>
    </w:rPr>
  </w:style>
  <w:style w:type="character" w:customStyle="1" w:styleId="287">
    <w:name w:val="grid"/>
    <w:basedOn w:val="92"/>
    <w:qFormat/>
    <w:uiPriority w:val="0"/>
  </w:style>
  <w:style w:type="character" w:customStyle="1" w:styleId="288">
    <w:name w:val="Body Text Indent Char"/>
    <w:qFormat/>
    <w:uiPriority w:val="99"/>
    <w:rPr>
      <w:rFonts w:ascii="方正仿宋简体" w:hAnsi="创艺简仿宋" w:eastAsia="方正仿宋简体" w:cs="方正仿宋简体"/>
    </w:rPr>
  </w:style>
  <w:style w:type="character" w:customStyle="1" w:styleId="289">
    <w:name w:val="hilite"/>
    <w:qFormat/>
    <w:uiPriority w:val="0"/>
    <w:rPr>
      <w:color w:val="FFFFFF"/>
      <w:shd w:val="clear" w:color="auto" w:fill="auto"/>
    </w:rPr>
  </w:style>
  <w:style w:type="character" w:customStyle="1" w:styleId="290">
    <w:name w:val="bds_nopic"/>
    <w:basedOn w:val="92"/>
    <w:qFormat/>
    <w:uiPriority w:val="0"/>
  </w:style>
  <w:style w:type="character" w:customStyle="1" w:styleId="291">
    <w:name w:val="Header Char"/>
    <w:qFormat/>
    <w:uiPriority w:val="99"/>
    <w:rPr>
      <w:rFonts w:eastAsia="楷体_GB2312"/>
      <w:sz w:val="18"/>
      <w:szCs w:val="18"/>
    </w:rPr>
  </w:style>
  <w:style w:type="character" w:customStyle="1" w:styleId="292">
    <w:name w:val="正文缩进 Char1"/>
    <w:link w:val="9"/>
    <w:qFormat/>
    <w:uiPriority w:val="0"/>
    <w:rPr>
      <w:rFonts w:eastAsia="楷体_GB2312"/>
    </w:rPr>
  </w:style>
  <w:style w:type="character" w:customStyle="1" w:styleId="293">
    <w:name w:val="Plain Text Char"/>
    <w:qFormat/>
    <w:uiPriority w:val="99"/>
    <w:rPr>
      <w:rFonts w:ascii="宋体" w:hAnsi="Courier New" w:eastAsia="楷体_GB2312" w:cs="宋体"/>
      <w:sz w:val="26"/>
      <w:szCs w:val="26"/>
    </w:rPr>
  </w:style>
  <w:style w:type="character" w:customStyle="1" w:styleId="294">
    <w:name w:val="bds_more4"/>
    <w:qFormat/>
    <w:uiPriority w:val="0"/>
    <w:rPr>
      <w:rFonts w:ascii="宋体" w:hAnsi="宋体" w:eastAsia="宋体" w:cs="宋体"/>
    </w:rPr>
  </w:style>
  <w:style w:type="character" w:customStyle="1" w:styleId="295">
    <w:name w:val="Footer Char"/>
    <w:qFormat/>
    <w:uiPriority w:val="99"/>
    <w:rPr>
      <w:rFonts w:eastAsia="楷体_GB2312"/>
      <w:sz w:val="18"/>
      <w:szCs w:val="18"/>
    </w:rPr>
  </w:style>
  <w:style w:type="character" w:customStyle="1" w:styleId="296">
    <w:name w:val="active"/>
    <w:qFormat/>
    <w:uiPriority w:val="0"/>
    <w:rPr>
      <w:color w:val="00FF00"/>
      <w:shd w:val="clear" w:color="auto" w:fill="000000"/>
    </w:rPr>
  </w:style>
  <w:style w:type="character" w:customStyle="1" w:styleId="297">
    <w:name w:val="other"/>
    <w:basedOn w:val="92"/>
    <w:qFormat/>
    <w:uiPriority w:val="0"/>
  </w:style>
  <w:style w:type="character" w:customStyle="1" w:styleId="298">
    <w:name w:val="grid2"/>
    <w:basedOn w:val="92"/>
    <w:qFormat/>
    <w:uiPriority w:val="0"/>
  </w:style>
  <w:style w:type="character" w:customStyle="1" w:styleId="299">
    <w:name w:val="active8"/>
    <w:qFormat/>
    <w:uiPriority w:val="0"/>
    <w:rPr>
      <w:color w:val="00FF00"/>
      <w:shd w:val="clear" w:color="auto" w:fill="000000"/>
    </w:rPr>
  </w:style>
  <w:style w:type="character" w:customStyle="1" w:styleId="300">
    <w:name w:val="hilite6"/>
    <w:qFormat/>
    <w:uiPriority w:val="0"/>
    <w:rPr>
      <w:color w:val="FFFFFF"/>
      <w:shd w:val="clear" w:color="auto" w:fill="auto"/>
    </w:rPr>
  </w:style>
  <w:style w:type="character" w:customStyle="1" w:styleId="301">
    <w:name w:val="bds_more6"/>
    <w:basedOn w:val="92"/>
    <w:qFormat/>
    <w:uiPriority w:val="0"/>
  </w:style>
  <w:style w:type="character" w:customStyle="1" w:styleId="302">
    <w:name w:val="bds_more8"/>
    <w:qFormat/>
    <w:uiPriority w:val="0"/>
    <w:rPr>
      <w:rFonts w:ascii="宋体" w:hAnsi="宋体" w:eastAsia="宋体" w:cs="宋体"/>
    </w:rPr>
  </w:style>
  <w:style w:type="character" w:customStyle="1" w:styleId="303">
    <w:name w:val="noused"/>
    <w:qFormat/>
    <w:uiPriority w:val="0"/>
    <w:rPr>
      <w:b/>
      <w:bCs/>
      <w:color w:val="FFFFFF"/>
      <w:sz w:val="21"/>
      <w:szCs w:val="21"/>
    </w:rPr>
  </w:style>
  <w:style w:type="character" w:customStyle="1" w:styleId="304">
    <w:name w:val="bds_nopic1"/>
    <w:basedOn w:val="92"/>
    <w:qFormat/>
    <w:uiPriority w:val="0"/>
  </w:style>
  <w:style w:type="character" w:customStyle="1" w:styleId="305">
    <w:name w:val="bds_more7"/>
    <w:basedOn w:val="92"/>
    <w:qFormat/>
    <w:uiPriority w:val="0"/>
  </w:style>
  <w:style w:type="character" w:customStyle="1" w:styleId="306">
    <w:name w:val="bds_more5"/>
    <w:basedOn w:val="92"/>
    <w:qFormat/>
    <w:uiPriority w:val="0"/>
  </w:style>
  <w:style w:type="character" w:customStyle="1" w:styleId="307">
    <w:name w:val="bds_nopic2"/>
    <w:basedOn w:val="92"/>
    <w:qFormat/>
    <w:uiPriority w:val="0"/>
  </w:style>
  <w:style w:type="character" w:customStyle="1" w:styleId="308">
    <w:name w:val="Char Char2"/>
    <w:qFormat/>
    <w:uiPriority w:val="99"/>
    <w:rPr>
      <w:rFonts w:ascii="宋体" w:hAnsi="宋体" w:eastAsia="楷体_GB2312" w:cs="宋体"/>
      <w:b/>
      <w:bCs/>
      <w:sz w:val="26"/>
      <w:szCs w:val="26"/>
      <w:lang w:val="en-US" w:eastAsia="zh-CN"/>
    </w:rPr>
  </w:style>
  <w:style w:type="character" w:customStyle="1" w:styleId="309">
    <w:name w:val="hover61"/>
    <w:qFormat/>
    <w:uiPriority w:val="0"/>
    <w:rPr>
      <w:shd w:val="clear" w:color="auto" w:fill="FF0000"/>
    </w:rPr>
  </w:style>
  <w:style w:type="character" w:customStyle="1" w:styleId="310">
    <w:name w:val="state"/>
    <w:qFormat/>
    <w:uiPriority w:val="0"/>
    <w:rPr>
      <w:b/>
      <w:bCs/>
      <w:color w:val="FFFFFF"/>
      <w:sz w:val="19"/>
      <w:szCs w:val="19"/>
    </w:rPr>
  </w:style>
  <w:style w:type="character" w:customStyle="1" w:styleId="311">
    <w:name w:val="页脚 Char1"/>
    <w:link w:val="56"/>
    <w:qFormat/>
    <w:uiPriority w:val="0"/>
    <w:rPr>
      <w:sz w:val="18"/>
      <w:szCs w:val="18"/>
    </w:rPr>
  </w:style>
  <w:style w:type="character" w:customStyle="1" w:styleId="312">
    <w:name w:val="页脚 字符1"/>
    <w:semiHidden/>
    <w:qFormat/>
    <w:uiPriority w:val="99"/>
    <w:rPr>
      <w:sz w:val="18"/>
      <w:szCs w:val="18"/>
    </w:rPr>
  </w:style>
  <w:style w:type="paragraph" w:customStyle="1" w:styleId="313">
    <w:name w:val="Char"/>
    <w:basedOn w:val="1"/>
    <w:qFormat/>
    <w:uiPriority w:val="0"/>
    <w:rPr>
      <w:rFonts w:ascii="Tahoma" w:hAnsi="Tahoma" w:eastAsia="宋体" w:cs="Tahoma"/>
    </w:rPr>
  </w:style>
  <w:style w:type="character" w:customStyle="1" w:styleId="314">
    <w:name w:val="页眉 Char1"/>
    <w:link w:val="58"/>
    <w:qFormat/>
    <w:uiPriority w:val="0"/>
    <w:rPr>
      <w:sz w:val="18"/>
      <w:szCs w:val="18"/>
    </w:rPr>
  </w:style>
  <w:style w:type="character" w:customStyle="1" w:styleId="315">
    <w:name w:val="页眉 字符1"/>
    <w:semiHidden/>
    <w:qFormat/>
    <w:uiPriority w:val="99"/>
    <w:rPr>
      <w:sz w:val="18"/>
      <w:szCs w:val="18"/>
    </w:rPr>
  </w:style>
  <w:style w:type="paragraph" w:customStyle="1" w:styleId="316">
    <w:name w:val="Char Char1 Char Char Char Char"/>
    <w:basedOn w:val="27"/>
    <w:qFormat/>
    <w:uiPriority w:val="99"/>
    <w:pPr>
      <w:spacing w:line="360" w:lineRule="auto"/>
    </w:pPr>
    <w:rPr>
      <w:rFonts w:ascii="Tahoma" w:hAnsi="Tahoma" w:eastAsia="宋体" w:cs="Tahoma"/>
      <w:sz w:val="24"/>
      <w:szCs w:val="24"/>
    </w:rPr>
  </w:style>
  <w:style w:type="paragraph" w:customStyle="1" w:styleId="317">
    <w:name w:val="图"/>
    <w:basedOn w:val="1"/>
    <w:qFormat/>
    <w:uiPriority w:val="0"/>
    <w:pPr>
      <w:keepNext/>
      <w:spacing w:before="60" w:after="60" w:line="300" w:lineRule="auto"/>
      <w:jc w:val="center"/>
    </w:pPr>
    <w:rPr>
      <w:rFonts w:eastAsia="宋体"/>
      <w:spacing w:val="20"/>
    </w:rPr>
  </w:style>
  <w:style w:type="character" w:customStyle="1" w:styleId="318">
    <w:name w:val="正文文本缩进 3 Char1"/>
    <w:link w:val="71"/>
    <w:qFormat/>
    <w:uiPriority w:val="99"/>
    <w:rPr>
      <w:rFonts w:eastAsia="宋体"/>
    </w:rPr>
  </w:style>
  <w:style w:type="paragraph" w:customStyle="1" w:styleId="319">
    <w:name w:val="p15"/>
    <w:basedOn w:val="1"/>
    <w:qFormat/>
    <w:uiPriority w:val="0"/>
    <w:pPr>
      <w:widowControl/>
      <w:spacing w:before="100" w:beforeAutospacing="1" w:after="100" w:afterAutospacing="1"/>
      <w:jc w:val="left"/>
    </w:pPr>
    <w:rPr>
      <w:rFonts w:ascii="宋体" w:hAnsi="宋体" w:eastAsia="楷体_GB2312" w:cs="宋体"/>
    </w:rPr>
  </w:style>
  <w:style w:type="character" w:customStyle="1" w:styleId="320">
    <w:name w:val="批注框文本 Char1"/>
    <w:link w:val="55"/>
    <w:semiHidden/>
    <w:qFormat/>
    <w:uiPriority w:val="99"/>
    <w:rPr>
      <w:rFonts w:eastAsia="楷体_GB2312"/>
      <w:sz w:val="18"/>
      <w:szCs w:val="18"/>
    </w:rPr>
  </w:style>
  <w:style w:type="character" w:customStyle="1" w:styleId="321">
    <w:name w:val="批注文字 Char1"/>
    <w:basedOn w:val="92"/>
    <w:link w:val="29"/>
    <w:semiHidden/>
    <w:qFormat/>
    <w:uiPriority w:val="99"/>
  </w:style>
  <w:style w:type="character" w:customStyle="1" w:styleId="322">
    <w:name w:val="批注主题 Char"/>
    <w:link w:val="86"/>
    <w:semiHidden/>
    <w:qFormat/>
    <w:uiPriority w:val="99"/>
    <w:rPr>
      <w:rFonts w:eastAsia="楷体_GB2312"/>
      <w:b/>
      <w:bCs/>
      <w:sz w:val="20"/>
      <w:szCs w:val="20"/>
    </w:rPr>
  </w:style>
  <w:style w:type="character" w:customStyle="1" w:styleId="323">
    <w:name w:val="HTML 预设格式 Char1"/>
    <w:link w:val="81"/>
    <w:qFormat/>
    <w:uiPriority w:val="99"/>
    <w:rPr>
      <w:rFonts w:ascii="黑体" w:hAnsi="Courier New" w:eastAsia="黑体" w:cs="黑体"/>
      <w:sz w:val="20"/>
      <w:szCs w:val="20"/>
    </w:rPr>
  </w:style>
  <w:style w:type="character" w:customStyle="1" w:styleId="324">
    <w:name w:val="正文文本 Char1"/>
    <w:link w:val="35"/>
    <w:qFormat/>
    <w:uiPriority w:val="99"/>
    <w:rPr>
      <w:rFonts w:ascii="楷体_GB2312" w:eastAsia="楷体_GB2312" w:cs="楷体_GB2312"/>
      <w:sz w:val="20"/>
      <w:szCs w:val="20"/>
    </w:rPr>
  </w:style>
  <w:style w:type="character" w:customStyle="1" w:styleId="325">
    <w:name w:val="日期 Char1"/>
    <w:link w:val="51"/>
    <w:qFormat/>
    <w:uiPriority w:val="99"/>
    <w:rPr>
      <w:rFonts w:ascii="宋体" w:hAnsi="宋体" w:eastAsia="楷体_GB2312" w:cs="宋体"/>
      <w:sz w:val="20"/>
      <w:szCs w:val="20"/>
    </w:rPr>
  </w:style>
  <w:style w:type="character" w:customStyle="1" w:styleId="326">
    <w:name w:val="文档结构图 Char1"/>
    <w:link w:val="27"/>
    <w:semiHidden/>
    <w:qFormat/>
    <w:uiPriority w:val="99"/>
    <w:rPr>
      <w:rFonts w:eastAsia="楷体_GB2312"/>
      <w:sz w:val="20"/>
      <w:szCs w:val="20"/>
      <w:shd w:val="clear" w:color="auto" w:fill="000080"/>
    </w:rPr>
  </w:style>
  <w:style w:type="paragraph" w:customStyle="1" w:styleId="327">
    <w:name w:val="Char1"/>
    <w:basedOn w:val="1"/>
    <w:qFormat/>
    <w:uiPriority w:val="99"/>
    <w:pPr>
      <w:widowControl/>
      <w:spacing w:after="160" w:line="240" w:lineRule="exact"/>
      <w:jc w:val="left"/>
    </w:pPr>
    <w:rPr>
      <w:rFonts w:ascii="Verdana" w:hAnsi="Verdana" w:eastAsia="宋体" w:cs="Verdana"/>
      <w:sz w:val="21"/>
      <w:szCs w:val="21"/>
      <w:lang w:eastAsia="en-US"/>
    </w:rPr>
  </w:style>
  <w:style w:type="character" w:customStyle="1" w:styleId="328">
    <w:name w:val="纯文本 Char1"/>
    <w:link w:val="46"/>
    <w:qFormat/>
    <w:uiPriority w:val="0"/>
    <w:rPr>
      <w:rFonts w:ascii="宋体" w:hAnsi="Courier New" w:eastAsia="宋体" w:cs="宋体"/>
      <w:sz w:val="21"/>
      <w:szCs w:val="21"/>
    </w:rPr>
  </w:style>
  <w:style w:type="character" w:customStyle="1" w:styleId="329">
    <w:name w:val="纯文本 字符1"/>
    <w:semiHidden/>
    <w:qFormat/>
    <w:uiPriority w:val="99"/>
    <w:rPr>
      <w:rFonts w:ascii="等线" w:hAnsi="Courier New" w:eastAsia="等线" w:cs="等线"/>
    </w:rPr>
  </w:style>
  <w:style w:type="paragraph" w:styleId="330">
    <w:name w:val="List Paragraph"/>
    <w:basedOn w:val="1"/>
    <w:qFormat/>
    <w:uiPriority w:val="0"/>
    <w:pPr>
      <w:ind w:firstLine="420"/>
    </w:pPr>
    <w:rPr>
      <w:rFonts w:eastAsia="宋体"/>
      <w:sz w:val="21"/>
      <w:szCs w:val="21"/>
    </w:rPr>
  </w:style>
  <w:style w:type="character" w:customStyle="1" w:styleId="331">
    <w:name w:val="脚注文本 Char"/>
    <w:link w:val="68"/>
    <w:semiHidden/>
    <w:qFormat/>
    <w:uiPriority w:val="99"/>
    <w:rPr>
      <w:rFonts w:eastAsia="楷体_GB2312"/>
      <w:sz w:val="20"/>
      <w:szCs w:val="20"/>
    </w:rPr>
  </w:style>
  <w:style w:type="character" w:customStyle="1" w:styleId="332">
    <w:name w:val="正文文本缩进 2 Char1"/>
    <w:link w:val="52"/>
    <w:qFormat/>
    <w:uiPriority w:val="99"/>
    <w:rPr>
      <w:rFonts w:ascii="宋体" w:eastAsia="宋体" w:cs="宋体"/>
      <w:b/>
      <w:bCs/>
      <w:sz w:val="20"/>
      <w:szCs w:val="20"/>
    </w:rPr>
  </w:style>
  <w:style w:type="paragraph" w:customStyle="1" w:styleId="333">
    <w:name w:val="纯文本1"/>
    <w:basedOn w:val="1"/>
    <w:qFormat/>
    <w:uiPriority w:val="0"/>
    <w:rPr>
      <w:rFonts w:ascii="宋体" w:hAnsi="Courier New" w:eastAsia="楷体_GB2312" w:cs="宋体"/>
      <w:sz w:val="26"/>
      <w:szCs w:val="26"/>
    </w:rPr>
  </w:style>
  <w:style w:type="character" w:customStyle="1" w:styleId="334">
    <w:name w:val="正文文本缩进 Char1"/>
    <w:link w:val="36"/>
    <w:qFormat/>
    <w:uiPriority w:val="0"/>
    <w:rPr>
      <w:sz w:val="24"/>
      <w:szCs w:val="24"/>
    </w:rPr>
  </w:style>
  <w:style w:type="character" w:customStyle="1" w:styleId="335">
    <w:name w:val="正文文本缩进 字符1"/>
    <w:basedOn w:val="92"/>
    <w:semiHidden/>
    <w:qFormat/>
    <w:uiPriority w:val="99"/>
  </w:style>
  <w:style w:type="paragraph" w:customStyle="1" w:styleId="336">
    <w:name w:val="纯文本11"/>
    <w:basedOn w:val="1"/>
    <w:qFormat/>
    <w:uiPriority w:val="99"/>
    <w:rPr>
      <w:rFonts w:ascii="宋体" w:hAnsi="Courier New" w:eastAsia="楷体_GB2312" w:cs="宋体"/>
      <w:sz w:val="28"/>
      <w:szCs w:val="28"/>
    </w:rPr>
  </w:style>
  <w:style w:type="table" w:customStyle="1" w:styleId="337">
    <w:name w:val="网格型1"/>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8">
    <w:name w:val="font01"/>
    <w:qFormat/>
    <w:uiPriority w:val="0"/>
    <w:rPr>
      <w:rFonts w:ascii="宋体" w:hAnsi="宋体" w:eastAsia="宋体" w:cs="宋体"/>
      <w:b/>
      <w:bCs/>
      <w:color w:val="000000"/>
      <w:sz w:val="18"/>
      <w:szCs w:val="18"/>
      <w:u w:val="none"/>
      <w:vertAlign w:val="superscript"/>
    </w:rPr>
  </w:style>
  <w:style w:type="paragraph" w:customStyle="1" w:styleId="339">
    <w:name w:val="图例"/>
    <w:basedOn w:val="1"/>
    <w:qFormat/>
    <w:uiPriority w:val="0"/>
    <w:pPr>
      <w:spacing w:before="120" w:after="120" w:line="360" w:lineRule="auto"/>
      <w:jc w:val="center"/>
    </w:pPr>
    <w:rPr>
      <w:rFonts w:ascii="Calibri" w:hAnsi="Calibri" w:cs="Calibri"/>
      <w:b/>
      <w:bCs/>
      <w:sz w:val="21"/>
      <w:szCs w:val="21"/>
    </w:rPr>
  </w:style>
  <w:style w:type="paragraph" w:customStyle="1" w:styleId="340">
    <w:name w:val="Table Paragraph"/>
    <w:basedOn w:val="1"/>
    <w:qFormat/>
    <w:uiPriority w:val="1"/>
    <w:rPr>
      <w:rFonts w:ascii="微软雅黑" w:hAnsi="微软雅黑" w:eastAsia="微软雅黑" w:cs="微软雅黑"/>
      <w:sz w:val="21"/>
      <w:szCs w:val="21"/>
      <w:lang w:val="zh-CN"/>
    </w:rPr>
  </w:style>
  <w:style w:type="table" w:customStyle="1" w:styleId="341">
    <w:name w:val="网格型2"/>
    <w:qFormat/>
    <w:uiPriority w:val="99"/>
    <w:pPr>
      <w:widowControl w:val="0"/>
      <w:jc w:val="both"/>
    </w:pPr>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42">
    <w:name w:val="Char Char21"/>
    <w:qFormat/>
    <w:uiPriority w:val="0"/>
    <w:rPr>
      <w:rFonts w:ascii="宋体" w:hAnsi="宋体" w:eastAsia="楷体_GB2312"/>
      <w:b/>
      <w:sz w:val="26"/>
      <w:lang w:val="en-US" w:eastAsia="zh-CN" w:bidi="ar-SA"/>
    </w:rPr>
  </w:style>
  <w:style w:type="paragraph" w:customStyle="1" w:styleId="343">
    <w:name w:val="Char Char1 Char Char Char Char1"/>
    <w:basedOn w:val="27"/>
    <w:qFormat/>
    <w:uiPriority w:val="0"/>
    <w:pPr>
      <w:spacing w:line="360" w:lineRule="auto"/>
    </w:pPr>
    <w:rPr>
      <w:rFonts w:ascii="Tahoma" w:hAnsi="Tahoma" w:eastAsia="宋体"/>
      <w:sz w:val="24"/>
      <w:szCs w:val="24"/>
    </w:rPr>
  </w:style>
  <w:style w:type="paragraph" w:customStyle="1" w:styleId="344">
    <w:name w:val="Char2"/>
    <w:basedOn w:val="1"/>
    <w:qFormat/>
    <w:uiPriority w:val="0"/>
    <w:pPr>
      <w:widowControl/>
      <w:spacing w:after="160" w:line="240" w:lineRule="exact"/>
      <w:jc w:val="left"/>
    </w:pPr>
    <w:rPr>
      <w:rFonts w:ascii="Verdana" w:hAnsi="Verdana" w:eastAsia="宋体"/>
      <w:sz w:val="21"/>
      <w:szCs w:val="20"/>
      <w:lang w:eastAsia="en-US"/>
    </w:rPr>
  </w:style>
  <w:style w:type="paragraph" w:customStyle="1" w:styleId="345">
    <w:name w:val="纯文本2"/>
    <w:basedOn w:val="1"/>
    <w:qFormat/>
    <w:uiPriority w:val="0"/>
    <w:rPr>
      <w:rFonts w:ascii="宋体" w:hAnsi="Courier New" w:eastAsia="楷体_GB2312"/>
      <w:sz w:val="26"/>
      <w:szCs w:val="20"/>
    </w:rPr>
  </w:style>
  <w:style w:type="table" w:customStyle="1" w:styleId="346">
    <w:name w:val="网格型21"/>
    <w:basedOn w:val="89"/>
    <w:qFormat/>
    <w:uiPriority w:val="0"/>
    <w:pPr>
      <w:widowControl w:val="0"/>
      <w:jc w:val="both"/>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47">
    <w:name w:val="1"/>
    <w:basedOn w:val="1"/>
    <w:next w:val="330"/>
    <w:qFormat/>
    <w:uiPriority w:val="0"/>
    <w:pPr>
      <w:ind w:firstLine="420"/>
    </w:pPr>
    <w:rPr>
      <w:rFonts w:eastAsia="宋体"/>
      <w:sz w:val="21"/>
    </w:rPr>
  </w:style>
  <w:style w:type="character" w:customStyle="1" w:styleId="348">
    <w:name w:val="日期 Char"/>
    <w:qFormat/>
    <w:uiPriority w:val="0"/>
    <w:rPr>
      <w:rFonts w:ascii="宋体" w:hAnsi="宋体" w:eastAsia="楷体_GB2312"/>
      <w:sz w:val="24"/>
    </w:rPr>
  </w:style>
  <w:style w:type="character" w:customStyle="1" w:styleId="349">
    <w:name w:val="文档结构图 Char"/>
    <w:semiHidden/>
    <w:qFormat/>
    <w:uiPriority w:val="0"/>
    <w:rPr>
      <w:rFonts w:eastAsia="楷体_GB2312"/>
      <w:sz w:val="26"/>
      <w:shd w:val="clear" w:color="auto" w:fill="000080"/>
    </w:rPr>
  </w:style>
  <w:style w:type="character" w:customStyle="1" w:styleId="350">
    <w:name w:val="标题 8 Char"/>
    <w:qFormat/>
    <w:uiPriority w:val="0"/>
    <w:rPr>
      <w:rFonts w:ascii="Arial" w:hAnsi="Arial" w:eastAsia="黑体"/>
      <w:spacing w:val="-2"/>
      <w:position w:val="-6"/>
      <w:sz w:val="24"/>
    </w:rPr>
  </w:style>
  <w:style w:type="character" w:customStyle="1" w:styleId="351">
    <w:name w:val="font21"/>
    <w:qFormat/>
    <w:uiPriority w:val="0"/>
    <w:rPr>
      <w:rFonts w:hint="eastAsia" w:ascii="宋体" w:hAnsi="宋体" w:eastAsia="宋体" w:cs="宋体"/>
      <w:color w:val="000000"/>
      <w:sz w:val="20"/>
      <w:szCs w:val="20"/>
      <w:u w:val="none"/>
      <w:vertAlign w:val="superscript"/>
    </w:rPr>
  </w:style>
  <w:style w:type="character" w:customStyle="1" w:styleId="352">
    <w:name w:val="标题 3 Char"/>
    <w:qFormat/>
    <w:uiPriority w:val="9"/>
    <w:rPr>
      <w:rFonts w:ascii="Times New Roman" w:hAnsi="Times New Roman" w:eastAsia="宋体" w:cs="Times New Roman"/>
      <w:b/>
      <w:bCs/>
      <w:sz w:val="32"/>
      <w:szCs w:val="32"/>
    </w:rPr>
  </w:style>
  <w:style w:type="character" w:customStyle="1" w:styleId="353">
    <w:name w:val="正文文本 Char"/>
    <w:qFormat/>
    <w:uiPriority w:val="0"/>
    <w:rPr>
      <w:rFonts w:ascii="楷体_GB2312" w:eastAsia="楷体_GB2312"/>
      <w:sz w:val="28"/>
    </w:rPr>
  </w:style>
  <w:style w:type="character" w:customStyle="1" w:styleId="354">
    <w:name w:val="正文文本缩进 2 Char"/>
    <w:qFormat/>
    <w:uiPriority w:val="0"/>
    <w:rPr>
      <w:rFonts w:ascii="宋体"/>
      <w:b/>
      <w:bCs/>
      <w:sz w:val="24"/>
    </w:rPr>
  </w:style>
  <w:style w:type="character" w:customStyle="1" w:styleId="355">
    <w:name w:val="标题 4 Char"/>
    <w:qFormat/>
    <w:uiPriority w:val="9"/>
    <w:rPr>
      <w:rFonts w:ascii="Cambria" w:hAnsi="Cambria" w:eastAsia="宋体" w:cs="黑体"/>
      <w:b/>
      <w:bCs/>
      <w:sz w:val="28"/>
      <w:szCs w:val="28"/>
    </w:rPr>
  </w:style>
  <w:style w:type="character" w:customStyle="1" w:styleId="356">
    <w:name w:val="标题 6 Char"/>
    <w:semiHidden/>
    <w:qFormat/>
    <w:uiPriority w:val="9"/>
    <w:rPr>
      <w:rFonts w:ascii="Cambria" w:hAnsi="Cambria" w:eastAsia="宋体" w:cs="黑体"/>
      <w:b/>
      <w:bCs/>
      <w:sz w:val="24"/>
      <w:szCs w:val="24"/>
    </w:rPr>
  </w:style>
  <w:style w:type="character" w:customStyle="1" w:styleId="357">
    <w:name w:val="列出段落 Char"/>
    <w:link w:val="358"/>
    <w:qFormat/>
    <w:uiPriority w:val="34"/>
  </w:style>
  <w:style w:type="paragraph" w:customStyle="1" w:styleId="358">
    <w:name w:val="列表段落1"/>
    <w:basedOn w:val="1"/>
    <w:link w:val="357"/>
    <w:qFormat/>
    <w:uiPriority w:val="34"/>
    <w:pPr>
      <w:ind w:firstLine="420"/>
    </w:pPr>
    <w:rPr>
      <w:rFonts w:eastAsia="宋体"/>
      <w:sz w:val="20"/>
      <w:szCs w:val="20"/>
    </w:rPr>
  </w:style>
  <w:style w:type="character" w:customStyle="1" w:styleId="359">
    <w:name w:val="apple-converted-space"/>
    <w:basedOn w:val="92"/>
    <w:qFormat/>
    <w:uiPriority w:val="0"/>
  </w:style>
  <w:style w:type="character" w:customStyle="1" w:styleId="360">
    <w:name w:val="标题 2 Char"/>
    <w:qFormat/>
    <w:uiPriority w:val="0"/>
    <w:rPr>
      <w:rFonts w:ascii="Cambria" w:hAnsi="Cambria" w:eastAsia="宋体" w:cs="黑体"/>
      <w:b/>
      <w:bCs/>
      <w:sz w:val="32"/>
      <w:szCs w:val="32"/>
    </w:rPr>
  </w:style>
  <w:style w:type="character" w:customStyle="1" w:styleId="361">
    <w:name w:val="标题 9 Char"/>
    <w:qFormat/>
    <w:uiPriority w:val="0"/>
    <w:rPr>
      <w:rFonts w:ascii="Arial" w:hAnsi="Arial" w:eastAsia="黑体"/>
      <w:spacing w:val="-2"/>
      <w:position w:val="-6"/>
      <w:sz w:val="28"/>
    </w:rPr>
  </w:style>
  <w:style w:type="character" w:customStyle="1" w:styleId="362">
    <w:name w:val="页眉 Char"/>
    <w:qFormat/>
    <w:uiPriority w:val="0"/>
    <w:rPr>
      <w:rFonts w:ascii="Times New Roman" w:hAnsi="Times New Roman" w:eastAsia="宋体" w:cs="Times New Roman"/>
      <w:sz w:val="18"/>
      <w:szCs w:val="18"/>
    </w:rPr>
  </w:style>
  <w:style w:type="character" w:customStyle="1" w:styleId="363">
    <w:name w:val="正文文本缩进 3 Char"/>
    <w:qFormat/>
    <w:uiPriority w:val="0"/>
    <w:rPr>
      <w:sz w:val="24"/>
      <w:szCs w:val="24"/>
    </w:rPr>
  </w:style>
  <w:style w:type="character" w:customStyle="1" w:styleId="364">
    <w:name w:val="正文缩进2格 Char Char"/>
    <w:link w:val="365"/>
    <w:qFormat/>
    <w:uiPriority w:val="0"/>
    <w:rPr>
      <w:rFonts w:ascii="仿宋_GB2312" w:hAnsi="宋体" w:eastAsia="仿宋_GB2312"/>
      <w:sz w:val="31"/>
      <w:szCs w:val="28"/>
    </w:rPr>
  </w:style>
  <w:style w:type="paragraph" w:customStyle="1" w:styleId="365">
    <w:name w:val="正文缩进2格"/>
    <w:basedOn w:val="1"/>
    <w:link w:val="364"/>
    <w:qFormat/>
    <w:uiPriority w:val="0"/>
    <w:pPr>
      <w:spacing w:line="600" w:lineRule="exact"/>
      <w:ind w:firstLine="639"/>
    </w:pPr>
    <w:rPr>
      <w:rFonts w:ascii="仿宋_GB2312" w:hAnsi="宋体"/>
      <w:sz w:val="31"/>
      <w:szCs w:val="28"/>
    </w:rPr>
  </w:style>
  <w:style w:type="character" w:customStyle="1" w:styleId="366">
    <w:name w:val="正文缩进 Char"/>
    <w:qFormat/>
    <w:uiPriority w:val="0"/>
    <w:rPr>
      <w:szCs w:val="24"/>
    </w:rPr>
  </w:style>
  <w:style w:type="character" w:customStyle="1" w:styleId="367">
    <w:name w:val="纯文本 Char"/>
    <w:qFormat/>
    <w:uiPriority w:val="0"/>
    <w:rPr>
      <w:rFonts w:ascii="宋体" w:hAnsi="Courier New"/>
      <w:sz w:val="21"/>
    </w:rPr>
  </w:style>
  <w:style w:type="character" w:customStyle="1" w:styleId="368">
    <w:name w:val="Char Char22"/>
    <w:qFormat/>
    <w:uiPriority w:val="0"/>
    <w:rPr>
      <w:rFonts w:ascii="宋体" w:hAnsi="宋体" w:eastAsia="楷体_GB2312"/>
      <w:b/>
      <w:sz w:val="26"/>
      <w:lang w:val="en-US" w:eastAsia="zh-CN" w:bidi="ar-SA"/>
    </w:rPr>
  </w:style>
  <w:style w:type="character" w:customStyle="1" w:styleId="369">
    <w:name w:val="font51"/>
    <w:qFormat/>
    <w:uiPriority w:val="0"/>
    <w:rPr>
      <w:rFonts w:hint="eastAsia" w:ascii="宋体" w:hAnsi="宋体" w:eastAsia="宋体" w:cs="宋体"/>
      <w:color w:val="000000"/>
      <w:sz w:val="20"/>
      <w:szCs w:val="20"/>
      <w:u w:val="none"/>
    </w:rPr>
  </w:style>
  <w:style w:type="character" w:customStyle="1" w:styleId="370">
    <w:name w:val="标题 5 Char"/>
    <w:qFormat/>
    <w:uiPriority w:val="9"/>
    <w:rPr>
      <w:rFonts w:ascii="Times New Roman" w:hAnsi="Times New Roman" w:eastAsia="宋体" w:cs="Times New Roman"/>
      <w:b/>
      <w:bCs/>
      <w:sz w:val="28"/>
      <w:szCs w:val="28"/>
    </w:rPr>
  </w:style>
  <w:style w:type="character" w:customStyle="1" w:styleId="371">
    <w:name w:val="标题 1 Char"/>
    <w:qFormat/>
    <w:uiPriority w:val="9"/>
    <w:rPr>
      <w:rFonts w:ascii="Times New Roman" w:hAnsi="Times New Roman" w:eastAsia="宋体" w:cs="Times New Roman"/>
      <w:b/>
      <w:bCs/>
      <w:sz w:val="44"/>
      <w:szCs w:val="44"/>
    </w:rPr>
  </w:style>
  <w:style w:type="character" w:customStyle="1" w:styleId="372">
    <w:name w:val="HTML 预设格式 Char"/>
    <w:qFormat/>
    <w:uiPriority w:val="0"/>
    <w:rPr>
      <w:rFonts w:ascii="黑体" w:hAnsi="Courier New" w:eastAsia="黑体" w:cs="楷体_GB2312"/>
    </w:rPr>
  </w:style>
  <w:style w:type="character" w:customStyle="1" w:styleId="373">
    <w:name w:val="标题 7 Char"/>
    <w:qFormat/>
    <w:uiPriority w:val="0"/>
    <w:rPr>
      <w:rFonts w:ascii="宋体"/>
      <w:b/>
      <w:spacing w:val="-2"/>
      <w:position w:val="-6"/>
      <w:sz w:val="24"/>
    </w:rPr>
  </w:style>
  <w:style w:type="character" w:customStyle="1" w:styleId="374">
    <w:name w:val="批注文字 Char"/>
    <w:qFormat/>
    <w:uiPriority w:val="0"/>
    <w:rPr>
      <w:sz w:val="21"/>
      <w:szCs w:val="24"/>
    </w:rPr>
  </w:style>
  <w:style w:type="character" w:customStyle="1" w:styleId="375">
    <w:name w:val="正文文本缩进 Char"/>
    <w:qFormat/>
    <w:uiPriority w:val="0"/>
    <w:rPr>
      <w:rFonts w:ascii="Times New Roman" w:hAnsi="Times New Roman" w:eastAsia="宋体" w:cs="Times New Roman"/>
      <w:szCs w:val="24"/>
    </w:rPr>
  </w:style>
  <w:style w:type="character" w:customStyle="1" w:styleId="376">
    <w:name w:val="param-name"/>
    <w:basedOn w:val="92"/>
    <w:qFormat/>
    <w:uiPriority w:val="0"/>
  </w:style>
  <w:style w:type="character" w:customStyle="1" w:styleId="377">
    <w:name w:val="标题 1 Char Char"/>
    <w:qFormat/>
    <w:uiPriority w:val="0"/>
    <w:rPr>
      <w:rFonts w:hint="eastAsia" w:ascii="宋体" w:hAnsi="宋体" w:eastAsia="宋体"/>
      <w:b/>
      <w:spacing w:val="-2"/>
      <w:sz w:val="24"/>
      <w:lang w:val="en-US" w:eastAsia="zh-CN"/>
    </w:rPr>
  </w:style>
  <w:style w:type="character" w:customStyle="1" w:styleId="378">
    <w:name w:val="批注框文本 Char"/>
    <w:semiHidden/>
    <w:qFormat/>
    <w:uiPriority w:val="99"/>
    <w:rPr>
      <w:rFonts w:ascii="Times New Roman" w:hAnsi="Times New Roman" w:eastAsia="宋体" w:cs="Times New Roman"/>
      <w:sz w:val="18"/>
      <w:szCs w:val="18"/>
    </w:rPr>
  </w:style>
  <w:style w:type="character" w:customStyle="1" w:styleId="379">
    <w:name w:val="页脚 Char"/>
    <w:qFormat/>
    <w:uiPriority w:val="99"/>
    <w:rPr>
      <w:rFonts w:ascii="Times New Roman" w:hAnsi="Times New Roman" w:eastAsia="宋体" w:cs="Times New Roman"/>
      <w:sz w:val="18"/>
      <w:szCs w:val="18"/>
    </w:rPr>
  </w:style>
  <w:style w:type="paragraph" w:customStyle="1" w:styleId="380">
    <w:name w:val="p0"/>
    <w:basedOn w:val="1"/>
    <w:qFormat/>
    <w:uiPriority w:val="0"/>
    <w:pPr>
      <w:widowControl/>
    </w:pPr>
    <w:rPr>
      <w:rFonts w:eastAsia="宋体"/>
      <w:sz w:val="21"/>
      <w:szCs w:val="21"/>
    </w:rPr>
  </w:style>
  <w:style w:type="paragraph" w:customStyle="1" w:styleId="381">
    <w:name w:val="xl11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sz w:val="20"/>
      <w:szCs w:val="20"/>
    </w:rPr>
  </w:style>
  <w:style w:type="paragraph" w:customStyle="1" w:styleId="382">
    <w:name w:val="font5"/>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38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sz w:val="20"/>
      <w:szCs w:val="20"/>
    </w:rPr>
  </w:style>
  <w:style w:type="paragraph" w:customStyle="1" w:styleId="38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38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386">
    <w:name w:val="Char Char1 Char Char Char Char2"/>
    <w:basedOn w:val="27"/>
    <w:qFormat/>
    <w:uiPriority w:val="0"/>
    <w:pPr>
      <w:spacing w:line="360" w:lineRule="auto"/>
    </w:pPr>
    <w:rPr>
      <w:rFonts w:ascii="Tahoma" w:hAnsi="Tahoma" w:eastAsia="宋体"/>
      <w:sz w:val="24"/>
      <w:szCs w:val="24"/>
      <w:lang w:val="zh-CN"/>
    </w:rPr>
  </w:style>
  <w:style w:type="paragraph" w:customStyle="1" w:styleId="38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38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389">
    <w:name w:val="无间隔1"/>
    <w:qFormat/>
    <w:uiPriority w:val="1"/>
    <w:pPr>
      <w:widowControl w:val="0"/>
      <w:jc w:val="both"/>
    </w:pPr>
    <w:rPr>
      <w:rFonts w:ascii="Times New Roman" w:hAnsi="Times New Roman" w:eastAsia="宋体" w:cs="Times New Roman"/>
      <w:sz w:val="21"/>
      <w:szCs w:val="24"/>
      <w:lang w:val="en-US" w:eastAsia="zh-CN" w:bidi="ar-SA"/>
    </w:rPr>
  </w:style>
  <w:style w:type="paragraph" w:customStyle="1" w:styleId="3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391">
    <w:name w:val="列出段落2"/>
    <w:basedOn w:val="1"/>
    <w:qFormat/>
    <w:uiPriority w:val="0"/>
    <w:pPr>
      <w:ind w:firstLine="420"/>
    </w:pPr>
    <w:rPr>
      <w:rFonts w:eastAsia="宋体"/>
      <w:sz w:val="21"/>
      <w:szCs w:val="20"/>
    </w:rPr>
  </w:style>
  <w:style w:type="paragraph" w:customStyle="1" w:styleId="3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393">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sz w:val="20"/>
      <w:szCs w:val="20"/>
    </w:rPr>
  </w:style>
  <w:style w:type="paragraph" w:customStyle="1" w:styleId="39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39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sz w:val="20"/>
      <w:szCs w:val="20"/>
    </w:rPr>
  </w:style>
  <w:style w:type="paragraph" w:customStyle="1" w:styleId="396">
    <w:name w:val="xl75"/>
    <w:basedOn w:val="1"/>
    <w:qFormat/>
    <w:uiPriority w:val="0"/>
    <w:pPr>
      <w:widowControl/>
      <w:spacing w:before="100" w:beforeAutospacing="1" w:after="100" w:afterAutospacing="1"/>
      <w:jc w:val="left"/>
    </w:pPr>
    <w:rPr>
      <w:rFonts w:ascii="宋体" w:hAnsi="宋体" w:eastAsia="宋体" w:cs="宋体"/>
    </w:rPr>
  </w:style>
  <w:style w:type="paragraph" w:customStyle="1" w:styleId="39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398">
    <w:name w:val="xl67"/>
    <w:basedOn w:val="1"/>
    <w:qFormat/>
    <w:uiPriority w:val="0"/>
    <w:pPr>
      <w:widowControl/>
      <w:spacing w:before="100" w:beforeAutospacing="1" w:after="100" w:afterAutospacing="1"/>
      <w:jc w:val="left"/>
    </w:pPr>
    <w:rPr>
      <w:rFonts w:ascii="宋体" w:hAnsi="宋体" w:eastAsia="宋体" w:cs="宋体"/>
      <w:color w:val="FF0000"/>
    </w:rPr>
  </w:style>
  <w:style w:type="paragraph" w:customStyle="1" w:styleId="39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40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01">
    <w:name w:val="xl69"/>
    <w:basedOn w:val="1"/>
    <w:qFormat/>
    <w:uiPriority w:val="0"/>
    <w:pPr>
      <w:widowControl/>
      <w:spacing w:before="100" w:beforeAutospacing="1" w:after="100" w:afterAutospacing="1"/>
      <w:jc w:val="left"/>
    </w:pPr>
    <w:rPr>
      <w:rFonts w:ascii="宋体" w:hAnsi="宋体" w:eastAsia="宋体" w:cs="宋体"/>
      <w:color w:val="008000"/>
    </w:rPr>
  </w:style>
  <w:style w:type="paragraph" w:customStyle="1" w:styleId="40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sz w:val="20"/>
      <w:szCs w:val="20"/>
    </w:rPr>
  </w:style>
  <w:style w:type="paragraph" w:customStyle="1" w:styleId="40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404">
    <w:name w:val="正文1"/>
    <w:qFormat/>
    <w:uiPriority w:val="0"/>
    <w:pPr>
      <w:jc w:val="both"/>
    </w:pPr>
    <w:rPr>
      <w:rFonts w:ascii="Times New Roman" w:hAnsi="Times New Roman" w:eastAsia="宋体" w:cs="Times New Roman"/>
      <w:sz w:val="21"/>
      <w:szCs w:val="21"/>
      <w:lang w:val="en-US" w:eastAsia="zh-CN" w:bidi="ar-SA"/>
    </w:rPr>
  </w:style>
  <w:style w:type="paragraph" w:customStyle="1" w:styleId="405">
    <w:name w:val="xl66"/>
    <w:basedOn w:val="1"/>
    <w:qFormat/>
    <w:uiPriority w:val="0"/>
    <w:pPr>
      <w:widowControl/>
      <w:spacing w:before="100" w:beforeAutospacing="1" w:after="100" w:afterAutospacing="1"/>
      <w:jc w:val="left"/>
    </w:pPr>
    <w:rPr>
      <w:rFonts w:ascii="宋体" w:hAnsi="宋体" w:eastAsia="宋体" w:cs="宋体"/>
    </w:rPr>
  </w:style>
  <w:style w:type="paragraph" w:customStyle="1" w:styleId="406">
    <w:name w:val="xl65"/>
    <w:basedOn w:val="1"/>
    <w:qFormat/>
    <w:uiPriority w:val="0"/>
    <w:pPr>
      <w:widowControl/>
      <w:spacing w:before="100" w:beforeAutospacing="1" w:after="100" w:afterAutospacing="1"/>
      <w:jc w:val="left"/>
    </w:pPr>
    <w:rPr>
      <w:rFonts w:ascii="宋体" w:hAnsi="宋体" w:eastAsia="宋体" w:cs="宋体"/>
      <w:color w:val="FF0000"/>
    </w:rPr>
  </w:style>
  <w:style w:type="paragraph" w:customStyle="1" w:styleId="40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sz w:val="20"/>
      <w:szCs w:val="20"/>
    </w:rPr>
  </w:style>
  <w:style w:type="paragraph" w:customStyle="1" w:styleId="40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40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410">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1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13">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sz w:val="20"/>
      <w:szCs w:val="20"/>
    </w:rPr>
  </w:style>
  <w:style w:type="paragraph" w:customStyle="1" w:styleId="41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41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416">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sz w:val="20"/>
      <w:szCs w:val="20"/>
    </w:rPr>
  </w:style>
  <w:style w:type="paragraph" w:customStyle="1" w:styleId="417">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18">
    <w:name w:val="xl10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sz w:val="20"/>
      <w:szCs w:val="20"/>
    </w:rPr>
  </w:style>
  <w:style w:type="paragraph" w:customStyle="1" w:styleId="41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420">
    <w:name w:val="样式 标题 1 + 宋体 段前: 0 磅 段后: 0 磅 行距: 单倍行距"/>
    <w:basedOn w:val="4"/>
    <w:qFormat/>
    <w:uiPriority w:val="0"/>
    <w:pPr>
      <w:spacing w:before="240" w:after="240" w:line="240" w:lineRule="auto"/>
      <w:jc w:val="center"/>
    </w:pPr>
    <w:rPr>
      <w:rFonts w:ascii="仿宋_GB2312" w:hAnsi="宋体" w:eastAsia="仿宋_GB2312" w:cs="宋体"/>
      <w:sz w:val="44"/>
      <w:lang w:val="zh-CN"/>
    </w:rPr>
  </w:style>
  <w:style w:type="paragraph" w:customStyle="1" w:styleId="4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22">
    <w:name w:val="xl70"/>
    <w:basedOn w:val="1"/>
    <w:qFormat/>
    <w:uiPriority w:val="0"/>
    <w:pPr>
      <w:widowControl/>
      <w:spacing w:before="100" w:beforeAutospacing="1" w:after="100" w:afterAutospacing="1"/>
      <w:jc w:val="center"/>
    </w:pPr>
    <w:rPr>
      <w:rFonts w:ascii="宋体" w:hAnsi="宋体" w:eastAsia="宋体" w:cs="宋体"/>
    </w:rPr>
  </w:style>
  <w:style w:type="paragraph" w:customStyle="1" w:styleId="42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24">
    <w:name w:val="xl68"/>
    <w:basedOn w:val="1"/>
    <w:qFormat/>
    <w:uiPriority w:val="0"/>
    <w:pPr>
      <w:widowControl/>
      <w:spacing w:before="100" w:beforeAutospacing="1" w:after="100" w:afterAutospacing="1"/>
      <w:jc w:val="left"/>
    </w:pPr>
    <w:rPr>
      <w:rFonts w:ascii="宋体" w:hAnsi="宋体" w:eastAsia="宋体" w:cs="宋体"/>
    </w:rPr>
  </w:style>
  <w:style w:type="paragraph" w:customStyle="1" w:styleId="42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sz w:val="20"/>
      <w:szCs w:val="20"/>
    </w:rPr>
  </w:style>
  <w:style w:type="paragraph" w:customStyle="1" w:styleId="42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sz w:val="20"/>
      <w:szCs w:val="20"/>
    </w:rPr>
  </w:style>
  <w:style w:type="paragraph" w:customStyle="1" w:styleId="4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28">
    <w:name w:val="GP正文(首行缩进)"/>
    <w:basedOn w:val="1"/>
    <w:qFormat/>
    <w:uiPriority w:val="0"/>
    <w:pPr>
      <w:spacing w:line="360" w:lineRule="auto"/>
      <w:ind w:firstLine="480"/>
      <w:jc w:val="left"/>
    </w:pPr>
    <w:rPr>
      <w:rFonts w:hAnsi="宋体" w:eastAsia="宋体"/>
    </w:rPr>
  </w:style>
  <w:style w:type="paragraph" w:customStyle="1" w:styleId="429">
    <w:name w:val="font6"/>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43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431">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3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eastAsia="宋体" w:cs="宋体"/>
      <w:sz w:val="20"/>
      <w:szCs w:val="20"/>
    </w:rPr>
  </w:style>
  <w:style w:type="paragraph" w:customStyle="1" w:styleId="43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34">
    <w:name w:val="Style Normal Indent表正文正文非缩进特点ALT+Z标题4段1正文（首行缩进两字） Char正文（首行...1"/>
    <w:basedOn w:val="9"/>
    <w:qFormat/>
    <w:uiPriority w:val="0"/>
    <w:pPr>
      <w:spacing w:line="360" w:lineRule="auto"/>
      <w:ind w:firstLine="590"/>
      <w:jc w:val="both"/>
    </w:pPr>
    <w:rPr>
      <w:rFonts w:eastAsia="宋体"/>
      <w:sz w:val="24"/>
      <w:szCs w:val="24"/>
      <w:lang w:val="zh-CN"/>
    </w:rPr>
  </w:style>
  <w:style w:type="paragraph" w:customStyle="1" w:styleId="43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3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437">
    <w:name w:val="纯文本3"/>
    <w:basedOn w:val="1"/>
    <w:qFormat/>
    <w:uiPriority w:val="0"/>
    <w:rPr>
      <w:rFonts w:ascii="宋体" w:hAnsi="Courier New" w:eastAsia="楷体_GB2312"/>
      <w:sz w:val="26"/>
      <w:szCs w:val="20"/>
    </w:rPr>
  </w:style>
  <w:style w:type="paragraph" w:customStyle="1" w:styleId="438">
    <w:name w:val="Char3"/>
    <w:basedOn w:val="1"/>
    <w:qFormat/>
    <w:uiPriority w:val="0"/>
    <w:pPr>
      <w:widowControl/>
      <w:spacing w:after="160" w:line="240" w:lineRule="exact"/>
      <w:jc w:val="left"/>
    </w:pPr>
    <w:rPr>
      <w:rFonts w:ascii="Verdana" w:hAnsi="Verdana" w:eastAsia="宋体"/>
      <w:sz w:val="21"/>
      <w:szCs w:val="20"/>
      <w:lang w:eastAsia="en-US"/>
    </w:rPr>
  </w:style>
  <w:style w:type="paragraph" w:customStyle="1" w:styleId="43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sz w:val="20"/>
      <w:szCs w:val="20"/>
    </w:rPr>
  </w:style>
  <w:style w:type="paragraph" w:customStyle="1" w:styleId="44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41">
    <w:name w:val="xl74"/>
    <w:basedOn w:val="1"/>
    <w:qFormat/>
    <w:uiPriority w:val="0"/>
    <w:pPr>
      <w:widowControl/>
      <w:spacing w:before="100" w:beforeAutospacing="1" w:after="100" w:afterAutospacing="1"/>
      <w:jc w:val="left"/>
    </w:pPr>
    <w:rPr>
      <w:rFonts w:ascii="宋体" w:hAnsi="宋体" w:eastAsia="宋体" w:cs="宋体"/>
    </w:rPr>
  </w:style>
  <w:style w:type="table" w:customStyle="1" w:styleId="442">
    <w:name w:val="网格型3"/>
    <w:basedOn w:val="89"/>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43">
    <w:name w:val="paragraphindent"/>
    <w:basedOn w:val="1"/>
    <w:qFormat/>
    <w:uiPriority w:val="99"/>
    <w:pPr>
      <w:widowControl/>
      <w:spacing w:before="100" w:beforeAutospacing="1" w:after="100" w:afterAutospacing="1"/>
      <w:jc w:val="left"/>
    </w:pPr>
    <w:rPr>
      <w:rFonts w:ascii="宋体" w:hAnsi="宋体" w:eastAsia="楷体_GB2312" w:cs="宋体"/>
      <w:szCs w:val="26"/>
    </w:rPr>
  </w:style>
  <w:style w:type="character" w:customStyle="1" w:styleId="444">
    <w:name w:val="正文首行缩进 2 Char"/>
    <w:basedOn w:val="334"/>
    <w:link w:val="88"/>
    <w:semiHidden/>
    <w:qFormat/>
    <w:uiPriority w:val="99"/>
    <w:rPr>
      <w:rFonts w:eastAsia="仿宋_GB2312"/>
      <w:sz w:val="24"/>
      <w:szCs w:val="24"/>
    </w:rPr>
  </w:style>
  <w:style w:type="table" w:customStyle="1" w:styleId="445">
    <w:name w:val="网格型4"/>
    <w:basedOn w:val="89"/>
    <w:qFormat/>
    <w:uiPriority w:val="0"/>
    <w:pPr>
      <w:widowControl w:val="0"/>
      <w:jc w:val="both"/>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46">
    <w:name w:val="网格型5"/>
    <w:basedOn w:val="89"/>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47">
    <w:name w:val="网格型6"/>
    <w:basedOn w:val="8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48">
    <w:name w:val="修订1"/>
    <w:hidden/>
    <w:unhideWhenUsed/>
    <w:qFormat/>
    <w:uiPriority w:val="99"/>
    <w:rPr>
      <w:rFonts w:ascii="Times New Roman" w:hAnsi="Times New Roman" w:eastAsia="仿宋_GB2312" w:cs="Times New Roman"/>
      <w:sz w:val="24"/>
      <w:szCs w:val="24"/>
      <w:lang w:val="en-US" w:eastAsia="zh-CN" w:bidi="ar-SA"/>
    </w:rPr>
  </w:style>
  <w:style w:type="character" w:customStyle="1" w:styleId="449">
    <w:name w:val="HTML 地址 Char"/>
    <w:basedOn w:val="92"/>
    <w:link w:val="42"/>
    <w:semiHidden/>
    <w:qFormat/>
    <w:uiPriority w:val="99"/>
    <w:rPr>
      <w:rFonts w:eastAsia="仿宋_GB2312"/>
      <w:i/>
      <w:iCs/>
      <w:sz w:val="24"/>
      <w:szCs w:val="24"/>
    </w:rPr>
  </w:style>
  <w:style w:type="character" w:customStyle="1" w:styleId="450">
    <w:name w:val="称呼 Char"/>
    <w:basedOn w:val="92"/>
    <w:link w:val="31"/>
    <w:semiHidden/>
    <w:qFormat/>
    <w:uiPriority w:val="99"/>
    <w:rPr>
      <w:rFonts w:eastAsia="仿宋_GB2312"/>
      <w:sz w:val="24"/>
      <w:szCs w:val="24"/>
    </w:rPr>
  </w:style>
  <w:style w:type="character" w:customStyle="1" w:styleId="451">
    <w:name w:val="电子邮件签名 Char"/>
    <w:basedOn w:val="92"/>
    <w:link w:val="21"/>
    <w:semiHidden/>
    <w:qFormat/>
    <w:uiPriority w:val="99"/>
    <w:rPr>
      <w:rFonts w:eastAsia="仿宋_GB2312"/>
      <w:sz w:val="24"/>
      <w:szCs w:val="24"/>
    </w:rPr>
  </w:style>
  <w:style w:type="character" w:customStyle="1" w:styleId="452">
    <w:name w:val="宏文本 Char"/>
    <w:basedOn w:val="92"/>
    <w:link w:val="3"/>
    <w:semiHidden/>
    <w:qFormat/>
    <w:uiPriority w:val="99"/>
    <w:rPr>
      <w:rFonts w:ascii="Courier New" w:hAnsi="Courier New" w:cs="Courier New"/>
      <w:sz w:val="24"/>
      <w:szCs w:val="24"/>
    </w:rPr>
  </w:style>
  <w:style w:type="character" w:customStyle="1" w:styleId="453">
    <w:name w:val="结束语 Char"/>
    <w:basedOn w:val="92"/>
    <w:link w:val="33"/>
    <w:semiHidden/>
    <w:qFormat/>
    <w:uiPriority w:val="99"/>
    <w:rPr>
      <w:rFonts w:eastAsia="仿宋_GB2312"/>
      <w:sz w:val="24"/>
      <w:szCs w:val="24"/>
    </w:rPr>
  </w:style>
  <w:style w:type="character" w:customStyle="1" w:styleId="454">
    <w:name w:val="签名 Char"/>
    <w:basedOn w:val="92"/>
    <w:link w:val="59"/>
    <w:semiHidden/>
    <w:qFormat/>
    <w:uiPriority w:val="99"/>
    <w:rPr>
      <w:rFonts w:eastAsia="仿宋_GB2312"/>
      <w:sz w:val="24"/>
      <w:szCs w:val="24"/>
    </w:rPr>
  </w:style>
  <w:style w:type="paragraph" w:customStyle="1" w:styleId="455">
    <w:name w:val="书目1"/>
    <w:basedOn w:val="1"/>
    <w:next w:val="1"/>
    <w:semiHidden/>
    <w:unhideWhenUsed/>
    <w:qFormat/>
    <w:uiPriority w:val="37"/>
  </w:style>
  <w:style w:type="character" w:customStyle="1" w:styleId="456">
    <w:name w:val="信息标题 Char"/>
    <w:basedOn w:val="92"/>
    <w:link w:val="80"/>
    <w:semiHidden/>
    <w:qFormat/>
    <w:uiPriority w:val="99"/>
    <w:rPr>
      <w:rFonts w:asciiTheme="majorHAnsi" w:hAnsiTheme="majorHAnsi" w:eastAsiaTheme="majorEastAsia" w:cstheme="majorBidi"/>
      <w:sz w:val="24"/>
      <w:szCs w:val="24"/>
      <w:shd w:val="pct20" w:color="auto" w:fill="auto"/>
    </w:rPr>
  </w:style>
  <w:style w:type="character" w:customStyle="1" w:styleId="457">
    <w:name w:val="正文文本 2 Char"/>
    <w:basedOn w:val="92"/>
    <w:link w:val="77"/>
    <w:semiHidden/>
    <w:qFormat/>
    <w:uiPriority w:val="99"/>
    <w:rPr>
      <w:rFonts w:eastAsia="仿宋_GB2312"/>
      <w:sz w:val="24"/>
      <w:szCs w:val="24"/>
    </w:rPr>
  </w:style>
  <w:style w:type="character" w:customStyle="1" w:styleId="458">
    <w:name w:val="正文文本 3 Char"/>
    <w:basedOn w:val="92"/>
    <w:link w:val="32"/>
    <w:semiHidden/>
    <w:qFormat/>
    <w:uiPriority w:val="99"/>
    <w:rPr>
      <w:rFonts w:eastAsia="仿宋_GB2312"/>
      <w:sz w:val="16"/>
      <w:szCs w:val="16"/>
    </w:rPr>
  </w:style>
  <w:style w:type="character" w:customStyle="1" w:styleId="459">
    <w:name w:val="正文首行缩进 Char"/>
    <w:basedOn w:val="324"/>
    <w:link w:val="87"/>
    <w:semiHidden/>
    <w:qFormat/>
    <w:uiPriority w:val="99"/>
    <w:rPr>
      <w:rFonts w:ascii="楷体_GB2312" w:eastAsia="仿宋_GB2312" w:cs="楷体_GB2312"/>
      <w:sz w:val="24"/>
      <w:szCs w:val="24"/>
    </w:rPr>
  </w:style>
  <w:style w:type="character" w:customStyle="1" w:styleId="460">
    <w:name w:val="注释标题 Char"/>
    <w:basedOn w:val="92"/>
    <w:link w:val="18"/>
    <w:semiHidden/>
    <w:qFormat/>
    <w:uiPriority w:val="99"/>
    <w:rPr>
      <w:rFonts w:eastAsia="仿宋_GB2312"/>
      <w:sz w:val="24"/>
      <w:szCs w:val="24"/>
    </w:rPr>
  </w:style>
  <w:style w:type="table" w:customStyle="1" w:styleId="461">
    <w:name w:val="网格型7"/>
    <w:basedOn w:val="89"/>
    <w:qFormat/>
    <w:uiPriority w:val="0"/>
    <w:pPr>
      <w:widowControl w:val="0"/>
      <w:jc w:val="both"/>
    </w:pPr>
    <w:tblPr>
      <w:tblCellMar>
        <w:top w:w="0" w:type="dxa"/>
        <w:left w:w="108" w:type="dxa"/>
        <w:bottom w:w="0" w:type="dxa"/>
        <w:right w:w="108" w:type="dxa"/>
      </w:tblCellMar>
    </w:tblPr>
  </w:style>
  <w:style w:type="paragraph" w:customStyle="1" w:styleId="462">
    <w:name w:val="Char4"/>
    <w:basedOn w:val="27"/>
    <w:qFormat/>
    <w:uiPriority w:val="0"/>
    <w:rPr>
      <w:rFonts w:ascii="Tahoma" w:hAnsi="Tahoma" w:eastAsia="宋体"/>
      <w:sz w:val="24"/>
      <w:szCs w:val="24"/>
    </w:rPr>
  </w:style>
  <w:style w:type="paragraph" w:customStyle="1" w:styleId="463">
    <w:name w:val="修订2"/>
    <w:hidden/>
    <w:unhideWhenUsed/>
    <w:qFormat/>
    <w:uiPriority w:val="99"/>
    <w:rPr>
      <w:rFonts w:ascii="Times New Roman" w:hAnsi="Times New Roman" w:eastAsia="仿宋_GB2312" w:cs="Times New Roman"/>
      <w:sz w:val="24"/>
      <w:szCs w:val="24"/>
      <w:lang w:val="en-US" w:eastAsia="zh-CN" w:bidi="ar-SA"/>
    </w:rPr>
  </w:style>
  <w:style w:type="paragraph" w:customStyle="1" w:styleId="464">
    <w:name w:val="修订3"/>
    <w:hidden/>
    <w:unhideWhenUsed/>
    <w:qFormat/>
    <w:uiPriority w:val="99"/>
    <w:rPr>
      <w:rFonts w:ascii="Times New Roman" w:hAnsi="Times New Roman" w:eastAsia="仿宋_GB2312" w:cs="Times New Roman"/>
      <w:sz w:val="24"/>
      <w:szCs w:val="24"/>
      <w:lang w:val="en-US" w:eastAsia="zh-CN" w:bidi="ar-SA"/>
    </w:rPr>
  </w:style>
  <w:style w:type="paragraph" w:customStyle="1" w:styleId="465">
    <w:name w:val="修订4"/>
    <w:hidden/>
    <w:unhideWhenUsed/>
    <w:qFormat/>
    <w:uiPriority w:val="99"/>
    <w:rPr>
      <w:rFonts w:ascii="Times New Roman" w:hAnsi="Times New Roman" w:eastAsia="仿宋_GB2312" w:cs="Times New Roman"/>
      <w:sz w:val="24"/>
      <w:szCs w:val="24"/>
      <w:lang w:val="en-US" w:eastAsia="zh-CN" w:bidi="ar-SA"/>
    </w:rPr>
  </w:style>
  <w:style w:type="paragraph" w:customStyle="1" w:styleId="466">
    <w:name w:val="修订5"/>
    <w:hidden/>
    <w:unhideWhenUsed/>
    <w:qFormat/>
    <w:uiPriority w:val="99"/>
    <w:rPr>
      <w:rFonts w:ascii="Times New Roman" w:hAnsi="Times New Roman" w:eastAsia="仿宋_GB2312" w:cs="Times New Roman"/>
      <w:sz w:val="24"/>
      <w:szCs w:val="24"/>
      <w:lang w:val="en-US" w:eastAsia="zh-CN" w:bidi="ar-SA"/>
    </w:rPr>
  </w:style>
  <w:style w:type="paragraph" w:customStyle="1" w:styleId="467">
    <w:name w:val="修订6"/>
    <w:hidden/>
    <w:unhideWhenUsed/>
    <w:qFormat/>
    <w:uiPriority w:val="99"/>
    <w:rPr>
      <w:rFonts w:ascii="Times New Roman" w:hAnsi="Times New Roman" w:eastAsia="仿宋_GB2312" w:cs="Times New Roman"/>
      <w:sz w:val="24"/>
      <w:szCs w:val="24"/>
      <w:lang w:val="en-US" w:eastAsia="zh-CN" w:bidi="ar-SA"/>
    </w:rPr>
  </w:style>
  <w:style w:type="paragraph" w:customStyle="1" w:styleId="468">
    <w:name w:val="正文首行缩进 21"/>
    <w:basedOn w:val="469"/>
    <w:next w:val="470"/>
    <w:qFormat/>
    <w:uiPriority w:val="0"/>
    <w:pPr>
      <w:spacing w:after="120"/>
      <w:ind w:left="420" w:firstLine="420"/>
    </w:pPr>
    <w:rPr>
      <w:sz w:val="24"/>
      <w:szCs w:val="24"/>
    </w:rPr>
  </w:style>
  <w:style w:type="paragraph" w:customStyle="1" w:styleId="469">
    <w:name w:val="正文文本缩进1"/>
    <w:basedOn w:val="470"/>
    <w:next w:val="471"/>
    <w:qFormat/>
    <w:uiPriority w:val="0"/>
    <w:pPr>
      <w:ind w:firstLine="630"/>
    </w:pPr>
    <w:rPr>
      <w:sz w:val="20"/>
      <w:szCs w:val="20"/>
    </w:rPr>
  </w:style>
  <w:style w:type="paragraph" w:customStyle="1" w:styleId="470">
    <w:name w:val="正文11"/>
    <w:next w:val="46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71">
    <w:name w:val="寄信人地址1"/>
    <w:basedOn w:val="470"/>
    <w:qFormat/>
    <w:uiPriority w:val="0"/>
    <w:rPr>
      <w:rFonts w:ascii="Arial" w:hAnsi="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ql</Company>
  <Pages>72</Pages>
  <Words>14607</Words>
  <Characters>15714</Characters>
  <Lines>327</Lines>
  <Paragraphs>92</Paragraphs>
  <TotalTime>41</TotalTime>
  <ScaleCrop>false</ScaleCrop>
  <LinksUpToDate>false</LinksUpToDate>
  <CharactersWithSpaces>15872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2025-01-17T07:40:00Z</dcterms:created>
  <dc:creator>戴 健秋</dc:creator>
  <cp:lastModifiedBy>lenovo</cp:lastModifiedBy>
  <dcterms:modified xsi:type="dcterms:W3CDTF">2025-08-05T10:02:00Z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2AB1E26AECFE48A4A66793882E941089_13</vt:lpwstr>
  </property>
  <property fmtid="{D5CDD505-2E9C-101B-9397-08002B2CF9AE}" pid="4" name="KSOTemplateDocerSaveRecord">
    <vt:lpwstr>eyJoZGlkIjoiNTM2NWY3NTI2NWEwZGFhYmVjNDM4YWU5MjJiOGY2YjYifQ==</vt:lpwstr>
  </property>
</Properties>
</file>