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left"/>
        <w:pageBreakBefore w:val="0"/>
        <w:spacing w:beforeAutospacing="0" w:afterAutospacing="0" w:line="440" w:lineRule="exact"/>
        <w:shd w:val="clear" w:color="auto"/>
        <w:rPr>
          <w:rFonts w:hint="eastAsia" w:ascii="宋体" w:hAnsi="宋体" w:eastAsia="宋体" w:cs="宋体"/>
          <w:b/>
          <w:color w:val="auto"/>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rPr>
      </w:r>
      <w:r/>
    </w:p>
    <w:p>
      <w:pPr>
        <w:ind w:left="0" w:right="0"/>
        <w:jc w:val="center"/>
        <w:pageBreakBefore w:val="0"/>
        <w:spacing w:beforeAutospacing="0" w:afterAutospacing="0" w:line="360" w:lineRule="auto"/>
        <w:shd w:val="clear" w:color="auto"/>
        <w:rPr>
          <w:rFonts w:hint="eastAsia" w:ascii="宋体" w:hAnsi="宋体" w:eastAsia="宋体" w:cs="宋体"/>
          <w:b/>
          <w:color w:val="auto"/>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rPr>
      </w:r>
      <w:r/>
    </w:p>
    <w:p>
      <w:pPr>
        <w:ind w:left="0" w:right="0"/>
        <w:jc w:val="center"/>
        <w:pageBreakBefore w:val="0"/>
        <w:spacing w:beforeAutospacing="0" w:afterAutospacing="0" w:line="360" w:lineRule="auto"/>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rPr>
        <w:t xml:space="preserve">招　标　文　件</w:t>
      </w:r>
      <w:r/>
    </w:p>
    <w:p>
      <w:pPr>
        <w:ind w:left="0" w:right="0"/>
        <w:pageBreakBefore w:val="0"/>
        <w:spacing w:beforeAutospacing="0" w:afterAutospacing="0" w:line="440" w:lineRule="exact"/>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pageBreakBefore w:val="0"/>
        <w:spacing w:beforeAutospacing="0" w:afterAutospacing="0" w:line="440" w:lineRule="exact"/>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643"/>
        <w:keepLines w:val="0"/>
        <w:keepNext w:val="0"/>
        <w:pageBreakBefore w:val="0"/>
        <w:spacing w:beforeAutospacing="0" w:afterAutospacing="0" w:line="440" w:lineRule="exact"/>
        <w:shd w:val="clear" w:color="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项目名称：</w:t>
      </w:r>
      <w:r>
        <w:rPr>
          <w:rFonts w:hint="eastAsia" w:ascii="宋体" w:hAnsi="宋体" w:cs="宋体"/>
          <w:b/>
          <w:color w:val="auto"/>
          <w:sz w:val="32"/>
          <w:highlight w:val="none"/>
          <w:lang w:eastAsia="zh-CN"/>
        </w:rPr>
        <w:t xml:space="preserve">成子湖龙集水源地蓝藻水华应急防控物资-挡藻导流围隔采购安装项目</w:t>
      </w:r>
      <w:r/>
    </w:p>
    <w:p>
      <w:pPr>
        <w:ind w:left="0" w:right="0" w:firstLine="643"/>
        <w:keepLines w:val="0"/>
        <w:keepNext w:val="0"/>
        <w:pageBreakBefore w:val="0"/>
        <w:spacing w:beforeAutospacing="0" w:afterAutospacing="0" w:line="440" w:lineRule="exact"/>
        <w:shd w:val="clear" w:color="auto"/>
        <w:widowControl w:val="off"/>
        <w:rPr>
          <w:rFonts w:hint="eastAsia"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项目编号：JSZC-321324-JSCW-G2025-0021</w:t>
      </w:r>
      <w:r/>
    </w:p>
    <w:p>
      <w:pPr>
        <w:ind w:left="0" w:right="0"/>
        <w:pageBreakBefore w:val="0"/>
        <w:spacing w:beforeAutospacing="0" w:afterAutospacing="0" w:line="440" w:lineRule="exact"/>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w:t>
      </w:r>
      <w:r>
        <w:rPr>
          <w:rFonts w:hint="eastAsia" w:ascii="宋体" w:hAnsi="宋体" w:eastAsia="宋体" w:cs="宋体"/>
          <w:b/>
          <w:color w:val="auto"/>
          <w:sz w:val="30"/>
          <w:highlight w:val="none"/>
          <w:u w:val="single"/>
        </w:rPr>
        <w:t xml:space="preserve">货物</w:t>
      </w:r>
      <w:r>
        <w:rPr>
          <w:rFonts w:hint="eastAsia" w:ascii="宋体" w:hAnsi="宋体" w:eastAsia="宋体" w:cs="宋体"/>
          <w:b/>
          <w:color w:val="auto"/>
          <w:sz w:val="30"/>
          <w:highlight w:val="none"/>
        </w:rPr>
        <w:t xml:space="preserve">类项目，</w:t>
      </w:r>
      <w:r>
        <w:rPr>
          <w:rFonts w:hint="eastAsia" w:ascii="宋体" w:hAnsi="宋体" w:eastAsia="宋体" w:cs="宋体"/>
          <w:b/>
          <w:color w:val="auto"/>
          <w:sz w:val="30"/>
          <w:highlight w:val="none"/>
          <w:lang w:val="en-US" w:eastAsia="zh-CN"/>
        </w:rPr>
        <w:t xml:space="preserve">本项目</w:t>
      </w:r>
      <w:r>
        <w:rPr>
          <w:rFonts w:hint="eastAsia" w:ascii="宋体" w:hAnsi="宋体" w:eastAsia="宋体" w:cs="宋体"/>
          <w:b/>
          <w:color w:val="auto"/>
          <w:sz w:val="30"/>
          <w:highlight w:val="none"/>
          <w:u w:val="single"/>
        </w:rPr>
        <w:t xml:space="preserve"> 专 </w:t>
      </w:r>
      <w:r>
        <w:rPr>
          <w:rFonts w:hint="eastAsia" w:ascii="宋体" w:hAnsi="宋体" w:eastAsia="宋体" w:cs="宋体"/>
          <w:b/>
          <w:color w:val="auto"/>
          <w:sz w:val="30"/>
          <w:highlight w:val="none"/>
        </w:rPr>
        <w:t xml:space="preserve">门面向中小企业）</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643"/>
        <w:pageBreakBefore w:val="0"/>
        <w:spacing w:beforeAutospacing="0" w:afterAutospacing="0" w:line="440" w:lineRule="exact"/>
        <w:shd w:val="clear" w:color="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w:t>
      </w:r>
      <w:r>
        <w:rPr>
          <w:rFonts w:hint="eastAsia" w:ascii="宋体" w:hAnsi="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购</w:t>
      </w:r>
      <w:r>
        <w:rPr>
          <w:rFonts w:hint="eastAsia" w:ascii="宋体" w:hAnsi="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人：</w:t>
      </w:r>
      <w:r>
        <w:rPr>
          <w:rFonts w:hint="eastAsia" w:ascii="宋体" w:hAnsi="宋体" w:cs="宋体"/>
          <w:b/>
          <w:color w:val="auto"/>
          <w:sz w:val="32"/>
          <w:highlight w:val="none"/>
          <w:u w:val="single"/>
          <w:lang w:eastAsia="zh-CN"/>
        </w:rPr>
        <w:t xml:space="preserve">泗洪县水利局  </w:t>
      </w:r>
      <w:r/>
    </w:p>
    <w:p>
      <w:pPr>
        <w:ind w:left="0" w:right="0" w:firstLine="643"/>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采购代理机构：</w:t>
      </w:r>
      <w:r>
        <w:rPr>
          <w:rFonts w:hint="eastAsia" w:ascii="宋体" w:hAnsi="宋体" w:cs="宋体"/>
          <w:b/>
          <w:color w:val="auto"/>
          <w:sz w:val="32"/>
          <w:highlight w:val="none"/>
          <w:u w:val="single"/>
          <w:lang w:eastAsia="zh-CN"/>
        </w:rPr>
        <w:t xml:space="preserve">江苏春为全过程工程咨询有限公司</w:t>
      </w:r>
      <w:r/>
    </w:p>
    <w:p>
      <w:pPr>
        <w:ind w:left="0" w:right="0" w:firstLine="257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u w:val="single"/>
        </w:rPr>
        <w:t xml:space="preserve">202</w:t>
      </w:r>
      <w:r>
        <w:rPr>
          <w:rFonts w:hint="eastAsia" w:ascii="宋体" w:hAnsi="宋体" w:cs="宋体"/>
          <w:b/>
          <w:color w:val="auto"/>
          <w:sz w:val="32"/>
          <w:highlight w:val="none"/>
          <w:u w:val="single"/>
          <w:lang w:val="en-US" w:eastAsia="zh-CN"/>
        </w:rPr>
        <w:t xml:space="preserve">5</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 xml:space="preserve">04</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 xml:space="preserve">23</w:t>
      </w:r>
      <w:r>
        <w:rPr>
          <w:rFonts w:hint="eastAsia" w:ascii="宋体" w:hAnsi="宋体" w:eastAsia="宋体" w:cs="宋体"/>
          <w:b/>
          <w:color w:val="auto"/>
          <w:sz w:val="32"/>
          <w:highlight w:val="none"/>
        </w:rPr>
        <w:t xml:space="preserve">日</w:t>
      </w:r>
      <w:r/>
    </w:p>
    <w:p>
      <w:pPr>
        <w:pStyle w:val="800"/>
        <w:ind w:left="0" w:right="0"/>
        <w:pageBreakBefore w:val="0"/>
        <w:spacing w:beforeAutospacing="0" w:afterAutospacing="0" w:line="440" w:lineRule="exact"/>
        <w:shd w:val="clear" w:color="auto"/>
        <w:rPr>
          <w:rFonts w:hint="eastAsia" w:ascii="宋体" w:hAnsi="宋体" w:eastAsia="宋体" w:cs="宋体"/>
          <w:color w:val="auto"/>
          <w:sz w:val="36"/>
          <w:szCs w:val="36"/>
          <w:highlight w:val="none"/>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6"/>
          <w:szCs w:val="36"/>
          <w:highlight w:val="none"/>
        </w:rPr>
      </w:r>
      <w:r/>
    </w:p>
    <w:p>
      <w:pPr>
        <w:rPr>
          <w:rFonts w:hint="eastAsia"/>
          <w:color w:val="auto"/>
          <w:highlight w:val="none"/>
        </w:rPr>
      </w:pPr>
      <w:r>
        <w:rPr>
          <w:rFonts w:hint="eastAsia"/>
          <w:color w:val="auto"/>
          <w:highlight w:val="none"/>
        </w:rPr>
      </w:r>
      <w:r/>
    </w:p>
    <w:p>
      <w:pPr>
        <w:ind w:left="0" w:right="0"/>
        <w:jc w:val="center"/>
        <w:pageBreakBefore w:val="0"/>
        <w:spacing w:beforeAutospacing="0" w:afterAutospacing="0" w:line="440" w:lineRule="exact"/>
        <w:shd w:val="clear" w:color="auto"/>
        <w:rPr>
          <w:rFonts w:hint="eastAsia" w:ascii="宋体" w:hAnsi="宋体" w:eastAsia="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szCs w:val="36"/>
          <w:highlight w:val="none"/>
        </w:rPr>
        <w:t xml:space="preserve"> </w:t>
      </w:r>
      <w:r>
        <w:rPr>
          <w:rFonts w:hint="eastAsia" w:ascii="宋体" w:hAnsi="宋体" w:eastAsia="宋体" w:cs="宋体"/>
          <w:b/>
          <w:color w:val="auto"/>
          <w:sz w:val="36"/>
          <w:szCs w:val="36"/>
          <w:highlight w:val="none"/>
        </w:rPr>
        <w:t xml:space="preserve">总目录</w:t>
      </w:r>
      <w:r/>
    </w:p>
    <w:p>
      <w:pPr>
        <w:ind w:left="0" w:right="0"/>
        <w:pageBreakBefore w:val="0"/>
        <w:spacing w:beforeAutospacing="0" w:afterAutospacing="0" w:line="440" w:lineRule="exact"/>
        <w:shd w:val="clear" w:color="auto"/>
        <w:rPr>
          <w:rFonts w:hint="eastAsia" w:ascii="宋体" w:hAnsi="宋体" w:eastAsia="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szCs w:val="36"/>
          <w:highlight w:val="none"/>
        </w:rPr>
        <w:t xml:space="preserve">第一章 投标邀请函………………………………</w:t>
      </w:r>
      <w:r>
        <w:rPr>
          <w:rFonts w:hint="eastAsia" w:ascii="宋体" w:hAnsi="宋体" w:cs="宋体"/>
          <w:color w:val="auto"/>
          <w:sz w:val="36"/>
          <w:szCs w:val="36"/>
          <w:highlight w:val="none"/>
          <w:lang w:val="en-US" w:eastAsia="zh-CN"/>
        </w:rPr>
        <w:t xml:space="preserve">1</w:t>
      </w:r>
      <w:r>
        <w:rPr>
          <w:rFonts w:hint="eastAsia" w:ascii="宋体" w:hAnsi="宋体" w:eastAsia="宋体" w:cs="宋体"/>
          <w:color w:val="auto"/>
          <w:sz w:val="36"/>
          <w:szCs w:val="36"/>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szCs w:val="36"/>
          <w:highlight w:val="none"/>
        </w:rPr>
        <w:t xml:space="preserve">第二章 投标人须知………………………………</w:t>
      </w:r>
      <w:r>
        <w:rPr>
          <w:rFonts w:hint="eastAsia" w:ascii="宋体" w:hAnsi="宋体" w:cs="宋体"/>
          <w:color w:val="auto"/>
          <w:sz w:val="36"/>
          <w:szCs w:val="36"/>
          <w:highlight w:val="none"/>
          <w:lang w:val="en-US" w:eastAsia="zh-CN"/>
        </w:rPr>
        <w:t xml:space="preserve">4</w:t>
      </w:r>
      <w:r>
        <w:rPr>
          <w:rFonts w:hint="eastAsia" w:ascii="宋体" w:hAnsi="宋体" w:eastAsia="宋体" w:cs="宋体"/>
          <w:color w:val="auto"/>
          <w:sz w:val="36"/>
          <w:szCs w:val="36"/>
          <w:highlight w:val="none"/>
        </w:rPr>
        <w:t xml:space="preserve"> </w:t>
      </w:r>
      <w:r/>
    </w:p>
    <w:p>
      <w:pPr>
        <w:ind w:left="0" w:right="0"/>
        <w:pageBreakBefore w:val="0"/>
        <w:spacing w:beforeAutospacing="0" w:afterAutospacing="0" w:line="440" w:lineRule="exact"/>
        <w:shd w:val="clear" w:color="auto"/>
        <w:rPr>
          <w:rFonts w:hint="default"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szCs w:val="36"/>
          <w:highlight w:val="none"/>
        </w:rPr>
        <w:t xml:space="preserve">第三章 合同文本</w:t>
      </w:r>
      <w:r>
        <w:rPr>
          <w:rFonts w:hint="eastAsia" w:ascii="宋体" w:hAnsi="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w:t>
      </w:r>
      <w:r>
        <w:rPr>
          <w:rFonts w:hint="eastAsia" w:ascii="宋体" w:hAnsi="宋体" w:cs="宋体"/>
          <w:color w:val="auto"/>
          <w:sz w:val="36"/>
          <w:szCs w:val="36"/>
          <w:highlight w:val="none"/>
          <w:lang w:val="en-US" w:eastAsia="zh-CN"/>
        </w:rPr>
        <w:t xml:space="preserve">20</w:t>
      </w:r>
      <w:r/>
    </w:p>
    <w:p>
      <w:pPr>
        <w:ind w:left="0" w:right="0"/>
        <w:pageBreakBefore w:val="0"/>
        <w:spacing w:beforeAutospacing="0" w:afterAutospacing="0" w:line="440" w:lineRule="exact"/>
        <w:shd w:val="clear" w:color="auto"/>
        <w:rPr>
          <w:rFonts w:hint="default"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szCs w:val="36"/>
          <w:highlight w:val="none"/>
        </w:rPr>
        <w:t xml:space="preserve">第四章 采购需求</w:t>
      </w:r>
      <w:r>
        <w:rPr>
          <w:rFonts w:hint="eastAsia" w:ascii="宋体" w:hAnsi="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w:t>
      </w:r>
      <w:r>
        <w:rPr>
          <w:rFonts w:hint="eastAsia" w:ascii="宋体" w:hAnsi="宋体" w:cs="宋体"/>
          <w:color w:val="auto"/>
          <w:sz w:val="36"/>
          <w:szCs w:val="36"/>
          <w:highlight w:val="none"/>
          <w:lang w:val="en-US" w:eastAsia="zh-CN"/>
        </w:rPr>
        <w:t xml:space="preserve">43</w:t>
      </w:r>
      <w:r/>
    </w:p>
    <w:p>
      <w:pPr>
        <w:ind w:left="0" w:right="0"/>
        <w:pageBreakBefore w:val="0"/>
        <w:spacing w:beforeAutospacing="0" w:afterAutospacing="0" w:line="440" w:lineRule="exact"/>
        <w:shd w:val="clear" w:color="auto"/>
        <w:rPr>
          <w:rFonts w:hint="default"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szCs w:val="36"/>
          <w:highlight w:val="none"/>
        </w:rPr>
        <w:t xml:space="preserve">第五章 评标方法与评标标准……………………</w:t>
      </w:r>
      <w:r>
        <w:rPr>
          <w:rFonts w:hint="eastAsia" w:ascii="宋体" w:hAnsi="宋体" w:cs="宋体"/>
          <w:color w:val="auto"/>
          <w:sz w:val="36"/>
          <w:szCs w:val="36"/>
          <w:highlight w:val="none"/>
          <w:lang w:val="en-US" w:eastAsia="zh-CN"/>
        </w:rPr>
        <w:t xml:space="preserve">58</w:t>
      </w:r>
      <w:r/>
    </w:p>
    <w:p>
      <w:pPr>
        <w:ind w:left="0" w:right="0"/>
        <w:pageBreakBefore w:val="0"/>
        <w:spacing w:beforeAutospacing="0" w:afterAutospacing="0" w:line="440" w:lineRule="exact"/>
        <w:shd w:val="clear" w:color="auto"/>
        <w:rPr>
          <w:rFonts w:hint="default"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szCs w:val="36"/>
          <w:highlight w:val="none"/>
        </w:rPr>
        <w:t xml:space="preserve">第六章 投标文件格式</w:t>
      </w:r>
      <w:r>
        <w:rPr>
          <w:rFonts w:hint="eastAsia" w:ascii="宋体" w:hAnsi="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w:t>
      </w:r>
      <w:r>
        <w:rPr>
          <w:rFonts w:hint="eastAsia" w:ascii="宋体" w:hAnsi="宋体" w:cs="宋体"/>
          <w:color w:val="auto"/>
          <w:sz w:val="36"/>
          <w:szCs w:val="36"/>
          <w:highlight w:val="none"/>
          <w:lang w:val="en-US" w:eastAsia="zh-CN"/>
        </w:rPr>
        <w:t xml:space="preserve">62</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
          <w:color w:val="auto"/>
          <w:sz w:val="44"/>
          <w:highlight w:val="none"/>
        </w:rPr>
      </w:r>
      <w:r/>
    </w:p>
    <w:p>
      <w:pPr>
        <w:ind w:left="0" w:right="0"/>
        <w:jc w:val="center"/>
        <w:keepLines w:val="0"/>
        <w:keepNext w:val="0"/>
        <w:pageBreakBefore w:val="0"/>
        <w:spacing w:beforeAutospacing="0" w:after="181" w:afterAutospacing="0" w:line="440" w:lineRule="exact"/>
        <w:shd w:val="clear" w:color="auto"/>
        <w:widowControl w:val="off"/>
        <w:rPr>
          <w:rFonts w:hint="eastAsia" w:ascii="宋体" w:hAnsi="宋体" w:eastAsia="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rPr>
        <w:t xml:space="preserve">第一章投标邀请函</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ind w:left="0" w:right="0" w:firstLine="0"/>
              <w:pageBreakBefore w:val="0"/>
              <w:spacing w:beforeAutospacing="0" w:after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项目概况</w:t>
            </w:r>
            <w:r/>
          </w:p>
          <w:p>
            <w:pPr>
              <w:ind w:left="0" w:right="0" w:firstLine="0"/>
              <w:pageBreakBefore w:val="0"/>
              <w:spacing w:beforeAutospacing="0" w:after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成子湖龙集水源地蓝藻水华应急防控物资-挡藻导流围隔采购安装项目（</w:t>
            </w:r>
            <w:r>
              <w:rPr>
                <w:rFonts w:hint="eastAsia" w:ascii="宋体" w:hAnsi="宋体" w:eastAsia="宋体" w:cs="宋体"/>
                <w:color w:val="auto"/>
                <w:sz w:val="24"/>
                <w:szCs w:val="24"/>
                <w:highlight w:val="none"/>
                <w:u w:val="single"/>
                <w:lang w:val="en-US" w:eastAsia="zh-CN"/>
              </w:rPr>
              <w:t xml:space="preserve">JSZC-321324-JSCW-G2025-0021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的潜在投标人应在采购文件提供的时间内，通过“苏采云”系统（网址：</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fldChar w:fldCharType="begin"/>
            </w:r>
            <w:r>
              <w:rPr>
                <w:rFonts w:hint="eastAsia" w:ascii="宋体" w:hAnsi="宋体" w:eastAsia="宋体" w:cs="宋体"/>
                <w:color w:val="auto"/>
                <w:sz w:val="24"/>
                <w:szCs w:val="24"/>
                <w:highlight w:val="none"/>
                <w:u w:val="none"/>
              </w:rPr>
              <w:instrText xml:space="preserve"> HYPERLINK "http://jszfcg.jsczt.cn）或宿迁市政府采购网点击\“政府采购管理交易系统（苏采云）\”，使用CA锁进入系统从\“项目参与\”--\“采购项目\”菜单中，找到本项目获取采购文件（后缀名为\“kedt\”）获取招标文件，并于2025-" </w:instrText>
            </w:r>
            <w:r>
              <w:rPr>
                <w:rFonts w:hint="eastAsia" w:ascii="宋体" w:hAnsi="宋体" w:eastAsia="宋体" w:cs="宋体"/>
                <w:color w:val="auto"/>
                <w:sz w:val="24"/>
                <w:szCs w:val="24"/>
                <w:highlight w:val="none"/>
                <w:u w:val="none"/>
              </w:rPr>
              <w:fldChar w:fldCharType="separate"/>
            </w:r>
            <w:r>
              <w:rPr>
                <w:rStyle w:val="793"/>
                <w:rFonts w:hint="eastAsia" w:ascii="宋体" w:hAnsi="宋体" w:eastAsia="宋体" w:cs="宋体"/>
                <w:color w:val="auto"/>
                <w:sz w:val="24"/>
                <w:szCs w:val="24"/>
                <w:highlight w:val="none"/>
                <w:u w:val="none"/>
              </w:rPr>
              <w:t xml:space="preserve">http://jszfcg.jsczt.cn）或宿迁市政府采购网点击“政府采购管理交易系统（苏采云）”，使用CA锁进入系统从“项目参与”--“采购项目”菜单中，找到本项目获取采购文件（后缀名为“kedt”）获取招标文件，并于2025-</w:t>
            </w:r>
            <w:r>
              <w:rPr>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u w:val="none"/>
                <w:lang w:val="en-US" w:eastAsia="zh-CN"/>
              </w:rPr>
              <w:t xml:space="preserve">0</w:t>
            </w:r>
            <w:r>
              <w:rPr>
                <w:rFonts w:hint="eastAsia" w:ascii="宋体" w:hAnsi="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19</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09:00 （</w:t>
            </w:r>
            <w:r>
              <w:rPr>
                <w:rFonts w:hint="eastAsia" w:ascii="宋体" w:hAnsi="宋体" w:eastAsia="宋体" w:cs="宋体"/>
                <w:color w:val="auto"/>
                <w:sz w:val="24"/>
                <w:szCs w:val="24"/>
                <w:highlight w:val="none"/>
              </w:rPr>
              <w:t xml:space="preserve">北京时间）前递交投标文件。</w:t>
            </w:r>
            <w:r/>
          </w:p>
        </w:tc>
      </w:tr>
    </w:tbl>
    <w:p>
      <w:pPr>
        <w:ind w:left="0" w:right="0" w:firstLine="480"/>
        <w:pageBreakBefore w:val="0"/>
        <w:spacing w:beforeAutospacing="0" w:afterAutospacing="0" w:line="440" w:lineRule="exact"/>
        <w:shd w:val="clear" w:color="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一、项目基本情况</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0" w:name="OLE_LINK9"/>
      <w:r>
        <w:rPr>
          <w:rFonts w:hint="eastAsia" w:ascii="宋体" w:hAnsi="宋体" w:eastAsia="宋体" w:cs="宋体"/>
          <w:color w:val="auto"/>
          <w:sz w:val="24"/>
          <w:szCs w:val="24"/>
          <w:highlight w:val="none"/>
        </w:rPr>
        <w:t xml:space="preserve">1.项目编号：JSZC-321324-JSCW-G2025-0021</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成子湖龙集水源地蓝藻水华应急防控物资-挡藻导流围隔采购安装项目</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3.预算金额：</w:t>
      </w:r>
      <w:r>
        <w:rPr>
          <w:rFonts w:hint="eastAsia" w:ascii="宋体" w:hAnsi="宋体" w:cs="宋体"/>
          <w:bCs/>
          <w:color w:val="auto"/>
          <w:sz w:val="24"/>
          <w:szCs w:val="24"/>
          <w:highlight w:val="none"/>
          <w:lang w:val="en-US" w:eastAsia="zh-CN"/>
        </w:rPr>
        <w:t xml:space="preserve">326.2</w:t>
      </w:r>
      <w:r>
        <w:rPr>
          <w:rFonts w:hint="eastAsia" w:ascii="宋体" w:hAnsi="宋体" w:eastAsia="宋体" w:cs="宋体"/>
          <w:bCs/>
          <w:color w:val="auto"/>
          <w:sz w:val="24"/>
          <w:szCs w:val="24"/>
          <w:highlight w:val="none"/>
          <w:lang w:val="en-US" w:eastAsia="zh-CN"/>
        </w:rPr>
        <w:t xml:space="preserve">万</w:t>
      </w:r>
      <w:r>
        <w:rPr>
          <w:rFonts w:hint="eastAsia" w:ascii="宋体" w:hAnsi="宋体" w:eastAsia="宋体" w:cs="宋体"/>
          <w:bCs/>
          <w:color w:val="auto"/>
          <w:sz w:val="24"/>
          <w:szCs w:val="24"/>
          <w:highlight w:val="none"/>
          <w:lang w:eastAsia="zh-CN"/>
        </w:rPr>
        <w:t xml:space="preserve">元</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cs="宋体"/>
          <w:bCs/>
          <w:color w:val="auto"/>
          <w:sz w:val="24"/>
          <w:szCs w:val="24"/>
          <w:highlight w:val="none"/>
          <w:lang w:val="en-US" w:eastAsia="zh-CN"/>
        </w:rPr>
        <w:t xml:space="preserve">326.2</w:t>
      </w:r>
      <w:r>
        <w:rPr>
          <w:rFonts w:hint="eastAsia" w:ascii="宋体" w:hAnsi="宋体" w:eastAsia="宋体" w:cs="宋体"/>
          <w:bCs/>
          <w:color w:val="auto"/>
          <w:sz w:val="24"/>
          <w:szCs w:val="24"/>
          <w:highlight w:val="none"/>
          <w:lang w:val="en-US" w:eastAsia="zh-CN"/>
        </w:rPr>
        <w:t xml:space="preserve">万</w:t>
      </w:r>
      <w:r>
        <w:rPr>
          <w:rFonts w:hint="eastAsia" w:ascii="宋体" w:hAnsi="宋体" w:eastAsia="宋体" w:cs="宋体"/>
          <w:bCs/>
          <w:color w:val="auto"/>
          <w:sz w:val="24"/>
          <w:szCs w:val="24"/>
          <w:highlight w:val="none"/>
          <w:lang w:eastAsia="zh-CN"/>
        </w:rPr>
        <w:t xml:space="preserve">元</w:t>
      </w:r>
      <w:r>
        <w:rPr>
          <w:rFonts w:hint="eastAsia" w:ascii="宋体" w:hAnsi="宋体" w:eastAsia="宋体" w:cs="宋体"/>
          <w:color w:val="auto"/>
          <w:sz w:val="24"/>
          <w:szCs w:val="24"/>
          <w:highlight w:val="none"/>
        </w:rPr>
        <w:t xml:space="preserve">。</w:t>
      </w:r>
      <w:bookmarkEnd w:id="0"/>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 w:name="OLE_LINK58"/>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val="en-US" w:eastAsia="zh-CN"/>
        </w:rPr>
        <w:t xml:space="preserve">泗洪县水利局拟在成子湖龙集水源地一级保护区范围设置挡藻围隔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防止蓝藻水华对水源地构成威胁，保障水源地取水安全。</w:t>
      </w:r>
      <w:r>
        <w:rPr>
          <w:rFonts w:hint="eastAsia" w:ascii="宋体" w:hAnsi="宋体" w:eastAsia="宋体" w:cs="宋体"/>
          <w:color w:val="auto"/>
          <w:sz w:val="24"/>
          <w:szCs w:val="24"/>
          <w:highlight w:val="none"/>
        </w:rPr>
        <w:t xml:space="preserve">详细内容见</w:t>
      </w:r>
      <w:r>
        <w:rPr>
          <w:rFonts w:hint="eastAsia" w:ascii="宋体" w:hAnsi="宋体" w:eastAsia="宋体" w:cs="宋体"/>
          <w:color w:val="auto"/>
          <w:sz w:val="24"/>
          <w:szCs w:val="24"/>
          <w:highlight w:val="none"/>
          <w:lang w:val="en-US" w:eastAsia="zh-CN"/>
        </w:rPr>
        <w:t xml:space="preserve">本招标文件第四章</w:t>
      </w:r>
      <w:r>
        <w:rPr>
          <w:rFonts w:hint="eastAsia" w:ascii="宋体" w:hAnsi="宋体" w:eastAsia="宋体" w:cs="宋体"/>
          <w:color w:val="auto"/>
          <w:sz w:val="24"/>
          <w:szCs w:val="24"/>
          <w:highlight w:val="none"/>
        </w:rPr>
        <w:t xml:space="preserve">。</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bookmarkStart w:id="2" w:name="OLE_LINK36"/>
      <w:r>
        <w:rPr>
          <w:rFonts w:hint="eastAsia" w:ascii="宋体" w:hAnsi="宋体" w:eastAsia="宋体" w:cs="宋体"/>
          <w:color w:val="auto"/>
          <w:sz w:val="24"/>
          <w:szCs w:val="24"/>
          <w:highlight w:val="none"/>
        </w:rPr>
        <w:t xml:space="preserve">合同履行期限：</w:t>
      </w:r>
      <w:bookmarkEnd w:id="1"/>
      <w:r/>
      <w:bookmarkEnd w:id="2"/>
      <w:r>
        <w:rPr>
          <w:rFonts w:hint="eastAsia" w:ascii="宋体" w:hAnsi="宋体" w:eastAsia="宋体" w:cs="宋体"/>
          <w:color w:val="auto"/>
          <w:sz w:val="24"/>
          <w:szCs w:val="24"/>
          <w:highlight w:val="none"/>
          <w:lang w:val="en-US" w:eastAsia="zh-CN"/>
        </w:rPr>
        <w:t xml:space="preserve">45日历天。</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联合体投标。</w:t>
      </w:r>
      <w:r/>
    </w:p>
    <w:p>
      <w:pPr>
        <w:ind w:left="0" w:right="0" w:firstLine="480"/>
        <w:pageBreakBefore w:val="0"/>
        <w:spacing w:beforeAutospacing="0" w:afterAutospacing="0" w:line="440" w:lineRule="exact"/>
        <w:shd w:val="clear" w:color="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二、申请人的资格要求：</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（一）通用资格要求</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3" w:name="OLE_LINK59"/>
      <w:r/>
      <w:bookmarkStart w:id="4" w:name="OLE_LINK33"/>
      <w:r>
        <w:rPr>
          <w:rFonts w:hint="eastAsia" w:ascii="宋体" w:hAnsi="宋体" w:eastAsia="宋体" w:cs="宋体"/>
          <w:color w:val="auto"/>
          <w:sz w:val="24"/>
          <w:szCs w:val="24"/>
          <w:highlight w:val="none"/>
        </w:rPr>
        <w:t xml:space="preserve">1.</w:t>
      </w:r>
      <w:bookmarkStart w:id="5" w:name="OLE_LINK16"/>
      <w:r>
        <w:rPr>
          <w:rFonts w:hint="eastAsia" w:ascii="宋体" w:hAnsi="宋体" w:eastAsia="宋体" w:cs="宋体"/>
          <w:color w:val="auto"/>
          <w:sz w:val="24"/>
          <w:szCs w:val="24"/>
          <w:highlight w:val="none"/>
        </w:rPr>
        <w:t xml:space="preserve">具备《中华人民共和国政府采购法》第二十二条第一款规定的6项条件（按要求提供投标声明及承诺函）。</w:t>
      </w:r>
      <w:bookmarkEnd w:id="3"/>
      <w:r/>
      <w:bookmarkEnd w:id="5"/>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bookmarkStart w:id="6" w:name="OLE_LINK17"/>
      <w:r>
        <w:rPr>
          <w:rFonts w:hint="eastAsia" w:ascii="宋体" w:hAnsi="宋体" w:eastAsia="宋体" w:cs="宋体"/>
          <w:color w:val="auto"/>
          <w:sz w:val="24"/>
          <w:szCs w:val="24"/>
          <w:highlight w:val="none"/>
        </w:rPr>
        <w:t xml:space="preserve">信用信息。</w:t>
      </w:r>
      <w:bookmarkEnd w:id="4"/>
      <w:r/>
      <w:bookmarkEnd w:id="6"/>
      <w:r>
        <w:rPr>
          <w:rFonts w:hint="eastAsia" w:ascii="宋体" w:hAnsi="宋体" w:eastAsia="宋体" w:cs="宋体"/>
          <w:color w:val="auto"/>
          <w:sz w:val="24"/>
          <w:szCs w:val="24"/>
          <w:highlight w:val="none"/>
        </w:rPr>
        <w:t xml:space="preserve">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bookmarkStart w:id="7" w:name="OLE_LINK67"/>
      <w:r/>
      <w:bookmarkStart w:id="8" w:name="OLE_LINK18"/>
      <w:r>
        <w:rPr>
          <w:rFonts w:hint="eastAsia" w:ascii="宋体" w:hAnsi="宋体" w:eastAsia="宋体" w:cs="宋体"/>
          <w:color w:val="auto"/>
          <w:sz w:val="24"/>
          <w:szCs w:val="24"/>
          <w:highlight w:val="none"/>
        </w:rPr>
        <w:t xml:space="preserve">不接受联合体投标</w:t>
      </w:r>
      <w:bookmarkEnd w:id="7"/>
      <w:r/>
      <w:bookmarkEnd w:id="8"/>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（二）落实政府采购政策需满足的资格要求：</w:t>
      </w:r>
      <w:bookmarkStart w:id="9" w:name="OLE_LINK11"/>
      <w:r/>
      <w:bookmarkStart w:id="10" w:name="OLE_LINK68"/>
      <w:r>
        <w:rPr>
          <w:rFonts w:hint="eastAsia" w:ascii="宋体" w:hAnsi="宋体" w:eastAsia="宋体" w:cs="宋体"/>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bookmarkEnd w:id="9"/>
      <w:r/>
      <w:bookmarkEnd w:id="10"/>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（三）本项目的特定资格要求：无。</w:t>
      </w:r>
      <w:r/>
    </w:p>
    <w:p>
      <w:pPr>
        <w:pStyle w:val="757"/>
        <w:ind w:left="0" w:right="0" w:firstLine="498"/>
        <w:pageBreakBefore w:val="0"/>
        <w:spacing w:before="0" w:beforeAutospacing="0" w:after="0" w:afterAutospacing="0" w:line="440" w:lineRule="exact"/>
        <w:shd w:val="clear" w:color="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时间：自招标文件公告发布之日起5个工作日</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售价：0.00元 </w:t>
      </w:r>
      <w:r/>
    </w:p>
    <w:p>
      <w:pPr>
        <w:pStyle w:val="757"/>
        <w:ind w:left="0" w:right="0" w:firstLine="498"/>
        <w:pageBreakBefore w:val="0"/>
        <w:spacing w:before="0" w:beforeAutospacing="0" w:after="0" w:afterAutospacing="0" w:line="440" w:lineRule="exact"/>
        <w:shd w:val="clear" w:color="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四、提交投标文件截止时间、开标时间和地点</w:t>
      </w:r>
      <w:r/>
    </w:p>
    <w:p>
      <w:pPr>
        <w:pStyle w:val="788"/>
        <w:ind w:right="0" w:firstLine="48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2025年0</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19</w:t>
      </w:r>
      <w:r>
        <w:rPr>
          <w:rFonts w:hint="eastAsia" w:ascii="宋体" w:hAnsi="宋体" w:eastAsia="宋体" w:cs="宋体"/>
          <w:color w:val="auto"/>
          <w:sz w:val="24"/>
          <w:szCs w:val="24"/>
          <w:highlight w:val="none"/>
          <w:lang w:val="en-US" w:eastAsia="zh-CN" w:bidi="ar-SA"/>
        </w:rPr>
        <w:t xml:space="preserve">日 09:00（北京时间）</w:t>
      </w:r>
      <w:r/>
    </w:p>
    <w:p>
      <w:pPr>
        <w:pStyle w:val="788"/>
        <w:ind w:right="0" w:firstLine="48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bookmarkStart w:id="35" w:name="_GoBack"/>
      <w:r/>
      <w:bookmarkEnd w:id="35"/>
      <w:r>
        <w:rPr>
          <w:rFonts w:hint="eastAsia" w:ascii="宋体" w:hAnsi="宋体" w:eastAsia="宋体" w:cs="宋体"/>
          <w:color w:val="auto"/>
          <w:sz w:val="24"/>
          <w:szCs w:val="24"/>
          <w:highlight w:val="none"/>
          <w:lang w:val="en-US" w:eastAsia="zh-CN" w:bidi="ar-SA"/>
        </w:rPr>
        <w:t xml:space="preserve">地点：“苏采云”政府采购交易系统网上开标大厅</w:t>
      </w:r>
      <w:r/>
    </w:p>
    <w:p>
      <w:pPr>
        <w:pStyle w:val="757"/>
        <w:ind w:left="0" w:right="0" w:firstLine="498"/>
        <w:pageBreakBefore w:val="0"/>
        <w:spacing w:before="0" w:beforeAutospacing="0" w:after="0" w:afterAutospacing="0" w:line="440" w:lineRule="exact"/>
        <w:shd w:val="clear" w:color="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五、公告期限</w:t>
      </w:r>
      <w:r/>
    </w:p>
    <w:p>
      <w:pPr>
        <w:pStyle w:val="757"/>
        <w:ind w:left="0" w:right="0" w:firstLine="498"/>
        <w:pageBreakBefore w:val="0"/>
        <w:spacing w:before="0" w:beforeAutospacing="0" w:after="0" w:afterAutospacing="0" w:line="440" w:lineRule="exact"/>
        <w:shd w:val="clear" w:color="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自本公告发布之日起5个工作日</w:t>
      </w:r>
      <w:r>
        <w:rPr>
          <w:rFonts w:hint="eastAsia" w:ascii="宋体" w:hAnsi="宋体" w:eastAsia="宋体" w:cs="宋体"/>
          <w:b w:val="0"/>
          <w:bCs w:val="0"/>
          <w:color w:val="auto"/>
          <w:sz w:val="24"/>
          <w:szCs w:val="24"/>
          <w:highlight w:val="none"/>
        </w:rPr>
        <w:t xml:space="preserve">。</w:t>
      </w:r>
      <w:r/>
    </w:p>
    <w:p>
      <w:pPr>
        <w:pStyle w:val="757"/>
        <w:ind w:left="0" w:right="0" w:firstLine="498"/>
        <w:pageBreakBefore w:val="0"/>
        <w:spacing w:before="0" w:beforeAutospacing="0" w:after="0" w:afterAutospacing="0" w:line="440" w:lineRule="exact"/>
        <w:shd w:val="clear" w:color="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六、其他补充事宜</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1" w:name="OLE_LINK35"/>
      <w:r>
        <w:rPr>
          <w:rFonts w:hint="eastAsia" w:ascii="宋体" w:hAnsi="宋体" w:eastAsia="宋体" w:cs="宋体"/>
          <w:color w:val="auto"/>
          <w:sz w:val="24"/>
          <w:szCs w:val="24"/>
          <w:highlight w:val="none"/>
        </w:rPr>
        <w:t xml:space="preserve">1.财政部门监督电</w:t>
      </w:r>
      <w:r>
        <w:rPr>
          <w:rFonts w:hint="eastAsia" w:ascii="宋体" w:hAnsi="宋体" w:eastAsia="宋体" w:cs="宋体"/>
          <w:b w:val="0"/>
          <w:bCs w:val="0"/>
          <w:color w:val="auto"/>
          <w:sz w:val="24"/>
          <w:szCs w:val="24"/>
          <w:highlight w:val="none"/>
        </w:rPr>
        <w:t xml:space="preserve">话</w:t>
      </w:r>
      <w:r>
        <w:rPr>
          <w:rFonts w:hint="eastAsia" w:ascii="宋体" w:hAnsi="宋体" w:eastAsia="宋体" w:cs="宋体"/>
          <w:b w:val="0"/>
          <w:bCs w:val="0"/>
          <w:color w:val="auto"/>
          <w:sz w:val="24"/>
          <w:szCs w:val="24"/>
          <w:highlight w:val="none"/>
          <w:u w:val="none"/>
        </w:rPr>
        <w:t xml:space="preserve">：0527-88359233。</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3.宿迁地区“苏采云”技术支持客服电话：0527-84225125、0519-86722806</w:t>
      </w:r>
      <w:r>
        <w:rPr>
          <w:rFonts w:hint="eastAsia" w:ascii="宋体" w:hAnsi="宋体" w:eastAsia="宋体" w:cs="宋体"/>
          <w:color w:val="auto"/>
          <w:sz w:val="24"/>
          <w:szCs w:val="24"/>
          <w:highlight w:val="none"/>
        </w:rPr>
        <w:t xml:space="preserve">。</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4.如果投标人通过苏采云系统参与政府采购项目，相关操作手册详见链：http://www.ccgpjiangsu.gov.cn/jiangsu/zlxz/ee/ee3a4bc5a3454aa2b0d9312230633ce9.html。</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5.现场勘察及答疑：本项目不组织集中勘察及答疑，投标人如对采购需求有疑问，请咨询采购单位联系人。 </w:t>
      </w:r>
      <w:bookmarkEnd w:id="11"/>
      <w:r/>
      <w:r/>
    </w:p>
    <w:p>
      <w:pPr>
        <w:ind w:left="0" w:right="0" w:firstLine="480"/>
        <w:pageBreakBefore w:val="0"/>
        <w:spacing w:beforeAutospacing="0" w:afterAutospacing="0" w:line="440" w:lineRule="exact"/>
        <w:shd w:val="clear" w:color="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七、本次招标联系方式</w:t>
      </w:r>
      <w:r/>
    </w:p>
    <w:p>
      <w:pPr>
        <w:ind w:left="0" w:right="0" w:firstLine="480"/>
        <w:pageBreakBefore w:val="0"/>
        <w:spacing w:beforeAutospacing="0" w:afterAutospacing="0" w:line="440" w:lineRule="exact"/>
        <w:shd w:val="clear" w:color="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1.采购人信息</w:t>
      </w:r>
      <w:r/>
    </w:p>
    <w:p>
      <w:pPr>
        <w:ind w:left="0" w:right="0" w:firstLine="480"/>
        <w:pageBreakBefore w:val="0"/>
        <w:spacing w:beforeAutospacing="0" w:afterAutospacing="0" w:line="440" w:lineRule="exact"/>
        <w:shd w:val="clear" w:color="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名 称：泗洪县水利局   </w:t>
      </w:r>
      <w:r/>
    </w:p>
    <w:p>
      <w:pPr>
        <w:ind w:left="0" w:right="0" w:firstLine="480"/>
        <w:pageBreakBefore w:val="0"/>
        <w:spacing w:beforeAutospacing="0" w:afterAutospacing="0" w:line="440" w:lineRule="exact"/>
        <w:shd w:val="clear" w:color="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地址：</w:t>
      </w:r>
      <w:r>
        <w:rPr>
          <w:rFonts w:hint="eastAsia" w:ascii="宋体" w:hAnsi="宋体" w:eastAsia="宋体" w:cs="宋体"/>
          <w:color w:val="auto"/>
          <w:sz w:val="24"/>
          <w:szCs w:val="24"/>
          <w:highlight w:val="none"/>
        </w:rPr>
        <w:t xml:space="preserve">泗洪县人民北路14号</w:t>
      </w:r>
      <w:r>
        <w:rPr>
          <w:rFonts w:hint="eastAsia" w:ascii="宋体" w:hAnsi="宋体" w:eastAsia="宋体" w:cs="宋体"/>
          <w:b w:val="0"/>
          <w:bCs w:val="0"/>
          <w:color w:val="auto"/>
          <w:sz w:val="24"/>
          <w:szCs w:val="24"/>
          <w:highlight w:val="none"/>
          <w:lang w:eastAsia="zh-CN"/>
        </w:rPr>
        <w:t xml:space="preserve">　　</w:t>
      </w:r>
      <w:r/>
    </w:p>
    <w:p>
      <w:pPr>
        <w:ind w:left="0" w:right="0" w:firstLine="480"/>
        <w:pageBreakBefore w:val="0"/>
        <w:spacing w:beforeAutospacing="0" w:afterAutospacing="0" w:line="440" w:lineRule="exact"/>
        <w:shd w:val="clear" w:color="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项目联系人：徐刘华</w:t>
      </w:r>
      <w:r/>
    </w:p>
    <w:p>
      <w:pPr>
        <w:ind w:left="0" w:right="0" w:firstLine="480"/>
        <w:pageBreakBefore w:val="0"/>
        <w:spacing w:beforeAutospacing="0" w:afterAutospacing="0" w:line="440" w:lineRule="exact"/>
        <w:shd w:val="clear" w:color="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联系方式：</w:t>
      </w:r>
      <w:bookmarkStart w:id="12" w:name="_Toc28359009"/>
      <w:r/>
      <w:bookmarkStart w:id="13" w:name="_Toc28359086"/>
      <w:r>
        <w:rPr>
          <w:rFonts w:hint="eastAsia" w:ascii="宋体" w:hAnsi="宋体" w:eastAsia="宋体" w:cs="宋体"/>
          <w:color w:val="auto"/>
          <w:sz w:val="24"/>
          <w:szCs w:val="24"/>
          <w:highlight w:val="none"/>
        </w:rPr>
        <w:t xml:space="preserve">0527-86221539 </w:t>
      </w:r>
      <w:r/>
    </w:p>
    <w:p>
      <w:pPr>
        <w:ind w:left="0" w:right="0" w:firstLine="480"/>
        <w:pageBreakBefore w:val="0"/>
        <w:spacing w:beforeAutospacing="0" w:afterAutospacing="0" w:line="440" w:lineRule="exact"/>
        <w:shd w:val="clear" w:color="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采购代理机构信息</w:t>
      </w:r>
      <w:bookmarkEnd w:id="12"/>
      <w:r/>
      <w:bookmarkEnd w:id="13"/>
      <w:r/>
      <w:bookmarkStart w:id="14" w:name="_Toc28359010"/>
      <w:r/>
      <w:bookmarkStart w:id="15" w:name="_Toc28359087"/>
      <w:r/>
      <w:r/>
    </w:p>
    <w:p>
      <w:pPr>
        <w:ind w:left="0" w:right="0" w:firstLine="480"/>
        <w:pageBreakBefore w:val="0"/>
        <w:spacing w:beforeAutospacing="0" w:afterAutospacing="0" w:line="440" w:lineRule="exact"/>
        <w:shd w:val="clear" w:color="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名 称：江苏春为全过程工程咨询有限公司</w:t>
      </w:r>
      <w:r/>
    </w:p>
    <w:p>
      <w:pPr>
        <w:ind w:left="0" w:right="0" w:firstLine="480"/>
        <w:pageBreakBefore w:val="0"/>
        <w:spacing w:beforeAutospacing="0" w:afterAutospacing="0" w:line="440" w:lineRule="exact"/>
        <w:shd w:val="clear" w:color="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地址：</w:t>
      </w:r>
      <w:r>
        <w:rPr>
          <w:rFonts w:hint="eastAsia" w:ascii="宋体" w:hAnsi="宋体" w:eastAsia="宋体" w:cs="宋体"/>
          <w:color w:val="auto"/>
          <w:sz w:val="24"/>
          <w:szCs w:val="24"/>
          <w:highlight w:val="none"/>
        </w:rPr>
        <w:t xml:space="preserve">泗洪县明德紫郡东门往南50米</w:t>
      </w:r>
      <w:r/>
    </w:p>
    <w:p>
      <w:pPr>
        <w:ind w:left="0" w:right="0" w:firstLine="480"/>
        <w:pageBreakBefore w:val="0"/>
        <w:spacing w:beforeAutospacing="0" w:afterAutospacing="0" w:line="440" w:lineRule="exact"/>
        <w:shd w:val="clear" w:color="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联系人：刘欣</w:t>
      </w:r>
      <w:r/>
    </w:p>
    <w:p>
      <w:pPr>
        <w:ind w:left="0" w:right="0" w:firstLine="480"/>
        <w:pageBreakBefore w:val="0"/>
        <w:spacing w:beforeAutospacing="0" w:afterAutospacing="0" w:line="440" w:lineRule="exact"/>
        <w:shd w:val="clear" w:color="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联系方式：</w:t>
      </w:r>
      <w:bookmarkEnd w:id="14"/>
      <w:r/>
      <w:bookmarkEnd w:id="15"/>
      <w:r>
        <w:rPr>
          <w:rFonts w:hint="eastAsia" w:ascii="宋体" w:hAnsi="宋体" w:eastAsia="宋体" w:cs="宋体"/>
          <w:b w:val="0"/>
          <w:bCs w:val="0"/>
          <w:color w:val="auto"/>
          <w:sz w:val="24"/>
          <w:szCs w:val="24"/>
          <w:highlight w:val="none"/>
          <w:lang w:eastAsia="zh-CN"/>
        </w:rPr>
        <w:t xml:space="preserve">18851398356</w:t>
      </w:r>
      <w:r/>
    </w:p>
    <w:p>
      <w:pPr>
        <w:pStyle w:val="757"/>
        <w:ind w:left="0" w:right="0" w:firstLine="498"/>
        <w:pageBreakBefore w:val="0"/>
        <w:spacing w:before="0" w:beforeAutospacing="0" w:after="0" w:afterAutospacing="0" w:line="440" w:lineRule="exact"/>
        <w:shd w:val="clear" w:color="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3.项目联系方式</w:t>
      </w:r>
      <w:r/>
    </w:p>
    <w:p>
      <w:pPr>
        <w:pStyle w:val="757"/>
        <w:ind w:left="0" w:right="0" w:firstLine="498"/>
        <w:pageBreakBefore w:val="0"/>
        <w:spacing w:before="0" w:beforeAutospacing="0" w:after="0" w:afterAutospacing="0" w:line="440" w:lineRule="exact"/>
        <w:shd w:val="clear" w:color="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项目联系人：</w:t>
      </w:r>
      <w:r>
        <w:rPr>
          <w:rFonts w:hint="eastAsia" w:ascii="宋体" w:hAnsi="宋体" w:eastAsia="宋体" w:cs="宋体"/>
          <w:b w:val="0"/>
          <w:bCs w:val="0"/>
          <w:color w:val="auto"/>
          <w:sz w:val="24"/>
          <w:szCs w:val="24"/>
          <w:highlight w:val="none"/>
          <w:lang w:eastAsia="zh-CN"/>
        </w:rPr>
        <w:t xml:space="preserve">刘欣</w:t>
      </w:r>
      <w:r/>
    </w:p>
    <w:p>
      <w:pPr>
        <w:pStyle w:val="757"/>
        <w:ind w:left="0" w:right="0" w:firstLine="498"/>
        <w:pageBreakBefore w:val="0"/>
        <w:spacing w:before="0" w:beforeAutospacing="0" w:after="0" w:afterAutospacing="0" w:line="440" w:lineRule="exact"/>
        <w:shd w:val="clear" w:color="auto"/>
        <w:rPr>
          <w:rFonts w:hint="eastAsia" w:ascii="宋体" w:hAnsi="宋体" w:eastAsia="宋体" w:cs="宋体"/>
          <w:b w:val="0"/>
          <w:bCs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联系电话：</w:t>
      </w:r>
      <w:r>
        <w:rPr>
          <w:rFonts w:hint="eastAsia" w:ascii="宋体" w:hAnsi="宋体" w:eastAsia="宋体" w:cs="宋体"/>
          <w:b w:val="0"/>
          <w:bCs w:val="0"/>
          <w:color w:val="auto"/>
          <w:sz w:val="24"/>
          <w:szCs w:val="24"/>
          <w:highlight w:val="none"/>
          <w:lang w:eastAsia="zh-CN"/>
        </w:rPr>
        <w:t xml:space="preserve">18851398356</w:t>
      </w:r>
      <w:r/>
    </w:p>
    <w:p>
      <w:pPr>
        <w:ind w:left="0" w:right="0" w:firstLine="480"/>
        <w:pageBreakBefore w:val="0"/>
        <w:spacing w:beforeAutospacing="0" w:afterAutospacing="0" w:line="440" w:lineRule="exact"/>
        <w:shd w:val="clear" w:color="auto"/>
        <w:rPr>
          <w:rFonts w:hint="default" w:ascii="宋体" w:hAnsi="宋体" w:cs="宋体"/>
          <w:b w:val="0"/>
          <w:bCs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val="0"/>
          <w:color w:val="auto"/>
          <w:sz w:val="24"/>
          <w:szCs w:val="21"/>
          <w:highlight w:val="none"/>
          <w:lang w:val="en-US" w:eastAsia="zh-CN"/>
        </w:rPr>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br w:type="page" w:clear="all"/>
      </w:r>
      <w:r/>
    </w:p>
    <w:p>
      <w:pPr>
        <w:pStyle w:val="755"/>
        <w:ind w:left="0" w:right="0"/>
        <w:jc w:val="center"/>
        <w:pageBreakBefore w:val="0"/>
        <w:spacing w:before="0" w:beforeAutospacing="0" w:after="0" w:afterAutospacing="0" w:line="440" w:lineRule="exact"/>
        <w:shd w:val="clear" w:color="auto"/>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 </w:t>
      </w:r>
      <w:r>
        <w:rPr>
          <w:rFonts w:hint="eastAsia" w:ascii="宋体" w:hAnsi="宋体" w:eastAsia="宋体" w:cs="宋体"/>
          <w:b/>
          <w:color w:val="auto"/>
          <w:sz w:val="36"/>
          <w:szCs w:val="36"/>
          <w:highlight w:val="none"/>
        </w:rPr>
        <w:t xml:space="preserve">第二章投标人须知</w:t>
      </w:r>
      <w:r/>
    </w:p>
    <w:p>
      <w:pPr>
        <w:pStyle w:val="756"/>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投标人须知前附表：</w:t>
      </w:r>
      <w:r>
        <w:rPr>
          <w:rFonts w:hint="eastAsia" w:ascii="宋体" w:hAnsi="宋体" w:eastAsia="宋体" w:cs="宋体"/>
          <w:color w:val="auto"/>
          <w:sz w:val="24"/>
          <w:szCs w:val="24"/>
          <w:highlight w:val="none"/>
        </w:rPr>
        <w:t xml:space="preserve"> </w:t>
      </w:r>
      <w:r/>
    </w:p>
    <w:tbl>
      <w:tblPr>
        <w:tblStyle w:val="765"/>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693"/>
        <w:gridCol w:w="6528"/>
      </w:tblGrid>
      <w:tr>
        <w:trPr>
          <w:trHeight w:val="575"/>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本项目属性按以下第</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1.货物采购；2.服务采购；3.工程采购。</w:t>
            </w:r>
            <w:r/>
          </w:p>
        </w:tc>
      </w:tr>
      <w:tr>
        <w:trPr>
          <w:trHeight w:val="57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60日（从提交投标文件截止之日起算）</w:t>
            </w:r>
            <w:r/>
          </w:p>
        </w:tc>
      </w:tr>
      <w:tr>
        <w:trP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rHeight w:val="55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57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p>
          <w:p>
            <w:pPr>
              <w:ind w:left="0" w:righ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rHeight w:val="57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rHeight w:val="855"/>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1种</w:t>
            </w:r>
            <w:r>
              <w:rPr>
                <w:rFonts w:hint="eastAsia" w:ascii="宋体" w:hAnsi="宋体" w:eastAsia="宋体" w:cs="宋体"/>
                <w:color w:val="auto"/>
                <w:sz w:val="24"/>
                <w:szCs w:val="24"/>
                <w:highlight w:val="none"/>
              </w:rPr>
              <w:t xml:space="preserve">方式确定中标人：</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2.采购人授权评标委员会直接确定中标人。</w:t>
            </w:r>
            <w:r/>
          </w:p>
        </w:tc>
      </w:tr>
      <w:tr>
        <w:trPr>
          <w:trHeight w:val="855"/>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1.允许分包，允许大中型企业向一家或者多家小微企业分包，分包具体内容、金额或比例：无</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rHeight w:val="1425"/>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按照“《江苏省招标代理服务收费的指导意见》（苏招协[2022]002）”差额定率累进法×</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%计算缴纳代理服务费。可采用数字人民币支付。 </w:t>
            </w:r>
            <w:r/>
          </w:p>
        </w:tc>
      </w:tr>
      <w:tr>
        <w:trPr>
          <w:trHeight w:val="72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r/>
          </w:p>
        </w:tc>
      </w:tr>
    </w:tbl>
    <w:p>
      <w:pPr>
        <w:pStyle w:val="757"/>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一、总则</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1、招标方式</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2、合格的投标人</w:t>
      </w:r>
      <w:r/>
    </w:p>
    <w:p>
      <w:pPr>
        <w:pStyle w:val="770"/>
        <w:ind w:left="0" w:right="0" w:firstLine="48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2.1合格的投标人必须符合招标文件第一部分《</w:t>
      </w:r>
      <w:bookmarkStart w:id="16" w:name="OLE_LINK60"/>
      <w:r>
        <w:rPr>
          <w:rFonts w:hint="eastAsia" w:ascii="宋体" w:hAnsi="宋体" w:eastAsia="宋体" w:cs="宋体"/>
          <w:color w:val="auto"/>
          <w:sz w:val="24"/>
          <w:szCs w:val="24"/>
          <w:highlight w:val="none"/>
        </w:rPr>
        <w:t xml:space="preserve">投标邀请函</w:t>
      </w:r>
      <w:bookmarkEnd w:id="16"/>
      <w:r>
        <w:rPr>
          <w:rFonts w:hint="eastAsia" w:ascii="宋体" w:hAnsi="宋体" w:eastAsia="宋体" w:cs="宋体"/>
          <w:color w:val="auto"/>
          <w:sz w:val="24"/>
          <w:szCs w:val="24"/>
          <w:highlight w:val="none"/>
        </w:rPr>
        <w:t xml:space="preserve">》第二条及</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须知前附表相关规定，且具备完成本项目的能力，中标后不允许转包。</w:t>
      </w:r>
      <w:r/>
    </w:p>
    <w:p>
      <w:pPr>
        <w:pStyle w:val="770"/>
        <w:ind w:left="0" w:right="0" w:firstLine="48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2.2合格的投标人应遵守《中华人民共和国政府采购法》《中华人民共和国政府采购法实施条例》《中华人民共和国民法典（第三编合同）》等有关法律、法规。</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3、适用法律</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4、投标费用</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u w:val="single"/>
          <w:lang w:eastAsia="zh-CN"/>
        </w:rPr>
        <w:t xml:space="preserve">江苏春为全过程工程咨询有限公司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rPr>
        <w:t xml:space="preserve"> 4.2.</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种方式执行</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4.2.1无需支付；</w:t>
      </w:r>
      <w:r/>
    </w:p>
    <w:p>
      <w:pPr>
        <w:pStyle w:val="1141"/>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lang w:val="en-US" w:eastAsia="zh-CN" w:bidi="ar-SA"/>
        </w:rPr>
        <w:t xml:space="preserve">4.2.2</w:t>
      </w:r>
      <w:r>
        <w:rPr>
          <w:rFonts w:hint="eastAsia" w:ascii="宋体" w:hAnsi="宋体" w:eastAsia="宋体" w:cs="宋体"/>
          <w:color w:val="auto"/>
          <w:sz w:val="24"/>
          <w:szCs w:val="24"/>
          <w:highlight w:val="none"/>
          <w:lang w:val="zh-CN" w:eastAsia="zh-CN" w:bidi="ar-SA"/>
        </w:rPr>
        <w:t xml:space="preserve">具体方式及标准为：</w:t>
      </w:r>
      <w:r>
        <w:rPr>
          <w:rFonts w:hint="eastAsia" w:ascii="宋体" w:hAnsi="宋体" w:eastAsia="宋体" w:cs="宋体"/>
          <w:color w:val="auto"/>
          <w:sz w:val="24"/>
          <w:szCs w:val="24"/>
          <w:highlight w:val="none"/>
          <w:u w:val="single"/>
          <w:lang w:val="en-US" w:eastAsia="zh-CN"/>
        </w:rPr>
        <w:t xml:space="preserve">按照“《江苏省招标代理服务收费的指导意见》（苏招协[2022]002）”差额定率累进法×</w:t>
      </w:r>
      <w:r>
        <w:rPr>
          <w:rFonts w:hint="eastAsia" w:ascii="宋体" w:hAnsi="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u w:val="single"/>
          <w:lang w:val="en-US" w:eastAsia="zh-CN"/>
        </w:rPr>
        <w:t xml:space="preserve">%计算缴纳代理服务费。可采用数字人民币支付。</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5、招标文件的约束力</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757"/>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二、招标文件</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6、招标文件构成</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 招标文件由以下部分组成：</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（1）投标邀请</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（2）投标人须知</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（3）合同文本</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（4）采购需求</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（5）评标方法与评标标准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（6）投标文件格式</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7、招标文件的澄清</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8、招标文件的修改</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8.2 在投标截止时间前，采购代理机构可以对招标文件进行修改。</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8.3 采购代理机构有权按照法定的要求推迟投标截止日期和开标日期。</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757"/>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三、投标文件的编制</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9、投标文件的语言及度量衡单位</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 投标人提交的投标文件以及投标人与采购代理机构就有关投标的所有来往通知、函件和文件均应使用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10、投标文件构成</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各投标人在编制投标文件时请按照招标文件第六章规定的格式进行，混乱的编排导致投标文件被误读或评委会查找不到有效文件是投标人的风险。</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10.2 投标人编写的投标文件应包括资格证明文件、符合性证明文件、投标分项报价表、响应及偏离表、其他证明文件、投标函、开标一览表等部分。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 如标书制作工具中格式和内容与“宿迁市政府采购网”发布的招标文件不一致，请以“宿迁市政府采购网”发布的招标文件为准。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10.6中标后按相关要求提供与电子投标文件一致的纸质打印投标文件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份。 </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11、证明投标人及投标标的符合招标文件规定的文件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投标人应按照法律、法规、规章和规范性文件以及招标文件要求提交证明文件，证明其及投标标的符合招标文件规定。</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12、投标分项报价表</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 投标人应按照招标文件规定格式填报投标分项报价表。</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12.3本项目不接受备选的投标方案或有选择的报价，只允许有一个报价。投标报价采用总承包方式，“投标总报价”应包括所投货物（包含与货物本身价格、配件、辅材、产品损耗、检验、安装、售后服务、税费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及其他有关的为完成本项目发生的所有费用，招标文件中另有规定的除外。</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7" w:name="OLE_LINK61"/>
      <w:r>
        <w:rPr>
          <w:rFonts w:hint="eastAsia" w:ascii="宋体" w:hAnsi="宋体" w:eastAsia="宋体" w:cs="宋体"/>
          <w:color w:val="auto"/>
          <w:sz w:val="24"/>
          <w:szCs w:val="24"/>
          <w:highlight w:val="none"/>
        </w:rPr>
        <w:t xml:space="preserve">13、技术要求响应及偏离表、商务要求响应及偏离表</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13.2 投标人可在投标文件中提供认为需要的其他技术文件或说明。</w:t>
      </w:r>
      <w:r/>
    </w:p>
    <w:p>
      <w:pPr>
        <w:ind w:left="0" w:right="0" w:firstLine="482"/>
        <w:pageBreakBefore w:val="0"/>
        <w:spacing w:beforeAutospacing="0" w:afterAutospacing="0" w:line="440" w:lineRule="exact"/>
        <w:shd w:val="clear" w:color="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14、服务承诺、培训计划、人员安排及其他</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 投标人需根据招标文件要求提供培训计划。</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14.3 投标人需根据招标文件要求提供所投标的的主要组成部分、功能设计、实现思路及关键技术等。</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15、投标声明及承诺函和开标一览表</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15.1 投标人应按照招标文件中提供的格式完整、正确填写投标声明及承诺函、开标一览表。</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bookmarkEnd w:id="17"/>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16、投标有效期</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16.1 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17、投标有效期的延长</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 </w:t>
      </w:r>
      <w:r/>
    </w:p>
    <w:p>
      <w:pPr>
        <w:pStyle w:val="757"/>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四、投标文件的递交</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18、投标文件的递交</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18.1投标人应当按照《操作手册》规定，在投标截止时间前制作并上传电子投标文件。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19、投标截止时间</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19.1 投标人上传电子投标文件的时间不得迟于招标公告中规定的投标截止时间。</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19.2 采购代理机构可以按照规定，通过修改招标文件酌情延长投标截止时间，在此情况下，投标人的所有权利和义务以及投标人受制的截止时间均应以延长后新的截止时间为准。</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20、投标文件的拒收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20.1采购代理机构拒绝接收在其规定的投标截止时间后上传的任何投标文件。</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21、投标文件的撤回和修改</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 投标文件的撤回</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21.1.1 电子投标文件的撤回</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 投标文件的修改</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21.2.2在投标截止时间之后，投标人不得对其电子投标文件作任何修改。</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21.3在投标截止时间至招标文件中规定的投标有效期满之间的这段时间内，投标人不得撤回其投标。</w:t>
      </w:r>
      <w:r/>
    </w:p>
    <w:p>
      <w:pPr>
        <w:pStyle w:val="757"/>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五、开标与评标</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22、开标</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23、评标委员会</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23.1 开标后，采购代理机构将立即组织评标委员会（以下简称评委会）进行评标。</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23.3评委会独立工作，负责评审所有投标文件并确定中标侯选人。</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24、评标过程的保密与公正</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24.1凡是与审查、澄清、评价和比较投标的有关资料以及授标建议等，采购人、评委、采购代理机构均不得向投标人或与评标无关的其他人员透露。</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24.3 采购代理机构和评委会不向未中标的投标人解释未中标原因，也不公布评标过程中的相关细节。</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25、投标文件的澄清</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评委会并非对每个投标人都做澄清要求。</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26、对投标文件的初审</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26.1投标文件初审分为资格审查和符合性审查。</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26.1.1 资格审查：依据法律法规和招标文件的规定，由采购人或其委托的代理机构对投标文件中的资格证明文件进行审查，以确定投标人是否具备投标资格。</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26.4评委会将对确定为实质性响应的投标进行进一步审核，确定其是否有计算上或累加上的算术错误，修正错误的原则如下：</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同时出现两种以上错误的，按照前款规定的顺序修正。</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26.7投标人在开、评标全过程中应随时保持系统在线，及时在“苏采云”系统查阅、答复相关信息。</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27、无效投标条款和废标条款</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27.1无效投标条款</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27.1.2 投标人未按照招标文件要求上传电子投标文件的。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27.1.3同一投标人提交两个（含两个）以上不同的投标报价的。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27.1.4投标人不具备招标文件中规定资格要求的。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27.1.5投标人的报价超过了采购预算或最高限价的。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27.1.6未通过符合性审查的。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加斜体下划线内容或打“★”内容为实质性要求和条件）。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27.1.9 投标文件含有采购人不能接受的附加条件的。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27.1.12 投标文件未按照招标文件要求加盖CA电子公章的。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27.1.13其他法律、法规及本招标文件规定的属无效投标的。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27.2废标条款</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27.2.1符合专业条件的投标人或者对招标文件作实质响应的投标人不足三家的。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27.2.2出现影响采购公正的违法、违规行为的。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27.2.3因重大变故，采购任务取消的。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27.2.4评委会认定招标文件存在歧义、重大缺陷导致评审工作无法进行。</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27.2.5 因“苏采云”系统系统故障原因造成开标不成功的。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 投标截止时间结束后参加投标的投标人不足三家的处理：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pStyle w:val="757"/>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六、定标</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28、确定中标单位</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28.1中标候选人的选取原则和数量见招标文件第五章规定。 </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28.2 按以下第</w:t>
      </w: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rPr>
        <w:t xml:space="preserve">种方式确定中标人</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（1）评委会直接确定排名第一的中标候选人为中标人；</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（2）采购人在评委会推荐的中标候选人中按顺序确定中标人。</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 采购代理机构将在“宿迁市政府采购网”发布中标公告，公告期限为1个工作日。</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28.4.1提供虚假材料谋取中标的。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28.4.2向采购人、采购代理机构行贿或者提供其他不正当利益的。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28.4.4与采购人或者其他投标人恶意串通的。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28.4.5采取不正当手段诋毁、排挤其他投标人的。</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28.5 有下列情形之一的，视为投标人串通投标，投标无效：</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28.5.1不同投标人的投标文件由同一单位或者个人编制。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28.5.2不同投标人委托同一单位或者个人办理投标事宜。</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29、质疑处理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29.1 提出质疑的投标人应当是参与所质疑项目采购活动的投标人。潜在投标人依法获取其可质疑的采购文件的，可以对采购文件提出质疑。</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29.2.2对采购过程提出质疑的，为各采购程序环节结束之日；</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29.4 投标人应以书面形式向采购人或者其委托的采购代理机构提出质疑。质疑超出采购机构代理范围的，投标人应当向采购人提出。</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接收质疑函的方式：现场接收或邮寄接收。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泗洪县水利局 </w:t>
      </w:r>
      <w:r>
        <w:rPr>
          <w:rFonts w:hint="eastAsia" w:ascii="宋体" w:hAnsi="宋体" w:eastAsia="宋体" w:cs="宋体"/>
          <w:color w:val="auto"/>
          <w:sz w:val="24"/>
          <w:szCs w:val="24"/>
          <w:highlight w:val="none"/>
        </w:rPr>
        <w:t xml:space="preserve">/江苏春为全过程工程咨询有限公司</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eastAsia="宋体" w:cs="宋体"/>
          <w:b w:val="0"/>
          <w:bCs w:val="0"/>
          <w:color w:val="auto"/>
          <w:sz w:val="24"/>
          <w:szCs w:val="24"/>
          <w:highlight w:val="none"/>
          <w:lang w:val="en-US" w:eastAsia="zh-CN"/>
        </w:rPr>
        <w:t xml:space="preserve">0527-86221539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18851398356</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通讯地址：</w:t>
      </w:r>
      <w:r>
        <w:rPr>
          <w:rFonts w:hint="eastAsia" w:ascii="宋体" w:hAnsi="宋体" w:eastAsia="宋体" w:cs="宋体"/>
          <w:b w:val="0"/>
          <w:bCs w:val="0"/>
          <w:color w:val="auto"/>
          <w:sz w:val="24"/>
          <w:szCs w:val="24"/>
          <w:highlight w:val="none"/>
          <w:lang w:eastAsia="zh-CN"/>
        </w:rPr>
        <w:t xml:space="preserve">泗洪县人民北路14号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泗洪县明德紫郡东门往南50米</w:t>
      </w:r>
      <w:r>
        <w:rPr>
          <w:rFonts w:hint="eastAsia" w:ascii="宋体" w:hAnsi="宋体" w:eastAsia="宋体" w:cs="宋体"/>
          <w:color w:val="auto"/>
          <w:sz w:val="24"/>
          <w:szCs w:val="24"/>
          <w:highlight w:val="none"/>
          <w:lang w:val="en-US" w:eastAsia="zh-CN"/>
        </w:rPr>
        <w:t xml:space="preserve"> </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 以下情形的质疑不予受理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29.5.1 内容不符合《政府采购质疑和投诉办法》第十二条规定的质疑。</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29.5.2 超出政府采购法定期限的质疑。</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29.5.3 以传真、电子邮件等方式递交的非原件形式的质疑。</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29.5.4 未参加投标活动的投标人或在投标活动中自身权益未受到损害的投标人所提出的质疑。</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30、中标通知书</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757"/>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七、授予合同</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签订合同</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8" w:name="OLE_LINK62"/>
      <w:r>
        <w:rPr>
          <w:rFonts w:hint="eastAsia" w:ascii="宋体" w:hAnsi="宋体" w:eastAsia="宋体" w:cs="宋体"/>
          <w:color w:val="auto"/>
          <w:sz w:val="24"/>
          <w:szCs w:val="24"/>
          <w:highlight w:val="none"/>
        </w:rPr>
        <w:t xml:space="preserve">31.4履约保证金</w:t>
      </w:r>
      <w:bookmarkEnd w:id="18"/>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按照以下第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lang w:val="zh-CN" w:eastAsia="zh-CN"/>
        </w:rPr>
        <w:t xml:space="preserve">方式确定履约保证收取方式。</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(1)不收取履约保证金。</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(2)本项目收取履约保证金。履约保证金应在采购合同签订前提交，履约保证金的金额:按采购合同总价的</w:t>
      </w:r>
      <w:r>
        <w:rPr>
          <w:rFonts w:hint="eastAsia" w:ascii="宋体" w:hAnsi="宋体" w:eastAsia="宋体" w:cs="宋体"/>
          <w:color w:val="auto"/>
          <w:sz w:val="24"/>
          <w:szCs w:val="24"/>
          <w:highlight w:val="none"/>
          <w:u w:val="single"/>
          <w:lang w:val="zh-CN" w:eastAsia="zh-CN"/>
        </w:rPr>
        <w:t xml:space="preserve"> 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eastAsia="zh-CN"/>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备注：</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a.履约保证金的递交时间：在中标公告发布之日起  ☑ 7  □ 14  □ 21日历天内提交；</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b.采用银行电汇、网上银行等方式缴纳履约保证金的，应从中标人法人基本存款账户转到保证金专用账户； </w:t>
      </w:r>
      <w:r/>
    </w:p>
    <w:p>
      <w:pPr>
        <w:ind w:left="0" w:right="0" w:firstLine="480"/>
        <w:pageBreakBefore w:val="0"/>
        <w:spacing w:beforeAutospacing="0" w:afterAutospacing="0" w:line="440" w:lineRule="exact"/>
        <w:shd w:val="clear" w:color="auto"/>
        <w:rPr>
          <w:rFonts w:hint="eastAsia" w:ascii="宋体" w:hAnsi="宋体" w:eastAsia="宋体" w:cs="宋体"/>
          <w:bCs/>
          <w:color w:val="auto"/>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c.采用数字人民币方式缴纳的，使用投标企业数字人民币对公钱包一次性转钱至泗洪县公共资源交易中心数字人民币</w:t>
      </w:r>
      <w:r>
        <w:rPr>
          <w:rFonts w:hint="eastAsia" w:ascii="宋体" w:hAnsi="宋体" w:eastAsia="宋体" w:cs="宋体"/>
          <w:bCs/>
          <w:color w:val="auto"/>
          <w:sz w:val="24"/>
          <w:szCs w:val="24"/>
          <w:highlight w:val="none"/>
          <w:lang w:val="zh-CN" w:eastAsia="zh-CN" w:bidi="ar-SA"/>
        </w:rPr>
        <w:t xml:space="preserve">钱包</w:t>
      </w:r>
      <w:r>
        <w:rPr>
          <w:rFonts w:hint="eastAsia" w:ascii="宋体" w:hAnsi="宋体" w:eastAsia="宋体" w:cs="宋体"/>
          <w:color w:val="auto"/>
          <w:sz w:val="24"/>
          <w:szCs w:val="24"/>
          <w:highlight w:val="none"/>
        </w:rPr>
        <w:t xml:space="preserve">（钱包ID：0092118799300008，运营机构：中国交通银行股份有限公司）</w:t>
      </w:r>
      <w:r>
        <w:rPr>
          <w:rFonts w:hint="eastAsia" w:ascii="宋体" w:hAnsi="宋体" w:eastAsia="宋体" w:cs="宋体"/>
          <w:bCs/>
          <w:color w:val="auto"/>
          <w:sz w:val="24"/>
          <w:szCs w:val="24"/>
          <w:highlight w:val="none"/>
          <w:lang w:val="zh-CN" w:eastAsia="zh-CN" w:bidi="ar-SA"/>
        </w:rPr>
        <w:t xml:space="preserve">，并备注为：</w:t>
      </w:r>
      <w:r>
        <w:rPr>
          <w:rFonts w:hint="eastAsia" w:ascii="宋体" w:hAnsi="宋体" w:eastAsia="宋体" w:cs="宋体"/>
          <w:color w:val="auto"/>
          <w:sz w:val="24"/>
          <w:szCs w:val="24"/>
          <w:highlight w:val="none"/>
          <w:u w:val="single"/>
          <w:lang w:eastAsia="zh-CN"/>
        </w:rPr>
        <w:t xml:space="preserve">成子湖龙集水源地蓝藻水华应急防控物资-挡藻导流围隔采购安装项目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zh-CN" w:eastAsia="zh-CN" w:bidi="ar-SA"/>
        </w:rPr>
        <w:t xml:space="preserve">履约保证金；</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d.采用银行保函、担保公司的保证担保或保险公司的保证保险形式缴纳履约保证金的，以银行保函、担保公司的保证担保或保险公司的保证保险等形式提交履约保证金的，</w:t>
      </w:r>
      <w:bookmarkStart w:id="19" w:name="OLE_LINK39"/>
      <w:r>
        <w:rPr>
          <w:rFonts w:hint="eastAsia" w:ascii="宋体" w:hAnsi="宋体" w:eastAsia="宋体" w:cs="宋体"/>
          <w:color w:val="auto"/>
          <w:sz w:val="24"/>
          <w:szCs w:val="24"/>
          <w:highlight w:val="none"/>
          <w:lang w:val="zh-CN" w:eastAsia="zh-CN"/>
        </w:rPr>
        <w:t xml:space="preserve">其有效期应包括本项目供货工期的范围。以保函、担保、保险形式提交的履约保证金递交至当地公共资源交易中心。</w:t>
      </w:r>
      <w:bookmarkEnd w:id="19"/>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履约保证金缴退咨询电话：0527-89889051；</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履约保证金退还的条件：按以下方式实行：</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货物类项目，项目验收合格，出具验收报告及履约保证金收据申请退付；</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履约保证金退还时间：采购单位收到投标人退付申请后5个工作日内退还；</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auto"/>
          <w:sz w:val="24"/>
          <w:szCs w:val="24"/>
          <w:highlight w:val="none"/>
          <w:lang w:val="en-US" w:eastAsia="zh-CN"/>
        </w:rPr>
        <w:t xml:space="preserve">                    </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具体操作流程见相关网页</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"https://jsdzbh.com/webSite/bHIndex"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https://jsdzbh.com/webSite/bHIndex</w:t>
      </w:r>
      <w:r>
        <w:rPr>
          <w:rFonts w:hint="eastAsia" w:ascii="宋体" w:hAnsi="宋体" w:eastAsia="宋体" w:cs="宋体"/>
          <w:color w:val="auto"/>
          <w:sz w:val="24"/>
          <w:szCs w:val="24"/>
          <w:highlight w:val="none"/>
          <w:lang w:eastAsia="zh-CN"/>
        </w:rPr>
        <w:fldChar w:fldCharType="end"/>
      </w:r>
      <w:r/>
    </w:p>
    <w:p>
      <w:pPr>
        <w:ind w:left="0" w:right="0" w:firstLine="482"/>
        <w:pageBreakBefore w:val="0"/>
        <w:spacing w:beforeAutospacing="0" w:afterAutospacing="0" w:line="440" w:lineRule="exact"/>
        <w:shd w:val="clear" w:color="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32、货物（包含与货物相关的服务）的追加</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33、政府采购履约资金扶持政策</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58"/>
        <w:ind w:left="0" w:right="0" w:firstLine="482"/>
        <w:pageBreakBefore w:val="0"/>
        <w:spacing w:before="0" w:beforeAutospacing="0" w:after="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34、验收及付款</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34.2采购人可以邀请参加本项目的其他投标人或者第三方机构参与验收。参与验收的投标人或者第三方机构的意见作为验收书的参考资料一并存档。</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35、付款</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按照以下确定的付款方式，采购人及时办理付款手续。对于满足合同约定支付条件的，自收到发票后10个工作日内将资金支付到合同约定的供应商账户或供应商数字人民币账户。</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0" w:name="OLE_LINK63"/>
      <w:r>
        <w:rPr>
          <w:rFonts w:hint="eastAsia" w:ascii="宋体" w:hAnsi="宋体" w:eastAsia="宋体" w:cs="宋体"/>
          <w:color w:val="auto"/>
          <w:sz w:val="24"/>
          <w:szCs w:val="24"/>
          <w:highlight w:val="none"/>
        </w:rPr>
        <w:t xml:space="preserve">预付款：合同金额的</w:t>
      </w:r>
      <w:r>
        <w:rPr>
          <w:rFonts w:hint="eastAsia" w:ascii="宋体" w:hAnsi="宋体" w:eastAsia="宋体" w:cs="宋体"/>
          <w:color w:val="auto"/>
          <w:sz w:val="24"/>
          <w:szCs w:val="24"/>
          <w:highlight w:val="none"/>
          <w:u w:val="single"/>
        </w:rPr>
        <w:t xml:space="preserve">30% </w:t>
      </w:r>
      <w:r>
        <w:rPr>
          <w:rFonts w:hint="eastAsia" w:ascii="宋体" w:hAnsi="宋体" w:eastAsia="宋体" w:cs="宋体"/>
          <w:color w:val="auto"/>
          <w:sz w:val="24"/>
          <w:szCs w:val="24"/>
          <w:highlight w:val="none"/>
        </w:rPr>
        <w:t xml:space="preserve">，合同签订后按规定支付； </w:t>
      </w:r>
      <w:r/>
    </w:p>
    <w:p>
      <w:pPr>
        <w:ind w:left="0" w:right="0" w:firstLine="480"/>
        <w:pageBreakBefore w:val="0"/>
        <w:spacing w:beforeAutospacing="0" w:afterAutospacing="0" w:line="440" w:lineRule="exact"/>
        <w:shd w:val="clear" w:color="auto" w:fill="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进度款：</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到现场</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完毕</w:t>
      </w:r>
      <w:r>
        <w:rPr>
          <w:rFonts w:hint="eastAsia" w:ascii="宋体" w:hAnsi="宋体" w:eastAsia="宋体" w:cs="宋体"/>
          <w:color w:val="auto"/>
          <w:sz w:val="24"/>
          <w:szCs w:val="24"/>
          <w:highlight w:val="none"/>
          <w:lang w:val="en-US" w:eastAsia="zh-CN"/>
        </w:rPr>
        <w:t xml:space="preserve">且验收合格后</w:t>
      </w:r>
      <w:r>
        <w:rPr>
          <w:rFonts w:hint="eastAsia" w:ascii="宋体" w:hAnsi="宋体" w:eastAsia="宋体" w:cs="宋体"/>
          <w:color w:val="auto"/>
          <w:sz w:val="24"/>
          <w:szCs w:val="24"/>
          <w:highlight w:val="none"/>
        </w:rPr>
        <w:t xml:space="preserve">，收到供应商发票10个工作日内支付至合同总价款的100%</w:t>
      </w:r>
      <w:r>
        <w:rPr>
          <w:rFonts w:hint="eastAsia" w:ascii="宋体" w:hAnsi="宋体" w:eastAsia="宋体" w:cs="宋体"/>
          <w:color w:val="auto"/>
          <w:sz w:val="24"/>
          <w:szCs w:val="24"/>
          <w:highlight w:val="none"/>
          <w:lang w:eastAsia="zh-CN"/>
        </w:rPr>
        <w:t xml:space="preserve">。</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bookmarkEnd w:id="20"/>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1" w:name="_Toc118461986"/>
      <w:r/>
      <w:bookmarkStart w:id="22" w:name="_Toc104802328"/>
      <w:r/>
      <w:bookmarkStart w:id="23" w:name="_Toc155086566"/>
      <w:r>
        <w:rPr>
          <w:rFonts w:hint="eastAsia" w:ascii="宋体" w:hAnsi="宋体" w:eastAsia="宋体" w:cs="宋体"/>
          <w:color w:val="auto"/>
          <w:sz w:val="24"/>
          <w:szCs w:val="24"/>
          <w:highlight w:val="none"/>
        </w:rPr>
        <w:t xml:space="preserve">（1）可以采用数字人民币支付；</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（2）资金支付的时间：收到供应商发票10个工作日内；</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（3）资金支付的条件：满足相应阶段的要求且收到供应商发票；</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（4）当采购数量与实际使用数量不一致时，供应商应根据实际使用量供货，合同的最终结算金额按实际使用量乘以成交单价进行计算；</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（5）在签订合同时，供应商明确表示无需预付款或者主动要求降低预付款比例的，采购人可不适用前述规定。</w:t>
      </w:r>
      <w:r/>
    </w:p>
    <w:p>
      <w:pPr>
        <w:pStyle w:val="790"/>
        <w:ind w:left="0" w:right="0" w:firstLine="0"/>
        <w:pageBreakBefore w:val="0"/>
        <w:spacing w:beforeAutospacing="0" w:after="0" w:afterAutospacing="0" w:line="440" w:lineRule="exact"/>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r/>
    </w:p>
    <w:p>
      <w:pPr>
        <w:pStyle w:val="755"/>
        <w:ind w:left="0" w:right="0"/>
        <w:jc w:val="center"/>
        <w:pageBreakBefore w:val="0"/>
        <w:spacing w:before="0" w:beforeAutospacing="0" w:after="0" w:afterAutospacing="0" w:line="440" w:lineRule="exact"/>
        <w:shd w:val="clear" w:color="auto"/>
        <w:rPr>
          <w:rFonts w:hint="eastAsia" w:ascii="宋体" w:hAnsi="宋体" w:eastAsia="宋体" w:cs="宋体"/>
          <w:b/>
          <w:color w:val="auto"/>
          <w:sz w:val="44"/>
          <w:szCs w:val="28"/>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
          <w:color w:val="auto"/>
          <w:sz w:val="44"/>
          <w:szCs w:val="28"/>
          <w:highlight w:val="none"/>
        </w:rPr>
      </w:r>
      <w:r/>
    </w:p>
    <w:p>
      <w:pPr>
        <w:pStyle w:val="755"/>
        <w:ind w:left="0" w:right="0"/>
        <w:jc w:val="center"/>
        <w:pageBreakBefore w:val="0"/>
        <w:spacing w:before="0" w:beforeAutospacing="0" w:after="0" w:afterAutospacing="0" w:line="440" w:lineRule="exact"/>
        <w:shd w:val="clear" w:color="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 xml:space="preserve">第三章  合同文本</w:t>
      </w:r>
      <w:bookmarkEnd w:id="21"/>
      <w:r/>
      <w:bookmarkEnd w:id="22"/>
      <w:r/>
      <w:bookmarkEnd w:id="23"/>
      <w:r/>
      <w:r/>
    </w:p>
    <w:p>
      <w:pPr>
        <w:pStyle w:val="766"/>
        <w:ind w:left="0" w:right="0"/>
        <w:jc w:val="center"/>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pacing w:val="-20"/>
          <w:sz w:val="36"/>
          <w:szCs w:val="36"/>
          <w:highlight w:val="none"/>
        </w:rPr>
      </w:pPr>
      <w:r/>
      <w:bookmarkStart w:id="24" w:name="OLE_LINK7"/>
      <w:r/>
      <w:r/>
    </w:p>
    <w:p>
      <w:pPr>
        <w:pStyle w:val="766"/>
        <w:ind w:left="0" w:right="0"/>
        <w:jc w:val="center"/>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pacing w:val="-20"/>
          <w:sz w:val="36"/>
          <w:szCs w:val="36"/>
          <w:highlight w:val="none"/>
        </w:rPr>
      </w:pPr>
      <w:r>
        <w:rPr>
          <w:rFonts w:hint="eastAsia" w:ascii="宋体" w:hAnsi="宋体" w:eastAsia="宋体" w:cs="宋体"/>
          <w:b/>
          <w:bCs/>
          <w:color w:val="auto"/>
          <w:spacing w:val="-20"/>
          <w:sz w:val="36"/>
          <w:szCs w:val="36"/>
          <w:highlight w:val="none"/>
        </w:rPr>
        <w:t xml:space="preserve">政府采购货物买卖合同</w:t>
      </w:r>
      <w:r/>
    </w:p>
    <w:p>
      <w:pPr>
        <w:ind w:left="0" w:right="0"/>
        <w:pageBreakBefore w:val="0"/>
        <w:spacing w:beforeAutospacing="0" w:afterAutospacing="0" w:line="440" w:lineRule="exact"/>
        <w:shd w:val="clear" w:color="auto"/>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t xml:space="preserve">    </w:t>
      </w:r>
      <w:bookmarkEnd w:id="24"/>
      <w:r/>
      <w:r/>
    </w:p>
    <w:p>
      <w:pPr>
        <w:pStyle w:val="846"/>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beforeAutospacing="0" w:afterAutospacing="0" w:line="440" w:lineRule="exact"/>
        <w:shd w:val="clear" w:color="auto"/>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beforeAutospacing="0" w:afterAutospacing="0" w:line="440" w:lineRule="exact"/>
        <w:shd w:val="clear" w:color="auto"/>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beforeAutospacing="0" w:afterAutospacing="0" w:line="440" w:lineRule="exact"/>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p>
    <w:p>
      <w:pPr>
        <w:pStyle w:val="846"/>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firstLine="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firstLine="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firstLine="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firstLine="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firstLine="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firstLine="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firstLine="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firstLine="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beforeAutospacing="0" w:afterAutospacing="0" w:line="440" w:lineRule="exact"/>
        <w:shd w:val="clear" w:color="auto"/>
        <w:rPr>
          <w:rFonts w:hint="eastAsia" w:ascii="宋体" w:hAnsi="宋体" w:eastAsia="宋体" w:cs="宋体"/>
          <w:color w:val="auto"/>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44"/>
          <w:szCs w:val="44"/>
          <w:highlight w:val="none"/>
        </w:rPr>
      </w:r>
      <w:r/>
    </w:p>
    <w:p>
      <w:pPr>
        <w:ind w:left="0" w:right="0"/>
        <w:jc w:val="center"/>
        <w:pageBreakBefore w:val="0"/>
        <w:spacing w:beforeAutospacing="0" w:afterAutospacing="0"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使 用 说 明</w:t>
      </w:r>
      <w:r/>
    </w:p>
    <w:p>
      <w:pPr>
        <w:ind w:left="0" w:right="0" w:firstLine="640"/>
        <w:pageBreakBefore w:val="0"/>
        <w:spacing w:beforeAutospacing="0" w:afterAutospacing="0"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right="0" w:firstLine="640"/>
        <w:pageBreakBefore w:val="0"/>
        <w:spacing w:beforeAutospacing="0" w:afterAutospacing="0"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1.本合同标准文本</w:t>
      </w:r>
      <w:r>
        <w:rPr>
          <w:rFonts w:hint="eastAsia" w:ascii="宋体" w:hAnsi="宋体" w:cs="宋体"/>
          <w:color w:val="auto"/>
          <w:sz w:val="28"/>
          <w:szCs w:val="28"/>
          <w:highlight w:val="none"/>
          <w:lang w:val="en-US" w:eastAsia="zh-CN"/>
        </w:rPr>
        <w:t xml:space="preserve">参照</w:t>
      </w:r>
      <w:r>
        <w:rPr>
          <w:rFonts w:hint="eastAsia" w:ascii="宋体" w:hAnsi="宋体" w:eastAsia="宋体" w:cs="宋体"/>
          <w:color w:val="auto"/>
          <w:sz w:val="28"/>
          <w:szCs w:val="28"/>
          <w:highlight w:val="none"/>
        </w:rPr>
        <w:t xml:space="preserve">购买</w:t>
      </w:r>
      <w:r>
        <w:rPr>
          <w:rFonts w:hint="eastAsia" w:ascii="宋体" w:hAnsi="宋体" w:cs="宋体"/>
          <w:color w:val="auto"/>
          <w:sz w:val="28"/>
          <w:szCs w:val="28"/>
          <w:highlight w:val="none"/>
          <w:lang w:val="en-US" w:eastAsia="zh-CN"/>
        </w:rPr>
        <w:t xml:space="preserve">现成</w:t>
      </w:r>
      <w:r>
        <w:rPr>
          <w:rFonts w:hint="eastAsia" w:ascii="宋体" w:hAnsi="宋体" w:eastAsia="宋体" w:cs="宋体"/>
          <w:color w:val="auto"/>
          <w:sz w:val="28"/>
          <w:szCs w:val="28"/>
          <w:highlight w:val="none"/>
        </w:rPr>
        <w:t xml:space="preserve">货物的采购项目，不包括需要供应商定制开发、创新研发的货物采购项目。</w:t>
      </w:r>
      <w:r/>
    </w:p>
    <w:p>
      <w:pPr>
        <w:ind w:left="0" w:right="0"/>
        <w:pageBreakBefore w:val="0"/>
        <w:spacing w:beforeAutospacing="0" w:afterAutospacing="0"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2.本合同标准文本为政府采购货物买卖合同编制提供参考，可以结合采购项目具体情况，对文本作必要的调整修订后使用。</w:t>
      </w:r>
      <w:r/>
    </w:p>
    <w:p>
      <w:pPr>
        <w:ind w:left="0" w:right="0" w:firstLine="640"/>
        <w:pageBreakBefore w:val="0"/>
        <w:spacing w:beforeAutospacing="0" w:afterAutospacing="0" w:line="440" w:lineRule="exact"/>
        <w:shd w:val="clear" w:color="auto"/>
        <w:rPr>
          <w:rFonts w:hint="eastAsia" w:ascii="宋体" w:hAnsi="宋体" w:eastAsia="宋体" w:cs="宋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8"/>
          <w:szCs w:val="28"/>
          <w:highlight w:val="none"/>
        </w:rPr>
        <w:t xml:space="preserve">3.本合同标准文本各条款中，如涉及填写多家供应商、制造商，多种采购标的、分包主要内容等信息的，可根据采购项目具体情况添加信息项。</w:t>
      </w:r>
      <w:r/>
    </w:p>
    <w:p>
      <w:pPr>
        <w:pStyle w:val="756"/>
        <w:ind w:right="0"/>
        <w:jc w:val="center"/>
        <w:pageBreakBefore w:val="0"/>
        <w:spacing w:before="0" w:beforeAutospacing="0" w:after="0" w:afterAutospacing="0" w:line="440" w:lineRule="exact"/>
        <w:shd w:val="clear" w:color="auto"/>
        <w:rPr>
          <w:rFonts w:hint="eastAsia" w:ascii="宋体" w:hAnsi="宋体" w:eastAsia="宋体" w:cs="宋体"/>
          <w:b/>
          <w:bCs/>
          <w:color w:val="auto"/>
          <w:sz w:val="36"/>
          <w:szCs w:val="36"/>
          <w:highlight w:val="none"/>
        </w:rPr>
      </w:pPr>
      <w:r/>
      <w:bookmarkStart w:id="25" w:name="_Toc22209"/>
      <w:r>
        <w:rPr>
          <w:rFonts w:hint="eastAsia" w:ascii="宋体" w:hAnsi="宋体" w:eastAsia="宋体" w:cs="宋体"/>
          <w:b/>
          <w:bCs/>
          <w:color w:val="auto"/>
          <w:sz w:val="36"/>
          <w:szCs w:val="36"/>
          <w:highlight w:val="none"/>
        </w:rPr>
        <w:t xml:space="preserve">第一节 政府采购合同协议书</w:t>
      </w:r>
      <w:bookmarkEnd w:id="25"/>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（采购人、受采购人委托签订合同的单位或采购文件约定的合同甲方）</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5"/>
        </w:numPr>
        <w:ind w:left="0" w:right="0" w:firstLine="0"/>
        <w:keepLines w:val="0"/>
        <w:keepNext w:val="0"/>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项目信息</w:t>
      </w:r>
      <w:r/>
    </w:p>
    <w:p>
      <w:pPr>
        <w:pStyle w:val="770"/>
        <w:numPr>
          <w:ilvl w:val="0"/>
          <w:numId w:val="6"/>
        </w:num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u w:val="single"/>
        </w:rPr>
        <w:t xml:space="preserve">                                          </w:t>
      </w:r>
      <w:r/>
    </w:p>
    <w:p>
      <w:pPr>
        <w:pStyle w:val="770"/>
        <w:ind w:left="0" w:right="0" w:firstLine="0"/>
        <w:keepLines w:val="0"/>
        <w:keepNext w:val="0"/>
        <w:pageBreakBefore w:val="0"/>
        <w:spacing w:beforeAutospacing="0" w:afterAutospacing="0" w:line="440" w:lineRule="exact"/>
        <w:shd w:val="clear" w:color="auto"/>
        <w:tabs>
          <w:tab w:val="left" w:pos="9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采购项目编号：</w:t>
      </w:r>
      <w:r>
        <w:rPr>
          <w:rFonts w:hint="eastAsia" w:ascii="宋体" w:hAnsi="宋体" w:eastAsia="宋体" w:cs="宋体"/>
          <w:color w:val="auto"/>
          <w:sz w:val="24"/>
          <w:szCs w:val="24"/>
          <w:highlight w:val="none"/>
          <w:u w:val="single"/>
        </w:rPr>
        <w:t xml:space="preserve">                                          </w:t>
      </w:r>
      <w:r/>
    </w:p>
    <w:p>
      <w:pPr>
        <w:pStyle w:val="770"/>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（2）采购计划编号：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采购标的及数量（台/套</w:t>
      </w:r>
      <w:r>
        <w:rPr>
          <w:rFonts w:hint="eastAsia" w:ascii="宋体" w:hAnsi="宋体" w:eastAsia="宋体" w:cs="宋体"/>
          <w:color w:val="auto"/>
          <w:sz w:val="24"/>
          <w:szCs w:val="24"/>
          <w:highlight w:val="none"/>
          <w:lang w:val="en"/>
        </w:rPr>
        <w:t xml:space="preserve">/个/架/组等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
        </w:rPr>
        <w:t xml:space="preserve">     </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采购标的的技术要求、商务要求具体见附件。</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①涉及信息类产品，请填写该产品关键部件的品牌、型号：</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②涉及车辆采购，请填写是否属于新能源汽车：</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4</w:t>
      </w:r>
      <w:r>
        <w:rPr>
          <w:rFonts w:hint="eastAsia" w:ascii="宋体" w:hAnsi="宋体" w:eastAsia="宋体" w:cs="宋体"/>
          <w:color w:val="auto"/>
          <w:sz w:val="24"/>
          <w:szCs w:val="24"/>
          <w:highlight w:val="none"/>
        </w:rPr>
        <w:t xml:space="preserve">）政府采购组织形式：</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政府集中采购  □部门集中采购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分散采购</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5</w:t>
      </w:r>
      <w:r>
        <w:rPr>
          <w:rFonts w:hint="eastAsia" w:ascii="宋体" w:hAnsi="宋体" w:eastAsia="宋体" w:cs="宋体"/>
          <w:color w:val="auto"/>
          <w:sz w:val="24"/>
          <w:szCs w:val="24"/>
          <w:highlight w:val="none"/>
        </w:rPr>
        <w:t xml:space="preserve">）政府采购方式：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公开招标 □邀请招标 □竞争性谈判 □竞争性磋商</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□询价 □单一来源 □框架协议 □其他：</w:t>
      </w:r>
      <w:r>
        <w:rPr>
          <w:rFonts w:hint="eastAsia" w:ascii="宋体" w:hAnsi="宋体" w:eastAsia="宋体" w:cs="宋体"/>
          <w:color w:val="auto"/>
          <w:sz w:val="24"/>
          <w:szCs w:val="24"/>
          <w:highlight w:val="none"/>
          <w:u w:val="single"/>
        </w:rPr>
        <w:t xml:space="preserve">          </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（注：在框架协议采购的第二阶段，可选择使用该合同文本）</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
        </w:rPr>
        <w:t xml:space="preserve">6</w:t>
      </w:r>
      <w:r>
        <w:rPr>
          <w:rFonts w:hint="eastAsia" w:ascii="宋体" w:hAnsi="宋体" w:eastAsia="宋体" w:cs="宋体"/>
          <w:color w:val="auto"/>
          <w:sz w:val="24"/>
          <w:szCs w:val="24"/>
          <w:highlight w:val="none"/>
        </w:rPr>
        <w:t xml:space="preserve">）中标（成交）采购标的制造商是否为中小企业：□是  □否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本合同是否为专门面向中小企业的采购合同（中小企业预留合同）：</w:t>
      </w: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w:t>
      </w:r>
      <w:r>
        <w:rPr>
          <w:rFonts w:hint="eastAsia" w:ascii="宋体" w:hAnsi="宋体" w:eastAsia="宋体" w:cs="宋体"/>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若本项目不专门面向中小企业采购，是否给予小微企业评审优惠：□</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中标（成交）采购标的制造商是否为残疾人福利性单位：</w:t>
      </w:r>
      <w:r>
        <w:rPr>
          <w:rFonts w:hint="eastAsia" w:ascii="宋体" w:hAnsi="宋体" w:eastAsia="宋体" w:cs="宋体"/>
          <w:iCs/>
          <w:color w:val="auto"/>
          <w:sz w:val="24"/>
          <w:szCs w:val="24"/>
          <w:highlight w:val="none"/>
        </w:rPr>
        <w:t xml:space="preserve">□是   □否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中标（成交）采购标的制造商是否为监狱企业：</w:t>
      </w:r>
      <w:r>
        <w:rPr>
          <w:rFonts w:hint="eastAsia" w:ascii="宋体" w:hAnsi="宋体" w:eastAsia="宋体" w:cs="宋体"/>
          <w:iCs/>
          <w:color w:val="auto"/>
          <w:sz w:val="24"/>
          <w:szCs w:val="24"/>
          <w:highlight w:val="none"/>
        </w:rPr>
        <w:t xml:space="preserve">□是       □否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7</w:t>
      </w:r>
      <w:r>
        <w:rPr>
          <w:rFonts w:hint="eastAsia" w:ascii="宋体" w:hAnsi="宋体" w:eastAsia="宋体" w:cs="宋体"/>
          <w:color w:val="auto"/>
          <w:sz w:val="24"/>
          <w:szCs w:val="24"/>
          <w:highlight w:val="none"/>
        </w:rPr>
        <w:t xml:space="preserve">）合同是否分包：□</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分包主要内容：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分包供应商/制造商名称（如供应商和制造商不同，请分别填写）：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分包供应商/制造商类型（如果供应商和制造商不同，只填写制造商类型）：</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□大型企业  □中型企业  □小微型企业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□残疾人福利性单位 □监狱企业 □其他</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8</w:t>
      </w:r>
      <w:r>
        <w:rPr>
          <w:rFonts w:hint="eastAsia" w:ascii="宋体" w:hAnsi="宋体" w:eastAsia="宋体" w:cs="宋体"/>
          <w:color w:val="auto"/>
          <w:sz w:val="24"/>
          <w:szCs w:val="24"/>
          <w:highlight w:val="none"/>
        </w:rPr>
        <w:t xml:space="preserve">）中标（成交）供应商是否为外商投资企业：</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pStyle w:val="846"/>
        <w:ind w:left="0" w:right="0" w:firstLine="0"/>
        <w:keepLines w:val="0"/>
        <w:keepNext w:val="0"/>
        <w:pageBreakBefore w:val="0"/>
        <w:spacing w:beforeAutospacing="0" w:afterAutospacing="0" w:line="440" w:lineRule="exact"/>
        <w:shd w:val="clear" w:color="auto"/>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外商投资企业类型：</w:t>
      </w:r>
      <w:r>
        <w:rPr>
          <w:rFonts w:hint="eastAsia" w:ascii="宋体" w:hAnsi="宋体" w:eastAsia="宋体" w:cs="宋体"/>
          <w:iCs/>
          <w:color w:val="auto"/>
          <w:sz w:val="24"/>
          <w:szCs w:val="24"/>
          <w:highlight w:val="none"/>
        </w:rPr>
        <w:t xml:space="preserve">□</w:t>
      </w:r>
      <w:r>
        <w:rPr>
          <w:rFonts w:hint="eastAsia" w:ascii="宋体" w:hAnsi="宋体" w:eastAsia="宋体" w:cs="宋体"/>
          <w:color w:val="auto"/>
          <w:sz w:val="24"/>
          <w:szCs w:val="24"/>
          <w:highlight w:val="none"/>
        </w:rPr>
        <w:t xml:space="preserve">全部由外国投资者投资  </w:t>
      </w:r>
      <w:r>
        <w:rPr>
          <w:rFonts w:hint="eastAsia" w:ascii="宋体" w:hAnsi="宋体" w:eastAsia="宋体" w:cs="宋体"/>
          <w:iCs/>
          <w:color w:val="auto"/>
          <w:sz w:val="24"/>
          <w:szCs w:val="24"/>
          <w:highlight w:val="none"/>
        </w:rPr>
        <w:t xml:space="preserve">□部分由外国投资者投资</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9</w:t>
      </w:r>
      <w:r>
        <w:rPr>
          <w:rFonts w:hint="eastAsia" w:ascii="宋体" w:hAnsi="宋体" w:eastAsia="宋体" w:cs="宋体"/>
          <w:color w:val="auto"/>
          <w:sz w:val="24"/>
          <w:szCs w:val="24"/>
          <w:highlight w:val="none"/>
        </w:rPr>
        <w:t xml:space="preserve">）是否涉及进口产品：</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rPr>
          <w:rFonts w:hint="eastAsia" w:ascii="宋体" w:hAnsi="宋体" w:eastAsia="宋体" w:cs="宋体"/>
          <w:color w:val="auto"/>
          <w:sz w:val="24"/>
          <w:szCs w:val="24"/>
          <w:highlight w:val="none"/>
          <w:u w:val="single"/>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国别：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ind w:left="0" w:right="0" w:firstLine="0"/>
        <w:keepLines w:val="0"/>
        <w:keepNext w:val="0"/>
        <w:pageBreakBefore w:val="0"/>
        <w:spacing w:beforeAutospacing="0" w:afterAutospacing="0" w:line="440" w:lineRule="exact"/>
        <w:shd w:val="clear" w:color="auto"/>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
        </w:rPr>
        <w:t xml:space="preserve">0</w:t>
      </w:r>
      <w:r>
        <w:rPr>
          <w:rFonts w:hint="eastAsia" w:ascii="宋体" w:hAnsi="宋体" w:eastAsia="宋体" w:cs="宋体"/>
          <w:color w:val="auto"/>
          <w:sz w:val="24"/>
          <w:szCs w:val="24"/>
          <w:highlight w:val="none"/>
        </w:rPr>
        <w:t xml:space="preserve">）是否涉及节能产品：</w:t>
      </w:r>
      <w:r/>
    </w:p>
    <w:p>
      <w:pPr>
        <w:ind w:left="0" w:right="0" w:firstLine="0"/>
        <w:keepLines w:val="0"/>
        <w:keepNext w:val="0"/>
        <w:pageBreakBefore w:val="0"/>
        <w:spacing w:beforeAutospacing="0" w:afterAutospacing="0" w:line="440" w:lineRule="exact"/>
        <w:shd w:val="clear" w:color="auto"/>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□是，《节能产品政府采购品目清单》的底级品目名称：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ind w:left="0" w:right="0" w:firstLine="0"/>
        <w:keepLines w:val="0"/>
        <w:keepNext w:val="0"/>
        <w:pageBreakBefore w:val="0"/>
        <w:spacing w:beforeAutospacing="0" w:afterAutospacing="0" w:line="440" w:lineRule="exact"/>
        <w:shd w:val="clear" w:color="auto"/>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ind w:left="0" w:right="0" w:firstLine="0"/>
        <w:keepLines w:val="0"/>
        <w:keepNext w:val="0"/>
        <w:pageBreakBefore w:val="0"/>
        <w:spacing w:beforeAutospacing="0" w:afterAutospacing="0" w:line="440" w:lineRule="exact"/>
        <w:shd w:val="clear" w:color="auto"/>
        <w:tabs>
          <w:tab w:val="left" w:pos="740" w:leader="none"/>
        </w:tabs>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rPr>
        <w:t xml:space="preserve">□否</w:t>
      </w:r>
      <w:r/>
    </w:p>
    <w:p>
      <w:pPr>
        <w:ind w:left="0" w:right="0" w:firstLine="0"/>
        <w:keepLines w:val="0"/>
        <w:keepNext w:val="0"/>
        <w:pageBreakBefore w:val="0"/>
        <w:spacing w:beforeAutospacing="0" w:afterAutospacing="0" w:line="440" w:lineRule="exact"/>
        <w:shd w:val="clear" w:color="auto"/>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是否涉及环境标志产品：</w:t>
      </w:r>
      <w:r/>
    </w:p>
    <w:p>
      <w:pPr>
        <w:ind w:left="0" w:right="0" w:firstLine="0"/>
        <w:keepLines w:val="0"/>
        <w:keepNext w:val="0"/>
        <w:pageBreakBefore w:val="0"/>
        <w:spacing w:beforeAutospacing="0" w:afterAutospacing="0" w:line="440" w:lineRule="exact"/>
        <w:shd w:val="clear" w:color="auto"/>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□是，《环境标志产品政府采购品目清单》的底级品目名称：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ind w:left="0" w:right="0" w:firstLine="0"/>
        <w:keepLines w:val="0"/>
        <w:keepNext w:val="0"/>
        <w:pageBreakBefore w:val="0"/>
        <w:spacing w:beforeAutospacing="0" w:afterAutospacing="0" w:line="440" w:lineRule="exact"/>
        <w:shd w:val="clear" w:color="auto"/>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ind w:left="0" w:right="0" w:firstLine="0"/>
        <w:keepLines w:val="0"/>
        <w:keepNext w:val="0"/>
        <w:pageBreakBefore w:val="0"/>
        <w:spacing w:beforeAutospacing="0" w:afterAutospacing="0" w:line="440" w:lineRule="exact"/>
        <w:shd w:val="clear" w:color="auto"/>
        <w:tabs>
          <w:tab w:val="left" w:pos="740" w:leader="none"/>
        </w:tabs>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rPr>
        <w:t xml:space="preserve">□否</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是否涉及绿色产品： </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□是，绿色产品政府采购相关政策确定的底级品目名称：</w:t>
      </w:r>
      <w:r>
        <w:rPr>
          <w:rFonts w:hint="eastAsia" w:ascii="宋体" w:hAnsi="宋体" w:eastAsia="宋体" w:cs="宋体"/>
          <w:color w:val="auto"/>
          <w:sz w:val="24"/>
          <w:szCs w:val="24"/>
          <w:highlight w:val="none"/>
          <w:u w:val="single"/>
        </w:rPr>
        <w:t xml:space="preserve">         </w:t>
      </w:r>
      <w:r/>
    </w:p>
    <w:p>
      <w:pPr>
        <w:ind w:left="0" w:right="0" w:firstLine="0"/>
        <w:keepLines w:val="0"/>
        <w:keepNext w:val="0"/>
        <w:pageBreakBefore w:val="0"/>
        <w:spacing w:beforeAutospacing="0" w:afterAutospacing="0" w:line="440" w:lineRule="exact"/>
        <w:shd w:val="clear" w:color="auto"/>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t xml:space="preserve">□强制采购       □优先采购    </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
        </w:rPr>
        <w:t xml:space="preserve">1</w:t>
      </w:r>
      <w:r>
        <w:rPr>
          <w:rFonts w:hint="eastAsia" w:ascii="宋体" w:hAnsi="宋体" w:eastAsia="宋体" w:cs="宋体"/>
          <w:color w:val="auto"/>
          <w:sz w:val="24"/>
          <w:szCs w:val="24"/>
          <w:highlight w:val="none"/>
        </w:rPr>
        <w:t xml:space="preserve">）涉及商品包装和快递包装的，是否参考《商品包装政府采购需求标准（试行）》、《快递包装政府采购需求标准（试行）》明确产品及相关快递服务的具体包装要求：</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      □不涉及</w:t>
      </w:r>
      <w:r/>
    </w:p>
    <w:p>
      <w:pPr>
        <w:numPr>
          <w:ilvl w:val="0"/>
          <w:numId w:val="5"/>
        </w:numPr>
        <w:ind w:left="0" w:right="0" w:firstLine="0"/>
        <w:keepLines w:val="0"/>
        <w:keepNext w:val="0"/>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分包金额（如有）小写：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（注：固定单价合同应填写单价和最高限价）</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（2）合同定价方式（采用组合定价方式的，可以勾选多项）：</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ascii="Wingdings" w:hAnsi="Wingdings" w:eastAsia="Wingdings" w:cs="Wingdings"/>
          <w:color w:val="auto"/>
          <w:sz w:val="24"/>
          <w:szCs w:val="24"/>
          <w:highlight w:val="none"/>
        </w:rPr>
        <w:t xml:space="preserve">þ</w:t>
      </w:r>
      <w:r>
        <w:rPr>
          <w:rFonts w:hint="eastAsia" w:ascii="宋体" w:hAnsi="宋体" w:eastAsia="宋体" w:cs="宋体"/>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固定单价 ¨固定费率 ¨成本补偿 ¨绩效激励 ¨其他</w:t>
      </w:r>
      <w:r>
        <w:rPr>
          <w:rFonts w:hint="eastAsia" w:ascii="宋体" w:hAnsi="宋体" w:eastAsia="宋体" w:cs="宋体"/>
          <w:color w:val="auto"/>
          <w:sz w:val="24"/>
          <w:szCs w:val="24"/>
          <w:highlight w:val="none"/>
          <w:u w:val="single"/>
        </w:rPr>
        <w:t xml:space="preserve">       </w:t>
      </w:r>
      <w:r/>
    </w:p>
    <w:p>
      <w:pPr>
        <w:pStyle w:val="1068"/>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（3）付款方式（按项目实际勾选填写）：</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 （应明确一次性支付合同款项的条件）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分期付款：预付款：合同金额的</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，合同签订后按规定支付； </w:t>
      </w:r>
      <w:r/>
    </w:p>
    <w:p>
      <w:pPr>
        <w:ind w:left="0" w:right="0" w:firstLine="0"/>
        <w:keepLines w:val="0"/>
        <w:keepNext w:val="0"/>
        <w:pageBreakBefore w:val="0"/>
        <w:spacing w:beforeAutospacing="0" w:afterAutospacing="0" w:line="440" w:lineRule="exact"/>
        <w:shd w:val="clear" w:color="auto" w:fill="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进度款：</w:t>
      </w:r>
      <w:r>
        <w:rPr>
          <w:rFonts w:hint="eastAsia" w:ascii="宋体" w:hAnsi="宋体" w:eastAsia="宋体" w:cs="宋体"/>
          <w:color w:val="auto"/>
          <w:sz w:val="24"/>
          <w:szCs w:val="24"/>
          <w:highlight w:val="none"/>
          <w:u w:val="single"/>
          <w:lang w:val="en-US" w:eastAsia="zh-CN"/>
        </w:rPr>
        <w:t xml:space="preserve">设备</w:t>
      </w:r>
      <w:r>
        <w:rPr>
          <w:rFonts w:hint="eastAsia" w:ascii="宋体" w:hAnsi="宋体" w:eastAsia="宋体" w:cs="宋体"/>
          <w:color w:val="auto"/>
          <w:sz w:val="24"/>
          <w:szCs w:val="24"/>
          <w:highlight w:val="none"/>
          <w:u w:val="single"/>
        </w:rPr>
        <w:t xml:space="preserve">到现场</w:t>
      </w:r>
      <w:r>
        <w:rPr>
          <w:rFonts w:hint="eastAsia" w:ascii="宋体" w:hAnsi="宋体" w:eastAsia="宋体" w:cs="宋体"/>
          <w:color w:val="auto"/>
          <w:sz w:val="24"/>
          <w:szCs w:val="24"/>
          <w:highlight w:val="none"/>
          <w:u w:val="single"/>
          <w:lang w:val="en-US" w:eastAsia="zh-CN"/>
        </w:rPr>
        <w:t xml:space="preserve">安装</w:t>
      </w:r>
      <w:r>
        <w:rPr>
          <w:rFonts w:hint="eastAsia" w:ascii="宋体" w:hAnsi="宋体" w:eastAsia="宋体" w:cs="宋体"/>
          <w:color w:val="auto"/>
          <w:sz w:val="24"/>
          <w:szCs w:val="24"/>
          <w:highlight w:val="none"/>
          <w:u w:val="single"/>
        </w:rPr>
        <w:t xml:space="preserve">完毕</w:t>
      </w:r>
      <w:r>
        <w:rPr>
          <w:rFonts w:hint="eastAsia" w:ascii="宋体" w:hAnsi="宋体" w:eastAsia="宋体" w:cs="宋体"/>
          <w:color w:val="auto"/>
          <w:sz w:val="24"/>
          <w:szCs w:val="24"/>
          <w:highlight w:val="none"/>
          <w:u w:val="single"/>
          <w:lang w:val="en-US" w:eastAsia="zh-CN"/>
        </w:rPr>
        <w:t xml:space="preserve">且验收合格后</w:t>
      </w:r>
      <w:r>
        <w:rPr>
          <w:rFonts w:hint="eastAsia" w:ascii="宋体" w:hAnsi="宋体" w:eastAsia="宋体" w:cs="宋体"/>
          <w:color w:val="auto"/>
          <w:sz w:val="24"/>
          <w:szCs w:val="24"/>
          <w:highlight w:val="none"/>
          <w:u w:val="single"/>
        </w:rPr>
        <w:t xml:space="preserve">，收到供应商发票10个工作日内支付至合同总价款的100%。</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(1)可以采用数字人民币支付。</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(2)资金支付的时间:收到供应商发票后10个工作日内。</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(3)资金支付的条件:满足相应阶段的要求且收到供应商发票。</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(4)当采购数量与实际使用数量不一致时，供应商应根据实际使用量供货，合同的最终结算金额按实际使用量乘以</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单价进行计算。</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(5)在签订合同时，供应商明确表示无需预付款或者主动要求降低预付款比例的，采购人可不适用前述规定。</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  （应明确按照成本补偿方式的支付方式和支付条件）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  （应明确按照绩效激励方式的支付方式和支付条件）   </w:t>
      </w:r>
      <w:r/>
    </w:p>
    <w:p>
      <w:pPr>
        <w:numPr>
          <w:ilvl w:val="0"/>
          <w:numId w:val="5"/>
        </w:numPr>
        <w:ind w:left="0" w:right="0" w:firstLine="0"/>
        <w:keepLines w:val="0"/>
        <w:keepNext w:val="0"/>
        <w:pageBreakBefore w:val="0"/>
        <w:spacing w:beforeAutospacing="0" w:afterAutospacing="0" w:line="440" w:lineRule="exact"/>
        <w:shd w:val="clear" w:color="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合同履行</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日，完成日期：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（2）履约地点</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u w:val="single"/>
        </w:rPr>
        <w:t xml:space="preserve"> 采购人指定地点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rPr>
        <w:t xml:space="preserve">是否收取履约保证金：□是    □否</w:t>
      </w:r>
      <w:r/>
    </w:p>
    <w:p>
      <w:pPr>
        <w:pStyle w:val="846"/>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 xml:space="preserve">除银行电汇、网上银行、数字人民币外，投标人还可选用银行保函、担保公司的保证担保或保险公司的保证保险、等多种形式向甲方缴纳；</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lang w:val="zh-CN" w:eastAsia="zh-CN"/>
        </w:rPr>
      </w:pPr>
      <w:r>
        <w:rPr>
          <w:rFonts w:hint="eastAsia" w:ascii="宋体" w:hAnsi="宋体" w:eastAsia="宋体" w:cs="宋体"/>
          <w:color w:val="auto"/>
          <w:sz w:val="24"/>
          <w:szCs w:val="24"/>
          <w:highlight w:val="none"/>
        </w:rPr>
        <w:t xml:space="preserve">    收取履约保证金金额：</w:t>
      </w:r>
      <w:r>
        <w:rPr>
          <w:rFonts w:hint="eastAsia" w:ascii="宋体" w:hAnsi="宋体" w:eastAsia="宋体" w:cs="宋体"/>
          <w:bCs/>
          <w:color w:val="auto"/>
          <w:sz w:val="24"/>
          <w:szCs w:val="24"/>
          <w:highlight w:val="none"/>
          <w:u w:val="single"/>
          <w:lang w:val="zh-CN" w:eastAsia="zh-CN" w:bidi="ar-SA"/>
        </w:rPr>
        <w:t xml:space="preserve">按采购合同总价的 2%（使用江苏政府采购电子履约保函(保险)代替缴纳履约保证金，按采购合同总价的1.2%)计取。</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履约担保期限：</w:t>
      </w:r>
      <w:r>
        <w:rPr>
          <w:rFonts w:hint="eastAsia" w:ascii="宋体" w:hAnsi="宋体" w:eastAsia="宋体" w:cs="宋体"/>
          <w:bCs/>
          <w:color w:val="auto"/>
          <w:sz w:val="24"/>
          <w:szCs w:val="24"/>
          <w:highlight w:val="none"/>
          <w:u w:val="single"/>
        </w:rPr>
        <w:t xml:space="preserve">履约验收合格为止。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（4）分期履行要求：</w:t>
      </w:r>
      <w:r>
        <w:rPr>
          <w:rFonts w:hint="eastAsia" w:ascii="宋体" w:hAnsi="宋体" w:eastAsia="宋体" w:cs="宋体"/>
          <w:bCs/>
          <w:color w:val="auto"/>
          <w:sz w:val="24"/>
          <w:szCs w:val="24"/>
          <w:highlight w:val="none"/>
          <w:u w:val="single"/>
        </w:rPr>
        <w:t xml:space="preserve">   /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（5）风险处置措施和替代方案：</w:t>
      </w:r>
      <w:r>
        <w:rPr>
          <w:rFonts w:hint="eastAsia" w:ascii="宋体" w:hAnsi="宋体" w:eastAsia="宋体" w:cs="宋体"/>
          <w:color w:val="auto"/>
          <w:sz w:val="24"/>
          <w:szCs w:val="24"/>
          <w:highlight w:val="none"/>
          <w:u w:val="single"/>
        </w:rPr>
        <w:t xml:space="preserve">  /    </w:t>
      </w:r>
      <w:r/>
    </w:p>
    <w:p>
      <w:pPr>
        <w:numPr>
          <w:ilvl w:val="0"/>
          <w:numId w:val="5"/>
        </w:numPr>
        <w:ind w:left="0" w:right="0" w:firstLine="0"/>
        <w:keepLines w:val="0"/>
        <w:keepNext w:val="0"/>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7"/>
        </w:num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验收主体：</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泗洪县水利局  </w:t>
      </w:r>
      <w:r>
        <w:rPr>
          <w:rFonts w:hint="eastAsia" w:ascii="宋体" w:hAnsi="宋体" w:eastAsia="宋体" w:cs="宋体"/>
          <w:bCs/>
          <w:color w:val="auto"/>
          <w:sz w:val="24"/>
          <w:szCs w:val="24"/>
          <w:highlight w:val="none"/>
          <w:u w:val="single"/>
        </w:rPr>
        <w:t xml:space="preserve">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是否邀请本项目的其他供应商参加验收：</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是否邀请第三方检测机构参加验收：</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是否进行抽查检测：</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是，抽查比例：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是否存在破坏性检测：</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u w:val="single"/>
        </w:rPr>
        <w:t xml:space="preserve">（应明确对被破坏的检测产品的处理方式）</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验收组织的其他事项：</w:t>
      </w:r>
      <w:r>
        <w:rPr>
          <w:rFonts w:hint="eastAsia" w:ascii="宋体" w:hAnsi="宋体" w:eastAsia="宋体" w:cs="宋体"/>
          <w:bCs/>
          <w:color w:val="auto"/>
          <w:sz w:val="24"/>
          <w:szCs w:val="24"/>
          <w:highlight w:val="none"/>
          <w:u w:val="single"/>
        </w:rPr>
        <w:t xml:space="preserve"> 无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（供应商提出验收申请之日起3</w:t>
      </w:r>
      <w:r>
        <w:rPr>
          <w:rFonts w:hint="eastAsia" w:ascii="宋体" w:hAnsi="宋体" w:eastAsia="宋体" w:cs="宋体"/>
          <w:bCs/>
          <w:color w:val="auto"/>
          <w:sz w:val="24"/>
          <w:szCs w:val="24"/>
          <w:highlight w:val="none"/>
          <w:u w:val="single"/>
          <w:lang w:val="en-US" w:eastAsia="zh-CN"/>
        </w:rPr>
        <w:t xml:space="preserve">个工作</w:t>
      </w:r>
      <w:r>
        <w:rPr>
          <w:rFonts w:hint="eastAsia" w:ascii="宋体" w:hAnsi="宋体" w:eastAsia="宋体" w:cs="宋体"/>
          <w:bCs/>
          <w:color w:val="auto"/>
          <w:sz w:val="24"/>
          <w:szCs w:val="24"/>
          <w:highlight w:val="none"/>
          <w:u w:val="single"/>
        </w:rPr>
        <w:t xml:space="preserve">日内组织验收）</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一次性验收         </w:t>
      </w:r>
      <w:r/>
    </w:p>
    <w:p>
      <w:pPr>
        <w:ind w:left="0" w:right="0" w:firstLine="0"/>
        <w:keepLines w:val="0"/>
        <w:keepNext w:val="0"/>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u w:val="single"/>
        </w:rPr>
        <w:t xml:space="preserve"> （应明确分期</w:t>
      </w:r>
      <w:r>
        <w:rPr>
          <w:rFonts w:hint="eastAsia" w:ascii="宋体" w:hAnsi="宋体" w:eastAsia="宋体" w:cs="宋体"/>
          <w:bCs/>
          <w:color w:val="auto"/>
          <w:sz w:val="24"/>
          <w:szCs w:val="24"/>
          <w:highlight w:val="none"/>
          <w:u w:val="single"/>
          <w:lang w:val="en"/>
        </w:rPr>
        <w:t xml:space="preserve">/分项验收的工作安排</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（4）履约验收程序：</w:t>
      </w:r>
      <w:r/>
    </w:p>
    <w:p>
      <w:pPr>
        <w:ind w:left="0" w:right="0" w:firstLine="48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（一）归集验收依据。实施验收前，甲方应当将采购合同、采购文件、供应商响应文件等验收依据进行归集。</w:t>
      </w:r>
      <w:r/>
    </w:p>
    <w:p>
      <w:pPr>
        <w:ind w:left="0" w:right="0" w:firstLine="48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二）制定验收方案。甲方应当根据采购合同规定的每项技术、服务、安全、质量、数量等内容，结合采购文件和供应商响应文件内容，认真编制“验收内容项及其验收标准清单”，验收清单要全面客观反映货物供给、服务承接和工程施工完结情况，并依据验收清单内容的特点制定验收实施方法，形成总体验收方案。验收方案应当全面完整，确保合同履约要素验收不缺项漏项和不降低标准。</w:t>
      </w:r>
      <w:r/>
    </w:p>
    <w:p>
      <w:pPr>
        <w:ind w:left="0" w:right="0" w:firstLine="48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三）验收实施。甲方应当根据制定的验收实施方法和验收清单开展验收工作。对验收清单列明的验收内容及标准进行逐项验收，并提供相对应的验收印证资料进行验收印证。验收印证资料包括不限于技术资料、测试测评资料、检验检测资料、专家论证资料、调研分析资料、分期验收资料、工作量及采购需求变更情况说明材料等，验收印证资料应当具有针对性和完整性，并确保相关验收印证资料具有证明效力。</w:t>
      </w:r>
      <w:r/>
    </w:p>
    <w:p>
      <w:pPr>
        <w:ind w:left="0" w:right="0" w:firstLine="48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四）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ind w:left="0" w:right="0" w:firstLine="480"/>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验收结束后，甲方应当出具验收书，列明各项标准的验收情况及项目总体评价，由合同当事人双方共同签署。</w:t>
      </w:r>
      <w:r/>
    </w:p>
    <w:p>
      <w:pPr>
        <w:ind w:left="0" w:right="0" w:firstLine="48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rPr>
        <w:t xml:space="preserve">按照采购合同的约定对每一项技术、服务、安全标准的履约情况进行确认。</w:t>
      </w:r>
      <w:r/>
    </w:p>
    <w:p>
      <w:pPr>
        <w:ind w:left="0" w:right="0" w:firstLine="48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（6）履约验收标准：</w:t>
      </w:r>
      <w:r>
        <w:rPr>
          <w:rFonts w:hint="eastAsia" w:ascii="宋体" w:hAnsi="宋体" w:eastAsia="宋体" w:cs="宋体"/>
          <w:bCs/>
          <w:color w:val="auto"/>
          <w:sz w:val="24"/>
          <w:szCs w:val="24"/>
          <w:highlight w:val="none"/>
          <w:u w:val="single"/>
        </w:rPr>
        <w:t xml:space="preserve">对乙方提供的货物结合产品性能及质量有国家标准的应符合国家标准。无国家标准的应符合行业标准、地方标准或者其他标准、规范，并满足采购文件要求</w:t>
      </w:r>
      <w:r>
        <w:rPr>
          <w:rFonts w:hint="eastAsia" w:ascii="宋体" w:hAnsi="宋体" w:eastAsia="宋体" w:cs="宋体"/>
          <w:bCs/>
          <w:color w:val="auto"/>
          <w:sz w:val="24"/>
          <w:szCs w:val="24"/>
          <w:highlight w:val="none"/>
        </w:rPr>
        <w:t xml:space="preserve">。</w:t>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（7）是否以采购活动中供应商提供的样品作为参考：</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480"/>
        <w:pageBreakBefore w:val="0"/>
        <w:spacing w:beforeAutospacing="0" w:afterAutospacing="0" w:line="440" w:lineRule="exact"/>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w:t>
      </w:r>
      <w:r/>
    </w:p>
    <w:p>
      <w:pPr>
        <w:numPr>
          <w:ilvl w:val="0"/>
          <w:numId w:val="5"/>
        </w:numPr>
        <w:ind w:left="0" w:right="0" w:firstLine="482"/>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组成合同的文件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numPr>
          <w:ilvl w:val="0"/>
          <w:numId w:val="5"/>
        </w:numPr>
        <w:ind w:left="0" w:right="0" w:firstLine="482"/>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合同生效</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签订之日起 </w:t>
      </w:r>
      <w:r>
        <w:rPr>
          <w:rFonts w:hint="eastAsia" w:ascii="宋体" w:hAnsi="宋体" w:eastAsia="宋体" w:cs="宋体"/>
          <w:color w:val="auto"/>
          <w:sz w:val="24"/>
          <w:szCs w:val="24"/>
          <w:highlight w:val="none"/>
        </w:rPr>
        <w:t xml:space="preserve">生效。</w:t>
      </w:r>
      <w:r/>
    </w:p>
    <w:p>
      <w:pPr>
        <w:numPr>
          <w:ilvl w:val="0"/>
          <w:numId w:val="5"/>
        </w:numPr>
        <w:ind w:left="0" w:right="0" w:firstLine="482"/>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合同份数</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泗洪县水利局  </w:t>
      </w:r>
      <w:r>
        <w:rPr>
          <w:rFonts w:hint="eastAsia" w:ascii="宋体" w:hAnsi="宋体" w:eastAsia="宋体" w:cs="宋体"/>
          <w:color w:val="auto"/>
          <w:sz w:val="24"/>
          <w:szCs w:val="24"/>
          <w:highlight w:val="none"/>
          <w:u w:val="single"/>
        </w:rPr>
        <w:t xml:space="preserve">    </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附件：具体标的及其技术要求和商务要求、联合协议、分包意向协议等。</w:t>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jc w:val="both"/>
        <w:pageBreakBefore w:val="0"/>
        <w:spacing w:beforeAutospacing="0" w:afterAutospacing="0" w:line="440" w:lineRule="exact"/>
        <w:shd w:val="clear" w:color="auto"/>
        <w:rPr>
          <w:rFonts w:hint="eastAsia" w:ascii="宋体" w:hAnsi="宋体" w:eastAsia="宋体" w:cs="宋体"/>
          <w:color w:val="auto"/>
          <w:sz w:val="24"/>
          <w:szCs w:val="24"/>
          <w:highlight w:val="none"/>
        </w:rPr>
        <w:sectPr>
          <w:headerReference w:type="default" r:id="rId9"/>
          <w:footerReference w:type="default" r:id="rId13"/>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color w:val="auto"/>
          <w:sz w:val="24"/>
          <w:szCs w:val="24"/>
          <w:highlight w:val="none"/>
        </w:rPr>
      </w:r>
      <w:r/>
    </w:p>
    <w:tbl>
      <w:tblPr>
        <w:tblStyle w:val="76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770"/>
              <w:ind w:left="0" w:right="0" w:firstLine="0"/>
              <w:jc w:val="left"/>
              <w:keepLines w:val="0"/>
              <w:keepNext w:val="0"/>
              <w:pageBreakBefore w:val="0"/>
              <w:spacing w:beforeAutospacing="0" w:afterAutospacing="0" w:line="360" w:lineRule="exact"/>
              <w:shd w:val="clear" w:color="auto"/>
              <w:widowControl w:val="off"/>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注：涉及联合体或其他合同主体的信息应按上表格式加列。</w:t>
            </w:r>
            <w:r/>
          </w:p>
        </w:tc>
      </w:tr>
    </w:tbl>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ind w:left="0" w:right="0" w:firstLine="482"/>
        <w:jc w:val="center"/>
        <w:pageBreakBefore w:val="0"/>
        <w:spacing w:before="0" w:beforeAutospacing="0" w:after="0" w:afterAutospacing="0" w:line="440" w:lineRule="exact"/>
        <w:shd w:val="clear" w:color="auto"/>
        <w:rPr>
          <w:rFonts w:hint="eastAsia" w:ascii="宋体" w:hAnsi="宋体" w:eastAsia="宋体" w:cs="宋体"/>
          <w:b/>
          <w:bCs/>
          <w:color w:val="auto"/>
          <w:sz w:val="24"/>
          <w:szCs w:val="24"/>
          <w:highlight w:val="none"/>
        </w:rPr>
      </w:pPr>
      <w:r/>
      <w:bookmarkStart w:id="26" w:name="_Toc27624"/>
      <w:r>
        <w:rPr>
          <w:rFonts w:hint="eastAsia" w:ascii="宋体" w:hAnsi="宋体" w:eastAsia="宋体" w:cs="宋体"/>
          <w:b/>
          <w:bCs/>
          <w:color w:val="auto"/>
          <w:sz w:val="24"/>
          <w:szCs w:val="24"/>
          <w:highlight w:val="none"/>
        </w:rPr>
        <w:t xml:space="preserve">第二节 政府采购合同通用条款</w:t>
      </w:r>
      <w:bookmarkEnd w:id="26"/>
      <w:r/>
      <w:r/>
    </w:p>
    <w:p>
      <w:pPr>
        <w:ind w:left="0" w:right="0" w:firstLine="482"/>
        <w:jc w:val="left"/>
        <w:pageBreakBefore w:val="0"/>
        <w:spacing w:beforeAutospacing="0" w:afterAutospacing="0" w:line="440" w:lineRule="exact"/>
        <w:shd w:val="clear" w:color="auto"/>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bCs/>
          <w:color w:val="auto"/>
          <w:sz w:val="24"/>
          <w:szCs w:val="24"/>
          <w:highlight w:val="none"/>
        </w:rPr>
        <w:t xml:space="preserve">定义</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left="0" w:right="0" w:firstLine="480"/>
        <w:jc w:val="left"/>
        <w:pageBreakBefore w:val="0"/>
        <w:spacing w:beforeAutospacing="0" w:afterAutospacing="0" w:line="440" w:lineRule="exact"/>
        <w:shd w:val="clear" w:color="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jc w:val="left"/>
        <w:pageBreakBefore w:val="0"/>
        <w:spacing w:beforeAutospacing="0" w:afterAutospacing="0" w:line="440" w:lineRule="exact"/>
        <w:shd w:val="clear" w:color="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left="0" w:right="0" w:firstLine="480"/>
        <w:jc w:val="left"/>
        <w:pageBreakBefore w:val="0"/>
        <w:spacing w:beforeAutospacing="0" w:afterAutospacing="0" w:line="440" w:lineRule="exact"/>
        <w:shd w:val="clear" w:color="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技术资料和材料等。</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义务。</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jc w:val="left"/>
        <w:pageBreakBefore w:val="0"/>
        <w:spacing w:beforeAutospacing="0" w:afterAutospacing="0" w:line="440" w:lineRule="exact"/>
        <w:shd w:val="clear" w:color="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beforeAutospacing="0" w:afterAutospacing="0" w:line="440" w:lineRule="exact"/>
        <w:shd w:val="clear" w:color="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8"/>
        </w:num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left="0" w:right="0" w:firstLine="480"/>
        <w:jc w:val="left"/>
        <w:pageBreakBefore w:val="0"/>
        <w:spacing w:beforeAutospacing="0" w:afterAutospacing="0" w:line="440" w:lineRule="exact"/>
        <w:shd w:val="clear" w:color="auto"/>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任何费用。</w:t>
      </w:r>
      <w:r/>
    </w:p>
    <w:p>
      <w:pPr>
        <w:ind w:left="0" w:right="0" w:firstLine="482"/>
        <w:jc w:val="left"/>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履行合同的时间、地点和方式</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乙方应当在约定的时间、地点，按照约定方式履行合同。</w:t>
      </w:r>
      <w:r/>
    </w:p>
    <w:p>
      <w:p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 甲方的权利和义务</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甲方有权要求乙方对缺陷部分予以修复，并按合同约定享有货物保修及其他合同约定的权利。</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甲方应当根据合同约定及时向乙方支付合同价款，不得以内部人员变更、履行内部付款流程等为由，拒绝或迟延支付。</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乙方的权利和义务</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签署合同后，乙方应确定项目负责人（或项目联系人），负责与本合同有关的事务。</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6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76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9"/>
        </w:num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合同履行</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货物包装、运输、保险和交付要求</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乙方在运输到达之前应提前通知甲方，并提示货物运输装卸的注意事项，甲方配合乙方做好货物的接收工作。</w:t>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left="0" w:right="0" w:firstLine="482"/>
        <w:jc w:val="left"/>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质量标准和保证</w:t>
      </w:r>
      <w:r/>
    </w:p>
    <w:p>
      <w:pPr>
        <w:pStyle w:val="773"/>
        <w:ind w:left="0" w:right="0" w:firstLine="480"/>
        <w:jc w:val="left"/>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 质量标准</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3"/>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保证</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 权利瑕疵担保</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乙方保证对其出售的货物享有合法的权利。</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乙方保证在交付的货物上不存在抵押权等担保物权。</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如甲方使用上述货物构成对第三人侵权的，则由乙方承担全部责任。</w:t>
      </w:r>
      <w:r/>
    </w:p>
    <w:p>
      <w:p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知识产权保护</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乙方对其所销售的货物应当享有知识产权或经权利人合法授权，保证没有侵犯任何第三人的知识产权等权利。</w:t>
      </w:r>
      <w:bookmarkStart w:id="27"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27"/>
      <w:r>
        <w:rPr>
          <w:rFonts w:hint="eastAsia" w:ascii="宋体" w:hAnsi="宋体" w:eastAsia="宋体" w:cs="宋体"/>
          <w:color w:val="auto"/>
          <w:sz w:val="24"/>
          <w:szCs w:val="24"/>
          <w:highlight w:val="none"/>
        </w:rPr>
        <w:t xml:space="preserve">。</w:t>
      </w:r>
      <w:r/>
    </w:p>
    <w:p>
      <w:p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保密义务</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合同价款支付</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合同价款支付按照国库集中支付制度及财政管理相关规定执行。</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pStyle w:val="766"/>
        <w:ind w:left="0" w:right="0" w:firstLine="482"/>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乙方</w:t>
      </w:r>
      <w:r>
        <w:rPr>
          <w:rFonts w:hint="eastAsia" w:ascii="宋体" w:hAnsi="宋体" w:eastAsia="宋体" w:cs="宋体"/>
          <w:color w:val="auto"/>
          <w:sz w:val="24"/>
          <w:szCs w:val="24"/>
          <w:highlight w:val="none"/>
          <w:lang w:val="zh-CN"/>
        </w:rPr>
        <w:t xml:space="preserve">除银行电汇、网上银行、数字人民币外，</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zh-CN"/>
        </w:rPr>
        <w:t xml:space="preserve">还可选用银行保函、担保公司的保证担保或保险公司的保证保险、等多种形式向</w:t>
      </w:r>
      <w:r>
        <w:rPr>
          <w:rFonts w:hint="eastAsia" w:ascii="宋体" w:hAnsi="宋体" w:eastAsia="宋体" w:cs="宋体"/>
          <w:color w:val="auto"/>
          <w:sz w:val="24"/>
          <w:szCs w:val="24"/>
          <w:highlight w:val="none"/>
        </w:rPr>
        <w:t xml:space="preserve">甲方提交。</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ind w:left="0" w:right="0" w:firstLine="482"/>
        <w:jc w:val="left"/>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 xml:space="preserve">售后服务</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除项目不涉及或采购活动中明确约定无须承担外，乙方还应提供下列服务：</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乙方提供的售后服务的费用已包含在合同价款中，甲方不再另行支付。</w:t>
      </w:r>
      <w:r/>
    </w:p>
    <w:p>
      <w:p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违约责任</w:t>
      </w:r>
      <w:r/>
    </w:p>
    <w:p>
      <w:pPr>
        <w:ind w:left="0" w:right="0" w:firstLine="480"/>
        <w:jc w:val="left"/>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 迟延交货的违约责任</w:t>
      </w: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迟延支付的违约责任</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0"/>
        </w:numPr>
        <w:ind w:right="0"/>
        <w:jc w:val="left"/>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16.</w:t>
      </w:r>
      <w:r>
        <w:rPr>
          <w:rFonts w:hint="eastAsia" w:ascii="宋体" w:hAnsi="宋体" w:eastAsia="宋体" w:cs="宋体"/>
          <w:b/>
          <w:color w:val="auto"/>
          <w:sz w:val="24"/>
          <w:szCs w:val="24"/>
          <w:highlight w:val="none"/>
        </w:rPr>
        <w:t xml:space="preserve">合同变更、中止与终止</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16.1合同的变更</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（1）合同履行过程中因供应商就采购文件、采购过程或结果提起投诉的，甲方认为有必要的，可以中止合同的履行。</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46"/>
        <w:ind w:left="0" w:right="0" w:firstLine="480"/>
        <w:jc w:val="both"/>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pStyle w:val="846"/>
        <w:ind w:left="0" w:right="0" w:firstLine="480"/>
        <w:jc w:val="both"/>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合同分包</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乙方不得将合同转包给其他供应商。涉及合同分包的，乙方应根据采购文件和投标（响应）文件规定进行合同分包。</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不可抗力</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不可抗力是指合同双方不能预见、不能避免且不能克服的客观情况。</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任何一方对由于不可抗力造成的部分或全部不能履行合同不承担违约责任。但迟延履行后发生不可抗力的，不能免除责任。</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482"/>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解决争议的方法</w:t>
      </w:r>
      <w:r/>
    </w:p>
    <w:p>
      <w:pPr>
        <w:pStyle w:val="846"/>
        <w:ind w:left="0" w:right="0" w:firstLine="480"/>
        <w:jc w:val="both"/>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46"/>
        <w:ind w:left="0" w:right="0" w:firstLine="480"/>
        <w:jc w:val="both"/>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846"/>
        <w:ind w:left="0" w:right="0" w:firstLine="480"/>
        <w:jc w:val="both"/>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ind w:left="0" w:right="0" w:firstLine="482"/>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 政府采购政策</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GB"/>
        </w:rPr>
        <w:t xml:space="preserve">本合同应当按照规定执行政府采购政策。</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76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482"/>
        <w:jc w:val="left"/>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法律适用</w:t>
      </w:r>
      <w:r/>
    </w:p>
    <w:p>
      <w:pPr>
        <w:pStyle w:val="846"/>
        <w:ind w:left="0" w:right="0" w:firstLine="480"/>
        <w:jc w:val="both"/>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846"/>
        <w:ind w:left="0" w:right="0" w:firstLine="480"/>
        <w:jc w:val="both"/>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ind w:left="0" w:right="0" w:firstLine="482"/>
        <w:jc w:val="left"/>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通知</w:t>
      </w:r>
      <w:r/>
    </w:p>
    <w:p>
      <w:pPr>
        <w:pStyle w:val="846"/>
        <w:ind w:left="0" w:right="0" w:firstLine="480"/>
        <w:jc w:val="both"/>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846"/>
        <w:ind w:left="0" w:right="0" w:firstLine="480"/>
        <w:jc w:val="both"/>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0"/>
        </w:numPr>
        <w:ind w:right="0"/>
        <w:jc w:val="left"/>
        <w:pageBreakBefore w:val="0"/>
        <w:spacing w:beforeAutospacing="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合同未尽事项</w:t>
      </w:r>
      <w:r/>
    </w:p>
    <w:p>
      <w:pPr>
        <w:ind w:left="0" w:right="0" w:firstLine="480"/>
        <w:jc w:val="left"/>
        <w:pageBreakBefore w:val="0"/>
        <w:spacing w:beforeAutospacing="0" w:afterAutospacing="0"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left="0" w:right="0" w:firstLine="480"/>
        <w:jc w:val="lef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23.2 合同附件与合同正文具有同等的法律效力。</w:t>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left="0" w:right="0" w:firstLine="48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ind w:left="0" w:right="0" w:firstLine="482"/>
        <w:jc w:val="center"/>
        <w:pageBreakBefore w:val="0"/>
        <w:spacing w:before="0" w:beforeAutospacing="0" w:after="0" w:afterAutospacing="0" w:line="440" w:lineRule="exact"/>
        <w:shd w:val="clear" w:color="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bCs/>
          <w:color w:val="auto"/>
          <w:sz w:val="24"/>
          <w:szCs w:val="24"/>
          <w:highlight w:val="none"/>
        </w:rPr>
      </w:r>
      <w:r/>
    </w:p>
    <w:p>
      <w:pPr>
        <w:pStyle w:val="756"/>
        <w:ind w:right="0"/>
        <w:jc w:val="center"/>
        <w:pageBreakBefore w:val="0"/>
        <w:spacing w:before="0" w:beforeAutospacing="0" w:after="0" w:afterAutospacing="0"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第三节 政府采购合同专用条款</w:t>
      </w:r>
      <w:r/>
    </w:p>
    <w:tbl>
      <w:tblPr>
        <w:tblStyle w:val="791"/>
        <w:tblW w:w="8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1853"/>
        <w:gridCol w:w="5656"/>
      </w:tblGrid>
      <w:tr>
        <w:trPr>
          <w:trHeight w:val="73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第1.2（6）项</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联合体具体要求</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无</w:t>
            </w:r>
            <w:r/>
          </w:p>
        </w:tc>
      </w:tr>
      <w:tr>
        <w:trPr>
          <w:trHeight w:val="90"/>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第1.2（7）项</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其他术语解释</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bidi="ar-SA"/>
              </w:rPr>
              <w:t xml:space="preserve">税费：中国政府根据现行税法规定对甲方征收的与本合同有关的一切税费由甲方负担；规定对乙方征收的与本合同有关的一切税费由乙方负担。</w:t>
            </w:r>
            <w:r/>
          </w:p>
        </w:tc>
      </w:tr>
      <w:tr>
        <w:trPr>
          <w:trHeight w:val="73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第4.4款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履约验收中甲方提出异议或作出说明的期限</w:t>
            </w:r>
            <w:r/>
          </w:p>
        </w:tc>
        <w:tc>
          <w:tcPr>
            <w:tcMar>
              <w:left w:w="108" w:type="dxa"/>
              <w:top w:w="0" w:type="dxa"/>
              <w:right w:w="108" w:type="dxa"/>
              <w:bottom w:w="0" w:type="dxa"/>
            </w:tcMar>
            <w:tcW w:w="5656" w:type="dxa"/>
            <w:vAlign w:val="center"/>
            <w:textDirection w:val="lrTb"/>
            <w:noWrap w:val="false"/>
          </w:tcPr>
          <w:p>
            <w:pPr>
              <w:ind w:left="0" w:right="0" w:firstLine="0"/>
              <w:jc w:val="left"/>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eastAsia="zh-CN"/>
              </w:rPr>
              <w:t xml:space="preserve">履约验收中甲方提出异议的期限：</w:t>
            </w:r>
            <w:r>
              <w:rPr>
                <w:rFonts w:hint="eastAsia" w:ascii="宋体" w:hAnsi="宋体" w:eastAsia="宋体" w:cs="宋体"/>
                <w:color w:val="auto"/>
                <w:sz w:val="24"/>
                <w:szCs w:val="24"/>
                <w:highlight w:val="none"/>
                <w:u w:val="none"/>
                <w:lang w:val="en-US" w:eastAsia="zh-CN"/>
              </w:rPr>
              <w:t xml:space="preserve">3个工作日。</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bidi="ar-SA"/>
              </w:rPr>
              <w:t xml:space="preserve">或履约验收中甲方作出说明的期限：3个工作日。</w:t>
            </w:r>
            <w:r/>
          </w:p>
        </w:tc>
      </w:tr>
      <w:tr>
        <w:trPr>
          <w:trHeight w:val="73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第4.6款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约定甲方承担的其他义务和责任</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甲方无正当理由拒收货物的，甲方向乙方偿付拒收货款总值0.5% 的违约金</w:t>
            </w:r>
            <w:r/>
          </w:p>
        </w:tc>
      </w:tr>
      <w:tr>
        <w:trPr>
          <w:trHeight w:val="73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第5.4款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约定乙方承担的其他义务和责任</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乙方保证所交付的货物（包含与货物相关的服务）的所有权完全属于乙方且无任何抵押、查封等产权瑕疵；</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乙方所供货物质量不符合规定的，由其负责包换或包修，并承担修理、调换或退货而支付的实际费用；</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第6.1款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履行合同义务的顺序</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（1）政府采购合同协议书及其变更、补充协议</w:t>
            </w:r>
            <w:r>
              <w:rPr>
                <w:rFonts w:hint="eastAsia" w:ascii="宋体" w:hAnsi="宋体" w:eastAsia="宋体" w:cs="宋体"/>
                <w:color w:val="auto"/>
                <w:sz w:val="24"/>
                <w:szCs w:val="24"/>
                <w:highlight w:val="none"/>
                <w:lang w:val="en-US" w:eastAsia="zh-CN"/>
              </w:rPr>
              <w:t xml:space="preserve">；</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（2）政府采购合同专用条款</w:t>
            </w:r>
            <w:r>
              <w:rPr>
                <w:rFonts w:hint="eastAsia" w:ascii="宋体" w:hAnsi="宋体" w:eastAsia="宋体" w:cs="宋体"/>
                <w:color w:val="auto"/>
                <w:sz w:val="24"/>
                <w:szCs w:val="24"/>
                <w:highlight w:val="none"/>
                <w:lang w:val="en-US" w:eastAsia="zh-CN"/>
              </w:rPr>
              <w:t xml:space="preserve">；</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（3）政府采购合同通用条款</w:t>
            </w:r>
            <w:r>
              <w:rPr>
                <w:rFonts w:hint="eastAsia" w:ascii="宋体" w:hAnsi="宋体" w:eastAsia="宋体" w:cs="宋体"/>
                <w:color w:val="auto"/>
                <w:sz w:val="24"/>
                <w:szCs w:val="24"/>
                <w:highlight w:val="none"/>
                <w:lang w:val="en-US" w:eastAsia="zh-CN"/>
              </w:rPr>
              <w:t xml:space="preserve">；</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（4）中标（成交）通知书</w:t>
            </w:r>
            <w:r>
              <w:rPr>
                <w:rFonts w:hint="eastAsia" w:ascii="宋体" w:hAnsi="宋体" w:eastAsia="宋体" w:cs="宋体"/>
                <w:color w:val="auto"/>
                <w:sz w:val="24"/>
                <w:szCs w:val="24"/>
                <w:highlight w:val="none"/>
                <w:lang w:val="en-US" w:eastAsia="zh-CN"/>
              </w:rPr>
              <w:t xml:space="preserve">；</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（5）投标（响应）文件</w:t>
            </w:r>
            <w:r>
              <w:rPr>
                <w:rFonts w:hint="eastAsia" w:ascii="宋体" w:hAnsi="宋体" w:eastAsia="宋体" w:cs="宋体"/>
                <w:color w:val="auto"/>
                <w:sz w:val="24"/>
                <w:szCs w:val="24"/>
                <w:highlight w:val="none"/>
                <w:lang w:val="en-US" w:eastAsia="zh-CN"/>
              </w:rPr>
              <w:t xml:space="preserve">；</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（6）采购文件</w:t>
            </w:r>
            <w:r>
              <w:rPr>
                <w:rFonts w:hint="eastAsia" w:ascii="宋体" w:hAnsi="宋体" w:eastAsia="宋体" w:cs="宋体"/>
                <w:color w:val="auto"/>
                <w:sz w:val="24"/>
                <w:szCs w:val="24"/>
                <w:highlight w:val="none"/>
                <w:lang w:val="en-US" w:eastAsia="zh-CN"/>
              </w:rPr>
              <w:t xml:space="preserve">；</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（7）有关技术文件，图纸</w:t>
            </w:r>
            <w:r>
              <w:rPr>
                <w:rFonts w:hint="eastAsia" w:ascii="宋体" w:hAnsi="宋体" w:eastAsia="宋体" w:cs="宋体"/>
                <w:color w:val="auto"/>
                <w:sz w:val="24"/>
                <w:szCs w:val="24"/>
                <w:highlight w:val="none"/>
                <w:lang w:val="en-US" w:eastAsia="zh-CN"/>
              </w:rPr>
              <w:t xml:space="preserve">；</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rPr>
                <w:rFonts w:hint="eastAsia" w:ascii="宋体" w:hAnsi="宋体" w:eastAsia="宋体" w:cs="宋体"/>
                <w:color w:val="auto"/>
                <w:sz w:val="24"/>
                <w:szCs w:val="24"/>
                <w:highlight w:val="none"/>
                <w:lang w:eastAsia="zh-CN"/>
              </w:rPr>
              <w:t xml:space="preserve">。</w:t>
            </w:r>
            <w:r/>
          </w:p>
        </w:tc>
      </w:tr>
      <w:tr>
        <w:trPr>
          <w:trHeight w:val="667"/>
        </w:trPr>
        <w:tc>
          <w:tcPr>
            <w:tcMar>
              <w:left w:w="108" w:type="dxa"/>
              <w:top w:w="0" w:type="dxa"/>
              <w:right w:w="108" w:type="dxa"/>
              <w:bottom w:w="0" w:type="dxa"/>
            </w:tcMar>
            <w:tcW w:w="1380" w:type="dxa"/>
            <w:vAlign w:val="center"/>
            <w:vMerge w:val="restart"/>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第7.1款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包装特殊要求</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商品包装环保要求</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（1）商品包装层数不得超过3 层，空隙率不大于 40%； </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（2）商品包装尽可能使用单一材质的包装材料，如因功能 需求必需使用不同材质，不同材质间应便于分离； </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（3）商品包装中铅、汞、镉、六价铬的总含量应不大于 100mg/kg； </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（4）商品包装印刷使用的油墨中挥发性有机化合物(VOCs) 含量应不大于 5%（以重量计）； </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（5）塑料材质商品包装上呈现的印刷颜色不得超过 6 色； </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（6）纸质商品包装应使用 75%以上的可再生纤维原料生产； </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（7）木质商品包装的原料应来源于可持续性森林。 </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快递包装环保要求</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（1）快递包装中重金属（铅、汞、镉、六价铬）总量应不大于100mg/kg；</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（2）快递包装印刷使用的油墨中不应添加邻苯二甲酸酯，其挥发性有机化合物(VOCs)含量应不大于5%（以重量计）；</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（3）快递包装中使用纸基材的包装材料，纸基材中的有机氯的含量应不大于150 mg/kg；</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（5）快递中使用的塑料包装袋不得使用聚氯乙烯作为原料，且原料应为单一材质制成，生物分解率大于60%；</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（6）快递中使用的充气类填充物不得使用聚氯乙烯作为原料，且原料为单一材质制成，生物分解率大于60%；</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（7）快递中使用的集装袋应为单一材质制成，其重复使用次数应不小于80 次；</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（8）快递中应使用幅宽不大于45mm 的生物降解胶带；</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（9）快递包装中不得使用溶剂型胶粘剂；</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（10）快递应使用电子面单；</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（11）直接使用商品包装作为快递包装的商品，其商品包装满足《商品包装政府采购需求标准（试行）》即可；</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（12）快递包装产品质量和封装方式应符合相关国家或行业标准技术指标要求。</w:t>
            </w:r>
            <w:r/>
          </w:p>
        </w:tc>
      </w:tr>
      <w:tr>
        <w:trPr>
          <w:trHeight w:val="378"/>
        </w:trPr>
        <w:tc>
          <w:tcPr>
            <w:tcW w:w="1380" w:type="dxa"/>
            <w:vMerge w:val="continue"/>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指定现场</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甲方指定的项目现场</w:t>
            </w:r>
            <w:r>
              <w:rPr>
                <w:rFonts w:hint="eastAsia" w:ascii="宋体" w:hAnsi="宋体" w:eastAsia="宋体" w:cs="宋体"/>
                <w:color w:val="auto"/>
                <w:sz w:val="24"/>
                <w:szCs w:val="24"/>
                <w:highlight w:val="none"/>
                <w:lang w:eastAsia="zh-CN"/>
              </w:rPr>
              <w:t xml:space="preserve">。</w:t>
            </w:r>
            <w:r/>
          </w:p>
        </w:tc>
      </w:tr>
      <w:tr>
        <w:trPr>
          <w:trHeight w:val="772"/>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第7.2款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运输特殊要求</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rPr>
              <w:t xml:space="preserve">由</w:t>
            </w:r>
            <w:r>
              <w:rPr>
                <w:rFonts w:hint="eastAsia" w:ascii="宋体" w:hAnsi="宋体" w:eastAsia="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rPr>
              <w:t xml:space="preserve">视情况自定运输方式，费用自负</w:t>
            </w:r>
            <w:r>
              <w:rPr>
                <w:rFonts w:hint="eastAsia" w:ascii="宋体" w:hAnsi="宋体" w:eastAsia="宋体" w:cs="宋体"/>
                <w:color w:val="auto"/>
                <w:sz w:val="24"/>
                <w:szCs w:val="24"/>
                <w:highlight w:val="none"/>
                <w:u w:val="none"/>
                <w:lang w:eastAsia="zh-CN"/>
              </w:rPr>
              <w:t xml:space="preserve">。</w:t>
            </w:r>
            <w:r/>
          </w:p>
        </w:tc>
      </w:tr>
      <w:tr>
        <w:trPr>
          <w:trHeight w:val="667"/>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第7.3款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保险要求</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rPr>
              <w:t xml:space="preserve">合同标的货物在指定实施地点交付，在完成交付</w:t>
            </w:r>
            <w:r>
              <w:rPr>
                <w:rFonts w:hint="eastAsia" w:ascii="宋体" w:hAnsi="宋体" w:cs="宋体"/>
                <w:color w:val="auto"/>
                <w:sz w:val="24"/>
                <w:szCs w:val="24"/>
                <w:highlight w:val="none"/>
                <w:u w:val="none"/>
                <w:lang w:val="en-US" w:eastAsia="zh-CN"/>
              </w:rPr>
              <w:t xml:space="preserve">、安装、验收前的风险</w:t>
            </w:r>
            <w:r>
              <w:rPr>
                <w:rFonts w:hint="eastAsia" w:ascii="宋体" w:hAnsi="宋体" w:eastAsia="宋体" w:cs="宋体"/>
                <w:color w:val="auto"/>
                <w:sz w:val="24"/>
                <w:szCs w:val="24"/>
                <w:highlight w:val="none"/>
                <w:u w:val="none"/>
              </w:rPr>
              <w:t xml:space="preserve">由</w:t>
            </w:r>
            <w:r>
              <w:rPr>
                <w:rFonts w:hint="eastAsia" w:ascii="宋体" w:hAnsi="宋体" w:eastAsia="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rPr>
              <w:t xml:space="preserve">承担。</w:t>
            </w:r>
            <w:r>
              <w:rPr>
                <w:rFonts w:hint="eastAsia" w:ascii="宋体" w:hAnsi="宋体" w:eastAsia="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rPr>
              <w:t xml:space="preserve">应足额及时的购买货物交货至</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rPr>
              <w:t xml:space="preserve">指定地点及卸货完毕的保险，</w:t>
            </w:r>
            <w:r>
              <w:rPr>
                <w:rFonts w:hint="eastAsia" w:ascii="宋体" w:hAnsi="宋体" w:eastAsia="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rPr>
              <w:t xml:space="preserve">未购买上述保险或购买保险不当导致发生保险事故后不能索赔或不能全额索赔的，货物在此期间的毁损灭失的风险由</w:t>
            </w:r>
            <w:r>
              <w:rPr>
                <w:rFonts w:hint="eastAsia" w:ascii="宋体" w:hAnsi="宋体" w:eastAsia="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rPr>
              <w:t xml:space="preserve">自行承担，且应赔偿采购人因延期交货造成的损失。</w:t>
            </w:r>
            <w:r/>
          </w:p>
        </w:tc>
      </w:tr>
      <w:tr>
        <w:trPr>
          <w:trHeight w:val="90"/>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第8.2（1）项</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运行维护期（售后服务期）</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3年，即自验收合格之日起提供3年的免费售后服务。因设备质量问题造成的损失（包含由于此设备损坏而造成的所有设备、人员、工期、社会影响等连带损失）均由中标单位承担。</w:t>
            </w:r>
            <w:r/>
          </w:p>
        </w:tc>
      </w:tr>
      <w:tr>
        <w:trPr>
          <w:trHeight w:val="543"/>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第8.2（3）项</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货物质量缺陷</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响应时间</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发生问题时，接到采购人通知30分钟内响应。出现故障时，一般问题 2小时内电话支持；重点、难点问题 12小时内到达现场维修，48 小时内解决问题。</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备注：签订合同时根据投标人投标文件响应内容调整。</w:t>
            </w:r>
            <w:r/>
          </w:p>
        </w:tc>
      </w:tr>
      <w:tr>
        <w:trPr>
          <w:trHeight w:val="73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第11.1款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其他应当保密的信息</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72"/>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第12.2款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合同价款支付时间</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收到供应商发票</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10个工作日内。</w:t>
            </w:r>
            <w:r/>
          </w:p>
        </w:tc>
      </w:tr>
      <w:tr>
        <w:trPr>
          <w:trHeight w:val="697"/>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第13.2款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履约保证金不予退还的情形</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除不可抗力外，投标人不履行与采购人订立的采购合同的，履约保证金不予退还，给采购人造成的损失超过履约保证金数额的，还应当对超过部分予以赔偿。</w:t>
            </w:r>
            <w:r/>
          </w:p>
        </w:tc>
      </w:tr>
      <w:tr>
        <w:trPr>
          <w:trHeight w:val="35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第13.3款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履约保证金退还时间及逾期退还的违约金</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货物类项目，项目验收合格，出具验收报告及履约保证金收据申请退付；</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履约保证金退还时间：采购单位收到投标人退付申请后5个工作日内退还；</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tc>
      </w:tr>
      <w:tr>
        <w:trPr>
          <w:trHeight w:val="784"/>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第14.1（3）项</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运行监督、维修期限</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3年，即自验收合格之日起提供3年的免费售后服务</w:t>
            </w:r>
            <w:r>
              <w:rPr>
                <w:rFonts w:hint="eastAsia" w:ascii="宋体" w:hAnsi="宋体" w:eastAsia="宋体" w:cs="宋体"/>
                <w:color w:val="auto"/>
                <w:sz w:val="24"/>
                <w:szCs w:val="24"/>
                <w:highlight w:val="none"/>
              </w:rPr>
              <w:t xml:space="preserve">。</w:t>
            </w:r>
            <w:r/>
          </w:p>
        </w:tc>
      </w:tr>
      <w:tr>
        <w:trPr>
          <w:trHeight w:val="784"/>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第14.1（5）项</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货物回收的约定</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由甲乙双方合议定价。</w:t>
            </w:r>
            <w:r/>
          </w:p>
        </w:tc>
      </w:tr>
      <w:tr>
        <w:trPr>
          <w:trHeight w:val="73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第14.1（6）项</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乙方提供的其他服务</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p>
        </w:tc>
      </w:tr>
      <w:tr>
        <w:trPr>
          <w:trHeight w:val="73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第15.1款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修理、重作、更换相关具体规定</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乙方应按招标文件规定的货物性能、技术要求、质量标准向甲方提供未经使用的全新产品。</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乙方提供的货物在售后服务期</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因货物本身的质量问题发生故障，乙方应负责免费更换。对达不到技术要求者，根据实际情况，经双方协商，可按以下办法处理：</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⑴</w:t>
            </w:r>
            <w:r>
              <w:rPr>
                <w:rFonts w:hint="eastAsia" w:ascii="宋体" w:hAnsi="宋体" w:eastAsia="宋体" w:cs="宋体"/>
                <w:color w:val="auto"/>
                <w:sz w:val="24"/>
                <w:szCs w:val="24"/>
                <w:highlight w:val="none"/>
                <w:lang w:val="en-US" w:eastAsia="zh-CN"/>
              </w:rPr>
              <w:t xml:space="preserve">修理、</w:t>
            </w:r>
            <w:r>
              <w:rPr>
                <w:rFonts w:hint="eastAsia" w:ascii="宋体" w:hAnsi="宋体" w:eastAsia="宋体" w:cs="宋体"/>
                <w:color w:val="auto"/>
                <w:sz w:val="24"/>
                <w:szCs w:val="24"/>
                <w:highlight w:val="none"/>
                <w:lang w:eastAsia="zh-CN"/>
              </w:rPr>
              <w:t xml:space="preserve">重作、更换</w:t>
            </w:r>
            <w:r>
              <w:rPr>
                <w:rFonts w:hint="eastAsia" w:ascii="宋体" w:hAnsi="宋体" w:eastAsia="宋体" w:cs="宋体"/>
                <w:color w:val="auto"/>
                <w:sz w:val="24"/>
                <w:szCs w:val="24"/>
                <w:highlight w:val="none"/>
              </w:rPr>
              <w:t xml:space="preserve">：由乙方承担所发生的全部费用。</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⑵贬值处理：由甲乙双方合议定价。</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3.发生问题时，接到采购人通知30分钟内响应。出现故障时，一般问题 2小时内电话支持；重点、难点问题 12小时内到达现场维修，48 小时内解决问题。售后服务期过后，仍有义务提供优惠的售后服务。</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4.售后服务期：3年，即自验收合格之日起提供3年的免费售后服务。因设备质量问题造成的损失（包含由于此设备损坏而造成的所有设备、人员、工期、社会影响等连带损失）均由中标单位承担。</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备注：签订合同时根据投标人投标文件响应内容调整。</w:t>
            </w:r>
            <w:r/>
          </w:p>
        </w:tc>
      </w:tr>
      <w:tr>
        <w:trPr>
          <w:trHeight w:val="73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第15.2（2）项</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迟延交货赔偿费</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乙方逾期交付货物的，乙方应按逾期交货总额每日</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第15.3款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逾期付款利息</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甲方无故逾期验收和办理货款支付手续的,甲方应按逾期付款总额每日万分之一向乙方支付违约金</w:t>
            </w:r>
            <w:r/>
          </w:p>
        </w:tc>
      </w:tr>
      <w:tr>
        <w:trPr>
          <w:trHeight w:val="876"/>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第15.4款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其他违约责任</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第19.2款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解决争议的方法</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因本合同及合同有关事项发生的争议，按下列第</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种方式解决：</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仲裁委员会申请仲裁，仲裁地点为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泗洪县 </w:t>
            </w:r>
            <w:r>
              <w:rPr>
                <w:rFonts w:hint="eastAsia" w:ascii="宋体" w:hAnsi="宋体" w:eastAsia="宋体" w:cs="宋体"/>
                <w:color w:val="auto"/>
                <w:sz w:val="24"/>
                <w:szCs w:val="24"/>
                <w:highlight w:val="none"/>
              </w:rPr>
              <w:t xml:space="preserve">人民法院起诉。</w:t>
            </w:r>
            <w:r/>
          </w:p>
        </w:tc>
      </w:tr>
      <w:tr>
        <w:trPr>
          <w:trHeight w:val="770"/>
        </w:trPr>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第23.1款</w:t>
            </w:r>
            <w:r/>
          </w:p>
        </w:tc>
        <w:tc>
          <w:tcPr>
            <w:tcMar>
              <w:left w:w="108" w:type="dxa"/>
              <w:top w:w="0" w:type="dxa"/>
              <w:right w:w="108" w:type="dxa"/>
              <w:bottom w:w="0" w:type="dxa"/>
            </w:tcMar>
            <w:tcW w:w="1853"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其他专用条款</w:t>
            </w:r>
            <w:r/>
          </w:p>
        </w:tc>
        <w:tc>
          <w:tcPr>
            <w:tcMar>
              <w:left w:w="108" w:type="dxa"/>
              <w:top w:w="0" w:type="dxa"/>
              <w:right w:w="108" w:type="dxa"/>
              <w:bottom w:w="0" w:type="dxa"/>
            </w:tcMar>
            <w:tcW w:w="5656" w:type="dxa"/>
            <w:vAlign w:val="center"/>
            <w:textDirection w:val="lrTb"/>
            <w:noWrap w:val="false"/>
          </w:tcPr>
          <w:p>
            <w:pPr>
              <w:ind w:left="0" w:right="0" w:firstLine="0"/>
              <w:keepLines w:val="0"/>
              <w:keepNext w:val="0"/>
              <w:pageBreakBefore w:val="0"/>
              <w:spacing w:beforeAutospacing="0" w:afterAutospacing="0" w:line="360" w:lineRule="exact"/>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乙方应保证甲方在使用、接受本合同货物（包含与货物相关的</w:t>
            </w:r>
            <w:r>
              <w:rPr>
                <w:rFonts w:hint="eastAsia" w:ascii="宋体" w:hAnsi="宋体" w:eastAsia="宋体" w:cs="宋体"/>
                <w:color w:val="auto"/>
                <w:sz w:val="24"/>
                <w:szCs w:val="24"/>
                <w:highlight w:val="none"/>
                <w:lang w:val="en-US" w:eastAsia="zh-CN"/>
              </w:rPr>
              <w:t xml:space="preserve">工程和</w:t>
            </w:r>
            <w:r>
              <w:rPr>
                <w:rFonts w:hint="eastAsia" w:ascii="宋体" w:hAnsi="宋体" w:eastAsia="宋体" w:cs="宋体"/>
                <w:color w:val="auto"/>
                <w:sz w:val="24"/>
                <w:szCs w:val="24"/>
                <w:highlight w:val="none"/>
              </w:rPr>
              <w:t xml:space="preserve">服务）或其任何一部分时不受第三方提出侵犯其专利权、版权、商标权和工业设计权等知识产权</w:t>
            </w:r>
            <w:r>
              <w:rPr>
                <w:rFonts w:hint="eastAsia" w:ascii="宋体" w:hAnsi="宋体" w:eastAsia="宋体" w:cs="宋体"/>
                <w:color w:val="auto"/>
                <w:sz w:val="24"/>
                <w:szCs w:val="24"/>
                <w:highlight w:val="none"/>
                <w:lang w:val="en-US" w:eastAsia="zh-CN"/>
              </w:rPr>
              <w:t xml:space="preserve">及经济纠纷</w:t>
            </w:r>
            <w:r>
              <w:rPr>
                <w:rFonts w:hint="eastAsia" w:ascii="宋体" w:hAnsi="宋体" w:eastAsia="宋体" w:cs="宋体"/>
                <w:color w:val="auto"/>
                <w:sz w:val="24"/>
                <w:szCs w:val="24"/>
                <w:highlight w:val="none"/>
              </w:rPr>
              <w:t xml:space="preserve">的起诉。一旦出现侵权</w:t>
            </w:r>
            <w:r>
              <w:rPr>
                <w:rFonts w:hint="eastAsia" w:ascii="宋体" w:hAnsi="宋体" w:eastAsia="宋体" w:cs="宋体"/>
                <w:color w:val="auto"/>
                <w:sz w:val="24"/>
                <w:szCs w:val="24"/>
                <w:highlight w:val="none"/>
                <w:lang w:val="en-US" w:eastAsia="zh-CN"/>
              </w:rPr>
              <w:t xml:space="preserve">及经济纠纷</w:t>
            </w:r>
            <w:r>
              <w:rPr>
                <w:rFonts w:hint="eastAsia" w:ascii="宋体" w:hAnsi="宋体" w:eastAsia="宋体" w:cs="宋体"/>
                <w:color w:val="auto"/>
                <w:sz w:val="24"/>
                <w:szCs w:val="24"/>
                <w:highlight w:val="none"/>
              </w:rPr>
              <w:t xml:space="preserve">，由乙方负全部责任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与甲方无关</w:t>
            </w:r>
            <w:r>
              <w:rPr>
                <w:rFonts w:hint="eastAsia" w:ascii="宋体" w:hAnsi="宋体" w:eastAsia="宋体" w:cs="宋体"/>
                <w:color w:val="auto"/>
                <w:sz w:val="24"/>
                <w:szCs w:val="24"/>
                <w:highlight w:val="none"/>
              </w:rPr>
              <w:t xml:space="preserve">。</w:t>
            </w:r>
            <w:r/>
          </w:p>
        </w:tc>
      </w:tr>
    </w:tbl>
    <w:p>
      <w:pPr>
        <w:pStyle w:val="846"/>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jc w:val="center"/>
        <w:pageBreakBefore w:val="0"/>
        <w:spacing w:beforeAutospacing="0" w:afterAutospacing="0" w:line="440" w:lineRule="exact"/>
        <w:shd w:val="clear" w:color="auto"/>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480"/>
        <w:jc w:val="center"/>
        <w:pageBreakBefore w:val="0"/>
        <w:spacing w:beforeAutospacing="0" w:afterAutospacing="0" w:line="440" w:lineRule="exact"/>
        <w:shd w:val="clear" w:color="auto"/>
        <w:rPr>
          <w:rFonts w:hint="eastAsia" w:ascii="宋体" w:hAnsi="宋体" w:eastAsia="宋体" w:cs="宋体"/>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color w:val="auto"/>
          <w:sz w:val="44"/>
          <w:highlight w:val="none"/>
        </w:rPr>
      </w:r>
      <w:r/>
    </w:p>
    <w:p>
      <w:pPr>
        <w:ind w:left="0" w:right="0"/>
        <w:jc w:val="center"/>
        <w:pageBreakBefore w:val="0"/>
        <w:spacing w:beforeAutospacing="0" w:afterAutospacing="0" w:line="440" w:lineRule="exact"/>
        <w:shd w:val="clear" w:color="auto"/>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highlight w:val="none"/>
        </w:rPr>
        <w:t xml:space="preserve">第四章 采购需求</w:t>
      </w:r>
      <w:r/>
    </w:p>
    <w:p>
      <w:pPr>
        <w:ind w:left="0" w:right="0" w:firstLine="480"/>
        <w:pageBreakBefore w:val="0"/>
        <w:spacing w:beforeAutospacing="0" w:afterAutospacing="0"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项目属性：货物类项目</w:t>
      </w:r>
      <w:r/>
    </w:p>
    <w:p>
      <w:pPr>
        <w:ind w:left="0" w:right="0" w:firstLine="480"/>
        <w:pageBreakBefore w:val="0"/>
        <w:spacing w:beforeAutospacing="0" w:afterAutospacing="0"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本项目采购标的对应的中小企业划分标准所属行业：工业制造业</w:t>
      </w:r>
      <w:r/>
    </w:p>
    <w:p>
      <w:pPr>
        <w:ind w:left="0" w:right="0" w:firstLine="480"/>
        <w:pageBreakBefore w:val="0"/>
        <w:spacing w:beforeAutospacing="0" w:afterAutospacing="0"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本项目不接受进口产品。</w:t>
      </w:r>
      <w:r/>
    </w:p>
    <w:p>
      <w:pPr>
        <w:pStyle w:val="1119"/>
        <w:ind w:left="0" w:right="0" w:firstLine="482"/>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一、项目概况</w:t>
      </w:r>
      <w:r/>
    </w:p>
    <w:p>
      <w:pPr>
        <w:pStyle w:val="1119"/>
        <w:ind w:left="0" w:right="0" w:firstLine="482"/>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rPr>
        <w:t xml:space="preserve">（一）项目名称：</w:t>
      </w:r>
      <w:r>
        <w:rPr>
          <w:rFonts w:hint="eastAsia" w:ascii="宋体" w:hAnsi="宋体" w:cs="宋体"/>
          <w:color w:val="auto"/>
          <w:sz w:val="24"/>
          <w:szCs w:val="24"/>
          <w:highlight w:val="none"/>
        </w:rPr>
        <w:t xml:space="preserve">成子湖龙集水源地蓝藻水华应急防控物资-挡藻导流围隔采购安装项目</w:t>
      </w:r>
      <w:r/>
    </w:p>
    <w:p>
      <w:pPr>
        <w:pStyle w:val="1119"/>
        <w:ind w:left="0" w:right="0" w:firstLine="482"/>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（二）项目预算：</w:t>
      </w:r>
      <w:r>
        <w:rPr>
          <w:rFonts w:hint="eastAsia" w:ascii="宋体" w:hAnsi="宋体" w:cs="宋体"/>
          <w:b w:val="0"/>
          <w:bCs w:val="0"/>
          <w:color w:val="auto"/>
          <w:sz w:val="24"/>
          <w:szCs w:val="24"/>
          <w:highlight w:val="none"/>
          <w:lang w:val="en-US" w:eastAsia="zh-CN"/>
        </w:rPr>
        <w:t xml:space="preserve">326.2万</w:t>
      </w:r>
      <w:r>
        <w:rPr>
          <w:rFonts w:hint="eastAsia" w:ascii="宋体" w:hAnsi="宋体" w:cs="宋体"/>
          <w:b w:val="0"/>
          <w:bCs w:val="0"/>
          <w:color w:val="auto"/>
          <w:sz w:val="24"/>
          <w:szCs w:val="24"/>
          <w:highlight w:val="none"/>
        </w:rPr>
        <w:t xml:space="preserve">元</w:t>
      </w:r>
      <w:r/>
    </w:p>
    <w:p>
      <w:pPr>
        <w:pStyle w:val="1119"/>
        <w:ind w:left="0" w:right="0" w:firstLine="482"/>
        <w:keepLines w:val="0"/>
        <w:keepNext w:val="0"/>
        <w:pageBreakBefore w:val="0"/>
        <w:spacing w:beforeAutospacing="0" w:afterAutospacing="0"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（三）采购内容：</w:t>
      </w:r>
      <w:r>
        <w:rPr>
          <w:rFonts w:hint="eastAsia" w:ascii="宋体" w:hAnsi="宋体" w:cs="宋体"/>
          <w:color w:val="auto"/>
          <w:sz w:val="24"/>
          <w:szCs w:val="24"/>
          <w:highlight w:val="none"/>
          <w:lang w:val="en-US" w:eastAsia="zh-CN"/>
        </w:rPr>
        <w:t xml:space="preserve">泗洪县水利局拟在成子湖龙集水源地一级保护区范围设置挡藻围隔</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防止蓝藻水华对水源地构成威胁，保障水源地取水安全。</w:t>
      </w:r>
      <w:r>
        <w:rPr>
          <w:rFonts w:hint="eastAsia" w:ascii="宋体" w:hAnsi="宋体" w:cs="宋体"/>
          <w:color w:val="auto"/>
          <w:sz w:val="24"/>
          <w:szCs w:val="24"/>
          <w:highlight w:val="none"/>
        </w:rPr>
        <w:t xml:space="preserve">详细内容见采购清单及技术要求。</w:t>
      </w:r>
      <w:r/>
    </w:p>
    <w:p>
      <w:pPr>
        <w:pStyle w:val="1119"/>
        <w:ind w:left="0" w:right="0" w:firstLine="482"/>
        <w:keepLines w:val="0"/>
        <w:keepNext w:val="0"/>
        <w:pageBreakBefore w:val="0"/>
        <w:spacing w:beforeAutospacing="0" w:afterAutospacing="0"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（四）款项的支付方式及进度安排：</w:t>
      </w:r>
      <w:r/>
    </w:p>
    <w:p>
      <w:pPr>
        <w:pStyle w:val="1119"/>
        <w:ind w:left="0" w:right="0" w:firstLine="480"/>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资金支付的方式：</w:t>
      </w:r>
      <w:r/>
    </w:p>
    <w:p>
      <w:pPr>
        <w:pStyle w:val="1119"/>
        <w:ind w:left="0" w:right="0" w:firstLine="480"/>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预付款：签订合同后，自收到发票后10个工作日内采购人支付合同总价款的30%；</w:t>
      </w:r>
      <w:r/>
    </w:p>
    <w:p>
      <w:pPr>
        <w:pStyle w:val="1119"/>
        <w:ind w:left="0" w:right="0" w:firstLine="480"/>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进度款：</w:t>
      </w:r>
      <w:r>
        <w:rPr>
          <w:rFonts w:hint="eastAsia" w:ascii="宋体" w:hAnsi="宋体" w:cs="宋体"/>
          <w:color w:val="auto"/>
          <w:sz w:val="24"/>
          <w:szCs w:val="24"/>
          <w:highlight w:val="none"/>
          <w:lang w:val="en-US" w:eastAsia="zh-CN"/>
        </w:rPr>
        <w:t xml:space="preserve">设备</w:t>
      </w:r>
      <w:r>
        <w:rPr>
          <w:rFonts w:hint="eastAsia" w:ascii="宋体" w:hAnsi="宋体" w:cs="宋体"/>
          <w:color w:val="auto"/>
          <w:sz w:val="24"/>
          <w:szCs w:val="24"/>
          <w:highlight w:val="none"/>
        </w:rPr>
        <w:t xml:space="preserve">到现场</w:t>
      </w:r>
      <w:r>
        <w:rPr>
          <w:rFonts w:hint="eastAsia" w:ascii="宋体" w:hAnsi="宋体" w:cs="宋体"/>
          <w:color w:val="auto"/>
          <w:sz w:val="24"/>
          <w:szCs w:val="24"/>
          <w:highlight w:val="none"/>
          <w:lang w:val="en-US" w:eastAsia="zh-CN"/>
        </w:rPr>
        <w:t xml:space="preserve">安装</w:t>
      </w:r>
      <w:r>
        <w:rPr>
          <w:rFonts w:hint="eastAsia" w:ascii="宋体" w:hAnsi="宋体" w:cs="宋体"/>
          <w:color w:val="auto"/>
          <w:sz w:val="24"/>
          <w:szCs w:val="24"/>
          <w:highlight w:val="none"/>
        </w:rPr>
        <w:t xml:space="preserve">完毕</w:t>
      </w:r>
      <w:r>
        <w:rPr>
          <w:rFonts w:hint="eastAsia" w:ascii="宋体" w:hAnsi="宋体" w:cs="宋体"/>
          <w:color w:val="auto"/>
          <w:sz w:val="24"/>
          <w:szCs w:val="24"/>
          <w:highlight w:val="none"/>
          <w:lang w:val="en-US" w:eastAsia="zh-CN"/>
        </w:rPr>
        <w:t xml:space="preserve">且验收合格后</w:t>
      </w:r>
      <w:r>
        <w:rPr>
          <w:rFonts w:hint="eastAsia" w:ascii="宋体" w:hAnsi="宋体" w:cs="宋体"/>
          <w:color w:val="auto"/>
          <w:sz w:val="24"/>
          <w:szCs w:val="24"/>
          <w:highlight w:val="none"/>
        </w:rPr>
        <w:t xml:space="preserve">，收到供应商发票10个工作日内支付至合同总价款的100%。</w:t>
      </w:r>
      <w:r/>
    </w:p>
    <w:p>
      <w:pPr>
        <w:pStyle w:val="1119"/>
        <w:ind w:left="0" w:right="0" w:firstLine="480"/>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pStyle w:val="1119"/>
        <w:ind w:left="0" w:right="0" w:firstLine="480"/>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（1）可以采用数字人民币支付；</w:t>
      </w:r>
      <w:r/>
    </w:p>
    <w:p>
      <w:pPr>
        <w:pStyle w:val="1119"/>
        <w:ind w:left="0" w:right="0" w:firstLine="480"/>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（2）资金支付的时间：收到供应商发票10个工作日内；</w:t>
      </w:r>
      <w:r/>
    </w:p>
    <w:p>
      <w:pPr>
        <w:pStyle w:val="1119"/>
        <w:ind w:left="0" w:right="0" w:firstLine="480"/>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（3）资金支付的条件：满足相应阶段的要求且收到供应商发票；</w:t>
      </w:r>
      <w:r/>
    </w:p>
    <w:p>
      <w:pPr>
        <w:pStyle w:val="1119"/>
        <w:ind w:left="0" w:right="0" w:firstLine="480"/>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（4）当采购数量与实际使用数量不一致时，供应商应根据实际使用量供货，合同的最终结算金额按实际使用量乘以成交单价进行计算；</w:t>
      </w:r>
      <w:r/>
    </w:p>
    <w:p>
      <w:pPr>
        <w:pStyle w:val="1119"/>
        <w:ind w:left="0" w:right="0" w:firstLine="480"/>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（5）在签订合同时，供应商明确表示无需预付款或者主动要求降低预付款比例的，采购人可不适用前述规定。</w:t>
      </w:r>
      <w:r/>
    </w:p>
    <w:p>
      <w:pPr>
        <w:pStyle w:val="1119"/>
        <w:ind w:left="0" w:right="0" w:firstLine="482"/>
        <w:keepLines w:val="0"/>
        <w:keepNext w:val="0"/>
        <w:pageBreakBefore w:val="0"/>
        <w:spacing w:beforeAutospacing="0" w:afterAutospacing="0"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（五）交货时间、售后服务期、实施地点及注意事项</w:t>
      </w:r>
      <w:r/>
    </w:p>
    <w:p>
      <w:pPr>
        <w:pStyle w:val="1119"/>
        <w:ind w:left="0" w:right="0" w:firstLine="48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1、交货时间：合同签订后</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天内拦藻导流围隔</w:t>
      </w:r>
      <w:r>
        <w:rPr>
          <w:rFonts w:hint="eastAsia" w:ascii="宋体" w:hAnsi="宋体" w:cs="宋体"/>
          <w:color w:val="auto"/>
          <w:sz w:val="24"/>
          <w:szCs w:val="24"/>
          <w:highlight w:val="none"/>
          <w:lang w:val="en-US" w:eastAsia="zh-CN"/>
        </w:rPr>
        <w:t xml:space="preserve">安装完成</w:t>
      </w:r>
      <w:r>
        <w:rPr>
          <w:rFonts w:hint="eastAsia" w:ascii="宋体" w:hAnsi="宋体" w:cs="宋体"/>
          <w:color w:val="auto"/>
          <w:sz w:val="24"/>
          <w:szCs w:val="24"/>
          <w:highlight w:val="none"/>
          <w:lang w:eastAsia="zh-CN"/>
        </w:rPr>
        <w:t xml:space="preserve">。</w:t>
      </w:r>
      <w:r/>
    </w:p>
    <w:p>
      <w:pPr>
        <w:pStyle w:val="1119"/>
        <w:ind w:left="0" w:right="0" w:firstLine="48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2、售后服务期：</w:t>
      </w:r>
      <w:r>
        <w:rPr>
          <w:rFonts w:hint="eastAsia" w:ascii="宋体" w:hAnsi="宋体" w:cs="宋体"/>
          <w:color w:val="auto"/>
          <w:sz w:val="24"/>
          <w:szCs w:val="24"/>
          <w:highlight w:val="none"/>
          <w:lang w:val="en-US" w:eastAsia="zh-CN"/>
        </w:rPr>
        <w:t xml:space="preserve">3年，即自验收合格之日起提供3年的免费售后服务</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因设备质量问题造成的损失（包含由于此设备损坏而造成的所有设备、人员、工期、社会影响等连带损失）均由中标单位承担。</w:t>
      </w:r>
      <w:r/>
    </w:p>
    <w:p>
      <w:pPr>
        <w:pStyle w:val="1119"/>
        <w:ind w:left="0" w:right="0" w:firstLine="480"/>
        <w:keepLines w:val="0"/>
        <w:keepNext w:val="0"/>
        <w:pageBreakBefore w:val="0"/>
        <w:spacing w:beforeAutospacing="0" w:afterAutospacing="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3、实施地点：采购单位指定地点。</w:t>
      </w:r>
      <w:r/>
    </w:p>
    <w:p>
      <w:pPr>
        <w:jc w:val="center"/>
        <w:rPr>
          <w:rFonts w:hint="eastAsia"/>
          <w:color w:val="auto"/>
          <w:highlight w:val="none"/>
        </w:rPr>
      </w:pPr>
      <w:r>
        <w:rPr>
          <w:rFonts w:hint="eastAsia"/>
          <w:color w:val="auto"/>
          <w:highlight w:val="none"/>
        </w:rPr>
      </w:r>
      <w:r/>
    </w:p>
    <w:p>
      <w:pPr>
        <w:pStyle w:val="1119"/>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4、注意事项：中标人必须注意现场</w:t>
      </w:r>
      <w:r>
        <w:rPr>
          <w:rFonts w:hint="eastAsia" w:ascii="宋体" w:hAnsi="宋体" w:eastAsia="宋体" w:cs="宋体"/>
          <w:color w:val="auto"/>
          <w:sz w:val="24"/>
          <w:szCs w:val="24"/>
          <w:highlight w:val="none"/>
          <w:lang w:val="en-US" w:eastAsia="zh-CN"/>
        </w:rPr>
        <w:t xml:space="preserve">作业</w:t>
      </w:r>
      <w:r>
        <w:rPr>
          <w:rFonts w:hint="eastAsia" w:ascii="宋体" w:hAnsi="宋体" w:eastAsia="宋体" w:cs="宋体"/>
          <w:color w:val="auto"/>
          <w:sz w:val="24"/>
          <w:szCs w:val="24"/>
          <w:highlight w:val="none"/>
        </w:rPr>
        <w:t xml:space="preserve">安全，做好安全文明</w:t>
      </w:r>
      <w:r>
        <w:rPr>
          <w:rFonts w:hint="eastAsia" w:ascii="宋体" w:hAnsi="宋体" w:eastAsia="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工作，一切责任由中标人负责，与采购人无关。</w:t>
      </w:r>
      <w:r/>
    </w:p>
    <w:p>
      <w:pPr>
        <w:pStyle w:val="1119"/>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5、质量标准：中标人提供的产品性能及质量有国家标准的应符合国家标准。无国家标准的应符合行业标准或企业标准，并满足招标文件要求。</w:t>
      </w:r>
      <w:r/>
    </w:p>
    <w:p>
      <w:pPr>
        <w:pStyle w:val="1119"/>
        <w:ind w:left="0" w:right="0" w:firstLine="482"/>
        <w:jc w:val="left"/>
        <w:pageBreakBefore w:val="0"/>
        <w:spacing w:beforeAutospacing="0" w:afterAutospacing="0" w:line="44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二、采购清单</w:t>
      </w:r>
      <w:r>
        <w:rPr>
          <w:rFonts w:hint="eastAsia" w:ascii="宋体" w:hAnsi="宋体" w:cs="宋体"/>
          <w:b/>
          <w:bCs/>
          <w:color w:val="auto"/>
          <w:sz w:val="24"/>
          <w:szCs w:val="24"/>
          <w:highlight w:val="none"/>
          <w:lang w:val="en-US" w:eastAsia="zh-CN"/>
        </w:rPr>
        <w:t xml:space="preserve">及技术要求说明</w:t>
      </w:r>
      <w:r/>
    </w:p>
    <w:p>
      <w:pPr>
        <w:pStyle w:val="1120"/>
        <w:ind w:firstLine="241"/>
        <w:rPr>
          <w:rFonts w:hint="default" w:eastAsia="宋体"/>
          <w:color w:val="auto"/>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采购清单</w:t>
      </w:r>
      <w:r/>
    </w:p>
    <w:tbl>
      <w:tblPr>
        <w:tblStyle w:val="765"/>
        <w:tblpPr w:horzAnchor="page" w:tblpX="1810" w:vertAnchor="text" w:tblpY="184" w:leftFromText="180" w:topFromText="0" w:rightFromText="180" w:bottomFromText="0"/>
        <w:tblW w:w="4866" w:type="pct"/>
        <w:tblInd w:w="0" w:type="dxa"/>
        <w:tblLayout w:type="autofit"/>
        <w:tblCellMar>
          <w:left w:w="108" w:type="dxa"/>
          <w:top w:w="0" w:type="dxa"/>
          <w:right w:w="108" w:type="dxa"/>
          <w:bottom w:w="0" w:type="dxa"/>
        </w:tblCellMar>
        <w:tblLook w:val="04A0" w:firstRow="1" w:lastRow="0" w:firstColumn="1" w:lastColumn="0" w:noHBand="0" w:noVBand="1"/>
      </w:tblPr>
      <w:tblGrid>
        <w:gridCol w:w="792"/>
        <w:gridCol w:w="4218"/>
        <w:gridCol w:w="1620"/>
        <w:gridCol w:w="1664"/>
      </w:tblGrid>
      <w:tr>
        <w:trPr>
          <w:trHeight w:val="567" w:hRule="exact"/>
        </w:trPr>
        <w:tc>
          <w:tcPr>
            <w:shd w:val="clear" w:color="ffffff" w:fill="ffffff"/>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2542"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产品名称</w:t>
            </w:r>
            <w:r/>
          </w:p>
        </w:tc>
        <w:tc>
          <w:tcPr>
            <w:shd w:val="clear" w:color="ffffff" w:fill="fffff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数量</w:t>
            </w:r>
            <w:r/>
          </w:p>
        </w:tc>
      </w:tr>
      <w:tr>
        <w:trPr>
          <w:trHeight w:val="567" w:hRule="exact"/>
        </w:trPr>
        <w:tc>
          <w:tcPr>
            <w:shd w:val="clear" w:color="ffffff" w:fill="ffffff"/>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2542"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eastAsia="zh-CN" w:bidi="ar"/>
              </w:rPr>
              <w:t xml:space="preserve">拦藻围隔</w:t>
            </w:r>
            <w:r/>
          </w:p>
        </w:tc>
        <w:tc>
          <w:tcPr>
            <w:shd w:val="clear" w:color="ffffff" w:fill="fffff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米</w:t>
            </w:r>
            <w:r/>
          </w:p>
        </w:tc>
        <w:tc>
          <w:tcPr>
            <w:shd w:val="clear" w:color="ffffff" w:fill="ffffff"/>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3100</w:t>
            </w:r>
            <w:r/>
          </w:p>
        </w:tc>
      </w:tr>
      <w:tr>
        <w:trPr>
          <w:trHeight w:val="567" w:hRule="exact"/>
        </w:trPr>
        <w:tc>
          <w:tcPr>
            <w:shd w:val="clear" w:color="ffffff" w:fill="ffffff"/>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2542"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bidi="ar"/>
              </w:rPr>
              <w:t xml:space="preserve">浮体</w:t>
            </w:r>
            <w:r/>
          </w:p>
        </w:tc>
        <w:tc>
          <w:tcPr>
            <w:shd w:val="clear" w:color="ffffff" w:fill="fffff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米</w:t>
            </w:r>
            <w:r/>
          </w:p>
        </w:tc>
        <w:tc>
          <w:tcPr>
            <w:shd w:val="clear" w:color="ffffff" w:fill="ffffff"/>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3100</w:t>
            </w:r>
            <w:r/>
          </w:p>
        </w:tc>
      </w:tr>
      <w:tr>
        <w:trPr>
          <w:trHeight w:val="567" w:hRule="exact"/>
        </w:trPr>
        <w:tc>
          <w:tcPr>
            <w:shd w:val="clear" w:color="ffffff" w:fill="ffffff"/>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2542"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帘子布</w:t>
            </w:r>
            <w:r/>
          </w:p>
        </w:tc>
        <w:tc>
          <w:tcPr>
            <w:shd w:val="clear" w:color="ffffff" w:fill="fffff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米</w:t>
            </w:r>
            <w:r/>
          </w:p>
        </w:tc>
        <w:tc>
          <w:tcPr>
            <w:shd w:val="clear" w:color="ffffff" w:fill="ffffff"/>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3100</w:t>
            </w:r>
            <w:r/>
          </w:p>
        </w:tc>
      </w:tr>
      <w:tr>
        <w:trPr>
          <w:trHeight w:val="567" w:hRule="exact"/>
        </w:trPr>
        <w:tc>
          <w:tcPr>
            <w:shd w:val="clear" w:color="ffffff" w:fill="ffffff"/>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2542"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配重（铁链）</w:t>
            </w:r>
            <w:r/>
          </w:p>
        </w:tc>
        <w:tc>
          <w:tcPr>
            <w:shd w:val="clear" w:color="ffffff" w:fill="fffff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米</w:t>
            </w:r>
            <w:r/>
          </w:p>
        </w:tc>
        <w:tc>
          <w:tcPr>
            <w:shd w:val="clear" w:color="ffffff" w:fill="ffffff"/>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3100</w:t>
            </w:r>
            <w:r/>
          </w:p>
        </w:tc>
      </w:tr>
      <w:tr>
        <w:trPr>
          <w:trHeight w:val="567" w:hRule="exact"/>
        </w:trPr>
        <w:tc>
          <w:tcPr>
            <w:shd w:val="clear" w:color="ffffff" w:fill="ffffff"/>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2542"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配件五金</w:t>
            </w:r>
            <w:r/>
          </w:p>
        </w:tc>
        <w:tc>
          <w:tcPr>
            <w:shd w:val="clear" w:color="ffffff" w:fill="fffff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米</w:t>
            </w:r>
            <w:r/>
          </w:p>
        </w:tc>
        <w:tc>
          <w:tcPr>
            <w:shd w:val="clear" w:color="ffffff" w:fill="ffffff"/>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3100</w:t>
            </w:r>
            <w:r/>
          </w:p>
        </w:tc>
      </w:tr>
      <w:tr>
        <w:trPr>
          <w:trHeight w:val="567" w:hRule="exact"/>
        </w:trPr>
        <w:tc>
          <w:tcPr>
            <w:shd w:val="clear" w:color="ffffff" w:fill="ffffff"/>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2542"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沉块</w:t>
            </w:r>
            <w:r/>
          </w:p>
        </w:tc>
        <w:tc>
          <w:tcPr>
            <w:shd w:val="clear" w:color="ffffff" w:fill="fffff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块</w:t>
            </w:r>
            <w:r/>
          </w:p>
        </w:tc>
        <w:tc>
          <w:tcPr>
            <w:shd w:val="clear" w:color="ffffff" w:fill="ffffff"/>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570</w:t>
            </w:r>
            <w:r/>
          </w:p>
        </w:tc>
      </w:tr>
      <w:tr>
        <w:trPr>
          <w:trHeight w:val="567" w:hRule="exact"/>
        </w:trPr>
        <w:tc>
          <w:tcPr>
            <w:shd w:val="clear" w:color="ffffff" w:fill="ffffff"/>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2542"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锚绳</w:t>
            </w:r>
            <w:r/>
          </w:p>
        </w:tc>
        <w:tc>
          <w:tcPr>
            <w:shd w:val="clear" w:color="ffffff" w:fill="fffff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米</w:t>
            </w:r>
            <w:r/>
          </w:p>
        </w:tc>
        <w:tc>
          <w:tcPr>
            <w:shd w:val="clear" w:color="ffffff" w:fill="ffffff"/>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15000</w:t>
            </w:r>
            <w:r/>
          </w:p>
        </w:tc>
      </w:tr>
      <w:tr>
        <w:trPr>
          <w:trHeight w:val="567" w:hRule="exact"/>
        </w:trPr>
        <w:tc>
          <w:tcPr>
            <w:shd w:val="clear" w:color="ffffff" w:fill="ffffff"/>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2542"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门桩</w:t>
            </w:r>
            <w:r/>
          </w:p>
        </w:tc>
        <w:tc>
          <w:tcPr>
            <w:shd w:val="clear" w:color="ffffff" w:fill="fffff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根</w:t>
            </w:r>
            <w:r/>
          </w:p>
        </w:tc>
        <w:tc>
          <w:tcPr>
            <w:shd w:val="clear" w:color="ffffff" w:fill="ffffff"/>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r>
      <w:tr>
        <w:trPr>
          <w:trHeight w:val="1097" w:hRule="exact"/>
        </w:trPr>
        <w:tc>
          <w:tcPr>
            <w:shd w:val="clear" w:color="ffffff" w:fill="ffffff"/>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2542"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预制方桩</w:t>
            </w:r>
            <w:r/>
          </w:p>
        </w:tc>
        <w:tc>
          <w:tcPr>
            <w:shd w:val="clear" w:color="ffffff" w:fill="fffff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根</w:t>
            </w:r>
            <w:r/>
          </w:p>
        </w:tc>
        <w:tc>
          <w:tcPr>
            <w:shd w:val="clear" w:color="ffffff" w:fill="ffffff"/>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27</w:t>
            </w:r>
            <w:r/>
          </w:p>
        </w:tc>
      </w:tr>
      <w:tr>
        <w:trPr>
          <w:trHeight w:val="937" w:hRule="exact"/>
        </w:trPr>
        <w:tc>
          <w:tcPr>
            <w:shd w:val="clear" w:color="ffffff" w:fill="ffffff"/>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2542"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16镀锌钢丝绳（挂钢丝网）</w:t>
            </w:r>
            <w:r/>
          </w:p>
        </w:tc>
        <w:tc>
          <w:tcPr>
            <w:shd w:val="clear" w:color="ffffff" w:fill="fffff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米</w:t>
            </w:r>
            <w:r/>
          </w:p>
        </w:tc>
        <w:tc>
          <w:tcPr>
            <w:shd w:val="clear" w:color="ffffff" w:fill="ffffff"/>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ind w:left="0" w:right="0"/>
              <w:jc w:val="center"/>
              <w:keepLines w:val="0"/>
              <w:keepNext w:val="0"/>
              <w:pageBreakBefore w:val="0"/>
              <w:spacing w:beforeAutospacing="0" w:afterAutospacing="0" w:line="44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2400</w:t>
            </w:r>
            <w:r/>
          </w:p>
        </w:tc>
      </w:tr>
    </w:tbl>
    <w:p>
      <w:pPr>
        <w:pStyle w:val="1119"/>
        <w:ind w:right="0" w:firstLine="241"/>
        <w:jc w:val="left"/>
        <w:pageBreakBefore w:val="0"/>
        <w:spacing w:beforeAutospacing="0" w:afterAutospacing="0" w:line="440" w:lineRule="exact"/>
        <w:rPr>
          <w:rFonts w:hint="eastAsia" w:ascii="宋体" w:hAnsi="宋体" w:cs="宋体"/>
          <w:color w:val="auto"/>
          <w:sz w:val="24"/>
          <w:szCs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要求</w:t>
      </w:r>
      <w:r>
        <w:rPr>
          <w:rFonts w:hint="eastAsia" w:ascii="宋体" w:hAnsi="宋体" w:cs="宋体"/>
          <w:b/>
          <w:bCs/>
          <w:color w:val="auto"/>
          <w:sz w:val="24"/>
          <w:szCs w:val="24"/>
          <w:highlight w:val="none"/>
        </w:rPr>
        <w:t xml:space="preserve">的说明：</w:t>
      </w:r>
      <w:r/>
    </w:p>
    <w:p>
      <w:pPr>
        <w:pStyle w:val="1119"/>
        <w:ind w:firstLine="482"/>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、标注“▲”号标记的技术参数为重要技术参数，共计</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条，无响应或无效响应或不满足不得分。</w:t>
      </w:r>
      <w:r/>
    </w:p>
    <w:p>
      <w:pPr>
        <w:pStyle w:val="1119"/>
        <w:ind w:firstLine="482"/>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、标注“*”号标记的技术参数为一般技术参数，共计</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条，无响应或无效响应或不满足不得分。</w:t>
      </w:r>
      <w:r/>
    </w:p>
    <w:p>
      <w:pPr>
        <w:pStyle w:val="1119"/>
        <w:ind w:firstLine="482"/>
        <w:jc w:val="left"/>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3、采购清单中技术要求前标有“</w:t>
      </w:r>
      <w:bookmarkStart w:id="28" w:name="OLE_LINK1"/>
      <w:r>
        <w:rPr>
          <w:rFonts w:hint="eastAsia" w:ascii="宋体" w:hAnsi="宋体" w:cs="宋体"/>
          <w:color w:val="auto"/>
          <w:sz w:val="24"/>
          <w:szCs w:val="24"/>
          <w:highlight w:val="none"/>
          <w:lang w:val="en-US" w:eastAsia="zh-CN"/>
        </w:rPr>
        <w:t xml:space="preserve">●”的为核心产品</w:t>
      </w:r>
      <w:bookmarkEnd w:id="28"/>
      <w:r>
        <w:rPr>
          <w:rFonts w:hint="eastAsia" w:ascii="宋体" w:hAnsi="宋体" w:cs="宋体"/>
          <w:color w:val="auto"/>
          <w:sz w:val="24"/>
          <w:szCs w:val="24"/>
          <w:highlight w:val="none"/>
          <w:lang w:val="en-US" w:eastAsia="zh-CN"/>
        </w:rPr>
        <w:t xml:space="preserve">；提供相同品牌产品且通过资格审查、符合性审查的不同投标人参加同一合同项下投标的，按一家投标人计算,评审后得分最高的同品牌投标人获得中标人推荐资格。</w:t>
      </w:r>
      <w:r/>
    </w:p>
    <w:p>
      <w:pPr>
        <w:pStyle w:val="1119"/>
        <w:ind w:firstLine="482"/>
        <w:jc w:val="left"/>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1119"/>
        <w:ind w:firstLine="482"/>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、技术参数序号前未标注任何符号标记（除标注“▲”和“*”号标记的技术参数）的技术参数为不重复计分的条目。</w:t>
      </w:r>
      <w:r/>
    </w:p>
    <w:p>
      <w:pPr>
        <w:pStyle w:val="1119"/>
        <w:ind w:firstLine="482"/>
        <w:jc w:val="left"/>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5、除特别标注尺寸偏差、大于、大于等于、小于及小于等于之外，其它固定尺寸允许偏差±5%。</w:t>
      </w:r>
      <w:r/>
    </w:p>
    <w:p>
      <w:pPr>
        <w:pStyle w:val="1119"/>
        <w:ind w:firstLine="482"/>
        <w:jc w:val="left"/>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、投标人须详尽真实的提供投标产品的技术要求响应及偏离表，且在技术要求响应及偏离表内详尽真实的提供偏差情况，否则将视为无响应或无效响应</w:t>
      </w:r>
      <w:r>
        <w:rPr>
          <w:rFonts w:hint="eastAsia" w:ascii="宋体" w:hAnsi="宋体" w:cs="宋体"/>
          <w:color w:val="auto"/>
          <w:sz w:val="24"/>
          <w:szCs w:val="24"/>
          <w:highlight w:val="none"/>
          <w:lang w:eastAsia="zh-CN"/>
        </w:rPr>
        <w:t xml:space="preserve">。</w:t>
      </w:r>
      <w:r/>
    </w:p>
    <w:p>
      <w:pPr>
        <w:pStyle w:val="1119"/>
        <w:ind w:firstLine="482"/>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投标人须提供所投标的产品品牌、型号、规格、产地等，须按照招标文件中投标文件格式要求填写完整。除辅材、辅助材料（含以施工为主的条目）和技术参数标明为定制的产品之外的其它应该标明品牌和型号的产品，在投标文件中必须标明产品的品牌、型号，否则作无效投标处理。</w:t>
      </w:r>
      <w:r/>
    </w:p>
    <w:p>
      <w:pPr>
        <w:pStyle w:val="1119"/>
        <w:ind w:firstLine="482"/>
        <w:jc w:val="left"/>
        <w:spacing w:line="440" w:lineRule="exact"/>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、中标人供货时产品的品牌、型号必须和投标文件中填写的产品的品牌、型号一致，否则，采购人有权拒收并要求中标人按投标文件中填写的产品的品牌、型号供货。</w:t>
      </w:r>
      <w:r/>
    </w:p>
    <w:p>
      <w:pPr>
        <w:pStyle w:val="1119"/>
        <w:ind w:left="0" w:right="0" w:firstLine="482"/>
        <w:jc w:val="left"/>
        <w:pageBreakBefore w:val="0"/>
        <w:spacing w:beforeAutospacing="0" w:afterAutospacing="0" w:line="44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w:t>
      </w:r>
      <w:r>
        <w:rPr>
          <w:rFonts w:hint="eastAsia" w:ascii="宋体" w:hAnsi="宋体" w:cs="宋体"/>
          <w:b/>
          <w:bCs/>
          <w:color w:val="auto"/>
          <w:sz w:val="24"/>
          <w:highlight w:val="none"/>
          <w:lang w:val="en-US" w:eastAsia="zh-CN"/>
        </w:rPr>
        <w:t xml:space="preserve">挡藻围隔设计简介</w:t>
      </w:r>
      <w:r/>
    </w:p>
    <w:p>
      <w:pPr>
        <w:pStyle w:val="1119"/>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3.1挡藻围隔设置</w:t>
      </w:r>
      <w:r/>
    </w:p>
    <w:p>
      <w:pPr>
        <w:pStyle w:val="1119"/>
        <w:ind w:firstLine="482"/>
        <w:jc w:val="left"/>
        <w:spacing w:line="440" w:lineRule="exac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在成子湖水源地一级保护区范围线内侧圆形设置挡藻围隔，围隔距一级保护区范围线 20m，长约 3100m，围隔布置图如下：</w:t>
      </w:r>
      <w:r/>
    </w:p>
    <w:p>
      <w:pPr>
        <w:pStyle w:val="1119"/>
        <w:ind w:left="0" w:right="0" w:firstLine="482"/>
        <w:jc w:val="left"/>
        <w:pageBreakBefore w:val="0"/>
        <w:spacing w:beforeAutospacing="0" w:afterAutospacing="0" w:line="24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mc:AlternateContent>
          <mc:Choice Requires="wpg">
            <w:drawing>
              <wp:inline xmlns:wp="http://schemas.openxmlformats.org/drawingml/2006/wordprocessingDrawing" distT="0" distB="0" distL="0" distR="0">
                <wp:extent cx="4791075" cy="3457575"/>
                <wp:effectExtent l="0" t="0" r="9525" b="9525"/>
                <wp:docPr id="3"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
                        <pic:cNvPicPr>
                          <a:picLocks noChangeAspect="1"/>
                        </pic:cNvPicPr>
                        <pic:nvPr/>
                      </pic:nvPicPr>
                      <pic:blipFill>
                        <a:blip r:embed="rId15"/>
                        <a:stretch/>
                      </pic:blipFill>
                      <pic:spPr bwMode="auto">
                        <a:xfrm>
                          <a:off x="0" y="0"/>
                          <a:ext cx="4791075" cy="3457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7.2pt;height:272.2pt;mso-wrap-distance-left:0.0pt;mso-wrap-distance-top:0.0pt;mso-wrap-distance-right:0.0pt;mso-wrap-distance-bottom:0.0pt;" stroked="false">
                <v:path textboxrect="0,0,0,0"/>
                <v:imagedata r:id="rId15" o:title=""/>
              </v:shape>
            </w:pict>
          </mc:Fallback>
        </mc:AlternateContent>
      </w:r>
      <w:r/>
    </w:p>
    <w:p>
      <w:pPr>
        <w:pStyle w:val="1119"/>
        <w:ind w:left="0" w:right="0" w:firstLine="482"/>
        <w:jc w:val="center"/>
        <w:pageBreakBefore w:val="0"/>
        <w:spacing w:beforeAutospacing="0" w:afterAutospacing="0"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图3.1 挡藻围隔平面布置图</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挡藻围隔上方是浮体，中间是拦藻隔帘，下方是防盗配重链，底部通过混凝土沉块，并结合一级保护区界桩固定。浮体采用新型橡胶材料，橡胶材料内包裹圆柱体切角加密泡沫加工制作，具有浮力储备大、乘波性能好、耐磨、耐海水腐蚀、抗紫外线老化、受力均匀、整体强度高、垂直稳定性好等特性。围隔的浮体能有效控制蓝藻水华，平均波高在 30cm 时，不会随波浪越过浮体进入保护水域内。</w:t>
      </w:r>
      <w:r/>
    </w:p>
    <w:p>
      <w:pPr>
        <w:pStyle w:val="1120"/>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5133975" cy="2876550"/>
                <wp:effectExtent l="0" t="0" r="9525" b="0"/>
                <wp:docPr id="4"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2"/>
                        <pic:cNvPicPr>
                          <a:picLocks noChangeAspect="1"/>
                        </pic:cNvPicPr>
                        <pic:nvPr/>
                      </pic:nvPicPr>
                      <pic:blipFill>
                        <a:blip r:embed="rId16"/>
                        <a:stretch/>
                      </pic:blipFill>
                      <pic:spPr bwMode="auto">
                        <a:xfrm>
                          <a:off x="0" y="0"/>
                          <a:ext cx="5133975" cy="2876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2pt;height:226.5pt;mso-wrap-distance-left:0.0pt;mso-wrap-distance-top:0.0pt;mso-wrap-distance-right:0.0pt;mso-wrap-distance-bottom:0.0pt;" stroked="false">
                <v:path textboxrect="0,0,0,0"/>
                <v:imagedata r:id="rId16" o:title=""/>
              </v:shape>
            </w:pict>
          </mc:Fallback>
        </mc:AlternateContent>
      </w:r>
      <w:r/>
    </w:p>
    <w:p>
      <w:pPr>
        <w:pStyle w:val="1119"/>
        <w:ind w:left="0" w:right="0" w:firstLine="482"/>
        <w:jc w:val="center"/>
        <w:pageBreakBefore w:val="0"/>
        <w:spacing w:beforeAutospacing="0" w:afterAutospacing="0"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图3.2 围隔节点图</w:t>
      </w:r>
      <w:r/>
    </w:p>
    <w:p>
      <w:pPr>
        <w:pStyle w:val="1120"/>
        <w:rPr>
          <w:rFonts w:hint="default"/>
          <w:color w:val="auto"/>
          <w:highlight w:val="none"/>
          <w:lang w:val="en-US" w:eastAsia="zh-CN"/>
        </w:rPr>
      </w:pPr>
      <w:r>
        <w:rPr>
          <w:rFonts w:hint="default"/>
          <w:color w:val="auto"/>
          <w:highlight w:val="none"/>
          <w:lang w:val="en-US" w:eastAsia="zh-CN"/>
        </w:rPr>
      </w:r>
      <w:r/>
    </w:p>
    <w:p>
      <w:pPr>
        <w:pStyle w:val="1119"/>
        <w:ind w:left="0" w:right="0" w:firstLine="482"/>
        <w:jc w:val="left"/>
        <w:pageBreakBefore w:val="0"/>
        <w:spacing w:beforeAutospacing="0" w:afterAutospacing="0" w:line="24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mc:AlternateContent>
          <mc:Choice Requires="wpg">
            <w:drawing>
              <wp:inline xmlns:wp="http://schemas.openxmlformats.org/drawingml/2006/wordprocessingDrawing" distT="0" distB="0" distL="0" distR="0">
                <wp:extent cx="5273675" cy="2196465"/>
                <wp:effectExtent l="0" t="0" r="3175" b="13335"/>
                <wp:docPr id="5" name="图片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3"/>
                        <pic:cNvPicPr>
                          <a:picLocks noChangeAspect="1"/>
                        </pic:cNvPicPr>
                        <pic:nvPr/>
                      </pic:nvPicPr>
                      <pic:blipFill>
                        <a:blip r:embed="rId17"/>
                        <a:stretch/>
                      </pic:blipFill>
                      <pic:spPr bwMode="auto">
                        <a:xfrm>
                          <a:off x="0" y="0"/>
                          <a:ext cx="5273675" cy="21964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2pt;height:172.9pt;mso-wrap-distance-left:0.0pt;mso-wrap-distance-top:0.0pt;mso-wrap-distance-right:0.0pt;mso-wrap-distance-bottom:0.0pt;" stroked="false">
                <v:path textboxrect="0,0,0,0"/>
                <v:imagedata r:id="rId17" o:title=""/>
              </v:shape>
            </w:pict>
          </mc:Fallback>
        </mc:AlternateContent>
      </w:r>
      <w:r/>
    </w:p>
    <w:p>
      <w:pPr>
        <w:pStyle w:val="1119"/>
        <w:ind w:left="0" w:right="0" w:firstLine="482"/>
        <w:jc w:val="center"/>
        <w:pageBreakBefore w:val="0"/>
        <w:spacing w:beforeAutospacing="0" w:afterAutospacing="0"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图3.3 围隔A-A剖面图</w:t>
      </w:r>
      <w:r/>
    </w:p>
    <w:p>
      <w:pPr>
        <w:pStyle w:val="112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pStyle w:val="1119"/>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5172075" cy="2057400"/>
                <wp:effectExtent l="0" t="0" r="9525" b="0"/>
                <wp:docPr id="6" name="图片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4"/>
                        <pic:cNvPicPr>
                          <a:picLocks noChangeAspect="1"/>
                        </pic:cNvPicPr>
                        <pic:nvPr/>
                      </pic:nvPicPr>
                      <pic:blipFill>
                        <a:blip r:embed="rId18"/>
                        <a:stretch/>
                      </pic:blipFill>
                      <pic:spPr bwMode="auto">
                        <a:xfrm>
                          <a:off x="0" y="0"/>
                          <a:ext cx="5172075" cy="2057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7.2pt;height:162.0pt;mso-wrap-distance-left:0.0pt;mso-wrap-distance-top:0.0pt;mso-wrap-distance-right:0.0pt;mso-wrap-distance-bottom:0.0pt;" stroked="false">
                <v:path textboxrect="0,0,0,0"/>
                <v:imagedata r:id="rId18" o:title=""/>
              </v:shape>
            </w:pict>
          </mc:Fallback>
        </mc:AlternateContent>
      </w:r>
      <w:r/>
    </w:p>
    <w:p>
      <w:pPr>
        <w:pStyle w:val="1119"/>
        <w:ind w:left="0" w:right="0" w:firstLine="482"/>
        <w:jc w:val="center"/>
        <w:pageBreakBefore w:val="0"/>
        <w:spacing w:beforeAutospacing="0" w:afterAutospacing="0" w:line="44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图3.4 围隔B-B剖面图</w:t>
      </w:r>
      <w:r/>
    </w:p>
    <w:p>
      <w:pPr>
        <w:pStyle w:val="1119"/>
        <w:ind w:left="0" w:right="0" w:firstLine="482"/>
        <w:jc w:val="left"/>
        <w:pageBreakBefore w:val="0"/>
        <w:spacing w:beforeAutospacing="0" w:afterAutospacing="0" w:line="44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1120"/>
        <w:rPr>
          <w:rFonts w:hint="eastAsia"/>
          <w:color w:val="auto"/>
          <w:highlight w:val="none"/>
          <w:lang w:val="en-US" w:eastAsia="zh-CN"/>
        </w:rPr>
      </w:pPr>
      <w:r>
        <w:rPr>
          <w:rFonts w:hint="eastAsia"/>
          <w:color w:val="auto"/>
          <w:highlight w:val="none"/>
          <w:lang w:val="en-US" w:eastAsia="zh-CN"/>
        </w:rPr>
        <mc:AlternateContent>
          <mc:Choice Requires="wpg">
            <w:drawing>
              <wp:inline xmlns:wp="http://schemas.openxmlformats.org/drawingml/2006/wordprocessingDrawing" distT="0" distB="0" distL="0" distR="0">
                <wp:extent cx="5238750" cy="3276600"/>
                <wp:effectExtent l="0" t="0" r="0" b="0"/>
                <wp:docPr id="7" name="图片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5"/>
                        <pic:cNvPicPr>
                          <a:picLocks noChangeAspect="1"/>
                        </pic:cNvPicPr>
                        <pic:nvPr/>
                      </pic:nvPicPr>
                      <pic:blipFill>
                        <a:blip r:embed="rId19"/>
                        <a:stretch/>
                      </pic:blipFill>
                      <pic:spPr bwMode="auto">
                        <a:xfrm>
                          <a:off x="0" y="0"/>
                          <a:ext cx="5238750" cy="3276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2.5pt;height:258.0pt;mso-wrap-distance-left:0.0pt;mso-wrap-distance-top:0.0pt;mso-wrap-distance-right:0.0pt;mso-wrap-distance-bottom:0.0pt;" stroked="false">
                <v:path textboxrect="0,0,0,0"/>
                <v:imagedata r:id="rId19" o:title=""/>
              </v:shape>
            </w:pict>
          </mc:Fallback>
        </mc:AlternateContent>
      </w:r>
      <w:r/>
    </w:p>
    <w:p>
      <w:pPr>
        <w:pStyle w:val="1119"/>
        <w:ind w:left="0" w:right="0" w:firstLine="482"/>
        <w:jc w:val="left"/>
        <w:pageBreakBefore w:val="0"/>
        <w:spacing w:beforeAutospacing="0" w:afterAutospacing="0" w:line="44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1119"/>
        <w:ind w:left="0" w:right="0" w:firstLine="482"/>
        <w:jc w:val="center"/>
        <w:pageBreakBefore w:val="0"/>
        <w:spacing w:beforeAutospacing="0" w:afterAutospacing="0" w:line="44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图3.5 围隔C-C剖面图</w:t>
      </w:r>
      <w:r/>
    </w:p>
    <w:p>
      <w:pPr>
        <w:pStyle w:val="1119"/>
        <w:ind w:left="0" w:right="0" w:firstLine="482"/>
        <w:jc w:val="left"/>
        <w:pageBreakBefore w:val="0"/>
        <w:spacing w:beforeAutospacing="0" w:afterAutospacing="0" w:line="24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mc:AlternateContent>
          <mc:Choice Requires="wpg">
            <w:drawing>
              <wp:inline xmlns:wp="http://schemas.openxmlformats.org/drawingml/2006/wordprocessingDrawing" distT="0" distB="0" distL="0" distR="0">
                <wp:extent cx="5153025" cy="3057525"/>
                <wp:effectExtent l="0" t="0" r="9525" b="9525"/>
                <wp:docPr id="8" name="图片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6"/>
                        <pic:cNvPicPr>
                          <a:picLocks noChangeAspect="1"/>
                        </pic:cNvPicPr>
                        <pic:nvPr/>
                      </pic:nvPicPr>
                      <pic:blipFill>
                        <a:blip r:embed="rId20"/>
                        <a:stretch/>
                      </pic:blipFill>
                      <pic:spPr bwMode="auto">
                        <a:xfrm>
                          <a:off x="0" y="0"/>
                          <a:ext cx="5153024" cy="3057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5.8pt;height:240.8pt;mso-wrap-distance-left:0.0pt;mso-wrap-distance-top:0.0pt;mso-wrap-distance-right:0.0pt;mso-wrap-distance-bottom:0.0pt;" stroked="false">
                <v:path textboxrect="0,0,0,0"/>
                <v:imagedata r:id="rId20" o:title=""/>
              </v:shape>
            </w:pict>
          </mc:Fallback>
        </mc:AlternateContent>
      </w:r>
      <w:r/>
    </w:p>
    <w:p>
      <w:pPr>
        <w:pStyle w:val="1119"/>
        <w:ind w:left="0" w:right="0" w:firstLine="482"/>
        <w:jc w:val="left"/>
        <w:pageBreakBefore w:val="0"/>
        <w:spacing w:beforeAutospacing="0" w:afterAutospacing="0" w:line="44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1119"/>
        <w:ind w:left="0" w:right="0" w:firstLine="482"/>
        <w:jc w:val="center"/>
        <w:pageBreakBefore w:val="0"/>
        <w:spacing w:beforeAutospacing="0" w:afterAutospacing="0" w:line="44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图3.6 活动门大样图</w:t>
      </w:r>
      <w:r/>
    </w:p>
    <w:p>
      <w:pPr>
        <w:pStyle w:val="1119"/>
        <w:ind w:left="0" w:right="0" w:firstLine="482"/>
        <w:jc w:val="left"/>
        <w:pageBreakBefore w:val="0"/>
        <w:spacing w:beforeAutospacing="0" w:afterAutospacing="0" w:line="44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1119"/>
        <w:ind w:left="0" w:right="0" w:firstLine="482"/>
        <w:jc w:val="left"/>
        <w:pageBreakBefore w:val="0"/>
        <w:spacing w:beforeAutospacing="0" w:afterAutospacing="0" w:line="44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val="en-US" w:eastAsia="zh-CN"/>
        </w:rPr>
        <w:t xml:space="preserve">、技术要求</w:t>
      </w:r>
      <w:r/>
    </w:p>
    <w:p>
      <w:pPr>
        <w:pStyle w:val="1119"/>
        <w:ind w:left="0" w:right="0" w:firstLine="482"/>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b/>
          <w:bCs/>
          <w:color w:val="auto"/>
          <w:sz w:val="24"/>
          <w:szCs w:val="24"/>
          <w:highlight w:val="none"/>
          <w:lang w:val="en-US" w:eastAsia="zh-CN"/>
        </w:rPr>
        <w:t xml:space="preserve">4.1主要材料技术指标</w:t>
      </w:r>
      <w:r/>
    </w:p>
    <w:p>
      <w:pPr>
        <w:pStyle w:val="1120"/>
        <w:ind w:firstLine="480"/>
        <w:keepLines w:val="0"/>
        <w:keepNext w:val="0"/>
        <w:pageBreakBefore w:val="0"/>
        <w:spacing w:line="440" w:lineRule="exact"/>
        <w:widowControl w:val="off"/>
        <w:rPr>
          <w:rFonts w:hint="default"/>
          <w:color w:val="auto"/>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4.1.1挡藻围隔浮体主要参数一览表</w:t>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1420"/>
        <w:gridCol w:w="1420"/>
        <w:gridCol w:w="1420"/>
        <w:gridCol w:w="1421"/>
        <w:gridCol w:w="1421"/>
      </w:tblGrid>
      <w:tr>
        <w:trPr/>
        <w:tc>
          <w:tcPr>
            <w:tcW w:w="1420"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总高</w:t>
            </w:r>
            <w:r/>
          </w:p>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（mm）</w:t>
            </w:r>
            <w:r/>
          </w:p>
        </w:tc>
        <w:tc>
          <w:tcPr>
            <w:tcW w:w="1420"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水上部分（mm）</w:t>
            </w:r>
            <w:r/>
          </w:p>
        </w:tc>
        <w:tc>
          <w:tcPr>
            <w:tcW w:w="1420"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水上部分（mm）</w:t>
            </w:r>
            <w:r/>
          </w:p>
        </w:tc>
        <w:tc>
          <w:tcPr>
            <w:tcW w:w="1420"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抗拉强度（KN）</w:t>
            </w:r>
            <w:r/>
          </w:p>
        </w:tc>
        <w:tc>
          <w:tcPr>
            <w:tcW w:w="1421"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抗波高</w:t>
            </w:r>
            <w:r/>
          </w:p>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m</w:t>
            </w:r>
            <w:r/>
          </w:p>
        </w:tc>
        <w:tc>
          <w:tcPr>
            <w:tcW w:w="1421"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抗风速</w:t>
            </w:r>
            <w:r/>
          </w:p>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m/s</w:t>
            </w:r>
            <w:r/>
          </w:p>
        </w:tc>
      </w:tr>
      <w:tr>
        <w:trPr/>
        <w:tc>
          <w:tcPr>
            <w:tcW w:w="1420"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800±10</w:t>
            </w:r>
            <w:r/>
          </w:p>
        </w:tc>
        <w:tc>
          <w:tcPr>
            <w:tcW w:w="1420"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350</w:t>
            </w:r>
            <w:r/>
          </w:p>
        </w:tc>
        <w:tc>
          <w:tcPr>
            <w:tcW w:w="1420"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450</w:t>
            </w:r>
            <w:r/>
          </w:p>
        </w:tc>
        <w:tc>
          <w:tcPr>
            <w:tcW w:w="1420"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100</w:t>
            </w:r>
            <w:r/>
          </w:p>
        </w:tc>
        <w:tc>
          <w:tcPr>
            <w:tcW w:w="1421"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2</w:t>
            </w:r>
            <w:r/>
          </w:p>
        </w:tc>
        <w:tc>
          <w:tcPr>
            <w:tcW w:w="1421" w:type="dxa"/>
            <w:vAlign w:val="center"/>
            <w:textDirection w:val="lrTb"/>
            <w:noWrap w:val="false"/>
          </w:tcPr>
          <w:p>
            <w:pPr>
              <w:pStyle w:val="1119"/>
              <w:ind w:left="0" w:right="0" w:firstLine="0"/>
              <w:jc w:val="center"/>
              <w:keepLines w:val="0"/>
              <w:keepNext w:val="0"/>
              <w:pageBreakBefore w:val="0"/>
              <w:spacing w:beforeAutospacing="0" w:afterAutospacing="0" w:line="36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25</w:t>
            </w:r>
            <w:r/>
          </w:p>
        </w:tc>
      </w:tr>
    </w:tbl>
    <w:p>
      <w:pPr>
        <w:pStyle w:val="1119"/>
        <w:rPr>
          <w:rFonts w:hint="default"/>
          <w:color w:val="auto"/>
          <w:highlight w:val="none"/>
          <w:lang w:val="en-US" w:eastAsia="zh-CN"/>
        </w:rPr>
      </w:pPr>
      <w:r>
        <w:rPr>
          <w:rFonts w:hint="default"/>
          <w:color w:val="auto"/>
          <w:highlight w:val="none"/>
          <w:lang w:val="en-US" w:eastAsia="zh-CN"/>
        </w:rPr>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4.1.2</w:t>
      </w:r>
      <w:r>
        <w:rPr>
          <w:rStyle w:val="1001"/>
          <w:rFonts w:hint="eastAsia" w:ascii="宋体" w:hAnsi="宋体" w:eastAsia="宋体" w:cs="宋体"/>
          <w:color w:val="auto"/>
          <w:sz w:val="24"/>
          <w:szCs w:val="24"/>
          <w:highlight w:val="none"/>
          <w:lang w:val="en-US" w:eastAsia="zh-CN"/>
        </w:rPr>
        <w:t xml:space="preserve">材料规格要求：围隔外包新型橡胶材料，橡胶材料内所包裹的长度为1</w:t>
      </w:r>
      <w:r>
        <w:rPr>
          <w:rStyle w:val="1001"/>
          <w:rFonts w:hint="eastAsia" w:ascii="宋体" w:hAnsi="宋体" w:eastAsia="宋体" w:cs="宋体"/>
          <w:color w:val="auto"/>
          <w:sz w:val="24"/>
          <w:szCs w:val="24"/>
          <w:highlight w:val="none"/>
          <w:lang w:val="en-US" w:eastAsia="zh-CN"/>
        </w:rPr>
        <w:t xml:space="preserve">10cm、直径为35cm的圆柱体切角加密泡沫，分节填充，成为整个浮体。浮体超出水面高度为35cm左右。每条围隔约20米或25米，以便于制作、运输连接。上部浮体高度为80cm左右，下部用帘子布和加筋带缝制而成，帘子布下部用防盗配重链精工缝合而成，达到有效配重。用铁夹板与围隔连接，其长度视具水域深度而定。每隔5m留有固定的铁扣件，以供安装时使用。主体橡胶围隔在加工厂生产组装好，运到项目现场按既定方向安装；在铺设围隔两边各10m左右进行水下抛沉块固定（重量不小于2.3t），系绳索固定围隔（直径20mmPVC绳）。</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4.1.3</w:t>
      </w:r>
      <w:r>
        <w:rPr>
          <w:rStyle w:val="1001"/>
          <w:rFonts w:hint="eastAsia" w:ascii="宋体" w:hAnsi="宋体" w:eastAsia="宋体" w:cs="宋体"/>
          <w:color w:val="auto"/>
          <w:sz w:val="24"/>
          <w:szCs w:val="24"/>
          <w:highlight w:val="none"/>
          <w:lang w:val="en-US" w:eastAsia="zh-CN"/>
        </w:rPr>
        <w:t xml:space="preserve">围隔制作、安装：橡胶围隔的安装设计采用最新综合导流引藻技术，沿一级保护区界牌桩布置，将蓝藻控制在外围，挡藻围隔设2 个口门，方便蓝藻打捞船等船只进出。橡胶围隔上部浮体部分由两层橡胶经过加热、磨砂、压胶粘连而成，下部帘子布与上部采用铁板连接，下面用链条做配重，其结构下图所示。</w:t>
      </w:r>
      <w:r/>
    </w:p>
    <w:p>
      <w:pPr>
        <w:pStyle w:val="1119"/>
        <w:ind w:firstLine="482"/>
        <w:jc w:val="left"/>
        <w:spacing w:line="24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mc:AlternateContent>
          <mc:Choice Requires="wpg">
            <w:drawing>
              <wp:inline xmlns:wp="http://schemas.openxmlformats.org/drawingml/2006/wordprocessingDrawing" distT="0" distB="0" distL="0" distR="0">
                <wp:extent cx="5274310" cy="1680210"/>
                <wp:effectExtent l="0" t="0" r="2540" b="15240"/>
                <wp:docPr id="9" name="图片 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7"/>
                        <pic:cNvPicPr>
                          <a:picLocks noChangeAspect="1"/>
                        </pic:cNvPicPr>
                        <pic:nvPr/>
                      </pic:nvPicPr>
                      <pic:blipFill>
                        <a:blip r:embed="rId21"/>
                        <a:stretch/>
                      </pic:blipFill>
                      <pic:spPr bwMode="auto">
                        <a:xfrm>
                          <a:off x="0" y="0"/>
                          <a:ext cx="5274310" cy="168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3pt;height:132.3pt;mso-wrap-distance-left:0.0pt;mso-wrap-distance-top:0.0pt;mso-wrap-distance-right:0.0pt;mso-wrap-distance-bottom:0.0pt;" stroked="false">
                <v:path textboxrect="0,0,0,0"/>
                <v:imagedata r:id="rId21" o:title=""/>
              </v:shape>
            </w:pict>
          </mc:Fallback>
        </mc:AlternateContent>
      </w:r>
      <w:r/>
    </w:p>
    <w:p>
      <w:pPr>
        <w:pStyle w:val="1119"/>
        <w:ind w:firstLine="482"/>
        <w:jc w:val="center"/>
        <w:spacing w:line="44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图4.1 挡藻围隔结构图</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cs="宋体"/>
          <w:color w:val="auto"/>
          <w:sz w:val="24"/>
          <w:szCs w:val="24"/>
          <w:highlight w:val="none"/>
          <w:lang w:val="en-US" w:eastAsia="zh-CN"/>
        </w:rPr>
        <w:t xml:space="preserve">▲4.1.4</w:t>
      </w:r>
      <w:r>
        <w:rPr>
          <w:rStyle w:val="1001"/>
          <w:rFonts w:hint="default" w:ascii="宋体" w:hAnsi="宋体" w:eastAsia="宋体" w:cs="宋体"/>
          <w:color w:val="auto"/>
          <w:sz w:val="24"/>
          <w:szCs w:val="24"/>
          <w:highlight w:val="none"/>
          <w:lang w:val="en-US" w:eastAsia="zh-CN"/>
        </w:rPr>
        <w:t xml:space="preserve">新型橡胶材料：采用高强度耐磨耐腐特种橡胶≥0.8m×3mm，硬度（邵尔 A）≥64 度，径向拉伸强度≥400N/mm，纬向拉伸强度≥150N/mm；定负荷伸长率（80N/mm 负荷下）≤10%，粘合强度≥5.0N/mm。 </w:t>
      </w:r>
      <w:r>
        <w:rPr>
          <w:rStyle w:val="1001"/>
          <w:rFonts w:hint="eastAsia" w:ascii="宋体" w:hAnsi="宋体" w:cs="宋体"/>
          <w:color w:val="auto"/>
          <w:sz w:val="24"/>
          <w:szCs w:val="24"/>
          <w:highlight w:val="none"/>
          <w:lang w:val="en-US" w:eastAsia="zh-CN"/>
        </w:rPr>
        <w:t xml:space="preserve">(提供CMA认证的第三方检测报告）</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4.1.5</w:t>
      </w:r>
      <w:r>
        <w:rPr>
          <w:rStyle w:val="1001"/>
          <w:rFonts w:hint="default" w:ascii="宋体" w:hAnsi="宋体" w:eastAsia="宋体" w:cs="宋体"/>
          <w:color w:val="auto"/>
          <w:sz w:val="24"/>
          <w:szCs w:val="24"/>
          <w:highlight w:val="none"/>
          <w:lang w:val="en-US" w:eastAsia="zh-CN"/>
        </w:rPr>
        <w:t xml:space="preserve">高密度浮体：尺寸≥1.1m×350mm，浮体能抗紫外辐射，三年内不发生老化现象。</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cs="宋体"/>
          <w:color w:val="auto"/>
          <w:sz w:val="24"/>
          <w:szCs w:val="24"/>
          <w:highlight w:val="none"/>
          <w:lang w:val="en-US" w:eastAsia="zh-CN"/>
        </w:rPr>
        <w:t xml:space="preserve">▲4.1.6</w:t>
      </w:r>
      <w:r>
        <w:rPr>
          <w:rStyle w:val="1001"/>
          <w:rFonts w:hint="default" w:ascii="宋体" w:hAnsi="宋体" w:eastAsia="宋体" w:cs="宋体"/>
          <w:color w:val="auto"/>
          <w:sz w:val="24"/>
          <w:szCs w:val="24"/>
          <w:highlight w:val="none"/>
          <w:lang w:val="en-US" w:eastAsia="zh-CN"/>
        </w:rPr>
        <w:t xml:space="preserve">高密度泡沫（浮体填充材料）密度≥18kg/m3，吸水率≤3.0%，厚度偏差≤1.5mm，长度偏差±2mm，宽偏差±1mm。</w:t>
      </w:r>
      <w:r>
        <w:rPr>
          <w:rStyle w:val="1001"/>
          <w:rFonts w:hint="eastAsia" w:ascii="宋体" w:hAnsi="宋体" w:cs="宋体"/>
          <w:color w:val="auto"/>
          <w:sz w:val="24"/>
          <w:szCs w:val="24"/>
          <w:highlight w:val="none"/>
          <w:lang w:val="en-US" w:eastAsia="zh-CN"/>
        </w:rPr>
        <w:t xml:space="preserve">(提供CMA认证的第三方检测报告）</w:t>
      </w:r>
      <w:r>
        <w:rPr>
          <w:rStyle w:val="1001"/>
          <w:rFonts w:hint="default" w:ascii="宋体" w:hAnsi="宋体" w:eastAsia="宋体" w:cs="宋体"/>
          <w:color w:val="auto"/>
          <w:sz w:val="24"/>
          <w:szCs w:val="24"/>
          <w:highlight w:val="none"/>
          <w:lang w:val="en-US" w:eastAsia="zh-CN"/>
        </w:rPr>
        <w:t xml:space="preserve">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cs="宋体"/>
          <w:color w:val="auto"/>
          <w:sz w:val="24"/>
          <w:szCs w:val="24"/>
          <w:highlight w:val="none"/>
          <w:lang w:val="en-US" w:eastAsia="zh-CN"/>
        </w:rPr>
        <w:t xml:space="preserve">▲4.1.7</w:t>
      </w:r>
      <w:r>
        <w:rPr>
          <w:rStyle w:val="1001"/>
          <w:rFonts w:hint="default" w:ascii="宋体" w:hAnsi="宋体" w:eastAsia="宋体" w:cs="宋体"/>
          <w:color w:val="auto"/>
          <w:sz w:val="24"/>
          <w:szCs w:val="24"/>
          <w:highlight w:val="none"/>
          <w:lang w:val="en-US" w:eastAsia="zh-CN"/>
        </w:rPr>
        <w:t xml:space="preserve">帘子布：高度 1.5m，单位面积质量≥400g/m2，单位面积质量≥400g/m2，纵向断裂强力≥70KN/m，纬向断裂强力≥50KN/m，纵向断裂伸长率≤35%，横向断裂伸长率≤30%，CBR 顶破强度≥7KN，垂直渗透系数（1.0~9.9）*（10-2~10-5），有效孔径 0.07~0.50mm。</w:t>
      </w:r>
      <w:r>
        <w:rPr>
          <w:rStyle w:val="1001"/>
          <w:rFonts w:hint="eastAsia" w:ascii="宋体" w:hAnsi="宋体" w:cs="宋体"/>
          <w:color w:val="auto"/>
          <w:sz w:val="24"/>
          <w:szCs w:val="24"/>
          <w:highlight w:val="none"/>
          <w:lang w:val="en-US" w:eastAsia="zh-CN"/>
        </w:rPr>
        <w:t xml:space="preserve">(提供CMA认证的第三方检测报告）</w:t>
      </w:r>
      <w:r>
        <w:rPr>
          <w:rStyle w:val="1001"/>
          <w:rFonts w:hint="default" w:ascii="宋体" w:hAnsi="宋体" w:eastAsia="宋体" w:cs="宋体"/>
          <w:color w:val="auto"/>
          <w:sz w:val="24"/>
          <w:szCs w:val="24"/>
          <w:highlight w:val="none"/>
          <w:lang w:val="en-US" w:eastAsia="zh-CN"/>
        </w:rPr>
        <w:t xml:space="preserve">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4.1.8</w:t>
      </w:r>
      <w:r>
        <w:rPr>
          <w:rStyle w:val="1001"/>
          <w:rFonts w:hint="default" w:ascii="宋体" w:hAnsi="宋体" w:eastAsia="宋体" w:cs="宋体"/>
          <w:color w:val="auto"/>
          <w:sz w:val="24"/>
          <w:szCs w:val="24"/>
          <w:highlight w:val="none"/>
          <w:lang w:val="en-US" w:eastAsia="zh-CN"/>
        </w:rPr>
        <w:t xml:space="preserve">帘子配重链：配重铁链直径≥φ10mm，做好防腐措施，围隔每 5 米配备安装吊环用来固定安装。</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4.1.9</w:t>
      </w:r>
      <w:r>
        <w:rPr>
          <w:rStyle w:val="1001"/>
          <w:rFonts w:hint="default" w:ascii="宋体" w:hAnsi="宋体" w:eastAsia="宋体" w:cs="宋体"/>
          <w:color w:val="auto"/>
          <w:sz w:val="24"/>
          <w:szCs w:val="24"/>
          <w:highlight w:val="none"/>
          <w:lang w:val="en-US" w:eastAsia="zh-CN"/>
        </w:rPr>
        <w:t xml:space="preserve">帘子布 PVC 锚绳：直径≥20mm，断裂强力≥25kN。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4.1.10</w:t>
      </w:r>
      <w:r>
        <w:rPr>
          <w:rStyle w:val="1001"/>
          <w:rFonts w:hint="default" w:ascii="宋体" w:hAnsi="宋体" w:eastAsia="宋体" w:cs="宋体"/>
          <w:color w:val="auto"/>
          <w:sz w:val="24"/>
          <w:szCs w:val="24"/>
          <w:highlight w:val="none"/>
          <w:lang w:val="en-US" w:eastAsia="zh-CN"/>
        </w:rPr>
        <w:t xml:space="preserve">围隔上带有桔黄色的警示标示，在防护的同时起到警示的作用。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4.1.11</w:t>
      </w:r>
      <w:r>
        <w:rPr>
          <w:rStyle w:val="1001"/>
          <w:rFonts w:hint="default" w:ascii="宋体" w:hAnsi="宋体" w:eastAsia="宋体" w:cs="宋体"/>
          <w:color w:val="auto"/>
          <w:sz w:val="24"/>
          <w:szCs w:val="24"/>
          <w:highlight w:val="none"/>
          <w:lang w:val="en-US" w:eastAsia="zh-CN"/>
        </w:rPr>
        <w:t xml:space="preserve">围隔高度可随水位变化而变化，正常情况使用寿命不少于3 年。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4.1.12</w:t>
      </w:r>
      <w:r>
        <w:rPr>
          <w:rStyle w:val="1001"/>
          <w:rFonts w:hint="default" w:ascii="宋体" w:hAnsi="宋体" w:eastAsia="宋体" w:cs="宋体"/>
          <w:color w:val="auto"/>
          <w:sz w:val="24"/>
          <w:szCs w:val="24"/>
          <w:highlight w:val="none"/>
          <w:lang w:val="en-US" w:eastAsia="zh-CN"/>
        </w:rPr>
        <w:t xml:space="preserve">项目中的全部材料均应无毒无害，不对成子湖的水质造成影响。 </w:t>
      </w:r>
      <w:r/>
    </w:p>
    <w:p>
      <w:pPr>
        <w:pStyle w:val="1119"/>
        <w:ind w:firstLine="482"/>
        <w:jc w:val="left"/>
        <w:spacing w:line="44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1119"/>
        <w:ind w:firstLine="482"/>
        <w:jc w:val="left"/>
        <w:spacing w:line="44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4.2结构材料要求</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cs="宋体"/>
          <w:color w:val="auto"/>
          <w:sz w:val="24"/>
          <w:szCs w:val="24"/>
          <w:highlight w:val="none"/>
          <w:lang w:val="en-US" w:eastAsia="zh-CN"/>
        </w:rPr>
        <w:t xml:space="preserve">4.2.1</w:t>
      </w:r>
      <w:r>
        <w:rPr>
          <w:rStyle w:val="1001"/>
          <w:rFonts w:hint="default" w:ascii="宋体" w:hAnsi="宋体" w:eastAsia="宋体" w:cs="宋体"/>
          <w:color w:val="auto"/>
          <w:sz w:val="24"/>
          <w:szCs w:val="24"/>
          <w:highlight w:val="none"/>
          <w:lang w:val="en-US" w:eastAsia="zh-CN"/>
        </w:rPr>
        <w:t xml:space="preserve">混凝土：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（1）</w:t>
      </w:r>
      <w:r>
        <w:rPr>
          <w:rStyle w:val="1001"/>
          <w:rFonts w:hint="default" w:ascii="宋体" w:hAnsi="宋体" w:eastAsia="宋体" w:cs="宋体"/>
          <w:color w:val="auto"/>
          <w:sz w:val="24"/>
          <w:szCs w:val="24"/>
          <w:highlight w:val="none"/>
          <w:lang w:val="en-US" w:eastAsia="zh-CN"/>
        </w:rPr>
        <w:t xml:space="preserve">除图中另有说明外，混凝土强度等级为 C30，混凝土强度标准值应具有不小于 95%的保证率。</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default" w:ascii="宋体" w:hAnsi="宋体" w:eastAsia="宋体" w:cs="宋体"/>
          <w:color w:val="auto"/>
          <w:sz w:val="24"/>
          <w:szCs w:val="24"/>
          <w:highlight w:val="none"/>
          <w:lang w:val="en-US" w:eastAsia="zh-CN"/>
        </w:rPr>
        <w:t xml:space="preserve">（2）混凝土中所用水泥的铝酸三钙含量不应大于 8%，水泥 3d的水化热宜小于 250kJ/kg，7d 的水化热宜小于 280kJ/kg。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default" w:ascii="宋体" w:hAnsi="宋体" w:eastAsia="宋体" w:cs="宋体"/>
          <w:color w:val="auto"/>
          <w:sz w:val="24"/>
          <w:szCs w:val="24"/>
          <w:highlight w:val="none"/>
          <w:lang w:val="en-US" w:eastAsia="zh-CN"/>
        </w:rPr>
        <w:t xml:space="preserve">（3）混凝土骨料应选择质地均匀坚硬，粒径和级配良好。粗骨料的最大粒径不应大于 25，且不得超过构件截面最小尺寸的 1/4，也不得超过钢筋最小净间距的 3/4。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default" w:ascii="宋体" w:hAnsi="宋体" w:eastAsia="宋体" w:cs="宋体"/>
          <w:color w:val="auto"/>
          <w:sz w:val="24"/>
          <w:szCs w:val="24"/>
          <w:highlight w:val="none"/>
          <w:lang w:val="en-US" w:eastAsia="zh-CN"/>
        </w:rPr>
        <w:t xml:space="preserve">（4）结构混凝土用砂要求：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混凝土用砂的坚固性指标不大于 10%；抗渗混凝土用砂的坚固性指标不大于 8%，砂的含泥量不大于 3.0%，泥块含量不大于 1.0%。若采用机制砂，应按石粉的亚甲蓝值指标和石粉的流动性比指标控制石粉含量。钢筋混凝土用砂的水溶性氯离子最大含量不大于 0.03%。细骨料选用细度模数在 2.3~3.0 的中粗砂。砂的含泥量不大于 3%。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default" w:ascii="宋体" w:hAnsi="宋体" w:eastAsia="宋体" w:cs="宋体"/>
          <w:color w:val="auto"/>
          <w:sz w:val="24"/>
          <w:szCs w:val="24"/>
          <w:highlight w:val="none"/>
          <w:lang w:val="en-US" w:eastAsia="zh-CN"/>
        </w:rPr>
        <w:t xml:space="preserve">（5）结构混凝土用粗骨料的坚固性指标不大于 12%；抗渗混凝土粗骨料的坚固性指标不大于 8%，含泥量不大于 1.0%，泥块含量不大于 0.5%。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default" w:ascii="宋体" w:hAnsi="宋体" w:eastAsia="宋体" w:cs="宋体"/>
          <w:color w:val="auto"/>
          <w:sz w:val="24"/>
          <w:szCs w:val="24"/>
          <w:highlight w:val="none"/>
          <w:lang w:val="en-US" w:eastAsia="zh-CN"/>
        </w:rPr>
        <w:t xml:space="preserve">（6）混凝土骨料质量应符合《普通混凝土用砂、石质量及检验方法标准》（JGJ 52-2006）及《混凝土结构通用规范》（GB 55008-2021）第 3.1.1~3.1.8 的要求。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4.2.2</w:t>
      </w:r>
      <w:r>
        <w:rPr>
          <w:rStyle w:val="1001"/>
          <w:rFonts w:hint="default" w:ascii="宋体" w:hAnsi="宋体" w:eastAsia="宋体" w:cs="宋体"/>
          <w:color w:val="auto"/>
          <w:sz w:val="24"/>
          <w:szCs w:val="24"/>
          <w:highlight w:val="none"/>
          <w:lang w:val="en-US" w:eastAsia="zh-CN"/>
        </w:rPr>
        <w:t xml:space="preserve">钢筋： HPB300 级钢和 HRB400E 级钢。钢筋的强度标准值应具有不小于95%的保证率。钢筋净保护层厚度为 40。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eastAsia="宋体" w:cs="宋体"/>
          <w:color w:val="auto"/>
          <w:sz w:val="24"/>
          <w:szCs w:val="24"/>
          <w:highlight w:val="none"/>
          <w:lang w:val="en-US" w:eastAsia="zh-CN"/>
        </w:rPr>
        <w:t xml:space="preserve">4.2.3</w:t>
      </w:r>
      <w:r>
        <w:rPr>
          <w:rStyle w:val="1001"/>
          <w:rFonts w:hint="default" w:ascii="宋体" w:hAnsi="宋体" w:eastAsia="宋体" w:cs="宋体"/>
          <w:color w:val="auto"/>
          <w:sz w:val="24"/>
          <w:szCs w:val="24"/>
          <w:highlight w:val="none"/>
          <w:lang w:val="en-US" w:eastAsia="zh-CN"/>
        </w:rPr>
        <w:t xml:space="preserve">挡藻围隔主要材料技术指标： </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挡藻围隔由上部浮体+下部帘子布+底部配重链条组成，性能参数详见挡藻围隔设置要求，工作期间帘子布应竖直立于水中以拦截蓝藻，</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挡藻围隔的悬浮自稳性及拉结绳索长度由产品厂家根据产品各组成部分负责设计。</w:t>
      </w:r>
      <w:r/>
    </w:p>
    <w:p>
      <w:pPr>
        <w:pStyle w:val="1119"/>
        <w:ind w:left="0"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聚乙烯渔用绳索≥20mm直径，型号A型，断裂强力≥35.1kN，执行标准《渔用绳索通用技术条件》（GB/T 18674－2018）。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4.2.4</w:t>
      </w:r>
      <w:r>
        <w:rPr>
          <w:rStyle w:val="1001"/>
          <w:rFonts w:hint="default" w:ascii="宋体" w:hAnsi="宋体" w:eastAsia="宋体" w:cs="宋体"/>
          <w:color w:val="auto"/>
          <w:sz w:val="24"/>
          <w:szCs w:val="24"/>
          <w:highlight w:val="none"/>
          <w:lang w:val="en-US" w:eastAsia="zh-CN"/>
        </w:rPr>
        <w:t xml:space="preserve">围隔上带有桔黄色的警示标示，在防护的同时起到警示的作用。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cs="宋体"/>
          <w:color w:val="auto"/>
          <w:sz w:val="24"/>
          <w:szCs w:val="24"/>
          <w:highlight w:val="none"/>
          <w:lang w:val="en-US" w:eastAsia="zh-CN"/>
        </w:rPr>
        <w:t xml:space="preserve">4.2.5</w:t>
      </w:r>
      <w:r>
        <w:rPr>
          <w:rStyle w:val="1001"/>
          <w:rFonts w:hint="default" w:ascii="宋体" w:hAnsi="宋体" w:eastAsia="宋体" w:cs="宋体"/>
          <w:color w:val="auto"/>
          <w:sz w:val="24"/>
          <w:szCs w:val="24"/>
          <w:highlight w:val="none"/>
          <w:lang w:val="en-US" w:eastAsia="zh-CN"/>
        </w:rPr>
        <w:t xml:space="preserve">围隔正常情况使用寿命不少于 3 年。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Style w:val="1001"/>
          <w:rFonts w:hint="eastAsia" w:ascii="宋体" w:hAnsi="宋体" w:eastAsia="宋体" w:cs="宋体"/>
          <w:color w:val="auto"/>
          <w:sz w:val="24"/>
          <w:szCs w:val="24"/>
          <w:highlight w:val="none"/>
          <w:lang w:val="en-US" w:eastAsia="zh-CN"/>
        </w:rPr>
        <w:t xml:space="preserve">4.2.6</w:t>
      </w:r>
      <w:r>
        <w:rPr>
          <w:rStyle w:val="1001"/>
          <w:rFonts w:hint="default" w:ascii="宋体" w:hAnsi="宋体" w:eastAsia="宋体" w:cs="宋体"/>
          <w:color w:val="auto"/>
          <w:sz w:val="24"/>
          <w:szCs w:val="24"/>
          <w:highlight w:val="none"/>
          <w:lang w:val="en-US" w:eastAsia="zh-CN"/>
        </w:rPr>
        <w:t xml:space="preserve">全部材料均应无毒无害，不得对湖水水质造成影响。</w:t>
      </w:r>
      <w:r/>
    </w:p>
    <w:p>
      <w:pPr>
        <w:pStyle w:val="1119"/>
        <w:ind w:right="0" w:firstLine="482"/>
        <w:jc w:val="left"/>
        <w:keepLines w:val="0"/>
        <w:keepNext w:val="0"/>
        <w:pageBreakBefore w:val="0"/>
        <w:spacing w:beforeAutospacing="0" w:afterAutospacing="0" w:line="440" w:lineRule="exact"/>
        <w:widowControl w:val="off"/>
        <w:rPr>
          <w:rStyle w:val="1001"/>
          <w:rFonts w:hint="eastAsia" w:ascii="宋体" w:hAnsi="宋体" w:eastAsia="宋体" w:cs="宋体"/>
          <w:b/>
          <w:bCs/>
          <w:color w:val="auto"/>
          <w:sz w:val="24"/>
          <w:szCs w:val="24"/>
          <w:highlight w:val="none"/>
          <w:lang w:val="en-US" w:eastAsia="zh-CN"/>
        </w:rPr>
      </w:pPr>
      <w:r>
        <w:rPr>
          <w:rStyle w:val="1001"/>
          <w:rFonts w:hint="eastAsia" w:ascii="宋体" w:hAnsi="宋体" w:cs="宋体"/>
          <w:b/>
          <w:bCs/>
          <w:color w:val="auto"/>
          <w:sz w:val="24"/>
          <w:szCs w:val="24"/>
          <w:highlight w:val="none"/>
          <w:lang w:val="en-US" w:eastAsia="zh-CN"/>
        </w:rPr>
        <w:t xml:space="preserve">五、</w:t>
      </w:r>
      <w:r>
        <w:rPr>
          <w:rStyle w:val="1001"/>
          <w:rFonts w:hint="eastAsia" w:ascii="宋体" w:hAnsi="宋体" w:eastAsia="宋体" w:cs="宋体"/>
          <w:b/>
          <w:bCs/>
          <w:color w:val="auto"/>
          <w:sz w:val="24"/>
          <w:szCs w:val="24"/>
          <w:highlight w:val="none"/>
          <w:lang w:val="en-US" w:eastAsia="zh-CN"/>
        </w:rPr>
        <w:t xml:space="preserve">施工顺序要求</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1.准备工作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（1）根据项目地点，每段进行定位插毛竹放样，保证定位准确；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（2）沿放样的位置，左右间隔进行混凝土预制块布置，系好绳索，绳索应系牢固。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2.围隔拼接：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（1）安装人员将围隔卸货至临时用地；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（2）安装人员将围隔每条用夹板和螺丝拼接牢固;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（3）围隔安装于现状界桩内圈。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3.围隔的安装：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（1）安装人员用托运船将拼接好的围隔，沿放样的位置，托运至指定地点；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（2）安装人员在围隔的预留吊环位置，用绳索与水下混凝土预制块连接；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（3）安装人员对安装好的围隔进行放布；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（4）挡藻围隔围圈共设置 2 处进出门，定位桩采用 D426*1</w:t>
      </w:r>
      <w:r>
        <w:rPr>
          <w:rStyle w:val="1001"/>
          <w:rFonts w:hint="default" w:ascii="宋体" w:hAnsi="宋体" w:eastAsia="宋体" w:cs="宋体"/>
          <w:color w:val="auto"/>
          <w:sz w:val="24"/>
          <w:szCs w:val="24"/>
          <w:highlight w:val="none"/>
          <w:lang w:val="en-US" w:eastAsia="zh-CN"/>
        </w:rPr>
        <w:t xml:space="preserve">0 钢管桩，桩长 15 米，内灌 C25 素砼，共 6 根，钢管桩表面采用喷射除锈工艺进行基体表面预处理，预处理质量应满足《涂装前钢材表面锈蚀等级和防锈等级》（GB8923）要求，表面清洁度达 Sa2.5 级。表面须采用涂料防腐，选用 IPN8710-1G 涂料作底漆，IPN8710-3H 涂料作面漆，做法为二底三面。底漆实干后方可涂刷面漆. 钢构件表面涂层厚度不小于 500μm，焊缝处涂层厚度不小于 400μm。钢材表面应无油脂、浮灰、水渍、松动的铁锈，锈蚀厚度若大于 50μm，则应除去，然后涂刷底漆。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4.挡藻围隔防冰凌措施：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（1）在现状一级保护区界桩 13.50m、14.00m 两个标高位置，通过 2 条 d16 钢丝绳连接 10 根界桩，钢丝绳材料标准执行《重要用途钢丝绳》（GB 8918-2006），2 条钢丝绳之间设置一道钢丝网（镀锌防腐，镀层厚度≥215g/m2/），钢丝绳采用圆股钢丝绳 6x19S，AB 级镀锌防腐，抗拉强度 1570MPa，钢丝绳最小破断拉力 143kN。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（2）现状界桩中间增设三根预制方桩，桩尺寸 400x400，桩长 10米，共 27 根，桩顶标高 14.30m。 防冰凌措施安装于现状界桩外圈。</w:t>
      </w:r>
      <w:r/>
    </w:p>
    <w:p>
      <w:pPr>
        <w:pStyle w:val="1119"/>
        <w:ind w:right="0" w:firstLine="482"/>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cs="宋体"/>
          <w:b/>
          <w:bCs/>
          <w:color w:val="auto"/>
          <w:sz w:val="24"/>
          <w:szCs w:val="24"/>
          <w:highlight w:val="none"/>
          <w:lang w:val="en-US" w:eastAsia="zh-CN"/>
        </w:rPr>
        <w:t xml:space="preserve">六、</w:t>
      </w:r>
      <w:r>
        <w:rPr>
          <w:rStyle w:val="1001"/>
          <w:rFonts w:hint="default" w:ascii="宋体" w:hAnsi="宋体" w:eastAsia="宋体" w:cs="宋体"/>
          <w:b/>
          <w:bCs/>
          <w:color w:val="auto"/>
          <w:sz w:val="24"/>
          <w:szCs w:val="24"/>
          <w:highlight w:val="none"/>
          <w:lang w:val="en-US" w:eastAsia="zh-CN"/>
        </w:rPr>
        <w:t xml:space="preserve">桩基设计及施工要求</w:t>
      </w:r>
      <w:r>
        <w:rPr>
          <w:rStyle w:val="1001"/>
          <w:rFonts w:hint="default" w:ascii="宋体" w:hAnsi="宋体" w:eastAsia="宋体" w:cs="宋体"/>
          <w:color w:val="auto"/>
          <w:sz w:val="24"/>
          <w:szCs w:val="24"/>
          <w:highlight w:val="none"/>
          <w:lang w:val="en-US" w:eastAsia="zh-CN"/>
        </w:rPr>
        <w:t xml:space="preserve">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 1.本工程桩型采用预制钢筋混凝土方桩。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default" w:ascii="宋体" w:hAnsi="宋体" w:eastAsia="宋体" w:cs="宋体"/>
          <w:color w:val="auto"/>
          <w:sz w:val="24"/>
          <w:szCs w:val="24"/>
          <w:highlight w:val="none"/>
          <w:lang w:val="en-US" w:eastAsia="zh-CN"/>
        </w:rPr>
        <w:t xml:space="preserve"> 2.桩基执行国家建筑标准设计图集《预制混凝土方桩图集》（20G361），桩的预制、施工和检验要求按图集相关规定进行。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cs="宋体"/>
          <w:color w:val="auto"/>
          <w:sz w:val="24"/>
          <w:szCs w:val="24"/>
          <w:highlight w:val="none"/>
          <w:lang w:val="en-US" w:eastAsia="zh-CN"/>
        </w:rPr>
        <w:t xml:space="preserve">3</w:t>
      </w:r>
      <w:r>
        <w:rPr>
          <w:rStyle w:val="1001"/>
          <w:rFonts w:hint="default" w:ascii="宋体" w:hAnsi="宋体" w:eastAsia="宋体" w:cs="宋体"/>
          <w:color w:val="auto"/>
          <w:sz w:val="24"/>
          <w:szCs w:val="24"/>
          <w:highlight w:val="none"/>
          <w:lang w:val="en-US" w:eastAsia="zh-CN"/>
        </w:rPr>
        <w:t xml:space="preserve">.桩身完整性检测应按《建筑基桩检测技术规范》（J 256-2014）及《建筑地基基础检测规程》（DB 32/T 3916-2020）中的相应规定执行。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cs="宋体"/>
          <w:color w:val="auto"/>
          <w:sz w:val="24"/>
          <w:szCs w:val="24"/>
          <w:highlight w:val="none"/>
          <w:lang w:val="en-US" w:eastAsia="zh-CN"/>
        </w:rPr>
        <w:t xml:space="preserve">4</w:t>
      </w:r>
      <w:r>
        <w:rPr>
          <w:rStyle w:val="1001"/>
          <w:rFonts w:hint="default" w:ascii="宋体" w:hAnsi="宋体" w:eastAsia="宋体" w:cs="宋体"/>
          <w:color w:val="auto"/>
          <w:sz w:val="24"/>
          <w:szCs w:val="24"/>
          <w:highlight w:val="none"/>
          <w:lang w:val="en-US" w:eastAsia="zh-CN"/>
        </w:rPr>
        <w:t xml:space="preserve">.对在施工过程中出现异常情况的桩，需要时可按各相关方协商意见增加检测要求。 </w:t>
      </w:r>
      <w:r/>
    </w:p>
    <w:p>
      <w:pPr>
        <w:pStyle w:val="1119"/>
        <w:ind w:right="0" w:firstLine="480"/>
        <w:jc w:val="left"/>
        <w:keepLines w:val="0"/>
        <w:keepNext w:val="0"/>
        <w:pageBreakBefore w:val="0"/>
        <w:spacing w:beforeAutospacing="0" w:afterAutospacing="0" w:line="440" w:lineRule="exact"/>
        <w:widowControl w:val="off"/>
        <w:rPr>
          <w:rStyle w:val="1001"/>
          <w:rFonts w:hint="default" w:ascii="宋体" w:hAnsi="宋体" w:eastAsia="宋体" w:cs="宋体"/>
          <w:color w:val="auto"/>
          <w:sz w:val="24"/>
          <w:szCs w:val="24"/>
          <w:highlight w:val="none"/>
          <w:lang w:val="en-US" w:eastAsia="zh-CN"/>
        </w:rPr>
      </w:pPr>
      <w:r>
        <w:rPr>
          <w:rStyle w:val="1001"/>
          <w:rFonts w:hint="eastAsia" w:ascii="宋体" w:hAnsi="宋体" w:cs="宋体"/>
          <w:color w:val="auto"/>
          <w:sz w:val="24"/>
          <w:szCs w:val="24"/>
          <w:highlight w:val="none"/>
          <w:lang w:val="en-US" w:eastAsia="zh-CN"/>
        </w:rPr>
        <w:t xml:space="preserve">5</w:t>
      </w:r>
      <w:r>
        <w:rPr>
          <w:rStyle w:val="1001"/>
          <w:rFonts w:hint="default" w:ascii="宋体" w:hAnsi="宋体" w:eastAsia="宋体" w:cs="宋体"/>
          <w:color w:val="auto"/>
          <w:sz w:val="24"/>
          <w:szCs w:val="24"/>
          <w:highlight w:val="none"/>
          <w:lang w:val="en-US" w:eastAsia="zh-CN"/>
        </w:rPr>
        <w:t xml:space="preserve">.检测工作应由具备相应资质的检测单位进行。 </w:t>
      </w:r>
      <w:r/>
    </w:p>
    <w:p>
      <w:pPr>
        <w:pStyle w:val="1119"/>
        <w:ind w:right="0" w:firstLine="480"/>
        <w:jc w:val="left"/>
        <w:keepLines w:val="0"/>
        <w:keepNext w:val="0"/>
        <w:pageBreakBefore w:val="0"/>
        <w:spacing w:beforeAutospacing="0" w:afterAutospacing="0" w:line="440" w:lineRule="exact"/>
        <w:widowControl w:val="off"/>
        <w:rPr>
          <w:rFonts w:hint="eastAsia" w:ascii="宋体" w:hAnsi="宋体" w:cs="宋体"/>
          <w:b/>
          <w:bCs/>
          <w:color w:val="auto"/>
          <w:sz w:val="24"/>
          <w:szCs w:val="24"/>
          <w:highlight w:val="none"/>
          <w:lang w:val="en-US" w:eastAsia="zh-CN"/>
        </w:rPr>
      </w:pPr>
      <w:r>
        <w:rPr>
          <w:rStyle w:val="1001"/>
          <w:rFonts w:hint="eastAsia" w:ascii="宋体" w:hAnsi="宋体" w:cs="宋体"/>
          <w:color w:val="auto"/>
          <w:sz w:val="24"/>
          <w:szCs w:val="24"/>
          <w:highlight w:val="none"/>
          <w:lang w:val="en-US" w:eastAsia="zh-CN"/>
        </w:rPr>
        <w:t xml:space="preserve">6</w:t>
      </w:r>
      <w:r>
        <w:rPr>
          <w:rStyle w:val="1001"/>
          <w:rFonts w:hint="default" w:ascii="宋体" w:hAnsi="宋体" w:eastAsia="宋体" w:cs="宋体"/>
          <w:color w:val="auto"/>
          <w:sz w:val="24"/>
          <w:szCs w:val="24"/>
          <w:highlight w:val="none"/>
          <w:lang w:val="en-US" w:eastAsia="zh-CN"/>
        </w:rPr>
        <w:t xml:space="preserve">.桩基检测合格后方可进行下一步施工。</w:t>
      </w:r>
      <w:r/>
    </w:p>
    <w:p>
      <w:pPr>
        <w:pStyle w:val="1119"/>
        <w:ind w:firstLine="482"/>
        <w:jc w:val="left"/>
        <w:spacing w:line="440" w:lineRule="exact"/>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lang w:eastAsia="zh-CN"/>
        </w:rPr>
        <w:t xml:space="preserve">质量保证 </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1、 建设期的质量保证 </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1.1 货物达不到招标文件质量和规格要求的，采购人有权解除合同，所有责任由中标人承担。 </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1.2 中标人必须严格按照合同约定期限要求将货物全部交付到指定地点，完成项目所有建设内容。 </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1.3 为确保项目高质量建设，投标人应制定有关建设期间的质量保证计划，包括货物质量保证、技术人员及管理等。 </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2、供货时限要求 </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2.1 投标人应制订明确的合同交货进度表。 </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2.2 提供详细的安装实施方案和进度计划，明确管理与技术人员职责，强调安装时效性。</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3、验收办法 </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3.1 货物到达现场后，投标人和采购人（或委托的监理方）共同打开包装验货检查货物数量。投标人应提供详细装箱单据。如果货物质量或技术规格与合同不符，或货物有明显损坏，招标人有权提出索赔。只有经安装并且技术性能达到本招标文件所述的技术要求后，招标人才能接受全部货物。</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3.2项目整体完工，中标人向采购人提交项目验收技术资料以及验收申请单，采购人收到申请后3个工作日内组织验收且验收无问题后签署验收单。</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3.3项目验收由采购方组织有关专家等人员按照现行相关管理规定、招投标文件要求及合同内容进行验收。 </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3.4如有必要，采购人邀请参加第三方专业机构或专家参与验收，相关意见将作为验收书的参考资料。</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3.5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3.6验收合格的项目，采购人根据采购合同的约定及时向中标人支付合同款项。验收不合格的项目，采购人依法及时处理。采购合同的履行、违约责任和解决争议的方式等适用《民法典》。</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3.7若因中标人原因造成无法验收通过的，采购人将拒绝付款，并追究中标人的违约责任。</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3.8验收标准</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按照招标文件、投标文件及相关标准实施。有国家标准的应符合国家标准，无国家标准的应符合行业标准、地方标准或者其他标准、规范，并满足采购文件要求，同时服从采购人安排要求。</w:t>
      </w:r>
      <w:r/>
    </w:p>
    <w:p>
      <w:pPr>
        <w:pStyle w:val="1119"/>
        <w:ind w:left="0" w:right="0" w:firstLine="480"/>
        <w:jc w:val="left"/>
        <w:keepLines w:val="0"/>
        <w:keepNext w:val="0"/>
        <w:pageBreakBefore w:val="0"/>
        <w:spacing w:beforeAutospacing="0" w:afterAutospacing="0" w:line="440" w:lineRule="exact"/>
        <w:widowControl w:val="off"/>
        <w:rPr>
          <w:rStyle w:val="1001"/>
          <w:rFonts w:hint="eastAsia" w:ascii="宋体" w:hAnsi="宋体" w:eastAsia="宋体" w:cs="宋体"/>
          <w:color w:val="auto"/>
          <w:sz w:val="24"/>
          <w:szCs w:val="24"/>
          <w:highlight w:val="none"/>
          <w:lang w:val="en-US" w:eastAsia="zh-CN"/>
        </w:rPr>
      </w:pPr>
      <w:r>
        <w:rPr>
          <w:rStyle w:val="1001"/>
          <w:rFonts w:hint="eastAsia" w:ascii="宋体" w:hAnsi="宋体" w:eastAsia="宋体" w:cs="宋体"/>
          <w:color w:val="auto"/>
          <w:sz w:val="24"/>
          <w:szCs w:val="24"/>
          <w:highlight w:val="none"/>
          <w:lang w:val="en-US" w:eastAsia="zh-CN"/>
        </w:rPr>
        <w:t xml:space="preserve">3.9货物不满足招标文件要求的，采购人有权解除合同并追究中标人法律责任。</w:t>
      </w:r>
      <w:r/>
    </w:p>
    <w:p>
      <w:pPr>
        <w:pStyle w:val="1119"/>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八</w:t>
      </w:r>
      <w:r>
        <w:rPr>
          <w:rFonts w:ascii="宋体" w:hAnsi="宋体" w:cs="宋体"/>
          <w:b/>
          <w:bCs/>
          <w:color w:val="auto"/>
          <w:sz w:val="24"/>
          <w:highlight w:val="none"/>
        </w:rPr>
        <w:t xml:space="preserve">、售后服务</w:t>
      </w:r>
      <w:r>
        <w:rPr>
          <w:rFonts w:hint="eastAsia" w:ascii="宋体" w:hAnsi="宋体" w:cs="宋体"/>
          <w:b/>
          <w:bCs/>
          <w:color w:val="auto"/>
          <w:sz w:val="24"/>
          <w:highlight w:val="none"/>
          <w:lang w:val="en-US" w:eastAsia="zh-CN"/>
        </w:rPr>
        <w:t xml:space="preserve">要求</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ascii="宋体" w:hAnsi="宋体" w:cs="宋体"/>
          <w:color w:val="auto"/>
          <w:sz w:val="24"/>
          <w:highlight w:val="none"/>
        </w:rPr>
        <w:t xml:space="preserve">投标人针对本项目提供详细售后服务方案。</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ascii="宋体" w:hAnsi="宋体" w:cs="宋体"/>
          <w:color w:val="auto"/>
          <w:sz w:val="24"/>
          <w:highlight w:val="none"/>
        </w:rPr>
        <w:t xml:space="preserve">内容包含但不限于服务内容、详细</w:t>
      </w:r>
      <w:r>
        <w:rPr>
          <w:rFonts w:hint="eastAsia" w:ascii="宋体" w:hAnsi="宋体" w:cs="宋体"/>
          <w:color w:val="auto"/>
          <w:sz w:val="24"/>
          <w:highlight w:val="none"/>
          <w:lang w:val="en-US" w:eastAsia="zh-CN"/>
        </w:rPr>
        <w:t xml:space="preserve">售后</w:t>
      </w:r>
      <w:r>
        <w:rPr>
          <w:rFonts w:ascii="宋体" w:hAnsi="宋体" w:cs="宋体"/>
          <w:color w:val="auto"/>
          <w:sz w:val="24"/>
          <w:highlight w:val="none"/>
        </w:rPr>
        <w:t xml:space="preserve">服务方案、售后人员配备情况、响应时间，以及售后服务期满后主要产品、配件优惠方案等。</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ascii="宋体" w:hAnsi="宋体" w:cs="宋体"/>
          <w:color w:val="auto"/>
          <w:sz w:val="24"/>
          <w:highlight w:val="none"/>
        </w:rPr>
        <w:t xml:space="preserve">1.服务内容：本项目要求售后服务期：</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从验收合格之日起算起</w:t>
      </w:r>
      <w:r>
        <w:rPr>
          <w:rFonts w:ascii="宋体" w:hAnsi="宋体" w:cs="宋体"/>
          <w:color w:val="auto"/>
          <w:sz w:val="24"/>
          <w:highlight w:val="none"/>
        </w:rPr>
        <w:t xml:space="preserve">）。售后服务期内投标人对产品质量实行三包，</w:t>
      </w:r>
      <w:r>
        <w:rPr>
          <w:rFonts w:hint="eastAsia" w:ascii="宋体" w:hAnsi="宋体" w:cs="宋体"/>
          <w:color w:val="auto"/>
          <w:sz w:val="24"/>
          <w:highlight w:val="none"/>
        </w:rPr>
        <w:t xml:space="preserve">维护、</w:t>
      </w:r>
      <w:r>
        <w:rPr>
          <w:rFonts w:ascii="宋体" w:hAnsi="宋体" w:cs="宋体"/>
          <w:color w:val="auto"/>
          <w:sz w:val="24"/>
          <w:highlight w:val="none"/>
        </w:rPr>
        <w:t xml:space="preserve">维修、保养、替换故障部件等服务。因</w:t>
      </w:r>
      <w:r>
        <w:rPr>
          <w:rFonts w:hint="eastAsia" w:ascii="宋体" w:hAnsi="宋体" w:cs="宋体"/>
          <w:color w:val="auto"/>
          <w:sz w:val="24"/>
          <w:highlight w:val="none"/>
          <w:lang w:val="en-US" w:eastAsia="zh-CN"/>
        </w:rPr>
        <w:t xml:space="preserve">货物</w:t>
      </w:r>
      <w:r>
        <w:rPr>
          <w:rFonts w:ascii="宋体" w:hAnsi="宋体" w:cs="宋体"/>
          <w:color w:val="auto"/>
          <w:sz w:val="24"/>
          <w:highlight w:val="none"/>
        </w:rPr>
        <w:t xml:space="preserve">制造质量问题而引起的故障，投标人应在24小时内立即予以维修或更换，由此引起的一切费用由投标人承担。</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.响应时间：</w:t>
      </w:r>
      <w:r>
        <w:rPr>
          <w:rStyle w:val="1001"/>
          <w:rFonts w:hint="eastAsia" w:ascii="宋体" w:hAnsi="宋体" w:cs="宋体"/>
          <w:color w:val="auto"/>
          <w:sz w:val="24"/>
          <w:szCs w:val="24"/>
          <w:highlight w:val="none"/>
        </w:rPr>
        <w:t xml:space="preserve">售后服务期内，投标人应及时提供充足的技术服务。发生问题时，接到采购人通知30分钟内响应。出现故障时，一般问题 </w:t>
      </w:r>
      <w:r>
        <w:rPr>
          <w:rStyle w:val="1001"/>
          <w:rFonts w:hint="eastAsia" w:ascii="宋体" w:hAnsi="宋体" w:cs="宋体"/>
          <w:color w:val="auto"/>
          <w:sz w:val="24"/>
          <w:szCs w:val="24"/>
          <w:highlight w:val="none"/>
          <w:lang w:val="en-US"/>
        </w:rPr>
        <w:t xml:space="preserve">2</w:t>
      </w:r>
      <w:r>
        <w:rPr>
          <w:rStyle w:val="1001"/>
          <w:rFonts w:hint="eastAsia" w:ascii="宋体" w:hAnsi="宋体" w:cs="宋体"/>
          <w:color w:val="auto"/>
          <w:sz w:val="24"/>
          <w:szCs w:val="24"/>
          <w:highlight w:val="none"/>
        </w:rPr>
        <w:t xml:space="preserve">小时内电话支持；重点、难点问题 </w:t>
      </w:r>
      <w:r>
        <w:rPr>
          <w:rStyle w:val="1001"/>
          <w:rFonts w:hint="eastAsia" w:ascii="宋体" w:hAnsi="宋体" w:cs="宋体"/>
          <w:color w:val="auto"/>
          <w:sz w:val="24"/>
          <w:szCs w:val="24"/>
          <w:highlight w:val="none"/>
          <w:lang w:val="en-US"/>
        </w:rPr>
        <w:t xml:space="preserve">12</w:t>
      </w:r>
      <w:r>
        <w:rPr>
          <w:rStyle w:val="1001"/>
          <w:rFonts w:hint="eastAsia" w:ascii="宋体" w:hAnsi="宋体" w:cs="宋体"/>
          <w:color w:val="auto"/>
          <w:sz w:val="24"/>
          <w:szCs w:val="24"/>
          <w:highlight w:val="none"/>
        </w:rPr>
        <w:t xml:space="preserve">小时内到达现场维修，</w:t>
      </w:r>
      <w:r>
        <w:rPr>
          <w:rStyle w:val="1001"/>
          <w:rFonts w:hint="eastAsia" w:ascii="宋体" w:hAnsi="宋体" w:cs="宋体"/>
          <w:color w:val="auto"/>
          <w:sz w:val="24"/>
          <w:szCs w:val="24"/>
          <w:highlight w:val="none"/>
          <w:lang w:val="en-US"/>
        </w:rPr>
        <w:t xml:space="preserve">48</w:t>
      </w:r>
      <w:r>
        <w:rPr>
          <w:rStyle w:val="1001"/>
          <w:rFonts w:hint="eastAsia" w:ascii="宋体" w:hAnsi="宋体" w:cs="宋体"/>
          <w:color w:val="auto"/>
          <w:sz w:val="24"/>
          <w:szCs w:val="24"/>
          <w:highlight w:val="none"/>
        </w:rPr>
        <w:t xml:space="preserve"> 小时内解决问题。</w:t>
      </w:r>
      <w:r>
        <w:rPr>
          <w:rFonts w:ascii="宋体" w:hAnsi="宋体" w:cs="宋体"/>
          <w:color w:val="auto"/>
          <w:sz w:val="24"/>
          <w:highlight w:val="none"/>
        </w:rPr>
        <w:t xml:space="preserve">售后服务期过后，投标人仍有义务提供优惠的</w:t>
      </w:r>
      <w:r>
        <w:rPr>
          <w:rFonts w:hint="eastAsia" w:ascii="宋体" w:hAnsi="宋体" w:cs="宋体"/>
          <w:color w:val="auto"/>
          <w:sz w:val="24"/>
          <w:highlight w:val="none"/>
          <w:lang w:val="en-US" w:eastAsia="zh-CN"/>
        </w:rPr>
        <w:t xml:space="preserve">售后</w:t>
      </w:r>
      <w:r>
        <w:rPr>
          <w:rFonts w:ascii="宋体" w:hAnsi="宋体" w:cs="宋体"/>
          <w:color w:val="auto"/>
          <w:sz w:val="24"/>
          <w:highlight w:val="none"/>
        </w:rPr>
        <w:t xml:space="preserve">服务。</w:t>
      </w:r>
      <w:r/>
    </w:p>
    <w:p>
      <w:pPr>
        <w:pStyle w:val="1119"/>
        <w:ind w:left="0" w:right="0" w:firstLine="482"/>
        <w:jc w:val="left"/>
        <w:keepLines w:val="0"/>
        <w:keepNext w:val="0"/>
        <w:pageBreakBefore w:val="0"/>
        <w:spacing w:beforeAutospacing="0" w:afterAutospacing="0" w:line="440" w:lineRule="exact"/>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九</w:t>
      </w:r>
      <w:r>
        <w:rPr>
          <w:rFonts w:ascii="宋体" w:hAnsi="宋体" w:cs="宋体"/>
          <w:b/>
          <w:bCs/>
          <w:color w:val="auto"/>
          <w:sz w:val="24"/>
          <w:highlight w:val="none"/>
        </w:rPr>
        <w:t xml:space="preserve">、项目实施</w:t>
      </w:r>
      <w:r/>
    </w:p>
    <w:p>
      <w:pPr>
        <w:pStyle w:val="1119"/>
        <w:ind w:left="0" w:right="0" w:firstLine="480"/>
        <w:jc w:val="left"/>
        <w:keepLines w:val="0"/>
        <w:keepNext w:val="0"/>
        <w:pageBreakBefore w:val="0"/>
        <w:spacing w:beforeAutospacing="0" w:afterAutospacing="0" w:line="44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1、应急方案</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ascii="宋体" w:hAnsi="宋体" w:cs="宋体"/>
          <w:color w:val="auto"/>
          <w:sz w:val="24"/>
          <w:highlight w:val="none"/>
        </w:rPr>
        <w:t xml:space="preserve">投标人针对本项目提供详细的</w:t>
      </w:r>
      <w:r>
        <w:rPr>
          <w:rFonts w:hint="eastAsia" w:ascii="宋体" w:hAnsi="宋体" w:cs="宋体"/>
          <w:color w:val="auto"/>
          <w:sz w:val="24"/>
          <w:highlight w:val="none"/>
          <w:lang w:val="en-US" w:eastAsia="zh-CN"/>
        </w:rPr>
        <w:t xml:space="preserve">应急方案</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内容包括但不限于：应急响应、应急抢修，重大故障处理及水上作业安全保障等</w:t>
      </w:r>
      <w:r>
        <w:rPr>
          <w:rFonts w:ascii="宋体" w:hAnsi="宋体" w:cs="宋体"/>
          <w:color w:val="auto"/>
          <w:sz w:val="24"/>
          <w:highlight w:val="none"/>
        </w:rPr>
        <w:t xml:space="preserve">。</w:t>
      </w:r>
      <w:r/>
    </w:p>
    <w:p>
      <w:pPr>
        <w:pStyle w:val="1119"/>
        <w:ind w:left="0" w:right="0" w:firstLine="480"/>
        <w:jc w:val="left"/>
        <w:keepLines w:val="0"/>
        <w:keepNext w:val="0"/>
        <w:pageBreakBefore w:val="0"/>
        <w:spacing w:beforeAutospacing="0" w:afterAutospacing="0" w:line="440" w:lineRule="exact"/>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2、风险防范</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ascii="宋体" w:hAnsi="宋体" w:cs="宋体"/>
          <w:color w:val="auto"/>
          <w:sz w:val="24"/>
          <w:highlight w:val="none"/>
        </w:rPr>
        <w:t xml:space="preserve">投标人应提前考虑并做好风险预防、应对措施，以确保按期、保质保量的将本项目采购的所有产品在采购人要求的供货时间内送至采购人指定地点</w:t>
      </w:r>
      <w:r>
        <w:rPr>
          <w:rFonts w:hint="eastAsia" w:ascii="宋体" w:hAnsi="宋体" w:cs="宋体"/>
          <w:color w:val="auto"/>
          <w:sz w:val="24"/>
          <w:highlight w:val="none"/>
          <w:lang w:val="en-US" w:eastAsia="zh-CN"/>
        </w:rPr>
        <w:t xml:space="preserve">并安装</w:t>
      </w:r>
      <w:r>
        <w:rPr>
          <w:rFonts w:ascii="宋体" w:hAnsi="宋体" w:cs="宋体"/>
          <w:color w:val="auto"/>
          <w:sz w:val="24"/>
          <w:highlight w:val="none"/>
        </w:rPr>
        <w:t xml:space="preserve">等。</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3、安装施工</w:t>
      </w:r>
      <w:r>
        <w:rPr>
          <w:rFonts w:ascii="宋体" w:hAnsi="宋体" w:cs="宋体"/>
          <w:color w:val="auto"/>
          <w:sz w:val="24"/>
          <w:highlight w:val="none"/>
        </w:rPr>
        <w:t xml:space="preserve">方案</w:t>
      </w:r>
      <w:r/>
    </w:p>
    <w:p>
      <w:pPr>
        <w:pStyle w:val="1119"/>
        <w:ind w:left="0" w:right="0" w:firstLine="480"/>
        <w:jc w:val="left"/>
        <w:keepLines w:val="0"/>
        <w:keepNext w:val="0"/>
        <w:pageBreakBefore w:val="0"/>
        <w:spacing w:beforeAutospacing="0" w:afterAutospacing="0" w:line="440" w:lineRule="exact"/>
        <w:widowControl w:val="off"/>
        <w:rPr>
          <w:rFonts w:ascii="宋体" w:hAnsi="宋体" w:cs="宋体"/>
          <w:color w:val="auto"/>
          <w:sz w:val="24"/>
          <w:highlight w:val="none"/>
        </w:rPr>
      </w:pPr>
      <w:r>
        <w:rPr>
          <w:rFonts w:ascii="宋体" w:hAnsi="宋体" w:cs="宋体"/>
          <w:color w:val="auto"/>
          <w:sz w:val="24"/>
          <w:highlight w:val="none"/>
        </w:rPr>
        <w:t xml:space="preserve">投标人针对本项目提供详细的</w:t>
      </w:r>
      <w:r>
        <w:rPr>
          <w:rFonts w:hint="eastAsia" w:ascii="宋体" w:hAnsi="宋体" w:cs="宋体"/>
          <w:color w:val="auto"/>
          <w:sz w:val="24"/>
          <w:highlight w:val="none"/>
          <w:lang w:val="en-US" w:eastAsia="zh-CN"/>
        </w:rPr>
        <w:t xml:space="preserve">安装施工</w:t>
      </w:r>
      <w:r>
        <w:rPr>
          <w:rFonts w:ascii="宋体" w:hAnsi="宋体" w:cs="宋体"/>
          <w:color w:val="auto"/>
          <w:sz w:val="24"/>
          <w:highlight w:val="none"/>
        </w:rPr>
        <w:t xml:space="preserve">方案，内容包括但不限于：</w:t>
      </w:r>
      <w:r>
        <w:rPr>
          <w:rFonts w:hint="eastAsia" w:ascii="宋体" w:hAnsi="宋体" w:cs="宋体"/>
          <w:color w:val="auto"/>
          <w:sz w:val="24"/>
          <w:highlight w:val="none"/>
          <w:lang w:val="en-US" w:eastAsia="zh-CN"/>
        </w:rPr>
        <w:t xml:space="preserve">安装施工的准备工作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顺序、</w:t>
      </w:r>
      <w:r>
        <w:rPr>
          <w:rFonts w:ascii="宋体" w:hAnsi="宋体" w:cs="宋体"/>
          <w:color w:val="auto"/>
          <w:sz w:val="24"/>
          <w:highlight w:val="none"/>
        </w:rPr>
        <w:t xml:space="preserve">步骤；人员的职责架构及分工、项目管理运行机制等；</w:t>
      </w:r>
      <w:r>
        <w:rPr>
          <w:rFonts w:hint="eastAsia" w:ascii="宋体" w:hAnsi="宋体" w:cs="宋体"/>
          <w:color w:val="auto"/>
          <w:sz w:val="24"/>
          <w:highlight w:val="none"/>
          <w:lang w:val="en-US" w:eastAsia="zh-CN"/>
        </w:rPr>
        <w:t xml:space="preserve">安装</w:t>
      </w:r>
      <w:r>
        <w:rPr>
          <w:rFonts w:ascii="宋体" w:hAnsi="宋体" w:cs="宋体"/>
          <w:color w:val="auto"/>
          <w:sz w:val="24"/>
          <w:highlight w:val="none"/>
        </w:rPr>
        <w:t xml:space="preserve">保障措施，如</w:t>
      </w:r>
      <w:r>
        <w:rPr>
          <w:rFonts w:hint="eastAsia" w:ascii="宋体" w:hAnsi="宋体" w:cs="宋体"/>
          <w:color w:val="auto"/>
          <w:sz w:val="24"/>
          <w:highlight w:val="none"/>
          <w:lang w:val="en-US" w:eastAsia="zh-CN"/>
        </w:rPr>
        <w:t xml:space="preserve">安装</w:t>
      </w:r>
      <w:r>
        <w:rPr>
          <w:rFonts w:ascii="宋体" w:hAnsi="宋体" w:cs="宋体"/>
          <w:color w:val="auto"/>
          <w:sz w:val="24"/>
          <w:highlight w:val="none"/>
        </w:rPr>
        <w:t xml:space="preserve">过程中可能存在的风险，投标人应提前考虑并做好风险预防、应对措施，以确保按期、保质保量的</w:t>
      </w:r>
      <w:r>
        <w:rPr>
          <w:rFonts w:hint="eastAsia" w:ascii="宋体" w:hAnsi="宋体" w:cs="宋体"/>
          <w:color w:val="auto"/>
          <w:sz w:val="24"/>
          <w:highlight w:val="none"/>
          <w:lang w:val="en-US" w:eastAsia="zh-CN"/>
        </w:rPr>
        <w:t xml:space="preserve">完成本项目</w:t>
      </w:r>
      <w:r>
        <w:rPr>
          <w:rFonts w:ascii="宋体" w:hAnsi="宋体" w:cs="宋体"/>
          <w:color w:val="auto"/>
          <w:sz w:val="24"/>
          <w:highlight w:val="none"/>
        </w:rPr>
        <w:t xml:space="preserve">。</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4、防冰凌措施</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冬季低温时，成子湖湖面会产生冰冻，航道内航行的船只将湖面的冰凌推向挡藻围隔设置区域，冰凌的冲击则对围隔造成破坏。为了防止该破坏的发生，结合主管部门的管理经验，在成子湖水源地一级保护区范围线外，临洪泽湖北航道线方向，圆形设置钢丝绳网，起到阻拦冰凌的作用。 </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钢丝绳网设置一级保护区范围线外侧，距一级保护区范围线 5m，长约 1200m，宽度约 50cm。</w:t>
      </w:r>
      <w:r/>
    </w:p>
    <w:p>
      <w:pPr>
        <w:pStyle w:val="1120"/>
        <w:rPr>
          <w:rFonts w:hint="eastAsia"/>
          <w:color w:val="auto"/>
          <w:highlight w:val="none"/>
          <w:lang w:val="en-US" w:eastAsia="zh-CN"/>
        </w:rPr>
      </w:pPr>
      <w:r>
        <w:rPr>
          <w:rFonts w:hint="eastAsia"/>
          <w:color w:val="auto"/>
          <w:highlight w:val="none"/>
          <w:lang w:val="en-US" w:eastAsia="zh-CN"/>
        </w:rPr>
        <mc:AlternateContent>
          <mc:Choice Requires="wpg">
            <w:drawing>
              <wp:inline xmlns:wp="http://schemas.openxmlformats.org/drawingml/2006/wordprocessingDrawing" distT="0" distB="0" distL="0" distR="0">
                <wp:extent cx="4143375" cy="3451225"/>
                <wp:effectExtent l="0" t="0" r="9525" b="15875"/>
                <wp:docPr id="10" name="图片 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8"/>
                        <pic:cNvPicPr>
                          <a:picLocks noChangeAspect="1"/>
                        </pic:cNvPicPr>
                        <pic:nvPr/>
                      </pic:nvPicPr>
                      <pic:blipFill>
                        <a:blip r:embed="rId22"/>
                        <a:stretch/>
                      </pic:blipFill>
                      <pic:spPr bwMode="auto">
                        <a:xfrm>
                          <a:off x="0" y="0"/>
                          <a:ext cx="4143375" cy="3451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26.2pt;height:271.8pt;mso-wrap-distance-left:0.0pt;mso-wrap-distance-top:0.0pt;mso-wrap-distance-right:0.0pt;mso-wrap-distance-bottom:0.0pt;" stroked="false">
                <v:path textboxrect="0,0,0,0"/>
                <v:imagedata r:id="rId22" o:title=""/>
              </v:shape>
            </w:pict>
          </mc:Fallback>
        </mc:AlternateContent>
      </w:r>
      <w:r/>
    </w:p>
    <w:p>
      <w:pPr>
        <w:pStyle w:val="1119"/>
        <w:ind w:left="0" w:right="0" w:firstLine="482"/>
        <w:jc w:val="center"/>
        <w:keepLines w:val="0"/>
        <w:keepNext w:val="0"/>
        <w:pageBreakBefore w:val="0"/>
        <w:spacing w:beforeAutospacing="0" w:afterAutospacing="0" w:line="440" w:lineRule="exact"/>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图6.1 防冰凌钢丝绳平面布置图</w:t>
      </w:r>
      <w:r/>
    </w:p>
    <w:p>
      <w:pPr>
        <w:pStyle w:val="112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pStyle w:val="1119"/>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4752975" cy="2604135"/>
                <wp:effectExtent l="0" t="0" r="9525" b="5715"/>
                <wp:docPr id="11" name="图片 10"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9"/>
                        <pic:cNvPicPr>
                          <a:picLocks noChangeAspect="1"/>
                        </pic:cNvPicPr>
                        <pic:nvPr/>
                      </pic:nvPicPr>
                      <pic:blipFill>
                        <a:blip r:embed="rId23"/>
                        <a:stretch/>
                      </pic:blipFill>
                      <pic:spPr bwMode="auto">
                        <a:xfrm>
                          <a:off x="0" y="0"/>
                          <a:ext cx="4752975" cy="26041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74.2pt;height:205.0pt;mso-wrap-distance-left:0.0pt;mso-wrap-distance-top:0.0pt;mso-wrap-distance-right:0.0pt;mso-wrap-distance-bottom:0.0pt;" stroked="false">
                <v:path textboxrect="0,0,0,0"/>
                <v:imagedata r:id="rId23" o:title=""/>
              </v:shape>
            </w:pict>
          </mc:Fallback>
        </mc:AlternateContent>
      </w:r>
      <w:r/>
    </w:p>
    <w:p>
      <w:pPr>
        <w:pStyle w:val="1119"/>
        <w:ind w:left="0" w:right="0" w:firstLine="482"/>
        <w:jc w:val="center"/>
        <w:keepLines w:val="0"/>
        <w:keepNext w:val="0"/>
        <w:pageBreakBefore w:val="0"/>
        <w:spacing w:beforeAutospacing="0" w:afterAutospacing="0" w:line="440" w:lineRule="exact"/>
        <w:widowControl w:val="off"/>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图6.2 防冰凌钢丝绳节点图</w:t>
      </w:r>
      <w:r/>
    </w:p>
    <w:p>
      <w:pPr>
        <w:pStyle w:val="1119"/>
        <w:ind w:left="0" w:right="0" w:firstLine="482"/>
        <w:jc w:val="left"/>
        <w:keepLines w:val="0"/>
        <w:keepNext w:val="0"/>
        <w:pageBreakBefore w:val="0"/>
        <w:spacing w:beforeAutospacing="0" w:afterAutospacing="0" w:line="440" w:lineRule="exact"/>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pStyle w:val="1119"/>
        <w:ind w:left="0" w:right="0" w:firstLine="482"/>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十、</w:t>
      </w:r>
      <w:r>
        <w:rPr>
          <w:rFonts w:hint="eastAsia" w:ascii="宋体" w:hAnsi="宋体" w:cs="宋体"/>
          <w:b/>
          <w:bCs/>
          <w:color w:val="auto"/>
          <w:sz w:val="24"/>
          <w:highlight w:val="none"/>
          <w:lang w:eastAsia="zh-CN"/>
        </w:rPr>
        <w:t xml:space="preserve">其他要求</w:t>
      </w:r>
      <w:r>
        <w:rPr>
          <w:rFonts w:hint="eastAsia" w:ascii="宋体" w:hAnsi="宋体" w:cs="宋体"/>
          <w:color w:val="auto"/>
          <w:sz w:val="24"/>
          <w:highlight w:val="none"/>
        </w:rPr>
        <w:t xml:space="preserve"> </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、提供的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要求</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投标人提供的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必须是全新、符合国家质量检测标准的，符合采购需求中</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要求的货物(包括零部件)。所有的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要符合国家行业标准。 </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投标人须提供所投标的产品品牌、型号、产地，除辅材、辅助材料（含以施工为主的条目）之外的其它应该标明品牌和型号的产品，在投标文件中必须标明产品的品牌、型号，否则作无效投标处理。完成本项目过程中使用的材料清单，明确生产厂家、型号规格等，并提供详细的技术参数及性能说明。</w:t>
      </w:r>
      <w:r/>
    </w:p>
    <w:p>
      <w:pPr>
        <w:ind w:left="0" w:right="0" w:firstLine="48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2、安装要求：中标供应商免费提供相关的安装服务，其中包含项目验收后能正常使用所需要的所有零配件、耗材、辅助材料等。</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、项目需求中没有在投标文件中注明偏离（文字说明或在技术、商务偏离表注明）的参数、配置、条款视为投标人完全接受。 </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、所报货物或商务条款存在偏差的必须如实填写，否则可能导致废标。 </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b/>
          <w:bCs/>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、中标人在签订合同时，若坚持提出不合理要求，中标资格将被取消，该中标人对由此产生的一切后果负责。</w:t>
      </w:r>
      <w:r/>
    </w:p>
    <w:p>
      <w:pPr>
        <w:pStyle w:val="1119"/>
        <w:ind w:left="0" w:right="0" w:firstLine="482"/>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十一</w:t>
      </w:r>
      <w:r>
        <w:rPr>
          <w:rFonts w:hint="eastAsia" w:ascii="宋体" w:hAnsi="宋体" w:cs="宋体"/>
          <w:b/>
          <w:bCs/>
          <w:color w:val="auto"/>
          <w:sz w:val="24"/>
          <w:highlight w:val="none"/>
        </w:rPr>
        <w:t xml:space="preserve">、注意事项</w:t>
      </w:r>
      <w:r>
        <w:rPr>
          <w:rFonts w:hint="eastAsia" w:ascii="宋体" w:hAnsi="宋体" w:cs="宋体"/>
          <w:color w:val="auto"/>
          <w:sz w:val="24"/>
          <w:highlight w:val="none"/>
        </w:rPr>
        <w:t xml:space="preserve"> </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1、中标单位必须了解实施区域水下情况，依据地形、地貌、地质、水文及气象、季节等条件，根据其技术装备、施工技术水平、工程特点，编制《施工组织设计》，并经审查、批准后方可施工。 </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2、中标单位</w:t>
      </w:r>
      <w:r>
        <w:rPr>
          <w:rFonts w:hint="eastAsia" w:ascii="宋体" w:hAnsi="宋体" w:cs="宋体"/>
          <w:color w:val="auto"/>
          <w:sz w:val="24"/>
          <w:highlight w:val="none"/>
          <w:lang w:val="en-US" w:eastAsia="zh-CN"/>
        </w:rPr>
        <w:t xml:space="preserve">在供货前</w:t>
      </w:r>
      <w:r>
        <w:rPr>
          <w:rFonts w:hint="eastAsia" w:ascii="宋体" w:hAnsi="宋体" w:cs="宋体"/>
          <w:color w:val="auto"/>
          <w:sz w:val="24"/>
          <w:highlight w:val="none"/>
        </w:rPr>
        <w:t xml:space="preserve">需对项目现场进行实地勘测，根据水下地形、湖底高程等实际情况，合理调整围隔位置、尺寸、高度及配件长度及数量。</w:t>
      </w:r>
      <w:r>
        <w:rPr>
          <w:rFonts w:hint="eastAsia" w:ascii="宋体" w:hAnsi="宋体" w:cs="宋体"/>
          <w:color w:val="auto"/>
          <w:sz w:val="24"/>
          <w:highlight w:val="none"/>
          <w:lang w:val="en-US" w:eastAsia="zh-CN"/>
        </w:rPr>
        <w:t xml:space="preserve">报采购方审核同意后方可供货。</w:t>
      </w:r>
      <w:r>
        <w:rPr>
          <w:rFonts w:hint="eastAsia" w:ascii="宋体" w:hAnsi="宋体" w:cs="宋体"/>
          <w:color w:val="auto"/>
          <w:sz w:val="24"/>
          <w:highlight w:val="none"/>
        </w:rPr>
        <w:t xml:space="preserve"> </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3、实施过程中，应注意保护、避让现状取水管线及设施（取水头部、界桩、界牌、标识牌等），施工期间做好监测，确保管线设施安全。 </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4、实施过程中，应减少对现状湖底底泥的扰动，避免造成水源地水体污染。</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水上作业时，应确保水上施工人员的安全，遇到大雨、浓雾、大风天气或视线不清时，应停止作业；船只作业过程中应防止燃料泄漏，如发生泄漏，其他作业船只与事故船只进行自救互救，并及时清理污染物；并注意船上的用电安全。中标单位应制定有关应急预案。 </w:t>
      </w:r>
      <w:r/>
    </w:p>
    <w:p>
      <w:pPr>
        <w:ind w:left="0" w:right="0" w:firstLine="480"/>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、中标单位应根据现场实际情况编制重大危险源识别及拟采取的控制措施。</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、本项目不接受备选的投标方案或有选择的报价，只允许有一个报价。投标报价内容包括：</w:t>
      </w:r>
      <w:r>
        <w:rPr>
          <w:rFonts w:hint="eastAsia" w:ascii="宋体" w:hAnsi="宋体" w:cs="宋体"/>
          <w:color w:val="auto"/>
          <w:sz w:val="24"/>
          <w:highlight w:val="none"/>
          <w:lang w:val="en-US" w:eastAsia="zh-CN"/>
        </w:rPr>
        <w:t xml:space="preserve">货款、人工、施工吊装、安装费、配件五金、备品备件、专用工具、二次转运费、船舶施工机械拼装及进退场费用、包装费、运输费、装卸费、保险费、检测费、税金、保修等完成本项目所涉及到的一切相关费用。</w:t>
      </w:r>
      <w:r>
        <w:rPr>
          <w:rFonts w:hint="eastAsia" w:ascii="宋体" w:hAnsi="宋体" w:cs="宋体"/>
          <w:color w:val="auto"/>
          <w:sz w:val="24"/>
          <w:highlight w:val="none"/>
        </w:rPr>
        <w:t xml:space="preserve"> </w:t>
      </w:r>
      <w:r/>
    </w:p>
    <w:p>
      <w:pPr>
        <w:pStyle w:val="1119"/>
        <w:ind w:left="0" w:right="0" w:firstLine="480"/>
        <w:jc w:val="left"/>
        <w:keepLines w:val="0"/>
        <w:keepNext w:val="0"/>
        <w:pageBreakBefore w:val="0"/>
        <w:spacing w:beforeAutospacing="0" w:afterAutospacing="0" w:line="44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、投标人报价时应充分</w:t>
      </w:r>
      <w:r>
        <w:rPr>
          <w:rFonts w:hint="eastAsia" w:ascii="宋体" w:hAnsi="宋体" w:cs="宋体"/>
          <w:color w:val="auto"/>
          <w:sz w:val="24"/>
          <w:highlight w:val="none"/>
          <w:lang w:val="en-US" w:eastAsia="zh-CN"/>
        </w:rPr>
        <w:t xml:space="preserve">研究图纸</w:t>
      </w:r>
      <w:r>
        <w:rPr>
          <w:rFonts w:hint="eastAsia" w:ascii="宋体" w:hAnsi="宋体" w:cs="宋体"/>
          <w:color w:val="auto"/>
          <w:sz w:val="24"/>
          <w:highlight w:val="none"/>
        </w:rPr>
        <w:t xml:space="preserve">考虑所有可能影响到报价的因素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一旦评标结束最终成交，如发生漏、缺、少项，都将被</w:t>
      </w:r>
      <w:r>
        <w:rPr>
          <w:rFonts w:hint="eastAsia" w:ascii="宋体" w:hAnsi="宋体" w:eastAsia="宋体" w:cs="宋体"/>
          <w:color w:val="auto"/>
          <w:sz w:val="24"/>
          <w:highlight w:val="none"/>
        </w:rPr>
        <w:t xml:space="preserve">认为是中标人的报价让利行为，损失自负。</w:t>
      </w:r>
      <w:r/>
    </w:p>
    <w:p>
      <w:pPr>
        <w:pStyle w:val="1119"/>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十二</w:t>
      </w:r>
      <w:r>
        <w:rPr>
          <w:rFonts w:hint="eastAsia" w:ascii="宋体" w:hAnsi="宋体" w:eastAsia="宋体" w:cs="宋体"/>
          <w:b/>
          <w:bCs/>
          <w:color w:val="auto"/>
          <w:sz w:val="24"/>
          <w:highlight w:val="none"/>
        </w:rPr>
        <w:t xml:space="preserve">、采购标的需实现的功能或者目标，以及为落实政府采购政策需满足的要求</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1.1政府采购应当采购本国货物、工程和服务，但有《中华人民共和国政府采购法》第十条规定情形的除外。</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1.2如采购进口产品的，应当符合《政府采购进口产品管理办法》(财库(2007)119 号文) 、《关于政府采购进口产品管理有关问题的通知》 (财办库 (2008) 248号文) 等相关规定。本项目是否采购进口产品，以须知前附表确定的为准。</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2、节能、环保产品政策</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3、商品包装、快递包装政府采购需求标准（试行）</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4、绿色数据中心政府采购需求标准（试行）</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为加快数据中心绿色转型，根据财政部生态环境部工业和信息化部关于印发《绿色数据中心政府采购需求标准（试行）》的通知），本项目如涉及绿色数据中心，投标人应当提供符合需求标准的产品。</w:t>
      </w:r>
      <w:r/>
    </w:p>
    <w:p>
      <w:pPr>
        <w:pStyle w:val="1119"/>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5、限制标准的产品要求</w:t>
      </w:r>
      <w:r/>
    </w:p>
    <w:p>
      <w:pPr>
        <w:pStyle w:val="1119"/>
        <w:ind w:left="0" w:right="0" w:firstLine="480"/>
        <w:jc w:val="left"/>
        <w:keepLines w:val="0"/>
        <w:keepNext w:val="0"/>
        <w:pageBreakBefore w:val="0"/>
        <w:spacing w:beforeAutospacing="0" w:afterAutospacing="0" w:line="440" w:lineRule="exact"/>
        <w:widowControl w:val="off"/>
        <w:rPr>
          <w:rFonts w:hint="default" w:ascii="Times New Roman" w:hAnsi="Times New Roman" w:eastAsia="Times New Roman" w:cs="Times New Roman"/>
          <w:b w:val="0"/>
          <w:bCs/>
          <w:color w:val="auto"/>
          <w:sz w:val="24"/>
          <w:szCs w:val="22"/>
          <w:highlight w:val="none"/>
          <w:lang w:val="en-US" w:eastAsia="zh-CN" w:bidi="ar-SA"/>
        </w:rPr>
      </w:pPr>
      <w:r>
        <w:rPr>
          <w:rFonts w:hint="eastAsia" w:ascii="宋体" w:hAnsi="宋体" w:eastAsia="宋体" w:cs="宋体"/>
          <w:color w:val="auto"/>
          <w:sz w:val="24"/>
          <w:highlight w:val="none"/>
        </w:rPr>
        <w:t xml:space="preserve">本项目中涉及涂料、胶黏剂、油墨、清洗剂等挥发性有机物产品的，属于强制性标准的，投标人应当提供符合国家和江苏省相关VOCs 含量限制标准的产品。</w:t>
      </w:r>
      <w:r/>
    </w:p>
    <w:p>
      <w:pPr>
        <w:pStyle w:val="755"/>
        <w:ind w:left="0" w:right="0"/>
        <w:jc w:val="both"/>
        <w:pageBreakBefore w:val="0"/>
        <w:spacing w:before="0" w:beforeAutospacing="0" w:after="0" w:afterAutospacing="0" w:line="440" w:lineRule="exact"/>
        <w:shd w:val="clear" w:color="auto"/>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44"/>
          <w:highlight w:val="none"/>
        </w:rPr>
      </w:r>
      <w:r/>
    </w:p>
    <w:p>
      <w:pPr>
        <w:pStyle w:val="755"/>
        <w:ind w:left="0" w:right="0"/>
        <w:jc w:val="center"/>
        <w:pageBreakBefore w:val="0"/>
        <w:spacing w:before="0" w:beforeAutospacing="0" w:after="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第五章评标方法与评标标准</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2"/>
          <w:szCs w:val="20"/>
          <w:highlight w:val="none"/>
        </w:rPr>
        <w:t xml:space="preserve">资格审查人员按照下列指标对各投标人的资格进行审查，未通过审查的为无效标，不参与评标。</w:t>
      </w:r>
      <w:r/>
    </w:p>
    <w:tbl>
      <w:tblPr>
        <w:tblStyle w:val="765"/>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5"/>
        <w:gridCol w:w="4105"/>
      </w:tblGrid>
      <w:tr>
        <w:trPr/>
        <w:tc>
          <w:tcPr>
            <w:shd w:val="clear" w:color="auto" w:fill="auto"/>
            <w:tcMar>
              <w:left w:w="0" w:type="dxa"/>
              <w:top w:w="0" w:type="dxa"/>
              <w:right w:w="0" w:type="dxa"/>
              <w:bottom w:w="0" w:type="dxa"/>
            </w:tcMar>
            <w:tcW w:w="410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资格审查因素</w:t>
            </w:r>
            <w:r/>
          </w:p>
        </w:tc>
        <w:tc>
          <w:tcPr>
            <w:shd w:val="clear" w:color="auto" w:fill="auto"/>
            <w:tcMar>
              <w:left w:w="0" w:type="dxa"/>
              <w:top w:w="0" w:type="dxa"/>
              <w:right w:w="0" w:type="dxa"/>
              <w:bottom w:w="0" w:type="dxa"/>
            </w:tcMar>
            <w:tcW w:w="410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p>
        </w:tc>
      </w:tr>
      <w:tr>
        <w:trPr/>
        <w:tc>
          <w:tcPr>
            <w:shd w:val="clear" w:color="auto" w:fill="auto"/>
            <w:tcMar>
              <w:left w:w="0" w:type="dxa"/>
              <w:top w:w="0" w:type="dxa"/>
              <w:right w:w="0" w:type="dxa"/>
              <w:bottom w:w="0" w:type="dxa"/>
            </w:tcMar>
            <w:tcW w:w="4105" w:type="dxa"/>
            <w:vAlign w:val="center"/>
            <w:textDirection w:val="lrTb"/>
            <w:noWrap w:val="false"/>
          </w:tcPr>
          <w:p>
            <w:pPr>
              <w:ind w:left="0" w:right="0"/>
              <w:jc w:val="left"/>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投标声明及承诺函</w:t>
            </w:r>
            <w:r/>
          </w:p>
        </w:tc>
        <w:tc>
          <w:tcPr>
            <w:shd w:val="clear" w:color="auto" w:fill="auto"/>
            <w:tcMar>
              <w:left w:w="0" w:type="dxa"/>
              <w:top w:w="0" w:type="dxa"/>
              <w:right w:w="0" w:type="dxa"/>
              <w:bottom w:w="0" w:type="dxa"/>
            </w:tcMar>
            <w:tcW w:w="4105" w:type="dxa"/>
            <w:vAlign w:val="center"/>
            <w:textDirection w:val="lrTb"/>
            <w:noWrap w:val="false"/>
          </w:tcPr>
          <w:p>
            <w:pPr>
              <w:ind w:left="0" w:right="0"/>
              <w:jc w:val="left"/>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ind w:left="0" w:right="0"/>
              <w:jc w:val="left"/>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落实政府采购政策</w:t>
            </w:r>
            <w:r/>
          </w:p>
        </w:tc>
        <w:tc>
          <w:tcPr>
            <w:shd w:val="clear" w:color="auto" w:fill="auto"/>
            <w:tcMar>
              <w:left w:w="0" w:type="dxa"/>
              <w:top w:w="0" w:type="dxa"/>
              <w:right w:w="0" w:type="dxa"/>
              <w:bottom w:w="0" w:type="dxa"/>
            </w:tcMar>
            <w:tcW w:w="4105" w:type="dxa"/>
            <w:vAlign w:val="center"/>
            <w:textDirection w:val="lrTb"/>
            <w:noWrap w:val="false"/>
          </w:tcPr>
          <w:p>
            <w:pPr>
              <w:ind w:left="0" w:right="0"/>
              <w:jc w:val="left"/>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ind w:left="0" w:right="0"/>
              <w:jc w:val="left"/>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信用信息</w:t>
            </w:r>
            <w:r/>
          </w:p>
        </w:tc>
        <w:tc>
          <w:tcPr>
            <w:shd w:val="clear" w:color="auto" w:fill="auto"/>
            <w:tcMar>
              <w:left w:w="0" w:type="dxa"/>
              <w:top w:w="0" w:type="dxa"/>
              <w:right w:w="0" w:type="dxa"/>
              <w:bottom w:w="0" w:type="dxa"/>
            </w:tcMar>
            <w:tcW w:w="4105" w:type="dxa"/>
            <w:vAlign w:val="center"/>
            <w:textDirection w:val="lrTb"/>
            <w:noWrap w:val="false"/>
          </w:tcPr>
          <w:p>
            <w:pPr>
              <w:ind w:left="0" w:right="0"/>
              <w:jc w:val="left"/>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ind w:left="0" w:right="0"/>
              <w:jc w:val="left"/>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联合体投标</w:t>
            </w:r>
            <w:r/>
          </w:p>
        </w:tc>
        <w:tc>
          <w:tcPr>
            <w:shd w:val="clear" w:color="auto" w:fill="auto"/>
            <w:tcMar>
              <w:left w:w="0" w:type="dxa"/>
              <w:top w:w="0" w:type="dxa"/>
              <w:right w:w="0" w:type="dxa"/>
              <w:bottom w:w="0" w:type="dxa"/>
            </w:tcMar>
            <w:tcW w:w="4105" w:type="dxa"/>
            <w:vAlign w:val="center"/>
            <w:textDirection w:val="lrTb"/>
            <w:noWrap w:val="false"/>
          </w:tcPr>
          <w:p>
            <w:pPr>
              <w:ind w:left="0" w:right="0"/>
              <w:jc w:val="left"/>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不接受联合体投标</w:t>
            </w:r>
            <w:r/>
          </w:p>
        </w:tc>
      </w:tr>
    </w:tbl>
    <w:p>
      <w:pPr>
        <w:ind w:left="0" w:right="0"/>
        <w:pageBreakBefore w:val="0"/>
        <w:spacing w:beforeAutospacing="0" w:afterAutospacing="0" w:line="440" w:lineRule="exact"/>
        <w:shd w:val="clear" w:color="auto"/>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2"/>
          <w:szCs w:val="20"/>
          <w:highlight w:val="none"/>
        </w:rPr>
        <w:t xml:space="preserve">评标委员会首先按照下列指标对各投标人的投标文件进行符合性审查，未通过审查的为无效标，不再参与评审。</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4120"/>
      </w:tblGrid>
      <w:tr>
        <w:trPr/>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符合性审查因素</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法定代表人身份证明或授权委托书</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开标一览表及投标报价</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格式、填写要求符合招标文件规定</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技术标准和要求</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其他</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bl>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三、评分办法—综合评分法</w:t>
      </w:r>
      <w:r/>
    </w:p>
    <w:p>
      <w:pPr>
        <w:ind w:left="0" w:right="0" w:firstLine="482"/>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综合评分保留至小数点后两位。 </w:t>
      </w:r>
      <w:r/>
    </w:p>
    <w:p>
      <w:pPr>
        <w:numPr>
          <w:ilvl w:val="0"/>
          <w:numId w:val="10"/>
        </w:numPr>
        <w:ind w:left="0" w:right="0" w:firstLine="482"/>
        <w:pageBreakBefore w:val="0"/>
        <w:spacing w:beforeAutospacing="0" w:afterAutospacing="0" w:line="440" w:lineRule="exact"/>
        <w:shd w:val="clear" w:color="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pStyle w:val="796"/>
        <w:numPr>
          <w:ilvl w:val="0"/>
          <w:numId w:val="0"/>
        </w:numPr>
        <w:ind w:left="0" w:right="0"/>
        <w:pageBreakBefore w:val="0"/>
        <w:spacing w:beforeAutospacing="0" w:afterAutospacing="0" w:line="440" w:lineRule="exact"/>
        <w:rPr>
          <w:rFonts w:hint="eastAsia"/>
          <w:color w:val="auto"/>
          <w:highlight w:val="none"/>
        </w:rPr>
      </w:pPr>
      <w:r>
        <w:rPr>
          <w:rFonts w:hint="eastAsia"/>
          <w:color w:val="auto"/>
          <w:highlight w:val="none"/>
        </w:rPr>
      </w:r>
      <w:r/>
    </w:p>
    <w:tbl>
      <w:tblPr>
        <w:tblStyle w:val="765"/>
        <w:tblW w:w="53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09"/>
        <w:gridCol w:w="1151"/>
        <w:gridCol w:w="905"/>
        <w:gridCol w:w="5490"/>
      </w:tblGrid>
      <w:tr>
        <w:trPr>
          <w:trHeight w:val="995"/>
        </w:trPr>
        <w:tc>
          <w:tcPr>
            <w:tcW w:w="739"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报价分</w:t>
            </w:r>
            <w:r/>
          </w:p>
        </w:tc>
        <w:tc>
          <w:tcPr>
            <w:tcW w:w="650"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W w:w="511"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30.00</w:t>
            </w:r>
            <w:r/>
          </w:p>
        </w:tc>
        <w:tc>
          <w:tcPr>
            <w:tcW w:w="3099" w:type="pct"/>
            <w:vAlign w:val="center"/>
            <w:textDirection w:val="lrTb"/>
            <w:noWrap w:val="false"/>
          </w:tcPr>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1"/>
                <w:szCs w:val="21"/>
                <w:highlight w:val="none"/>
                <w:lang w:val="en-US" w:eastAsia="zh-CN"/>
              </w:rPr>
              <w:t xml:space="preserve">30×100</w:t>
            </w:r>
            <w:r>
              <w:rPr>
                <w:rFonts w:hint="eastAsia" w:ascii="宋体" w:hAnsi="宋体" w:eastAsia="宋体" w:cs="宋体"/>
                <w:color w:val="auto"/>
                <w:sz w:val="21"/>
                <w:szCs w:val="21"/>
                <w:highlight w:val="none"/>
              </w:rPr>
              <w:t xml:space="preserve">。（四舍五入保留到小数点后两位）。</w:t>
            </w:r>
            <w:r/>
          </w:p>
        </w:tc>
      </w:tr>
      <w:tr>
        <w:trPr>
          <w:trHeight w:val="2572"/>
        </w:trPr>
        <w:tc>
          <w:tcPr>
            <w:tcW w:w="739"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技术响应</w:t>
            </w:r>
            <w:r/>
          </w:p>
        </w:tc>
        <w:tc>
          <w:tcPr>
            <w:tcW w:w="650"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技术参数响应</w:t>
            </w:r>
            <w:r/>
          </w:p>
        </w:tc>
        <w:tc>
          <w:tcPr>
            <w:tcW w:w="511"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34.0</w:t>
            </w:r>
            <w:r>
              <w:rPr>
                <w:rFonts w:hint="eastAsia" w:ascii="宋体" w:hAnsi="宋体" w:cs="宋体"/>
                <w:color w:val="auto"/>
                <w:sz w:val="21"/>
                <w:szCs w:val="21"/>
                <w:highlight w:val="none"/>
                <w:lang w:val="en-US" w:eastAsia="zh-CN"/>
              </w:rPr>
              <w:t xml:space="preserve">0</w:t>
            </w:r>
            <w:r/>
          </w:p>
        </w:tc>
        <w:tc>
          <w:tcPr>
            <w:tcW w:w="3099" w:type="pct"/>
            <w:vAlign w:val="center"/>
            <w:textDirection w:val="lrTb"/>
            <w:noWrap w:val="false"/>
          </w:tcPr>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针对招标文件“第四章采购需求”“采购清单及技术参数”中所列内容进行评分，所投产品技术参数完全满足招标文件技术参数要求的得</w:t>
            </w:r>
            <w:r>
              <w:rPr>
                <w:rFonts w:hint="eastAsia" w:ascii="宋体" w:hAnsi="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lang w:val="en-US" w:eastAsia="zh-CN"/>
              </w:rPr>
              <w:t xml:space="preserve">分。</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1、标注“▲”号标记的技术参数为重要技术参数（共计</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条）每满足一条得3分，共</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分。无响应或无效响应或不满足不得分。</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2、标注“*”号标记的技术参数为一般技术参数（共计</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条）每满足一条得</w:t>
            </w:r>
            <w:r>
              <w:rPr>
                <w:rFonts w:hint="eastAsia" w:ascii="宋体" w:hAnsi="宋体" w:cs="宋体"/>
                <w:color w:val="auto"/>
                <w:sz w:val="21"/>
                <w:szCs w:val="21"/>
                <w:highlight w:val="none"/>
                <w:lang w:val="en-US" w:eastAsia="zh-CN"/>
              </w:rPr>
              <w:t xml:space="preserve">1.25</w:t>
            </w:r>
            <w:r>
              <w:rPr>
                <w:rFonts w:hint="eastAsia" w:ascii="宋体" w:hAnsi="宋体" w:eastAsia="宋体" w:cs="宋体"/>
                <w:color w:val="auto"/>
                <w:sz w:val="21"/>
                <w:szCs w:val="21"/>
                <w:highlight w:val="none"/>
                <w:lang w:val="en-US" w:eastAsia="zh-CN"/>
              </w:rPr>
              <w:t xml:space="preserve">分，共</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分。无响应或无效响应或不满足不得分。</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注：（1）投标人须详尽真实的提供投标产品的技术要求响应及偏离表，且均需在技术要求响应及偏离表内详尽真实的提供偏差情况，否则将视为无响应或无效响应。</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（2）未按指定要求提供相关技术资料证明材料的将视为无效响应。</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（3）无指定要求的证明材料可以是第三方检测报告，或技术白皮书或宣传彩页或注明链接的官网截图或加盖投标人公章技术响应偏离表等文件的扫描件。</w:t>
            </w:r>
            <w:r/>
          </w:p>
        </w:tc>
      </w:tr>
      <w:tr>
        <w:trPr/>
        <w:tc>
          <w:tcPr>
            <w:tcW w:w="739" w:type="pct"/>
            <w:vAlign w:val="center"/>
            <w:vMerge w:val="restart"/>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企业经营业绩、信誉</w:t>
            </w:r>
            <w:r/>
          </w:p>
        </w:tc>
        <w:tc>
          <w:tcPr>
            <w:tcW w:w="650"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W w:w="511"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6.0</w:t>
            </w:r>
            <w:r>
              <w:rPr>
                <w:rFonts w:hint="eastAsia" w:ascii="宋体" w:hAnsi="宋体" w:cs="宋体"/>
                <w:color w:val="auto"/>
                <w:sz w:val="21"/>
                <w:szCs w:val="21"/>
                <w:highlight w:val="none"/>
                <w:lang w:val="en-US" w:eastAsia="zh-CN"/>
              </w:rPr>
              <w:t xml:space="preserve">0</w:t>
            </w:r>
            <w:r/>
          </w:p>
        </w:tc>
        <w:tc>
          <w:tcPr>
            <w:tcW w:w="3099" w:type="pct"/>
            <w:vAlign w:val="center"/>
            <w:textDirection w:val="lrTb"/>
            <w:noWrap w:val="false"/>
          </w:tcPr>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投标人具有自202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年1月1日（以合同签订时间为准）以来承担过与本项目类似业绩，每提供一个得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分。注：（1）投标人需提供业绩证明材料至投标文件，证明材料原件扫描件需包含业绩中标（或成交）通知书、合同（或合同协议书）</w:t>
            </w:r>
            <w:r>
              <w:rPr>
                <w:rFonts w:hint="eastAsia" w:ascii="宋体" w:hAnsi="宋体" w:eastAsia="宋体" w:cs="宋体"/>
                <w:color w:val="auto"/>
                <w:sz w:val="21"/>
                <w:szCs w:val="21"/>
                <w:highlight w:val="none"/>
                <w:lang w:eastAsia="zh-CN"/>
              </w:rPr>
              <w:t xml:space="preserve">、验收报告</w:t>
            </w:r>
            <w:r>
              <w:rPr>
                <w:rFonts w:hint="eastAsia" w:ascii="宋体" w:hAnsi="宋体" w:eastAsia="宋体" w:cs="宋体"/>
                <w:color w:val="auto"/>
                <w:sz w:val="21"/>
                <w:szCs w:val="21"/>
                <w:highlight w:val="none"/>
              </w:rPr>
              <w:t xml:space="preserve">，未提供或提供不全或模糊不清无法辨认均不予计分。</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（2）投标人提供的业绩将随中标结果公告同步公开。</w:t>
            </w:r>
            <w:r/>
          </w:p>
        </w:tc>
      </w:tr>
      <w:tr>
        <w:trPr/>
        <w:tc>
          <w:tcPr>
            <w:tcW w:w="739" w:type="pct"/>
            <w:vAlign w:val="center"/>
            <w:vMerge w:val="continue"/>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650"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29" w:name="OLE_LINK24"/>
            <w:r>
              <w:rPr>
                <w:rFonts w:hint="eastAsia" w:ascii="宋体" w:hAnsi="宋体" w:eastAsia="宋体" w:cs="宋体"/>
                <w:color w:val="auto"/>
                <w:sz w:val="21"/>
                <w:szCs w:val="21"/>
                <w:highlight w:val="none"/>
              </w:rPr>
              <w:t xml:space="preserve">节能、环保产品认证证书</w:t>
            </w:r>
            <w:bookmarkEnd w:id="29"/>
            <w:r/>
            <w:r/>
          </w:p>
        </w:tc>
        <w:tc>
          <w:tcPr>
            <w:tcW w:w="511"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w:t>
            </w:r>
            <w:r>
              <w:rPr>
                <w:rFonts w:hint="eastAsia" w:ascii="宋体" w:hAnsi="宋体" w:cs="宋体"/>
                <w:color w:val="auto"/>
                <w:sz w:val="21"/>
                <w:szCs w:val="21"/>
                <w:highlight w:val="none"/>
                <w:lang w:val="en-US" w:eastAsia="zh-CN"/>
              </w:rPr>
              <w:t xml:space="preserve">0</w:t>
            </w:r>
            <w:r/>
          </w:p>
        </w:tc>
        <w:tc>
          <w:tcPr>
            <w:tcW w:w="3099" w:type="pct"/>
            <w:vAlign w:val="center"/>
            <w:textDirection w:val="lrTb"/>
            <w:noWrap w:val="false"/>
          </w:tcPr>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0.5 分，本项最高得0.5分。 </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本项最高得0.5分。</w:t>
            </w:r>
            <w:r/>
          </w:p>
        </w:tc>
      </w:tr>
      <w:tr>
        <w:trPr>
          <w:trHeight w:val="393"/>
        </w:trPr>
        <w:tc>
          <w:tcPr>
            <w:tcW w:w="739" w:type="pct"/>
            <w:vAlign w:val="center"/>
            <w:vMerge w:val="restart"/>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w:t>
            </w:r>
            <w:r/>
          </w:p>
        </w:tc>
        <w:tc>
          <w:tcPr>
            <w:tcW w:w="650"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人员配置</w:t>
            </w:r>
            <w:r/>
          </w:p>
        </w:tc>
        <w:tc>
          <w:tcPr>
            <w:tcW w:w="511"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3.00</w:t>
            </w:r>
            <w:r/>
          </w:p>
        </w:tc>
        <w:tc>
          <w:tcPr>
            <w:tcW w:w="3099" w:type="pct"/>
            <w:vAlign w:val="center"/>
            <w:textDirection w:val="lrTb"/>
            <w:noWrap w:val="false"/>
          </w:tcPr>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投标人拟派安装维修维护人员具有船舶三类及以上驾驶证的，每提供一人得1分，本项最高得3分。</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注：（1）投标人需提供</w:t>
            </w:r>
            <w:r>
              <w:rPr>
                <w:rFonts w:hint="eastAsia" w:ascii="宋体" w:hAnsi="宋体" w:eastAsia="宋体" w:cs="宋体"/>
                <w:color w:val="auto"/>
                <w:sz w:val="21"/>
                <w:szCs w:val="21"/>
                <w:highlight w:val="none"/>
                <w:lang w:val="en-US" w:eastAsia="zh-CN"/>
              </w:rPr>
              <w:t xml:space="preserve">人员证书原件扫描件</w:t>
            </w:r>
            <w:r>
              <w:rPr>
                <w:rFonts w:hint="eastAsia" w:ascii="宋体" w:hAnsi="宋体" w:eastAsia="宋体" w:cs="宋体"/>
                <w:color w:val="auto"/>
                <w:sz w:val="21"/>
                <w:szCs w:val="21"/>
                <w:highlight w:val="none"/>
              </w:rPr>
              <w:t xml:space="preserve">，未提供或提供不全或模糊不清无法辨认均不予计分。</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（2）投标人提供的</w:t>
            </w:r>
            <w:r>
              <w:rPr>
                <w:rFonts w:hint="eastAsia" w:ascii="宋体" w:hAnsi="宋体" w:eastAsia="宋体" w:cs="宋体"/>
                <w:color w:val="auto"/>
                <w:sz w:val="21"/>
                <w:szCs w:val="21"/>
                <w:highlight w:val="none"/>
                <w:lang w:val="en-US" w:eastAsia="zh-CN"/>
              </w:rPr>
              <w:t xml:space="preserve">人员证书</w:t>
            </w:r>
            <w:r>
              <w:rPr>
                <w:rFonts w:hint="eastAsia" w:ascii="宋体" w:hAnsi="宋体" w:eastAsia="宋体" w:cs="宋体"/>
                <w:color w:val="auto"/>
                <w:sz w:val="21"/>
                <w:szCs w:val="21"/>
                <w:highlight w:val="none"/>
              </w:rPr>
              <w:t xml:space="preserve">将随中标结果公告同步公开。</w:t>
            </w:r>
            <w:r/>
          </w:p>
        </w:tc>
      </w:tr>
      <w:tr>
        <w:trPr>
          <w:trHeight w:val="580"/>
        </w:trPr>
        <w:tc>
          <w:tcPr>
            <w:tcW w:w="739" w:type="pct"/>
            <w:vAlign w:val="center"/>
            <w:vMerge w:val="continue"/>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50"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安装施工力量</w:t>
            </w:r>
            <w:r/>
          </w:p>
        </w:tc>
        <w:tc>
          <w:tcPr>
            <w:tcW w:w="511"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6.00</w:t>
            </w:r>
            <w:r/>
          </w:p>
        </w:tc>
        <w:tc>
          <w:tcPr>
            <w:tcW w:w="3099" w:type="pct"/>
            <w:vAlign w:val="center"/>
            <w:textDirection w:val="lrTb"/>
            <w:noWrap w:val="false"/>
          </w:tcPr>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投标人自有或租赁施工作业船只的，每提供一艘船得2分，本项最高得6分。</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w:t>
            </w:r>
            <w:r>
              <w:rPr>
                <w:rFonts w:hint="eastAsia" w:ascii="宋体" w:hAnsi="宋体" w:eastAsia="宋体" w:cs="宋体"/>
                <w:color w:val="auto"/>
                <w:sz w:val="21"/>
                <w:szCs w:val="21"/>
                <w:highlight w:val="none"/>
                <w:lang w:val="en-US" w:eastAsia="zh-CN"/>
              </w:rPr>
              <w:t xml:space="preserve">自有船只的</w:t>
            </w:r>
            <w:r>
              <w:rPr>
                <w:rFonts w:hint="eastAsia" w:ascii="宋体" w:hAnsi="宋体" w:eastAsia="宋体" w:cs="宋体"/>
                <w:color w:val="auto"/>
                <w:sz w:val="21"/>
                <w:szCs w:val="21"/>
                <w:highlight w:val="none"/>
              </w:rPr>
              <w:t xml:space="preserve">投标人需提供</w:t>
            </w:r>
            <w:r>
              <w:rPr>
                <w:rFonts w:hint="eastAsia" w:ascii="宋体" w:hAnsi="宋体" w:eastAsia="宋体" w:cs="宋体"/>
                <w:color w:val="auto"/>
                <w:sz w:val="21"/>
                <w:szCs w:val="21"/>
                <w:highlight w:val="none"/>
                <w:lang w:val="en-US" w:eastAsia="zh-CN"/>
              </w:rPr>
              <w:t xml:space="preserve">船只所有权证书和船只年检证书原件扫描件</w:t>
            </w:r>
            <w:r>
              <w:rPr>
                <w:rFonts w:hint="eastAsia" w:ascii="宋体" w:hAnsi="宋体" w:eastAsia="宋体" w:cs="宋体"/>
                <w:color w:val="auto"/>
                <w:sz w:val="21"/>
                <w:szCs w:val="21"/>
                <w:highlight w:val="none"/>
              </w:rPr>
              <w:t xml:space="preserve">，未提供或提供不全或模糊不清无法辨认均不予计分。</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租赁船只的投标人需提供船只租赁合同原件电子件。</w:t>
            </w:r>
            <w:r/>
          </w:p>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）投标人提供的</w:t>
            </w:r>
            <w:r>
              <w:rPr>
                <w:rFonts w:hint="eastAsia" w:ascii="宋体" w:hAnsi="宋体" w:eastAsia="宋体" w:cs="宋体"/>
                <w:color w:val="auto"/>
                <w:sz w:val="21"/>
                <w:szCs w:val="21"/>
                <w:highlight w:val="none"/>
                <w:lang w:val="en-US" w:eastAsia="zh-CN"/>
              </w:rPr>
              <w:t xml:space="preserve">相关证明资料</w:t>
            </w:r>
            <w:r>
              <w:rPr>
                <w:rFonts w:hint="eastAsia" w:ascii="宋体" w:hAnsi="宋体" w:eastAsia="宋体" w:cs="宋体"/>
                <w:color w:val="auto"/>
                <w:sz w:val="21"/>
                <w:szCs w:val="21"/>
                <w:highlight w:val="none"/>
              </w:rPr>
              <w:t xml:space="preserve">将随中标结果公告同步公开。</w:t>
            </w:r>
            <w:r/>
          </w:p>
        </w:tc>
      </w:tr>
      <w:tr>
        <w:trPr>
          <w:trHeight w:val="580"/>
        </w:trPr>
        <w:tc>
          <w:tcPr>
            <w:tcW w:w="739" w:type="pct"/>
            <w:vAlign w:val="center"/>
            <w:vMerge w:val="continue"/>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50"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质量保障方案</w:t>
            </w:r>
            <w:r/>
          </w:p>
        </w:tc>
        <w:tc>
          <w:tcPr>
            <w:tcW w:w="511"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3.00</w:t>
            </w:r>
            <w:r/>
          </w:p>
        </w:tc>
        <w:tc>
          <w:tcPr>
            <w:tcW w:w="3099" w:type="pct"/>
            <w:vAlign w:val="center"/>
            <w:textDirection w:val="lrTb"/>
            <w:noWrap w:val="false"/>
          </w:tcPr>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投标人根据招标文件“第四章、采购需求—项目实施方案”中“质量保障措施”制定质量保障措施，评标委员会根据投标人提供的质量保障措施进行评审：方案全面、准确、清晰，优于采购需求的，得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分；方案相对全面能够满足采购需求的，得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分；方案内容不完善但承诺后期优化能够满足采购需求的，得1分。没有内容的不得分。</w:t>
            </w:r>
            <w:r/>
          </w:p>
        </w:tc>
      </w:tr>
      <w:tr>
        <w:trPr>
          <w:trHeight w:val="1234"/>
        </w:trPr>
        <w:tc>
          <w:tcPr>
            <w:tcW w:w="739" w:type="pct"/>
            <w:vAlign w:val="center"/>
            <w:vMerge w:val="continue"/>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50"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应急方案</w:t>
            </w:r>
            <w:r/>
          </w:p>
        </w:tc>
        <w:tc>
          <w:tcPr>
            <w:tcW w:w="51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.00</w:t>
            </w:r>
            <w:r/>
          </w:p>
        </w:tc>
        <w:tc>
          <w:tcPr>
            <w:tcW w:w="3099"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投标人根据招标文件“第四章、采购需求—项目实施方案”中“</w:t>
            </w:r>
            <w:r>
              <w:rPr>
                <w:rFonts w:hint="eastAsia" w:ascii="宋体" w:hAnsi="宋体" w:cs="宋体"/>
                <w:color w:val="auto"/>
                <w:sz w:val="21"/>
                <w:szCs w:val="21"/>
                <w:highlight w:val="none"/>
                <w:lang w:val="en-US" w:eastAsia="zh-CN"/>
              </w:rPr>
              <w:t xml:space="preserve">应急方案</w:t>
            </w:r>
            <w:r>
              <w:rPr>
                <w:rFonts w:hint="eastAsia" w:ascii="宋体" w:hAnsi="宋体" w:eastAsia="宋体" w:cs="宋体"/>
                <w:color w:val="auto"/>
                <w:sz w:val="21"/>
                <w:szCs w:val="21"/>
                <w:highlight w:val="none"/>
              </w:rPr>
              <w:t xml:space="preserve">”制定</w:t>
            </w:r>
            <w:r>
              <w:rPr>
                <w:rFonts w:hint="eastAsia" w:ascii="宋体" w:hAnsi="宋体" w:cs="宋体"/>
                <w:color w:val="auto"/>
                <w:sz w:val="21"/>
                <w:szCs w:val="21"/>
                <w:highlight w:val="none"/>
                <w:lang w:val="en-US" w:eastAsia="zh-CN"/>
              </w:rPr>
              <w:t xml:space="preserve">详细</w:t>
            </w:r>
            <w:r>
              <w:rPr>
                <w:rFonts w:hint="eastAsia" w:ascii="宋体" w:hAnsi="宋体" w:eastAsia="宋体" w:cs="宋体"/>
                <w:color w:val="auto"/>
                <w:sz w:val="21"/>
                <w:szCs w:val="21"/>
                <w:highlight w:val="none"/>
              </w:rPr>
              <w:t xml:space="preserve">方案，评标委员会根据投标人提供的</w:t>
            </w:r>
            <w:r>
              <w:rPr>
                <w:rFonts w:hint="eastAsia" w:ascii="宋体" w:hAnsi="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方案进行评审：</w:t>
            </w:r>
            <w:r>
              <w:rPr>
                <w:rFonts w:hint="eastAsia" w:ascii="宋体" w:hAnsi="宋体" w:eastAsia="宋体" w:cs="宋体"/>
                <w:color w:val="auto"/>
                <w:sz w:val="21"/>
                <w:szCs w:val="21"/>
                <w:highlight w:val="none"/>
                <w:lang w:eastAsia="zh-CN"/>
              </w:rPr>
              <w:t xml:space="preserve">方案全面、准确、清晰，</w:t>
            </w:r>
            <w:r>
              <w:rPr>
                <w:rFonts w:hint="eastAsia" w:ascii="宋体" w:hAnsi="宋体" w:eastAsia="宋体" w:cs="宋体"/>
                <w:color w:val="auto"/>
                <w:sz w:val="21"/>
                <w:szCs w:val="21"/>
                <w:highlight w:val="none"/>
              </w:rPr>
              <w:t xml:space="preserve">优于采购需求的，得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方案相对全面</w:t>
            </w:r>
            <w:r>
              <w:rPr>
                <w:rFonts w:hint="eastAsia" w:ascii="宋体" w:hAnsi="宋体" w:eastAsia="宋体" w:cs="宋体"/>
                <w:color w:val="auto"/>
                <w:sz w:val="21"/>
                <w:szCs w:val="21"/>
                <w:highlight w:val="none"/>
              </w:rPr>
              <w:t xml:space="preserve">满足采购需求的，得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w:t>
            </w:r>
            <w:r>
              <w:rPr>
                <w:rFonts w:hint="eastAsia" w:ascii="宋体" w:hAnsi="宋体" w:eastAsia="宋体" w:cs="宋体"/>
                <w:color w:val="auto"/>
                <w:sz w:val="21"/>
                <w:szCs w:val="21"/>
                <w:highlight w:val="none"/>
                <w:lang w:val="en-US" w:eastAsia="zh-CN"/>
              </w:rPr>
              <w:t xml:space="preserve">方案内容不完善但承诺后期优化能够满足采购需求的，得1分。</w:t>
            </w:r>
            <w:r>
              <w:rPr>
                <w:rFonts w:hint="eastAsia" w:ascii="宋体" w:hAnsi="宋体" w:eastAsia="宋体" w:cs="宋体"/>
                <w:color w:val="auto"/>
                <w:sz w:val="21"/>
                <w:szCs w:val="21"/>
                <w:highlight w:val="none"/>
              </w:rPr>
              <w:t xml:space="preserve">没有内容的不得分。</w:t>
            </w:r>
            <w:r/>
          </w:p>
        </w:tc>
      </w:tr>
      <w:tr>
        <w:trPr>
          <w:trHeight w:val="270"/>
        </w:trPr>
        <w:tc>
          <w:tcPr>
            <w:tcW w:w="739" w:type="pct"/>
            <w:vAlign w:val="center"/>
            <w:vMerge w:val="continue"/>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50"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风险防范</w:t>
            </w:r>
            <w:r/>
          </w:p>
        </w:tc>
        <w:tc>
          <w:tcPr>
            <w:tcW w:w="51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3.00</w:t>
            </w:r>
            <w:r/>
          </w:p>
        </w:tc>
        <w:tc>
          <w:tcPr>
            <w:tcW w:w="3099"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投标人根据招标文件“第四章、采购需求—项目实施方案”中“</w:t>
            </w:r>
            <w:r>
              <w:rPr>
                <w:rFonts w:hint="eastAsia" w:ascii="宋体" w:hAnsi="宋体" w:eastAsia="宋体" w:cs="宋体"/>
                <w:color w:val="auto"/>
                <w:sz w:val="21"/>
                <w:szCs w:val="21"/>
                <w:highlight w:val="none"/>
                <w:lang w:val="en-US" w:eastAsia="zh-CN"/>
              </w:rPr>
              <w:t xml:space="preserve">风险防范</w:t>
            </w:r>
            <w:r>
              <w:rPr>
                <w:rFonts w:hint="eastAsia" w:ascii="宋体" w:hAnsi="宋体" w:eastAsia="宋体" w:cs="宋体"/>
                <w:color w:val="auto"/>
                <w:sz w:val="21"/>
                <w:szCs w:val="21"/>
                <w:highlight w:val="none"/>
              </w:rPr>
              <w:t xml:space="preserve">”制定</w:t>
            </w:r>
            <w:r>
              <w:rPr>
                <w:rFonts w:hint="eastAsia" w:ascii="宋体" w:hAnsi="宋体" w:eastAsia="宋体" w:cs="宋体"/>
                <w:color w:val="auto"/>
                <w:sz w:val="21"/>
                <w:szCs w:val="21"/>
                <w:highlight w:val="none"/>
                <w:lang w:val="en-US" w:eastAsia="zh-CN"/>
              </w:rPr>
              <w:t xml:space="preserve">风险防范</w:t>
            </w:r>
            <w:r>
              <w:rPr>
                <w:rFonts w:hint="eastAsia" w:ascii="宋体" w:hAnsi="宋体" w:eastAsia="宋体" w:cs="宋体"/>
                <w:color w:val="auto"/>
                <w:sz w:val="21"/>
                <w:szCs w:val="21"/>
                <w:highlight w:val="none"/>
              </w:rPr>
              <w:t xml:space="preserve">方案，评标委员会根据投标人提供的</w:t>
            </w:r>
            <w:r>
              <w:rPr>
                <w:rFonts w:hint="eastAsia" w:ascii="宋体" w:hAnsi="宋体" w:eastAsia="宋体" w:cs="宋体"/>
                <w:color w:val="auto"/>
                <w:sz w:val="21"/>
                <w:szCs w:val="21"/>
                <w:highlight w:val="none"/>
                <w:lang w:val="en-US" w:eastAsia="zh-CN"/>
              </w:rPr>
              <w:t xml:space="preserve">风险防范</w:t>
            </w:r>
            <w:r>
              <w:rPr>
                <w:rFonts w:hint="eastAsia" w:ascii="宋体" w:hAnsi="宋体" w:eastAsia="宋体" w:cs="宋体"/>
                <w:color w:val="auto"/>
                <w:sz w:val="21"/>
                <w:szCs w:val="21"/>
                <w:highlight w:val="none"/>
              </w:rPr>
              <w:t xml:space="preserve">方案进行评审：</w:t>
            </w:r>
            <w:r>
              <w:rPr>
                <w:rFonts w:hint="eastAsia" w:ascii="宋体" w:hAnsi="宋体" w:eastAsia="宋体" w:cs="宋体"/>
                <w:color w:val="auto"/>
                <w:sz w:val="21"/>
                <w:szCs w:val="21"/>
                <w:highlight w:val="none"/>
                <w:lang w:eastAsia="zh-CN"/>
              </w:rPr>
              <w:t xml:space="preserve">方案全面、准确、清晰，</w:t>
            </w:r>
            <w:r>
              <w:rPr>
                <w:rFonts w:hint="eastAsia" w:ascii="宋体" w:hAnsi="宋体" w:eastAsia="宋体" w:cs="宋体"/>
                <w:color w:val="auto"/>
                <w:sz w:val="21"/>
                <w:szCs w:val="21"/>
                <w:highlight w:val="none"/>
              </w:rPr>
              <w:t xml:space="preserve">优于采购需求的，得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方案相对全面</w:t>
            </w:r>
            <w:r>
              <w:rPr>
                <w:rFonts w:hint="eastAsia" w:ascii="宋体" w:hAnsi="宋体" w:eastAsia="宋体" w:cs="宋体"/>
                <w:color w:val="auto"/>
                <w:sz w:val="21"/>
                <w:szCs w:val="21"/>
                <w:highlight w:val="none"/>
              </w:rPr>
              <w:t xml:space="preserve">满足采购需求的，得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w:t>
            </w:r>
            <w:r>
              <w:rPr>
                <w:rFonts w:hint="eastAsia" w:ascii="宋体" w:hAnsi="宋体" w:eastAsia="宋体" w:cs="宋体"/>
                <w:color w:val="auto"/>
                <w:sz w:val="21"/>
                <w:szCs w:val="21"/>
                <w:highlight w:val="none"/>
                <w:lang w:val="en-US" w:eastAsia="zh-CN"/>
              </w:rPr>
              <w:t xml:space="preserve">方案内容不完善但承诺后期优化能够满足采购需求的，得1分。</w:t>
            </w:r>
            <w:r>
              <w:rPr>
                <w:rFonts w:hint="eastAsia" w:ascii="宋体" w:hAnsi="宋体" w:eastAsia="宋体" w:cs="宋体"/>
                <w:color w:val="auto"/>
                <w:sz w:val="21"/>
                <w:szCs w:val="21"/>
                <w:highlight w:val="none"/>
              </w:rPr>
              <w:t xml:space="preserve">没有内容的不得分。</w:t>
            </w:r>
            <w:r/>
          </w:p>
        </w:tc>
      </w:tr>
      <w:tr>
        <w:trPr>
          <w:trHeight w:val="580"/>
        </w:trPr>
        <w:tc>
          <w:tcPr>
            <w:tcW w:w="739" w:type="pct"/>
            <w:vAlign w:val="center"/>
            <w:vMerge w:val="continue"/>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安装</w:t>
            </w:r>
            <w:r>
              <w:rPr>
                <w:rFonts w:hint="eastAsia" w:ascii="宋体" w:hAnsi="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方案</w:t>
            </w:r>
            <w:r/>
          </w:p>
        </w:tc>
        <w:tc>
          <w:tcPr>
            <w:tcW w:w="9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.00</w:t>
            </w:r>
            <w:r/>
          </w:p>
        </w:tc>
        <w:tc>
          <w:tcPr>
            <w:tcW w:w="5483"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投标人根据招标文件“第四章、采购需求—项目实施方案”中“</w:t>
            </w:r>
            <w:r>
              <w:rPr>
                <w:rFonts w:hint="eastAsia" w:ascii="宋体" w:hAnsi="宋体" w:eastAsia="宋体" w:cs="宋体"/>
                <w:color w:val="auto"/>
                <w:sz w:val="21"/>
                <w:szCs w:val="21"/>
                <w:highlight w:val="none"/>
                <w:lang w:val="en-US" w:eastAsia="zh-CN"/>
              </w:rPr>
              <w:t xml:space="preserve">安装</w:t>
            </w:r>
            <w:r>
              <w:rPr>
                <w:rFonts w:hint="eastAsia" w:ascii="宋体" w:hAnsi="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方案”制定</w:t>
            </w:r>
            <w:r>
              <w:rPr>
                <w:rFonts w:hint="eastAsia" w:ascii="宋体" w:hAnsi="宋体" w:eastAsia="宋体" w:cs="宋体"/>
                <w:color w:val="auto"/>
                <w:sz w:val="21"/>
                <w:szCs w:val="21"/>
                <w:highlight w:val="none"/>
                <w:lang w:val="en-US" w:eastAsia="zh-CN"/>
              </w:rPr>
              <w:t xml:space="preserve">详细</w:t>
            </w:r>
            <w:r>
              <w:rPr>
                <w:rFonts w:hint="eastAsia" w:ascii="宋体" w:hAnsi="宋体" w:eastAsia="宋体" w:cs="宋体"/>
                <w:color w:val="auto"/>
                <w:sz w:val="21"/>
                <w:szCs w:val="21"/>
                <w:highlight w:val="none"/>
              </w:rPr>
              <w:t xml:space="preserve">方案，评标委员会根据投标人提供的</w:t>
            </w:r>
            <w:r>
              <w:rPr>
                <w:rFonts w:hint="eastAsia" w:ascii="宋体" w:hAnsi="宋体" w:eastAsia="宋体" w:cs="宋体"/>
                <w:color w:val="auto"/>
                <w:sz w:val="21"/>
                <w:szCs w:val="21"/>
                <w:highlight w:val="none"/>
                <w:lang w:val="en-US" w:eastAsia="zh-CN"/>
              </w:rPr>
              <w:t xml:space="preserve">安装</w:t>
            </w:r>
            <w:r>
              <w:rPr>
                <w:rFonts w:hint="eastAsia" w:ascii="宋体" w:hAnsi="宋体" w:eastAsia="宋体" w:cs="宋体"/>
                <w:color w:val="auto"/>
                <w:sz w:val="21"/>
                <w:szCs w:val="21"/>
                <w:highlight w:val="none"/>
              </w:rPr>
              <w:t xml:space="preserve">方案进行评审：</w:t>
            </w:r>
            <w:r>
              <w:rPr>
                <w:rFonts w:hint="eastAsia" w:ascii="宋体" w:hAnsi="宋体" w:eastAsia="宋体" w:cs="宋体"/>
                <w:color w:val="auto"/>
                <w:sz w:val="21"/>
                <w:szCs w:val="21"/>
                <w:highlight w:val="none"/>
                <w:lang w:eastAsia="zh-CN"/>
              </w:rPr>
              <w:t xml:space="preserve">方案全面、准确、清晰，</w:t>
            </w:r>
            <w:r>
              <w:rPr>
                <w:rFonts w:hint="eastAsia" w:ascii="宋体" w:hAnsi="宋体" w:eastAsia="宋体" w:cs="宋体"/>
                <w:color w:val="auto"/>
                <w:sz w:val="21"/>
                <w:szCs w:val="21"/>
                <w:highlight w:val="none"/>
              </w:rPr>
              <w:t xml:space="preserve">优于采购需求的，得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方案相对全面能够</w:t>
            </w:r>
            <w:r>
              <w:rPr>
                <w:rFonts w:hint="eastAsia" w:ascii="宋体" w:hAnsi="宋体" w:eastAsia="宋体" w:cs="宋体"/>
                <w:color w:val="auto"/>
                <w:sz w:val="21"/>
                <w:szCs w:val="21"/>
                <w:highlight w:val="none"/>
              </w:rPr>
              <w:t xml:space="preserve">满足采购需求的，得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w:t>
            </w:r>
            <w:r>
              <w:rPr>
                <w:rFonts w:hint="eastAsia" w:ascii="宋体" w:hAnsi="宋体" w:eastAsia="宋体" w:cs="宋体"/>
                <w:color w:val="auto"/>
                <w:sz w:val="21"/>
                <w:szCs w:val="21"/>
                <w:highlight w:val="none"/>
                <w:lang w:val="en-US" w:eastAsia="zh-CN"/>
              </w:rPr>
              <w:t xml:space="preserve">方案内容不完善但承诺后期优化能够满足采购需求的，得1分。</w:t>
            </w:r>
            <w:r>
              <w:rPr>
                <w:rFonts w:hint="eastAsia" w:ascii="宋体" w:hAnsi="宋体" w:eastAsia="宋体" w:cs="宋体"/>
                <w:color w:val="auto"/>
                <w:sz w:val="21"/>
                <w:szCs w:val="21"/>
                <w:highlight w:val="none"/>
              </w:rPr>
              <w:t xml:space="preserve">没有内容的不得分。</w:t>
            </w:r>
            <w:r/>
          </w:p>
        </w:tc>
      </w:tr>
      <w:tr>
        <w:trPr>
          <w:trHeight w:val="580"/>
        </w:trPr>
        <w:tc>
          <w:tcPr>
            <w:tcW w:w="739" w:type="pct"/>
            <w:vAlign w:val="center"/>
            <w:vMerge w:val="continue"/>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防冰凌</w:t>
            </w:r>
            <w:r>
              <w:rPr>
                <w:rFonts w:hint="eastAsia" w:ascii="宋体" w:hAnsi="宋体" w:cs="宋体"/>
                <w:color w:val="auto"/>
                <w:sz w:val="21"/>
                <w:szCs w:val="21"/>
                <w:highlight w:val="none"/>
                <w:lang w:val="en-US" w:eastAsia="zh-CN"/>
              </w:rPr>
              <w:t xml:space="preserve">措施</w:t>
            </w:r>
            <w:r/>
          </w:p>
        </w:tc>
        <w:tc>
          <w:tcPr>
            <w:tcW w:w="9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w:t>
            </w:r>
            <w:r/>
          </w:p>
        </w:tc>
        <w:tc>
          <w:tcPr>
            <w:tcW w:w="5483"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投标人根据招标文件“第四章、采购需求—项目实施方案”中“</w:t>
            </w:r>
            <w:r>
              <w:rPr>
                <w:rFonts w:hint="eastAsia" w:ascii="宋体" w:hAnsi="宋体" w:eastAsia="宋体" w:cs="宋体"/>
                <w:color w:val="auto"/>
                <w:sz w:val="21"/>
                <w:szCs w:val="21"/>
                <w:highlight w:val="none"/>
                <w:lang w:val="en-US" w:eastAsia="zh-CN"/>
              </w:rPr>
              <w:t xml:space="preserve">防冰凌</w:t>
            </w:r>
            <w:r>
              <w:rPr>
                <w:rFonts w:hint="eastAsia" w:ascii="宋体" w:hAnsi="宋体" w:eastAsia="宋体" w:cs="宋体"/>
                <w:color w:val="auto"/>
                <w:sz w:val="21"/>
                <w:szCs w:val="21"/>
                <w:highlight w:val="none"/>
              </w:rPr>
              <w:t xml:space="preserve">方案”制定</w:t>
            </w:r>
            <w:r>
              <w:rPr>
                <w:rFonts w:hint="eastAsia" w:ascii="宋体" w:hAnsi="宋体" w:eastAsia="宋体" w:cs="宋体"/>
                <w:color w:val="auto"/>
                <w:sz w:val="21"/>
                <w:szCs w:val="21"/>
                <w:highlight w:val="none"/>
                <w:lang w:val="en-US" w:eastAsia="zh-CN"/>
              </w:rPr>
              <w:t xml:space="preserve">详细</w:t>
            </w:r>
            <w:r>
              <w:rPr>
                <w:rFonts w:hint="eastAsia" w:ascii="宋体" w:hAnsi="宋体" w:eastAsia="宋体" w:cs="宋体"/>
                <w:color w:val="auto"/>
                <w:sz w:val="21"/>
                <w:szCs w:val="21"/>
                <w:highlight w:val="none"/>
              </w:rPr>
              <w:t xml:space="preserve">方案，评标委员会根据投标人提供的方案进行评审：</w:t>
            </w:r>
            <w:r>
              <w:rPr>
                <w:rFonts w:hint="eastAsia" w:ascii="宋体" w:hAnsi="宋体" w:eastAsia="宋体" w:cs="宋体"/>
                <w:color w:val="auto"/>
                <w:sz w:val="21"/>
                <w:szCs w:val="21"/>
                <w:highlight w:val="none"/>
                <w:lang w:eastAsia="zh-CN"/>
              </w:rPr>
              <w:t xml:space="preserve">方案全面、准确、清晰，</w:t>
            </w:r>
            <w:r>
              <w:rPr>
                <w:rFonts w:hint="eastAsia" w:ascii="宋体" w:hAnsi="宋体" w:eastAsia="宋体" w:cs="宋体"/>
                <w:color w:val="auto"/>
                <w:sz w:val="21"/>
                <w:szCs w:val="21"/>
                <w:highlight w:val="none"/>
              </w:rPr>
              <w:t xml:space="preserve">优于采购需求的，得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方案相对全面能够</w:t>
            </w:r>
            <w:r>
              <w:rPr>
                <w:rFonts w:hint="eastAsia" w:ascii="宋体" w:hAnsi="宋体" w:eastAsia="宋体" w:cs="宋体"/>
                <w:color w:val="auto"/>
                <w:sz w:val="21"/>
                <w:szCs w:val="21"/>
                <w:highlight w:val="none"/>
              </w:rPr>
              <w:t xml:space="preserve">满足采购需求的，得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分；</w:t>
            </w:r>
            <w:r>
              <w:rPr>
                <w:rFonts w:hint="eastAsia" w:ascii="宋体" w:hAnsi="宋体" w:eastAsia="宋体" w:cs="宋体"/>
                <w:color w:val="auto"/>
                <w:sz w:val="21"/>
                <w:szCs w:val="21"/>
                <w:highlight w:val="none"/>
                <w:lang w:val="en-US" w:eastAsia="zh-CN"/>
              </w:rPr>
              <w:t xml:space="preserve">方案内容不完善但承诺后期优化能够满足采购需求的，得1分。</w:t>
            </w:r>
            <w:r>
              <w:rPr>
                <w:rFonts w:hint="eastAsia" w:ascii="宋体" w:hAnsi="宋体" w:eastAsia="宋体" w:cs="宋体"/>
                <w:color w:val="auto"/>
                <w:sz w:val="21"/>
                <w:szCs w:val="21"/>
                <w:highlight w:val="none"/>
              </w:rPr>
              <w:t xml:space="preserve">没有内容的不得分。</w:t>
            </w:r>
            <w:r/>
          </w:p>
        </w:tc>
      </w:tr>
      <w:tr>
        <w:trPr>
          <w:trHeight w:val="580"/>
        </w:trPr>
        <w:tc>
          <w:tcPr>
            <w:tcW w:w="739"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售后服务</w:t>
            </w:r>
            <w:r/>
          </w:p>
        </w:tc>
        <w:tc>
          <w:tcPr>
            <w:shd w:val="clear" w:color="auto" w:fill="auto"/>
            <w:tcW w:w="650"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售后服务</w:t>
            </w:r>
            <w:r>
              <w:rPr>
                <w:rFonts w:hint="eastAsia" w:ascii="宋体" w:hAnsi="宋体" w:eastAsia="宋体" w:cs="宋体"/>
                <w:color w:val="auto"/>
                <w:sz w:val="21"/>
                <w:szCs w:val="21"/>
                <w:highlight w:val="none"/>
              </w:rPr>
              <w:t xml:space="preserve">方案</w:t>
            </w:r>
            <w:r/>
          </w:p>
        </w:tc>
        <w:tc>
          <w:tcPr>
            <w:shd w:val="clear" w:color="auto" w:fill="auto"/>
            <w:tcW w:w="511" w:type="pct"/>
            <w:vAlign w:val="center"/>
            <w:textDirection w:val="lrTb"/>
            <w:noWrap w:val="false"/>
          </w:tcPr>
          <w:p>
            <w:pPr>
              <w:pStyle w:val="1148"/>
              <w:ind w:left="0" w:right="0"/>
              <w:jc w:val="center"/>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3.00</w:t>
            </w:r>
            <w:r/>
          </w:p>
        </w:tc>
        <w:tc>
          <w:tcPr>
            <w:shd w:val="clear" w:color="auto" w:fill="auto"/>
            <w:tcW w:w="3099" w:type="pct"/>
            <w:vAlign w:val="center"/>
            <w:textDirection w:val="lrTb"/>
            <w:noWrap w:val="false"/>
          </w:tcPr>
          <w:p>
            <w:pPr>
              <w:pStyle w:val="1148"/>
              <w:ind w:left="0" w:right="0"/>
              <w:jc w:val="both"/>
              <w:keepLines w:val="0"/>
              <w:keepNext w:val="0"/>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投标人根据招标文件“第四章、采购需求—售后服务”制定售后服务方案，评标委员会根据投标人提供的售后服务方案进行评审：方案详细、响应及时、服务体系完整，且优于采购需求的得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分；方案较详细、服务体系较完整，能够满足采购需求的得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分；方案笼统、响应滞后、服务体系</w:t>
            </w:r>
            <w:r>
              <w:rPr>
                <w:rFonts w:hint="eastAsia" w:ascii="宋体" w:hAnsi="宋体" w:cs="宋体"/>
                <w:color w:val="auto"/>
                <w:sz w:val="21"/>
                <w:szCs w:val="21"/>
                <w:highlight w:val="none"/>
                <w:lang w:val="en-US" w:eastAsia="zh-CN"/>
              </w:rPr>
              <w:t xml:space="preserve">不完善</w:t>
            </w:r>
            <w:r>
              <w:rPr>
                <w:rFonts w:hint="eastAsia" w:ascii="宋体" w:hAnsi="宋体" w:eastAsia="宋体" w:cs="宋体"/>
                <w:color w:val="auto"/>
                <w:sz w:val="21"/>
                <w:szCs w:val="21"/>
                <w:highlight w:val="none"/>
              </w:rPr>
              <w:t xml:space="preserve">，但承诺通过后期优化能够满足采购需求的得1分；没有内容不得分。</w:t>
            </w:r>
            <w:r/>
          </w:p>
        </w:tc>
      </w:tr>
    </w:tbl>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lang w:val="en-US" w:eastAsia="zh-CN"/>
        </w:rPr>
        <w:t xml:space="preserve">评标委员会按照本办法规定推荐中标候选人，并形成评标报告。</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（四）政府采购政策功能落实</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本项目落实的政府采购政策对应以下序号为</w:t>
      </w:r>
      <w:r>
        <w:rPr>
          <w:rFonts w:hint="eastAsia" w:ascii="宋体" w:hAnsi="宋体" w:eastAsia="宋体" w:cs="宋体"/>
          <w:b/>
          <w:color w:val="auto"/>
          <w:sz w:val="24"/>
          <w:highlight w:val="none"/>
          <w:u w:val="single"/>
        </w:rPr>
        <w:t xml:space="preserve"> 1</w:t>
      </w:r>
      <w:r>
        <w:rPr>
          <w:rFonts w:hint="eastAsia" w:ascii="宋体" w:hAnsi="宋体" w:eastAsia="宋体" w:cs="宋体"/>
          <w:b/>
          <w:color w:val="auto"/>
          <w:sz w:val="24"/>
          <w:highlight w:val="none"/>
          <w:u w:val="single"/>
          <w:lang w:eastAsia="zh-CN"/>
        </w:rPr>
        <w:t xml:space="preserve">、</w:t>
      </w:r>
      <w:r>
        <w:rPr>
          <w:rFonts w:hint="eastAsia" w:ascii="宋体" w:hAnsi="宋体" w:eastAsia="宋体" w:cs="宋体"/>
          <w:b/>
          <w:color w:val="auto"/>
          <w:sz w:val="24"/>
          <w:highlight w:val="none"/>
          <w:u w:val="single"/>
          <w:lang w:val="en-US" w:eastAsia="zh-CN"/>
        </w:rPr>
        <w:t xml:space="preserve">2、3</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eastAsia="zh-CN"/>
        </w:rPr>
        <w:t xml:space="preserve">、</w:t>
      </w:r>
      <w:r>
        <w:rPr>
          <w:rFonts w:hint="eastAsia" w:ascii="宋体" w:hAnsi="宋体" w:eastAsia="宋体" w:cs="宋体"/>
          <w:b/>
          <w:color w:val="auto"/>
          <w:sz w:val="24"/>
          <w:highlight w:val="none"/>
          <w:u w:val="single"/>
          <w:lang w:val="en-US" w:eastAsia="zh-CN"/>
        </w:rPr>
        <w:t xml:space="preserve">4</w:t>
      </w:r>
      <w:r>
        <w:rPr>
          <w:rFonts w:hint="eastAsia" w:ascii="宋体" w:hAnsi="宋体" w:eastAsia="宋体" w:cs="宋体"/>
          <w:b/>
          <w:color w:val="auto"/>
          <w:sz w:val="24"/>
          <w:highlight w:val="none"/>
          <w:u w:val="single"/>
        </w:rPr>
        <w:t xml:space="preserve"> </w:t>
      </w:r>
      <w:r/>
    </w:p>
    <w:p>
      <w:pPr>
        <w:numPr>
          <w:ilvl w:val="0"/>
          <w:numId w:val="0"/>
        </w:num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采购本国货物、工程和服务</w:t>
      </w:r>
      <w:r/>
    </w:p>
    <w:p>
      <w:pPr>
        <w:numPr>
          <w:ilvl w:val="0"/>
          <w:numId w:val="0"/>
        </w:num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2、中小企业政策</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本项目按以下第</w:t>
      </w:r>
      <w:r>
        <w:rPr>
          <w:rFonts w:hint="eastAsia" w:ascii="宋体" w:hAnsi="宋体" w:eastAsia="宋体" w:cs="宋体"/>
          <w:b w:val="0"/>
          <w:bCs/>
          <w:color w:val="auto"/>
          <w:sz w:val="24"/>
          <w:highlight w:val="none"/>
          <w:u w:val="single"/>
        </w:rPr>
        <w:t xml:space="preserve">（1）</w:t>
      </w:r>
      <w:r>
        <w:rPr>
          <w:rFonts w:hint="eastAsia" w:ascii="宋体" w:hAnsi="宋体" w:eastAsia="宋体" w:cs="宋体"/>
          <w:color w:val="auto"/>
          <w:sz w:val="24"/>
          <w:highlight w:val="none"/>
        </w:rPr>
        <w:t xml:space="preserve">种政策确定本项目落实的中小企业政策：</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（1）本项目专门面向中小企业（含监狱企业、残疾人福利企业）采购。</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rPr>
        <w:t xml:space="preserve"> 1</w:t>
      </w:r>
      <w:r>
        <w:rPr>
          <w:rFonts w:hint="eastAsia" w:ascii="宋体" w:hAnsi="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3、政府采购节能产品、环境标志产品</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（3）采购人拟采购的产品属于优先采购的节能环保品目清单范围的，按以下条件优先采购：</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采用综合评分法的项目，对提供有效节能环保证书的投标人加分。</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4、商品包装、快递包装政府采购需求标准（试行）</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5、绿色数据中心政府采购需求标准（试行）</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pageBreakBefore w:val="0"/>
        <w:spacing w:beforeAutospacing="0" w:afterAutospacing="0" w:line="440" w:lineRule="exact"/>
        <w:shd w:val="clear" w:color="auto"/>
        <w:rPr>
          <w:rFonts w:hint="eastAsia" w:ascii="宋体" w:hAnsi="宋体" w:eastAsia="宋体" w:cs="宋体"/>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pStyle w:val="755"/>
        <w:ind w:left="0" w:right="0"/>
        <w:jc w:val="center"/>
        <w:pageBreakBefore w:val="0"/>
        <w:spacing w:before="0" w:beforeAutospacing="0" w:after="0" w:afterAutospacing="0" w:line="440" w:lineRule="exact"/>
        <w:shd w:val="clear" w:color="auto"/>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44"/>
          <w:highlight w:val="none"/>
        </w:rPr>
      </w:r>
      <w:r/>
    </w:p>
    <w:p>
      <w:pPr>
        <w:pStyle w:val="755"/>
        <w:ind w:left="0" w:right="0"/>
        <w:jc w:val="center"/>
        <w:pageBreakBefore w:val="0"/>
        <w:spacing w:before="0" w:beforeAutospacing="0" w:after="0" w:afterAutospacing="0" w:line="440" w:lineRule="exact"/>
        <w:shd w:val="clear" w:color="auto"/>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pStyle w:val="755"/>
        <w:ind w:left="0" w:right="0"/>
        <w:jc w:val="center"/>
        <w:pageBreakBefore w:val="0"/>
        <w:spacing w:before="0" w:beforeAutospacing="0" w:after="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第六章投标文件格式</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ind w:left="0" w:right="0"/>
        <w:jc w:val="center"/>
        <w:pageBreakBefore w:val="0"/>
        <w:spacing w:beforeAutospacing="0" w:afterAutospacing="0" w:line="480" w:lineRule="auto"/>
        <w:shd w:val="clear" w:color="auto"/>
        <w:rPr>
          <w:rFonts w:hint="eastAsia"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r>
      <w:r/>
    </w:p>
    <w:p>
      <w:pPr>
        <w:ind w:left="0" w:right="0"/>
        <w:jc w:val="center"/>
        <w:pageBreakBefore w:val="0"/>
        <w:spacing w:beforeAutospacing="0" w:afterAutospacing="0" w:line="480" w:lineRule="auto"/>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投标文件</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（加盖CA电子公章）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日期 ：</w:t>
      </w:r>
      <w:r>
        <w:rPr>
          <w:rFonts w:hint="eastAsia" w:ascii="宋体" w:hAnsi="宋体" w:eastAsia="宋体" w:cs="宋体"/>
          <w:b/>
          <w:color w:val="auto"/>
          <w:sz w:val="36"/>
          <w:highlight w:val="none"/>
          <w:u w:val="singl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1084"/>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1084"/>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投标文件的组成</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一、基本目录</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1.开标一览表（格式见附件1）</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2.投标分项报价表（格式见附件2）</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3.技术要求响应及偏离表（格式见附件3）</w:t>
      </w:r>
      <w:r/>
    </w:p>
    <w:p>
      <w:pPr>
        <w:ind w:right="0"/>
        <w:pageBreakBefore w:val="0"/>
        <w:spacing w:beforeAutospacing="0" w:afterAutospacing="0" w:line="440" w:lineRule="exac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4.商务要求响应及偏离表（格式见附件4）</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二、资格审查内容</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1.投标声明及承诺函（格式见附件5）</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2.信用信息</w:t>
      </w:r>
      <w:r/>
    </w:p>
    <w:p>
      <w:pPr>
        <w:pStyle w:val="846"/>
        <w:ind w:left="0" w:right="0" w:firstLine="0"/>
        <w:pageBreakBefore w:val="0"/>
        <w:spacing w:beforeAutospacing="0" w:afterAutospacing="0"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3.落实政府采购政策需满足的资格要求</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7、8</w:t>
      </w:r>
      <w:r>
        <w:rPr>
          <w:rFonts w:hint="eastAsia" w:ascii="宋体" w:hAnsi="宋体" w:eastAsia="宋体" w:cs="宋体"/>
          <w:color w:val="auto"/>
          <w:sz w:val="24"/>
          <w:szCs w:val="21"/>
          <w:highlight w:val="none"/>
        </w:rPr>
        <w:t xml:space="preserve">）</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4.特定资格要求的证明文件（如果本项目对投标人做出特定资格要求的，必须提供）</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三、符合性审查内容</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tl w:val="0"/>
          <w:lang w:val="en-US" w:eastAsia="zh-CN"/>
        </w:rPr>
        <w:t xml:space="preserve">法定代表人身份证明或授权委托书</w:t>
      </w:r>
      <w:r>
        <w:rPr>
          <w:rFonts w:hint="eastAsia" w:ascii="宋体" w:hAnsi="宋体" w:eastAsia="宋体" w:cs="宋体"/>
          <w:color w:val="auto"/>
          <w:sz w:val="24"/>
          <w:highlight w:val="none"/>
        </w:rPr>
        <w:t xml:space="preserve">（格式见附件</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p>
    <w:p>
      <w:pPr>
        <w:ind w:right="0"/>
        <w:pageBreakBefore w:val="0"/>
        <w:spacing w:beforeAutospacing="0" w:afterAutospacing="0" w:line="440" w:lineRule="exact"/>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2.投标人必须对技术要求和商务要求中的实质性要求（</w:t>
      </w:r>
      <w:r>
        <w:rPr>
          <w:rFonts w:hint="eastAsia" w:ascii="宋体" w:hAnsi="宋体" w:eastAsia="宋体" w:cs="宋体"/>
          <w:i/>
          <w:iCs/>
          <w:color w:val="auto"/>
          <w:sz w:val="24"/>
          <w:szCs w:val="21"/>
          <w:highlight w:val="none"/>
          <w:u w:val="single"/>
          <w:lang w:val="en-US" w:eastAsia="zh-CN"/>
        </w:rPr>
        <w:t xml:space="preserve">加斜体下划线内容</w:t>
      </w:r>
      <w:r>
        <w:rPr>
          <w:rFonts w:hint="eastAsia" w:ascii="宋体" w:hAnsi="宋体" w:eastAsia="宋体" w:cs="宋体"/>
          <w:color w:val="auto"/>
          <w:sz w:val="24"/>
          <w:szCs w:val="21"/>
          <w:highlight w:val="none"/>
          <w:u w:val="single"/>
          <w:lang w:val="en-US" w:eastAsia="zh-CN"/>
        </w:rPr>
        <w:t xml:space="preserve">或打“★”内容</w:t>
      </w:r>
      <w:r>
        <w:rPr>
          <w:rFonts w:hint="eastAsia" w:ascii="宋体" w:hAnsi="宋体" w:eastAsia="宋体" w:cs="宋体"/>
          <w:color w:val="auto"/>
          <w:sz w:val="24"/>
          <w:szCs w:val="21"/>
          <w:highlight w:val="none"/>
          <w:lang w:val="en-US" w:eastAsia="zh-CN"/>
        </w:rPr>
        <w:t xml:space="preserve">）逐条做出明确响应</w:t>
      </w:r>
      <w:r>
        <w:rPr>
          <w:rFonts w:hint="eastAsia" w:ascii="宋体" w:hAnsi="宋体" w:eastAsia="宋体" w:cs="宋体"/>
          <w:color w:val="auto"/>
          <w:sz w:val="24"/>
          <w:szCs w:val="21"/>
          <w:highlight w:val="none"/>
        </w:rPr>
        <w:t xml:space="preserve">，并按照招标文件要求提供证明材料，否则做无效投标处理。（格式见附件</w:t>
      </w: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w:t>
      </w:r>
      <w:r/>
    </w:p>
    <w:p>
      <w:pPr>
        <w:ind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四、价格扣除证明文件</w:t>
      </w:r>
      <w:r/>
    </w:p>
    <w:p>
      <w:pPr>
        <w:ind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1.中小微企业声明函（格式见附件7）</w:t>
      </w:r>
      <w:r/>
    </w:p>
    <w:p>
      <w:pPr>
        <w:ind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2.残疾人福利性单位声明函（格式见附件8）</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jc w:val="both"/>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 开标一览表</w:t>
      </w:r>
      <w:r/>
    </w:p>
    <w:p>
      <w:pPr>
        <w:ind w:left="0" w:right="0" w:firstLine="482"/>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投标人全称（加盖CA电子签章）：</w:t>
      </w:r>
      <w:r/>
    </w:p>
    <w:p>
      <w:pPr>
        <w:ind w:left="0" w:right="0" w:firstLine="482"/>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p>
      <w:pPr>
        <w:ind w:left="0" w:right="0" w:firstLine="482"/>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p>
    <w:p>
      <w:pPr>
        <w:ind w:left="0" w:right="0" w:firstLine="482"/>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分包号：</w:t>
      </w:r>
      <w:r/>
    </w:p>
    <w:tbl>
      <w:tblPr>
        <w:tblStyle w:val="79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725"/>
        </w:trPr>
        <w:tc>
          <w:tcPr>
            <w:tcMar>
              <w:left w:w="108" w:type="dxa"/>
              <w:top w:w="0" w:type="dxa"/>
              <w:right w:w="108" w:type="dxa"/>
              <w:bottom w:w="0" w:type="dxa"/>
            </w:tcMar>
            <w:tcW w:w="8886"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投标总报价</w:t>
            </w:r>
            <w:r/>
          </w:p>
        </w:tc>
      </w:tr>
      <w:tr>
        <w:trPr>
          <w:trHeight w:val="612"/>
        </w:trPr>
        <w:tc>
          <w:tcPr>
            <w:tcMar>
              <w:left w:w="108" w:type="dxa"/>
              <w:top w:w="0" w:type="dxa"/>
              <w:right w:w="108" w:type="dxa"/>
              <w:bottom w:w="0" w:type="dxa"/>
            </w:tcMar>
            <w:tcW w:w="8886" w:type="dxa"/>
            <w:vAlign w:val="center"/>
            <w:textDirection w:val="lrTb"/>
            <w:noWrap w:val="false"/>
          </w:tcPr>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小写：                    （人民币：元）</w:t>
            </w:r>
            <w:r/>
          </w:p>
        </w:tc>
      </w:tr>
      <w:tr>
        <w:trPr>
          <w:trHeight w:val="612"/>
        </w:trPr>
        <w:tc>
          <w:tcPr>
            <w:tcMar>
              <w:left w:w="108" w:type="dxa"/>
              <w:top w:w="0" w:type="dxa"/>
              <w:right w:w="108" w:type="dxa"/>
              <w:bottom w:w="0" w:type="dxa"/>
            </w:tcMar>
            <w:tcW w:w="8886" w:type="dxa"/>
            <w:vAlign w:val="center"/>
            <w:textDirection w:val="lrTb"/>
            <w:noWrap w:val="false"/>
          </w:tcPr>
          <w:p>
            <w:pPr>
              <w:ind w:left="0" w:right="0"/>
              <w:pageBreakBefore w:val="0"/>
              <w:spacing w:beforeAutospacing="0" w:afterAutospacing="0" w:line="440" w:lineRule="exact"/>
              <w:shd w:val="clear" w:color="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售后服务期：                                 年</w:t>
            </w:r>
            <w:r/>
          </w:p>
        </w:tc>
      </w:tr>
    </w:tbl>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24"/>
          <w:highlight w:val="none"/>
        </w:rPr>
        <w:t xml:space="preserve">  </w:t>
      </w:r>
      <w:r/>
    </w:p>
    <w:p>
      <w:pPr>
        <w:ind w:left="0" w:right="0"/>
        <w:jc w:val="both"/>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附件2 投标分项报价表（分包号：***）</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494"/>
        <w:gridCol w:w="499"/>
        <w:gridCol w:w="530"/>
        <w:gridCol w:w="644"/>
        <w:gridCol w:w="511"/>
        <w:gridCol w:w="1176"/>
        <w:gridCol w:w="530"/>
        <w:gridCol w:w="481"/>
        <w:gridCol w:w="544"/>
        <w:gridCol w:w="507"/>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产品</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型号</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合同签订</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textDirection w:val="lrTb"/>
            <w:noWrap w:val="false"/>
          </w:tcPr>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1.投标报价采用总承包方式，“投标总报价”应包括所投货物（</w:t>
      </w:r>
      <w:r>
        <w:rPr>
          <w:rFonts w:hint="eastAsia" w:ascii="宋体" w:hAnsi="宋体" w:eastAsia="宋体" w:cs="宋体"/>
          <w:color w:val="auto"/>
          <w:sz w:val="24"/>
          <w:szCs w:val="21"/>
          <w:highlight w:val="none"/>
        </w:rPr>
        <w:t xml:space="preserve">包含与货物本身价格、</w:t>
      </w:r>
      <w:r>
        <w:rPr>
          <w:rFonts w:hint="eastAsia" w:ascii="宋体" w:hAnsi="宋体" w:eastAsia="宋体" w:cs="宋体"/>
          <w:color w:val="auto"/>
          <w:sz w:val="24"/>
          <w:highlight w:val="none"/>
          <w:lang w:val="en-US" w:eastAsia="zh-CN"/>
        </w:rPr>
        <w:t xml:space="preserve">人工、施工吊装、安装费、配件五金、备品备件、专用工具、二次转运费、船舶施工机械拼装及进退场费用、包装费、运输费、装卸费、保险费、检测费、税金、保修</w:t>
      </w:r>
      <w:r>
        <w:rPr>
          <w:rFonts w:hint="eastAsia" w:ascii="宋体" w:hAnsi="宋体" w:eastAsia="宋体" w:cs="宋体"/>
          <w:color w:val="auto"/>
          <w:sz w:val="24"/>
          <w:highlight w:val="none"/>
        </w:rPr>
        <w:t xml:space="preserve">）及其他有关的为完成本项目发生的所有费用，招标文件中另有规定的除外。</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2.“投标分项报价表”中“投标总报价”数额应当与“开标一览表”中“投标总报价”数额一致。</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3.投标人需认真填写本报价表，尤其注意品牌型号的准确填写。</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24"/>
          <w:highlight w:val="none"/>
        </w:rPr>
      </w:r>
      <w:r/>
    </w:p>
    <w:p>
      <w:pPr>
        <w:ind w:left="0" w:right="0"/>
        <w:jc w:val="both"/>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附件3 技术要求响应及偏离表（分包号：**）</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2918"/>
        <w:gridCol w:w="3024"/>
        <w:gridCol w:w="20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附件3-1  证明材料1，证明材料2，……</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1.投标人需对技术要求（未加斜体下划线的非实质性要求）逐条做出明确响应。</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24"/>
          <w:highlight w:val="none"/>
        </w:rPr>
      </w:r>
      <w:r/>
    </w:p>
    <w:p>
      <w:pPr>
        <w:ind w:left="0" w:right="0"/>
        <w:jc w:val="both"/>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附件4 商务要求响应及偏离表（分包号：**）</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2918"/>
        <w:gridCol w:w="3024"/>
        <w:gridCol w:w="20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附件4-1  证明材料1，证明材料2，……</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1.投标人需对商务要求（未加斜体下划线的非实质性要求）逐条做出明确响应。</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pageBreakBefore w:val="0"/>
        <w:spacing w:beforeAutospacing="0" w:afterAutospacing="0" w:line="440" w:lineRule="exact"/>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附件5                              </w:t>
      </w:r>
      <w:r/>
    </w:p>
    <w:p>
      <w:pPr>
        <w:ind w:left="0" w:right="0"/>
        <w:jc w:val="center"/>
        <w:keepLines/>
        <w:keepNext/>
        <w:pageBreakBefore w:val="0"/>
        <w:spacing w:beforeAutospacing="0" w:afterAutospacing="0" w:line="440" w:lineRule="exact"/>
        <w:shd w:val="clear" w:color="auto"/>
        <w:rPr>
          <w:rFonts w:hint="eastAsia" w:ascii="宋体" w:hAnsi="宋体" w:eastAsia="宋体" w:cs="宋体"/>
          <w:b/>
          <w:i/>
          <w:color w:val="auto"/>
          <w:sz w:val="32"/>
          <w:szCs w:val="32"/>
          <w:highlight w:val="none"/>
          <w:u w:val="single"/>
        </w:rPr>
        <w:outlineLvl w:val="1"/>
      </w:pPr>
      <w:r>
        <w:rPr>
          <w:rFonts w:hint="eastAsia" w:ascii="宋体" w:hAnsi="宋体" w:eastAsia="宋体" w:cs="宋体"/>
          <w:b/>
          <w:color w:val="auto"/>
          <w:sz w:val="24"/>
          <w:szCs w:val="21"/>
          <w:highlight w:val="none"/>
          <w:rtl w:val="0"/>
          <w:lang w:val="en-US" w:eastAsia="zh-CN"/>
        </w:rPr>
        <w:t xml:space="preserve">投标声明及承诺函</w:t>
      </w:r>
      <w:r/>
    </w:p>
    <w:p>
      <w:pPr>
        <w:ind w:left="0" w:right="0"/>
        <w:jc w:val="left"/>
        <w:pageBreakBefore w:val="0"/>
        <w:spacing w:beforeAutospacing="0" w:afterAutospacing="0" w:line="440" w:lineRule="exact"/>
        <w:shd w:val="clear" w:color="auto"/>
        <w:rPr>
          <w:rFonts w:hint="eastAsia" w:ascii="宋体" w:hAnsi="宋体" w:eastAsia="宋体" w:cs="宋体"/>
          <w:color w:val="auto"/>
          <w:sz w:val="24"/>
          <w:szCs w:val="21"/>
          <w:highlight w:val="none"/>
          <w:u w:val="single"/>
          <w:lang w:val="en-US"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lang w:val="en-US" w:eastAsia="zh-CN"/>
        </w:rPr>
        <w:t xml:space="preserve">           </w:t>
      </w:r>
      <w:r/>
    </w:p>
    <w:p>
      <w:pPr>
        <w:pStyle w:val="1145"/>
        <w:ind w:left="0" w:right="0" w:firstLine="480"/>
        <w:jc w:val="left"/>
        <w:pageBreakBefore w:val="0"/>
        <w:spacing w:beforeAutospacing="0" w:afterAutospacing="0" w:line="44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根据已收到的项目编号为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项目的招标文件，我方在参加本项目招投标活动中，特做出如下承诺：</w:t>
      </w:r>
      <w:r/>
    </w:p>
    <w:p>
      <w:pPr>
        <w:pStyle w:val="1145"/>
        <w:ind w:left="0" w:right="0" w:firstLine="480"/>
        <w:jc w:val="left"/>
        <w:pageBreakBefore w:val="0"/>
        <w:spacing w:beforeAutospacing="0" w:afterAutospacing="0" w:line="440" w:lineRule="exact"/>
        <w:shd w:val="clear" w:color="auto"/>
        <w:rPr>
          <w:rFonts w:hint="eastAsia" w:ascii="宋体" w:hAnsi="宋体" w:eastAsia="宋体" w:cs="宋体"/>
          <w:caps w:val="0"/>
          <w:color w:val="auto"/>
          <w:sz w:val="24"/>
          <w:highlight w:val="none"/>
        </w:rPr>
      </w:pPr>
      <w:r/>
      <w:bookmarkStart w:id="30" w:name="OLE_LINK2"/>
      <w:r>
        <w:rPr>
          <w:rFonts w:hint="eastAsia" w:ascii="宋体" w:hAnsi="宋体" w:eastAsia="宋体" w:cs="宋体"/>
          <w:color w:val="auto"/>
          <w:sz w:val="24"/>
          <w:szCs w:val="24"/>
          <w:highlight w:val="none"/>
          <w:lang w:val="en-US" w:eastAsia="zh-CN" w:bidi="ar-SA"/>
        </w:rPr>
        <w:t xml:space="preserve">1.</w:t>
      </w:r>
      <w:bookmarkEnd w:id="30"/>
      <w:r>
        <w:rPr>
          <w:rFonts w:hint="eastAsia" w:ascii="宋体" w:hAnsi="宋体" w:eastAsia="宋体" w:cs="宋体"/>
          <w:caps w:val="0"/>
          <w:color w:val="auto"/>
          <w:sz w:val="24"/>
          <w:szCs w:val="24"/>
          <w:highlight w:val="none"/>
        </w:rPr>
        <w:t xml:space="preserve">我方</w:t>
      </w:r>
      <w:r>
        <w:rPr>
          <w:rFonts w:hint="eastAsia" w:ascii="宋体" w:hAnsi="宋体" w:eastAsia="宋体" w:cs="宋体"/>
          <w:caps w:val="0"/>
          <w:color w:val="auto"/>
          <w:sz w:val="24"/>
          <w:highlight w:val="none"/>
        </w:rPr>
        <w:t xml:space="preserve">具备《中华人民共和国政府采购法》第二十二条第一款规定的6项条件；</w:t>
      </w:r>
      <w:r/>
    </w:p>
    <w:p>
      <w:pPr>
        <w:pStyle w:val="1145"/>
        <w:ind w:left="0" w:right="0" w:firstLine="480"/>
        <w:jc w:val="left"/>
        <w:pageBreakBefore w:val="0"/>
        <w:spacing w:beforeAutospacing="0" w:afterAutospacing="0" w:line="440" w:lineRule="exact"/>
        <w:shd w:val="clear" w:color="auto"/>
        <w:rPr>
          <w:rFonts w:hint="eastAsia" w:ascii="宋体" w:hAnsi="宋体" w:eastAsia="宋体" w:cs="宋体"/>
          <w:caps w:val="0"/>
          <w:color w:val="auto"/>
          <w:sz w:val="24"/>
          <w:szCs w:val="24"/>
          <w:highlight w:val="none"/>
        </w:rPr>
      </w:pPr>
      <w:r/>
      <w:bookmarkStart w:id="31" w:name="OLE_LINK3"/>
      <w:r>
        <w:rPr>
          <w:rFonts w:hint="eastAsia" w:ascii="宋体" w:hAnsi="宋体" w:eastAsia="宋体" w:cs="宋体"/>
          <w:color w:val="auto"/>
          <w:sz w:val="24"/>
          <w:szCs w:val="24"/>
          <w:highlight w:val="none"/>
          <w:lang w:val="en-US" w:eastAsia="zh-CN" w:bidi="ar-SA"/>
        </w:rPr>
        <w:t xml:space="preserve">2.</w:t>
      </w:r>
      <w:bookmarkEnd w:id="31"/>
      <w:r>
        <w:rPr>
          <w:rFonts w:hint="eastAsia" w:ascii="宋体" w:hAnsi="宋体" w:eastAsia="宋体" w:cs="宋体"/>
          <w:caps w:val="0"/>
          <w:color w:val="auto"/>
          <w:sz w:val="24"/>
          <w:szCs w:val="24"/>
          <w:highlight w:val="none"/>
        </w:rPr>
        <w:t xml:space="preserve">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5"/>
        <w:ind w:left="0" w:right="0" w:firstLine="480"/>
        <w:jc w:val="left"/>
        <w:pageBreakBefore w:val="0"/>
        <w:spacing w:beforeAutospacing="0" w:afterAutospacing="0" w:line="440" w:lineRule="exact"/>
        <w:shd w:val="clear" w:color="auto"/>
        <w:rPr>
          <w:rFonts w:hint="eastAsia" w:ascii="宋体" w:hAnsi="宋体" w:eastAsia="宋体" w:cs="宋体"/>
          <w:caps w:val="0"/>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aps w:val="0"/>
          <w:color w:val="auto"/>
          <w:sz w:val="24"/>
          <w:szCs w:val="24"/>
          <w:highlight w:val="none"/>
        </w:rPr>
        <w:t xml:space="preserve">我方按招标文件要求提交投标文件，响应招标文件规定的投标有效期</w:t>
      </w:r>
      <w:r>
        <w:rPr>
          <w:rFonts w:hint="eastAsia" w:ascii="宋体" w:hAnsi="宋体" w:eastAsia="宋体" w:cs="宋体"/>
          <w:caps w:val="0"/>
          <w:color w:val="auto"/>
          <w:sz w:val="24"/>
          <w:szCs w:val="24"/>
          <w:highlight w:val="none"/>
          <w:lang w:eastAsia="zh-CN"/>
        </w:rPr>
        <w:t xml:space="preserve">。</w:t>
      </w:r>
      <w:r/>
    </w:p>
    <w:p>
      <w:pPr>
        <w:pStyle w:val="1145"/>
        <w:ind w:left="0" w:right="0" w:firstLine="480"/>
        <w:jc w:val="left"/>
        <w:pageBreakBefore w:val="0"/>
        <w:spacing w:beforeAutospacing="0" w:afterAutospacing="0" w:line="440" w:lineRule="exact"/>
        <w:shd w:val="clear" w:color="auto"/>
        <w:rPr>
          <w:rFonts w:hint="eastAsia" w:ascii="宋体" w:hAnsi="宋体" w:eastAsia="宋体" w:cs="宋体"/>
          <w:caps w:val="0"/>
          <w:color w:val="auto"/>
          <w:sz w:val="24"/>
          <w:szCs w:val="24"/>
          <w:highlight w:val="none"/>
          <w:lang w:eastAsia="zh-CN"/>
        </w:rPr>
      </w:pPr>
      <w:r/>
      <w:bookmarkStart w:id="32" w:name="OLE_LINK4"/>
      <w:r>
        <w:rPr>
          <w:rFonts w:hint="eastAsia" w:ascii="宋体" w:hAnsi="宋体" w:eastAsia="宋体" w:cs="宋体"/>
          <w:color w:val="auto"/>
          <w:sz w:val="24"/>
          <w:szCs w:val="24"/>
          <w:highlight w:val="none"/>
          <w:lang w:val="en-US" w:eastAsia="zh-CN" w:bidi="ar-SA"/>
        </w:rPr>
        <w:t xml:space="preserve">4.</w:t>
      </w:r>
      <w:bookmarkEnd w:id="32"/>
      <w:r>
        <w:rPr>
          <w:rFonts w:hint="eastAsia" w:ascii="宋体" w:hAnsi="宋体" w:eastAsia="宋体" w:cs="宋体"/>
          <w:caps w:val="0"/>
          <w:color w:val="auto"/>
          <w:sz w:val="24"/>
          <w:szCs w:val="24"/>
          <w:highlight w:val="none"/>
        </w:rPr>
        <w:t xml:space="preserve">如果我方的投标文件被接受，我方将按《中华人民共和国民法典（第三编合同）》及其他有关法律、法规的规定，按期、按质、按量交付采购单位，全面做到履约守信</w:t>
      </w:r>
      <w:r>
        <w:rPr>
          <w:rFonts w:hint="eastAsia" w:ascii="宋体" w:hAnsi="宋体" w:eastAsia="宋体" w:cs="宋体"/>
          <w:caps w:val="0"/>
          <w:color w:val="auto"/>
          <w:sz w:val="24"/>
          <w:szCs w:val="24"/>
          <w:highlight w:val="none"/>
          <w:lang w:eastAsia="zh-CN"/>
        </w:rPr>
        <w:t xml:space="preserve">。</w:t>
      </w:r>
      <w:r/>
    </w:p>
    <w:p>
      <w:pPr>
        <w:pStyle w:val="1145"/>
        <w:ind w:left="0" w:right="0" w:firstLine="480"/>
        <w:jc w:val="left"/>
        <w:pageBreakBefore w:val="0"/>
        <w:spacing w:beforeAutospacing="0" w:afterAutospacing="0" w:line="440" w:lineRule="exact"/>
        <w:shd w:val="clear" w:color="auto"/>
        <w:rPr>
          <w:rFonts w:hint="eastAsia" w:ascii="宋体" w:hAnsi="宋体" w:eastAsia="宋体" w:cs="宋体"/>
          <w:caps w:val="0"/>
          <w:color w:val="auto"/>
          <w:sz w:val="24"/>
          <w:szCs w:val="24"/>
          <w:highlight w:val="none"/>
        </w:rPr>
      </w:pPr>
      <w:r/>
      <w:bookmarkStart w:id="33" w:name="OLE_LINK5"/>
      <w:r>
        <w:rPr>
          <w:rFonts w:hint="eastAsia" w:ascii="宋体" w:hAnsi="宋体" w:eastAsia="宋体" w:cs="宋体"/>
          <w:color w:val="auto"/>
          <w:sz w:val="24"/>
          <w:szCs w:val="24"/>
          <w:highlight w:val="none"/>
          <w:lang w:val="en-US" w:eastAsia="zh-CN" w:bidi="ar-SA"/>
        </w:rPr>
        <w:t xml:space="preserve">5.</w:t>
      </w:r>
      <w:bookmarkEnd w:id="33"/>
      <w:r>
        <w:rPr>
          <w:rFonts w:hint="eastAsia" w:ascii="宋体" w:hAnsi="宋体" w:eastAsia="宋体" w:cs="宋体"/>
          <w:caps w:val="0"/>
          <w:color w:val="auto"/>
          <w:sz w:val="24"/>
          <w:szCs w:val="24"/>
          <w:highlight w:val="none"/>
        </w:rPr>
        <w:t xml:space="preserve">我方若违背本声明及承诺约定，经查实，自愿接受采购人及相关主管部门相应的规定处理，并依法承担相应的法律责任。</w:t>
      </w:r>
      <w:r/>
    </w:p>
    <w:p>
      <w:pPr>
        <w:pStyle w:val="1145"/>
        <w:ind w:left="0" w:right="0" w:firstLine="480"/>
        <w:jc w:val="left"/>
        <w:pageBreakBefore w:val="0"/>
        <w:spacing w:beforeAutospacing="0" w:afterAutospacing="0" w:line="440" w:lineRule="exact"/>
        <w:shd w:val="clear" w:color="auto"/>
        <w:rPr>
          <w:rFonts w:hint="eastAsia" w:ascii="宋体" w:hAnsi="宋体" w:eastAsia="宋体" w:cs="宋体"/>
          <w:caps w:val="0"/>
          <w:color w:val="auto"/>
          <w:sz w:val="24"/>
          <w:szCs w:val="24"/>
          <w:highlight w:val="none"/>
        </w:rPr>
      </w:pPr>
      <w:r/>
      <w:bookmarkStart w:id="34" w:name="OLE_LINK6"/>
      <w:r>
        <w:rPr>
          <w:rFonts w:hint="eastAsia" w:ascii="宋体" w:hAnsi="宋体" w:eastAsia="宋体" w:cs="宋体"/>
          <w:color w:val="auto"/>
          <w:sz w:val="24"/>
          <w:szCs w:val="24"/>
          <w:highlight w:val="none"/>
          <w:lang w:val="en-US" w:eastAsia="zh-CN" w:bidi="ar-SA"/>
        </w:rPr>
        <w:t xml:space="preserve">6.</w:t>
      </w:r>
      <w:bookmarkEnd w:id="34"/>
      <w:r>
        <w:rPr>
          <w:rFonts w:hint="eastAsia" w:ascii="宋体" w:hAnsi="宋体" w:eastAsia="宋体" w:cs="宋体"/>
          <w:caps w:val="0"/>
          <w:color w:val="auto"/>
          <w:sz w:val="24"/>
          <w:szCs w:val="24"/>
          <w:highlight w:val="none"/>
        </w:rPr>
        <w:t xml:space="preserve">我方同意采购人、采购代理机构将本声明及承诺函上网公开。</w:t>
      </w:r>
      <w:r/>
    </w:p>
    <w:p>
      <w:pPr>
        <w:pStyle w:val="1145"/>
        <w:ind w:left="0" w:right="0" w:firstLine="480"/>
        <w:jc w:val="left"/>
        <w:pageBreakBefore w:val="0"/>
        <w:spacing w:beforeAutospacing="0" w:afterAutospacing="0" w:line="44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1145"/>
        <w:ind w:left="0" w:right="0"/>
        <w:jc w:val="left"/>
        <w:pageBreakBefore w:val="0"/>
        <w:spacing w:beforeAutospacing="0" w:afterAutospacing="0" w:line="44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1145"/>
        <w:ind w:left="0" w:right="0" w:firstLine="480"/>
        <w:jc w:val="left"/>
        <w:pageBreakBefore w:val="0"/>
        <w:spacing w:beforeAutospacing="0" w:afterAutospacing="0" w:line="44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投标人名称：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（加盖CA电子公章）</w:t>
      </w:r>
      <w:r/>
    </w:p>
    <w:p>
      <w:pPr>
        <w:pStyle w:val="1145"/>
        <w:ind w:left="0" w:right="0" w:firstLine="480"/>
        <w:pageBreakBefore w:val="0"/>
        <w:spacing w:beforeAutospacing="0" w:afterAutospacing="0" w:line="440" w:lineRule="exact"/>
        <w:shd w:val="clear" w:color="auto"/>
        <w:rPr>
          <w:rFonts w:hint="eastAsia" w:ascii="宋体" w:hAnsi="宋体" w:eastAsia="宋体" w:cs="宋体"/>
          <w:caps w:val="0"/>
          <w:color w:val="auto"/>
          <w:highlight w:val="none"/>
        </w:rPr>
      </w:pPr>
      <w:r>
        <w:rPr>
          <w:rFonts w:hint="eastAsia" w:ascii="宋体" w:hAnsi="宋体" w:eastAsia="宋体" w:cs="宋体"/>
          <w:caps w:val="0"/>
          <w:color w:val="auto"/>
          <w:sz w:val="24"/>
          <w:szCs w:val="24"/>
          <w:highlight w:val="none"/>
        </w:rPr>
        <w:t xml:space="preserve">日期：    年    月   日</w:t>
      </w:r>
      <w:r/>
    </w:p>
    <w:p>
      <w:pPr>
        <w:ind w:left="0" w:right="0" w:firstLine="480"/>
        <w:pageBreakBefore w:val="0"/>
        <w:spacing w:beforeAutospacing="0" w:afterAutospacing="0" w:line="440" w:lineRule="exact"/>
        <w:shd w:val="clear" w:color="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pStyle w:val="795"/>
        <w:rPr>
          <w:rFonts w:hint="eastAsia"/>
          <w:color w:val="auto"/>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color w:val="auto"/>
          <w:highlight w:val="none"/>
        </w:rPr>
      </w:r>
      <w:r/>
    </w:p>
    <w:p>
      <w:pPr>
        <w:ind w:right="0"/>
        <w:pageBreakBefore w:val="0"/>
        <w:spacing w:beforeAutospacing="0" w:afterAutospacing="0" w:line="440" w:lineRule="exact"/>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附件6          </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法人授权书</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本授权书声明：____________（投标人名称）授权________________（被授权人的姓名）为我方就</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号</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项目采购活动的合法代理人，以本单位名义全权处理一切与该项目采购有关的事务。</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本授权书于______年____月____日起生效，特此声明。</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被授权人身份证号码：</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被授权人联系电话：（手机）</w:t>
      </w:r>
      <w:r>
        <w:rPr>
          <w:rFonts w:hint="eastAsia" w:ascii="宋体" w:hAnsi="宋体" w:eastAsia="宋体" w:cs="宋体"/>
          <w:color w:val="auto"/>
          <w:sz w:val="24"/>
          <w:highlight w:val="none"/>
          <w:u w:val="single"/>
        </w:rPr>
        <w:t xml:space="preserve">          </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（加盖CA电子公章）</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241"/>
        <w:jc w:val="center"/>
        <w:pageBreakBefore w:val="0"/>
        <w:spacing w:beforeAutospacing="0" w:afterAutospacing="0" w:line="440" w:lineRule="exact"/>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24"/>
          <w:highlight w:val="none"/>
        </w:rPr>
      </w:r>
      <w:r/>
    </w:p>
    <w:p>
      <w:pPr>
        <w:ind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附件7  中小微企业声明函（货物类项目）（分包号：**）</w:t>
      </w:r>
      <w:r/>
    </w:p>
    <w:p>
      <w:pPr>
        <w:ind w:left="0" w:right="0" w:firstLine="36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highlight w:val="none"/>
          <w:lang w:val="en-US" w:eastAsia="zh-CN"/>
        </w:rPr>
        <w:t xml:space="preserve">泗洪县公共资源交易中心</w:t>
      </w:r>
      <w:r>
        <w:rPr>
          <w:rFonts w:hint="eastAsia" w:ascii="宋体" w:hAnsi="宋体" w:eastAsia="宋体" w:cs="宋体"/>
          <w:color w:val="auto"/>
          <w:sz w:val="24"/>
          <w:highlight w:val="none"/>
        </w:rPr>
        <w:t xml:space="preserve">组织的</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采购编号为</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（项目名称）（分包号：**）</w:t>
      </w:r>
      <w:r>
        <w:rPr>
          <w:rFonts w:hint="eastAsia" w:ascii="宋体" w:hAnsi="宋体" w:eastAsia="宋体" w:cs="宋体"/>
          <w:color w:val="auto"/>
          <w:sz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36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 □小型企业 □微型企业）；</w:t>
      </w:r>
      <w:r/>
    </w:p>
    <w:p>
      <w:pPr>
        <w:ind w:left="0" w:right="0" w:firstLine="36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 □小型企业 □微型企业）；</w:t>
      </w:r>
      <w:r/>
    </w:p>
    <w:p>
      <w:pPr>
        <w:ind w:left="0" w:right="0" w:firstLine="36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ind w:left="0" w:right="0" w:firstLine="36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left="0" w:right="0" w:firstLine="36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本企业对上述声明内容的真实性负责。如有虚假，将依法承担相应责任</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360"/>
        <w:jc w:val="right"/>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企业名称（加盖CA电子公章）：</w:t>
      </w:r>
      <w:r/>
    </w:p>
    <w:p>
      <w:pPr>
        <w:ind w:left="0" w:right="0" w:firstLine="540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788"/>
        <w:ind w:left="0" w:right="0" w:firstLine="0"/>
        <w:keepLines w:val="0"/>
        <w:keepNext w:val="0"/>
        <w:pageBreakBefore w:val="0"/>
        <w:spacing w:before="0" w:beforeAutospacing="0" w:after="0" w:afterAutospacing="0" w:line="440" w:lineRule="exact"/>
        <w:widowControl/>
        <w:rPr>
          <w:rFonts w:ascii="微软雅黑" w:hAnsi="微软雅黑" w:eastAsia="微软雅黑" w:cs="微软雅黑"/>
          <w:i w:val="0"/>
          <w:iCs w:val="0"/>
          <w:caps w:val="0"/>
          <w:color w:val="auto"/>
          <w:spacing w:val="0"/>
          <w:sz w:val="18"/>
          <w:szCs w:val="18"/>
          <w:highlight w:val="none"/>
        </w:rPr>
        <w:suppressLineNumbers w:val="0"/>
      </w:pPr>
      <w:r>
        <w:rPr>
          <w:rFonts w:hint="eastAsia" w:ascii="微软雅黑" w:hAnsi="微软雅黑" w:eastAsia="微软雅黑" w:cs="微软雅黑"/>
          <w:i w:val="0"/>
          <w:iCs w:val="0"/>
          <w:caps w:val="0"/>
          <w:color w:val="auto"/>
          <w:spacing w:val="0"/>
          <w:sz w:val="18"/>
          <w:szCs w:val="18"/>
          <w:highlight w:val="none"/>
        </w:rPr>
        <w:t xml:space="preserve">1从业人员、营业收入、资产总额填报上一年数据，无上一年数据的新成立企业可不填报。</w:t>
      </w:r>
      <w:r/>
    </w:p>
    <w:p>
      <w:pPr>
        <w:pStyle w:val="788"/>
        <w:ind w:left="0" w:right="0" w:firstLine="0"/>
        <w:keepLines w:val="0"/>
        <w:keepNext w:val="0"/>
        <w:pageBreakBefore w:val="0"/>
        <w:spacing w:before="0" w:beforeAutospacing="0" w:after="0" w:afterAutospacing="0" w:line="440" w:lineRule="exact"/>
        <w:widowControl/>
        <w:rPr>
          <w:rFonts w:hint="eastAsia" w:ascii="微软雅黑" w:hAnsi="微软雅黑" w:eastAsia="微软雅黑" w:cs="微软雅黑"/>
          <w:i w:val="0"/>
          <w:iCs w:val="0"/>
          <w:caps w:val="0"/>
          <w:color w:val="auto"/>
          <w:spacing w:val="0"/>
          <w:sz w:val="18"/>
          <w:szCs w:val="18"/>
          <w:highlight w:val="none"/>
        </w:rPr>
        <w:suppressLineNumbers w:val="0"/>
      </w:pPr>
      <w:r>
        <w:rPr>
          <w:rFonts w:hint="eastAsia" w:ascii="微软雅黑" w:hAnsi="微软雅黑" w:eastAsia="微软雅黑" w:cs="微软雅黑"/>
          <w:i w:val="0"/>
          <w:iCs w:val="0"/>
          <w:caps w:val="0"/>
          <w:color w:val="auto"/>
          <w:spacing w:val="0"/>
          <w:sz w:val="18"/>
          <w:szCs w:val="18"/>
          <w:highlight w:val="none"/>
        </w:rPr>
        <w:t xml:space="preserve">注：《中小企业声明函》怎么填写？ </w:t>
      </w:r>
      <w:r>
        <w:rPr>
          <w:rFonts w:hint="eastAsia" w:ascii="微软雅黑" w:hAnsi="微软雅黑" w:eastAsia="微软雅黑" w:cs="微软雅黑"/>
          <w:i w:val="0"/>
          <w:iCs w:val="0"/>
          <w:caps w:val="0"/>
          <w:color w:val="auto"/>
          <w:spacing w:val="0"/>
          <w:sz w:val="18"/>
          <w:szCs w:val="18"/>
          <w:highlight w:val="none"/>
        </w:rPr>
        <w:fldChar w:fldCharType="begin"/>
      </w:r>
      <w:r>
        <w:rPr>
          <w:rFonts w:hint="eastAsia" w:ascii="微软雅黑" w:hAnsi="微软雅黑" w:eastAsia="微软雅黑" w:cs="微软雅黑"/>
          <w:i w:val="0"/>
          <w:iCs w:val="0"/>
          <w:caps w:val="0"/>
          <w:color w:val="auto"/>
          <w:spacing w:val="0"/>
          <w:sz w:val="18"/>
          <w:szCs w:val="18"/>
          <w:highlight w:val="none"/>
        </w:rPr>
        <w:instrText xml:space="preserve"> HYPERLINK "https://mp.weixin.qq.com/s/j67jLMUey54bMdcC6rcamw" </w:instrText>
      </w:r>
      <w:r>
        <w:rPr>
          <w:rFonts w:hint="eastAsia" w:ascii="微软雅黑" w:hAnsi="微软雅黑" w:eastAsia="微软雅黑" w:cs="微软雅黑"/>
          <w:i w:val="0"/>
          <w:iCs w:val="0"/>
          <w:caps w:val="0"/>
          <w:color w:val="auto"/>
          <w:spacing w:val="0"/>
          <w:sz w:val="18"/>
          <w:szCs w:val="18"/>
          <w:highlight w:val="none"/>
        </w:rPr>
        <w:fldChar w:fldCharType="separate"/>
      </w:r>
      <w:r>
        <w:rPr>
          <w:rStyle w:val="793"/>
          <w:rFonts w:hint="eastAsia" w:ascii="微软雅黑" w:hAnsi="微软雅黑" w:eastAsia="微软雅黑" w:cs="微软雅黑"/>
          <w:i w:val="0"/>
          <w:iCs w:val="0"/>
          <w:caps w:val="0"/>
          <w:color w:val="auto"/>
          <w:spacing w:val="0"/>
          <w:sz w:val="18"/>
          <w:szCs w:val="18"/>
          <w:highlight w:val="none"/>
        </w:rPr>
        <w:t xml:space="preserve">https://mp.weixin.qq.com/s/j67jLMUey54bMdcC6rcamw</w:t>
      </w:r>
      <w:r>
        <w:rPr>
          <w:rFonts w:hint="eastAsia" w:ascii="微软雅黑" w:hAnsi="微软雅黑" w:eastAsia="微软雅黑" w:cs="微软雅黑"/>
          <w:i w:val="0"/>
          <w:iCs w:val="0"/>
          <w:caps w:val="0"/>
          <w:color w:val="auto"/>
          <w:spacing w:val="0"/>
          <w:sz w:val="18"/>
          <w:szCs w:val="18"/>
          <w:highlight w:val="none"/>
        </w:rPr>
        <w:fldChar w:fldCharType="end"/>
      </w:r>
      <w:r/>
    </w:p>
    <w:p>
      <w:pPr>
        <w:pStyle w:val="788"/>
        <w:ind w:left="0" w:right="0" w:firstLine="0"/>
        <w:keepLines w:val="0"/>
        <w:keepNext w:val="0"/>
        <w:pageBreakBefore w:val="0"/>
        <w:spacing w:before="0" w:beforeAutospacing="0" w:after="0" w:afterAutospacing="0" w:line="440" w:lineRule="exact"/>
        <w:widowControl/>
        <w:rPr>
          <w:rFonts w:hint="eastAsia" w:ascii="微软雅黑" w:hAnsi="微软雅黑" w:eastAsia="微软雅黑" w:cs="微软雅黑"/>
          <w:i w:val="0"/>
          <w:iCs w:val="0"/>
          <w:caps w:val="0"/>
          <w:color w:val="auto"/>
          <w:spacing w:val="0"/>
          <w:sz w:val="18"/>
          <w:szCs w:val="18"/>
          <w:highlight w:val="none"/>
          <w:lang w:eastAsia="zh-CN"/>
        </w:rPr>
        <w:suppressLineNumbers w:val="0"/>
      </w:pPr>
      <w:r>
        <w:rPr>
          <w:rFonts w:hint="eastAsia" w:ascii="微软雅黑" w:hAnsi="微软雅黑" w:eastAsia="微软雅黑" w:cs="微软雅黑"/>
          <w:i w:val="0"/>
          <w:iCs w:val="0"/>
          <w:caps w:val="0"/>
          <w:color w:val="auto"/>
          <w:spacing w:val="0"/>
          <w:sz w:val="18"/>
          <w:szCs w:val="18"/>
          <w:highlight w:val="none"/>
          <w:lang w:eastAsia="zh-CN"/>
        </w:rPr>
        <w:t xml:space="preserve">中小企业声明函填写不符合要求，是导致无效标的重要因素之一。</w:t>
      </w:r>
      <w:r/>
    </w:p>
    <w:p>
      <w:pPr>
        <w:ind w:left="0" w:right="0" w:hanging="12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br w:type="page" w:clear="all"/>
      </w:r>
      <w:r/>
    </w:p>
    <w:p>
      <w:pPr>
        <w:ind w:left="0" w:right="0" w:hanging="12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附件8  残疾人福利性单位声明函（货物类项目）（分包号：**）</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项目（分包号：**）采购活动提供本单位制造的货物，或者提供其他残疾人福利性单位制造的货物（不包括使用非残疾人福利性单位注册商标的货物）。</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本单位对上述声明的真实性负责。如有虚假，将依法承担相应责任。</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2.非专门面向中小微型企业采购的项目，供应商如不提供此声明函，价格将不做相应扣除。</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3.中标/中标供应商为残疾人福利性单位的，此声明函将随中标/成交结果同时公告，接受社会监督。</w:t>
      </w:r>
      <w:r/>
    </w:p>
    <w:p>
      <w:pPr>
        <w:ind w:left="0" w:right="0" w:firstLine="624"/>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p>
    <w:p>
      <w:pPr>
        <w:ind w:left="0" w:right="0" w:firstLine="624"/>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rPr>
          <w:rFonts w:hint="eastAsia" w:ascii="宋体" w:hAnsi="宋体" w:eastAsia="宋体" w:cs="宋体"/>
          <w:color w:val="auto"/>
          <w:sz w:val="24"/>
          <w:highlight w:val="none"/>
        </w:rPr>
        <w:t xml:space="preserve">供应商全称（加盖CA电子公章）：</w:t>
      </w:r>
      <w:r/>
    </w:p>
    <w:p>
      <w:pPr>
        <w:ind w:left="0" w:right="0" w:firstLine="28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附件9实质性要求响应及偏离表（分包号：**）</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412"/>
        <w:gridCol w:w="3106"/>
        <w:gridCol w:w="14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技术要求和商务要求中的实质性要求</w:t>
            </w:r>
            <w:r>
              <w:rPr>
                <w:rFonts w:hint="eastAsia" w:ascii="宋体" w:hAnsi="宋体" w:eastAsia="宋体" w:cs="宋体"/>
                <w:i/>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附件9-1 证明材料1，证明材料2，……</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1.投标人必须对技术要求和商务要求中的实质性要求</w:t>
      </w:r>
      <w:r>
        <w:rPr>
          <w:rFonts w:hint="eastAsia" w:ascii="宋体" w:hAnsi="宋体" w:eastAsia="宋体" w:cs="宋体"/>
          <w:i/>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rPr>
          <w:rFonts w:hint="eastAsia" w:ascii="宋体" w:hAnsi="宋体" w:eastAsia="宋体" w:cs="宋体"/>
          <w:color w:val="auto"/>
          <w:sz w:val="24"/>
          <w:highlight w:val="none"/>
        </w:rPr>
        <w:t xml:space="preserve">逐条做出明确响应。</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2.如果招标文件要求提供证明材料，投标人必须将证明材料列于该表之下。</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3.投标人未对实质性要求逐条作出明确响应的，或未按招标文件要求提供证明材料的，该分包作无效投标处理。</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jc w:val="center"/>
        <w:pageBreakBefore w:val="0"/>
        <w:spacing w:beforeAutospacing="0" w:afterAutospacing="0" w:line="440" w:lineRule="exact"/>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pStyle w:val="766"/>
        <w:ind w:left="0" w:right="0"/>
        <w:pageBreakBefore w:val="0"/>
        <w:spacing w:beforeAutospacing="0" w:afterAutospacing="0" w:line="44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67"/>
        <w:ind w:left="0" w:right="0"/>
        <w:pageBreakBefore w:val="0"/>
        <w:spacing w:beforeAutospacing="0" w:afterAutospacing="0" w:line="44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right="0"/>
        <w:pageBreakBefore w:val="0"/>
        <w:spacing w:beforeAutospacing="0" w:afterAutospacing="0" w:line="44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66"/>
        <w:ind w:left="0" w:right="0"/>
        <w:pageBreakBefore w:val="0"/>
        <w:spacing w:beforeAutospacing="0" w:afterAutospacing="0" w:line="44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67"/>
        <w:ind w:left="0" w:right="0"/>
        <w:pageBreakBefore w:val="0"/>
        <w:spacing w:beforeAutospacing="0" w:afterAutospacing="0" w:line="44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right="0"/>
        <w:pageBreakBefore w:val="0"/>
        <w:spacing w:beforeAutospacing="0" w:afterAutospacing="0" w:line="44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66"/>
        <w:ind w:left="0" w:right="0"/>
        <w:pageBreakBefore w:val="0"/>
        <w:spacing w:beforeAutospacing="0" w:afterAutospacing="0" w:line="44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67"/>
        <w:ind w:left="0" w:right="0"/>
        <w:pageBreakBefore w:val="0"/>
        <w:spacing w:beforeAutospacing="0" w:afterAutospacing="0" w:line="44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right="0"/>
        <w:pageBreakBefore w:val="0"/>
        <w:spacing w:beforeAutospacing="0" w:afterAutospacing="0" w:line="44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66"/>
        <w:ind w:left="0" w:right="0"/>
        <w:pageBreakBefore w:val="0"/>
        <w:spacing w:beforeAutospacing="0" w:afterAutospacing="0"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center"/>
        <w:pageBreakBefore w:val="0"/>
        <w:spacing w:beforeAutospacing="0" w:afterAutospacing="0" w:line="440" w:lineRule="exact"/>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32"/>
          <w:highlight w:val="none"/>
        </w:rPr>
      </w:r>
      <w:r/>
    </w:p>
    <w:p>
      <w:pPr>
        <w:ind w:left="0" w:right="0"/>
        <w:jc w:val="center"/>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质疑函范本</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一、质疑供应商基本信息</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default"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二、质疑项目基本情况</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三、质疑事项具体内容</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质疑事项2</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四、与质疑事项相关的质疑请求</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ind w:left="0" w:right="0"/>
        <w:pageBreakBefore w:val="0"/>
        <w:spacing w:beforeAutospacing="0" w:afterAutospacing="0" w:line="440" w:lineRule="exac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签字(签章)：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公章：                      </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质疑函制作说明：</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1.供应商提出质疑时，应提交质疑函和必要的证明材料。</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3.质疑供应商若对项目的某一分包进行质疑，质疑函中应列明具体分包号。</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4.质疑函的质疑事项应具体、明确，并有必要的事实依据和法律依据。</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5.质疑函的质疑请求应与质疑事项相关。</w:t>
      </w:r>
      <w:r/>
    </w:p>
    <w:p>
      <w:pPr>
        <w:ind w:left="0" w:right="0" w:firstLine="480"/>
        <w:pageBreakBefore w:val="0"/>
        <w:spacing w:beforeAutospacing="0" w:afterAutospacing="0" w:line="44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pageBreakBefore w:val="0"/>
        <w:spacing w:beforeAutospacing="0" w:afterAutospacing="0"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6"/>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rPr>
                              <w:rStyle w:val="1063"/>
                              <w:rFonts w:ascii="宋体" w:hAnsi="宋体"/>
                            </w:rPr>
                          </w:pPr>
                          <w:r>
                            <w:rPr>
                              <w:rFonts w:ascii="宋体" w:hAnsi="宋体"/>
                            </w:rPr>
                            <w:fldChar w:fldCharType="begin"/>
                          </w:r>
                          <w:r>
                            <w:rPr>
                              <w:rStyle w:val="1063"/>
                              <w:rFonts w:ascii="宋体" w:hAnsi="宋体"/>
                            </w:rPr>
                            <w:instrText xml:space="preserve">PAGE  </w:instrText>
                          </w:r>
                          <w:r>
                            <w:rPr>
                              <w:rFonts w:ascii="宋体" w:hAnsi="宋体"/>
                            </w:rPr>
                            <w:fldChar w:fldCharType="separate"/>
                          </w:r>
                          <w:r>
                            <w:rPr>
                              <w:rStyle w:val="1063"/>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rPr>
                        <w:rStyle w:val="1063"/>
                        <w:rFonts w:ascii="宋体" w:hAnsi="宋体"/>
                      </w:rPr>
                    </w:pPr>
                    <w:r>
                      <w:rPr>
                        <w:rFonts w:ascii="宋体" w:hAnsi="宋体"/>
                      </w:rPr>
                      <w:fldChar w:fldCharType="begin"/>
                    </w:r>
                    <w:r>
                      <w:rPr>
                        <w:rStyle w:val="1063"/>
                        <w:rFonts w:ascii="宋体" w:hAnsi="宋体"/>
                      </w:rPr>
                      <w:instrText xml:space="preserve">PAGE  </w:instrText>
                    </w:r>
                    <w:r>
                      <w:rPr>
                        <w:rFonts w:ascii="宋体" w:hAnsi="宋体"/>
                      </w:rPr>
                      <w:fldChar w:fldCharType="separate"/>
                    </w:r>
                    <w:r>
                      <w:rPr>
                        <w:rStyle w:val="1063"/>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23"/>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7"/>
      <w:isLgl w:val="false"/>
      <w:suff w:val="nothing"/>
      <w:lvlText w:val=""/>
      <w:lvlJc w:val="left"/>
      <w:pPr>
        <w:ind w:left="0" w:firstLine="0"/>
      </w:pPr>
      <w:rPr>
        <w:rFonts w:hint="eastAsia"/>
      </w:rPr>
    </w:lvl>
    <w:lvl w:ilvl="6">
      <w:start w:val="1"/>
      <w:numFmt w:val="decimal"/>
      <w:pStyle w:val="998"/>
      <w:isLgl w:val="false"/>
      <w:suff w:val="nothing"/>
      <w:lvlText w:val=""/>
      <w:lvlJc w:val="left"/>
      <w:pPr>
        <w:ind w:left="0" w:firstLine="0"/>
      </w:pPr>
      <w:rPr>
        <w:rFonts w:hint="eastAsia"/>
      </w:rPr>
    </w:lvl>
    <w:lvl w:ilvl="7">
      <w:start w:val="1"/>
      <w:numFmt w:val="decimal"/>
      <w:pStyle w:val="999"/>
      <w:isLgl w:val="false"/>
      <w:suff w:val="nothing"/>
      <w:lvlText w:val=""/>
      <w:lvlJc w:val="left"/>
      <w:pPr>
        <w:ind w:left="0" w:firstLine="0"/>
      </w:pPr>
      <w:rPr>
        <w:rFonts w:hint="eastAsia"/>
      </w:rPr>
    </w:lvl>
    <w:lvl w:ilvl="8">
      <w:start w:val="1"/>
      <w:numFmt w:val="decimal"/>
      <w:pStyle w:val="1000"/>
      <w:isLgl w:val="false"/>
      <w:suff w:val="nothing"/>
      <w:lvlText w:val=""/>
      <w:lvlJc w:val="left"/>
      <w:pPr>
        <w:ind w:left="0" w:firstLine="0"/>
      </w:pPr>
      <w:rPr>
        <w:rFonts w:hint="eastAsia"/>
      </w:rPr>
    </w:lvl>
  </w:abstractNum>
  <w:abstractNum w:abstractNumId="4">
    <w:multiLevelType w:val="hybridMultilevel"/>
    <w:lvl w:ilvl="0">
      <w:start w:val="1"/>
      <w:numFmt w:val="decimal"/>
      <w:pStyle w:val="782"/>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12"/>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9">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link w:val="115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5">
    <w:name w:val="Heading 1"/>
    <w:basedOn w:val="754"/>
    <w:next w:val="754"/>
    <w:link w:val="847"/>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848"/>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49"/>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850"/>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51"/>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52"/>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5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55"/>
    <w:uiPriority w:val="9"/>
    <w:unhideWhenUsed/>
    <w:qFormat/>
    <w:pPr>
      <w:keepLines/>
      <w:keepNext/>
      <w:spacing w:before="320" w:after="200"/>
      <w:outlineLvl w:val="8"/>
    </w:pPr>
    <w:rPr>
      <w:rFonts w:ascii="Arial" w:hAnsi="Arial" w:eastAsia="Arial" w:cs="Arial"/>
      <w:i/>
      <w:iCs/>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Body Text"/>
    <w:basedOn w:val="754"/>
    <w:next w:val="767"/>
    <w:uiPriority w:val="0"/>
    <w:qFormat/>
    <w:pPr>
      <w:spacing w:line="60" w:lineRule="auto"/>
    </w:pPr>
    <w:rPr>
      <w:rFonts w:ascii="仿宋_GB2312" w:eastAsia="仿宋_GB2312"/>
      <w:sz w:val="32"/>
    </w:rPr>
  </w:style>
  <w:style w:type="paragraph" w:styleId="767">
    <w:name w:val="Normal Indent"/>
    <w:basedOn w:val="754"/>
    <w:next w:val="754"/>
    <w:uiPriority w:val="99"/>
    <w:qFormat/>
    <w:pPr>
      <w:ind w:firstLine="420"/>
    </w:pPr>
  </w:style>
  <w:style w:type="paragraph" w:styleId="768">
    <w:name w:val="toc 7"/>
    <w:basedOn w:val="754"/>
    <w:next w:val="754"/>
    <w:uiPriority w:val="39"/>
    <w:unhideWhenUsed/>
    <w:qFormat/>
    <w:pPr>
      <w:ind w:left="1701"/>
      <w:spacing w:after="57"/>
    </w:pPr>
  </w:style>
  <w:style w:type="paragraph" w:styleId="769">
    <w:name w:val="Caption"/>
    <w:basedOn w:val="754"/>
    <w:next w:val="754"/>
    <w:uiPriority w:val="35"/>
    <w:unhideWhenUsed/>
    <w:qFormat/>
    <w:pPr>
      <w:spacing w:line="276" w:lineRule="auto"/>
    </w:pPr>
    <w:rPr>
      <w:b/>
      <w:bCs/>
      <w:color w:val="4f81bd"/>
      <w:sz w:val="18"/>
      <w:szCs w:val="18"/>
    </w:rPr>
  </w:style>
  <w:style w:type="paragraph" w:styleId="770">
    <w:name w:val="Body Text Indent"/>
    <w:basedOn w:val="754"/>
    <w:next w:val="754"/>
    <w:uiPriority w:val="0"/>
    <w:qFormat/>
    <w:pPr>
      <w:ind w:firstLine="225"/>
    </w:pPr>
    <w:rPr>
      <w:rFonts w:ascii="仿宋_GB2312" w:eastAsia="仿宋_GB2312"/>
      <w:sz w:val="32"/>
    </w:rPr>
  </w:style>
  <w:style w:type="paragraph" w:styleId="771">
    <w:name w:val="toc 5"/>
    <w:basedOn w:val="754"/>
    <w:next w:val="754"/>
    <w:uiPriority w:val="39"/>
    <w:unhideWhenUsed/>
    <w:qFormat/>
    <w:pPr>
      <w:ind w:left="1134"/>
      <w:spacing w:after="57"/>
    </w:pPr>
  </w:style>
  <w:style w:type="paragraph" w:styleId="772">
    <w:name w:val="toc 3"/>
    <w:basedOn w:val="754"/>
    <w:next w:val="754"/>
    <w:uiPriority w:val="39"/>
    <w:unhideWhenUsed/>
    <w:qFormat/>
    <w:pPr>
      <w:ind w:left="567"/>
      <w:spacing w:after="57"/>
    </w:pPr>
  </w:style>
  <w:style w:type="paragraph" w:styleId="773">
    <w:name w:val="Plain Text"/>
    <w:basedOn w:val="754"/>
    <w:next w:val="754"/>
    <w:uiPriority w:val="0"/>
    <w:qFormat/>
    <w:rPr>
      <w:rFonts w:ascii="宋体"/>
    </w:rPr>
  </w:style>
  <w:style w:type="paragraph" w:styleId="774">
    <w:name w:val="toc 8"/>
    <w:basedOn w:val="754"/>
    <w:next w:val="754"/>
    <w:uiPriority w:val="39"/>
    <w:unhideWhenUsed/>
    <w:qFormat/>
    <w:pPr>
      <w:ind w:left="1984"/>
      <w:spacing w:after="57"/>
    </w:pPr>
  </w:style>
  <w:style w:type="paragraph" w:styleId="775">
    <w:name w:val="endnote text"/>
    <w:basedOn w:val="754"/>
    <w:link w:val="993"/>
    <w:uiPriority w:val="99"/>
    <w:unhideWhenUsed/>
    <w:qFormat/>
    <w:rPr>
      <w:sz w:val="20"/>
    </w:rPr>
  </w:style>
  <w:style w:type="paragraph" w:styleId="776">
    <w:name w:val="Footer"/>
    <w:basedOn w:val="754"/>
    <w:link w:val="866"/>
    <w:uiPriority w:val="99"/>
    <w:unhideWhenUsed/>
    <w:qFormat/>
    <w:pPr>
      <w:tabs>
        <w:tab w:val="center" w:pos="7143" w:leader="none"/>
        <w:tab w:val="right" w:pos="14287" w:leader="none"/>
      </w:tabs>
    </w:pPr>
  </w:style>
  <w:style w:type="paragraph" w:styleId="777">
    <w:name w:val="envelope return"/>
    <w:basedOn w:val="754"/>
    <w:uiPriority w:val="99"/>
    <w:unhideWhenUsed/>
    <w:qFormat/>
    <w:rPr>
      <w:rFonts w:ascii="Arial" w:hAnsi="Arial"/>
    </w:rPr>
  </w:style>
  <w:style w:type="paragraph" w:styleId="778">
    <w:name w:val="Header"/>
    <w:basedOn w:val="754"/>
    <w:link w:val="864"/>
    <w:uiPriority w:val="99"/>
    <w:unhideWhenUsed/>
    <w:qFormat/>
    <w:pPr>
      <w:tabs>
        <w:tab w:val="center" w:pos="7143" w:leader="none"/>
        <w:tab w:val="right" w:pos="14287" w:leader="none"/>
      </w:tabs>
    </w:pPr>
  </w:style>
  <w:style w:type="paragraph" w:styleId="779">
    <w:name w:val="toc 1"/>
    <w:basedOn w:val="754"/>
    <w:next w:val="754"/>
    <w:uiPriority w:val="39"/>
    <w:unhideWhenUsed/>
    <w:qFormat/>
    <w:pPr>
      <w:spacing w:after="57"/>
    </w:pPr>
  </w:style>
  <w:style w:type="paragraph" w:styleId="780">
    <w:name w:val="toc 4"/>
    <w:basedOn w:val="754"/>
    <w:next w:val="754"/>
    <w:uiPriority w:val="39"/>
    <w:unhideWhenUsed/>
    <w:qFormat/>
    <w:pPr>
      <w:ind w:left="850"/>
      <w:spacing w:after="57"/>
    </w:pPr>
  </w:style>
  <w:style w:type="paragraph" w:styleId="781">
    <w:name w:val="Subtitle"/>
    <w:basedOn w:val="754"/>
    <w:next w:val="754"/>
    <w:link w:val="859"/>
    <w:uiPriority w:val="11"/>
    <w:qFormat/>
    <w:pPr>
      <w:spacing w:before="200" w:after="200"/>
    </w:pPr>
    <w:rPr>
      <w:sz w:val="24"/>
      <w:szCs w:val="24"/>
    </w:rPr>
  </w:style>
  <w:style w:type="paragraph" w:styleId="782">
    <w:name w:val="List Number 5"/>
    <w:basedOn w:val="754"/>
    <w:uiPriority w:val="99"/>
    <w:semiHidden/>
    <w:unhideWhenUsed/>
    <w:qFormat/>
    <w:pPr>
      <w:numPr>
        <w:ilvl w:val="0"/>
        <w:numId w:val="1"/>
      </w:numPr>
    </w:pPr>
  </w:style>
  <w:style w:type="paragraph" w:styleId="783">
    <w:name w:val="footnote text"/>
    <w:basedOn w:val="754"/>
    <w:link w:val="992"/>
    <w:uiPriority w:val="99"/>
    <w:unhideWhenUsed/>
    <w:qFormat/>
    <w:pPr>
      <w:spacing w:after="40"/>
    </w:pPr>
    <w:rPr>
      <w:sz w:val="18"/>
    </w:rPr>
  </w:style>
  <w:style w:type="paragraph" w:styleId="784">
    <w:name w:val="toc 6"/>
    <w:basedOn w:val="754"/>
    <w:next w:val="754"/>
    <w:uiPriority w:val="39"/>
    <w:unhideWhenUsed/>
    <w:qFormat/>
    <w:pPr>
      <w:ind w:left="1417"/>
      <w:spacing w:after="57"/>
    </w:pPr>
  </w:style>
  <w:style w:type="paragraph" w:styleId="785">
    <w:name w:val="table of figures"/>
    <w:basedOn w:val="754"/>
    <w:next w:val="754"/>
    <w:uiPriority w:val="99"/>
    <w:unhideWhenUsed/>
    <w:qFormat/>
  </w:style>
  <w:style w:type="paragraph" w:styleId="786">
    <w:name w:val="toc 2"/>
    <w:basedOn w:val="754"/>
    <w:next w:val="754"/>
    <w:uiPriority w:val="39"/>
    <w:unhideWhenUsed/>
    <w:qFormat/>
    <w:pPr>
      <w:ind w:left="283"/>
      <w:spacing w:after="57"/>
    </w:pPr>
  </w:style>
  <w:style w:type="paragraph" w:styleId="787">
    <w:name w:val="toc 9"/>
    <w:basedOn w:val="754"/>
    <w:next w:val="754"/>
    <w:uiPriority w:val="39"/>
    <w:unhideWhenUsed/>
    <w:qFormat/>
    <w:pPr>
      <w:ind w:left="2268"/>
      <w:spacing w:after="57"/>
    </w:pPr>
  </w:style>
  <w:style w:type="paragraph" w:styleId="788">
    <w:name w:val="Normal (Web)"/>
    <w:basedOn w:val="754"/>
    <w:uiPriority w:val="99"/>
    <w:semiHidden/>
    <w:unhideWhenUsed/>
    <w:qFormat/>
    <w:pPr>
      <w:ind w:left="0" w:right="0"/>
      <w:jc w:val="left"/>
      <w:spacing w:before="0" w:beforeAutospacing="1" w:after="0" w:afterAutospacing="1"/>
    </w:pPr>
    <w:rPr>
      <w:sz w:val="24"/>
      <w:lang w:val="en-US" w:eastAsia="zh-CN" w:bidi="ar"/>
    </w:rPr>
  </w:style>
  <w:style w:type="paragraph" w:styleId="789">
    <w:name w:val="Title"/>
    <w:basedOn w:val="754"/>
    <w:next w:val="754"/>
    <w:link w:val="858"/>
    <w:uiPriority w:val="10"/>
    <w:qFormat/>
    <w:pPr>
      <w:contextualSpacing/>
      <w:spacing w:before="300" w:after="200"/>
    </w:pPr>
    <w:rPr>
      <w:sz w:val="48"/>
      <w:szCs w:val="48"/>
    </w:rPr>
  </w:style>
  <w:style w:type="paragraph" w:styleId="790">
    <w:name w:val="Body Text First Indent 2"/>
    <w:basedOn w:val="770"/>
    <w:uiPriority w:val="0"/>
    <w:qFormat/>
    <w:pPr>
      <w:ind w:left="0" w:firstLine="420"/>
      <w:spacing w:after="0" w:line="360" w:lineRule="auto"/>
    </w:pPr>
    <w:rPr>
      <w:rFonts w:ascii="宋体" w:hAnsi="宋体" w:eastAsia="宋体" w:cs="Times New Roman"/>
      <w:szCs w:val="20"/>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endnote reference"/>
    <w:uiPriority w:val="99"/>
    <w:unhideWhenUsed/>
    <w:qFormat/>
    <w:rPr>
      <w:vertAlign w:val="superscript"/>
    </w:rPr>
  </w:style>
  <w:style w:type="character" w:styleId="793">
    <w:name w:val="Hyperlink"/>
    <w:uiPriority w:val="99"/>
    <w:unhideWhenUsed/>
    <w:qFormat/>
    <w:rPr>
      <w:color w:val="0000ff"/>
      <w:u w:val="single"/>
    </w:rPr>
  </w:style>
  <w:style w:type="character" w:styleId="794">
    <w:name w:val="footnote reference"/>
    <w:uiPriority w:val="99"/>
    <w:unhideWhenUsed/>
    <w:qFormat/>
    <w:rPr>
      <w:vertAlign w:val="superscript"/>
    </w:rPr>
  </w:style>
  <w:style w:type="paragraph" w:styleId="795" w:customStyle="1">
    <w:name w:val="正文文本11"/>
    <w:basedOn w:val="754"/>
    <w:link w:val="845"/>
    <w:uiPriority w:val="0"/>
    <w:qFormat/>
    <w:rPr>
      <w:rFonts w:ascii="楷体_GB2312" w:hAnsi="Arial" w:eastAsia="楷体_GB2312"/>
      <w:sz w:val="28"/>
      <w:szCs w:val="28"/>
    </w:rPr>
  </w:style>
  <w:style w:type="paragraph" w:styleId="796" w:customStyle="1">
    <w:name w:val="正文1"/>
    <w:uiPriority w:val="0"/>
    <w:qFormat/>
    <w:rPr>
      <w:rFonts w:hint="default" w:ascii="Times New Roman" w:hAnsi="Times New Roman" w:eastAsia="Times New Roman" w:cs="Times New Roman"/>
      <w:sz w:val="24"/>
      <w:szCs w:val="24"/>
      <w:lang w:val="en-US" w:eastAsia="zh-CN" w:bidi="ar-SA"/>
    </w:rPr>
  </w:style>
  <w:style w:type="character" w:styleId="797" w:customStyle="1">
    <w:name w:val="标题 2 Char"/>
    <w:link w:val="798"/>
    <w:uiPriority w:val="0"/>
    <w:qFormat/>
    <w:rPr>
      <w:rFonts w:ascii="Arial" w:hAnsi="Arial" w:eastAsia="幼圆" w:cs="Arial"/>
      <w:b/>
      <w:bCs/>
      <w:sz w:val="44"/>
      <w:szCs w:val="44"/>
    </w:rPr>
  </w:style>
  <w:style w:type="paragraph" w:styleId="798" w:customStyle="1">
    <w:name w:val="标题 21"/>
    <w:basedOn w:val="754"/>
    <w:next w:val="754"/>
    <w:link w:val="79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99" w:customStyle="1">
    <w:name w:val="标题 1 Char"/>
    <w:link w:val="800"/>
    <w:uiPriority w:val="0"/>
    <w:qFormat/>
    <w:rPr>
      <w:rFonts w:ascii="楷体_GB2312" w:hAnsi="Times New Roman" w:eastAsia="楷体_GB2312" w:cs="Times New Roman"/>
      <w:sz w:val="28"/>
      <w:szCs w:val="28"/>
    </w:rPr>
  </w:style>
  <w:style w:type="paragraph" w:styleId="800" w:customStyle="1">
    <w:name w:val="标题 11"/>
    <w:basedOn w:val="754"/>
    <w:next w:val="754"/>
    <w:link w:val="799"/>
    <w:uiPriority w:val="0"/>
    <w:qFormat/>
    <w:pPr>
      <w:jc w:val="center"/>
      <w:keepNext/>
      <w:outlineLvl w:val="0"/>
    </w:pPr>
    <w:rPr>
      <w:rFonts w:ascii="楷体_GB2312" w:eastAsia="楷体_GB2312"/>
      <w:sz w:val="28"/>
      <w:szCs w:val="28"/>
    </w:rPr>
  </w:style>
  <w:style w:type="character" w:styleId="801" w:customStyle="1">
    <w:name w:val="标题 3 Char"/>
    <w:link w:val="802"/>
    <w:uiPriority w:val="0"/>
    <w:qFormat/>
    <w:rPr>
      <w:rFonts w:ascii="Times New Roman" w:hAnsi="Times New Roman" w:eastAsia="宋体" w:cs="Times New Roman"/>
      <w:b/>
      <w:bCs/>
      <w:sz w:val="32"/>
      <w:szCs w:val="32"/>
    </w:rPr>
  </w:style>
  <w:style w:type="paragraph" w:styleId="802" w:customStyle="1">
    <w:name w:val="标题 31"/>
    <w:basedOn w:val="754"/>
    <w:next w:val="803"/>
    <w:link w:val="801"/>
    <w:uiPriority w:val="0"/>
    <w:qFormat/>
    <w:pPr>
      <w:keepLines/>
      <w:keepNext/>
      <w:spacing w:before="260" w:after="260" w:line="416" w:lineRule="auto"/>
      <w:outlineLvl w:val="2"/>
    </w:pPr>
    <w:rPr>
      <w:b/>
      <w:bCs/>
      <w:sz w:val="32"/>
      <w:szCs w:val="32"/>
    </w:rPr>
  </w:style>
  <w:style w:type="paragraph" w:styleId="803" w:customStyle="1">
    <w:name w:val="正文缩进1"/>
    <w:basedOn w:val="754"/>
    <w:next w:val="754"/>
    <w:link w:val="1003"/>
    <w:uiPriority w:val="0"/>
    <w:qFormat/>
    <w:pPr>
      <w:ind w:firstLine="420"/>
    </w:pPr>
  </w:style>
  <w:style w:type="paragraph" w:styleId="804" w:customStyle="1">
    <w:name w:val="标题二、"/>
    <w:basedOn w:val="754"/>
    <w:uiPriority w:val="99"/>
    <w:qFormat/>
    <w:pPr>
      <w:ind w:firstLine="200"/>
      <w:spacing w:line="360" w:lineRule="auto"/>
      <w:outlineLvl w:val="2"/>
    </w:pPr>
    <w:rPr>
      <w:rFonts w:ascii="宋体" w:hAnsi="宋体"/>
      <w:b/>
      <w:szCs w:val="21"/>
    </w:rPr>
  </w:style>
  <w:style w:type="character" w:styleId="805" w:customStyle="1">
    <w:name w:val="Heading 1 Char"/>
    <w:basedOn w:val="764"/>
    <w:uiPriority w:val="9"/>
    <w:qFormat/>
    <w:rPr>
      <w:rFonts w:ascii="Arial" w:hAnsi="Arial" w:eastAsia="Arial" w:cs="Arial"/>
      <w:sz w:val="40"/>
      <w:szCs w:val="40"/>
    </w:rPr>
  </w:style>
  <w:style w:type="character" w:styleId="806" w:customStyle="1">
    <w:name w:val="Heading 2 Char"/>
    <w:basedOn w:val="764"/>
    <w:uiPriority w:val="9"/>
    <w:qFormat/>
    <w:rPr>
      <w:rFonts w:ascii="Arial" w:hAnsi="Arial" w:eastAsia="Arial" w:cs="Arial"/>
      <w:sz w:val="34"/>
    </w:rPr>
  </w:style>
  <w:style w:type="character" w:styleId="807" w:customStyle="1">
    <w:name w:val="Heading 3 Char"/>
    <w:basedOn w:val="764"/>
    <w:uiPriority w:val="9"/>
    <w:qFormat/>
    <w:rPr>
      <w:rFonts w:ascii="Arial" w:hAnsi="Arial" w:eastAsia="Arial" w:cs="Arial"/>
      <w:sz w:val="30"/>
      <w:szCs w:val="30"/>
    </w:rPr>
  </w:style>
  <w:style w:type="character" w:styleId="808" w:customStyle="1">
    <w:name w:val="Heading 4 Char"/>
    <w:basedOn w:val="764"/>
    <w:uiPriority w:val="9"/>
    <w:qFormat/>
    <w:rPr>
      <w:rFonts w:ascii="Arial" w:hAnsi="Arial" w:eastAsia="Arial" w:cs="Arial"/>
      <w:b/>
      <w:bCs/>
      <w:sz w:val="26"/>
      <w:szCs w:val="26"/>
    </w:rPr>
  </w:style>
  <w:style w:type="character" w:styleId="809" w:customStyle="1">
    <w:name w:val="Heading 5 Char"/>
    <w:basedOn w:val="764"/>
    <w:uiPriority w:val="9"/>
    <w:qFormat/>
    <w:rPr>
      <w:rFonts w:ascii="Arial" w:hAnsi="Arial" w:eastAsia="Arial" w:cs="Arial"/>
      <w:b/>
      <w:bCs/>
      <w:sz w:val="24"/>
      <w:szCs w:val="24"/>
    </w:rPr>
  </w:style>
  <w:style w:type="character" w:styleId="810" w:customStyle="1">
    <w:name w:val="Heading 6 Char"/>
    <w:basedOn w:val="764"/>
    <w:uiPriority w:val="9"/>
    <w:qFormat/>
    <w:rPr>
      <w:rFonts w:ascii="Arial" w:hAnsi="Arial" w:eastAsia="Arial" w:cs="Arial"/>
      <w:b/>
      <w:bCs/>
      <w:sz w:val="22"/>
      <w:szCs w:val="22"/>
    </w:rPr>
  </w:style>
  <w:style w:type="character" w:styleId="811" w:customStyle="1">
    <w:name w:val="Heading 7 Char"/>
    <w:basedOn w:val="764"/>
    <w:uiPriority w:val="9"/>
    <w:qFormat/>
    <w:rPr>
      <w:rFonts w:ascii="Arial" w:hAnsi="Arial" w:eastAsia="Arial" w:cs="Arial"/>
      <w:b/>
      <w:bCs/>
      <w:i/>
      <w:iCs/>
      <w:sz w:val="22"/>
      <w:szCs w:val="22"/>
    </w:rPr>
  </w:style>
  <w:style w:type="character" w:styleId="812" w:customStyle="1">
    <w:name w:val="Heading 8 Char"/>
    <w:basedOn w:val="764"/>
    <w:uiPriority w:val="9"/>
    <w:qFormat/>
    <w:rPr>
      <w:rFonts w:ascii="Arial" w:hAnsi="Arial" w:eastAsia="Arial" w:cs="Arial"/>
      <w:i/>
      <w:iCs/>
      <w:sz w:val="22"/>
      <w:szCs w:val="22"/>
    </w:rPr>
  </w:style>
  <w:style w:type="character" w:styleId="813" w:customStyle="1">
    <w:name w:val="Heading 9 Char"/>
    <w:basedOn w:val="764"/>
    <w:uiPriority w:val="9"/>
    <w:qFormat/>
    <w:rPr>
      <w:rFonts w:ascii="Arial" w:hAnsi="Arial" w:eastAsia="Arial" w:cs="Arial"/>
      <w:i/>
      <w:iCs/>
      <w:sz w:val="21"/>
      <w:szCs w:val="21"/>
    </w:r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basedOn w:val="764"/>
    <w:uiPriority w:val="10"/>
    <w:qFormat/>
    <w:rPr>
      <w:sz w:val="48"/>
      <w:szCs w:val="48"/>
    </w:rPr>
  </w:style>
  <w:style w:type="character" w:styleId="816" w:customStyle="1">
    <w:name w:val="Subtitle Char"/>
    <w:basedOn w:val="764"/>
    <w:uiPriority w:val="11"/>
    <w:qFormat/>
    <w:rPr>
      <w:sz w:val="24"/>
      <w:szCs w:val="24"/>
    </w:rPr>
  </w:style>
  <w:style w:type="paragraph" w:styleId="817">
    <w:name w:val="Quote"/>
    <w:basedOn w:val="754"/>
    <w:next w:val="754"/>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54"/>
    <w:next w:val="754"/>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basedOn w:val="764"/>
    <w:uiPriority w:val="99"/>
    <w:qFormat/>
  </w:style>
  <w:style w:type="character" w:styleId="822" w:customStyle="1">
    <w:name w:val="Caption Char"/>
    <w:uiPriority w:val="99"/>
    <w:qFormat/>
  </w:style>
  <w:style w:type="table" w:styleId="823"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character" w:styleId="845" w:customStyle="1">
    <w:name w:val="正文文本 Char"/>
    <w:link w:val="795"/>
    <w:uiPriority w:val="0"/>
    <w:qFormat/>
    <w:rPr>
      <w:rFonts w:ascii="楷体_GB2312" w:hAnsi="Arial" w:eastAsia="楷体_GB2312" w:cs="Times New Roman"/>
      <w:sz w:val="28"/>
      <w:szCs w:val="28"/>
    </w:rPr>
  </w:style>
  <w:style w:type="paragraph" w:styleId="84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47" w:customStyle="1">
    <w:name w:val="标题 1 字符"/>
    <w:link w:val="755"/>
    <w:uiPriority w:val="9"/>
    <w:qFormat/>
    <w:rPr>
      <w:rFonts w:ascii="Arial" w:hAnsi="Arial" w:eastAsia="Arial" w:cs="Arial"/>
      <w:sz w:val="40"/>
      <w:szCs w:val="40"/>
    </w:rPr>
  </w:style>
  <w:style w:type="character" w:styleId="848" w:customStyle="1">
    <w:name w:val="标题 2 字符"/>
    <w:link w:val="756"/>
    <w:uiPriority w:val="9"/>
    <w:qFormat/>
    <w:rPr>
      <w:rFonts w:ascii="Arial" w:hAnsi="Arial" w:eastAsia="Arial" w:cs="Arial"/>
      <w:sz w:val="34"/>
    </w:rPr>
  </w:style>
  <w:style w:type="character" w:styleId="849" w:customStyle="1">
    <w:name w:val="标题 3 字符"/>
    <w:link w:val="757"/>
    <w:uiPriority w:val="9"/>
    <w:qFormat/>
    <w:rPr>
      <w:rFonts w:ascii="Arial" w:hAnsi="Arial" w:eastAsia="Arial" w:cs="Arial"/>
      <w:sz w:val="30"/>
      <w:szCs w:val="30"/>
    </w:rPr>
  </w:style>
  <w:style w:type="character" w:styleId="850" w:customStyle="1">
    <w:name w:val="标题 4 字符"/>
    <w:link w:val="758"/>
    <w:uiPriority w:val="9"/>
    <w:qFormat/>
    <w:rPr>
      <w:rFonts w:ascii="Arial" w:hAnsi="Arial" w:eastAsia="Arial" w:cs="Arial"/>
      <w:b/>
      <w:bCs/>
      <w:sz w:val="26"/>
      <w:szCs w:val="26"/>
    </w:rPr>
  </w:style>
  <w:style w:type="character" w:styleId="851" w:customStyle="1">
    <w:name w:val="标题 5 字符"/>
    <w:link w:val="759"/>
    <w:uiPriority w:val="9"/>
    <w:qFormat/>
    <w:rPr>
      <w:rFonts w:ascii="Arial" w:hAnsi="Arial" w:eastAsia="Arial" w:cs="Arial"/>
      <w:b/>
      <w:bCs/>
      <w:sz w:val="24"/>
      <w:szCs w:val="24"/>
    </w:rPr>
  </w:style>
  <w:style w:type="character" w:styleId="852" w:customStyle="1">
    <w:name w:val="标题 6 字符"/>
    <w:link w:val="760"/>
    <w:uiPriority w:val="9"/>
    <w:qFormat/>
    <w:rPr>
      <w:rFonts w:ascii="Arial" w:hAnsi="Arial" w:eastAsia="Arial" w:cs="Arial"/>
      <w:b/>
      <w:bCs/>
      <w:sz w:val="22"/>
      <w:szCs w:val="22"/>
    </w:rPr>
  </w:style>
  <w:style w:type="character" w:styleId="853" w:customStyle="1">
    <w:name w:val="标题 7 字符"/>
    <w:link w:val="761"/>
    <w:uiPriority w:val="9"/>
    <w:qFormat/>
    <w:rPr>
      <w:rFonts w:ascii="Arial" w:hAnsi="Arial" w:eastAsia="Arial" w:cs="Arial"/>
      <w:b/>
      <w:bCs/>
      <w:i/>
      <w:iCs/>
      <w:sz w:val="22"/>
      <w:szCs w:val="22"/>
    </w:rPr>
  </w:style>
  <w:style w:type="character" w:styleId="854" w:customStyle="1">
    <w:name w:val="标题 8 字符"/>
    <w:link w:val="762"/>
    <w:uiPriority w:val="9"/>
    <w:qFormat/>
    <w:rPr>
      <w:rFonts w:ascii="Arial" w:hAnsi="Arial" w:eastAsia="Arial" w:cs="Arial"/>
      <w:i/>
      <w:iCs/>
      <w:sz w:val="22"/>
      <w:szCs w:val="22"/>
    </w:rPr>
  </w:style>
  <w:style w:type="character" w:styleId="855" w:customStyle="1">
    <w:name w:val="标题 9 字符"/>
    <w:link w:val="763"/>
    <w:uiPriority w:val="9"/>
    <w:qFormat/>
    <w:rPr>
      <w:rFonts w:ascii="Arial" w:hAnsi="Arial" w:eastAsia="Arial" w:cs="Arial"/>
      <w:i/>
      <w:iCs/>
      <w:sz w:val="21"/>
      <w:szCs w:val="21"/>
    </w:rPr>
  </w:style>
  <w:style w:type="paragraph" w:styleId="856" w:customStyle="1">
    <w:name w:val="列表段落1"/>
    <w:basedOn w:val="754"/>
    <w:uiPriority w:val="34"/>
    <w:qFormat/>
    <w:pPr>
      <w:contextualSpacing/>
      <w:ind w:left="720"/>
    </w:pPr>
  </w:style>
  <w:style w:type="paragraph" w:styleId="857" w:customStyle="1">
    <w:name w:val="无间隔1"/>
    <w:uiPriority w:val="1"/>
    <w:qFormat/>
    <w:rPr>
      <w:rFonts w:hint="default" w:ascii="Times New Roman" w:hAnsi="Times New Roman" w:eastAsia="宋体" w:cs="Times New Roman"/>
      <w:lang w:val="en-US" w:eastAsia="zh-CN" w:bidi="ar-SA"/>
    </w:rPr>
  </w:style>
  <w:style w:type="character" w:styleId="858" w:customStyle="1">
    <w:name w:val="标题 字符"/>
    <w:link w:val="789"/>
    <w:uiPriority w:val="10"/>
    <w:qFormat/>
    <w:rPr>
      <w:sz w:val="48"/>
      <w:szCs w:val="48"/>
    </w:rPr>
  </w:style>
  <w:style w:type="character" w:styleId="859" w:customStyle="1">
    <w:name w:val="副标题 字符"/>
    <w:link w:val="781"/>
    <w:uiPriority w:val="11"/>
    <w:qFormat/>
    <w:rPr>
      <w:sz w:val="24"/>
      <w:szCs w:val="24"/>
    </w:rPr>
  </w:style>
  <w:style w:type="paragraph" w:styleId="860" w:customStyle="1">
    <w:name w:val="引用1"/>
    <w:basedOn w:val="754"/>
    <w:next w:val="754"/>
    <w:link w:val="861"/>
    <w:uiPriority w:val="29"/>
    <w:qFormat/>
    <w:pPr>
      <w:ind w:left="720" w:right="720"/>
    </w:pPr>
    <w:rPr>
      <w:i/>
    </w:rPr>
  </w:style>
  <w:style w:type="character" w:styleId="861" w:customStyle="1">
    <w:name w:val="引用 字符"/>
    <w:link w:val="860"/>
    <w:uiPriority w:val="29"/>
    <w:qFormat/>
    <w:rPr>
      <w:i/>
    </w:rPr>
  </w:style>
  <w:style w:type="paragraph" w:styleId="862" w:customStyle="1">
    <w:name w:val="明显引用1"/>
    <w:basedOn w:val="754"/>
    <w:next w:val="754"/>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页眉 字符"/>
    <w:link w:val="778"/>
    <w:uiPriority w:val="99"/>
    <w:qFormat/>
  </w:style>
  <w:style w:type="character" w:styleId="865" w:customStyle="1">
    <w:name w:val="Footer Char"/>
    <w:uiPriority w:val="99"/>
    <w:qFormat/>
  </w:style>
  <w:style w:type="character" w:styleId="866" w:customStyle="1">
    <w:name w:val="页脚 字符"/>
    <w:link w:val="776"/>
    <w:uiPriority w:val="99"/>
    <w:qFormat/>
  </w:style>
  <w:style w:type="table" w:styleId="8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0" w:customStyle="1">
    <w:name w:val="无格式表格 31"/>
    <w:uiPriority w:val="99"/>
    <w:qFormat/>
    <w:tblPr>
      <w:tblCellMar>
        <w:left w:w="0" w:type="dxa"/>
        <w:top w:w="0" w:type="dxa"/>
        <w:right w:w="0" w:type="dxa"/>
        <w:bottom w:w="0" w:type="dxa"/>
      </w:tblCellMar>
    </w:tblPr>
  </w:style>
  <w:style w:type="table" w:styleId="871" w:customStyle="1">
    <w:name w:val="无格式表格 41"/>
    <w:uiPriority w:val="99"/>
    <w:qFormat/>
    <w:tblPr>
      <w:tblCellMar>
        <w:left w:w="0" w:type="dxa"/>
        <w:top w:w="0" w:type="dxa"/>
        <w:right w:w="0" w:type="dxa"/>
        <w:bottom w:w="0" w:type="dxa"/>
      </w:tblCellMar>
    </w:tblPr>
  </w:style>
  <w:style w:type="table" w:styleId="872" w:customStyle="1">
    <w:name w:val="无格式表格 51"/>
    <w:uiPriority w:val="99"/>
    <w:qFormat/>
    <w:tblPr>
      <w:tblCellMar>
        <w:left w:w="0" w:type="dxa"/>
        <w:top w:w="0" w:type="dxa"/>
        <w:right w:w="0" w:type="dxa"/>
        <w:bottom w:w="0" w:type="dxa"/>
      </w:tblCellMar>
    </w:tblPr>
  </w:style>
  <w:style w:type="table" w:styleId="87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2" w:customStyle="1">
    <w:name w:val="清单表 1 浅色1"/>
    <w:uiPriority w:val="99"/>
    <w:qFormat/>
    <w:tblPr>
      <w:tblCellMar>
        <w:left w:w="0" w:type="dxa"/>
        <w:top w:w="0" w:type="dxa"/>
        <w:right w:w="0" w:type="dxa"/>
        <w:bottom w:w="0" w:type="dxa"/>
      </w:tblCellMar>
    </w:tblPr>
  </w:style>
  <w:style w:type="table" w:styleId="923" w:customStyle="1">
    <w:name w:val="List Table 1 Light - Accent 1"/>
    <w:uiPriority w:val="99"/>
    <w:qFormat/>
    <w:tblPr>
      <w:tblCellMar>
        <w:left w:w="0" w:type="dxa"/>
        <w:top w:w="0" w:type="dxa"/>
        <w:right w:w="0" w:type="dxa"/>
        <w:bottom w:w="0" w:type="dxa"/>
      </w:tblCellMar>
    </w:tblPr>
  </w:style>
  <w:style w:type="table" w:styleId="924" w:customStyle="1">
    <w:name w:val="List Table 1 Light - Accent 2"/>
    <w:uiPriority w:val="99"/>
    <w:qFormat/>
    <w:tblPr>
      <w:tblCellMar>
        <w:left w:w="0" w:type="dxa"/>
        <w:top w:w="0" w:type="dxa"/>
        <w:right w:w="0" w:type="dxa"/>
        <w:bottom w:w="0" w:type="dxa"/>
      </w:tblCellMar>
    </w:tblPr>
  </w:style>
  <w:style w:type="table" w:styleId="925" w:customStyle="1">
    <w:name w:val="List Table 1 Light - Accent 3"/>
    <w:uiPriority w:val="99"/>
    <w:qFormat/>
    <w:tblPr>
      <w:tblCellMar>
        <w:left w:w="0" w:type="dxa"/>
        <w:top w:w="0" w:type="dxa"/>
        <w:right w:w="0" w:type="dxa"/>
        <w:bottom w:w="0" w:type="dxa"/>
      </w:tblCellMar>
    </w:tblPr>
  </w:style>
  <w:style w:type="table" w:styleId="926" w:customStyle="1">
    <w:name w:val="List Table 1 Light - Accent 4"/>
    <w:uiPriority w:val="99"/>
    <w:qFormat/>
    <w:tblPr>
      <w:tblCellMar>
        <w:left w:w="0" w:type="dxa"/>
        <w:top w:w="0" w:type="dxa"/>
        <w:right w:w="0" w:type="dxa"/>
        <w:bottom w:w="0" w:type="dxa"/>
      </w:tblCellMar>
    </w:tblPr>
  </w:style>
  <w:style w:type="table" w:styleId="927" w:customStyle="1">
    <w:name w:val="List Table 1 Light - Accent 5"/>
    <w:uiPriority w:val="99"/>
    <w:qFormat/>
    <w:tblPr>
      <w:tblCellMar>
        <w:left w:w="0" w:type="dxa"/>
        <w:top w:w="0" w:type="dxa"/>
        <w:right w:w="0" w:type="dxa"/>
        <w:bottom w:w="0" w:type="dxa"/>
      </w:tblCellMar>
    </w:tblPr>
  </w:style>
  <w:style w:type="table" w:styleId="928" w:customStyle="1">
    <w:name w:val="List Table 1 Light - Accent 6"/>
    <w:uiPriority w:val="99"/>
    <w:qFormat/>
    <w:tblPr>
      <w:tblCellMar>
        <w:left w:w="0" w:type="dxa"/>
        <w:top w:w="0" w:type="dxa"/>
        <w:right w:w="0" w:type="dxa"/>
        <w:bottom w:w="0" w:type="dxa"/>
      </w:tblCellMar>
    </w:tblPr>
  </w:style>
  <w:style w:type="table" w:styleId="92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1" w:customStyle="1">
    <w:name w:val="Lined - Accent"/>
    <w:uiPriority w:val="99"/>
    <w:qFormat/>
    <w:rPr>
      <w:color w:val="404040"/>
    </w:rPr>
    <w:tblPr>
      <w:tblCellMar>
        <w:left w:w="0" w:type="dxa"/>
        <w:top w:w="0" w:type="dxa"/>
        <w:right w:w="0" w:type="dxa"/>
        <w:bottom w:w="0" w:type="dxa"/>
      </w:tblCellMar>
    </w:tblPr>
  </w:style>
  <w:style w:type="table" w:styleId="972" w:customStyle="1">
    <w:name w:val="Lined - Accent 1"/>
    <w:uiPriority w:val="99"/>
    <w:qFormat/>
    <w:rPr>
      <w:color w:val="404040"/>
    </w:rPr>
    <w:tblPr>
      <w:tblCellMar>
        <w:left w:w="0" w:type="dxa"/>
        <w:top w:w="0" w:type="dxa"/>
        <w:right w:w="0" w:type="dxa"/>
        <w:bottom w:w="0" w:type="dxa"/>
      </w:tblCellMar>
    </w:tblPr>
  </w:style>
  <w:style w:type="table" w:styleId="973" w:customStyle="1">
    <w:name w:val="Lined - Accent 2"/>
    <w:uiPriority w:val="99"/>
    <w:qFormat/>
    <w:rPr>
      <w:color w:val="404040"/>
    </w:rPr>
    <w:tblPr>
      <w:tblCellMar>
        <w:left w:w="0" w:type="dxa"/>
        <w:top w:w="0" w:type="dxa"/>
        <w:right w:w="0" w:type="dxa"/>
        <w:bottom w:w="0" w:type="dxa"/>
      </w:tblCellMar>
    </w:tblPr>
  </w:style>
  <w:style w:type="table" w:styleId="974" w:customStyle="1">
    <w:name w:val="Lined - Accent 3"/>
    <w:uiPriority w:val="99"/>
    <w:qFormat/>
    <w:rPr>
      <w:color w:val="404040"/>
    </w:rPr>
    <w:tblPr>
      <w:tblCellMar>
        <w:left w:w="0" w:type="dxa"/>
        <w:top w:w="0" w:type="dxa"/>
        <w:right w:w="0" w:type="dxa"/>
        <w:bottom w:w="0" w:type="dxa"/>
      </w:tblCellMar>
    </w:tblPr>
  </w:style>
  <w:style w:type="table" w:styleId="975" w:customStyle="1">
    <w:name w:val="Lined - Accent 4"/>
    <w:uiPriority w:val="99"/>
    <w:qFormat/>
    <w:rPr>
      <w:color w:val="404040"/>
    </w:rPr>
    <w:tblPr>
      <w:tblCellMar>
        <w:left w:w="0" w:type="dxa"/>
        <w:top w:w="0" w:type="dxa"/>
        <w:right w:w="0" w:type="dxa"/>
        <w:bottom w:w="0" w:type="dxa"/>
      </w:tblCellMar>
    </w:tblPr>
  </w:style>
  <w:style w:type="table" w:styleId="976" w:customStyle="1">
    <w:name w:val="Lined - Accent 5"/>
    <w:uiPriority w:val="99"/>
    <w:qFormat/>
    <w:rPr>
      <w:color w:val="404040"/>
    </w:rPr>
    <w:tblPr>
      <w:tblCellMar>
        <w:left w:w="0" w:type="dxa"/>
        <w:top w:w="0" w:type="dxa"/>
        <w:right w:w="0" w:type="dxa"/>
        <w:bottom w:w="0" w:type="dxa"/>
      </w:tblCellMar>
    </w:tblPr>
  </w:style>
  <w:style w:type="table" w:styleId="977" w:customStyle="1">
    <w:name w:val="Lined - Accent 6"/>
    <w:uiPriority w:val="99"/>
    <w:qFormat/>
    <w:rPr>
      <w:color w:val="404040"/>
    </w:rPr>
    <w:tblPr>
      <w:tblCellMar>
        <w:left w:w="0" w:type="dxa"/>
        <w:top w:w="0" w:type="dxa"/>
        <w:right w:w="0" w:type="dxa"/>
        <w:bottom w:w="0" w:type="dxa"/>
      </w:tblCellMar>
    </w:tblPr>
  </w:style>
  <w:style w:type="table" w:styleId="9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2" w:customStyle="1">
    <w:name w:val="脚注文本 字符"/>
    <w:link w:val="783"/>
    <w:uiPriority w:val="99"/>
    <w:qFormat/>
    <w:rPr>
      <w:sz w:val="18"/>
    </w:rPr>
  </w:style>
  <w:style w:type="character" w:styleId="993" w:customStyle="1">
    <w:name w:val="尾注文本 字符"/>
    <w:link w:val="775"/>
    <w:uiPriority w:val="99"/>
    <w:qFormat/>
    <w:rPr>
      <w:sz w:val="20"/>
    </w:rPr>
  </w:style>
  <w:style w:type="paragraph" w:styleId="994" w:customStyle="1">
    <w:name w:val="TOC 标题1"/>
    <w:uiPriority w:val="39"/>
    <w:unhideWhenUsed/>
    <w:qFormat/>
    <w:rPr>
      <w:rFonts w:hint="default" w:ascii="Times New Roman" w:hAnsi="Times New Roman" w:eastAsia="宋体" w:cs="Times New Roman"/>
      <w:lang w:val="en-US" w:eastAsia="zh-CN" w:bidi="ar-SA"/>
    </w:rPr>
  </w:style>
  <w:style w:type="paragraph" w:styleId="995" w:customStyle="1">
    <w:name w:val="标题 41"/>
    <w:basedOn w:val="754"/>
    <w:next w:val="803"/>
    <w:link w:val="1004"/>
    <w:uiPriority w:val="0"/>
    <w:qFormat/>
    <w:pPr>
      <w:keepLines/>
      <w:keepNext/>
      <w:spacing w:before="280" w:after="290" w:line="376" w:lineRule="auto"/>
      <w:outlineLvl w:val="3"/>
    </w:pPr>
    <w:rPr>
      <w:rFonts w:ascii="Arial" w:hAnsi="Arial" w:eastAsia="黑体" w:cs="Arial"/>
      <w:b/>
      <w:bCs/>
      <w:sz w:val="28"/>
      <w:szCs w:val="28"/>
    </w:rPr>
  </w:style>
  <w:style w:type="paragraph" w:styleId="996" w:customStyle="1">
    <w:name w:val="标题 51"/>
    <w:basedOn w:val="754"/>
    <w:next w:val="803"/>
    <w:link w:val="1005"/>
    <w:uiPriority w:val="0"/>
    <w:qFormat/>
    <w:pPr>
      <w:keepNext/>
      <w:outlineLvl w:val="4"/>
    </w:pPr>
    <w:rPr>
      <w:rFonts w:ascii="宋体"/>
      <w:color w:val="000000"/>
      <w:sz w:val="28"/>
      <w:szCs w:val="28"/>
    </w:rPr>
  </w:style>
  <w:style w:type="paragraph" w:styleId="997" w:customStyle="1">
    <w:name w:val="标题 61"/>
    <w:basedOn w:val="754"/>
    <w:next w:val="754"/>
    <w:link w:val="1006"/>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98" w:customStyle="1">
    <w:name w:val="标题 71"/>
    <w:basedOn w:val="754"/>
    <w:next w:val="754"/>
    <w:link w:val="1007"/>
    <w:uiPriority w:val="0"/>
    <w:qFormat/>
    <w:pPr>
      <w:numPr>
        <w:ilvl w:val="6"/>
        <w:numId w:val="2"/>
      </w:numPr>
      <w:keepLines/>
      <w:keepNext/>
      <w:spacing w:before="240" w:after="64" w:line="320" w:lineRule="auto"/>
      <w:outlineLvl w:val="6"/>
    </w:pPr>
    <w:rPr>
      <w:b/>
      <w:bCs/>
      <w:sz w:val="24"/>
      <w:szCs w:val="24"/>
    </w:rPr>
  </w:style>
  <w:style w:type="paragraph" w:styleId="999" w:customStyle="1">
    <w:name w:val="标题 81"/>
    <w:basedOn w:val="754"/>
    <w:next w:val="754"/>
    <w:link w:val="100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00" w:customStyle="1">
    <w:name w:val="标题 91"/>
    <w:basedOn w:val="754"/>
    <w:next w:val="754"/>
    <w:link w:val="1009"/>
    <w:uiPriority w:val="0"/>
    <w:qFormat/>
    <w:pPr>
      <w:numPr>
        <w:ilvl w:val="8"/>
        <w:numId w:val="2"/>
      </w:numPr>
      <w:keepLines/>
      <w:keepNext/>
      <w:spacing w:before="240" w:after="64" w:line="320" w:lineRule="auto"/>
      <w:outlineLvl w:val="8"/>
    </w:pPr>
    <w:rPr>
      <w:rFonts w:ascii="Arial" w:hAnsi="Arial" w:eastAsia="黑体"/>
    </w:rPr>
  </w:style>
  <w:style w:type="character" w:styleId="1001" w:customStyle="1">
    <w:name w:val="默认段落字体1"/>
    <w:uiPriority w:val="1"/>
    <w:unhideWhenUsed/>
    <w:qFormat/>
  </w:style>
  <w:style w:type="table" w:styleId="1002" w:customStyle="1">
    <w:name w:val="普通表格1"/>
    <w:uiPriority w:val="99"/>
    <w:unhideWhenUsed/>
    <w:qFormat/>
    <w:tblPr>
      <w:tblCellMar>
        <w:left w:w="0" w:type="dxa"/>
        <w:top w:w="0" w:type="dxa"/>
        <w:right w:w="0" w:type="dxa"/>
        <w:bottom w:w="0" w:type="dxa"/>
      </w:tblCellMar>
    </w:tblPr>
  </w:style>
  <w:style w:type="character" w:styleId="1003" w:customStyle="1">
    <w:name w:val="正文缩进 Char"/>
    <w:link w:val="803"/>
    <w:uiPriority w:val="0"/>
    <w:qFormat/>
    <w:rPr>
      <w:rFonts w:ascii="Times New Roman" w:hAnsi="Times New Roman" w:eastAsia="宋体" w:cs="Times New Roman"/>
      <w:szCs w:val="21"/>
    </w:rPr>
  </w:style>
  <w:style w:type="character" w:styleId="1004" w:customStyle="1">
    <w:name w:val="标题 4 Char"/>
    <w:link w:val="995"/>
    <w:uiPriority w:val="0"/>
    <w:qFormat/>
    <w:rPr>
      <w:rFonts w:ascii="Arial" w:hAnsi="Arial" w:eastAsia="黑体" w:cs="Arial"/>
      <w:b/>
      <w:bCs/>
      <w:sz w:val="28"/>
      <w:szCs w:val="28"/>
    </w:rPr>
  </w:style>
  <w:style w:type="character" w:styleId="1005" w:customStyle="1">
    <w:name w:val="标题 5 Char"/>
    <w:link w:val="996"/>
    <w:uiPriority w:val="0"/>
    <w:qFormat/>
    <w:rPr>
      <w:rFonts w:ascii="宋体" w:hAnsi="Times New Roman" w:eastAsia="宋体" w:cs="Times New Roman"/>
      <w:color w:val="000000"/>
      <w:sz w:val="28"/>
      <w:szCs w:val="28"/>
    </w:rPr>
  </w:style>
  <w:style w:type="character" w:styleId="1006" w:customStyle="1">
    <w:name w:val="标题 6 Char"/>
    <w:link w:val="997"/>
    <w:uiPriority w:val="0"/>
    <w:qFormat/>
    <w:rPr>
      <w:rFonts w:ascii="Arial" w:hAnsi="Arial" w:eastAsia="黑体" w:cs="Times New Roman"/>
      <w:b/>
      <w:bCs/>
      <w:sz w:val="24"/>
      <w:szCs w:val="24"/>
    </w:rPr>
  </w:style>
  <w:style w:type="character" w:styleId="1007" w:customStyle="1">
    <w:name w:val="标题 7 Char"/>
    <w:link w:val="998"/>
    <w:uiPriority w:val="0"/>
    <w:qFormat/>
    <w:rPr>
      <w:rFonts w:ascii="Times New Roman" w:hAnsi="Times New Roman" w:eastAsia="宋体" w:cs="Times New Roman"/>
      <w:b/>
      <w:bCs/>
      <w:sz w:val="24"/>
      <w:szCs w:val="24"/>
    </w:rPr>
  </w:style>
  <w:style w:type="character" w:styleId="1008" w:customStyle="1">
    <w:name w:val="标题 8 Char"/>
    <w:link w:val="999"/>
    <w:uiPriority w:val="0"/>
    <w:qFormat/>
    <w:rPr>
      <w:rFonts w:ascii="Arial" w:hAnsi="Arial" w:eastAsia="黑体" w:cs="Times New Roman"/>
      <w:sz w:val="24"/>
      <w:szCs w:val="24"/>
    </w:rPr>
  </w:style>
  <w:style w:type="character" w:styleId="1009" w:customStyle="1">
    <w:name w:val="标题 9 Char"/>
    <w:link w:val="1000"/>
    <w:uiPriority w:val="0"/>
    <w:qFormat/>
    <w:rPr>
      <w:rFonts w:ascii="Arial" w:hAnsi="Arial" w:eastAsia="黑体" w:cs="Times New Roman"/>
      <w:szCs w:val="21"/>
    </w:rPr>
  </w:style>
  <w:style w:type="paragraph" w:styleId="1010" w:customStyle="1">
    <w:name w:val="列表 31"/>
    <w:basedOn w:val="754"/>
    <w:uiPriority w:val="0"/>
    <w:qFormat/>
    <w:pPr>
      <w:ind w:left="100" w:hanging="200"/>
    </w:pPr>
  </w:style>
  <w:style w:type="paragraph" w:styleId="1011" w:customStyle="1">
    <w:name w:val="目录 71"/>
    <w:basedOn w:val="754"/>
    <w:next w:val="754"/>
    <w:uiPriority w:val="0"/>
    <w:semiHidden/>
    <w:qFormat/>
    <w:pPr>
      <w:ind w:left="1260"/>
      <w:jc w:val="left"/>
    </w:pPr>
  </w:style>
  <w:style w:type="paragraph" w:styleId="1012" w:customStyle="1">
    <w:name w:val="文档结构图1"/>
    <w:basedOn w:val="754"/>
    <w:link w:val="1013"/>
    <w:uiPriority w:val="0"/>
    <w:semiHidden/>
    <w:qFormat/>
    <w:pPr>
      <w:shd w:val="clear" w:color="auto" w:fill="000080"/>
    </w:pPr>
  </w:style>
  <w:style w:type="character" w:styleId="1013" w:customStyle="1">
    <w:name w:val="文档结构图 Char"/>
    <w:link w:val="1012"/>
    <w:uiPriority w:val="0"/>
    <w:semiHidden/>
    <w:qFormat/>
    <w:rPr>
      <w:rFonts w:ascii="Times New Roman" w:hAnsi="Times New Roman" w:eastAsia="宋体" w:cs="Times New Roman"/>
      <w:szCs w:val="21"/>
      <w:shd w:val="clear" w:color="auto" w:fill="000080"/>
    </w:rPr>
  </w:style>
  <w:style w:type="paragraph" w:styleId="1014" w:customStyle="1">
    <w:name w:val="批注文字1"/>
    <w:basedOn w:val="754"/>
    <w:link w:val="1015"/>
    <w:uiPriority w:val="0"/>
    <w:semiHidden/>
    <w:qFormat/>
    <w:pPr>
      <w:jc w:val="left"/>
    </w:pPr>
  </w:style>
  <w:style w:type="character" w:styleId="1015" w:customStyle="1">
    <w:name w:val="批注文字 Char"/>
    <w:link w:val="1014"/>
    <w:uiPriority w:val="0"/>
    <w:semiHidden/>
    <w:qFormat/>
    <w:rPr>
      <w:rFonts w:ascii="Times New Roman" w:hAnsi="Times New Roman" w:eastAsia="宋体" w:cs="Times New Roman"/>
      <w:szCs w:val="21"/>
    </w:rPr>
  </w:style>
  <w:style w:type="paragraph" w:styleId="1016" w:customStyle="1">
    <w:name w:val="正文文本 31"/>
    <w:basedOn w:val="754"/>
    <w:link w:val="1017"/>
    <w:uiPriority w:val="0"/>
    <w:qFormat/>
    <w:rPr>
      <w:rFonts w:ascii="仿宋_GB2312" w:hAnsi="Arial" w:eastAsia="仿宋_GB2312"/>
      <w:sz w:val="32"/>
      <w:szCs w:val="32"/>
    </w:rPr>
  </w:style>
  <w:style w:type="character" w:styleId="1017" w:customStyle="1">
    <w:name w:val="正文文本 3 Char"/>
    <w:link w:val="1016"/>
    <w:uiPriority w:val="0"/>
    <w:qFormat/>
    <w:rPr>
      <w:rFonts w:ascii="仿宋_GB2312" w:hAnsi="Arial" w:eastAsia="仿宋_GB2312" w:cs="Times New Roman"/>
      <w:sz w:val="32"/>
      <w:szCs w:val="32"/>
    </w:rPr>
  </w:style>
  <w:style w:type="paragraph" w:styleId="1018" w:customStyle="1">
    <w:name w:val="正文文本缩进1"/>
    <w:basedOn w:val="754"/>
    <w:next w:val="754"/>
    <w:link w:val="1019"/>
    <w:uiPriority w:val="0"/>
    <w:qFormat/>
    <w:pPr>
      <w:ind w:firstLine="645"/>
    </w:pPr>
    <w:rPr>
      <w:rFonts w:ascii="楷体_GB2312" w:eastAsia="楷体_GB2312"/>
      <w:sz w:val="32"/>
      <w:szCs w:val="32"/>
    </w:rPr>
  </w:style>
  <w:style w:type="character" w:styleId="1019" w:customStyle="1">
    <w:name w:val="正文文本缩进 Char"/>
    <w:link w:val="1018"/>
    <w:uiPriority w:val="0"/>
    <w:qFormat/>
    <w:rPr>
      <w:rFonts w:ascii="楷体_GB2312" w:hAnsi="Times New Roman" w:eastAsia="楷体_GB2312" w:cs="Times New Roman"/>
      <w:sz w:val="32"/>
      <w:szCs w:val="32"/>
    </w:rPr>
  </w:style>
  <w:style w:type="paragraph" w:styleId="1020" w:customStyle="1">
    <w:name w:val="列表 21"/>
    <w:basedOn w:val="754"/>
    <w:uiPriority w:val="0"/>
    <w:qFormat/>
    <w:pPr>
      <w:ind w:left="100" w:hanging="200"/>
    </w:pPr>
  </w:style>
  <w:style w:type="paragraph" w:styleId="1021" w:customStyle="1">
    <w:name w:val="目录 51"/>
    <w:basedOn w:val="754"/>
    <w:next w:val="754"/>
    <w:uiPriority w:val="0"/>
    <w:semiHidden/>
    <w:qFormat/>
    <w:pPr>
      <w:ind w:left="840"/>
      <w:jc w:val="left"/>
    </w:pPr>
  </w:style>
  <w:style w:type="paragraph" w:styleId="1022" w:customStyle="1">
    <w:name w:val="目录 31"/>
    <w:basedOn w:val="754"/>
    <w:next w:val="754"/>
    <w:uiPriority w:val="0"/>
    <w:semiHidden/>
    <w:qFormat/>
    <w:pPr>
      <w:ind w:left="420"/>
      <w:jc w:val="left"/>
    </w:pPr>
    <w:rPr>
      <w:i/>
      <w:iCs/>
      <w:szCs w:val="24"/>
    </w:rPr>
  </w:style>
  <w:style w:type="paragraph" w:styleId="1023" w:customStyle="1">
    <w:name w:val="纯文本1"/>
    <w:basedOn w:val="754"/>
    <w:link w:val="1024"/>
    <w:uiPriority w:val="0"/>
    <w:qFormat/>
    <w:rPr>
      <w:rFonts w:ascii="宋体" w:hAnsi="Courier New" w:cs="Courier New"/>
    </w:rPr>
  </w:style>
  <w:style w:type="character" w:styleId="1024" w:customStyle="1">
    <w:name w:val="纯文本 Char"/>
    <w:link w:val="1023"/>
    <w:uiPriority w:val="0"/>
    <w:qFormat/>
    <w:rPr>
      <w:rFonts w:ascii="宋体" w:hAnsi="Courier New" w:eastAsia="宋体" w:cs="Courier New"/>
      <w:szCs w:val="21"/>
    </w:rPr>
  </w:style>
  <w:style w:type="paragraph" w:styleId="1025" w:customStyle="1">
    <w:name w:val="目录 81"/>
    <w:basedOn w:val="754"/>
    <w:next w:val="754"/>
    <w:uiPriority w:val="0"/>
    <w:semiHidden/>
    <w:qFormat/>
    <w:pPr>
      <w:ind w:left="1470"/>
      <w:jc w:val="left"/>
    </w:pPr>
  </w:style>
  <w:style w:type="paragraph" w:styleId="1026" w:customStyle="1">
    <w:name w:val="日期1"/>
    <w:basedOn w:val="754"/>
    <w:next w:val="754"/>
    <w:link w:val="1027"/>
    <w:uiPriority w:val="0"/>
    <w:qFormat/>
    <w:rPr>
      <w:sz w:val="24"/>
      <w:szCs w:val="24"/>
    </w:rPr>
  </w:style>
  <w:style w:type="character" w:styleId="1027" w:customStyle="1">
    <w:name w:val="日期 Char"/>
    <w:link w:val="1026"/>
    <w:uiPriority w:val="0"/>
    <w:qFormat/>
    <w:rPr>
      <w:rFonts w:ascii="Times New Roman" w:hAnsi="Times New Roman" w:eastAsia="宋体" w:cs="Times New Roman"/>
      <w:sz w:val="24"/>
      <w:szCs w:val="24"/>
    </w:rPr>
  </w:style>
  <w:style w:type="paragraph" w:styleId="1028" w:customStyle="1">
    <w:name w:val="正文文本缩进 21"/>
    <w:basedOn w:val="754"/>
    <w:link w:val="1029"/>
    <w:uiPriority w:val="0"/>
    <w:qFormat/>
    <w:pPr>
      <w:ind w:left="630" w:firstLine="645"/>
    </w:pPr>
    <w:rPr>
      <w:rFonts w:ascii="Arial" w:hAnsi="Arial" w:eastAsia="仿宋_GB2312" w:cs="Arial"/>
      <w:sz w:val="32"/>
      <w:szCs w:val="32"/>
    </w:rPr>
  </w:style>
  <w:style w:type="character" w:styleId="1029" w:customStyle="1">
    <w:name w:val="正文文本缩进 2 Char"/>
    <w:link w:val="1028"/>
    <w:uiPriority w:val="0"/>
    <w:qFormat/>
    <w:rPr>
      <w:rFonts w:ascii="Arial" w:hAnsi="Arial" w:eastAsia="仿宋_GB2312" w:cs="Arial"/>
      <w:sz w:val="32"/>
      <w:szCs w:val="32"/>
    </w:rPr>
  </w:style>
  <w:style w:type="paragraph" w:styleId="1030" w:customStyle="1">
    <w:name w:val="批注框文本1"/>
    <w:basedOn w:val="754"/>
    <w:link w:val="1031"/>
    <w:uiPriority w:val="0"/>
    <w:semiHidden/>
    <w:qFormat/>
    <w:rPr>
      <w:sz w:val="18"/>
      <w:szCs w:val="18"/>
    </w:rPr>
  </w:style>
  <w:style w:type="character" w:styleId="1031" w:customStyle="1">
    <w:name w:val="批注框文本 Char"/>
    <w:link w:val="1030"/>
    <w:uiPriority w:val="0"/>
    <w:semiHidden/>
    <w:qFormat/>
    <w:rPr>
      <w:rFonts w:ascii="Times New Roman" w:hAnsi="Times New Roman" w:eastAsia="宋体" w:cs="Times New Roman"/>
      <w:sz w:val="18"/>
      <w:szCs w:val="18"/>
    </w:rPr>
  </w:style>
  <w:style w:type="paragraph" w:styleId="1032" w:customStyle="1">
    <w:name w:val="页脚1"/>
    <w:basedOn w:val="754"/>
    <w:link w:val="1033"/>
    <w:uiPriority w:val="0"/>
    <w:qFormat/>
    <w:pPr>
      <w:jc w:val="left"/>
      <w:tabs>
        <w:tab w:val="center" w:pos="4153" w:leader="none"/>
        <w:tab w:val="right" w:pos="8306" w:leader="none"/>
      </w:tabs>
    </w:pPr>
    <w:rPr>
      <w:sz w:val="18"/>
      <w:szCs w:val="18"/>
    </w:rPr>
  </w:style>
  <w:style w:type="character" w:styleId="1033" w:customStyle="1">
    <w:name w:val="页脚 Char"/>
    <w:link w:val="1032"/>
    <w:uiPriority w:val="0"/>
    <w:qFormat/>
    <w:rPr>
      <w:rFonts w:ascii="Times New Roman" w:hAnsi="Times New Roman" w:eastAsia="宋体" w:cs="Times New Roman"/>
      <w:sz w:val="18"/>
      <w:szCs w:val="18"/>
    </w:rPr>
  </w:style>
  <w:style w:type="paragraph" w:styleId="1034" w:customStyle="1">
    <w:name w:val="寄信人地址1"/>
    <w:basedOn w:val="1035"/>
    <w:uiPriority w:val="99"/>
    <w:unhideWhenUsed/>
    <w:qFormat/>
    <w:rPr>
      <w:rFonts w:ascii="Arial" w:hAnsi="Arial"/>
    </w:rPr>
  </w:style>
  <w:style w:type="paragraph" w:styleId="1035" w:customStyle="1">
    <w:name w:val="正文_16"/>
    <w:next w:val="1036"/>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文本 2_0"/>
    <w:basedOn w:val="1035"/>
    <w:uiPriority w:val="0"/>
    <w:qFormat/>
    <w:rPr>
      <w:rFonts w:ascii="仿宋_GB2312" w:eastAsia="仿宋_GB2312"/>
      <w:sz w:val="28"/>
    </w:rPr>
  </w:style>
  <w:style w:type="paragraph" w:styleId="1037" w:customStyle="1">
    <w:name w:val="正文首行缩进 2_0"/>
    <w:basedOn w:val="1038"/>
    <w:uiPriority w:val="0"/>
    <w:qFormat/>
    <w:pPr>
      <w:ind w:left="200" w:firstLine="200"/>
      <w:spacing w:after="120"/>
    </w:pPr>
    <w:rPr>
      <w:rFonts w:ascii="Times New Roman" w:hAnsi="Times New Roman"/>
      <w:sz w:val="24"/>
      <w:szCs w:val="24"/>
    </w:rPr>
  </w:style>
  <w:style w:type="paragraph" w:styleId="1038" w:customStyle="1">
    <w:name w:val="正文文本缩进_0"/>
    <w:basedOn w:val="1035"/>
    <w:next w:val="1034"/>
    <w:uiPriority w:val="0"/>
    <w:qFormat/>
    <w:pPr>
      <w:ind w:firstLine="225"/>
    </w:pPr>
    <w:rPr>
      <w:rFonts w:ascii="仿宋_GB2312" w:eastAsia="仿宋_GB2312"/>
      <w:sz w:val="32"/>
    </w:rPr>
  </w:style>
  <w:style w:type="paragraph" w:styleId="1039" w:customStyle="1">
    <w:name w:val="页眉1"/>
    <w:basedOn w:val="754"/>
    <w:link w:val="1040"/>
    <w:uiPriority w:val="0"/>
    <w:qFormat/>
    <w:pPr>
      <w:jc w:val="center"/>
      <w:tabs>
        <w:tab w:val="center" w:pos="4153" w:leader="none"/>
        <w:tab w:val="right" w:pos="8306" w:leader="none"/>
      </w:tabs>
      <w:pBdr>
        <w:bottom w:val="single" w:color="000000" w:sz="6" w:space="1"/>
      </w:pBdr>
    </w:pPr>
    <w:rPr>
      <w:sz w:val="18"/>
      <w:szCs w:val="18"/>
    </w:rPr>
  </w:style>
  <w:style w:type="character" w:styleId="1040" w:customStyle="1">
    <w:name w:val="页眉 Char"/>
    <w:link w:val="1039"/>
    <w:uiPriority w:val="0"/>
    <w:qFormat/>
    <w:rPr>
      <w:rFonts w:ascii="Times New Roman" w:hAnsi="Times New Roman" w:eastAsia="宋体" w:cs="Times New Roman"/>
      <w:sz w:val="18"/>
      <w:szCs w:val="18"/>
    </w:rPr>
  </w:style>
  <w:style w:type="paragraph" w:styleId="1041" w:customStyle="1">
    <w:name w:val="目录 11"/>
    <w:basedOn w:val="754"/>
    <w:next w:val="754"/>
    <w:uiPriority w:val="0"/>
    <w:semiHidden/>
    <w:qFormat/>
    <w:pPr>
      <w:jc w:val="left"/>
      <w:spacing w:before="120" w:after="120" w:line="400" w:lineRule="exact"/>
      <w:tabs>
        <w:tab w:val="right" w:pos="8720" w:leader="dot"/>
      </w:tabs>
    </w:pPr>
    <w:rPr>
      <w:rFonts w:ascii="宋体" w:hAnsi="宋体"/>
      <w:caps/>
      <w:sz w:val="24"/>
      <w:szCs w:val="24"/>
    </w:rPr>
  </w:style>
  <w:style w:type="paragraph" w:styleId="1042" w:customStyle="1">
    <w:name w:val="目录 41"/>
    <w:basedOn w:val="754"/>
    <w:next w:val="754"/>
    <w:uiPriority w:val="0"/>
    <w:semiHidden/>
    <w:qFormat/>
    <w:pPr>
      <w:ind w:left="630"/>
      <w:jc w:val="left"/>
    </w:pPr>
  </w:style>
  <w:style w:type="paragraph" w:styleId="1043" w:customStyle="1">
    <w:name w:val="列表1"/>
    <w:basedOn w:val="754"/>
    <w:uiPriority w:val="0"/>
    <w:qFormat/>
    <w:pPr>
      <w:ind w:left="200" w:hanging="200"/>
    </w:pPr>
  </w:style>
  <w:style w:type="paragraph" w:styleId="1044" w:customStyle="1">
    <w:name w:val="目录 61"/>
    <w:basedOn w:val="754"/>
    <w:next w:val="754"/>
    <w:uiPriority w:val="0"/>
    <w:semiHidden/>
    <w:qFormat/>
    <w:pPr>
      <w:ind w:left="1050"/>
      <w:jc w:val="left"/>
    </w:pPr>
  </w:style>
  <w:style w:type="paragraph" w:styleId="1045" w:customStyle="1">
    <w:name w:val="正文文本缩进 31"/>
    <w:basedOn w:val="754"/>
    <w:link w:val="1046"/>
    <w:uiPriority w:val="0"/>
    <w:qFormat/>
    <w:pPr>
      <w:ind w:left="645" w:firstLine="645"/>
    </w:pPr>
    <w:rPr>
      <w:rFonts w:ascii="Arial" w:hAnsi="Arial" w:eastAsia="仿宋_GB2312" w:cs="Arial"/>
      <w:color w:val="ffff00"/>
      <w:sz w:val="32"/>
      <w:szCs w:val="32"/>
    </w:rPr>
  </w:style>
  <w:style w:type="character" w:styleId="1046" w:customStyle="1">
    <w:name w:val="正文文本缩进 3 Char"/>
    <w:link w:val="1045"/>
    <w:uiPriority w:val="0"/>
    <w:qFormat/>
    <w:rPr>
      <w:rFonts w:ascii="Arial" w:hAnsi="Arial" w:eastAsia="仿宋_GB2312" w:cs="Arial"/>
      <w:color w:val="ffff00"/>
      <w:sz w:val="32"/>
      <w:szCs w:val="32"/>
    </w:rPr>
  </w:style>
  <w:style w:type="paragraph" w:styleId="1047" w:customStyle="1">
    <w:name w:val="图表目录1"/>
    <w:basedOn w:val="754"/>
    <w:next w:val="754"/>
    <w:uiPriority w:val="0"/>
    <w:semiHidden/>
    <w:qFormat/>
    <w:pPr>
      <w:ind w:left="840" w:hanging="420"/>
    </w:pPr>
  </w:style>
  <w:style w:type="paragraph" w:styleId="1048" w:customStyle="1">
    <w:name w:val="目录 21"/>
    <w:basedOn w:val="754"/>
    <w:next w:val="754"/>
    <w:uiPriority w:val="0"/>
    <w:semiHidden/>
    <w:qFormat/>
    <w:pPr>
      <w:ind w:left="210"/>
      <w:jc w:val="left"/>
    </w:pPr>
    <w:rPr>
      <w:smallCaps/>
      <w:szCs w:val="24"/>
    </w:rPr>
  </w:style>
  <w:style w:type="paragraph" w:styleId="1049" w:customStyle="1">
    <w:name w:val="目录 91"/>
    <w:basedOn w:val="754"/>
    <w:next w:val="754"/>
    <w:uiPriority w:val="0"/>
    <w:semiHidden/>
    <w:qFormat/>
    <w:pPr>
      <w:ind w:left="1680"/>
      <w:jc w:val="left"/>
    </w:pPr>
  </w:style>
  <w:style w:type="paragraph" w:styleId="1050" w:customStyle="1">
    <w:name w:val="正文文本 21"/>
    <w:basedOn w:val="754"/>
    <w:link w:val="1051"/>
    <w:uiPriority w:val="0"/>
    <w:qFormat/>
    <w:pPr>
      <w:jc w:val="center"/>
      <w:widowControl/>
    </w:pPr>
    <w:rPr>
      <w:rFonts w:ascii="楷体_GB2312" w:eastAsia="楷体_GB2312"/>
      <w:sz w:val="28"/>
      <w:szCs w:val="28"/>
    </w:rPr>
  </w:style>
  <w:style w:type="character" w:styleId="1051" w:customStyle="1">
    <w:name w:val="正文文本 2 Char"/>
    <w:link w:val="1050"/>
    <w:uiPriority w:val="0"/>
    <w:qFormat/>
    <w:rPr>
      <w:rFonts w:ascii="楷体_GB2312" w:hAnsi="Times New Roman" w:eastAsia="楷体_GB2312" w:cs="Times New Roman"/>
      <w:sz w:val="28"/>
      <w:szCs w:val="28"/>
    </w:rPr>
  </w:style>
  <w:style w:type="paragraph" w:styleId="1052" w:customStyle="1">
    <w:name w:val="列表接续 21"/>
    <w:basedOn w:val="754"/>
    <w:next w:val="754"/>
    <w:uiPriority w:val="0"/>
    <w:qFormat/>
    <w:pPr>
      <w:ind w:left="840"/>
      <w:spacing w:after="120"/>
    </w:pPr>
  </w:style>
  <w:style w:type="paragraph" w:styleId="1053" w:customStyle="1">
    <w:name w:val="普通(网站)1"/>
    <w:basedOn w:val="754"/>
    <w:uiPriority w:val="99"/>
    <w:qFormat/>
    <w:pPr>
      <w:jc w:val="left"/>
      <w:spacing w:before="100" w:beforeAutospacing="1" w:after="100" w:afterAutospacing="1"/>
      <w:widowControl/>
    </w:pPr>
    <w:rPr>
      <w:rFonts w:ascii="宋体" w:hAnsi="宋体" w:cs="宋体"/>
      <w:sz w:val="24"/>
      <w:szCs w:val="24"/>
    </w:rPr>
  </w:style>
  <w:style w:type="paragraph" w:styleId="1054" w:customStyle="1">
    <w:name w:val="索引 11"/>
    <w:basedOn w:val="754"/>
    <w:next w:val="754"/>
    <w:uiPriority w:val="0"/>
    <w:semiHidden/>
    <w:qFormat/>
    <w:pPr>
      <w:spacing w:line="240" w:lineRule="atLeast"/>
    </w:pPr>
    <w:rPr>
      <w:b/>
      <w:bCs/>
    </w:rPr>
  </w:style>
  <w:style w:type="paragraph" w:styleId="1055" w:customStyle="1">
    <w:name w:val="批注主题1"/>
    <w:basedOn w:val="1014"/>
    <w:next w:val="1014"/>
    <w:link w:val="1056"/>
    <w:uiPriority w:val="0"/>
    <w:semiHidden/>
    <w:qFormat/>
    <w:rPr>
      <w:b/>
      <w:bCs/>
    </w:rPr>
  </w:style>
  <w:style w:type="character" w:styleId="1056" w:customStyle="1">
    <w:name w:val="批注主题 Char"/>
    <w:link w:val="1055"/>
    <w:uiPriority w:val="0"/>
    <w:semiHidden/>
    <w:qFormat/>
    <w:rPr>
      <w:rFonts w:ascii="Times New Roman" w:hAnsi="Times New Roman" w:eastAsia="宋体" w:cs="Times New Roman"/>
      <w:b/>
      <w:bCs/>
      <w:szCs w:val="21"/>
    </w:rPr>
  </w:style>
  <w:style w:type="paragraph" w:styleId="1057" w:customStyle="1">
    <w:name w:val="正文首行缩进11"/>
    <w:basedOn w:val="754"/>
    <w:link w:val="1058"/>
    <w:uiPriority w:val="0"/>
    <w:qFormat/>
    <w:pPr>
      <w:ind w:firstLine="200"/>
      <w:spacing w:line="360" w:lineRule="auto"/>
    </w:pPr>
    <w:rPr>
      <w:rFonts w:ascii="仿宋_GB2312" w:eastAsia="仿宋_GB2312"/>
      <w:sz w:val="30"/>
      <w:szCs w:val="30"/>
    </w:rPr>
  </w:style>
  <w:style w:type="character" w:styleId="1058" w:customStyle="1">
    <w:name w:val="正文首行缩进 Char"/>
    <w:link w:val="1057"/>
    <w:uiPriority w:val="0"/>
    <w:qFormat/>
    <w:rPr>
      <w:rFonts w:ascii="仿宋_GB2312" w:hAnsi="Times New Roman" w:eastAsia="仿宋_GB2312" w:cs="Times New Roman"/>
      <w:sz w:val="30"/>
      <w:szCs w:val="30"/>
    </w:rPr>
  </w:style>
  <w:style w:type="paragraph" w:styleId="1059" w:customStyle="1">
    <w:name w:val="正文首行缩进 21"/>
    <w:basedOn w:val="1018"/>
    <w:link w:val="1060"/>
    <w:uiPriority w:val="0"/>
    <w:qFormat/>
    <w:pPr>
      <w:ind w:firstLine="420"/>
      <w:spacing w:line="360" w:lineRule="auto"/>
    </w:pPr>
    <w:rPr>
      <w:rFonts w:ascii="宋体" w:hAnsi="宋体" w:eastAsia="宋体"/>
      <w:sz w:val="21"/>
      <w:szCs w:val="20"/>
    </w:rPr>
  </w:style>
  <w:style w:type="character" w:styleId="1060" w:customStyle="1">
    <w:name w:val="正文首行缩进 2 Char"/>
    <w:link w:val="1059"/>
    <w:uiPriority w:val="0"/>
    <w:qFormat/>
    <w:rPr>
      <w:rFonts w:ascii="宋体" w:hAnsi="宋体" w:eastAsia="宋体" w:cs="Times New Roman"/>
      <w:sz w:val="32"/>
      <w:szCs w:val="20"/>
    </w:rPr>
  </w:style>
  <w:style w:type="table" w:styleId="1061" w:customStyle="1">
    <w:name w:val="网格型1"/>
    <w:basedOn w:val="1002"/>
    <w:uiPriority w:val="0"/>
    <w:qFormat/>
    <w:pPr>
      <w:jc w:val="both"/>
      <w:widowControl w:val="off"/>
    </w:pPr>
    <w:tblPr/>
  </w:style>
  <w:style w:type="character" w:styleId="1062" w:customStyle="1">
    <w:name w:val="要点1"/>
    <w:uiPriority w:val="0"/>
    <w:qFormat/>
    <w:rPr>
      <w:b/>
      <w:bCs/>
    </w:rPr>
  </w:style>
  <w:style w:type="character" w:styleId="1063" w:customStyle="1">
    <w:name w:val="页码1"/>
    <w:uiPriority w:val="0"/>
    <w:qFormat/>
  </w:style>
  <w:style w:type="character" w:styleId="1064" w:customStyle="1">
    <w:name w:val="已访问的超链接1"/>
    <w:uiPriority w:val="0"/>
    <w:qFormat/>
    <w:rPr>
      <w:color w:val="800080"/>
      <w:u w:val="single"/>
    </w:rPr>
  </w:style>
  <w:style w:type="character" w:styleId="1065" w:customStyle="1">
    <w:name w:val="超链接1"/>
    <w:uiPriority w:val="0"/>
    <w:qFormat/>
    <w:rPr>
      <w:color w:val="0000ff"/>
      <w:u w:val="single"/>
    </w:rPr>
  </w:style>
  <w:style w:type="character" w:styleId="1066" w:customStyle="1">
    <w:name w:val="批注引用1"/>
    <w:uiPriority w:val="0"/>
    <w:semiHidden/>
    <w:qFormat/>
    <w:rPr>
      <w:sz w:val="21"/>
      <w:szCs w:val="21"/>
    </w:rPr>
  </w:style>
  <w:style w:type="character" w:styleId="1067" w:customStyle="1">
    <w:name w:val="列出段落 Char"/>
    <w:link w:val="1068"/>
    <w:uiPriority w:val="0"/>
    <w:qFormat/>
    <w:rPr>
      <w:rFonts w:ascii="Calibri" w:hAnsi="Calibri"/>
      <w:sz w:val="24"/>
      <w:szCs w:val="24"/>
      <w:lang w:eastAsia="en-US" w:bidi="en-US"/>
    </w:rPr>
  </w:style>
  <w:style w:type="paragraph" w:styleId="1068" w:customStyle="1">
    <w:name w:val="列出段落1"/>
    <w:basedOn w:val="754"/>
    <w:link w:val="1067"/>
    <w:uiPriority w:val="0"/>
    <w:qFormat/>
    <w:pPr>
      <w:contextualSpacing/>
      <w:ind w:left="720"/>
      <w:jc w:val="left"/>
      <w:widowControl/>
    </w:pPr>
    <w:rPr>
      <w:rFonts w:ascii="Calibri" w:hAnsi="Calibri"/>
      <w:sz w:val="24"/>
      <w:szCs w:val="24"/>
      <w:lang w:eastAsia="en-US" w:bidi="en-US"/>
    </w:rPr>
  </w:style>
  <w:style w:type="character" w:styleId="1069" w:customStyle="1">
    <w:name w:val="font5 Char"/>
    <w:uiPriority w:val="0"/>
    <w:qFormat/>
    <w:rPr>
      <w:rFonts w:ascii="宋体" w:hAnsi="宋体" w:eastAsia="宋体"/>
      <w:sz w:val="28"/>
      <w:szCs w:val="28"/>
      <w:lang w:val="en-US" w:eastAsia="zh-CN" w:bidi="ar-SA"/>
    </w:rPr>
  </w:style>
  <w:style w:type="character" w:styleId="1070" w:customStyle="1">
    <w:name w:val="二级目录 Char"/>
    <w:link w:val="1071"/>
    <w:uiPriority w:val="0"/>
    <w:qFormat/>
    <w:rPr>
      <w:b/>
      <w:sz w:val="30"/>
      <w:szCs w:val="28"/>
    </w:rPr>
  </w:style>
  <w:style w:type="paragraph" w:styleId="1071" w:customStyle="1">
    <w:name w:val="二级目录"/>
    <w:next w:val="754"/>
    <w:link w:val="1070"/>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72" w:customStyle="1">
    <w:name w:val="首行缩进"/>
    <w:basedOn w:val="754"/>
    <w:uiPriority w:val="0"/>
    <w:qFormat/>
    <w:pPr>
      <w:ind w:firstLine="480"/>
    </w:pPr>
    <w:rPr>
      <w:lang w:val="zh-CN"/>
    </w:rPr>
  </w:style>
  <w:style w:type="paragraph" w:styleId="1073" w:customStyle="1">
    <w:name w:val="正文_3_0_0"/>
    <w:next w:val="1074"/>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74" w:customStyle="1">
    <w:name w:val="正文文本缩进_1_0_0"/>
    <w:basedOn w:val="1073"/>
    <w:next w:val="1073"/>
    <w:uiPriority w:val="99"/>
    <w:unhideWhenUsed/>
    <w:qFormat/>
    <w:pPr>
      <w:ind w:firstLine="225"/>
    </w:pPr>
    <w:rPr>
      <w:rFonts w:hint="eastAsia" w:ascii="仿宋_GB2312" w:eastAsia="仿宋_GB2312"/>
      <w:sz w:val="32"/>
    </w:rPr>
  </w:style>
  <w:style w:type="paragraph" w:styleId="1075" w:customStyle="1">
    <w:name w:val="索引 41"/>
    <w:basedOn w:val="754"/>
    <w:next w:val="754"/>
    <w:uiPriority w:val="0"/>
    <w:semiHidden/>
    <w:qFormat/>
    <w:pPr>
      <w:ind w:left="1260"/>
    </w:pPr>
    <w:rPr>
      <w:rFonts w:ascii="Calibri" w:hAnsi="Calibri" w:eastAsia="Calibri" w:cs="宋体"/>
      <w:sz w:val="20"/>
      <w:lang w:val="zh-CN"/>
    </w:rPr>
  </w:style>
  <w:style w:type="paragraph" w:styleId="1076" w:customStyle="1">
    <w:name w:val="Normal_13_0"/>
    <w:uiPriority w:val="0"/>
    <w:qFormat/>
    <w:rPr>
      <w:rFonts w:hint="default" w:ascii="黑体" w:hAnsi="黑体" w:eastAsia="黑体" w:cs="黑体"/>
      <w:b/>
      <w:sz w:val="32"/>
      <w:szCs w:val="24"/>
      <w:lang w:val="en-US" w:eastAsia="zh-CN" w:bidi="ar-SA"/>
    </w:rPr>
  </w:style>
  <w:style w:type="paragraph" w:styleId="1077" w:customStyle="1">
    <w:name w:val="table_1stline"/>
    <w:basedOn w:val="754"/>
    <w:uiPriority w:val="0"/>
    <w:qFormat/>
    <w:pPr>
      <w:jc w:val="left"/>
      <w:spacing w:before="120"/>
      <w:widowControl/>
    </w:pPr>
    <w:rPr>
      <w:bCs/>
      <w:sz w:val="20"/>
      <w:szCs w:val="20"/>
      <w:lang w:val="de-DE" w:eastAsia="de-DE"/>
    </w:rPr>
  </w:style>
  <w:style w:type="paragraph" w:styleId="1078" w:customStyle="1">
    <w:name w:val="正文_12_0_0_0_0"/>
    <w:basedOn w:val="754"/>
    <w:uiPriority w:val="0"/>
    <w:qFormat/>
    <w:rPr>
      <w:szCs w:val="24"/>
    </w:rPr>
  </w:style>
  <w:style w:type="paragraph" w:styleId="1079" w:customStyle="1">
    <w:name w:val="正文_3_0"/>
    <w:next w:val="1080"/>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文本缩进_1_0"/>
    <w:basedOn w:val="1079"/>
    <w:next w:val="1079"/>
    <w:uiPriority w:val="99"/>
    <w:unhideWhenUsed/>
    <w:qFormat/>
    <w:pPr>
      <w:ind w:firstLine="225"/>
    </w:pPr>
    <w:rPr>
      <w:rFonts w:hint="eastAsia" w:ascii="仿宋_GB2312" w:eastAsia="仿宋_GB2312"/>
      <w:sz w:val="32"/>
      <w:szCs w:val="24"/>
    </w:rPr>
  </w:style>
  <w:style w:type="paragraph" w:styleId="1081" w:customStyle="1">
    <w:name w:val="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082" w:customStyle="1">
    <w:name w:val="标题1"/>
    <w:basedOn w:val="754"/>
    <w:next w:val="7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84" w:customStyle="1">
    <w:name w:val="4"/>
    <w:basedOn w:val="754"/>
    <w:next w:val="1045"/>
    <w:uiPriority w:val="0"/>
    <w:qFormat/>
    <w:pPr>
      <w:ind w:firstLine="420"/>
      <w:spacing w:line="360" w:lineRule="auto"/>
    </w:pPr>
    <w:rPr>
      <w:color w:val="ff0000"/>
      <w:sz w:val="24"/>
      <w:szCs w:val="24"/>
    </w:rPr>
  </w:style>
  <w:style w:type="paragraph" w:styleId="1085" w:customStyle="1">
    <w:name w:val="左对齐正文"/>
    <w:uiPriority w:val="99"/>
    <w:qFormat/>
    <w:rPr>
      <w:rFonts w:hint="default" w:ascii="Calibri" w:hAnsi="Calibri" w:eastAsia="仿宋_GB2312" w:cs="Calibri"/>
      <w:sz w:val="32"/>
      <w:szCs w:val="32"/>
      <w:lang w:val="en-US" w:eastAsia="zh-CN" w:bidi="ar-SA"/>
    </w:rPr>
  </w:style>
  <w:style w:type="paragraph" w:styleId="1086" w:customStyle="1">
    <w:name w:val="xl24"/>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8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font6"/>
    <w:basedOn w:val="754"/>
    <w:uiPriority w:val="0"/>
    <w:qFormat/>
    <w:pPr>
      <w:jc w:val="left"/>
      <w:spacing w:before="100" w:beforeAutospacing="1" w:after="100" w:afterAutospacing="1"/>
      <w:widowControl/>
    </w:pPr>
    <w:rPr>
      <w:rFonts w:hint="eastAsia" w:ascii="宋体" w:hAnsi="宋体"/>
      <w:sz w:val="28"/>
      <w:szCs w:val="28"/>
      <w:u w:val="single"/>
    </w:rPr>
  </w:style>
  <w:style w:type="paragraph" w:styleId="1090" w:customStyle="1">
    <w:name w:val="正文_16_0_0"/>
    <w:next w:val="1087"/>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Char"/>
    <w:basedOn w:val="1012"/>
    <w:uiPriority w:val="0"/>
    <w:qFormat/>
    <w:rPr>
      <w:rFonts w:ascii="Tahoma" w:hAnsi="Tahoma"/>
      <w:sz w:val="24"/>
      <w:szCs w:val="24"/>
    </w:rPr>
  </w:style>
  <w:style w:type="paragraph" w:styleId="1092" w:customStyle="1">
    <w:name w:val="Char1"/>
    <w:basedOn w:val="754"/>
    <w:uiPriority w:val="0"/>
    <w:qFormat/>
    <w:pPr>
      <w:ind w:firstLine="200"/>
      <w:tabs>
        <w:tab w:val="left" w:pos="360" w:leader="none"/>
      </w:tabs>
    </w:pPr>
    <w:rPr>
      <w:sz w:val="28"/>
      <w:szCs w:val="30"/>
    </w:rPr>
  </w:style>
  <w:style w:type="paragraph" w:styleId="1093" w:customStyle="1">
    <w:name w:val="table_lines"/>
    <w:basedOn w:val="754"/>
    <w:uiPriority w:val="0"/>
    <w:qFormat/>
    <w:pPr>
      <w:jc w:val="left"/>
      <w:widowControl/>
    </w:pPr>
    <w:rPr>
      <w:sz w:val="20"/>
      <w:szCs w:val="20"/>
      <w:lang w:val="de-DE" w:eastAsia="de-DE"/>
    </w:rPr>
  </w:style>
  <w:style w:type="paragraph" w:styleId="1094" w:customStyle="1">
    <w:name w:val="xl2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5" w:customStyle="1">
    <w:name w:val="Char Char Char Char"/>
    <w:basedOn w:val="1012"/>
    <w:uiPriority w:val="0"/>
    <w:qFormat/>
    <w:pPr>
      <w:spacing w:line="360" w:lineRule="auto"/>
    </w:pPr>
    <w:rPr>
      <w:rFonts w:ascii="Tahoma" w:hAnsi="Tahoma"/>
      <w:sz w:val="24"/>
      <w:szCs w:val="24"/>
    </w:rPr>
  </w:style>
  <w:style w:type="paragraph" w:styleId="1096" w:customStyle="1">
    <w:name w:val="列出段落2"/>
    <w:basedOn w:val="754"/>
    <w:uiPriority w:val="0"/>
    <w:qFormat/>
    <w:pPr>
      <w:contextualSpacing/>
      <w:ind w:left="720"/>
      <w:jc w:val="left"/>
      <w:widowControl/>
    </w:pPr>
    <w:rPr>
      <w:rFonts w:ascii="Calibri" w:hAnsi="Calibri"/>
      <w:sz w:val="24"/>
      <w:szCs w:val="24"/>
      <w:lang w:eastAsia="en-US" w:bidi="en-US"/>
    </w:rPr>
  </w:style>
  <w:style w:type="paragraph" w:styleId="1097" w:customStyle="1">
    <w:name w:val="Normal_18_0"/>
    <w:uiPriority w:val="0"/>
    <w:qFormat/>
    <w:rPr>
      <w:rFonts w:hint="default" w:ascii="黑体" w:hAnsi="黑体" w:eastAsia="黑体" w:cs="黑体"/>
      <w:b/>
      <w:sz w:val="32"/>
      <w:szCs w:val="24"/>
      <w:lang w:val="en-US" w:eastAsia="zh-CN" w:bidi="ar-SA"/>
    </w:rPr>
  </w:style>
  <w:style w:type="paragraph" w:styleId="1098" w:customStyle="1">
    <w:name w:val="部分1"/>
    <w:basedOn w:val="754"/>
    <w:uiPriority w:val="0"/>
    <w:qFormat/>
    <w:pPr>
      <w:jc w:val="center"/>
      <w:keepNext/>
      <w:pageBreakBefore/>
      <w:spacing w:line="360" w:lineRule="auto"/>
      <w:tabs>
        <w:tab w:val="left" w:pos="720" w:leader="none"/>
      </w:tabs>
      <w:outlineLvl w:val="0"/>
    </w:pPr>
    <w:rPr>
      <w:rFonts w:eastAsia="黑体"/>
      <w:b/>
      <w:sz w:val="36"/>
      <w:szCs w:val="20"/>
    </w:rPr>
  </w:style>
  <w:style w:type="paragraph" w:styleId="1099" w:customStyle="1">
    <w:name w:val="正文_1"/>
    <w:uiPriority w:val="0"/>
    <w:qFormat/>
    <w:pPr>
      <w:jc w:val="both"/>
      <w:widowControl w:val="off"/>
    </w:pPr>
    <w:rPr>
      <w:rFonts w:hint="default" w:ascii="Times New Roman" w:hAnsi="Times New Roman" w:eastAsia="仿宋_GB2312" w:cs="Times New Roman"/>
      <w:sz w:val="28"/>
      <w:szCs w:val="24"/>
      <w:lang w:val="en-US" w:eastAsia="zh-CN" w:bidi="ar-SA"/>
    </w:rPr>
  </w:style>
  <w:style w:type="paragraph" w:styleId="110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1" w:customStyle="1">
    <w:name w:val="正文文本1"/>
    <w:basedOn w:val="754"/>
    <w:next w:val="1102"/>
    <w:uiPriority w:val="0"/>
    <w:qFormat/>
    <w:pPr>
      <w:spacing w:line="60" w:lineRule="auto"/>
    </w:pPr>
    <w:rPr>
      <w:rFonts w:ascii="仿宋_GB2312" w:eastAsia="仿宋_GB2312"/>
      <w:sz w:val="32"/>
    </w:rPr>
  </w:style>
  <w:style w:type="paragraph" w:styleId="1102" w:customStyle="1">
    <w:name w:val="正文首行缩进1"/>
    <w:basedOn w:val="1101"/>
    <w:uiPriority w:val="0"/>
    <w:qFormat/>
    <w:pPr>
      <w:ind w:firstLine="100"/>
      <w:spacing w:after="120" w:line="240" w:lineRule="auto"/>
    </w:pPr>
    <w:rPr>
      <w:rFonts w:ascii="Times New Roman" w:eastAsia="宋体"/>
      <w:sz w:val="21"/>
    </w:rPr>
  </w:style>
  <w:style w:type="paragraph" w:styleId="1103" w:customStyle="1">
    <w:name w:val="正文文本12"/>
    <w:basedOn w:val="754"/>
    <w:uiPriority w:val="1"/>
    <w:qFormat/>
    <w:pPr>
      <w:ind w:left="120"/>
    </w:pPr>
    <w:rPr>
      <w:rFonts w:ascii="宋体" w:hAnsi="宋体" w:cs="宋体"/>
      <w:lang w:val="zh-CN" w:bidi="zh-CN"/>
    </w:rPr>
  </w:style>
  <w:style w:type="paragraph" w:styleId="110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xl25"/>
    <w:basedOn w:val="7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6" w:customStyle="1">
    <w:name w:val="普通 (Web)"/>
    <w:basedOn w:val="754"/>
    <w:uiPriority w:val="0"/>
    <w:qFormat/>
    <w:pPr>
      <w:jc w:val="left"/>
      <w:spacing w:before="100" w:beforeAutospacing="1" w:after="100" w:afterAutospacing="1"/>
      <w:widowControl/>
    </w:pPr>
    <w:rPr>
      <w:rFonts w:ascii="宋体" w:hAnsi="宋体"/>
      <w:sz w:val="24"/>
      <w:szCs w:val="24"/>
    </w:rPr>
  </w:style>
  <w:style w:type="paragraph" w:styleId="1107" w:customStyle="1">
    <w:name w:val="标题3"/>
    <w:basedOn w:val="754"/>
    <w:next w:val="754"/>
    <w:uiPriority w:val="0"/>
    <w:qFormat/>
    <w:pPr>
      <w:ind w:firstLine="624"/>
      <w:spacing w:line="590" w:lineRule="atLeast"/>
    </w:pPr>
    <w:rPr>
      <w:rFonts w:ascii="方正黑体_GBK" w:eastAsia="方正黑体_GBK"/>
      <w:sz w:val="32"/>
      <w:szCs w:val="32"/>
    </w:rPr>
  </w:style>
  <w:style w:type="paragraph" w:styleId="1108" w:customStyle="1">
    <w:name w:val="xl2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正文_3_0_0_0_0"/>
    <w:next w:val="1111"/>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11" w:customStyle="1">
    <w:name w:val="正文文本缩进_1_0_0_0_0"/>
    <w:basedOn w:val="1110"/>
    <w:next w:val="1110"/>
    <w:uiPriority w:val="99"/>
    <w:unhideWhenUsed/>
    <w:qFormat/>
    <w:pPr>
      <w:ind w:firstLine="225"/>
    </w:pPr>
    <w:rPr>
      <w:rFonts w:hint="eastAsia" w:ascii="仿宋_GB2312" w:eastAsia="仿宋_GB2312"/>
      <w:sz w:val="32"/>
    </w:rPr>
  </w:style>
  <w:style w:type="paragraph" w:styleId="1112" w:customStyle="1">
    <w:name w:val="样式1"/>
    <w:basedOn w:val="754"/>
    <w:uiPriority w:val="0"/>
    <w:qFormat/>
    <w:pPr>
      <w:numPr>
        <w:ilvl w:val="0"/>
        <w:numId w:val="3"/>
      </w:numPr>
    </w:pPr>
    <w:rPr>
      <w:rFonts w:ascii="宋体" w:hAnsi="宋体"/>
    </w:rPr>
  </w:style>
  <w:style w:type="paragraph" w:styleId="1113" w:customStyle="1">
    <w:name w:val="正文2"/>
    <w:basedOn w:val="754"/>
    <w:next w:val="1114"/>
    <w:uiPriority w:val="0"/>
    <w:qFormat/>
    <w:pPr>
      <w:ind w:firstLine="510"/>
      <w:spacing w:before="156" w:line="360" w:lineRule="auto"/>
    </w:pPr>
    <w:rPr>
      <w:sz w:val="24"/>
      <w:szCs w:val="20"/>
    </w:rPr>
  </w:style>
  <w:style w:type="paragraph" w:styleId="1114" w:customStyle="1">
    <w:name w:val="UserStyle_0"/>
    <w:basedOn w:val="1113"/>
    <w:uiPriority w:val="0"/>
    <w:qFormat/>
    <w:pPr>
      <w:ind w:left="420"/>
      <w:spacing w:after="120"/>
    </w:pPr>
    <w:rPr>
      <w:rFonts w:eastAsia="Times New Roman"/>
    </w:rPr>
  </w:style>
  <w:style w:type="paragraph" w:styleId="1115" w:customStyle="1">
    <w:name w:val="图标"/>
    <w:basedOn w:val="754"/>
    <w:next w:val="7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6" w:customStyle="1">
    <w:name w:val="font5"/>
    <w:basedOn w:val="754"/>
    <w:uiPriority w:val="0"/>
    <w:qFormat/>
    <w:pPr>
      <w:jc w:val="left"/>
      <w:spacing w:before="100" w:beforeAutospacing="1" w:after="100" w:afterAutospacing="1"/>
      <w:widowControl/>
    </w:pPr>
    <w:rPr>
      <w:rFonts w:hint="eastAsia" w:ascii="宋体" w:hAnsi="宋体"/>
      <w:sz w:val="28"/>
      <w:szCs w:val="28"/>
    </w:rPr>
  </w:style>
  <w:style w:type="paragraph" w:styleId="1117" w:customStyle="1">
    <w:name w:val="Char Char Char Char Char Char Char Char1"/>
    <w:basedOn w:val="754"/>
    <w:uiPriority w:val="0"/>
    <w:qFormat/>
    <w:pPr>
      <w:jc w:val="left"/>
      <w:spacing w:after="160" w:line="240" w:lineRule="exact"/>
      <w:widowControl/>
    </w:pPr>
    <w:rPr>
      <w:rFonts w:ascii="Verdana" w:hAnsi="Verdana"/>
      <w:sz w:val="20"/>
      <w:szCs w:val="20"/>
      <w:lang w:eastAsia="en-US"/>
    </w:rPr>
  </w:style>
  <w:style w:type="paragraph" w:styleId="1118" w:customStyle="1">
    <w:name w:val="xl30"/>
    <w:basedOn w:val="754"/>
    <w:uiPriority w:val="0"/>
    <w:qFormat/>
    <w:pPr>
      <w:jc w:val="center"/>
      <w:spacing w:before="100" w:beforeAutospacing="1" w:after="100" w:afterAutospacing="1"/>
      <w:widowControl/>
    </w:pPr>
    <w:rPr>
      <w:rFonts w:ascii="宋体" w:hAnsi="宋体"/>
      <w:b/>
      <w:bCs/>
      <w:sz w:val="36"/>
      <w:szCs w:val="36"/>
    </w:rPr>
  </w:style>
  <w:style w:type="paragraph" w:styleId="1119" w:customStyle="1">
    <w:name w:val="正文_2"/>
    <w:next w:val="112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文本_0"/>
    <w:basedOn w:val="1035"/>
    <w:next w:val="1119"/>
    <w:uiPriority w:val="0"/>
    <w:qFormat/>
    <w:pPr>
      <w:spacing w:after="120"/>
    </w:pPr>
  </w:style>
  <w:style w:type="paragraph" w:styleId="112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2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124" w:customStyle="1">
    <w:name w:val="正文文本缩进_1_0_0_0"/>
    <w:basedOn w:val="1125"/>
    <w:next w:val="1125"/>
    <w:uiPriority w:val="99"/>
    <w:unhideWhenUsed/>
    <w:qFormat/>
    <w:pPr>
      <w:ind w:firstLine="225"/>
    </w:pPr>
    <w:rPr>
      <w:rFonts w:hint="eastAsia" w:ascii="仿宋_GB2312" w:eastAsia="仿宋_GB2312"/>
      <w:sz w:val="32"/>
    </w:rPr>
  </w:style>
  <w:style w:type="paragraph" w:styleId="1125" w:customStyle="1">
    <w:name w:val="正文_3_0_0_0"/>
    <w:next w:val="1124"/>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2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Normal_6_0"/>
    <w:uiPriority w:val="0"/>
    <w:qFormat/>
    <w:rPr>
      <w:rFonts w:hint="default" w:ascii="黑体" w:hAnsi="黑体" w:eastAsia="黑体" w:cs="黑体"/>
      <w:b/>
      <w:sz w:val="32"/>
      <w:szCs w:val="24"/>
      <w:lang w:val="en-US" w:eastAsia="zh-CN" w:bidi="ar-SA"/>
    </w:rPr>
  </w:style>
  <w:style w:type="paragraph" w:styleId="1128" w:customStyle="1">
    <w:name w:val="Char Char Char Char1"/>
    <w:basedOn w:val="1012"/>
    <w:uiPriority w:val="0"/>
    <w:qFormat/>
    <w:pPr>
      <w:spacing w:line="360" w:lineRule="auto"/>
    </w:pPr>
    <w:rPr>
      <w:rFonts w:ascii="Tahoma" w:hAnsi="Tahoma"/>
      <w:sz w:val="24"/>
      <w:szCs w:val="24"/>
    </w:rPr>
  </w:style>
  <w:style w:type="paragraph" w:styleId="112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xl29"/>
    <w:basedOn w:val="75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2" w:customStyle="1">
    <w:name w:val="Body Text(ch)"/>
    <w:basedOn w:val="754"/>
    <w:next w:val="795"/>
    <w:uiPriority w:val="0"/>
    <w:qFormat/>
    <w:pPr>
      <w:spacing w:after="120"/>
    </w:pPr>
    <w:rPr>
      <w:rFonts w:ascii="宋体" w:hAnsi="Arial"/>
      <w:bCs/>
      <w:iCs/>
      <w:szCs w:val="24"/>
    </w:rPr>
  </w:style>
  <w:style w:type="paragraph" w:styleId="1133" w:customStyle="1">
    <w:name w:val="xl27"/>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4" w:customStyle="1">
    <w:name w:val="正文文本缩进_1"/>
    <w:basedOn w:val="1135"/>
    <w:next w:val="1137"/>
    <w:uiPriority w:val="99"/>
    <w:unhideWhenUsed/>
    <w:qFormat/>
    <w:pPr>
      <w:ind w:firstLine="225"/>
    </w:pPr>
    <w:rPr>
      <w:rFonts w:hint="eastAsia" w:ascii="仿宋_GB2312" w:eastAsia="仿宋_GB2312"/>
      <w:sz w:val="32"/>
      <w:szCs w:val="24"/>
    </w:rPr>
  </w:style>
  <w:style w:type="paragraph" w:styleId="1135" w:customStyle="1">
    <w:name w:val="正文_17_0"/>
    <w:next w:val="1136"/>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正文首行缩进 2_1"/>
    <w:basedOn w:val="1134"/>
    <w:uiPriority w:val="0"/>
    <w:qFormat/>
    <w:pPr>
      <w:ind w:firstLine="420"/>
    </w:pPr>
  </w:style>
  <w:style w:type="paragraph" w:styleId="1137" w:customStyle="1">
    <w:name w:val="正文_3"/>
    <w:next w:val="1138"/>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Normal_19"/>
    <w:uiPriority w:val="0"/>
    <w:qFormat/>
    <w:rPr>
      <w:rFonts w:hint="default" w:ascii="黑体" w:hAnsi="黑体" w:eastAsia="黑体" w:cs="黑体"/>
      <w:b/>
      <w:sz w:val="32"/>
      <w:szCs w:val="24"/>
      <w:lang w:val="en-US" w:eastAsia="zh-CN" w:bidi="ar-SA"/>
    </w:rPr>
  </w:style>
  <w:style w:type="paragraph" w:styleId="113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font7"/>
    <w:basedOn w:val="754"/>
    <w:uiPriority w:val="0"/>
    <w:qFormat/>
    <w:pPr>
      <w:jc w:val="left"/>
      <w:spacing w:before="100" w:beforeAutospacing="1" w:after="100" w:afterAutospacing="1"/>
      <w:widowControl/>
    </w:pPr>
    <w:rPr>
      <w:rFonts w:hint="eastAsia" w:ascii="宋体" w:hAnsi="宋体"/>
      <w:sz w:val="18"/>
      <w:szCs w:val="18"/>
    </w:rPr>
  </w:style>
  <w:style w:type="paragraph" w:styleId="1141" w:customStyle="1">
    <w:name w:val="正文空2字"/>
    <w:basedOn w:val="1085"/>
    <w:uiPriority w:val="99"/>
    <w:qFormat/>
    <w:pPr>
      <w:ind w:firstLine="640"/>
      <w:spacing w:line="560" w:lineRule="exact"/>
      <w:widowControl w:val="off"/>
    </w:pPr>
    <w:rPr>
      <w:rFonts w:ascii="仿宋_GB2312" w:hAnsi="仿宋_GB2312" w:cs="仿宋_GB2312"/>
      <w:lang w:val="zh-TW"/>
    </w:rPr>
  </w:style>
  <w:style w:type="paragraph" w:styleId="1142" w:customStyle="1">
    <w:name w:val="列出段落_2"/>
    <w:basedOn w:val="1129"/>
    <w:uiPriority w:val="34"/>
    <w:qFormat/>
    <w:pPr>
      <w:ind w:firstLine="420"/>
    </w:pPr>
  </w:style>
  <w:style w:type="paragraph" w:styleId="1143" w:customStyle="1">
    <w:name w:val="Normal_20"/>
    <w:uiPriority w:val="0"/>
    <w:qFormat/>
    <w:rPr>
      <w:rFonts w:hint="default" w:ascii="黑体" w:hAnsi="黑体" w:eastAsia="黑体" w:cs="黑体"/>
      <w:b/>
      <w:sz w:val="32"/>
      <w:szCs w:val="24"/>
      <w:lang w:val="en-US" w:eastAsia="zh-CN" w:bidi="ar-SA"/>
    </w:rPr>
  </w:style>
  <w:style w:type="paragraph" w:styleId="1144" w:customStyle="1">
    <w:name w:val="Normal_0"/>
    <w:uiPriority w:val="0"/>
    <w:qFormat/>
    <w:rPr>
      <w:rFonts w:hint="default" w:ascii="黑体" w:hAnsi="黑体" w:eastAsia="黑体" w:cs="Times New Roman"/>
      <w:b/>
      <w:sz w:val="32"/>
      <w:szCs w:val="24"/>
      <w:lang w:val="en-US" w:eastAsia="zh-CN" w:bidi="ar-SA"/>
    </w:rPr>
  </w:style>
  <w:style w:type="paragraph" w:styleId="114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Char Char Char Char Char Char Char Char Char Char"/>
    <w:basedOn w:val="754"/>
    <w:uiPriority w:val="0"/>
    <w:qFormat/>
    <w:pPr>
      <w:spacing w:line="360" w:lineRule="auto"/>
    </w:pPr>
    <w:rPr>
      <w:sz w:val="24"/>
      <w:szCs w:val="20"/>
    </w:rPr>
  </w:style>
  <w:style w:type="paragraph" w:styleId="1147" w:customStyle="1">
    <w:name w:val="普通正文"/>
    <w:basedOn w:val="754"/>
    <w:uiPriority w:val="0"/>
    <w:qFormat/>
    <w:pPr>
      <w:ind w:firstLine="480"/>
      <w:jc w:val="left"/>
      <w:spacing w:before="120" w:after="120" w:line="360" w:lineRule="auto"/>
    </w:pPr>
    <w:rPr>
      <w:rFonts w:ascii="Arial" w:hAnsi="Arial"/>
      <w:sz w:val="24"/>
      <w:szCs w:val="24"/>
    </w:rPr>
  </w:style>
  <w:style w:type="paragraph" w:styleId="1148"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49" w:customStyle="1">
    <w:name w:val="Table Normal"/>
    <w:uiPriority w:val="0"/>
    <w:qFormat/>
    <w:tblPr>
      <w:tblCellMar>
        <w:left w:w="0" w:type="dxa"/>
        <w:top w:w="0" w:type="dxa"/>
        <w:right w:w="0" w:type="dxa"/>
        <w:bottom w:w="0" w:type="dxa"/>
      </w:tblCellMar>
    </w:tblPr>
  </w:style>
  <w:style w:type="character" w:styleId="1150" w:customStyle="1">
    <w:name w:val="NormalCharacter"/>
    <w:uiPriority w:val="0"/>
    <w:qFormat/>
  </w:style>
  <w:style w:type="paragraph" w:styleId="1151">
    <w:name w:val="List Paragraph"/>
    <w:basedOn w:val="754"/>
    <w:uiPriority w:val="34"/>
    <w:qFormat/>
    <w:pPr>
      <w:ind w:firstLine="420"/>
    </w:pPr>
  </w:style>
  <w:style w:type="paragraph" w:styleId="1152"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character" w:styleId="1153" w:customStyle="1">
    <w:name w:val="15"/>
    <w:link w:val="754"/>
    <w:uiPriority w:val="0"/>
    <w:qFormat/>
    <w:rPr>
      <w:rFonts w:hint="default" w:ascii="Times New Roman" w:hAnsi="Times New Roman" w:eastAsia="宋体" w:cs="Times New Roman"/>
      <w:sz w:val="21"/>
      <w:szCs w:val="21"/>
      <w:lang w:val="en-US" w:eastAsia="zh-CN" w:bidi="ar-SA"/>
    </w:rPr>
  </w:style>
  <w:style w:type="character" w:styleId="1154" w:customStyle="1">
    <w:name w:val="font11"/>
    <w:basedOn w:val="764"/>
    <w:uiPriority w:val="0"/>
    <w:qFormat/>
    <w:rPr>
      <w:rFonts w:hint="eastAsia" w:ascii="宋体" w:hAnsi="宋体" w:eastAsia="宋体" w:cs="宋体"/>
      <w:color w:val="000000"/>
      <w:sz w:val="22"/>
      <w:szCs w:val="22"/>
      <w:u w:val="none"/>
    </w:rPr>
  </w:style>
  <w:style w:type="character" w:styleId="1155" w:customStyle="1">
    <w:name w:val="font01"/>
    <w:basedOn w:val="764"/>
    <w:uiPriority w:val="0"/>
    <w:qFormat/>
    <w:rPr>
      <w:rFonts w:hint="eastAsia" w:ascii="宋体" w:hAnsi="宋体" w:eastAsia="宋体" w:cs="宋体"/>
      <w:color w:val="000000"/>
      <w:sz w:val="22"/>
      <w:szCs w:val="22"/>
      <w:u w:val="none"/>
    </w:rPr>
  </w:style>
  <w:style w:type="paragraph" w:styleId="1156" w:customStyle="1">
    <w:name w:val="段"/>
    <w:next w:val="754"/>
    <w:uiPriority w:val="99"/>
    <w:qFormat/>
    <w:pPr>
      <w:ind w:firstLine="200"/>
      <w:jc w:val="both"/>
    </w:pPr>
    <w:rPr>
      <w:rFonts w:hint="default" w:ascii="宋体" w:hAnsi="Times New Roman" w:eastAsia="宋体" w:cs="Times New Roman"/>
      <w:sz w:val="21"/>
      <w:lang w:val="en-US" w:eastAsia="zh-CN" w:bidi="ar-SA"/>
    </w:rPr>
  </w:style>
  <w:style w:type="character" w:styleId="1157" w:customStyle="1">
    <w:name w:val="font41"/>
    <w:basedOn w:val="764"/>
    <w:uiPriority w:val="0"/>
    <w:qFormat/>
    <w:rPr>
      <w:rFonts w:hint="eastAsia" w:ascii="仿宋" w:hAnsi="仿宋" w:eastAsia="仿宋" w:cs="仿宋"/>
      <w:color w:val="000000"/>
      <w:sz w:val="24"/>
      <w:szCs w:val="24"/>
      <w:u w:val="none"/>
    </w:rPr>
  </w:style>
  <w:style w:type="character" w:styleId="1158" w:customStyle="1">
    <w:name w:val="font51"/>
    <w:basedOn w:val="764"/>
    <w:uiPriority w:val="0"/>
    <w:qFormat/>
    <w:rPr>
      <w:rFonts w:hint="eastAsia" w:ascii="仿宋" w:hAnsi="仿宋" w:eastAsia="仿宋" w:cs="仿宋"/>
      <w:color w:val="000000"/>
      <w:sz w:val="24"/>
      <w:szCs w:val="24"/>
      <w:u w:val="none"/>
    </w:rPr>
  </w:style>
  <w:style w:type="character" w:styleId="1159" w:customStyle="1">
    <w:name w:val="font21"/>
    <w:basedOn w:val="764"/>
    <w:uiPriority w:val="0"/>
    <w:qFormat/>
    <w:rPr>
      <w:rFonts w:hint="eastAsia" w:ascii="仿宋" w:hAnsi="仿宋" w:eastAsia="仿宋" w:cs="仿宋"/>
      <w:color w:val="000000"/>
      <w:sz w:val="24"/>
      <w:szCs w:val="24"/>
      <w:u w:val="none"/>
    </w:rPr>
  </w:style>
  <w:style w:type="character" w:styleId="1160" w:customStyle="1">
    <w:name w:val="font31"/>
    <w:basedOn w:val="764"/>
    <w:uiPriority w:val="0"/>
    <w:qFormat/>
    <w:rPr>
      <w:rFonts w:hint="eastAsia" w:ascii="仿宋" w:hAnsi="仿宋" w:eastAsia="仿宋" w:cs="仿宋"/>
      <w:color w:val="ff0000"/>
      <w:sz w:val="24"/>
      <w:szCs w:val="24"/>
      <w:u w:val="none"/>
    </w:r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朱倩倩</cp:lastModifiedBy>
  <cp:revision>29</cp:revision>
  <dcterms:created xsi:type="dcterms:W3CDTF">2023-03-16T10:16:00Z</dcterms:created>
  <dcterms:modified xsi:type="dcterms:W3CDTF">2025-04-27T03:20:13Z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609F4A544F6F478DA12B7BADD3DCBFEC_13</vt:lpwstr>
  </property>
  <property fmtid="{D5CDD505-2E9C-101B-9397-08002B2CF9AE}" pid="4" name="KSOTemplateDocerSaveRecord">
    <vt:lpwstr>eyJoZGlkIjoiZTFiNDU2YWE5YzRlYzA5YjAyMGMzZmQxNDEzYmRmZjYiLCJ1c2VySWQiOiIzNjg5MDc3MzIifQ==</vt:lpwstr>
  </property>
</Properties>
</file>