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6AC01">
      <w:pPr>
        <w:spacing w:line="500" w:lineRule="exact"/>
        <w:jc w:val="center"/>
        <w:rPr>
          <w:rFonts w:ascii="宋体" w:hAnsi="宋体" w:cs="宋体"/>
          <w:color w:val="auto"/>
          <w:sz w:val="24"/>
          <w:szCs w:val="24"/>
          <w:highlight w:val="none"/>
        </w:rPr>
      </w:pPr>
    </w:p>
    <w:p w14:paraId="47834AC5">
      <w:pPr>
        <w:spacing w:line="500" w:lineRule="exact"/>
        <w:jc w:val="center"/>
        <w:rPr>
          <w:rFonts w:ascii="宋体" w:hAnsi="宋体" w:cs="宋体"/>
          <w:b/>
          <w:color w:val="auto"/>
          <w:sz w:val="24"/>
          <w:szCs w:val="24"/>
          <w:highlight w:val="none"/>
        </w:rPr>
      </w:pPr>
    </w:p>
    <w:p w14:paraId="15323C81">
      <w:pPr>
        <w:spacing w:line="500" w:lineRule="exact"/>
        <w:jc w:val="center"/>
        <w:rPr>
          <w:rFonts w:ascii="宋体" w:hAnsi="宋体" w:cs="宋体"/>
          <w:b/>
          <w:color w:val="auto"/>
          <w:sz w:val="24"/>
          <w:szCs w:val="24"/>
          <w:highlight w:val="none"/>
        </w:rPr>
      </w:pPr>
    </w:p>
    <w:p w14:paraId="6947D3D4">
      <w:pPr>
        <w:spacing w:line="72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招 标 文 件</w:t>
      </w:r>
    </w:p>
    <w:p w14:paraId="17A52DDE">
      <w:pPr>
        <w:spacing w:line="500" w:lineRule="exact"/>
        <w:rPr>
          <w:rFonts w:ascii="宋体" w:hAnsi="宋体" w:cs="宋体"/>
          <w:b/>
          <w:color w:val="auto"/>
          <w:sz w:val="24"/>
          <w:szCs w:val="24"/>
          <w:highlight w:val="none"/>
        </w:rPr>
      </w:pPr>
    </w:p>
    <w:p w14:paraId="09DF671C">
      <w:pPr>
        <w:spacing w:line="500" w:lineRule="exact"/>
        <w:jc w:val="center"/>
        <w:rPr>
          <w:rFonts w:ascii="宋体" w:hAnsi="宋体" w:cs="宋体"/>
          <w:b/>
          <w:color w:val="auto"/>
          <w:sz w:val="24"/>
          <w:szCs w:val="24"/>
          <w:highlight w:val="none"/>
        </w:rPr>
      </w:pPr>
    </w:p>
    <w:p w14:paraId="4F5CCAAE">
      <w:pPr>
        <w:pStyle w:val="28"/>
        <w:rPr>
          <w:color w:val="auto"/>
          <w:highlight w:val="none"/>
        </w:rPr>
      </w:pPr>
    </w:p>
    <w:p w14:paraId="2530DF38">
      <w:pPr>
        <w:spacing w:line="500" w:lineRule="exact"/>
        <w:jc w:val="center"/>
        <w:rPr>
          <w:rFonts w:ascii="宋体" w:hAnsi="宋体" w:cs="宋体"/>
          <w:b/>
          <w:color w:val="auto"/>
          <w:sz w:val="24"/>
          <w:szCs w:val="24"/>
          <w:highlight w:val="none"/>
        </w:rPr>
      </w:pPr>
    </w:p>
    <w:p w14:paraId="14582BFD">
      <w:pPr>
        <w:spacing w:line="500" w:lineRule="exact"/>
        <w:ind w:firstLine="562" w:firstLineChars="200"/>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项目编号：JSZC-320992-WYGS-G2025-0003</w:t>
      </w:r>
      <w:r>
        <w:rPr>
          <w:rFonts w:hint="eastAsia" w:ascii="宋体" w:hAnsi="宋体" w:cs="宋体"/>
          <w:b/>
          <w:color w:val="auto"/>
          <w:sz w:val="28"/>
          <w:szCs w:val="28"/>
          <w:highlight w:val="none"/>
          <w:lang w:val="en-US" w:eastAsia="zh-CN"/>
        </w:rPr>
        <w:t xml:space="preserve"> </w:t>
      </w:r>
    </w:p>
    <w:p w14:paraId="11BACFD1">
      <w:pPr>
        <w:spacing w:line="500" w:lineRule="exact"/>
        <w:jc w:val="left"/>
        <w:rPr>
          <w:rFonts w:ascii="宋体" w:hAnsi="宋体" w:cs="宋体"/>
          <w:b/>
          <w:color w:val="auto"/>
          <w:sz w:val="28"/>
          <w:szCs w:val="28"/>
          <w:highlight w:val="none"/>
        </w:rPr>
      </w:pPr>
    </w:p>
    <w:p w14:paraId="245A41AA">
      <w:pPr>
        <w:spacing w:line="500" w:lineRule="exact"/>
        <w:jc w:val="center"/>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项目名称：</w:t>
      </w:r>
      <w:r>
        <w:rPr>
          <w:rFonts w:hint="eastAsia" w:ascii="宋体" w:hAnsi="宋体" w:cs="宋体"/>
          <w:b/>
          <w:color w:val="auto"/>
          <w:sz w:val="28"/>
          <w:szCs w:val="28"/>
          <w:highlight w:val="none"/>
          <w:lang w:eastAsia="zh-CN"/>
        </w:rPr>
        <w:t>2025年盐南高新区农贸市场食品安全快检服务采购项目</w:t>
      </w:r>
    </w:p>
    <w:p w14:paraId="440CC095">
      <w:pPr>
        <w:spacing w:line="500" w:lineRule="exact"/>
        <w:ind w:firstLine="1446" w:firstLineChars="400"/>
        <w:jc w:val="left"/>
        <w:rPr>
          <w:rFonts w:ascii="宋体" w:hAnsi="宋体" w:cs="宋体"/>
          <w:b/>
          <w:color w:val="auto"/>
          <w:sz w:val="36"/>
          <w:szCs w:val="36"/>
          <w:highlight w:val="none"/>
        </w:rPr>
      </w:pPr>
    </w:p>
    <w:p w14:paraId="4EE03314">
      <w:pPr>
        <w:spacing w:line="500" w:lineRule="exact"/>
        <w:rPr>
          <w:rFonts w:ascii="宋体" w:hAnsi="宋体" w:cs="宋体"/>
          <w:b/>
          <w:color w:val="auto"/>
          <w:sz w:val="24"/>
          <w:szCs w:val="24"/>
          <w:highlight w:val="none"/>
        </w:rPr>
      </w:pPr>
    </w:p>
    <w:p w14:paraId="11EFA801">
      <w:pPr>
        <w:spacing w:line="500" w:lineRule="exact"/>
        <w:rPr>
          <w:rFonts w:ascii="宋体" w:hAnsi="宋体" w:cs="宋体"/>
          <w:b/>
          <w:color w:val="auto"/>
          <w:sz w:val="24"/>
          <w:szCs w:val="24"/>
          <w:highlight w:val="none"/>
        </w:rPr>
      </w:pPr>
    </w:p>
    <w:p w14:paraId="184B5273">
      <w:pPr>
        <w:spacing w:line="500" w:lineRule="exact"/>
        <w:rPr>
          <w:rFonts w:ascii="宋体" w:hAnsi="宋体" w:cs="宋体"/>
          <w:b/>
          <w:color w:val="auto"/>
          <w:sz w:val="24"/>
          <w:szCs w:val="24"/>
          <w:highlight w:val="none"/>
        </w:rPr>
      </w:pPr>
    </w:p>
    <w:p w14:paraId="140D1EB8">
      <w:pPr>
        <w:spacing w:line="500" w:lineRule="exact"/>
        <w:jc w:val="center"/>
        <w:rPr>
          <w:rFonts w:ascii="宋体" w:hAnsi="宋体" w:cs="宋体"/>
          <w:bCs/>
          <w:color w:val="auto"/>
          <w:spacing w:val="15"/>
          <w:sz w:val="32"/>
          <w:szCs w:val="32"/>
          <w:highlight w:val="none"/>
        </w:rPr>
      </w:pPr>
    </w:p>
    <w:p w14:paraId="772DE6D7">
      <w:pPr>
        <w:pStyle w:val="28"/>
        <w:rPr>
          <w:color w:val="auto"/>
          <w:highlight w:val="none"/>
        </w:rPr>
      </w:pPr>
    </w:p>
    <w:p w14:paraId="16466044">
      <w:pPr>
        <w:pStyle w:val="22"/>
        <w:rPr>
          <w:rFonts w:cs="宋体"/>
          <w:color w:val="auto"/>
          <w:highlight w:val="none"/>
        </w:rPr>
      </w:pPr>
    </w:p>
    <w:p w14:paraId="570E8139">
      <w:pPr>
        <w:spacing w:line="500" w:lineRule="exact"/>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江苏省盐南高新技术产业开发区市场监督管理局</w:t>
      </w:r>
    </w:p>
    <w:p w14:paraId="09305E2A">
      <w:pPr>
        <w:pStyle w:val="22"/>
        <w:ind w:left="0" w:leftChars="0" w:firstLine="0" w:firstLineChars="0"/>
        <w:jc w:val="center"/>
        <w:rPr>
          <w:rFonts w:cs="宋体"/>
          <w:b/>
          <w:color w:val="auto"/>
          <w:sz w:val="32"/>
          <w:szCs w:val="32"/>
          <w:highlight w:val="none"/>
        </w:rPr>
      </w:pPr>
      <w:r>
        <w:rPr>
          <w:rFonts w:hint="eastAsia" w:cs="宋体"/>
          <w:b/>
          <w:color w:val="auto"/>
          <w:sz w:val="32"/>
          <w:szCs w:val="32"/>
          <w:highlight w:val="none"/>
        </w:rPr>
        <w:t>江苏伟业项目管理有限公司</w:t>
      </w:r>
    </w:p>
    <w:p w14:paraId="6FD5A2A9">
      <w:pPr>
        <w:spacing w:line="500" w:lineRule="exact"/>
        <w:ind w:firstLine="964" w:firstLineChars="300"/>
        <w:jc w:val="center"/>
        <w:rPr>
          <w:rFonts w:ascii="宋体" w:hAnsi="宋体" w:cs="宋体"/>
          <w:b/>
          <w:color w:val="auto"/>
          <w:sz w:val="32"/>
          <w:szCs w:val="32"/>
          <w:highlight w:val="none"/>
        </w:rPr>
      </w:pPr>
    </w:p>
    <w:p w14:paraId="57C88549">
      <w:pPr>
        <w:spacing w:line="50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202</w:t>
      </w:r>
      <w:r>
        <w:rPr>
          <w:rFonts w:hint="eastAsia" w:ascii="宋体" w:hAnsi="宋体" w:cs="宋体"/>
          <w:b/>
          <w:color w:val="auto"/>
          <w:sz w:val="32"/>
          <w:szCs w:val="32"/>
          <w:highlight w:val="none"/>
          <w:lang w:val="en-US" w:eastAsia="zh-CN"/>
        </w:rPr>
        <w:t>5</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1</w:t>
      </w:r>
      <w:r>
        <w:rPr>
          <w:rFonts w:hint="eastAsia" w:ascii="宋体" w:hAnsi="宋体" w:cs="宋体"/>
          <w:b/>
          <w:color w:val="auto"/>
          <w:sz w:val="32"/>
          <w:szCs w:val="32"/>
          <w:highlight w:val="none"/>
        </w:rPr>
        <w:t>月</w:t>
      </w:r>
    </w:p>
    <w:p w14:paraId="28606EF3">
      <w:pPr>
        <w:spacing w:line="500" w:lineRule="exact"/>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br w:type="page"/>
      </w:r>
      <w:bookmarkStart w:id="0" w:name="_Toc120614210"/>
      <w:bookmarkStart w:id="1" w:name="_Toc523127445"/>
      <w:bookmarkStart w:id="2" w:name="_Toc20823272"/>
      <w:bookmarkStart w:id="3" w:name="_Toc513029200"/>
      <w:bookmarkStart w:id="4" w:name="_Toc16938516"/>
      <w:bookmarkStart w:id="5" w:name="_Toc479757206"/>
    </w:p>
    <w:p w14:paraId="759A544E">
      <w:pPr>
        <w:spacing w:line="500" w:lineRule="exact"/>
        <w:jc w:val="center"/>
        <w:outlineLvl w:val="0"/>
        <w:rPr>
          <w:rFonts w:ascii="宋体" w:hAnsi="宋体" w:cs="宋体"/>
          <w:color w:val="auto"/>
          <w:sz w:val="24"/>
          <w:szCs w:val="24"/>
          <w:highlight w:val="none"/>
        </w:rPr>
      </w:pPr>
    </w:p>
    <w:p w14:paraId="569D3C45">
      <w:pPr>
        <w:widowControl/>
        <w:jc w:val="center"/>
        <w:rPr>
          <w:rFonts w:ascii="宋体" w:hAnsi="宋体" w:cs="宋体"/>
          <w:b/>
          <w:color w:val="auto"/>
          <w:sz w:val="36"/>
          <w:szCs w:val="36"/>
          <w:highlight w:val="none"/>
        </w:rPr>
      </w:pPr>
      <w:r>
        <w:rPr>
          <w:rFonts w:hint="eastAsia" w:ascii="宋体" w:hAnsi="宋体" w:cs="宋体"/>
          <w:b/>
          <w:color w:val="auto"/>
          <w:sz w:val="36"/>
          <w:szCs w:val="36"/>
          <w:highlight w:val="none"/>
        </w:rPr>
        <w:t>总目录</w:t>
      </w:r>
    </w:p>
    <w:p w14:paraId="051FCE0A">
      <w:pPr>
        <w:spacing w:line="500" w:lineRule="exact"/>
        <w:rPr>
          <w:rFonts w:ascii="宋体" w:hAnsi="宋体" w:cs="宋体"/>
          <w:b/>
          <w:color w:val="auto"/>
          <w:sz w:val="24"/>
          <w:szCs w:val="24"/>
          <w:highlight w:val="none"/>
        </w:rPr>
      </w:pPr>
    </w:p>
    <w:p w14:paraId="1C8B0165">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color w:val="auto"/>
          <w:sz w:val="32"/>
          <w:szCs w:val="32"/>
          <w:highlight w:val="none"/>
          <w:lang w:val="en-US" w:eastAsia="zh-CN"/>
        </w:rPr>
        <w:t>招标公告</w:t>
      </w:r>
      <w:r>
        <w:rPr>
          <w:rFonts w:hint="eastAsia" w:ascii="宋体" w:hAnsi="宋体" w:cs="宋体"/>
          <w:color w:val="auto"/>
          <w:sz w:val="32"/>
          <w:szCs w:val="32"/>
          <w:highlight w:val="none"/>
        </w:rPr>
        <w:t>……………………………………3</w:t>
      </w:r>
    </w:p>
    <w:p w14:paraId="6B63A57C">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bCs/>
          <w:color w:val="auto"/>
          <w:sz w:val="32"/>
          <w:szCs w:val="32"/>
          <w:highlight w:val="none"/>
        </w:rPr>
        <w:t>投标人须知</w:t>
      </w:r>
      <w:r>
        <w:rPr>
          <w:rFonts w:hint="eastAsia" w:ascii="宋体" w:hAnsi="宋体" w:cs="宋体"/>
          <w:color w:val="auto"/>
          <w:sz w:val="32"/>
          <w:szCs w:val="32"/>
          <w:highlight w:val="none"/>
        </w:rPr>
        <w:t>…………………………………6</w:t>
      </w:r>
    </w:p>
    <w:p w14:paraId="43B95C97">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color w:val="auto"/>
          <w:sz w:val="32"/>
          <w:szCs w:val="32"/>
          <w:highlight w:val="none"/>
        </w:rPr>
        <w:t>合同</w:t>
      </w:r>
      <w:r>
        <w:rPr>
          <w:rFonts w:hint="eastAsia" w:ascii="宋体" w:hAnsi="宋体" w:cs="宋体"/>
          <w:color w:val="auto"/>
          <w:sz w:val="32"/>
          <w:szCs w:val="32"/>
          <w:highlight w:val="none"/>
          <w:lang w:val="en-US" w:eastAsia="zh-CN"/>
        </w:rPr>
        <w:t>文本</w:t>
      </w:r>
      <w:r>
        <w:rPr>
          <w:rFonts w:hint="eastAsia" w:ascii="宋体" w:hAnsi="宋体" w:cs="宋体"/>
          <w:color w:val="auto"/>
          <w:sz w:val="32"/>
          <w:szCs w:val="32"/>
          <w:highlight w:val="none"/>
        </w:rPr>
        <w:t>……………………………………20</w:t>
      </w:r>
    </w:p>
    <w:p w14:paraId="08EF4250">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color w:val="auto"/>
          <w:sz w:val="32"/>
          <w:szCs w:val="32"/>
          <w:highlight w:val="none"/>
        </w:rPr>
        <w:t>采购需求……………………………………32</w:t>
      </w:r>
    </w:p>
    <w:p w14:paraId="28DF1707">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bCs/>
          <w:color w:val="auto"/>
          <w:sz w:val="32"/>
          <w:szCs w:val="32"/>
          <w:highlight w:val="none"/>
        </w:rPr>
        <w:t>评标方法与评标标准</w:t>
      </w:r>
      <w:r>
        <w:rPr>
          <w:rFonts w:hint="eastAsia" w:ascii="宋体" w:hAnsi="宋体" w:cs="宋体"/>
          <w:color w:val="auto"/>
          <w:sz w:val="32"/>
          <w:szCs w:val="32"/>
          <w:highlight w:val="none"/>
        </w:rPr>
        <w:t>………………………40</w:t>
      </w:r>
    </w:p>
    <w:p w14:paraId="6BD8E1EB">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color w:val="auto"/>
          <w:sz w:val="32"/>
          <w:szCs w:val="32"/>
          <w:highlight w:val="none"/>
        </w:rPr>
        <w:t>投标文件格式………………………………44</w:t>
      </w:r>
    </w:p>
    <w:p w14:paraId="79774CF3">
      <w:pPr>
        <w:pStyle w:val="3"/>
        <w:spacing w:line="500" w:lineRule="exact"/>
        <w:rPr>
          <w:rFonts w:ascii="宋体" w:hAnsi="宋体" w:eastAsia="宋体" w:cs="宋体"/>
          <w:bCs/>
          <w:color w:val="auto"/>
          <w:sz w:val="24"/>
          <w:szCs w:val="24"/>
          <w:highlight w:val="none"/>
        </w:rPr>
      </w:pPr>
    </w:p>
    <w:p w14:paraId="2B498627">
      <w:pPr>
        <w:pStyle w:val="3"/>
        <w:spacing w:line="500" w:lineRule="exact"/>
        <w:rPr>
          <w:rFonts w:ascii="宋体" w:hAnsi="宋体" w:eastAsia="宋体" w:cs="宋体"/>
          <w:bCs/>
          <w:color w:val="auto"/>
          <w:sz w:val="24"/>
          <w:szCs w:val="24"/>
          <w:highlight w:val="none"/>
        </w:rPr>
      </w:pPr>
    </w:p>
    <w:p w14:paraId="7E37CB95">
      <w:pPr>
        <w:widowControl/>
        <w:jc w:val="center"/>
        <w:rPr>
          <w:rFonts w:hint="eastAsia" w:ascii="宋体" w:hAnsi="宋体" w:eastAsia="宋体" w:cs="宋体"/>
          <w:b/>
          <w:bCs/>
          <w:color w:val="auto"/>
          <w:sz w:val="36"/>
          <w:szCs w:val="36"/>
          <w:highlight w:val="none"/>
          <w:lang w:eastAsia="zh-CN"/>
        </w:rPr>
      </w:pPr>
      <w:r>
        <w:rPr>
          <w:rFonts w:hint="eastAsia" w:ascii="宋体" w:hAnsi="宋体" w:cs="宋体"/>
          <w:color w:val="auto"/>
          <w:sz w:val="24"/>
          <w:szCs w:val="24"/>
          <w:highlight w:val="none"/>
        </w:rPr>
        <w:br w:type="page"/>
      </w:r>
      <w:r>
        <w:rPr>
          <w:rFonts w:hint="eastAsia" w:ascii="宋体" w:hAnsi="宋体" w:cs="宋体"/>
          <w:b/>
          <w:color w:val="auto"/>
          <w:sz w:val="36"/>
          <w:szCs w:val="36"/>
          <w:highlight w:val="none"/>
        </w:rPr>
        <w:t>第一章</w:t>
      </w:r>
      <w:bookmarkEnd w:id="0"/>
      <w:r>
        <w:rPr>
          <w:rFonts w:hint="eastAsia" w:ascii="宋体" w:hAnsi="宋体" w:cs="宋体"/>
          <w:b/>
          <w:color w:val="auto"/>
          <w:sz w:val="36"/>
          <w:szCs w:val="36"/>
          <w:highlight w:val="none"/>
        </w:rPr>
        <w:t xml:space="preserve">  </w:t>
      </w:r>
      <w:r>
        <w:rPr>
          <w:rFonts w:hint="eastAsia" w:ascii="宋体" w:hAnsi="宋体" w:cs="宋体"/>
          <w:b/>
          <w:color w:val="auto"/>
          <w:sz w:val="36"/>
          <w:szCs w:val="36"/>
          <w:highlight w:val="none"/>
          <w:lang w:val="en-US" w:eastAsia="zh-CN"/>
        </w:rPr>
        <w:t>招标公告</w:t>
      </w:r>
    </w:p>
    <w:p w14:paraId="0F4165BA">
      <w:pPr>
        <w:pBdr>
          <w:top w:val="single" w:color="auto" w:sz="4" w:space="1"/>
          <w:left w:val="single" w:color="auto" w:sz="4" w:space="4"/>
          <w:bottom w:val="single" w:color="auto" w:sz="4" w:space="1"/>
          <w:right w:val="single" w:color="auto" w:sz="4" w:space="4"/>
        </w:pBdr>
        <w:spacing w:line="480" w:lineRule="exact"/>
        <w:ind w:firstLine="480" w:firstLineChars="200"/>
        <w:rPr>
          <w:rFonts w:ascii="宋体" w:hAnsi="宋体" w:cs="宋体"/>
          <w:color w:val="auto"/>
          <w:sz w:val="24"/>
          <w:szCs w:val="24"/>
          <w:highlight w:val="none"/>
        </w:rPr>
      </w:pPr>
      <w:bookmarkStart w:id="6" w:name="_Toc120614211"/>
      <w:r>
        <w:rPr>
          <w:rFonts w:hint="eastAsia" w:ascii="宋体" w:hAnsi="宋体" w:cs="宋体"/>
          <w:color w:val="auto"/>
          <w:sz w:val="24"/>
          <w:szCs w:val="24"/>
          <w:highlight w:val="none"/>
        </w:rPr>
        <w:t>项目概况</w:t>
      </w:r>
    </w:p>
    <w:p w14:paraId="4D1CF2CC">
      <w:pPr>
        <w:pBdr>
          <w:top w:val="single" w:color="auto" w:sz="4" w:space="1"/>
          <w:left w:val="single" w:color="auto" w:sz="4" w:space="4"/>
          <w:bottom w:val="single" w:color="auto" w:sz="4" w:space="1"/>
          <w:right w:val="single" w:color="auto" w:sz="4" w:space="4"/>
        </w:pBd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2025年盐南高新区农贸市场食品安全快检服务采购项目JSZC-320992-WYGS-G2025-0003招标项目的潜在投标人应在“苏采云”系统内免费下载（投标人必须在苏采云系统中获取采购文件，方能参与政府采购项目）获取招标文件，并于2025年1月24日9点00分（北京时间）前递交投标文件。</w:t>
      </w:r>
    </w:p>
    <w:p w14:paraId="1711C543">
      <w:pPr>
        <w:spacing w:line="520" w:lineRule="exact"/>
        <w:ind w:firstLine="480" w:firstLineChars="200"/>
        <w:rPr>
          <w:rFonts w:ascii="宋体" w:hAnsi="宋体" w:cs="宋体"/>
          <w:color w:val="auto"/>
          <w:sz w:val="24"/>
          <w:szCs w:val="24"/>
          <w:highlight w:val="none"/>
        </w:rPr>
      </w:pPr>
      <w:bookmarkStart w:id="7" w:name="_Toc28359002"/>
      <w:bookmarkStart w:id="8" w:name="_Toc28359079"/>
      <w:bookmarkStart w:id="9" w:name="_Toc35393621"/>
      <w:bookmarkStart w:id="10" w:name="_Toc35393790"/>
      <w:bookmarkStart w:id="11" w:name="_Hlk24379207"/>
      <w:r>
        <w:rPr>
          <w:rFonts w:hint="eastAsia" w:ascii="宋体" w:hAnsi="宋体" w:cs="宋体"/>
          <w:color w:val="auto"/>
          <w:sz w:val="24"/>
          <w:szCs w:val="24"/>
          <w:highlight w:val="none"/>
        </w:rPr>
        <w:t>一、项目基本情况</w:t>
      </w:r>
      <w:bookmarkEnd w:id="7"/>
      <w:bookmarkEnd w:id="8"/>
      <w:bookmarkEnd w:id="9"/>
      <w:bookmarkEnd w:id="10"/>
    </w:p>
    <w:p w14:paraId="5E29BB21">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JSZC-320992-WYGS-G2025-0003</w:t>
      </w:r>
    </w:p>
    <w:p w14:paraId="17F1F659">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2025年盐南高新区农贸市场食品安全快检服务采购项目</w:t>
      </w:r>
    </w:p>
    <w:bookmarkEnd w:id="11"/>
    <w:p w14:paraId="1FE9FFE1">
      <w:p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预算金额：</w:t>
      </w:r>
      <w:r>
        <w:rPr>
          <w:rFonts w:hint="eastAsia" w:ascii="宋体" w:hAnsi="宋体" w:cs="宋体"/>
          <w:color w:val="auto"/>
          <w:sz w:val="24"/>
          <w:szCs w:val="24"/>
          <w:highlight w:val="none"/>
          <w:lang w:val="en-US" w:eastAsia="zh-CN"/>
        </w:rPr>
        <w:t>180.00万</w:t>
      </w:r>
      <w:r>
        <w:rPr>
          <w:rFonts w:hint="eastAsia" w:ascii="宋体" w:hAnsi="宋体" w:cs="宋体"/>
          <w:color w:val="auto"/>
          <w:sz w:val="24"/>
          <w:szCs w:val="24"/>
          <w:highlight w:val="none"/>
        </w:rPr>
        <w:t>元</w:t>
      </w:r>
    </w:p>
    <w:p w14:paraId="134775F6">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4.本项目设定最高限价，</w:t>
      </w:r>
      <w:r>
        <w:rPr>
          <w:rFonts w:hint="eastAsia" w:ascii="宋体" w:hAnsi="宋体" w:cs="宋体"/>
          <w:color w:val="auto"/>
          <w:sz w:val="24"/>
          <w:szCs w:val="24"/>
          <w:highlight w:val="none"/>
        </w:rPr>
        <w:t>最高限价</w:t>
      </w:r>
      <w:r>
        <w:rPr>
          <w:rFonts w:hint="eastAsia" w:ascii="宋体" w:hAnsi="宋体" w:cs="宋体"/>
          <w:color w:val="auto"/>
          <w:sz w:val="24"/>
          <w:szCs w:val="24"/>
          <w:highlight w:val="none"/>
          <w:lang w:val="en-US" w:eastAsia="zh-CN"/>
        </w:rPr>
        <w:t>为 180.00万</w:t>
      </w:r>
      <w:r>
        <w:rPr>
          <w:rFonts w:hint="eastAsia" w:ascii="宋体" w:hAnsi="宋体" w:cs="宋体"/>
          <w:color w:val="auto"/>
          <w:sz w:val="24"/>
          <w:szCs w:val="24"/>
          <w:highlight w:val="none"/>
        </w:rPr>
        <w:t>元</w:t>
      </w:r>
    </w:p>
    <w:p w14:paraId="2A43AB49">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采购需求：</w:t>
      </w:r>
      <w:r>
        <w:rPr>
          <w:rFonts w:hint="eastAsia" w:ascii="宋体" w:hAnsi="宋体" w:cs="宋体"/>
          <w:color w:val="auto"/>
          <w:sz w:val="24"/>
          <w:szCs w:val="24"/>
          <w:highlight w:val="none"/>
          <w:lang w:eastAsia="zh-CN"/>
        </w:rPr>
        <w:t>2025年盐南高新区农贸市场食品安全快检服务采购项目</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包含但不限于</w:t>
      </w:r>
      <w:r>
        <w:rPr>
          <w:rFonts w:hint="eastAsia" w:ascii="宋体" w:hAnsi="宋体" w:eastAsia="宋体" w:cs="宋体"/>
          <w:b w:val="0"/>
          <w:bCs w:val="0"/>
          <w:color w:val="auto"/>
          <w:kern w:val="0"/>
          <w:sz w:val="24"/>
          <w:szCs w:val="24"/>
          <w:highlight w:val="none"/>
        </w:rPr>
        <w:t>对1</w:t>
      </w: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家农贸市场检测室</w:t>
      </w:r>
      <w:r>
        <w:rPr>
          <w:rFonts w:hint="eastAsia" w:ascii="宋体" w:hAnsi="宋体" w:cs="宋体"/>
          <w:color w:val="auto"/>
          <w:sz w:val="24"/>
          <w:szCs w:val="20"/>
          <w:highlight w:val="none"/>
          <w:lang w:eastAsia="zh-CN"/>
        </w:rPr>
        <w:t>（农贸市场快检室数量根据全区农贸市场分布需要，可以动态调整）</w:t>
      </w:r>
      <w:r>
        <w:rPr>
          <w:rFonts w:hint="eastAsia" w:ascii="宋体" w:hAnsi="宋体" w:eastAsia="宋体" w:cs="宋体"/>
          <w:b w:val="0"/>
          <w:bCs w:val="0"/>
          <w:color w:val="auto"/>
          <w:kern w:val="0"/>
          <w:sz w:val="24"/>
          <w:szCs w:val="24"/>
          <w:highlight w:val="none"/>
        </w:rPr>
        <w:t>的快检运营服务，主要负责每个检测室的日常运营、检测工具设备投入、样品购买、检测耗材、检测试剂、检测人员工资、检测数据公示、检测数据传输与储存等，所有检测数据信息归采购方所有，不得外传并需为采购方保存检测数据至少2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具体详见招标文件采购需求。</w:t>
      </w:r>
    </w:p>
    <w:p w14:paraId="4DF4A72E">
      <w:pPr>
        <w:spacing w:line="520" w:lineRule="exact"/>
        <w:ind w:firstLine="480" w:firstLineChars="200"/>
        <w:rPr>
          <w:rFonts w:hint="eastAsia" w:ascii="宋体" w:hAnsi="宋体" w:eastAsia="宋体" w:cs="宋体"/>
          <w:b w:val="0"/>
          <w:bCs w:val="0"/>
          <w:color w:val="auto"/>
          <w:kern w:val="0"/>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合同履行期限：</w:t>
      </w:r>
      <w:r>
        <w:rPr>
          <w:rFonts w:hint="eastAsia" w:ascii="宋体" w:hAnsi="宋体" w:cs="宋体"/>
          <w:color w:val="auto"/>
          <w:sz w:val="24"/>
          <w:szCs w:val="20"/>
          <w:highlight w:val="none"/>
          <w:lang w:val="en-US" w:eastAsia="zh-CN"/>
        </w:rPr>
        <w:t>本合同履行期限暂定壹年。</w:t>
      </w:r>
      <w:r>
        <w:rPr>
          <w:rFonts w:hint="eastAsia" w:ascii="Times New Roman" w:hAnsi="Times New Roman" w:eastAsia="宋体" w:cs="Times New Roman"/>
          <w:color w:val="auto"/>
          <w:sz w:val="24"/>
          <w:szCs w:val="20"/>
          <w:highlight w:val="none"/>
        </w:rPr>
        <w:t>合同一年一签，经甲方考核合格可续签一年，具体按甲方要求执行。</w:t>
      </w:r>
      <w:r>
        <w:rPr>
          <w:rFonts w:hint="eastAsia" w:ascii="宋体" w:hAnsi="宋体" w:eastAsia="宋体" w:cs="宋体"/>
          <w:b w:val="0"/>
          <w:bCs w:val="0"/>
          <w:color w:val="auto"/>
          <w:kern w:val="0"/>
          <w:sz w:val="24"/>
          <w:szCs w:val="24"/>
          <w:highlight w:val="none"/>
          <w:lang w:val="en-US" w:eastAsia="zh-CN"/>
        </w:rPr>
        <w:t>中标后三个工作日内签订合同，</w:t>
      </w:r>
      <w:r>
        <w:rPr>
          <w:rFonts w:hint="eastAsia" w:ascii="宋体" w:hAnsi="宋体" w:cs="宋体"/>
          <w:b w:val="0"/>
          <w:bCs w:val="0"/>
          <w:color w:val="auto"/>
          <w:kern w:val="0"/>
          <w:sz w:val="24"/>
          <w:szCs w:val="24"/>
          <w:highlight w:val="none"/>
          <w:lang w:val="en-US" w:eastAsia="zh-CN"/>
        </w:rPr>
        <w:t>合同签订后</w:t>
      </w:r>
      <w:r>
        <w:rPr>
          <w:rFonts w:hint="eastAsia" w:ascii="宋体" w:hAnsi="宋体" w:eastAsia="宋体" w:cs="宋体"/>
          <w:b w:val="0"/>
          <w:bCs w:val="0"/>
          <w:color w:val="auto"/>
          <w:kern w:val="0"/>
          <w:sz w:val="24"/>
          <w:highlight w:val="none"/>
          <w:lang w:val="en-US" w:eastAsia="zh-CN"/>
        </w:rPr>
        <w:t>7个工作</w:t>
      </w:r>
      <w:r>
        <w:rPr>
          <w:rFonts w:hint="eastAsia" w:ascii="宋体" w:hAnsi="宋体" w:eastAsia="宋体" w:cs="宋体"/>
          <w:b w:val="0"/>
          <w:bCs w:val="0"/>
          <w:color w:val="auto"/>
          <w:kern w:val="0"/>
          <w:sz w:val="24"/>
          <w:highlight w:val="none"/>
        </w:rPr>
        <w:t>日内完成检测人员招聘</w:t>
      </w:r>
      <w:r>
        <w:rPr>
          <w:rFonts w:hint="eastAsia" w:ascii="宋体" w:hAnsi="宋体" w:eastAsia="宋体" w:cs="宋体"/>
          <w:b w:val="0"/>
          <w:bCs w:val="0"/>
          <w:color w:val="auto"/>
          <w:kern w:val="0"/>
          <w:sz w:val="24"/>
          <w:highlight w:val="none"/>
          <w:lang w:val="en-US" w:eastAsia="zh-CN"/>
        </w:rPr>
        <w:t>及培训</w:t>
      </w:r>
      <w:r>
        <w:rPr>
          <w:rFonts w:hint="eastAsia" w:ascii="宋体" w:hAnsi="宋体" w:eastAsia="宋体" w:cs="宋体"/>
          <w:b w:val="0"/>
          <w:bCs w:val="0"/>
          <w:color w:val="auto"/>
          <w:kern w:val="0"/>
          <w:sz w:val="24"/>
          <w:highlight w:val="none"/>
        </w:rPr>
        <w:t>工作</w:t>
      </w:r>
      <w:r>
        <w:rPr>
          <w:rFonts w:hint="eastAsia" w:ascii="宋体" w:hAnsi="宋体" w:eastAsia="宋体" w:cs="宋体"/>
          <w:b w:val="0"/>
          <w:bCs w:val="0"/>
          <w:color w:val="auto"/>
          <w:kern w:val="0"/>
          <w:sz w:val="24"/>
          <w:highlight w:val="none"/>
          <w:lang w:val="en-US" w:eastAsia="zh-CN"/>
        </w:rPr>
        <w:t>并</w:t>
      </w:r>
      <w:r>
        <w:rPr>
          <w:rFonts w:hint="eastAsia" w:ascii="宋体" w:hAnsi="宋体" w:eastAsia="宋体" w:cs="宋体"/>
          <w:b w:val="0"/>
          <w:bCs w:val="0"/>
          <w:color w:val="auto"/>
          <w:kern w:val="0"/>
          <w:sz w:val="24"/>
          <w:highlight w:val="none"/>
        </w:rPr>
        <w:t>正常开展</w:t>
      </w:r>
      <w:r>
        <w:rPr>
          <w:rFonts w:hint="eastAsia" w:ascii="宋体" w:hAnsi="宋体" w:eastAsia="宋体" w:cs="宋体"/>
          <w:b w:val="0"/>
          <w:bCs w:val="0"/>
          <w:color w:val="auto"/>
          <w:kern w:val="0"/>
          <w:sz w:val="24"/>
          <w:highlight w:val="none"/>
          <w:lang w:val="en-US" w:eastAsia="zh-CN"/>
        </w:rPr>
        <w:t>日常检测</w:t>
      </w:r>
      <w:r>
        <w:rPr>
          <w:rFonts w:hint="eastAsia" w:ascii="宋体" w:hAnsi="宋体" w:eastAsia="宋体" w:cs="宋体"/>
          <w:b w:val="0"/>
          <w:bCs w:val="0"/>
          <w:color w:val="auto"/>
          <w:kern w:val="0"/>
          <w:sz w:val="24"/>
          <w:highlight w:val="none"/>
        </w:rPr>
        <w:t>工作。运营期限从本合同签订之日至202</w:t>
      </w:r>
      <w:r>
        <w:rPr>
          <w:rFonts w:hint="eastAsia" w:ascii="宋体" w:hAnsi="宋体" w:cs="宋体"/>
          <w:b w:val="0"/>
          <w:bCs w:val="0"/>
          <w:color w:val="auto"/>
          <w:kern w:val="0"/>
          <w:sz w:val="24"/>
          <w:highlight w:val="none"/>
          <w:lang w:val="en-US" w:eastAsia="zh-CN"/>
        </w:rPr>
        <w:t>5</w:t>
      </w:r>
      <w:r>
        <w:rPr>
          <w:rFonts w:hint="eastAsia" w:ascii="宋体" w:hAnsi="宋体" w:eastAsia="宋体" w:cs="宋体"/>
          <w:b w:val="0"/>
          <w:bCs w:val="0"/>
          <w:color w:val="auto"/>
          <w:kern w:val="0"/>
          <w:sz w:val="24"/>
          <w:highlight w:val="none"/>
        </w:rPr>
        <w:t>年</w:t>
      </w:r>
      <w:r>
        <w:rPr>
          <w:rFonts w:hint="eastAsia" w:ascii="宋体" w:hAnsi="宋体" w:eastAsia="宋体" w:cs="宋体"/>
          <w:b w:val="0"/>
          <w:bCs w:val="0"/>
          <w:color w:val="auto"/>
          <w:kern w:val="0"/>
          <w:sz w:val="24"/>
          <w:highlight w:val="none"/>
          <w:lang w:val="en-US" w:eastAsia="zh-CN"/>
        </w:rPr>
        <w:t>12月31日</w:t>
      </w:r>
      <w:r>
        <w:rPr>
          <w:rFonts w:hint="eastAsia" w:ascii="宋体" w:hAnsi="宋体" w:eastAsia="宋体" w:cs="宋体"/>
          <w:color w:val="auto"/>
          <w:sz w:val="24"/>
          <w:szCs w:val="22"/>
          <w:highlight w:val="none"/>
        </w:rPr>
        <w:t>。</w:t>
      </w:r>
    </w:p>
    <w:p w14:paraId="4B8B0219">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7.本项目（是/否）接受联合体投标：否。</w:t>
      </w:r>
    </w:p>
    <w:p w14:paraId="2BD40AEF">
      <w:pPr>
        <w:pStyle w:val="3"/>
        <w:tabs>
          <w:tab w:val="left" w:pos="0"/>
          <w:tab w:val="left" w:pos="3165"/>
          <w:tab w:val="center" w:pos="4153"/>
        </w:tabs>
        <w:autoSpaceDE w:val="0"/>
        <w:autoSpaceDN w:val="0"/>
        <w:adjustRightInd w:val="0"/>
        <w:spacing w:line="520" w:lineRule="exact"/>
        <w:ind w:firstLine="482" w:firstLineChars="200"/>
        <w:jc w:val="left"/>
        <w:rPr>
          <w:rFonts w:ascii="宋体" w:hAnsi="宋体" w:eastAsia="宋体" w:cs="宋体"/>
          <w:color w:val="auto"/>
          <w:sz w:val="24"/>
          <w:szCs w:val="24"/>
          <w:highlight w:val="none"/>
        </w:rPr>
      </w:pPr>
      <w:bookmarkStart w:id="12" w:name="_Toc35393622"/>
      <w:bookmarkStart w:id="13" w:name="_Toc35393791"/>
      <w:bookmarkStart w:id="14" w:name="_Toc28359080"/>
      <w:bookmarkStart w:id="15" w:name="_Toc28359003"/>
      <w:r>
        <w:rPr>
          <w:rFonts w:hint="eastAsia" w:ascii="宋体" w:hAnsi="宋体" w:eastAsia="宋体" w:cs="宋体"/>
          <w:color w:val="auto"/>
          <w:sz w:val="24"/>
          <w:szCs w:val="24"/>
          <w:highlight w:val="none"/>
        </w:rPr>
        <w:t>二、申请人的资格要求：</w:t>
      </w:r>
      <w:bookmarkEnd w:id="12"/>
      <w:bookmarkEnd w:id="13"/>
      <w:bookmarkEnd w:id="14"/>
      <w:bookmarkEnd w:id="15"/>
    </w:p>
    <w:p w14:paraId="3FFBB2D5">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bookmarkStart w:id="16" w:name="_Toc35393792"/>
      <w:bookmarkStart w:id="17" w:name="_Toc28359004"/>
      <w:bookmarkStart w:id="18" w:name="_Toc35393623"/>
      <w:bookmarkStart w:id="19" w:name="_Toc28359081"/>
      <w:r>
        <w:rPr>
          <w:rFonts w:hint="eastAsia" w:ascii="宋体" w:hAnsi="宋体" w:eastAsia="宋体" w:cs="宋体"/>
          <w:b w:val="0"/>
          <w:bCs w:val="0"/>
          <w:color w:val="auto"/>
          <w:kern w:val="0"/>
          <w:sz w:val="24"/>
          <w:szCs w:val="24"/>
          <w:highlight w:val="none"/>
          <w:lang w:val="en-US" w:eastAsia="zh-CN"/>
        </w:rPr>
        <w:t>（一）满足《中华人民共和国政府采购法》第二十二条规定：</w:t>
      </w:r>
    </w:p>
    <w:p w14:paraId="7D751159">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1.法人或者其他组织的营业执照等证明文件，自然人的身份证明。</w:t>
      </w:r>
    </w:p>
    <w:p w14:paraId="5E7217D0">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2.上一年度的财务状况报表（成立不满一年不需提供）。</w:t>
      </w:r>
    </w:p>
    <w:p w14:paraId="0F1C4816">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3.具备履行合同所必需的设备和专业技术能力的书面声明。</w:t>
      </w:r>
    </w:p>
    <w:p w14:paraId="3DB6D824">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4.依法缴纳税收和社会保障资金的相关材料（提供提交响应文件截止时间前一年内至少一个月依法缴纳税收及缴纳社会保障资金的证明材料。供应商依法享受缓缴、免缴税收、社会保障资金的提供证明材料。）。</w:t>
      </w:r>
    </w:p>
    <w:p w14:paraId="144C22F2">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5.参加政府采购活动前3年内在经营活动中没有重大违法记录的书面声明。</w:t>
      </w:r>
    </w:p>
    <w:p w14:paraId="66A391FE">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6.法律、行政法规规定的其他条件。</w:t>
      </w:r>
    </w:p>
    <w:p w14:paraId="51B8E07F">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1212140">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8.单位负责人为同一人或者存在直接控股、管理关系的不同供应商，不得参加同一合同项下的政府采购活动。</w:t>
      </w:r>
    </w:p>
    <w:p w14:paraId="3B2E2E7A">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（二）落实政府采购政策需满足的资格要求：</w:t>
      </w:r>
      <w:r>
        <w:rPr>
          <w:rFonts w:hint="eastAsia" w:ascii="宋体" w:hAnsi="宋体" w:eastAsia="宋体" w:cs="宋体"/>
          <w:b/>
          <w:bCs/>
          <w:color w:val="auto"/>
          <w:kern w:val="0"/>
          <w:sz w:val="24"/>
          <w:szCs w:val="24"/>
          <w:highlight w:val="none"/>
          <w:lang w:val="en-US" w:eastAsia="zh-CN"/>
        </w:rPr>
        <w:t>/。</w:t>
      </w:r>
    </w:p>
    <w:p w14:paraId="10B5650A">
      <w:pPr>
        <w:spacing w:line="520" w:lineRule="exact"/>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（三）本项目的特定资格要求：无。</w:t>
      </w:r>
    </w:p>
    <w:bookmarkEnd w:id="16"/>
    <w:bookmarkEnd w:id="17"/>
    <w:bookmarkEnd w:id="18"/>
    <w:bookmarkEnd w:id="19"/>
    <w:p w14:paraId="3149F72E">
      <w:pPr>
        <w:widowControl/>
        <w:spacing w:line="500" w:lineRule="exact"/>
        <w:ind w:firstLine="482"/>
        <w:rPr>
          <w:b/>
          <w:bCs/>
          <w:color w:val="auto"/>
          <w:sz w:val="24"/>
          <w:szCs w:val="20"/>
          <w:highlight w:val="none"/>
        </w:rPr>
      </w:pPr>
      <w:r>
        <w:rPr>
          <w:rFonts w:hint="eastAsia"/>
          <w:b/>
          <w:bCs/>
          <w:color w:val="auto"/>
          <w:sz w:val="24"/>
          <w:szCs w:val="20"/>
          <w:highlight w:val="none"/>
        </w:rPr>
        <w:t>三、获取招标文件</w:t>
      </w:r>
    </w:p>
    <w:p w14:paraId="1AE4D0A7">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时间：</w:t>
      </w:r>
      <w:r>
        <w:rPr>
          <w:rFonts w:hint="eastAsia" w:ascii="宋体" w:hAnsi="宋体" w:eastAsia="宋体" w:cs="宋体"/>
          <w:color w:val="auto"/>
          <w:sz w:val="24"/>
          <w:highlight w:val="none"/>
        </w:rPr>
        <w:t>自</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文件公告发布之日起5个工作日</w:t>
      </w:r>
      <w:r>
        <w:rPr>
          <w:rFonts w:hint="eastAsia"/>
          <w:color w:val="auto"/>
          <w:sz w:val="24"/>
          <w:szCs w:val="20"/>
          <w:highlight w:val="none"/>
          <w:lang w:val="en-US" w:eastAsia="zh-CN"/>
        </w:rPr>
        <w:t>。</w:t>
      </w:r>
    </w:p>
    <w:p w14:paraId="12994CB3">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 xml:space="preserve">地点：“苏采云”系统内免费下载（投标人必须在苏采云系统中获取采购文件，方能参与政府采购项目）； </w:t>
      </w:r>
    </w:p>
    <w:p w14:paraId="73BE56A7">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 xml:space="preserve">方式：本项目采用网上注册登记方式。 </w:t>
      </w:r>
    </w:p>
    <w:p w14:paraId="33074CBE">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售价：0.00元。</w:t>
      </w:r>
    </w:p>
    <w:p w14:paraId="08CE40E9">
      <w:pPr>
        <w:widowControl/>
        <w:spacing w:line="500" w:lineRule="exact"/>
        <w:ind w:firstLine="482"/>
        <w:rPr>
          <w:b/>
          <w:bCs/>
          <w:color w:val="auto"/>
          <w:sz w:val="24"/>
          <w:szCs w:val="20"/>
          <w:highlight w:val="none"/>
        </w:rPr>
      </w:pPr>
      <w:r>
        <w:rPr>
          <w:rFonts w:hint="eastAsia"/>
          <w:b/>
          <w:bCs/>
          <w:color w:val="auto"/>
          <w:sz w:val="24"/>
          <w:szCs w:val="20"/>
          <w:highlight w:val="none"/>
        </w:rPr>
        <w:t>四、提交投标文件截止时间、开标时间和地点</w:t>
      </w:r>
    </w:p>
    <w:p w14:paraId="20AE58F4">
      <w:pPr>
        <w:widowControl/>
        <w:spacing w:line="500" w:lineRule="exact"/>
        <w:ind w:firstLine="482"/>
        <w:rPr>
          <w:color w:val="auto"/>
          <w:sz w:val="24"/>
          <w:szCs w:val="20"/>
          <w:highlight w:val="none"/>
        </w:rPr>
      </w:pPr>
      <w:r>
        <w:rPr>
          <w:rFonts w:hint="eastAsia"/>
          <w:color w:val="auto"/>
          <w:sz w:val="24"/>
          <w:szCs w:val="20"/>
          <w:highlight w:val="none"/>
        </w:rPr>
        <w:t>202</w:t>
      </w:r>
      <w:r>
        <w:rPr>
          <w:rFonts w:hint="eastAsia"/>
          <w:color w:val="auto"/>
          <w:sz w:val="24"/>
          <w:szCs w:val="20"/>
          <w:highlight w:val="none"/>
          <w:lang w:val="en-US" w:eastAsia="zh-CN"/>
        </w:rPr>
        <w:t>5</w:t>
      </w:r>
      <w:r>
        <w:rPr>
          <w:rFonts w:hint="eastAsia"/>
          <w:color w:val="auto"/>
          <w:sz w:val="24"/>
          <w:szCs w:val="20"/>
          <w:highlight w:val="none"/>
        </w:rPr>
        <w:t>年</w:t>
      </w:r>
      <w:r>
        <w:rPr>
          <w:rFonts w:hint="eastAsia"/>
          <w:color w:val="auto"/>
          <w:sz w:val="24"/>
          <w:szCs w:val="20"/>
          <w:highlight w:val="none"/>
          <w:lang w:val="en-US" w:eastAsia="zh-CN"/>
        </w:rPr>
        <w:t>1</w:t>
      </w:r>
      <w:r>
        <w:rPr>
          <w:rFonts w:hint="eastAsia"/>
          <w:color w:val="auto"/>
          <w:sz w:val="24"/>
          <w:szCs w:val="20"/>
          <w:highlight w:val="none"/>
        </w:rPr>
        <w:t>月</w:t>
      </w:r>
      <w:r>
        <w:rPr>
          <w:rFonts w:hint="eastAsia"/>
          <w:color w:val="auto"/>
          <w:sz w:val="24"/>
          <w:szCs w:val="20"/>
          <w:highlight w:val="none"/>
          <w:lang w:val="en-US" w:eastAsia="zh-CN"/>
        </w:rPr>
        <w:t>24</w:t>
      </w:r>
      <w:r>
        <w:rPr>
          <w:rFonts w:hint="eastAsia"/>
          <w:color w:val="auto"/>
          <w:sz w:val="24"/>
          <w:szCs w:val="20"/>
          <w:highlight w:val="none"/>
        </w:rPr>
        <w:t>日09点</w:t>
      </w:r>
      <w:r>
        <w:rPr>
          <w:rFonts w:hint="eastAsia"/>
          <w:color w:val="auto"/>
          <w:sz w:val="24"/>
          <w:szCs w:val="20"/>
          <w:highlight w:val="none"/>
          <w:lang w:val="en-US" w:eastAsia="zh-CN"/>
        </w:rPr>
        <w:t xml:space="preserve"> 0</w:t>
      </w:r>
      <w:r>
        <w:rPr>
          <w:rFonts w:hint="eastAsia"/>
          <w:color w:val="auto"/>
          <w:sz w:val="24"/>
          <w:szCs w:val="20"/>
          <w:highlight w:val="none"/>
        </w:rPr>
        <w:t>0分（北京时间）</w:t>
      </w:r>
    </w:p>
    <w:p w14:paraId="15BD2A5C">
      <w:pPr>
        <w:widowControl/>
        <w:spacing w:line="500" w:lineRule="exact"/>
        <w:ind w:firstLine="482"/>
        <w:rPr>
          <w:color w:val="auto"/>
          <w:sz w:val="24"/>
          <w:szCs w:val="20"/>
          <w:highlight w:val="none"/>
        </w:rPr>
      </w:pPr>
      <w:r>
        <w:rPr>
          <w:rFonts w:hint="eastAsia"/>
          <w:color w:val="auto"/>
          <w:sz w:val="24"/>
          <w:szCs w:val="20"/>
          <w:highlight w:val="none"/>
          <w:lang w:val="en-US" w:eastAsia="zh-CN"/>
        </w:rPr>
        <w:t>“苏采云”系统中的“开标大厅”</w:t>
      </w:r>
      <w:r>
        <w:rPr>
          <w:rFonts w:hint="eastAsia"/>
          <w:color w:val="auto"/>
          <w:sz w:val="24"/>
          <w:szCs w:val="20"/>
          <w:highlight w:val="none"/>
        </w:rPr>
        <w:t>。</w:t>
      </w:r>
    </w:p>
    <w:p w14:paraId="14CB052B">
      <w:pPr>
        <w:widowControl/>
        <w:spacing w:line="500" w:lineRule="exact"/>
        <w:ind w:firstLine="482"/>
        <w:rPr>
          <w:b/>
          <w:bCs/>
          <w:color w:val="auto"/>
          <w:sz w:val="24"/>
          <w:szCs w:val="20"/>
          <w:highlight w:val="none"/>
        </w:rPr>
      </w:pPr>
      <w:bookmarkStart w:id="20" w:name="_Toc35393625"/>
      <w:bookmarkStart w:id="21" w:name="_Toc28359007"/>
      <w:bookmarkStart w:id="22" w:name="_Toc38985267"/>
      <w:bookmarkStart w:id="23" w:name="_Toc35393794"/>
      <w:bookmarkStart w:id="24" w:name="_Toc28359084"/>
      <w:r>
        <w:rPr>
          <w:rFonts w:hint="eastAsia"/>
          <w:b/>
          <w:bCs/>
          <w:color w:val="auto"/>
          <w:sz w:val="24"/>
          <w:szCs w:val="20"/>
          <w:highlight w:val="none"/>
        </w:rPr>
        <w:t>五、公告期限</w:t>
      </w:r>
      <w:bookmarkEnd w:id="20"/>
      <w:bookmarkEnd w:id="21"/>
      <w:bookmarkEnd w:id="22"/>
      <w:bookmarkEnd w:id="23"/>
      <w:bookmarkEnd w:id="24"/>
    </w:p>
    <w:p w14:paraId="43166054">
      <w:pPr>
        <w:widowControl/>
        <w:spacing w:line="500" w:lineRule="exact"/>
        <w:ind w:firstLine="482"/>
        <w:rPr>
          <w:color w:val="auto"/>
          <w:sz w:val="24"/>
          <w:szCs w:val="20"/>
          <w:highlight w:val="none"/>
        </w:rPr>
      </w:pPr>
      <w:bookmarkStart w:id="25" w:name="_Toc38985268"/>
      <w:bookmarkStart w:id="26" w:name="_Toc35393795"/>
      <w:bookmarkStart w:id="27" w:name="_Toc35393626"/>
      <w:r>
        <w:rPr>
          <w:rFonts w:hint="eastAsia"/>
          <w:color w:val="auto"/>
          <w:sz w:val="24"/>
          <w:szCs w:val="20"/>
          <w:highlight w:val="none"/>
        </w:rPr>
        <w:t>自本公告发布之日起5个工作日。</w:t>
      </w:r>
      <w:bookmarkEnd w:id="25"/>
      <w:bookmarkEnd w:id="26"/>
      <w:bookmarkEnd w:id="27"/>
    </w:p>
    <w:p w14:paraId="639D22BD">
      <w:pPr>
        <w:widowControl/>
        <w:spacing w:line="500" w:lineRule="exact"/>
        <w:ind w:firstLine="482"/>
        <w:rPr>
          <w:b/>
          <w:bCs/>
          <w:color w:val="auto"/>
          <w:sz w:val="24"/>
          <w:szCs w:val="20"/>
          <w:highlight w:val="none"/>
        </w:rPr>
      </w:pPr>
      <w:r>
        <w:rPr>
          <w:rFonts w:hint="eastAsia"/>
          <w:b/>
          <w:bCs/>
          <w:color w:val="auto"/>
          <w:sz w:val="24"/>
          <w:szCs w:val="20"/>
          <w:highlight w:val="none"/>
        </w:rPr>
        <w:t>六、其他补充事宜</w:t>
      </w:r>
    </w:p>
    <w:p w14:paraId="7CB64687">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1、获取文件方式：</w:t>
      </w:r>
    </w:p>
    <w:p w14:paraId="42944C21">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1.1 潜在供应商访问电子招标响应交易平台的网络地址和方法：</w:t>
      </w:r>
    </w:p>
    <w:p w14:paraId="7671C310">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p>
    <w:p w14:paraId="2C1E6805">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1.2 潜在投标人访问“苏采云”系统方法：江苏省政府采购网首页-“苏采云”链接。</w:t>
      </w:r>
    </w:p>
    <w:p w14:paraId="59984649">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1.3“CA 数字证书”的获取：供应商需办理 CA 锁，“苏采云”系统目前仅支持政务 CA，省内各地区办理的用于“苏采云”平台的政务 CA 全省通用。盐城地区政务 CA 办理请至亭湖区政务服务中心二楼 226 窗口办理，联系电话：15051556883。</w:t>
      </w:r>
    </w:p>
    <w:p w14:paraId="760DAB7D">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1.4 采购文件（后缀名为“.kedt”）、供应商操作手册及政府采购客户端工具可通过“苏采云”系统相应链接进行下载。</w:t>
      </w:r>
    </w:p>
    <w:p w14:paraId="5D692E1E">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1.5 招标代理机构（采购代理机构）将数据电文形式的采购文件加载至“苏采云”系统，供潜在供应商下载或者查阅。</w:t>
      </w:r>
    </w:p>
    <w:p w14:paraId="4FA0CA1B">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1.6 请潜在投标单位提前安装相应的控件（详见《“苏采云”系统供应商操作手册》）并使用谷歌浏览器登录“苏采云”系统参与不见面开评标。</w:t>
      </w:r>
    </w:p>
    <w:p w14:paraId="6B403F9D">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2.各投标人在投标截止时间前应当每天都上网查询，以便获取更新的澄清、修改、补充内容。凡涉及到该项目的补充说明和修改，均以中国政府采购网、江苏政府采购网、盐城市政府采购网上的更正或补充通知为准。</w:t>
      </w:r>
    </w:p>
    <w:p w14:paraId="7E7D5A4B">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3.投标人不得提供虚假材料谋取中标成交的或采取不正当手段诋毁、排挤其他供应商。</w:t>
      </w:r>
    </w:p>
    <w:p w14:paraId="61BDEBAB">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4.投标人存在串通投标、以他人名义投标、弄虚作假等违法违规行为，或者无正当理由放弃投标、中标资格，造成项目招标失败的，不得参加该项目重新招标的投标。</w:t>
      </w:r>
    </w:p>
    <w:p w14:paraId="7676A9D3">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5.因供应商的系统环境、操作等原因导致项目参与、开评标过程中出现问题由供应商自行承担负责。</w:t>
      </w:r>
    </w:p>
    <w:p w14:paraId="21D62E24">
      <w:pPr>
        <w:widowControl/>
        <w:spacing w:line="500" w:lineRule="exact"/>
        <w:ind w:firstLine="482"/>
        <w:rPr>
          <w:b/>
          <w:bCs/>
          <w:color w:val="auto"/>
          <w:sz w:val="24"/>
          <w:szCs w:val="20"/>
          <w:highlight w:val="none"/>
        </w:rPr>
      </w:pPr>
      <w:r>
        <w:rPr>
          <w:rFonts w:hint="eastAsia"/>
          <w:b/>
          <w:bCs/>
          <w:color w:val="auto"/>
          <w:sz w:val="24"/>
          <w:szCs w:val="20"/>
          <w:highlight w:val="none"/>
        </w:rPr>
        <w:t>七、对本次招标提出询问，请按以下方式联系。</w:t>
      </w:r>
    </w:p>
    <w:p w14:paraId="0387AF92">
      <w:pPr>
        <w:spacing w:line="520" w:lineRule="exact"/>
        <w:ind w:left="1079" w:leftChars="371" w:hanging="300" w:hangingChars="125"/>
        <w:jc w:val="left"/>
        <w:rPr>
          <w:rFonts w:hint="eastAsia"/>
          <w:b w:val="0"/>
          <w:bCs w:val="0"/>
          <w:color w:val="auto"/>
          <w:sz w:val="24"/>
          <w:szCs w:val="20"/>
          <w:highlight w:val="none"/>
        </w:rPr>
      </w:pPr>
      <w:bookmarkStart w:id="28" w:name="_Toc28359098"/>
      <w:bookmarkStart w:id="29" w:name="_Toc28359021"/>
      <w:bookmarkStart w:id="30" w:name="_Toc35393639"/>
      <w:bookmarkStart w:id="31" w:name="_Toc35393808"/>
      <w:r>
        <w:rPr>
          <w:rFonts w:hint="eastAsia"/>
          <w:b w:val="0"/>
          <w:bCs w:val="0"/>
          <w:color w:val="auto"/>
          <w:sz w:val="24"/>
          <w:szCs w:val="20"/>
          <w:highlight w:val="none"/>
        </w:rPr>
        <w:t>1.</w:t>
      </w:r>
      <w:bookmarkStart w:id="32" w:name="_Toc35393806"/>
      <w:bookmarkStart w:id="33" w:name="_Toc28359096"/>
      <w:bookmarkStart w:id="34" w:name="_Toc35393637"/>
      <w:bookmarkStart w:id="35" w:name="_Toc28359019"/>
      <w:r>
        <w:rPr>
          <w:rFonts w:hint="eastAsia"/>
          <w:b w:val="0"/>
          <w:bCs w:val="0"/>
          <w:color w:val="auto"/>
          <w:sz w:val="24"/>
          <w:szCs w:val="20"/>
          <w:highlight w:val="none"/>
        </w:rPr>
        <w:t>采购人信息</w:t>
      </w:r>
      <w:bookmarkEnd w:id="32"/>
      <w:bookmarkEnd w:id="33"/>
      <w:bookmarkEnd w:id="34"/>
      <w:bookmarkEnd w:id="35"/>
    </w:p>
    <w:p w14:paraId="29137E79">
      <w:pPr>
        <w:spacing w:line="520" w:lineRule="exact"/>
        <w:ind w:left="1079" w:leftChars="371" w:hanging="300" w:hangingChars="125"/>
        <w:jc w:val="left"/>
        <w:rPr>
          <w:rFonts w:hint="eastAsia"/>
          <w:b w:val="0"/>
          <w:bCs w:val="0"/>
          <w:color w:val="auto"/>
          <w:sz w:val="24"/>
          <w:szCs w:val="20"/>
          <w:highlight w:val="none"/>
          <w:lang w:eastAsia="zh-CN"/>
        </w:rPr>
      </w:pPr>
      <w:r>
        <w:rPr>
          <w:rFonts w:hint="eastAsia"/>
          <w:b w:val="0"/>
          <w:bCs w:val="0"/>
          <w:color w:val="auto"/>
          <w:sz w:val="24"/>
          <w:szCs w:val="20"/>
          <w:highlight w:val="none"/>
        </w:rPr>
        <w:t>名    称：</w:t>
      </w:r>
      <w:r>
        <w:rPr>
          <w:rFonts w:hint="eastAsia"/>
          <w:b w:val="0"/>
          <w:bCs w:val="0"/>
          <w:color w:val="auto"/>
          <w:sz w:val="24"/>
          <w:szCs w:val="20"/>
          <w:highlight w:val="none"/>
          <w:lang w:eastAsia="zh-CN"/>
        </w:rPr>
        <w:t>江苏省盐南高新技术产业开发区市场监督管理局</w:t>
      </w:r>
    </w:p>
    <w:p w14:paraId="1DA8B8F4">
      <w:pPr>
        <w:spacing w:line="520" w:lineRule="exact"/>
        <w:ind w:left="1079" w:leftChars="371" w:hanging="300" w:hangingChars="125"/>
        <w:jc w:val="left"/>
        <w:rPr>
          <w:rFonts w:hint="eastAsia"/>
          <w:b w:val="0"/>
          <w:bCs w:val="0"/>
          <w:color w:val="auto"/>
          <w:sz w:val="24"/>
          <w:szCs w:val="20"/>
          <w:highlight w:val="none"/>
        </w:rPr>
      </w:pPr>
      <w:r>
        <w:rPr>
          <w:rFonts w:hint="eastAsia"/>
          <w:b w:val="0"/>
          <w:bCs w:val="0"/>
          <w:color w:val="auto"/>
          <w:sz w:val="24"/>
          <w:szCs w:val="20"/>
          <w:highlight w:val="none"/>
        </w:rPr>
        <w:t>地    址：盐南高新区新龙广场6#楼</w:t>
      </w:r>
    </w:p>
    <w:p w14:paraId="4CD296AB">
      <w:pPr>
        <w:spacing w:line="520" w:lineRule="exact"/>
        <w:ind w:left="1079" w:leftChars="371" w:hanging="300" w:hangingChars="125"/>
        <w:jc w:val="left"/>
        <w:rPr>
          <w:rFonts w:hint="eastAsia"/>
          <w:b w:val="0"/>
          <w:bCs w:val="0"/>
          <w:color w:val="auto"/>
          <w:sz w:val="24"/>
          <w:szCs w:val="20"/>
          <w:highlight w:val="none"/>
        </w:rPr>
      </w:pPr>
      <w:r>
        <w:rPr>
          <w:rFonts w:hint="eastAsia"/>
          <w:b w:val="0"/>
          <w:bCs w:val="0"/>
          <w:color w:val="auto"/>
          <w:sz w:val="24"/>
          <w:szCs w:val="20"/>
          <w:highlight w:val="none"/>
        </w:rPr>
        <w:t>联 系 人：徐科长，顾主任</w:t>
      </w:r>
    </w:p>
    <w:p w14:paraId="248C30E2">
      <w:pPr>
        <w:spacing w:line="520" w:lineRule="exact"/>
        <w:ind w:left="1079" w:leftChars="371" w:hanging="300" w:hangingChars="125"/>
        <w:jc w:val="left"/>
        <w:rPr>
          <w:rFonts w:hint="default" w:eastAsia="宋体"/>
          <w:b w:val="0"/>
          <w:bCs w:val="0"/>
          <w:color w:val="auto"/>
          <w:sz w:val="24"/>
          <w:szCs w:val="20"/>
          <w:highlight w:val="none"/>
          <w:lang w:val="en-US" w:eastAsia="zh-CN"/>
        </w:rPr>
      </w:pPr>
      <w:r>
        <w:rPr>
          <w:rFonts w:hint="eastAsia"/>
          <w:b w:val="0"/>
          <w:bCs w:val="0"/>
          <w:color w:val="auto"/>
          <w:sz w:val="24"/>
          <w:szCs w:val="20"/>
          <w:highlight w:val="none"/>
        </w:rPr>
        <w:t>联系电话：0515-80991009，69960006</w:t>
      </w:r>
      <w:r>
        <w:rPr>
          <w:rFonts w:hint="eastAsia" w:ascii="宋体" w:hAnsi="宋体" w:cs="宋体"/>
          <w:color w:val="auto"/>
          <w:sz w:val="24"/>
          <w:szCs w:val="24"/>
          <w:highlight w:val="none"/>
          <w:u w:val="none"/>
        </w:rPr>
        <w:t xml:space="preserve"> </w:t>
      </w:r>
    </w:p>
    <w:p w14:paraId="1F96F042">
      <w:pPr>
        <w:spacing w:line="520" w:lineRule="exact"/>
        <w:ind w:left="1079" w:leftChars="371" w:hanging="300" w:hangingChars="125"/>
        <w:jc w:val="left"/>
        <w:rPr>
          <w:rFonts w:hint="eastAsia"/>
          <w:b w:val="0"/>
          <w:bCs w:val="0"/>
          <w:color w:val="auto"/>
          <w:sz w:val="24"/>
          <w:szCs w:val="20"/>
          <w:highlight w:val="none"/>
        </w:rPr>
      </w:pPr>
      <w:bookmarkStart w:id="36" w:name="_Toc28359097"/>
      <w:bookmarkStart w:id="37" w:name="_Toc35393638"/>
      <w:bookmarkStart w:id="38" w:name="_Toc35393807"/>
      <w:bookmarkStart w:id="39" w:name="_Toc28359020"/>
      <w:r>
        <w:rPr>
          <w:rFonts w:hint="eastAsia"/>
          <w:b w:val="0"/>
          <w:bCs w:val="0"/>
          <w:color w:val="auto"/>
          <w:sz w:val="24"/>
          <w:szCs w:val="20"/>
          <w:highlight w:val="none"/>
        </w:rPr>
        <w:t>2.采购代理机构信息</w:t>
      </w:r>
      <w:bookmarkEnd w:id="36"/>
      <w:bookmarkEnd w:id="37"/>
      <w:bookmarkEnd w:id="38"/>
      <w:bookmarkEnd w:id="39"/>
    </w:p>
    <w:p w14:paraId="5B6C124D">
      <w:pPr>
        <w:spacing w:line="520" w:lineRule="exact"/>
        <w:ind w:left="1079" w:leftChars="371" w:hanging="300" w:hangingChars="125"/>
        <w:jc w:val="left"/>
        <w:rPr>
          <w:rFonts w:hint="eastAsia"/>
          <w:b w:val="0"/>
          <w:bCs w:val="0"/>
          <w:color w:val="auto"/>
          <w:sz w:val="24"/>
          <w:szCs w:val="20"/>
          <w:highlight w:val="none"/>
        </w:rPr>
      </w:pPr>
      <w:r>
        <w:rPr>
          <w:rFonts w:hint="eastAsia"/>
          <w:b w:val="0"/>
          <w:bCs w:val="0"/>
          <w:color w:val="auto"/>
          <w:sz w:val="24"/>
          <w:szCs w:val="20"/>
          <w:highlight w:val="none"/>
        </w:rPr>
        <w:t>名    称：江苏伟业项目管理有限公司</w:t>
      </w:r>
    </w:p>
    <w:p w14:paraId="47FEE725">
      <w:pPr>
        <w:spacing w:line="520" w:lineRule="exact"/>
        <w:ind w:left="1079" w:leftChars="371" w:hanging="300" w:hangingChars="125"/>
        <w:jc w:val="left"/>
        <w:rPr>
          <w:rFonts w:hint="eastAsia"/>
          <w:b w:val="0"/>
          <w:bCs w:val="0"/>
          <w:color w:val="auto"/>
          <w:sz w:val="24"/>
          <w:szCs w:val="20"/>
          <w:highlight w:val="none"/>
        </w:rPr>
      </w:pPr>
      <w:r>
        <w:rPr>
          <w:rFonts w:hint="eastAsia"/>
          <w:b w:val="0"/>
          <w:bCs w:val="0"/>
          <w:color w:val="auto"/>
          <w:sz w:val="24"/>
          <w:szCs w:val="20"/>
          <w:highlight w:val="none"/>
        </w:rPr>
        <w:t>地　　址：盐城市华邦国际东厦B区13A06#</w:t>
      </w:r>
    </w:p>
    <w:p w14:paraId="023A4B42">
      <w:pPr>
        <w:spacing w:line="520" w:lineRule="exact"/>
        <w:ind w:left="1079" w:leftChars="371" w:hanging="300" w:hangingChars="125"/>
        <w:jc w:val="left"/>
        <w:rPr>
          <w:rFonts w:hint="eastAsia"/>
          <w:b w:val="0"/>
          <w:bCs w:val="0"/>
          <w:color w:val="auto"/>
          <w:sz w:val="24"/>
          <w:szCs w:val="20"/>
          <w:highlight w:val="none"/>
        </w:rPr>
      </w:pPr>
      <w:r>
        <w:rPr>
          <w:rFonts w:hint="eastAsia"/>
          <w:b w:val="0"/>
          <w:bCs w:val="0"/>
          <w:color w:val="auto"/>
          <w:sz w:val="24"/>
          <w:szCs w:val="20"/>
          <w:highlight w:val="none"/>
        </w:rPr>
        <w:t>联 系 人：倪士祥</w:t>
      </w:r>
    </w:p>
    <w:p w14:paraId="382778B1">
      <w:pPr>
        <w:spacing w:line="520" w:lineRule="exact"/>
        <w:ind w:left="1079" w:leftChars="371" w:hanging="300" w:hangingChars="125"/>
        <w:jc w:val="left"/>
        <w:rPr>
          <w:rFonts w:hint="eastAsia"/>
          <w:b w:val="0"/>
          <w:bCs w:val="0"/>
          <w:color w:val="auto"/>
          <w:sz w:val="24"/>
          <w:szCs w:val="20"/>
          <w:highlight w:val="none"/>
        </w:rPr>
      </w:pPr>
      <w:r>
        <w:rPr>
          <w:rFonts w:hint="eastAsia"/>
          <w:b w:val="0"/>
          <w:bCs w:val="0"/>
          <w:color w:val="auto"/>
          <w:sz w:val="24"/>
          <w:szCs w:val="20"/>
          <w:highlight w:val="none"/>
        </w:rPr>
        <w:t>联系电话：18066161713</w:t>
      </w:r>
    </w:p>
    <w:p w14:paraId="6DFABD3F">
      <w:pPr>
        <w:spacing w:line="520" w:lineRule="exact"/>
        <w:ind w:left="1079" w:leftChars="371" w:hanging="300" w:hangingChars="125"/>
        <w:jc w:val="left"/>
        <w:rPr>
          <w:rFonts w:hint="eastAsia"/>
          <w:b w:val="0"/>
          <w:bCs w:val="0"/>
          <w:color w:val="auto"/>
          <w:sz w:val="24"/>
          <w:szCs w:val="20"/>
          <w:highlight w:val="none"/>
        </w:rPr>
      </w:pPr>
      <w:r>
        <w:rPr>
          <w:rFonts w:hint="eastAsia"/>
          <w:b w:val="0"/>
          <w:bCs w:val="0"/>
          <w:color w:val="auto"/>
          <w:sz w:val="24"/>
          <w:szCs w:val="20"/>
          <w:highlight w:val="none"/>
        </w:rPr>
        <w:t>3.项目联系方式</w:t>
      </w:r>
      <w:bookmarkEnd w:id="28"/>
      <w:bookmarkEnd w:id="29"/>
      <w:bookmarkEnd w:id="30"/>
      <w:bookmarkEnd w:id="31"/>
    </w:p>
    <w:p w14:paraId="0C78E8B2">
      <w:pPr>
        <w:shd w:val="clear" w:color="auto" w:fill="auto"/>
        <w:spacing w:line="500" w:lineRule="exact"/>
        <w:ind w:firstLine="720" w:firstLineChars="300"/>
        <w:jc w:val="left"/>
        <w:rPr>
          <w:rFonts w:hint="eastAsia"/>
          <w:b w:val="0"/>
          <w:bCs w:val="0"/>
          <w:color w:val="auto"/>
          <w:sz w:val="24"/>
          <w:szCs w:val="20"/>
          <w:highlight w:val="none"/>
        </w:rPr>
      </w:pPr>
      <w:r>
        <w:rPr>
          <w:rFonts w:hint="eastAsia"/>
          <w:b w:val="0"/>
          <w:bCs w:val="0"/>
          <w:color w:val="auto"/>
          <w:sz w:val="24"/>
          <w:szCs w:val="20"/>
          <w:highlight w:val="none"/>
        </w:rPr>
        <w:t>联 系 人：徐科长，顾主任</w:t>
      </w:r>
    </w:p>
    <w:p w14:paraId="74DC7252">
      <w:pPr>
        <w:shd w:val="clear" w:color="auto" w:fill="auto"/>
        <w:spacing w:line="500" w:lineRule="exact"/>
        <w:ind w:firstLine="720" w:firstLineChars="300"/>
        <w:jc w:val="left"/>
        <w:rPr>
          <w:rFonts w:hint="eastAsia" w:ascii="宋体" w:hAnsi="宋体" w:cs="宋体"/>
          <w:color w:val="auto"/>
          <w:sz w:val="24"/>
          <w:highlight w:val="none"/>
          <w:u w:val="none"/>
        </w:rPr>
      </w:pPr>
      <w:r>
        <w:rPr>
          <w:rFonts w:hint="eastAsia"/>
          <w:b w:val="0"/>
          <w:bCs w:val="0"/>
          <w:color w:val="auto"/>
          <w:sz w:val="24"/>
          <w:szCs w:val="20"/>
          <w:highlight w:val="none"/>
        </w:rPr>
        <w:t>联系电话：0515-80991009，69960006</w:t>
      </w:r>
      <w:r>
        <w:rPr>
          <w:rFonts w:hint="eastAsia" w:ascii="宋体" w:hAnsi="宋体" w:cs="宋体"/>
          <w:color w:val="auto"/>
          <w:sz w:val="24"/>
          <w:szCs w:val="24"/>
          <w:highlight w:val="none"/>
          <w:u w:val="none"/>
        </w:rPr>
        <w:t xml:space="preserve"> </w:t>
      </w:r>
    </w:p>
    <w:p w14:paraId="3637542A">
      <w:pPr>
        <w:shd w:val="clear" w:color="auto" w:fill="auto"/>
        <w:spacing w:line="500" w:lineRule="exact"/>
        <w:ind w:firstLine="720" w:firstLineChars="300"/>
        <w:rPr>
          <w:rFonts w:hint="eastAsia" w:ascii="宋体" w:hAnsi="宋体" w:eastAsia="宋体" w:cs="宋体"/>
          <w:color w:val="auto"/>
          <w:sz w:val="24"/>
          <w:highlight w:val="none"/>
          <w:u w:val="none"/>
        </w:rPr>
      </w:pPr>
    </w:p>
    <w:p w14:paraId="75F8AB73">
      <w:pPr>
        <w:pStyle w:val="5"/>
        <w:spacing w:line="500" w:lineRule="exact"/>
        <w:rPr>
          <w:rFonts w:ascii="宋体" w:hAnsi="宋体" w:eastAsia="宋体" w:cs="宋体"/>
          <w:color w:val="auto"/>
          <w:highlight w:val="none"/>
        </w:rPr>
      </w:pPr>
    </w:p>
    <w:p w14:paraId="058D4D70">
      <w:pPr>
        <w:pStyle w:val="8"/>
        <w:rPr>
          <w:rFonts w:ascii="宋体" w:hAnsi="宋体" w:cs="宋体"/>
          <w:color w:val="auto"/>
          <w:highlight w:val="none"/>
        </w:rPr>
      </w:pPr>
    </w:p>
    <w:p w14:paraId="6734D029">
      <w:pPr>
        <w:pStyle w:val="8"/>
        <w:rPr>
          <w:rFonts w:ascii="宋体" w:hAnsi="宋体" w:cs="宋体"/>
          <w:color w:val="auto"/>
          <w:highlight w:val="none"/>
        </w:rPr>
      </w:pPr>
    </w:p>
    <w:p w14:paraId="6CB68AA0">
      <w:pPr>
        <w:pStyle w:val="8"/>
        <w:rPr>
          <w:rFonts w:ascii="宋体" w:hAnsi="宋体" w:cs="宋体"/>
          <w:color w:val="auto"/>
          <w:highlight w:val="none"/>
        </w:rPr>
      </w:pPr>
    </w:p>
    <w:p w14:paraId="2EE8404A">
      <w:pPr>
        <w:pStyle w:val="8"/>
        <w:rPr>
          <w:rFonts w:ascii="宋体" w:hAnsi="宋体" w:cs="宋体"/>
          <w:color w:val="auto"/>
          <w:highlight w:val="none"/>
        </w:rPr>
      </w:pPr>
    </w:p>
    <w:p w14:paraId="1405A037">
      <w:pPr>
        <w:pStyle w:val="8"/>
        <w:rPr>
          <w:rFonts w:ascii="宋体" w:hAnsi="宋体" w:cs="宋体"/>
          <w:color w:val="auto"/>
          <w:highlight w:val="none"/>
        </w:rPr>
      </w:pPr>
    </w:p>
    <w:p w14:paraId="159BA5E4">
      <w:pPr>
        <w:pStyle w:val="8"/>
        <w:rPr>
          <w:rFonts w:ascii="宋体" w:hAnsi="宋体" w:cs="宋体"/>
          <w:color w:val="auto"/>
          <w:highlight w:val="none"/>
        </w:rPr>
      </w:pPr>
    </w:p>
    <w:p w14:paraId="2AE010B3">
      <w:pPr>
        <w:pStyle w:val="8"/>
        <w:rPr>
          <w:rFonts w:ascii="宋体" w:hAnsi="宋体" w:cs="宋体"/>
          <w:color w:val="auto"/>
          <w:highlight w:val="none"/>
        </w:rPr>
      </w:pPr>
    </w:p>
    <w:p w14:paraId="62B88672">
      <w:pPr>
        <w:rPr>
          <w:rFonts w:ascii="宋体" w:hAnsi="宋体" w:cs="宋体"/>
          <w:color w:val="auto"/>
          <w:highlight w:val="none"/>
        </w:rPr>
      </w:pPr>
      <w:r>
        <w:rPr>
          <w:rFonts w:ascii="宋体" w:hAnsi="宋体" w:cs="宋体"/>
          <w:color w:val="auto"/>
          <w:highlight w:val="none"/>
        </w:rPr>
        <w:br w:type="page"/>
      </w:r>
    </w:p>
    <w:bookmarkEnd w:id="1"/>
    <w:bookmarkEnd w:id="2"/>
    <w:bookmarkEnd w:id="3"/>
    <w:bookmarkEnd w:id="4"/>
    <w:bookmarkEnd w:id="5"/>
    <w:bookmarkEnd w:id="6"/>
    <w:p w14:paraId="5D8AB42C">
      <w:pPr>
        <w:widowControl/>
        <w:jc w:val="center"/>
        <w:rPr>
          <w:rFonts w:ascii="宋体" w:hAnsi="宋体" w:cs="宋体"/>
          <w:b/>
          <w:color w:val="auto"/>
          <w:sz w:val="36"/>
          <w:szCs w:val="36"/>
          <w:highlight w:val="none"/>
        </w:rPr>
      </w:pPr>
      <w:bookmarkStart w:id="40" w:name="_Toc20823314"/>
      <w:bookmarkStart w:id="41" w:name="_Toc120614221"/>
      <w:bookmarkStart w:id="42" w:name="_Toc16938558"/>
      <w:bookmarkStart w:id="43" w:name="_Toc479757207"/>
      <w:bookmarkStart w:id="44" w:name="_Toc513029242"/>
      <w:r>
        <w:rPr>
          <w:rFonts w:hint="eastAsia" w:ascii="宋体" w:hAnsi="宋体" w:cs="宋体"/>
          <w:b/>
          <w:color w:val="auto"/>
          <w:sz w:val="36"/>
          <w:szCs w:val="36"/>
          <w:highlight w:val="none"/>
        </w:rPr>
        <w:t xml:space="preserve">第二章  </w:t>
      </w:r>
      <w:bookmarkStart w:id="45" w:name="_Toc513029202"/>
      <w:bookmarkStart w:id="46" w:name="_Toc120614213"/>
      <w:bookmarkStart w:id="47" w:name="_Toc20823274"/>
      <w:bookmarkStart w:id="48" w:name="_Toc16938518"/>
      <w:r>
        <w:rPr>
          <w:rFonts w:hint="eastAsia" w:ascii="宋体" w:hAnsi="宋体" w:cs="宋体"/>
          <w:b/>
          <w:color w:val="auto"/>
          <w:sz w:val="36"/>
          <w:szCs w:val="36"/>
          <w:highlight w:val="none"/>
        </w:rPr>
        <w:t>投标人须知</w:t>
      </w:r>
      <w:bookmarkEnd w:id="45"/>
      <w:bookmarkEnd w:id="46"/>
      <w:bookmarkEnd w:id="47"/>
      <w:bookmarkEnd w:id="48"/>
    </w:p>
    <w:p w14:paraId="14F5EC94">
      <w:pPr>
        <w:widowControl/>
        <w:spacing w:line="520" w:lineRule="exact"/>
        <w:ind w:firstLine="480"/>
        <w:rPr>
          <w:rFonts w:eastAsia="Arial"/>
          <w:b/>
          <w:bCs/>
          <w:color w:val="auto"/>
          <w:sz w:val="24"/>
          <w:szCs w:val="20"/>
          <w:highlight w:val="none"/>
          <w:lang w:val="zh-CN"/>
        </w:rPr>
      </w:pPr>
      <w:bookmarkStart w:id="49" w:name="_Toc20823275"/>
      <w:bookmarkStart w:id="50" w:name="_Toc120614214"/>
      <w:bookmarkStart w:id="51" w:name="_Toc16938519"/>
      <w:bookmarkStart w:id="52" w:name="_Toc513029203"/>
      <w:bookmarkStart w:id="53" w:name="_Toc16938527"/>
      <w:bookmarkStart w:id="54" w:name="_Toc462564070"/>
      <w:bookmarkStart w:id="55" w:name="_Toc513029211"/>
      <w:bookmarkStart w:id="56" w:name="_Toc20823283"/>
      <w:r>
        <w:rPr>
          <w:rFonts w:hint="eastAsia" w:eastAsia="Arial"/>
          <w:b/>
          <w:bCs/>
          <w:color w:val="auto"/>
          <w:sz w:val="24"/>
          <w:szCs w:val="20"/>
          <w:highlight w:val="none"/>
          <w:lang w:val="zh-CN"/>
        </w:rPr>
        <w:t>一、总则</w:t>
      </w:r>
      <w:bookmarkEnd w:id="49"/>
      <w:bookmarkEnd w:id="50"/>
      <w:bookmarkEnd w:id="51"/>
      <w:bookmarkEnd w:id="52"/>
    </w:p>
    <w:p w14:paraId="2DC6B50F">
      <w:pPr>
        <w:widowControl/>
        <w:spacing w:line="520" w:lineRule="exact"/>
        <w:ind w:firstLine="480"/>
        <w:rPr>
          <w:rFonts w:eastAsia="Arial"/>
          <w:b/>
          <w:bCs/>
          <w:color w:val="auto"/>
          <w:sz w:val="24"/>
          <w:szCs w:val="20"/>
          <w:highlight w:val="none"/>
          <w:lang w:val="zh-CN"/>
        </w:rPr>
      </w:pPr>
      <w:bookmarkStart w:id="57" w:name="_Toc16938520"/>
      <w:bookmarkStart w:id="58" w:name="_Toc20823276"/>
      <w:bookmarkStart w:id="59" w:name="_Toc513029204"/>
      <w:bookmarkStart w:id="60" w:name="_Toc458694821"/>
      <w:r>
        <w:rPr>
          <w:rFonts w:hint="eastAsia" w:eastAsia="Arial"/>
          <w:b/>
          <w:bCs/>
          <w:color w:val="auto"/>
          <w:sz w:val="24"/>
          <w:szCs w:val="20"/>
          <w:highlight w:val="none"/>
          <w:lang w:val="zh-CN"/>
        </w:rPr>
        <w:t>1</w:t>
      </w:r>
      <w:bookmarkEnd w:id="57"/>
      <w:r>
        <w:rPr>
          <w:rFonts w:hint="eastAsia" w:eastAsia="Arial"/>
          <w:b/>
          <w:bCs/>
          <w:color w:val="auto"/>
          <w:sz w:val="24"/>
          <w:szCs w:val="20"/>
          <w:highlight w:val="none"/>
          <w:lang w:val="zh-CN"/>
        </w:rPr>
        <w:t>、招标方式</w:t>
      </w:r>
      <w:bookmarkEnd w:id="58"/>
      <w:bookmarkEnd w:id="59"/>
      <w:bookmarkEnd w:id="60"/>
    </w:p>
    <w:p w14:paraId="79EE9F2A">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1.1本次招标采取公开招标方式，本招标文件仅适用于招标公告中所述项目。</w:t>
      </w:r>
    </w:p>
    <w:p w14:paraId="693DAFD4">
      <w:pPr>
        <w:widowControl/>
        <w:spacing w:line="520" w:lineRule="exact"/>
        <w:ind w:firstLine="480"/>
        <w:rPr>
          <w:rFonts w:eastAsia="Arial"/>
          <w:b/>
          <w:bCs/>
          <w:color w:val="auto"/>
          <w:sz w:val="24"/>
          <w:szCs w:val="20"/>
          <w:highlight w:val="none"/>
          <w:lang w:val="zh-CN"/>
        </w:rPr>
      </w:pPr>
      <w:bookmarkStart w:id="61" w:name="_Toc513029205"/>
      <w:bookmarkStart w:id="62" w:name="_Toc20823277"/>
      <w:bookmarkStart w:id="63" w:name="_Toc16938521"/>
      <w:r>
        <w:rPr>
          <w:rFonts w:hint="eastAsia" w:eastAsia="Arial"/>
          <w:b/>
          <w:bCs/>
          <w:color w:val="auto"/>
          <w:sz w:val="24"/>
          <w:szCs w:val="20"/>
          <w:highlight w:val="none"/>
          <w:lang w:val="zh-CN"/>
        </w:rPr>
        <w:t>2、合格的投标人</w:t>
      </w:r>
      <w:bookmarkEnd w:id="61"/>
      <w:bookmarkEnd w:id="62"/>
      <w:bookmarkEnd w:id="63"/>
    </w:p>
    <w:p w14:paraId="1112B602">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2.1满足招标公告中供应商的资格要求的规定。</w:t>
      </w:r>
    </w:p>
    <w:p w14:paraId="4649B768">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2.2满足本文件实质性要求和条件的规定。</w:t>
      </w:r>
    </w:p>
    <w:p w14:paraId="35816212">
      <w:pPr>
        <w:widowControl/>
        <w:spacing w:line="520" w:lineRule="exact"/>
        <w:ind w:firstLine="480"/>
        <w:rPr>
          <w:rFonts w:eastAsia="Arial"/>
          <w:b/>
          <w:bCs/>
          <w:color w:val="auto"/>
          <w:sz w:val="24"/>
          <w:szCs w:val="20"/>
          <w:highlight w:val="none"/>
          <w:lang w:val="zh-CN"/>
        </w:rPr>
      </w:pPr>
      <w:bookmarkStart w:id="64" w:name="_Toc513029206"/>
      <w:bookmarkStart w:id="65" w:name="_Toc16938522"/>
      <w:bookmarkStart w:id="66" w:name="_Toc20823278"/>
      <w:r>
        <w:rPr>
          <w:rFonts w:hint="eastAsia" w:eastAsia="Arial"/>
          <w:b/>
          <w:bCs/>
          <w:color w:val="auto"/>
          <w:sz w:val="24"/>
          <w:szCs w:val="20"/>
          <w:highlight w:val="none"/>
          <w:lang w:val="zh-CN"/>
        </w:rPr>
        <w:t>3、适用法律</w:t>
      </w:r>
      <w:bookmarkEnd w:id="64"/>
      <w:bookmarkEnd w:id="65"/>
      <w:bookmarkEnd w:id="66"/>
    </w:p>
    <w:p w14:paraId="4D6DDD33">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3.1本次招标及由此产生的合同受中华人民共和国有关的法律法规制约和保护。</w:t>
      </w:r>
    </w:p>
    <w:p w14:paraId="09436F5C">
      <w:pPr>
        <w:widowControl/>
        <w:spacing w:line="520" w:lineRule="exact"/>
        <w:ind w:firstLine="480"/>
        <w:rPr>
          <w:rFonts w:eastAsia="Arial"/>
          <w:b/>
          <w:bCs/>
          <w:color w:val="auto"/>
          <w:sz w:val="24"/>
          <w:szCs w:val="20"/>
          <w:highlight w:val="none"/>
          <w:lang w:val="zh-CN"/>
        </w:rPr>
      </w:pPr>
      <w:bookmarkStart w:id="67" w:name="_Toc20823279"/>
      <w:bookmarkStart w:id="68" w:name="_Toc16938523"/>
      <w:bookmarkStart w:id="69" w:name="_Toc462564067"/>
      <w:bookmarkStart w:id="70" w:name="_Toc513029207"/>
      <w:r>
        <w:rPr>
          <w:rFonts w:hint="eastAsia" w:eastAsia="Arial"/>
          <w:b/>
          <w:bCs/>
          <w:color w:val="auto"/>
          <w:sz w:val="24"/>
          <w:szCs w:val="20"/>
          <w:highlight w:val="none"/>
          <w:lang w:val="zh-CN"/>
        </w:rPr>
        <w:t>4、投标费用</w:t>
      </w:r>
      <w:bookmarkEnd w:id="67"/>
      <w:bookmarkEnd w:id="68"/>
      <w:bookmarkEnd w:id="69"/>
      <w:bookmarkEnd w:id="70"/>
    </w:p>
    <w:p w14:paraId="4F31E080">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4.1投标人应自行承担所有与参加投标有关的费用，无论投标过程中的做法和结果如何，</w:t>
      </w:r>
      <w:r>
        <w:rPr>
          <w:rFonts w:hint="eastAsia"/>
          <w:color w:val="auto"/>
          <w:sz w:val="24"/>
          <w:szCs w:val="20"/>
          <w:highlight w:val="none"/>
          <w:lang w:val="en-US" w:eastAsia="zh-CN"/>
        </w:rPr>
        <w:t>采购代理</w:t>
      </w:r>
      <w:r>
        <w:rPr>
          <w:rFonts w:hint="eastAsia" w:eastAsia="Arial"/>
          <w:color w:val="auto"/>
          <w:sz w:val="24"/>
          <w:szCs w:val="20"/>
          <w:highlight w:val="none"/>
        </w:rPr>
        <w:t>在任何情况下均无义务和责任承担这些费用。</w:t>
      </w:r>
    </w:p>
    <w:p w14:paraId="46CD7F7C">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4.2本次招标</w:t>
      </w:r>
      <w:r>
        <w:rPr>
          <w:rFonts w:hint="eastAsia"/>
          <w:color w:val="auto"/>
          <w:sz w:val="24"/>
          <w:szCs w:val="20"/>
          <w:highlight w:val="none"/>
          <w:lang w:eastAsia="zh-CN"/>
        </w:rPr>
        <w:t>采购代理</w:t>
      </w:r>
      <w:r>
        <w:rPr>
          <w:rFonts w:hint="eastAsia" w:eastAsia="Arial"/>
          <w:color w:val="auto"/>
          <w:sz w:val="24"/>
          <w:szCs w:val="20"/>
          <w:highlight w:val="none"/>
        </w:rPr>
        <w:t>和采购人不收取标书工本费。</w:t>
      </w:r>
      <w:r>
        <w:rPr>
          <w:rFonts w:hint="eastAsia" w:ascii="宋体" w:hAnsi="宋体" w:cs="宋体"/>
          <w:b/>
          <w:bCs/>
          <w:color w:val="auto"/>
          <w:sz w:val="24"/>
          <w:szCs w:val="24"/>
          <w:highlight w:val="none"/>
        </w:rPr>
        <w:t>中标单位中标后需向代理公司缴纳代理服务费，代理服务费为苏招协[2022]002号文收费标准的45%；造价咨询服务费执行苏建价协[2022]7号文收费标准的45%（单个项目费用不低于3000元）。</w:t>
      </w:r>
      <w:r>
        <w:rPr>
          <w:rFonts w:hint="eastAsia" w:ascii="宋体" w:hAnsi="宋体" w:eastAsia="宋体" w:cs="宋体"/>
          <w:b/>
          <w:bCs/>
          <w:color w:val="auto"/>
          <w:sz w:val="24"/>
          <w:szCs w:val="24"/>
          <w:highlight w:val="none"/>
        </w:rPr>
        <w:t>向采购代理机构</w:t>
      </w:r>
      <w:r>
        <w:rPr>
          <w:rFonts w:hint="eastAsia" w:ascii="宋体" w:hAnsi="宋体" w:cs="宋体"/>
          <w:b/>
          <w:bCs/>
          <w:color w:val="auto"/>
          <w:sz w:val="24"/>
          <w:szCs w:val="24"/>
          <w:highlight w:val="none"/>
          <w:lang w:val="en-US" w:eastAsia="zh-CN"/>
        </w:rPr>
        <w:t>支付</w:t>
      </w:r>
      <w:r>
        <w:rPr>
          <w:rFonts w:hint="eastAsia" w:ascii="宋体" w:hAnsi="宋体" w:eastAsia="宋体" w:cs="宋体"/>
          <w:b/>
          <w:bCs/>
          <w:color w:val="auto"/>
          <w:sz w:val="24"/>
          <w:szCs w:val="24"/>
          <w:highlight w:val="none"/>
        </w:rPr>
        <w:t>招标代理服务费</w:t>
      </w:r>
      <w:r>
        <w:rPr>
          <w:rFonts w:hint="eastAsia" w:ascii="宋体" w:hAnsi="宋体" w:cs="宋体"/>
          <w:b/>
          <w:bCs/>
          <w:color w:val="auto"/>
          <w:sz w:val="24"/>
          <w:szCs w:val="24"/>
          <w:highlight w:val="none"/>
          <w:lang w:val="en-US" w:eastAsia="zh-CN"/>
        </w:rPr>
        <w:t>。</w:t>
      </w:r>
    </w:p>
    <w:p w14:paraId="053E38CB">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5、招标文件的约束力</w:t>
      </w:r>
    </w:p>
    <w:p w14:paraId="0844EAD7">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5.1投标人一旦参加本项目采购活动，即被认为接受了本招标文件的规定和约束。</w:t>
      </w:r>
    </w:p>
    <w:p w14:paraId="3A2A64FB">
      <w:pPr>
        <w:widowControl/>
        <w:spacing w:line="520" w:lineRule="exact"/>
        <w:ind w:firstLine="480"/>
        <w:rPr>
          <w:rFonts w:eastAsia="Arial"/>
          <w:b/>
          <w:bCs/>
          <w:color w:val="auto"/>
          <w:sz w:val="24"/>
          <w:szCs w:val="20"/>
          <w:highlight w:val="none"/>
          <w:lang w:val="zh-CN"/>
        </w:rPr>
      </w:pPr>
      <w:bookmarkStart w:id="71" w:name="_Toc120614215"/>
      <w:bookmarkStart w:id="72" w:name="_Toc16938525"/>
      <w:bookmarkStart w:id="73" w:name="_Toc20823281"/>
      <w:r>
        <w:rPr>
          <w:rFonts w:hint="eastAsia" w:eastAsia="Arial"/>
          <w:b/>
          <w:bCs/>
          <w:color w:val="auto"/>
          <w:sz w:val="24"/>
          <w:szCs w:val="20"/>
          <w:highlight w:val="none"/>
          <w:lang w:val="zh-CN"/>
        </w:rPr>
        <w:t>二、招标文件</w:t>
      </w:r>
      <w:bookmarkEnd w:id="71"/>
      <w:bookmarkEnd w:id="72"/>
      <w:bookmarkEnd w:id="73"/>
    </w:p>
    <w:p w14:paraId="193FC88D">
      <w:pPr>
        <w:widowControl/>
        <w:spacing w:line="520" w:lineRule="exact"/>
        <w:ind w:firstLine="480"/>
        <w:rPr>
          <w:rFonts w:eastAsia="Arial"/>
          <w:b/>
          <w:bCs/>
          <w:color w:val="auto"/>
          <w:sz w:val="24"/>
          <w:szCs w:val="20"/>
          <w:highlight w:val="none"/>
          <w:lang w:val="zh-CN"/>
        </w:rPr>
      </w:pPr>
      <w:bookmarkStart w:id="74" w:name="_Toc20823282"/>
      <w:bookmarkStart w:id="75" w:name="_Toc513029210"/>
      <w:bookmarkStart w:id="76" w:name="_Toc16938526"/>
      <w:r>
        <w:rPr>
          <w:rFonts w:hint="eastAsia" w:eastAsia="Arial"/>
          <w:b/>
          <w:bCs/>
          <w:color w:val="auto"/>
          <w:sz w:val="24"/>
          <w:szCs w:val="20"/>
          <w:highlight w:val="none"/>
          <w:lang w:val="zh-CN"/>
        </w:rPr>
        <w:t>6、招标文件构成</w:t>
      </w:r>
      <w:bookmarkEnd w:id="74"/>
      <w:bookmarkEnd w:id="75"/>
      <w:bookmarkEnd w:id="76"/>
    </w:p>
    <w:p w14:paraId="65F85CBB">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6.1 招标文件由以下部分组成：</w:t>
      </w:r>
    </w:p>
    <w:p w14:paraId="35EE8302">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（1）招标公告</w:t>
      </w:r>
    </w:p>
    <w:p w14:paraId="5AC3DAE9">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（2）投标人须知</w:t>
      </w:r>
    </w:p>
    <w:p w14:paraId="0D51A388">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（3）合同文本</w:t>
      </w:r>
    </w:p>
    <w:p w14:paraId="37133AD9">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（4）采购需求</w:t>
      </w:r>
    </w:p>
    <w:p w14:paraId="16890C5A">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（5）评标方法与评标标准</w:t>
      </w:r>
    </w:p>
    <w:p w14:paraId="4EEBCC77">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（6）投标文件格式</w:t>
      </w:r>
    </w:p>
    <w:p w14:paraId="15B8C66A">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请仔细检查招标文件是否齐全，如有缺漏请立即与</w:t>
      </w:r>
      <w:r>
        <w:rPr>
          <w:rFonts w:hint="eastAsia"/>
          <w:color w:val="auto"/>
          <w:sz w:val="24"/>
          <w:szCs w:val="20"/>
          <w:highlight w:val="none"/>
          <w:lang w:eastAsia="zh-CN"/>
        </w:rPr>
        <w:t>采购代理</w:t>
      </w:r>
      <w:r>
        <w:rPr>
          <w:rFonts w:hint="eastAsia" w:eastAsia="Arial"/>
          <w:color w:val="auto"/>
          <w:sz w:val="24"/>
          <w:szCs w:val="20"/>
          <w:highlight w:val="none"/>
        </w:rPr>
        <w:t>联系解决。</w:t>
      </w:r>
    </w:p>
    <w:p w14:paraId="180AE9C2">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424D973">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7、招标文件的澄清</w:t>
      </w:r>
    </w:p>
    <w:p w14:paraId="66240280">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7.1任何要求对招标文件进行澄清的投标人，应在投标截止期</w:t>
      </w:r>
      <w:r>
        <w:rPr>
          <w:rFonts w:hint="eastAsia" w:eastAsia="Arial"/>
          <w:b/>
          <w:bCs/>
          <w:color w:val="auto"/>
          <w:sz w:val="24"/>
          <w:szCs w:val="20"/>
          <w:highlight w:val="none"/>
        </w:rPr>
        <w:t>十日</w:t>
      </w:r>
      <w:r>
        <w:rPr>
          <w:rFonts w:hint="eastAsia" w:eastAsia="Arial"/>
          <w:color w:val="auto"/>
          <w:sz w:val="24"/>
          <w:szCs w:val="20"/>
          <w:highlight w:val="none"/>
        </w:rPr>
        <w:t>前按招标公告中的通讯地址，以书面形式通知</w:t>
      </w:r>
      <w:r>
        <w:rPr>
          <w:rFonts w:hint="eastAsia"/>
          <w:color w:val="auto"/>
          <w:sz w:val="24"/>
          <w:szCs w:val="20"/>
          <w:highlight w:val="none"/>
          <w:lang w:eastAsia="zh-CN"/>
        </w:rPr>
        <w:t>采购代理</w:t>
      </w:r>
      <w:r>
        <w:rPr>
          <w:rFonts w:hint="eastAsia" w:eastAsia="Arial"/>
          <w:color w:val="auto"/>
          <w:sz w:val="24"/>
          <w:szCs w:val="20"/>
          <w:highlight w:val="none"/>
        </w:rPr>
        <w:t>。</w:t>
      </w:r>
    </w:p>
    <w:p w14:paraId="44411A86">
      <w:pPr>
        <w:widowControl/>
        <w:spacing w:line="520" w:lineRule="exact"/>
        <w:ind w:firstLine="480"/>
        <w:rPr>
          <w:rFonts w:eastAsia="Arial"/>
          <w:b/>
          <w:bCs/>
          <w:color w:val="auto"/>
          <w:sz w:val="24"/>
          <w:szCs w:val="20"/>
          <w:highlight w:val="none"/>
          <w:lang w:val="zh-CN"/>
        </w:rPr>
      </w:pPr>
      <w:bookmarkStart w:id="77" w:name="_Toc20823284"/>
      <w:bookmarkStart w:id="78" w:name="_Toc16938528"/>
      <w:bookmarkStart w:id="79" w:name="_Toc513029212"/>
      <w:bookmarkStart w:id="80" w:name="_Toc462564071"/>
      <w:r>
        <w:rPr>
          <w:rFonts w:hint="eastAsia" w:eastAsia="Arial"/>
          <w:b/>
          <w:bCs/>
          <w:color w:val="auto"/>
          <w:sz w:val="24"/>
          <w:szCs w:val="20"/>
          <w:highlight w:val="none"/>
          <w:lang w:val="zh-CN"/>
        </w:rPr>
        <w:t>8、招标文件的修改</w:t>
      </w:r>
      <w:bookmarkEnd w:id="77"/>
      <w:bookmarkEnd w:id="78"/>
      <w:bookmarkEnd w:id="79"/>
      <w:bookmarkEnd w:id="80"/>
    </w:p>
    <w:p w14:paraId="6AA0E2C3">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8.1在投标截止时间前，</w:t>
      </w:r>
      <w:r>
        <w:rPr>
          <w:rFonts w:hint="eastAsia"/>
          <w:color w:val="auto"/>
          <w:sz w:val="24"/>
          <w:szCs w:val="20"/>
          <w:highlight w:val="none"/>
          <w:lang w:eastAsia="zh-CN"/>
        </w:rPr>
        <w:t>采购代理</w:t>
      </w:r>
      <w:r>
        <w:rPr>
          <w:rFonts w:hint="eastAsia" w:eastAsia="Arial"/>
          <w:color w:val="auto"/>
          <w:sz w:val="24"/>
          <w:szCs w:val="20"/>
          <w:highlight w:val="none"/>
        </w:rPr>
        <w:t>可以对招标文件进行修改。</w:t>
      </w:r>
    </w:p>
    <w:p w14:paraId="7AD7529A">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8.2</w:t>
      </w:r>
      <w:r>
        <w:rPr>
          <w:rFonts w:hint="eastAsia"/>
          <w:color w:val="auto"/>
          <w:sz w:val="24"/>
          <w:szCs w:val="20"/>
          <w:highlight w:val="none"/>
          <w:lang w:eastAsia="zh-CN"/>
        </w:rPr>
        <w:t>采购代理</w:t>
      </w:r>
      <w:r>
        <w:rPr>
          <w:rFonts w:hint="eastAsia" w:eastAsia="Arial"/>
          <w:color w:val="auto"/>
          <w:sz w:val="24"/>
          <w:szCs w:val="20"/>
          <w:highlight w:val="none"/>
        </w:rPr>
        <w:t>有权按照法定的要求推迟投标截止日期和开标日期。</w:t>
      </w:r>
    </w:p>
    <w:p w14:paraId="0589801E">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8.3招标文件的修改将在</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rPr>
        <w:t>公布，补充文件将作为招标文件的组成部分，并对投标人具有约束力。</w:t>
      </w:r>
    </w:p>
    <w:p w14:paraId="61F295AA">
      <w:pPr>
        <w:widowControl/>
        <w:spacing w:line="520" w:lineRule="exact"/>
        <w:ind w:firstLine="480"/>
        <w:rPr>
          <w:rFonts w:eastAsia="Arial"/>
          <w:b/>
          <w:bCs/>
          <w:color w:val="auto"/>
          <w:sz w:val="24"/>
          <w:szCs w:val="20"/>
          <w:highlight w:val="none"/>
          <w:lang w:val="zh-CN"/>
        </w:rPr>
      </w:pPr>
      <w:bookmarkStart w:id="81" w:name="_Toc120614216"/>
      <w:bookmarkStart w:id="82" w:name="_Toc16938529"/>
      <w:bookmarkStart w:id="83" w:name="_Toc20823285"/>
      <w:bookmarkStart w:id="84" w:name="_Toc462564072"/>
      <w:bookmarkStart w:id="85" w:name="_Toc513029213"/>
      <w:r>
        <w:rPr>
          <w:rFonts w:hint="eastAsia" w:eastAsia="Arial"/>
          <w:b/>
          <w:bCs/>
          <w:color w:val="auto"/>
          <w:sz w:val="24"/>
          <w:szCs w:val="20"/>
          <w:highlight w:val="none"/>
          <w:lang w:val="zh-CN"/>
        </w:rPr>
        <w:t>三、投标文件的编制</w:t>
      </w:r>
      <w:bookmarkEnd w:id="81"/>
      <w:bookmarkEnd w:id="82"/>
      <w:bookmarkEnd w:id="83"/>
      <w:bookmarkEnd w:id="84"/>
      <w:bookmarkEnd w:id="85"/>
    </w:p>
    <w:p w14:paraId="2D4064B4">
      <w:pPr>
        <w:widowControl/>
        <w:spacing w:line="520" w:lineRule="exact"/>
        <w:ind w:firstLine="480"/>
        <w:rPr>
          <w:rFonts w:eastAsia="Arial"/>
          <w:b/>
          <w:bCs/>
          <w:color w:val="auto"/>
          <w:sz w:val="24"/>
          <w:szCs w:val="20"/>
          <w:highlight w:val="none"/>
          <w:lang w:val="zh-CN"/>
        </w:rPr>
      </w:pPr>
      <w:bookmarkStart w:id="86" w:name="_Toc16938530"/>
      <w:bookmarkStart w:id="87" w:name="_Toc462564073"/>
      <w:bookmarkStart w:id="88" w:name="_Toc513029214"/>
      <w:bookmarkStart w:id="89" w:name="_Toc20823286"/>
      <w:r>
        <w:rPr>
          <w:rFonts w:hint="eastAsia" w:eastAsia="Arial"/>
          <w:b/>
          <w:bCs/>
          <w:color w:val="auto"/>
          <w:sz w:val="24"/>
          <w:szCs w:val="20"/>
          <w:highlight w:val="none"/>
          <w:lang w:val="zh-CN"/>
        </w:rPr>
        <w:t>9、投标文件的语言及度量衡单位</w:t>
      </w:r>
      <w:bookmarkEnd w:id="86"/>
      <w:bookmarkEnd w:id="87"/>
      <w:bookmarkEnd w:id="88"/>
      <w:bookmarkEnd w:id="89"/>
    </w:p>
    <w:p w14:paraId="3075995C">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9.1投标人提交的投标文件以及投标人与</w:t>
      </w:r>
      <w:r>
        <w:rPr>
          <w:rFonts w:hint="eastAsia"/>
          <w:color w:val="auto"/>
          <w:sz w:val="24"/>
          <w:szCs w:val="20"/>
          <w:highlight w:val="none"/>
          <w:lang w:eastAsia="zh-CN"/>
        </w:rPr>
        <w:t>采购代理</w:t>
      </w:r>
      <w:r>
        <w:rPr>
          <w:rFonts w:hint="eastAsia" w:eastAsia="Arial"/>
          <w:color w:val="auto"/>
          <w:sz w:val="24"/>
          <w:szCs w:val="20"/>
          <w:highlight w:val="none"/>
        </w:rPr>
        <w:t>就有关投标的所有来往通知、函件和文件均应使用</w:t>
      </w:r>
      <w:r>
        <w:rPr>
          <w:rFonts w:hint="eastAsia" w:eastAsia="Arial"/>
          <w:b/>
          <w:bCs/>
          <w:color w:val="auto"/>
          <w:sz w:val="24"/>
          <w:szCs w:val="20"/>
          <w:highlight w:val="none"/>
        </w:rPr>
        <w:t>简体中文</w:t>
      </w:r>
      <w:r>
        <w:rPr>
          <w:rFonts w:hint="eastAsia" w:eastAsia="Arial"/>
          <w:color w:val="auto"/>
          <w:sz w:val="24"/>
          <w:szCs w:val="20"/>
          <w:highlight w:val="none"/>
        </w:rPr>
        <w:t>。</w:t>
      </w:r>
    </w:p>
    <w:p w14:paraId="5D7A919E">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9.2除技术性能另有规定外，投标文件所使用的度量衡单位，均须采用国家法定计量单位。</w:t>
      </w:r>
    </w:p>
    <w:p w14:paraId="259A58F1">
      <w:pPr>
        <w:widowControl/>
        <w:spacing w:line="520" w:lineRule="exact"/>
        <w:ind w:firstLine="480"/>
        <w:rPr>
          <w:rFonts w:eastAsia="Arial"/>
          <w:b/>
          <w:bCs/>
          <w:color w:val="auto"/>
          <w:sz w:val="24"/>
          <w:szCs w:val="20"/>
          <w:highlight w:val="none"/>
          <w:lang w:val="zh-CN"/>
        </w:rPr>
      </w:pPr>
      <w:bookmarkStart w:id="90" w:name="_Toc20823287"/>
      <w:bookmarkStart w:id="91" w:name="_Toc16938531"/>
      <w:bookmarkStart w:id="92" w:name="_Toc462564074"/>
      <w:bookmarkStart w:id="93" w:name="_Toc513029215"/>
      <w:r>
        <w:rPr>
          <w:rFonts w:hint="eastAsia" w:eastAsia="Arial"/>
          <w:b/>
          <w:bCs/>
          <w:color w:val="auto"/>
          <w:sz w:val="24"/>
          <w:szCs w:val="20"/>
          <w:highlight w:val="none"/>
          <w:lang w:val="zh-CN"/>
        </w:rPr>
        <w:t>10、投标文件构成</w:t>
      </w:r>
      <w:bookmarkEnd w:id="90"/>
      <w:bookmarkEnd w:id="91"/>
      <w:bookmarkEnd w:id="92"/>
      <w:bookmarkEnd w:id="93"/>
    </w:p>
    <w:p w14:paraId="6CAACE35">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10.1投标人编写的投标文件应包括资格证明文件、符合性证明文件、投标分项报价表、技术要求响应及偏离表、商务要求响应及偏离表、其他证明文件、投标函、开标一览表等部分。</w:t>
      </w:r>
    </w:p>
    <w:p w14:paraId="345F8671">
      <w:pPr>
        <w:widowControl/>
        <w:spacing w:line="520" w:lineRule="exact"/>
        <w:ind w:firstLine="480"/>
        <w:rPr>
          <w:rFonts w:eastAsia="Arial"/>
          <w:color w:val="auto"/>
          <w:sz w:val="24"/>
          <w:szCs w:val="20"/>
          <w:highlight w:val="none"/>
        </w:rPr>
      </w:pPr>
      <w:bookmarkStart w:id="94" w:name="_Toc49090507"/>
      <w:bookmarkStart w:id="95" w:name="_Toc14577354"/>
      <w:bookmarkStart w:id="96" w:name="_Toc513029216"/>
      <w:bookmarkStart w:id="97" w:name="_Toc49090509"/>
      <w:bookmarkStart w:id="98" w:name="_Toc14577357"/>
      <w:bookmarkStart w:id="99" w:name="_Toc513029219"/>
      <w:r>
        <w:rPr>
          <w:rFonts w:hint="eastAsia" w:eastAsia="Arial"/>
          <w:color w:val="auto"/>
          <w:sz w:val="24"/>
          <w:szCs w:val="20"/>
          <w:highlight w:val="none"/>
        </w:rPr>
        <w:t>10.2如标书制作工具中格式和内容与</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rPr>
        <w:t>发布的招标文件不一致，请以</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rPr>
        <w:t>发布的招标文件为准。</w:t>
      </w:r>
    </w:p>
    <w:p w14:paraId="292A30E5">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11、证明投标人及投标标的符合招标文件规定的文件</w:t>
      </w:r>
      <w:bookmarkEnd w:id="94"/>
      <w:bookmarkEnd w:id="95"/>
      <w:bookmarkEnd w:id="96"/>
      <w:bookmarkEnd w:id="97"/>
      <w:bookmarkEnd w:id="98"/>
      <w:bookmarkEnd w:id="99"/>
    </w:p>
    <w:p w14:paraId="7A1C6BD9">
      <w:pPr>
        <w:widowControl/>
        <w:spacing w:line="520" w:lineRule="exact"/>
        <w:ind w:firstLine="480"/>
        <w:rPr>
          <w:rFonts w:eastAsia="Arial"/>
          <w:color w:val="auto"/>
          <w:sz w:val="24"/>
          <w:szCs w:val="20"/>
          <w:highlight w:val="none"/>
        </w:rPr>
      </w:pPr>
      <w:bookmarkStart w:id="100" w:name="_Toc49090508"/>
      <w:bookmarkStart w:id="101" w:name="_Toc14577355"/>
      <w:r>
        <w:rPr>
          <w:rFonts w:hint="eastAsia" w:eastAsia="Arial"/>
          <w:color w:val="auto"/>
          <w:sz w:val="24"/>
          <w:szCs w:val="20"/>
          <w:highlight w:val="none"/>
        </w:rPr>
        <w:t>11.1投标人应按照法律、法规、规章和规范性文件以及招标文件要求提交证明文件，证明其及投标标的符合招标文件规定。</w:t>
      </w:r>
      <w:bookmarkEnd w:id="100"/>
      <w:bookmarkEnd w:id="101"/>
    </w:p>
    <w:p w14:paraId="2B663F56">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11.2招标文件对证明文件无明确形式要求的，证明文件可以以文字资料、图纸和数据等形式提交。</w:t>
      </w:r>
    </w:p>
    <w:p w14:paraId="178E6C9D">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12、投标分项报价表</w:t>
      </w:r>
    </w:p>
    <w:p w14:paraId="13766F71">
      <w:pPr>
        <w:pStyle w:val="20"/>
        <w:spacing w:beforeAutospacing="0" w:afterAutospacing="0" w:line="360" w:lineRule="auto"/>
        <w:ind w:firstLine="480" w:firstLineChars="200"/>
        <w:jc w:val="both"/>
        <w:rPr>
          <w:rFonts w:hint="eastAsia" w:ascii="宋体" w:hAnsi="宋体" w:eastAsia="宋体" w:cs="Times New Roman"/>
          <w:b/>
          <w:bCs/>
          <w:i w:val="0"/>
          <w:iCs w:val="0"/>
          <w:color w:val="auto"/>
          <w:sz w:val="24"/>
          <w:szCs w:val="20"/>
          <w:highlight w:val="none"/>
          <w:u w:val="single"/>
          <w:lang w:eastAsia="zh-CN"/>
        </w:rPr>
      </w:pPr>
      <w:r>
        <w:rPr>
          <w:rFonts w:hint="eastAsia" w:cs="宋体"/>
          <w:color w:val="auto"/>
          <w:highlight w:val="none"/>
        </w:rPr>
        <w:t>12.1投标人应按照招标文件规定格式填报投标分项报价表。</w:t>
      </w:r>
    </w:p>
    <w:p w14:paraId="7C562471">
      <w:pPr>
        <w:widowControl/>
        <w:spacing w:line="520" w:lineRule="exact"/>
        <w:ind w:firstLine="480"/>
        <w:rPr>
          <w:rFonts w:eastAsia="Arial"/>
          <w:color w:val="auto"/>
          <w:sz w:val="24"/>
          <w:szCs w:val="20"/>
          <w:highlight w:val="none"/>
          <w:lang w:val="zh-CN"/>
        </w:rPr>
      </w:pPr>
      <w:r>
        <w:rPr>
          <w:rFonts w:hint="eastAsia"/>
          <w:color w:val="auto"/>
          <w:sz w:val="24"/>
          <w:highlight w:val="none"/>
        </w:rPr>
        <w:t>12.2投标货币。投标文件中的单价和总价无特殊规定的采用人民币报价，以元为单位标注。招标文件中另有规定的按规定执行。</w:t>
      </w:r>
    </w:p>
    <w:p w14:paraId="25F7F585">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13、技术要求响应及偏离表、商务要求响应及偏离表</w:t>
      </w:r>
    </w:p>
    <w:p w14:paraId="78169D0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13.1投标人需对招标文件中的技术要求与商务要求逐项作出响应或偏离，并说明原因。</w:t>
      </w:r>
    </w:p>
    <w:p w14:paraId="681377F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13.2投标人可在投标文件中提供认为需要的其他技术文件或说明。</w:t>
      </w:r>
    </w:p>
    <w:p w14:paraId="3C16B6FB">
      <w:pPr>
        <w:widowControl/>
        <w:spacing w:line="520" w:lineRule="exact"/>
        <w:ind w:firstLine="480"/>
        <w:rPr>
          <w:rFonts w:eastAsia="Arial"/>
          <w:b/>
          <w:bCs/>
          <w:color w:val="auto"/>
          <w:sz w:val="24"/>
          <w:szCs w:val="20"/>
          <w:highlight w:val="none"/>
          <w:lang w:val="zh-CN"/>
        </w:rPr>
      </w:pPr>
      <w:bookmarkStart w:id="102" w:name="_Toc14577359"/>
      <w:bookmarkStart w:id="103" w:name="_Toc49090510"/>
      <w:r>
        <w:rPr>
          <w:rFonts w:hint="eastAsia" w:eastAsia="Arial"/>
          <w:b/>
          <w:bCs/>
          <w:color w:val="auto"/>
          <w:sz w:val="24"/>
          <w:szCs w:val="20"/>
          <w:highlight w:val="none"/>
          <w:lang w:val="zh-CN"/>
        </w:rPr>
        <w:t>14、投标函和开标一览表</w:t>
      </w:r>
      <w:bookmarkEnd w:id="102"/>
      <w:bookmarkEnd w:id="103"/>
    </w:p>
    <w:p w14:paraId="2A1130E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14.1投标人应按照招标文件中提供的格式完整、正确填写投标函、开标一览表。</w:t>
      </w:r>
    </w:p>
    <w:p w14:paraId="2D6C615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14.2对于采用货币报价的项目，开标一览表中的投标总报价应与投标分项报价表中的投标总报价一致，如不一致，不作为无效投标处理，但评标时按开标一览表中价格为准。</w:t>
      </w:r>
    </w:p>
    <w:p w14:paraId="64CE26DD">
      <w:pPr>
        <w:widowControl/>
        <w:spacing w:line="520" w:lineRule="exact"/>
        <w:ind w:firstLine="480"/>
        <w:rPr>
          <w:rFonts w:eastAsia="Arial"/>
          <w:b/>
          <w:bCs/>
          <w:color w:val="auto"/>
          <w:sz w:val="24"/>
          <w:szCs w:val="20"/>
          <w:highlight w:val="none"/>
          <w:lang w:val="zh-CN"/>
        </w:rPr>
      </w:pPr>
      <w:bookmarkStart w:id="104" w:name="_Toc14577360"/>
      <w:bookmarkStart w:id="105" w:name="_Toc49090511"/>
      <w:r>
        <w:rPr>
          <w:rFonts w:hint="eastAsia" w:eastAsia="Arial"/>
          <w:b/>
          <w:bCs/>
          <w:color w:val="auto"/>
          <w:sz w:val="24"/>
          <w:szCs w:val="20"/>
          <w:highlight w:val="none"/>
          <w:lang w:val="zh-CN"/>
        </w:rPr>
        <w:t>15、投标有效期</w:t>
      </w:r>
      <w:bookmarkEnd w:id="104"/>
      <w:bookmarkEnd w:id="105"/>
    </w:p>
    <w:p w14:paraId="636D0C1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15.1投标有效期为采购代理规定的开标之日后</w:t>
      </w:r>
      <w:r>
        <w:rPr>
          <w:rFonts w:hint="eastAsia"/>
          <w:b/>
          <w:bCs/>
          <w:color w:val="auto"/>
          <w:sz w:val="24"/>
          <w:szCs w:val="24"/>
          <w:highlight w:val="none"/>
          <w:u w:val="single"/>
        </w:rPr>
        <w:t>六十（60）天</w:t>
      </w:r>
      <w:r>
        <w:rPr>
          <w:rFonts w:hint="eastAsia"/>
          <w:color w:val="auto"/>
          <w:sz w:val="24"/>
          <w:szCs w:val="24"/>
          <w:highlight w:val="none"/>
        </w:rPr>
        <w:t>。投标有效期比规定</w:t>
      </w:r>
      <w:r>
        <w:rPr>
          <w:rFonts w:hint="eastAsia" w:eastAsia="Arial"/>
          <w:color w:val="auto"/>
          <w:sz w:val="24"/>
          <w:szCs w:val="20"/>
          <w:highlight w:val="none"/>
          <w:lang w:val="zh-CN"/>
        </w:rPr>
        <w:t>短的将被视为未实质性响应招标文件而予以拒绝。</w:t>
      </w:r>
    </w:p>
    <w:p w14:paraId="3E72671F">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16、投标有效期的延长</w:t>
      </w:r>
    </w:p>
    <w:p w14:paraId="317CA2B8">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w:t>
      </w:r>
    </w:p>
    <w:p w14:paraId="026A7C6A">
      <w:pPr>
        <w:widowControl/>
        <w:spacing w:line="520" w:lineRule="exact"/>
        <w:ind w:firstLine="480"/>
        <w:rPr>
          <w:rFonts w:eastAsia="Arial"/>
          <w:b/>
          <w:bCs/>
          <w:color w:val="auto"/>
          <w:sz w:val="24"/>
          <w:szCs w:val="20"/>
          <w:highlight w:val="none"/>
          <w:lang w:val="zh-CN"/>
        </w:rPr>
      </w:pPr>
      <w:bookmarkStart w:id="106" w:name="_Toc16938540"/>
      <w:bookmarkStart w:id="107" w:name="_Toc513029224"/>
      <w:bookmarkStart w:id="108" w:name="_Toc20823296"/>
      <w:bookmarkStart w:id="109" w:name="_Toc120614217"/>
      <w:r>
        <w:rPr>
          <w:rFonts w:hint="eastAsia" w:eastAsia="Arial"/>
          <w:b/>
          <w:bCs/>
          <w:color w:val="auto"/>
          <w:sz w:val="24"/>
          <w:szCs w:val="20"/>
          <w:highlight w:val="none"/>
          <w:lang w:val="zh-CN"/>
        </w:rPr>
        <w:t>四、投标文件的递交</w:t>
      </w:r>
      <w:bookmarkEnd w:id="106"/>
      <w:bookmarkEnd w:id="107"/>
      <w:bookmarkEnd w:id="108"/>
      <w:bookmarkEnd w:id="109"/>
    </w:p>
    <w:p w14:paraId="29EE7A8D">
      <w:pPr>
        <w:widowControl/>
        <w:spacing w:line="520" w:lineRule="exact"/>
        <w:ind w:firstLine="480"/>
        <w:rPr>
          <w:rFonts w:eastAsia="Arial"/>
          <w:b/>
          <w:bCs/>
          <w:color w:val="auto"/>
          <w:sz w:val="24"/>
          <w:szCs w:val="20"/>
          <w:highlight w:val="none"/>
          <w:lang w:val="zh-CN"/>
        </w:rPr>
      </w:pPr>
      <w:bookmarkStart w:id="110" w:name="_Toc513029225"/>
      <w:bookmarkStart w:id="111" w:name="_Toc20823297"/>
      <w:bookmarkStart w:id="112" w:name="_Toc16938541"/>
      <w:bookmarkStart w:id="113" w:name="_Toc462564084"/>
      <w:r>
        <w:rPr>
          <w:rFonts w:hint="eastAsia" w:eastAsia="Arial"/>
          <w:b/>
          <w:bCs/>
          <w:color w:val="auto"/>
          <w:sz w:val="24"/>
          <w:szCs w:val="20"/>
          <w:highlight w:val="none"/>
          <w:lang w:val="zh-CN"/>
        </w:rPr>
        <w:t>17、投标文件</w:t>
      </w:r>
      <w:bookmarkEnd w:id="110"/>
      <w:bookmarkEnd w:id="111"/>
      <w:bookmarkEnd w:id="112"/>
      <w:bookmarkEnd w:id="113"/>
      <w:r>
        <w:rPr>
          <w:rFonts w:hint="eastAsia" w:eastAsia="Arial"/>
          <w:b/>
          <w:bCs/>
          <w:color w:val="auto"/>
          <w:sz w:val="24"/>
          <w:szCs w:val="20"/>
          <w:highlight w:val="none"/>
          <w:lang w:val="zh-CN"/>
        </w:rPr>
        <w:t>的递交</w:t>
      </w:r>
    </w:p>
    <w:p w14:paraId="07F176B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17.1 电子投标文件的递交</w:t>
      </w:r>
    </w:p>
    <w:p w14:paraId="463669EE">
      <w:pPr>
        <w:widowControl/>
        <w:spacing w:line="520" w:lineRule="exact"/>
        <w:ind w:firstLine="480"/>
        <w:rPr>
          <w:color w:val="auto"/>
          <w:sz w:val="24"/>
          <w:szCs w:val="20"/>
          <w:highlight w:val="none"/>
        </w:rPr>
      </w:pPr>
      <w:r>
        <w:rPr>
          <w:rFonts w:hint="eastAsia" w:eastAsia="Arial"/>
          <w:color w:val="auto"/>
          <w:sz w:val="24"/>
          <w:szCs w:val="20"/>
          <w:highlight w:val="none"/>
          <w:lang w:val="zh-CN"/>
        </w:rPr>
        <w:t>投标人应当按照《操作手册》规定，在投标截止时间前制作并上传电子投标</w:t>
      </w:r>
      <w:bookmarkStart w:id="114" w:name="_Toc20823298"/>
      <w:bookmarkEnd w:id="114"/>
      <w:bookmarkStart w:id="115" w:name="_Toc16938542"/>
      <w:bookmarkEnd w:id="115"/>
      <w:r>
        <w:rPr>
          <w:rFonts w:hint="eastAsia"/>
          <w:color w:val="auto"/>
          <w:sz w:val="24"/>
          <w:szCs w:val="20"/>
          <w:highlight w:val="none"/>
        </w:rPr>
        <w:t>文件。</w:t>
      </w:r>
    </w:p>
    <w:p w14:paraId="35DBC356">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18、投标截止时间</w:t>
      </w:r>
    </w:p>
    <w:p w14:paraId="393978C7">
      <w:pPr>
        <w:widowControl/>
        <w:spacing w:line="520" w:lineRule="exact"/>
        <w:ind w:firstLine="480"/>
        <w:rPr>
          <w:rFonts w:eastAsia="Arial"/>
          <w:color w:val="auto"/>
          <w:sz w:val="24"/>
          <w:szCs w:val="20"/>
          <w:highlight w:val="none"/>
          <w:lang w:val="zh-CN"/>
        </w:rPr>
      </w:pPr>
      <w:r>
        <w:rPr>
          <w:rFonts w:hint="eastAsia" w:eastAsia="Arial"/>
          <w:i/>
          <w:iCs/>
          <w:color w:val="auto"/>
          <w:sz w:val="24"/>
          <w:szCs w:val="20"/>
          <w:highlight w:val="none"/>
          <w:u w:val="single"/>
          <w:lang w:val="zh-CN"/>
        </w:rPr>
        <w:t>18.1投标人上传电子投标文件的时间不得迟于招标公告中规定的投标截止时间。</w:t>
      </w:r>
    </w:p>
    <w:p w14:paraId="4BE505E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投标人应充分考虑到网络环境、网络带宽等风险因素，如因投标人自身原因造成的电子投标文件上传不成功的按照本招标文件第二章第26.1.2条规定做无效投标处理。</w:t>
      </w:r>
    </w:p>
    <w:p w14:paraId="6376AE75">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18.2采购代理可以按照规定，通过修改招标文件酌情延长投标截止时间，在此情况下，投标人的所有权利和义务以及投标人受制的截止时间均应以延长后新的截止时间为准。</w:t>
      </w:r>
    </w:p>
    <w:p w14:paraId="71838233">
      <w:pPr>
        <w:widowControl/>
        <w:spacing w:line="520" w:lineRule="exact"/>
        <w:ind w:firstLine="480"/>
        <w:rPr>
          <w:rFonts w:eastAsia="Arial"/>
          <w:b/>
          <w:bCs/>
          <w:color w:val="auto"/>
          <w:sz w:val="24"/>
          <w:szCs w:val="20"/>
          <w:highlight w:val="none"/>
          <w:lang w:val="zh-CN"/>
        </w:rPr>
      </w:pPr>
      <w:bookmarkStart w:id="116" w:name="_Toc513029227"/>
      <w:bookmarkStart w:id="117" w:name="_Toc20823299"/>
      <w:bookmarkStart w:id="118" w:name="_Toc16938543"/>
      <w:r>
        <w:rPr>
          <w:rFonts w:hint="eastAsia" w:eastAsia="Arial"/>
          <w:b/>
          <w:bCs/>
          <w:color w:val="auto"/>
          <w:sz w:val="24"/>
          <w:szCs w:val="20"/>
          <w:highlight w:val="none"/>
          <w:lang w:val="zh-CN"/>
        </w:rPr>
        <w:t>19、投标文件</w:t>
      </w:r>
      <w:bookmarkEnd w:id="116"/>
      <w:bookmarkEnd w:id="117"/>
      <w:bookmarkEnd w:id="118"/>
      <w:r>
        <w:rPr>
          <w:rFonts w:hint="eastAsia" w:eastAsia="Arial"/>
          <w:b/>
          <w:bCs/>
          <w:color w:val="auto"/>
          <w:sz w:val="24"/>
          <w:szCs w:val="20"/>
          <w:highlight w:val="none"/>
          <w:lang w:val="zh-CN"/>
        </w:rPr>
        <w:t>的拒收</w:t>
      </w:r>
    </w:p>
    <w:p w14:paraId="3F64E8E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19.1采购代理拒绝接收在其规定的投标截止时间后上传的任何投标文件。</w:t>
      </w:r>
    </w:p>
    <w:p w14:paraId="0A7973E1">
      <w:pPr>
        <w:widowControl/>
        <w:spacing w:line="520" w:lineRule="exact"/>
        <w:ind w:firstLine="480"/>
        <w:rPr>
          <w:rFonts w:eastAsia="Arial"/>
          <w:b/>
          <w:bCs/>
          <w:color w:val="auto"/>
          <w:sz w:val="24"/>
          <w:szCs w:val="20"/>
          <w:highlight w:val="none"/>
          <w:lang w:val="zh-CN"/>
        </w:rPr>
      </w:pPr>
      <w:bookmarkStart w:id="119" w:name="_Toc16938544"/>
      <w:bookmarkStart w:id="120" w:name="_Toc20823300"/>
      <w:bookmarkStart w:id="121" w:name="_Toc513029228"/>
      <w:r>
        <w:rPr>
          <w:rFonts w:hint="eastAsia" w:eastAsia="Arial"/>
          <w:b/>
          <w:bCs/>
          <w:color w:val="auto"/>
          <w:sz w:val="24"/>
          <w:szCs w:val="20"/>
          <w:highlight w:val="none"/>
          <w:lang w:val="zh-CN"/>
        </w:rPr>
        <w:t>20、投标文件的撤回和修改</w:t>
      </w:r>
      <w:bookmarkEnd w:id="119"/>
      <w:bookmarkEnd w:id="120"/>
      <w:bookmarkEnd w:id="121"/>
    </w:p>
    <w:p w14:paraId="7C5B1DA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20.1投标文件的撤回</w:t>
      </w:r>
    </w:p>
    <w:p w14:paraId="0C1BA2F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20.1.1电子投标文件的撤回</w:t>
      </w:r>
    </w:p>
    <w:p w14:paraId="5CAE800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投标人可在投标截止时间前，撤回其电子投标文件，具体操作方法见《操作手册》。</w:t>
      </w:r>
    </w:p>
    <w:p w14:paraId="2FB2CFF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21.1.2投标人撤回电子投标文件，则认为其不再参与本项目投标活动。</w:t>
      </w:r>
    </w:p>
    <w:p w14:paraId="6D1C2AA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20.2 投标文件的修改</w:t>
      </w:r>
    </w:p>
    <w:p w14:paraId="701CF26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20.2.1投标人可在投标截止时间前，对其电子投标文件进行修改，具体操作方法见《操作手册》。</w:t>
      </w:r>
    </w:p>
    <w:p w14:paraId="4FC2733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20.2.2在投标截止时间之后，投标人不得对其电子投标文件作任何修改。</w:t>
      </w:r>
    </w:p>
    <w:p w14:paraId="3C565E0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20.3在投标截止时间至招标文件中规定的投标有效期满之间的这段时间内，投标人不得撤回其投标。</w:t>
      </w:r>
    </w:p>
    <w:p w14:paraId="5939DFA1">
      <w:pPr>
        <w:widowControl/>
        <w:spacing w:line="520" w:lineRule="exact"/>
        <w:ind w:firstLine="480"/>
        <w:rPr>
          <w:rFonts w:eastAsia="Arial"/>
          <w:b/>
          <w:bCs/>
          <w:color w:val="auto"/>
          <w:sz w:val="24"/>
          <w:szCs w:val="20"/>
          <w:highlight w:val="none"/>
          <w:lang w:val="zh-CN"/>
        </w:rPr>
      </w:pPr>
      <w:bookmarkStart w:id="122" w:name="_Toc120614218"/>
      <w:bookmarkStart w:id="123" w:name="_Toc513029229"/>
      <w:bookmarkStart w:id="124" w:name="_Toc20823301"/>
      <w:bookmarkStart w:id="125" w:name="_Toc16938545"/>
      <w:r>
        <w:rPr>
          <w:rFonts w:hint="eastAsia" w:eastAsia="Arial"/>
          <w:b/>
          <w:bCs/>
          <w:color w:val="auto"/>
          <w:sz w:val="24"/>
          <w:szCs w:val="20"/>
          <w:highlight w:val="none"/>
          <w:lang w:val="zh-CN"/>
        </w:rPr>
        <w:t>五、开标与评标</w:t>
      </w:r>
      <w:bookmarkEnd w:id="122"/>
      <w:bookmarkEnd w:id="123"/>
      <w:bookmarkEnd w:id="124"/>
      <w:bookmarkEnd w:id="125"/>
    </w:p>
    <w:p w14:paraId="5D07A7B5">
      <w:pPr>
        <w:widowControl/>
        <w:spacing w:line="520" w:lineRule="exact"/>
        <w:ind w:firstLine="480"/>
        <w:rPr>
          <w:rFonts w:eastAsia="Arial"/>
          <w:b/>
          <w:bCs/>
          <w:color w:val="auto"/>
          <w:sz w:val="24"/>
          <w:szCs w:val="20"/>
          <w:highlight w:val="none"/>
          <w:lang w:val="zh-CN"/>
        </w:rPr>
      </w:pPr>
      <w:bookmarkStart w:id="126" w:name="_Toc513029230"/>
      <w:bookmarkStart w:id="127" w:name="_Toc20823302"/>
      <w:bookmarkStart w:id="128" w:name="_Toc16938546"/>
      <w:r>
        <w:rPr>
          <w:rFonts w:hint="eastAsia" w:eastAsia="Arial"/>
          <w:b/>
          <w:bCs/>
          <w:color w:val="auto"/>
          <w:sz w:val="24"/>
          <w:szCs w:val="20"/>
          <w:highlight w:val="none"/>
          <w:lang w:val="zh-CN"/>
        </w:rPr>
        <w:t>21、开标</w:t>
      </w:r>
      <w:bookmarkEnd w:id="126"/>
      <w:bookmarkEnd w:id="127"/>
      <w:bookmarkEnd w:id="128"/>
    </w:p>
    <w:p w14:paraId="1915F36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21.1采购代理将在招标公告中规定的时间和地点组织公开开标。投标人应当按照《操作手册》规定，参加开标活动和在苏采云系统规定的时间内对投标文件进行解密。</w:t>
      </w:r>
    </w:p>
    <w:p w14:paraId="38FC296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21.2开标仪式由采购代理组织。苏采云系统将自动对项目进行开标，并宣布各投标人名称和投标价格。</w:t>
      </w:r>
    </w:p>
    <w:p w14:paraId="5395602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21.3投标人在开标过程中涉及到的投标文件解密、开标结果确认等工作，应按照《操作手册》规定执行。</w:t>
      </w:r>
    </w:p>
    <w:p w14:paraId="02908D5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21.4投标人如果对开标过程和开标记录有疑义，应当根据《操作手册》规定提出，如苏采云系统中《开标记录表》宣布后5分钟内未提出的，视同认可开标结果。</w:t>
      </w:r>
    </w:p>
    <w:p w14:paraId="5E40ED9F">
      <w:pPr>
        <w:widowControl/>
        <w:spacing w:line="520" w:lineRule="exact"/>
        <w:ind w:firstLine="480"/>
        <w:rPr>
          <w:rFonts w:eastAsia="Arial"/>
          <w:b/>
          <w:bCs/>
          <w:color w:val="auto"/>
          <w:sz w:val="24"/>
          <w:szCs w:val="20"/>
          <w:highlight w:val="none"/>
          <w:lang w:val="zh-CN"/>
        </w:rPr>
      </w:pPr>
      <w:bookmarkStart w:id="129" w:name="_Toc20823303"/>
      <w:bookmarkStart w:id="130" w:name="_Toc513029231"/>
      <w:bookmarkStart w:id="131" w:name="_Toc16938547"/>
      <w:r>
        <w:rPr>
          <w:rFonts w:hint="eastAsia" w:eastAsia="Arial"/>
          <w:b/>
          <w:bCs/>
          <w:color w:val="auto"/>
          <w:sz w:val="24"/>
          <w:szCs w:val="20"/>
          <w:highlight w:val="none"/>
          <w:lang w:val="zh-CN"/>
        </w:rPr>
        <w:t>22、评标委员会</w:t>
      </w:r>
      <w:bookmarkEnd w:id="129"/>
      <w:bookmarkEnd w:id="130"/>
      <w:bookmarkEnd w:id="131"/>
    </w:p>
    <w:p w14:paraId="0958DA4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22.1开标后，采购代理将立即组织评标委员会（以下简称评委会）进行评标。</w:t>
      </w:r>
    </w:p>
    <w:p w14:paraId="451516CE">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22.2评委会由采购人代表和有关技术、经济等方面的专家组成，且人员构成符合政府采购有关规定。</w:t>
      </w:r>
    </w:p>
    <w:p w14:paraId="32FE369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22.3评委会独立工作，负责评审所有投标文件并确定中标候选人。</w:t>
      </w:r>
    </w:p>
    <w:p w14:paraId="38D25A26">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23、评标过程的保密与公正</w:t>
      </w:r>
    </w:p>
    <w:p w14:paraId="70A5BB9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23.1凡是与审查、澄清、评价和比较投标的有关资料以及授标建议等，采购人、评委、采购代理均不得向投标人或与评标无关的其他人员透露。</w:t>
      </w:r>
    </w:p>
    <w:p w14:paraId="26E3796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23.2在评标过程中，投标人不得以任何行为影响评标过程，否则其投标文件将被作为无效投标文件。</w:t>
      </w:r>
    </w:p>
    <w:p w14:paraId="684E458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23.3采购代理和评标委员会不向未中标的投标人解释未中标原因，也不公布评标过程中的相关细节。</w:t>
      </w:r>
    </w:p>
    <w:p w14:paraId="6381036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23.4采用综合评分法的项目，未中标的投标人可于中标结果公告期限届满之日起通过苏采云系统查看自己的评审得分及排序情况。</w:t>
      </w:r>
    </w:p>
    <w:p w14:paraId="29DCF175">
      <w:pPr>
        <w:widowControl/>
        <w:spacing w:line="520" w:lineRule="exact"/>
        <w:ind w:firstLine="480"/>
        <w:rPr>
          <w:rFonts w:eastAsia="Arial"/>
          <w:b/>
          <w:bCs/>
          <w:color w:val="auto"/>
          <w:sz w:val="24"/>
          <w:szCs w:val="20"/>
          <w:highlight w:val="none"/>
          <w:lang w:val="zh-CN"/>
        </w:rPr>
      </w:pPr>
      <w:bookmarkStart w:id="132" w:name="_Toc16938548"/>
      <w:bookmarkStart w:id="133" w:name="_Toc20823304"/>
      <w:bookmarkStart w:id="134" w:name="_Toc513029232"/>
      <w:r>
        <w:rPr>
          <w:rFonts w:hint="eastAsia" w:eastAsia="Arial"/>
          <w:b/>
          <w:bCs/>
          <w:color w:val="auto"/>
          <w:sz w:val="24"/>
          <w:szCs w:val="20"/>
          <w:highlight w:val="none"/>
          <w:lang w:val="zh-CN"/>
        </w:rPr>
        <w:t>24、投标文件的澄清</w:t>
      </w:r>
      <w:bookmarkEnd w:id="132"/>
      <w:bookmarkEnd w:id="133"/>
      <w:bookmarkEnd w:id="134"/>
    </w:p>
    <w:p w14:paraId="3CED822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24.1评标期间，评委会对投标文件中含义不明确、同类问题表述不一致或者有明显文字和计算错误的内容，有权要求投标人作出必要的澄清、说明或者补正。</w:t>
      </w:r>
    </w:p>
    <w:p w14:paraId="06019A7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投标人的澄清、说明或者补正不得超出投标文件的范围或者改变投标文件的实质性内容。</w:t>
      </w:r>
    </w:p>
    <w:p w14:paraId="64D1233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评标委员会并非对每个投标人都做澄清要求。</w:t>
      </w:r>
    </w:p>
    <w:p w14:paraId="2E3842F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6F22BD8">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24.3接到评委会澄清、说明和补正要求的投标人如未按规定做出澄清、说明和补正，其风险由投标人自行承担。</w:t>
      </w:r>
    </w:p>
    <w:p w14:paraId="097E0BFD">
      <w:pPr>
        <w:widowControl/>
        <w:spacing w:line="520" w:lineRule="exact"/>
        <w:ind w:firstLine="480"/>
        <w:rPr>
          <w:rFonts w:eastAsia="Arial"/>
          <w:color w:val="auto"/>
          <w:sz w:val="24"/>
          <w:szCs w:val="20"/>
          <w:highlight w:val="none"/>
          <w:lang w:val="zh-CN"/>
        </w:rPr>
      </w:pPr>
      <w:bookmarkStart w:id="135" w:name="_Toc513029233"/>
      <w:bookmarkStart w:id="136" w:name="_Toc16938549"/>
      <w:bookmarkStart w:id="137" w:name="_Toc20823305"/>
      <w:r>
        <w:rPr>
          <w:rFonts w:hint="eastAsia" w:eastAsia="Arial"/>
          <w:b/>
          <w:bCs/>
          <w:color w:val="auto"/>
          <w:sz w:val="24"/>
          <w:szCs w:val="20"/>
          <w:highlight w:val="none"/>
          <w:lang w:val="zh-CN"/>
        </w:rPr>
        <w:t>25、对投标文件的初审</w:t>
      </w:r>
      <w:bookmarkEnd w:id="135"/>
      <w:bookmarkEnd w:id="136"/>
      <w:bookmarkEnd w:id="137"/>
    </w:p>
    <w:p w14:paraId="6F0388CA">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25.1投标文件初审分为资格审查和符合性审查。</w:t>
      </w:r>
    </w:p>
    <w:p w14:paraId="717BE9D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25.1.1资格审查：依据法律法规和招标文件的规定，由采购人对投标文件中的资格证明文件进行审查。资格审查的结论，采购人以书面形式向评委会进行反馈。</w:t>
      </w:r>
    </w:p>
    <w:p w14:paraId="5771F50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采购人在进行资格性审查的同时，将在“信用中国”网站（www.creditchina.gov.cn）查询投标人的信用记录，以确定投标人是否具备投标资格，查询结果留存并归档。</w:t>
      </w:r>
    </w:p>
    <w:p w14:paraId="26D0168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接受联合体的项目，两个以上的自然人、法人或者其他组织组成一个联合体，以一个供应商的身份共同参加政府采购活动的，联合体成员存在不良信用记录的，视同联合体存在不良应用记录。</w:t>
      </w:r>
    </w:p>
    <w:p w14:paraId="68AD54B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25.1.2符合性审查：依据招标文件的规定，由评委会从投标文件的有效性、完整性和对招标文件的响应程度进行审查，以确定是否对招标文件的实质性要求作出响应。</w:t>
      </w:r>
    </w:p>
    <w:p w14:paraId="4C77237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25.1.3未通过资格审查或符合性审查的投标人，采购代理将在苏采云系统中告知未通过资格审查或符合性审查的原因，评标结束后，采购代理将不再告知未通过资格审查和符合性审查的原因。</w:t>
      </w:r>
    </w:p>
    <w:p w14:paraId="0CB9775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25.2在详细评标之前，评委会将首先审查每份投标文件是否实质性响应了招标文件的要求。实质性响应的投标应该是与招标文件要求的全部条款、条件和规格相符，没有重大偏离或保留的投标。</w:t>
      </w:r>
    </w:p>
    <w:p w14:paraId="3B285CA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FF204E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25.3如果投标文件实质上没有响应招标文件的要求，评委会将予以拒绝，投标人不得通过修改或撤销不合要求的偏离或保留而使其投标成为实质性响应的投标。</w:t>
      </w:r>
    </w:p>
    <w:p w14:paraId="0CEE253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25.4评委会将对确定为实质性响应的投标进行进一步审核，确定其是否有计算上或累加上的算术错误，修正错误的原则如下：</w:t>
      </w:r>
    </w:p>
    <w:p w14:paraId="4D907D3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（1）投标文件中开标一览表内容与投标文件中相应内容不一致的，以开标一览表为准。</w:t>
      </w:r>
    </w:p>
    <w:p w14:paraId="77F65B8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（2）大写金额和小写金额不一致的，以大写金额为准。</w:t>
      </w:r>
    </w:p>
    <w:p w14:paraId="54E4598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（3）单价金额小数点或者百分比有明显错位的，以开标一览表的总价为准，并修改单价。</w:t>
      </w:r>
    </w:p>
    <w:p w14:paraId="55EB348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（4）总价金额与按单价汇总金额不一致的，以单价金额计算结果为准。</w:t>
      </w:r>
    </w:p>
    <w:p w14:paraId="5DC4F95E">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同时出现两种以上错误的，按照前款规定的顺序修正。</w:t>
      </w:r>
    </w:p>
    <w:p w14:paraId="50A594C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25.5评委会将按上述修正错误的方法调整投标文件中的投标报价，并通过苏采云系统告知投标人，调整后的价格应对投标人具有约束力。如果投标人不接受修正后的价格，则其投标将被拒绝。</w:t>
      </w:r>
    </w:p>
    <w:p w14:paraId="7AB64157">
      <w:pPr>
        <w:widowControl/>
        <w:spacing w:line="520" w:lineRule="exact"/>
        <w:ind w:firstLine="480"/>
        <w:rPr>
          <w:rFonts w:eastAsia="Arial"/>
          <w:color w:val="auto"/>
          <w:sz w:val="24"/>
          <w:szCs w:val="20"/>
          <w:highlight w:val="none"/>
          <w:lang w:val="zh-CN"/>
        </w:rPr>
      </w:pPr>
      <w:bookmarkStart w:id="138" w:name="_Toc16938550"/>
      <w:bookmarkStart w:id="139" w:name="_Toc20823306"/>
      <w:bookmarkStart w:id="140" w:name="_Toc513029234"/>
      <w:r>
        <w:rPr>
          <w:rFonts w:hint="eastAsia" w:eastAsia="Arial"/>
          <w:color w:val="auto"/>
          <w:sz w:val="24"/>
          <w:szCs w:val="20"/>
          <w:highlight w:val="none"/>
          <w:lang w:val="zh-CN"/>
        </w:rPr>
        <w:t>25.6投标人在开、评标全过程中应保持通讯畅通，及时登录苏采云系统查阅、答复相关信息，并安排专人与采购代理及评标委员会联系。</w:t>
      </w:r>
      <w:bookmarkEnd w:id="138"/>
      <w:bookmarkEnd w:id="139"/>
      <w:bookmarkEnd w:id="140"/>
    </w:p>
    <w:p w14:paraId="45BC9EBB">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26、无效投标条款和废标条款</w:t>
      </w:r>
    </w:p>
    <w:p w14:paraId="4B68439D">
      <w:pPr>
        <w:widowControl/>
        <w:spacing w:line="520" w:lineRule="exact"/>
        <w:ind w:firstLine="480"/>
        <w:rPr>
          <w:rFonts w:eastAsia="Arial"/>
          <w:color w:val="auto"/>
          <w:sz w:val="24"/>
          <w:szCs w:val="20"/>
          <w:highlight w:val="none"/>
          <w:lang w:val="zh-CN"/>
        </w:rPr>
      </w:pPr>
      <w:bookmarkStart w:id="141" w:name="_Toc513029235"/>
      <w:bookmarkStart w:id="142" w:name="_Toc16938551"/>
      <w:bookmarkStart w:id="143" w:name="_Toc20823307"/>
      <w:r>
        <w:rPr>
          <w:rFonts w:hint="eastAsia" w:eastAsia="Arial"/>
          <w:color w:val="auto"/>
          <w:sz w:val="24"/>
          <w:szCs w:val="20"/>
          <w:highlight w:val="none"/>
          <w:lang w:val="zh-CN"/>
        </w:rPr>
        <w:t>26.1无效投标条款</w:t>
      </w:r>
      <w:bookmarkEnd w:id="141"/>
      <w:bookmarkEnd w:id="142"/>
      <w:bookmarkEnd w:id="143"/>
    </w:p>
    <w:p w14:paraId="23D8A138">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26.1.1投标人在苏采云系统规定的时间内未成功解密电子投标文件的。</w:t>
      </w:r>
    </w:p>
    <w:p w14:paraId="5B9F4CF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26.1.2投标人未按照招标文件要求上传电子投标文件的。</w:t>
      </w:r>
    </w:p>
    <w:p w14:paraId="67E8EBC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26.1.3同一投标人提交两个（含两个）以上不同的投标报价的。</w:t>
      </w:r>
    </w:p>
    <w:p w14:paraId="68F58925">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26.1.4投标人不具备招标文件中规定资格要求的。</w:t>
      </w:r>
    </w:p>
    <w:p w14:paraId="3EFEA4C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26.1.5投标人的报价超过了采购预算或最高限价的。</w:t>
      </w:r>
    </w:p>
    <w:p w14:paraId="277AABFA">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26.1.6未通过符合性审查的。</w:t>
      </w:r>
    </w:p>
    <w:p w14:paraId="4DC34C0B">
      <w:pPr>
        <w:widowControl/>
        <w:spacing w:line="520" w:lineRule="exact"/>
        <w:ind w:firstLine="480"/>
        <w:rPr>
          <w:color w:val="auto"/>
          <w:sz w:val="24"/>
          <w:szCs w:val="24"/>
          <w:highlight w:val="none"/>
        </w:rPr>
      </w:pPr>
      <w:r>
        <w:rPr>
          <w:rFonts w:hint="eastAsia" w:eastAsia="Arial"/>
          <w:color w:val="auto"/>
          <w:sz w:val="24"/>
          <w:szCs w:val="20"/>
          <w:highlight w:val="none"/>
          <w:lang w:val="zh-CN"/>
        </w:rPr>
        <w:t>26.1.7不符合招标文件中规定的实质性要求和条件的</w:t>
      </w:r>
      <w:r>
        <w:rPr>
          <w:rFonts w:hint="eastAsia"/>
          <w:i/>
          <w:iCs/>
          <w:color w:val="auto"/>
          <w:sz w:val="24"/>
          <w:szCs w:val="24"/>
          <w:highlight w:val="none"/>
          <w:u w:val="single"/>
        </w:rPr>
        <w:t>（本招标文件中斜体且有下划线部分为实质性要求和条件）</w:t>
      </w:r>
      <w:r>
        <w:rPr>
          <w:rFonts w:hint="eastAsia"/>
          <w:color w:val="auto"/>
          <w:sz w:val="24"/>
          <w:szCs w:val="24"/>
          <w:highlight w:val="none"/>
        </w:rPr>
        <w:t>。</w:t>
      </w:r>
    </w:p>
    <w:p w14:paraId="06C8AAA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rPr>
        <w:t>26.1.8</w:t>
      </w:r>
      <w:r>
        <w:rPr>
          <w:rFonts w:hint="eastAsia" w:eastAsia="Arial"/>
          <w:color w:val="auto"/>
          <w:sz w:val="24"/>
          <w:szCs w:val="20"/>
          <w:highlight w:val="none"/>
          <w:lang w:val="zh-CN"/>
        </w:rPr>
        <w:t>投标人被</w:t>
      </w:r>
      <w:r>
        <w:rPr>
          <w:rFonts w:hint="eastAsia" w:eastAsia="Arial"/>
          <w:color w:val="auto"/>
          <w:sz w:val="24"/>
          <w:szCs w:val="20"/>
          <w:highlight w:val="none"/>
        </w:rPr>
        <w:t>“</w:t>
      </w:r>
      <w:r>
        <w:rPr>
          <w:rFonts w:hint="eastAsia" w:eastAsia="Arial"/>
          <w:color w:val="auto"/>
          <w:sz w:val="24"/>
          <w:szCs w:val="20"/>
          <w:highlight w:val="none"/>
          <w:lang w:val="zh-CN"/>
        </w:rPr>
        <w:t>信用中国</w:t>
      </w:r>
      <w:r>
        <w:rPr>
          <w:rFonts w:hint="eastAsia" w:eastAsia="Arial"/>
          <w:color w:val="auto"/>
          <w:sz w:val="24"/>
          <w:szCs w:val="20"/>
          <w:highlight w:val="none"/>
        </w:rPr>
        <w:t>”</w:t>
      </w:r>
      <w:r>
        <w:rPr>
          <w:rFonts w:hint="eastAsia" w:eastAsia="Arial"/>
          <w:color w:val="auto"/>
          <w:sz w:val="24"/>
          <w:szCs w:val="20"/>
          <w:highlight w:val="none"/>
          <w:lang w:val="zh-CN"/>
        </w:rPr>
        <w:t>网站</w:t>
      </w:r>
      <w:r>
        <w:rPr>
          <w:rFonts w:hint="eastAsia" w:eastAsia="Arial"/>
          <w:color w:val="auto"/>
          <w:sz w:val="24"/>
          <w:szCs w:val="20"/>
          <w:highlight w:val="none"/>
        </w:rPr>
        <w:t>（www.creditchina.gov.cn）</w:t>
      </w:r>
      <w:r>
        <w:rPr>
          <w:rFonts w:hint="eastAsia" w:eastAsia="Arial"/>
          <w:color w:val="auto"/>
          <w:sz w:val="24"/>
          <w:szCs w:val="20"/>
          <w:highlight w:val="none"/>
          <w:lang w:val="zh-CN"/>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5B69E83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26.1.9投标文件含有采购人不能接受的附加条件的。</w:t>
      </w:r>
    </w:p>
    <w:p w14:paraId="7D22A01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74EF2C7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26.1.11投标文件未按照招标文件要求加盖CA电子公章的。</w:t>
      </w:r>
    </w:p>
    <w:p w14:paraId="7743DF9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26.1.12其他法律、法规及本招标文件规定的属无效投标的情形。</w:t>
      </w:r>
    </w:p>
    <w:p w14:paraId="54E8E6F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26.2废标条款</w:t>
      </w:r>
    </w:p>
    <w:p w14:paraId="7AC9D91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26.2.1符合专业条件的供应商或者对招标文件做实质响应的供应商不足三家的。</w:t>
      </w:r>
    </w:p>
    <w:p w14:paraId="61054E7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26.2.2出现影响采购公正的违法、违规行为的。</w:t>
      </w:r>
    </w:p>
    <w:p w14:paraId="670376E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26.2.3因重大变故，采购任务取消的。</w:t>
      </w:r>
    </w:p>
    <w:p w14:paraId="504F662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26.2.4评标委员会认定招标文件存在歧义、重大缺陷导致评审工作无法进行。</w:t>
      </w:r>
    </w:p>
    <w:p w14:paraId="5EB89D6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26.2.5因苏采云系统系统故障原因造成开标不成功的。</w:t>
      </w:r>
    </w:p>
    <w:p w14:paraId="3041965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26.3 投标截止时间结束后参加投标的供应商不足三家的处理：</w:t>
      </w:r>
    </w:p>
    <w:p w14:paraId="6C59752E">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26.3.1如出现投标截止时间结束后参加投标的供应商或者在评标期间对招标文件做出实质响应的供应商不足三家情况，按政府采购相关规定执行。</w:t>
      </w:r>
    </w:p>
    <w:p w14:paraId="4D6E333E">
      <w:pPr>
        <w:widowControl/>
        <w:spacing w:line="520" w:lineRule="exact"/>
        <w:ind w:firstLine="480"/>
        <w:rPr>
          <w:rFonts w:eastAsia="Arial"/>
          <w:b/>
          <w:bCs/>
          <w:color w:val="auto"/>
          <w:sz w:val="24"/>
          <w:szCs w:val="20"/>
          <w:highlight w:val="none"/>
          <w:lang w:val="zh-CN"/>
        </w:rPr>
      </w:pPr>
      <w:bookmarkStart w:id="144" w:name="_Toc120614219"/>
      <w:r>
        <w:rPr>
          <w:rFonts w:hint="eastAsia" w:eastAsia="Arial"/>
          <w:b/>
          <w:bCs/>
          <w:color w:val="auto"/>
          <w:sz w:val="24"/>
          <w:szCs w:val="20"/>
          <w:highlight w:val="none"/>
          <w:lang w:val="zh-CN"/>
        </w:rPr>
        <w:t>六、定标</w:t>
      </w:r>
      <w:bookmarkEnd w:id="144"/>
    </w:p>
    <w:p w14:paraId="29C1607E">
      <w:pPr>
        <w:widowControl/>
        <w:spacing w:line="520" w:lineRule="exact"/>
        <w:ind w:firstLine="480"/>
        <w:rPr>
          <w:rFonts w:eastAsia="Arial"/>
          <w:b/>
          <w:bCs/>
          <w:color w:val="auto"/>
          <w:sz w:val="24"/>
          <w:szCs w:val="20"/>
          <w:highlight w:val="none"/>
          <w:lang w:val="zh-CN"/>
        </w:rPr>
      </w:pPr>
      <w:bookmarkStart w:id="145" w:name="_Toc20823310"/>
      <w:bookmarkStart w:id="146" w:name="_Toc513029238"/>
      <w:bookmarkStart w:id="147" w:name="_Toc16938554"/>
      <w:r>
        <w:rPr>
          <w:rFonts w:hint="eastAsia" w:eastAsia="Arial"/>
          <w:b/>
          <w:bCs/>
          <w:color w:val="auto"/>
          <w:sz w:val="24"/>
          <w:szCs w:val="20"/>
          <w:highlight w:val="none"/>
          <w:lang w:val="zh-CN"/>
        </w:rPr>
        <w:t>27、</w:t>
      </w:r>
      <w:bookmarkEnd w:id="145"/>
      <w:r>
        <w:rPr>
          <w:rFonts w:hint="eastAsia" w:eastAsia="Arial"/>
          <w:b/>
          <w:bCs/>
          <w:color w:val="auto"/>
          <w:sz w:val="24"/>
          <w:szCs w:val="20"/>
          <w:highlight w:val="none"/>
          <w:lang w:val="zh-CN"/>
        </w:rPr>
        <w:t>确定</w:t>
      </w:r>
      <w:bookmarkEnd w:id="146"/>
      <w:bookmarkEnd w:id="147"/>
      <w:r>
        <w:rPr>
          <w:rFonts w:hint="eastAsia" w:eastAsia="Arial"/>
          <w:b/>
          <w:bCs/>
          <w:color w:val="auto"/>
          <w:sz w:val="24"/>
          <w:szCs w:val="20"/>
          <w:highlight w:val="none"/>
          <w:lang w:val="zh-CN"/>
        </w:rPr>
        <w:t>中标单位</w:t>
      </w:r>
    </w:p>
    <w:p w14:paraId="1A0CD99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 xml:space="preserve">27.1中标候选人的选取原则和数量见招标文件第五章规定。 </w:t>
      </w:r>
    </w:p>
    <w:p w14:paraId="2CAD0BC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27.2采购人应根据评委会推荐的中标候选人确定中标人。</w:t>
      </w:r>
    </w:p>
    <w:p w14:paraId="310BE2E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27.3采购代理将在</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lang w:val="zh-CN"/>
        </w:rPr>
        <w:t>发布中标公告，公告期限为1个工作日。</w:t>
      </w:r>
    </w:p>
    <w:p w14:paraId="77CB55C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27.4若有充分证据证明，中标人出现下列情况之一的，一经查实，将被取消中标资格：</w:t>
      </w:r>
    </w:p>
    <w:p w14:paraId="3960F70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27.4.1提供虚假材料谋取中标的。</w:t>
      </w:r>
    </w:p>
    <w:p w14:paraId="49706A3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27.4.2向采购人、采购代理行贿或者提供其他不正当利益的。</w:t>
      </w:r>
    </w:p>
    <w:p w14:paraId="5E77ACE5">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27.4.3属于本文件规定的无效条件，但在评标过程中又未被评委会发现的。</w:t>
      </w:r>
    </w:p>
    <w:p w14:paraId="1394011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27.4.4与采购人或者其他供应商恶意串通的。</w:t>
      </w:r>
    </w:p>
    <w:p w14:paraId="0185DEE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27.4.5采取不正当手段诋毁、排挤其他供应商的。</w:t>
      </w:r>
    </w:p>
    <w:p w14:paraId="6268AE99">
      <w:pPr>
        <w:widowControl/>
        <w:spacing w:line="520" w:lineRule="exact"/>
        <w:ind w:firstLine="480"/>
        <w:rPr>
          <w:rFonts w:eastAsia="Arial"/>
          <w:color w:val="auto"/>
          <w:sz w:val="24"/>
          <w:szCs w:val="20"/>
          <w:highlight w:val="none"/>
          <w:lang w:val="zh-CN"/>
        </w:rPr>
      </w:pPr>
      <w:bookmarkStart w:id="148" w:name="_Toc200451960"/>
      <w:r>
        <w:rPr>
          <w:rFonts w:hint="eastAsia" w:eastAsia="Arial"/>
          <w:color w:val="auto"/>
          <w:sz w:val="24"/>
          <w:szCs w:val="20"/>
          <w:highlight w:val="none"/>
          <w:lang w:val="zh-CN"/>
        </w:rPr>
        <w:t>27.5 有下列情形之一的，视为投标人串通投标，投标无效：</w:t>
      </w:r>
      <w:bookmarkEnd w:id="148"/>
    </w:p>
    <w:p w14:paraId="4E0943C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27.5.1不同投标人的投标文件由同一单位或者个人编制。</w:t>
      </w:r>
    </w:p>
    <w:p w14:paraId="7F56EAC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27.5.2不同投标人委托同一单位或者个人办理投标事宜。</w:t>
      </w:r>
    </w:p>
    <w:p w14:paraId="0F3352D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27.5.3不同投标人的投标文件载明的项目管理成员或者联系人员为同一人。</w:t>
      </w:r>
    </w:p>
    <w:p w14:paraId="30D0CBD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27.5.4不同投标人的投标文件异常一致或者投标报价呈规律性差异。</w:t>
      </w:r>
    </w:p>
    <w:p w14:paraId="5E03A1FD">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28、质疑处理</w:t>
      </w:r>
    </w:p>
    <w:p w14:paraId="53AFFEE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28.1提出质疑的供应商应当是参与所质疑项目采购活动的供应商。潜在供应商依法获取其可质疑的采购文件的，可以对采购文件提出质疑。</w:t>
      </w:r>
    </w:p>
    <w:p w14:paraId="57980F2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28.2供应商认为采购文件、采购过程和采购结果使自己的权益受到损害的，可以在知道或应知其权益受到损害之日起七个工作日内，以书面形式根据下述条款的规定向采购代理或采购人提出质疑。上述应知其权益受到损害之日，是指：</w:t>
      </w:r>
    </w:p>
    <w:p w14:paraId="6159540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28.2.1对可以质疑的采购文件提出质疑的，为收到采购文件之日或者采购文件公告期限届满之日；</w:t>
      </w:r>
    </w:p>
    <w:p w14:paraId="33103AD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28.2.2对采购过程提出质疑的，为各采购程序环节结束之日；</w:t>
      </w:r>
    </w:p>
    <w:p w14:paraId="1F6DD54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28.2.3对中标或者成交结果提出质疑的，为中标或者成交结果公告期限届满之日。</w:t>
      </w:r>
    </w:p>
    <w:p w14:paraId="4925A085">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供应商应当在法定质疑期内一次性提出针对同一采购程序环节的质疑。供应商如在法定期限内对同一采购程序环节提出多次质疑的，采购代理、采购人将只对供应商第一次质疑作出答复。</w:t>
      </w:r>
    </w:p>
    <w:p w14:paraId="56C08C9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28.3质疑函必须按照本招标文件中《质疑函范本》要求的格式和内容进行填写。供应商如组成联合体参加投标，则《质疑函范本》中要求签字、盖章、加盖公章之处，联合体各方均须按要求签字、盖章、加盖公章。</w:t>
      </w:r>
    </w:p>
    <w:p w14:paraId="70649A10">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28.4供应商（含潜在供应商）对采购方式、采购需求、供应商资格条件及审查结果、评标方法和评标标准、合同文本的询问、质疑请向采购人提出，由采购人负责答复。供应商对除上述事项以外其他事项的询问、质疑请向采购代理提出，由采购代理负责答复。</w:t>
      </w:r>
    </w:p>
    <w:p w14:paraId="731C273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采购代理及采购人只接收以纸质原件形式送达的质疑，采购人和采购代理不接受未填写快递运单的快件。</w:t>
      </w:r>
    </w:p>
    <w:p w14:paraId="17CD3F5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 以下情形的质疑不予受理</w:t>
      </w:r>
    </w:p>
    <w:p w14:paraId="6CE8ABE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28.5.1内容不符合《政府采购质疑和投诉办法》第十二条规定的质疑。</w:t>
      </w:r>
    </w:p>
    <w:p w14:paraId="6975A56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28.5.2超出政府采购法定期限的质疑。</w:t>
      </w:r>
    </w:p>
    <w:p w14:paraId="372F8C3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28.5.3以传真、电子邮件等方式递交的非原件形式的质疑。</w:t>
      </w:r>
    </w:p>
    <w:p w14:paraId="20BD9C7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28.5.4未参加投标活动的供应商或在投标活动中自身权益未受到损害的供应商所提出的质疑。</w:t>
      </w:r>
    </w:p>
    <w:p w14:paraId="4771AA5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28.5.5供应商组成联合体参加投标，联合体中任何一方或多方未按要求签字、盖章、加盖公章的质疑。</w:t>
      </w:r>
    </w:p>
    <w:p w14:paraId="2BA555C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28.6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p>
    <w:p w14:paraId="2B6D15B8">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29、中标通知书</w:t>
      </w:r>
    </w:p>
    <w:p w14:paraId="127691C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29.l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0B66475">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29.2中标通知书将是合同的一个组成部分。对采购人和中标人均具有法律效力。中标通知书发出后，采购人改变中标结果的，或者中标人放弃中标项目的，应当依法承担法律责任。</w:t>
      </w:r>
    </w:p>
    <w:p w14:paraId="6BA51825">
      <w:pPr>
        <w:widowControl/>
        <w:spacing w:line="520" w:lineRule="exact"/>
        <w:ind w:firstLine="480"/>
        <w:rPr>
          <w:rFonts w:eastAsia="Arial"/>
          <w:b/>
          <w:bCs/>
          <w:color w:val="auto"/>
          <w:sz w:val="24"/>
          <w:szCs w:val="20"/>
          <w:highlight w:val="none"/>
          <w:lang w:val="zh-CN"/>
        </w:rPr>
      </w:pPr>
      <w:bookmarkStart w:id="149" w:name="_Toc20823308"/>
      <w:bookmarkStart w:id="150" w:name="_Toc16938552"/>
      <w:bookmarkStart w:id="151" w:name="_Toc513029236"/>
      <w:bookmarkStart w:id="152" w:name="_Toc120614220"/>
      <w:r>
        <w:rPr>
          <w:rFonts w:hint="eastAsia" w:eastAsia="Arial"/>
          <w:b/>
          <w:bCs/>
          <w:color w:val="auto"/>
          <w:sz w:val="24"/>
          <w:szCs w:val="20"/>
          <w:highlight w:val="none"/>
          <w:lang w:val="zh-CN"/>
        </w:rPr>
        <w:t>七、授予合同</w:t>
      </w:r>
      <w:bookmarkEnd w:id="149"/>
      <w:bookmarkEnd w:id="150"/>
      <w:bookmarkEnd w:id="151"/>
      <w:bookmarkEnd w:id="152"/>
    </w:p>
    <w:p w14:paraId="1441A957">
      <w:pPr>
        <w:widowControl/>
        <w:spacing w:line="520" w:lineRule="exact"/>
        <w:ind w:firstLine="480"/>
        <w:rPr>
          <w:rFonts w:eastAsia="Arial"/>
          <w:b/>
          <w:bCs/>
          <w:color w:val="auto"/>
          <w:sz w:val="24"/>
          <w:szCs w:val="20"/>
          <w:highlight w:val="none"/>
          <w:lang w:val="zh-CN"/>
        </w:rPr>
      </w:pPr>
      <w:bookmarkStart w:id="153" w:name="_Toc513029237"/>
      <w:bookmarkStart w:id="154" w:name="_Toc20823309"/>
      <w:bookmarkStart w:id="155" w:name="_Toc16938553"/>
      <w:r>
        <w:rPr>
          <w:rFonts w:hint="eastAsia" w:eastAsia="Arial"/>
          <w:b/>
          <w:bCs/>
          <w:color w:val="auto"/>
          <w:sz w:val="24"/>
          <w:szCs w:val="20"/>
          <w:highlight w:val="none"/>
          <w:lang w:val="zh-CN"/>
        </w:rPr>
        <w:t>30.签订合同</w:t>
      </w:r>
      <w:bookmarkEnd w:id="153"/>
      <w:bookmarkEnd w:id="154"/>
      <w:bookmarkEnd w:id="155"/>
    </w:p>
    <w:p w14:paraId="4D65378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30.l中标人应当在中标通知书发出之日起三十日内，按照招标文件确定的事项与采购人签订政府采购合同。</w:t>
      </w:r>
    </w:p>
    <w:p w14:paraId="3341C8A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30.2招标文件、中标人的投标文件及招标过程中有关澄清、承诺文件均应作为合同附件。</w:t>
      </w:r>
    </w:p>
    <w:p w14:paraId="512F62B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30.3签订合同后，</w:t>
      </w:r>
      <w:r>
        <w:rPr>
          <w:rFonts w:hint="eastAsia"/>
          <w:i/>
          <w:iCs/>
          <w:color w:val="auto"/>
          <w:sz w:val="24"/>
          <w:szCs w:val="24"/>
          <w:highlight w:val="none"/>
          <w:u w:val="single"/>
        </w:rPr>
        <w:t>中标人不得将合同标的进行转包</w:t>
      </w:r>
      <w:r>
        <w:rPr>
          <w:rFonts w:hint="eastAsia"/>
          <w:color w:val="auto"/>
          <w:sz w:val="24"/>
          <w:szCs w:val="24"/>
          <w:highlight w:val="none"/>
        </w:rPr>
        <w:t>。</w:t>
      </w:r>
      <w:r>
        <w:rPr>
          <w:rFonts w:hint="eastAsia" w:eastAsia="Arial"/>
          <w:color w:val="auto"/>
          <w:sz w:val="24"/>
          <w:szCs w:val="20"/>
          <w:highlight w:val="none"/>
          <w:lang w:val="zh-CN"/>
        </w:rPr>
        <w:t>未经采购人同意，中标人也不得采用分包的形式履行合同，否则采购人有权终止合同。转包或分包造成采购人损失的，中标人应承担相应赔偿责任。</w:t>
      </w:r>
    </w:p>
    <w:p w14:paraId="4BBED2C3">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31、服务（包含与服务相关的货物）的追加</w:t>
      </w:r>
    </w:p>
    <w:p w14:paraId="364B30C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31.1政府采购合同履行中，采购人需追加与合同标的相同的服务（包含与服务相关的货物），在不改变合同其他条款的前提下，可以与中标人协商签订补充合同，但所有补充合同的采购金额不超过原合同金额的10%。</w:t>
      </w:r>
    </w:p>
    <w:p w14:paraId="2A496453">
      <w:pPr>
        <w:widowControl/>
        <w:spacing w:line="520" w:lineRule="exact"/>
        <w:ind w:firstLine="480"/>
        <w:rPr>
          <w:rFonts w:hint="eastAsia" w:eastAsia="Arial"/>
          <w:b/>
          <w:bCs/>
          <w:color w:val="auto"/>
          <w:sz w:val="24"/>
          <w:szCs w:val="20"/>
          <w:highlight w:val="none"/>
          <w:lang w:val="zh-CN"/>
        </w:rPr>
      </w:pPr>
      <w:r>
        <w:rPr>
          <w:rFonts w:hint="eastAsia" w:eastAsia="Arial"/>
          <w:b/>
          <w:bCs/>
          <w:color w:val="auto"/>
          <w:sz w:val="24"/>
          <w:szCs w:val="20"/>
          <w:highlight w:val="none"/>
          <w:lang w:val="zh-CN"/>
        </w:rPr>
        <w:t>32、政府采购</w:t>
      </w:r>
      <w:r>
        <w:rPr>
          <w:rFonts w:hint="eastAsia" w:eastAsia="Arial"/>
          <w:b/>
          <w:bCs/>
          <w:color w:val="auto"/>
          <w:sz w:val="24"/>
          <w:szCs w:val="20"/>
          <w:highlight w:val="none"/>
          <w:lang w:val="zh-CN" w:eastAsia="zh-CN"/>
        </w:rPr>
        <w:t>线上合同信用融资</w:t>
      </w:r>
      <w:r>
        <w:rPr>
          <w:rFonts w:hint="eastAsia" w:eastAsia="Arial"/>
          <w:b/>
          <w:bCs/>
          <w:color w:val="auto"/>
          <w:sz w:val="24"/>
          <w:szCs w:val="20"/>
          <w:highlight w:val="none"/>
          <w:lang w:val="zh-CN"/>
        </w:rPr>
        <w:t>政策</w:t>
      </w:r>
    </w:p>
    <w:p w14:paraId="70755A16">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04C2B32A">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rPr>
        <w:t> 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w:t>
      </w:r>
      <w:r>
        <w:rPr>
          <w:rFonts w:hint="eastAsia" w:eastAsia="Arial"/>
          <w:b w:val="0"/>
          <w:bCs w:val="0"/>
          <w:color w:val="auto"/>
          <w:sz w:val="24"/>
          <w:szCs w:val="20"/>
          <w:highlight w:val="none"/>
          <w:lang w:val="zh-CN" w:eastAsia="zh-CN"/>
        </w:rPr>
        <w:t>其他</w:t>
      </w:r>
    </w:p>
    <w:p w14:paraId="0B4060C9">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33.1</w:t>
      </w:r>
      <w:r>
        <w:rPr>
          <w:rFonts w:hint="eastAsia" w:eastAsia="Arial"/>
          <w:b w:val="0"/>
          <w:bCs w:val="0"/>
          <w:color w:val="auto"/>
          <w:sz w:val="24"/>
          <w:szCs w:val="20"/>
          <w:highlight w:val="none"/>
          <w:lang w:val="zh-CN"/>
        </w:rPr>
        <w:t>供应商对于投标产品的商品包装、快递包装应按照《关于印发《商品包装政府采购需求标准（试行）》、《快递包装政府采购需求标准（试行）》的通知》</w:t>
      </w:r>
      <w:r>
        <w:rPr>
          <w:rFonts w:hint="eastAsia" w:eastAsia="Arial"/>
          <w:b w:val="0"/>
          <w:bCs w:val="0"/>
          <w:color w:val="auto"/>
          <w:sz w:val="24"/>
          <w:szCs w:val="20"/>
          <w:highlight w:val="none"/>
          <w:lang w:val="zh-CN" w:eastAsia="zh-CN"/>
        </w:rPr>
        <w:t>（</w:t>
      </w:r>
      <w:r>
        <w:rPr>
          <w:rFonts w:hint="eastAsia" w:eastAsia="Arial"/>
          <w:b w:val="0"/>
          <w:bCs w:val="0"/>
          <w:color w:val="auto"/>
          <w:sz w:val="24"/>
          <w:szCs w:val="20"/>
          <w:highlight w:val="none"/>
          <w:lang w:val="zh-CN"/>
        </w:rPr>
        <w:t>财办库〔2020〕123号</w:t>
      </w:r>
      <w:r>
        <w:rPr>
          <w:rFonts w:hint="eastAsia" w:eastAsia="Arial"/>
          <w:b w:val="0"/>
          <w:bCs w:val="0"/>
          <w:color w:val="auto"/>
          <w:sz w:val="24"/>
          <w:szCs w:val="20"/>
          <w:highlight w:val="none"/>
          <w:lang w:val="zh-CN" w:eastAsia="zh-CN"/>
        </w:rPr>
        <w:t>）</w:t>
      </w:r>
      <w:r>
        <w:rPr>
          <w:rFonts w:hint="eastAsia" w:eastAsia="Arial"/>
          <w:b w:val="0"/>
          <w:bCs w:val="0"/>
          <w:color w:val="auto"/>
          <w:sz w:val="24"/>
          <w:szCs w:val="20"/>
          <w:highlight w:val="none"/>
          <w:lang w:val="zh-CN"/>
        </w:rPr>
        <w:t>执行。</w:t>
      </w:r>
    </w:p>
    <w:p w14:paraId="6B28F058">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33.2</w:t>
      </w:r>
      <w:r>
        <w:rPr>
          <w:rFonts w:hint="eastAsia" w:eastAsia="Arial"/>
          <w:b w:val="0"/>
          <w:bCs w:val="0"/>
          <w:color w:val="auto"/>
          <w:sz w:val="24"/>
          <w:szCs w:val="20"/>
          <w:highlight w:val="none"/>
          <w:lang w:val="zh-CN"/>
        </w:rPr>
        <w:t>本文件中若涉及到数据中心采购，应按照《&lt;绿色数据中心政府采购需求标准（试行）&gt;的通知》（财库〔2023〕7号）执行。</w:t>
      </w:r>
    </w:p>
    <w:p w14:paraId="1C1B51CA">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34.3 本项目落实预付款制度，预付款比例为</w:t>
      </w:r>
      <w:r>
        <w:rPr>
          <w:rFonts w:hint="eastAsia" w:eastAsia="Arial"/>
          <w:b w:val="0"/>
          <w:bCs w:val="0"/>
          <w:color w:val="auto"/>
          <w:sz w:val="24"/>
          <w:szCs w:val="20"/>
          <w:highlight w:val="none"/>
          <w:lang w:val="en-US" w:eastAsia="zh-CN"/>
        </w:rPr>
        <w:t>30</w:t>
      </w:r>
      <w:r>
        <w:rPr>
          <w:rFonts w:hint="eastAsia" w:eastAsia="Arial"/>
          <w:b w:val="0"/>
          <w:bCs w:val="0"/>
          <w:color w:val="auto"/>
          <w:sz w:val="24"/>
          <w:szCs w:val="20"/>
          <w:highlight w:val="none"/>
          <w:lang w:val="zh-CN" w:eastAsia="zh-CN"/>
        </w:rPr>
        <w:t>%。在签订合同时，中标、成交供应商明确书面表示无需预付款或者主动要求降低预付款比例的，采购人可就预付款比例作相应调整。</w:t>
      </w:r>
    </w:p>
    <w:p w14:paraId="3FDA6F4D">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34.4 确需收取履约保证金的，履约保证金的缴纳形式：</w:t>
      </w:r>
    </w:p>
    <w:p w14:paraId="733DF611">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1ECA691">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 如以履约保函（保险）形式缴纳履约保证金，供应商可通过政府采购电子履约保函（保险）平台（www.jsdzbh.com）在线申请履约保函（保险）。</w:t>
      </w:r>
    </w:p>
    <w:p w14:paraId="2884013D">
      <w:pPr>
        <w:spacing w:line="440" w:lineRule="exact"/>
        <w:ind w:firstLine="480" w:firstLineChars="200"/>
        <w:rPr>
          <w:rFonts w:hint="default" w:ascii="宋体" w:hAnsi="宋体" w:cs="宋体"/>
          <w:color w:val="auto"/>
          <w:sz w:val="24"/>
          <w:szCs w:val="24"/>
          <w:highlight w:val="none"/>
          <w:lang w:val="en-US"/>
        </w:rPr>
      </w:pPr>
      <w:r>
        <w:rPr>
          <w:rFonts w:hint="eastAsia" w:eastAsia="Arial"/>
          <w:b w:val="0"/>
          <w:bCs w:val="0"/>
          <w:color w:val="auto"/>
          <w:sz w:val="24"/>
          <w:szCs w:val="20"/>
          <w:highlight w:val="none"/>
          <w:lang w:val="zh-CN"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olor w:val="auto"/>
          <w:sz w:val="24"/>
          <w:szCs w:val="24"/>
          <w:highlight w:val="none"/>
        </w:rPr>
        <w:t>本项目约定为</w:t>
      </w:r>
      <w:r>
        <w:rPr>
          <w:rFonts w:hint="eastAsia" w:ascii="宋体" w:hAnsi="宋体"/>
          <w:color w:val="auto"/>
          <w:sz w:val="24"/>
          <w:szCs w:val="24"/>
          <w:highlight w:val="none"/>
          <w:lang w:val="en-US" w:eastAsia="zh-CN"/>
        </w:rPr>
        <w:t>免缴履约保证金</w:t>
      </w:r>
      <w:r>
        <w:rPr>
          <w:rFonts w:hint="eastAsia" w:ascii="宋体" w:hAnsi="宋体"/>
          <w:color w:val="auto"/>
          <w:sz w:val="24"/>
          <w:szCs w:val="24"/>
          <w:highlight w:val="none"/>
        </w:rPr>
        <w:t>。</w:t>
      </w:r>
    </w:p>
    <w:p w14:paraId="1740E695">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w:t>
      </w:r>
    </w:p>
    <w:p w14:paraId="32E5E54E">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w:t>
      </w:r>
    </w:p>
    <w:p w14:paraId="657AD0A3">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bookmarkEnd w:id="53"/>
    <w:bookmarkEnd w:id="54"/>
    <w:bookmarkEnd w:id="55"/>
    <w:bookmarkEnd w:id="56"/>
    <w:p w14:paraId="00D2D049">
      <w:pPr>
        <w:jc w:val="center"/>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第三章  合同</w:t>
      </w:r>
      <w:bookmarkEnd w:id="40"/>
      <w:bookmarkEnd w:id="41"/>
      <w:bookmarkEnd w:id="42"/>
      <w:bookmarkEnd w:id="43"/>
      <w:bookmarkEnd w:id="44"/>
      <w:r>
        <w:rPr>
          <w:rFonts w:hint="eastAsia" w:ascii="宋体" w:hAnsi="宋体" w:cs="宋体"/>
          <w:b/>
          <w:color w:val="auto"/>
          <w:sz w:val="36"/>
          <w:szCs w:val="36"/>
          <w:highlight w:val="none"/>
          <w:lang w:val="en-US" w:eastAsia="zh-CN"/>
        </w:rPr>
        <w:t>文本</w:t>
      </w:r>
    </w:p>
    <w:p w14:paraId="4FF8BF13">
      <w:pPr>
        <w:spacing w:line="500" w:lineRule="exact"/>
        <w:ind w:firstLine="480" w:firstLineChars="200"/>
        <w:rPr>
          <w:rFonts w:ascii="宋体" w:hAnsi="宋体" w:cs="宋体"/>
          <w:bCs/>
          <w:color w:val="auto"/>
          <w:sz w:val="24"/>
          <w:szCs w:val="24"/>
          <w:highlight w:val="none"/>
        </w:rPr>
      </w:pPr>
      <w:bookmarkStart w:id="156" w:name="_Toc16938559"/>
      <w:bookmarkStart w:id="157" w:name="_Toc513029243"/>
      <w:bookmarkStart w:id="158" w:name="_Toc20823315"/>
      <w:r>
        <w:rPr>
          <w:rFonts w:hint="eastAsia" w:ascii="宋体" w:hAnsi="宋体" w:cs="宋体"/>
          <w:bCs/>
          <w:color w:val="auto"/>
          <w:sz w:val="24"/>
          <w:szCs w:val="24"/>
          <w:highlight w:val="none"/>
        </w:rPr>
        <w:t>以下为中标后</w:t>
      </w:r>
      <w:r>
        <w:rPr>
          <w:rFonts w:hint="eastAsia" w:ascii="宋体" w:hAnsi="宋体" w:cs="宋体"/>
          <w:bCs/>
          <w:color w:val="auto"/>
          <w:sz w:val="24"/>
          <w:szCs w:val="24"/>
          <w:highlight w:val="none"/>
          <w:lang w:eastAsia="zh-CN"/>
        </w:rPr>
        <w:t>签订</w:t>
      </w:r>
      <w:r>
        <w:rPr>
          <w:rFonts w:hint="eastAsia" w:ascii="宋体" w:hAnsi="宋体" w:cs="宋体"/>
          <w:bCs/>
          <w:color w:val="auto"/>
          <w:sz w:val="24"/>
          <w:szCs w:val="24"/>
          <w:highlight w:val="none"/>
        </w:rPr>
        <w:t>本项目合同的通用条款，中标人不得提出实质性的修改，关于专用条款将由采购人与中标人结合本项目具体情况协商后签订。</w:t>
      </w:r>
    </w:p>
    <w:bookmarkEnd w:id="156"/>
    <w:bookmarkEnd w:id="157"/>
    <w:bookmarkEnd w:id="158"/>
    <w:p w14:paraId="5EBB0296">
      <w:pPr>
        <w:snapToGrid w:val="0"/>
        <w:spacing w:before="143" w:beforeLines="50" w:after="143" w:afterLines="50" w:line="560" w:lineRule="exact"/>
        <w:jc w:val="center"/>
        <w:outlineLvl w:val="1"/>
        <w:rPr>
          <w:rFonts w:ascii="宋体" w:hAnsi="宋体"/>
          <w:b/>
          <w:bCs/>
          <w:color w:val="auto"/>
          <w:sz w:val="30"/>
          <w:szCs w:val="20"/>
          <w:highlight w:val="none"/>
        </w:rPr>
      </w:pPr>
      <w:bookmarkStart w:id="159" w:name="_Toc16938590"/>
      <w:bookmarkStart w:id="160" w:name="_Toc120614244"/>
      <w:bookmarkStart w:id="161" w:name="_Toc20823346"/>
      <w:bookmarkStart w:id="162" w:name="_Toc26554093"/>
      <w:bookmarkStart w:id="163" w:name="_Toc479757211"/>
      <w:bookmarkStart w:id="164" w:name="_Toc462564139"/>
      <w:bookmarkStart w:id="165" w:name="_Toc49090575"/>
      <w:r>
        <w:rPr>
          <w:rFonts w:hint="eastAsia" w:ascii="宋体" w:hAnsi="宋体"/>
          <w:b/>
          <w:color w:val="auto"/>
          <w:sz w:val="30"/>
          <w:highlight w:val="none"/>
        </w:rPr>
        <w:t>政府采购合同</w:t>
      </w:r>
    </w:p>
    <w:p w14:paraId="4DC6A483">
      <w:pPr>
        <w:spacing w:line="520" w:lineRule="exact"/>
        <w:ind w:firstLine="480" w:firstLineChars="200"/>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项目名称：</w:t>
      </w:r>
      <w:r>
        <w:rPr>
          <w:rFonts w:hint="eastAsia" w:ascii="宋体" w:hAnsi="宋体" w:cs="宋体"/>
          <w:color w:val="auto"/>
          <w:sz w:val="24"/>
          <w:szCs w:val="22"/>
          <w:highlight w:val="none"/>
          <w:lang w:eastAsia="zh-CN"/>
        </w:rPr>
        <w:t>2025年盐南高新区农贸市场食品安全快检服务采购项目</w:t>
      </w:r>
    </w:p>
    <w:p w14:paraId="4EE46996">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甲方（采购人）：江苏省盐南高新技术产业开发区市场监督管理局</w:t>
      </w:r>
    </w:p>
    <w:p w14:paraId="0888B46A">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乙方（供应商）：                  （本次采购招标活动的成交供应商）</w:t>
      </w:r>
    </w:p>
    <w:p w14:paraId="6FD9A0BD">
      <w:pPr>
        <w:spacing w:line="520" w:lineRule="exact"/>
        <w:ind w:firstLine="420" w:firstLineChars="200"/>
        <w:rPr>
          <w:rFonts w:hint="eastAsia" w:ascii="宋体" w:hAnsi="宋体" w:eastAsia="宋体" w:cs="宋体"/>
          <w:color w:val="auto"/>
          <w:szCs w:val="20"/>
          <w:highlight w:val="none"/>
        </w:rPr>
      </w:pPr>
    </w:p>
    <w:p w14:paraId="65693150">
      <w:pPr>
        <w:numPr>
          <w:ilvl w:val="0"/>
          <w:numId w:val="2"/>
        </w:numPr>
        <w:spacing w:line="520" w:lineRule="exact"/>
        <w:ind w:firstLine="480" w:firstLineChars="200"/>
        <w:outlineLvl w:val="0"/>
        <w:rPr>
          <w:rStyle w:val="25"/>
          <w:rFonts w:hAnsi="宋体" w:cs="宋体"/>
          <w:b w:val="0"/>
          <w:color w:val="auto"/>
          <w:sz w:val="24"/>
          <w:szCs w:val="24"/>
          <w:highlight w:val="none"/>
        </w:rPr>
      </w:pPr>
      <w:r>
        <w:rPr>
          <w:rStyle w:val="25"/>
          <w:rFonts w:hAnsi="宋体" w:cs="宋体"/>
          <w:b w:val="0"/>
          <w:color w:val="auto"/>
          <w:sz w:val="24"/>
          <w:szCs w:val="24"/>
          <w:highlight w:val="none"/>
        </w:rPr>
        <w:t>乙双方根据</w:t>
      </w:r>
      <w:r>
        <w:rPr>
          <w:rStyle w:val="25"/>
          <w:rFonts w:hint="eastAsia" w:hAnsi="宋体" w:cs="宋体"/>
          <w:b w:val="0"/>
          <w:color w:val="auto"/>
          <w:sz w:val="24"/>
          <w:szCs w:val="24"/>
          <w:highlight w:val="none"/>
          <w:u w:val="single"/>
          <w:lang w:eastAsia="zh-CN"/>
        </w:rPr>
        <w:t>2025年盐南高新区农贸市场食品安全快检服务采购项目</w:t>
      </w:r>
      <w:r>
        <w:rPr>
          <w:rStyle w:val="25"/>
          <w:rFonts w:hAnsi="宋体" w:cs="宋体"/>
          <w:b w:val="0"/>
          <w:color w:val="auto"/>
          <w:sz w:val="24"/>
          <w:szCs w:val="24"/>
          <w:highlight w:val="none"/>
        </w:rPr>
        <w:t>的结果，签署本合同。</w:t>
      </w:r>
    </w:p>
    <w:p w14:paraId="3187890C">
      <w:pPr>
        <w:numPr>
          <w:ilvl w:val="0"/>
          <w:numId w:val="0"/>
        </w:numPr>
        <w:spacing w:line="520" w:lineRule="exact"/>
        <w:ind w:firstLine="482" w:firstLineChars="200"/>
        <w:outlineLvl w:val="0"/>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一、定义</w:t>
      </w:r>
    </w:p>
    <w:p w14:paraId="074B351E">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本合同中的下列术语应解释为：</w:t>
      </w:r>
    </w:p>
    <w:p w14:paraId="3824D120">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“合同”系指甲方与乙方签署的、合同条款中载明的甲方与乙方所达成的协议，包括所有的附件、附录和构成合同的所有文件。</w:t>
      </w:r>
    </w:p>
    <w:p w14:paraId="49B6451F">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“货物”系指乙方根据合同规定须向甲方提供的一切有关</w:t>
      </w:r>
      <w:r>
        <w:rPr>
          <w:rFonts w:hint="eastAsia" w:ascii="宋体" w:hAnsi="宋体" w:eastAsia="宋体" w:cs="宋体"/>
          <w:color w:val="auto"/>
          <w:sz w:val="24"/>
          <w:szCs w:val="22"/>
          <w:highlight w:val="none"/>
          <w:lang w:eastAsia="zh-CN"/>
        </w:rPr>
        <w:t>202</w:t>
      </w:r>
      <w:r>
        <w:rPr>
          <w:rFonts w:hint="eastAsia" w:ascii="宋体" w:hAnsi="宋体" w:cs="宋体"/>
          <w:color w:val="auto"/>
          <w:sz w:val="24"/>
          <w:szCs w:val="22"/>
          <w:highlight w:val="none"/>
          <w:lang w:val="en-US" w:eastAsia="zh-CN"/>
        </w:rPr>
        <w:t>5</w:t>
      </w:r>
      <w:r>
        <w:rPr>
          <w:rFonts w:hint="eastAsia" w:ascii="宋体" w:hAnsi="宋体" w:eastAsia="宋体" w:cs="宋体"/>
          <w:color w:val="auto"/>
          <w:sz w:val="24"/>
          <w:szCs w:val="22"/>
          <w:highlight w:val="none"/>
          <w:lang w:eastAsia="zh-CN"/>
        </w:rPr>
        <w:t>年盐南高新区农贸市场快检服务采购项目</w:t>
      </w:r>
      <w:r>
        <w:rPr>
          <w:rFonts w:hint="eastAsia" w:ascii="宋体" w:hAnsi="宋体" w:eastAsia="宋体" w:cs="宋体"/>
          <w:color w:val="auto"/>
          <w:sz w:val="24"/>
          <w:szCs w:val="22"/>
          <w:highlight w:val="none"/>
        </w:rPr>
        <w:t>采购文件中所包含的设施、设备、备件、工具、手册、技术资料及其他相关材料。</w:t>
      </w:r>
    </w:p>
    <w:p w14:paraId="43450EF8">
      <w:pPr>
        <w:pStyle w:val="10"/>
        <w:spacing w:line="520" w:lineRule="exact"/>
        <w:ind w:firstLine="480" w:firstLineChars="200"/>
        <w:rPr>
          <w:rFonts w:hint="eastAsia"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3</w:t>
      </w:r>
      <w:r>
        <w:rPr>
          <w:rFonts w:hint="eastAsia" w:ascii="宋体" w:hAnsi="宋体" w:cs="宋体"/>
          <w:color w:val="auto"/>
          <w:kern w:val="2"/>
          <w:sz w:val="24"/>
          <w:szCs w:val="22"/>
          <w:highlight w:val="none"/>
          <w:lang w:eastAsia="zh-CN"/>
        </w:rPr>
        <w:t>.</w:t>
      </w:r>
      <w:r>
        <w:rPr>
          <w:rFonts w:hint="eastAsia" w:ascii="宋体" w:hAnsi="宋体" w:eastAsia="宋体" w:cs="宋体"/>
          <w:color w:val="auto"/>
          <w:kern w:val="2"/>
          <w:sz w:val="24"/>
          <w:szCs w:val="22"/>
          <w:highlight w:val="none"/>
        </w:rPr>
        <w:t>“服务”系指根据采购文件规定乙方须承担的所有有关服务，</w:t>
      </w:r>
      <w:r>
        <w:rPr>
          <w:rFonts w:hint="eastAsia" w:ascii="宋体" w:hAnsi="宋体" w:eastAsia="宋体" w:cs="宋体"/>
          <w:b w:val="0"/>
          <w:bCs w:val="0"/>
          <w:color w:val="auto"/>
          <w:kern w:val="0"/>
          <w:sz w:val="24"/>
          <w:highlight w:val="none"/>
        </w:rPr>
        <w:t>对1</w:t>
      </w:r>
      <w:r>
        <w:rPr>
          <w:rFonts w:hint="eastAsia" w:ascii="宋体" w:hAnsi="宋体" w:cs="宋体"/>
          <w:b w:val="0"/>
          <w:bCs w:val="0"/>
          <w:color w:val="auto"/>
          <w:kern w:val="0"/>
          <w:sz w:val="24"/>
          <w:highlight w:val="none"/>
          <w:lang w:val="en-US" w:eastAsia="zh-CN"/>
        </w:rPr>
        <w:t>5</w:t>
      </w:r>
      <w:r>
        <w:rPr>
          <w:rFonts w:hint="eastAsia" w:ascii="宋体" w:hAnsi="宋体" w:eastAsia="宋体" w:cs="宋体"/>
          <w:b w:val="0"/>
          <w:bCs w:val="0"/>
          <w:color w:val="auto"/>
          <w:kern w:val="0"/>
          <w:sz w:val="24"/>
          <w:highlight w:val="none"/>
        </w:rPr>
        <w:t>家农贸市场检测室的快检运营服务，主要负责每个检测室的日常运营、检测工具设备投入、样品购买、检测耗材、检测试剂、检测人员工资、检测数据公示、检测数据传输与储存等，所有检测数据信息归采购方所有，不得外传并需为采购方保存检测数据至少2年；</w:t>
      </w:r>
      <w:r>
        <w:rPr>
          <w:rFonts w:hint="eastAsia" w:ascii="宋体" w:hAnsi="宋体" w:eastAsia="宋体" w:cs="宋体"/>
          <w:color w:val="auto"/>
          <w:kern w:val="2"/>
          <w:sz w:val="24"/>
          <w:szCs w:val="22"/>
          <w:highlight w:val="none"/>
        </w:rPr>
        <w:t>服务期限自合同签订之日至202</w:t>
      </w:r>
      <w:r>
        <w:rPr>
          <w:rFonts w:hint="eastAsia" w:ascii="宋体" w:hAnsi="宋体" w:cs="宋体"/>
          <w:color w:val="auto"/>
          <w:kern w:val="2"/>
          <w:sz w:val="24"/>
          <w:szCs w:val="22"/>
          <w:highlight w:val="none"/>
          <w:lang w:val="en-US" w:eastAsia="zh-CN"/>
        </w:rPr>
        <w:t>5</w:t>
      </w:r>
      <w:r>
        <w:rPr>
          <w:rFonts w:hint="eastAsia" w:ascii="宋体" w:hAnsi="宋体" w:eastAsia="宋体" w:cs="宋体"/>
          <w:color w:val="auto"/>
          <w:kern w:val="2"/>
          <w:sz w:val="24"/>
          <w:szCs w:val="22"/>
          <w:highlight w:val="none"/>
        </w:rPr>
        <w:t>年12月31日。所需费用全部包含在投标报价中，运营过程中不再追加任何费用。</w:t>
      </w:r>
    </w:p>
    <w:p w14:paraId="4D9F9AD2">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签订合同文件的依据</w:t>
      </w:r>
    </w:p>
    <w:p w14:paraId="7B164BB0">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（1）合同签订后双方有关项目的洽商、变更等书面协议或文件；</w:t>
      </w:r>
    </w:p>
    <w:p w14:paraId="7DE50324">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（2）甲方的《</w:t>
      </w:r>
      <w:r>
        <w:rPr>
          <w:rFonts w:hint="eastAsia" w:ascii="宋体" w:hAnsi="宋体" w:eastAsia="宋体" w:cs="宋体"/>
          <w:color w:val="auto"/>
          <w:sz w:val="24"/>
          <w:szCs w:val="22"/>
          <w:highlight w:val="none"/>
          <w:lang w:eastAsia="zh-CN"/>
        </w:rPr>
        <w:t>202</w:t>
      </w:r>
      <w:r>
        <w:rPr>
          <w:rFonts w:hint="eastAsia" w:ascii="宋体" w:hAnsi="宋体" w:cs="宋体"/>
          <w:color w:val="auto"/>
          <w:sz w:val="24"/>
          <w:szCs w:val="22"/>
          <w:highlight w:val="none"/>
          <w:lang w:val="en-US" w:eastAsia="zh-CN"/>
        </w:rPr>
        <w:t>5</w:t>
      </w:r>
      <w:r>
        <w:rPr>
          <w:rFonts w:hint="eastAsia" w:ascii="宋体" w:hAnsi="宋体" w:eastAsia="宋体" w:cs="宋体"/>
          <w:color w:val="auto"/>
          <w:sz w:val="24"/>
          <w:szCs w:val="22"/>
          <w:highlight w:val="none"/>
          <w:lang w:eastAsia="zh-CN"/>
        </w:rPr>
        <w:t>年盐南高新区农贸市场快检服务采购项目</w:t>
      </w:r>
      <w:r>
        <w:rPr>
          <w:rFonts w:hint="eastAsia" w:ascii="宋体" w:hAnsi="宋体" w:eastAsia="宋体" w:cs="宋体"/>
          <w:color w:val="auto"/>
          <w:sz w:val="24"/>
          <w:szCs w:val="22"/>
          <w:highlight w:val="none"/>
        </w:rPr>
        <w:t>》采购文件以及相关的补充文件；</w:t>
      </w:r>
    </w:p>
    <w:p w14:paraId="39CF031F">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（3）乙方所有的响应文件及澄清文件；</w:t>
      </w:r>
    </w:p>
    <w:p w14:paraId="77D03903">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（4）中标（成交）通知书；</w:t>
      </w:r>
    </w:p>
    <w:p w14:paraId="2CDF947B">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（5）标准、规范及有关技术文件；</w:t>
      </w:r>
    </w:p>
    <w:p w14:paraId="0D6BBFAB">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（6）合同附件：乙方的响应文件。</w:t>
      </w:r>
    </w:p>
    <w:p w14:paraId="6BEC1832">
      <w:pPr>
        <w:spacing w:line="520" w:lineRule="exact"/>
        <w:ind w:firstLine="480" w:firstLineChars="200"/>
        <w:outlineLvl w:val="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二、</w:t>
      </w:r>
      <w:r>
        <w:rPr>
          <w:rFonts w:hint="eastAsia" w:ascii="宋体" w:hAnsi="宋体" w:eastAsia="宋体" w:cs="宋体"/>
          <w:b/>
          <w:color w:val="auto"/>
          <w:sz w:val="24"/>
          <w:szCs w:val="22"/>
          <w:highlight w:val="none"/>
        </w:rPr>
        <w:t>合同金额</w:t>
      </w:r>
    </w:p>
    <w:p w14:paraId="58BBE262">
      <w:pPr>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本</w:t>
      </w:r>
      <w:bookmarkStart w:id="166" w:name="_Hlk81919231"/>
      <w:r>
        <w:rPr>
          <w:rFonts w:hint="eastAsia" w:ascii="宋体" w:hAnsi="宋体" w:eastAsia="宋体" w:cs="宋体"/>
          <w:color w:val="auto"/>
          <w:sz w:val="24"/>
          <w:szCs w:val="22"/>
          <w:highlight w:val="none"/>
        </w:rPr>
        <w:t>合同总金额</w:t>
      </w:r>
      <w:bookmarkEnd w:id="166"/>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人民币大写</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人民币小写</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w:t>
      </w:r>
    </w:p>
    <w:p w14:paraId="60129C86">
      <w:pPr>
        <w:pStyle w:val="7"/>
        <w:pageBreakBefore w:val="0"/>
        <w:widowControl w:val="0"/>
        <w:kinsoku/>
        <w:wordWrap/>
        <w:overflowPunct/>
        <w:topLinePunct w:val="0"/>
        <w:autoSpaceDE/>
        <w:autoSpaceDN/>
        <w:bidi w:val="0"/>
        <w:adjustRightInd/>
        <w:snapToGrid/>
        <w:spacing w:before="0" w:after="0"/>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sz w:val="24"/>
          <w:szCs w:val="22"/>
          <w:highlight w:val="none"/>
          <w:lang w:val="en-US" w:eastAsia="zh-CN"/>
        </w:rPr>
        <w:t xml:space="preserve">总批次为100000批，折合单价： </w:t>
      </w:r>
      <w:r>
        <w:rPr>
          <w:rFonts w:hint="eastAsia" w:ascii="宋体" w:hAnsi="宋体" w:eastAsia="宋体" w:cs="宋体"/>
          <w:b w:val="0"/>
          <w:bCs w:val="0"/>
          <w:color w:val="auto"/>
          <w:sz w:val="24"/>
          <w:szCs w:val="22"/>
          <w:highlight w:val="none"/>
          <w:u w:val="single"/>
        </w:rPr>
        <w:t xml:space="preserve">  </w:t>
      </w:r>
      <w:r>
        <w:rPr>
          <w:rFonts w:hint="eastAsia" w:ascii="宋体" w:hAnsi="宋体" w:eastAsia="宋体" w:cs="宋体"/>
          <w:b w:val="0"/>
          <w:bCs w:val="0"/>
          <w:color w:val="auto"/>
          <w:sz w:val="24"/>
          <w:szCs w:val="22"/>
          <w:highlight w:val="none"/>
          <w:u w:val="single"/>
          <w:lang w:val="en-US" w:eastAsia="zh-CN"/>
        </w:rPr>
        <w:t xml:space="preserve">     </w:t>
      </w:r>
      <w:r>
        <w:rPr>
          <w:rFonts w:hint="eastAsia" w:ascii="宋体" w:hAnsi="宋体" w:eastAsia="宋体" w:cs="宋体"/>
          <w:b w:val="0"/>
          <w:bCs w:val="0"/>
          <w:color w:val="auto"/>
          <w:sz w:val="24"/>
          <w:szCs w:val="22"/>
          <w:highlight w:val="none"/>
          <w:u w:val="single"/>
        </w:rPr>
        <w:t xml:space="preserve">  </w:t>
      </w:r>
      <w:r>
        <w:rPr>
          <w:rFonts w:hint="eastAsia" w:ascii="宋体" w:hAnsi="宋体" w:eastAsia="宋体" w:cs="宋体"/>
          <w:b w:val="0"/>
          <w:bCs w:val="0"/>
          <w:color w:val="auto"/>
          <w:sz w:val="24"/>
          <w:szCs w:val="22"/>
          <w:highlight w:val="none"/>
          <w:u w:val="none"/>
          <w:lang w:val="en-US" w:eastAsia="zh-CN"/>
        </w:rPr>
        <w:t>元/批次</w:t>
      </w:r>
      <w:r>
        <w:rPr>
          <w:rFonts w:hint="eastAsia" w:ascii="宋体" w:hAnsi="宋体" w:eastAsia="宋体" w:cs="宋体"/>
          <w:b w:val="0"/>
          <w:bCs w:val="0"/>
          <w:color w:val="auto"/>
          <w:sz w:val="24"/>
          <w:szCs w:val="22"/>
          <w:highlight w:val="none"/>
          <w:lang w:val="en-US" w:eastAsia="zh-CN"/>
        </w:rPr>
        <w:t>。</w:t>
      </w:r>
    </w:p>
    <w:p w14:paraId="0DDD5339">
      <w:pPr>
        <w:spacing w:line="520" w:lineRule="exact"/>
        <w:ind w:firstLine="480" w:firstLineChars="200"/>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2</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上述合同总金额包括</w:t>
      </w:r>
      <w:bookmarkStart w:id="167" w:name="_Hlk81919081"/>
      <w:r>
        <w:rPr>
          <w:rFonts w:hint="eastAsia" w:ascii="宋体" w:hAnsi="宋体" w:eastAsia="宋体" w:cs="宋体"/>
          <w:color w:val="auto"/>
          <w:sz w:val="24"/>
          <w:szCs w:val="22"/>
          <w:highlight w:val="none"/>
        </w:rPr>
        <w:t>乙方</w:t>
      </w:r>
      <w:bookmarkEnd w:id="167"/>
      <w:r>
        <w:rPr>
          <w:rFonts w:hint="eastAsia" w:ascii="宋体" w:hAnsi="宋体" w:eastAsia="宋体" w:cs="宋体"/>
          <w:color w:val="auto"/>
          <w:sz w:val="24"/>
          <w:szCs w:val="22"/>
          <w:highlight w:val="none"/>
        </w:rPr>
        <w:t>为完成</w:t>
      </w:r>
      <w:r>
        <w:rPr>
          <w:rFonts w:hint="eastAsia" w:ascii="宋体" w:hAnsi="宋体" w:eastAsia="宋体" w:cs="宋体"/>
          <w:color w:val="auto"/>
          <w:sz w:val="24"/>
          <w:szCs w:val="22"/>
          <w:highlight w:val="none"/>
          <w:lang w:eastAsia="zh-CN"/>
        </w:rPr>
        <w:t>202</w:t>
      </w:r>
      <w:r>
        <w:rPr>
          <w:rFonts w:hint="eastAsia" w:ascii="宋体" w:hAnsi="宋体" w:cs="宋体"/>
          <w:color w:val="auto"/>
          <w:sz w:val="24"/>
          <w:szCs w:val="22"/>
          <w:highlight w:val="none"/>
          <w:lang w:val="en-US" w:eastAsia="zh-CN"/>
        </w:rPr>
        <w:t>5</w:t>
      </w:r>
      <w:r>
        <w:rPr>
          <w:rFonts w:hint="eastAsia" w:ascii="宋体" w:hAnsi="宋体" w:eastAsia="宋体" w:cs="宋体"/>
          <w:color w:val="auto"/>
          <w:sz w:val="24"/>
          <w:szCs w:val="22"/>
          <w:highlight w:val="none"/>
          <w:lang w:eastAsia="zh-CN"/>
        </w:rPr>
        <w:t>年盐南高新区农贸市场快检服务采购项目</w:t>
      </w:r>
      <w:r>
        <w:rPr>
          <w:rFonts w:hint="eastAsia" w:ascii="宋体" w:hAnsi="宋体" w:eastAsia="宋体" w:cs="宋体"/>
          <w:color w:val="auto"/>
          <w:sz w:val="24"/>
          <w:szCs w:val="22"/>
          <w:highlight w:val="none"/>
        </w:rPr>
        <w:t>磋商采购文件所确定的采购及服务范围内的全部内容，是</w:t>
      </w:r>
      <w:bookmarkStart w:id="168" w:name="_Hlk81919291"/>
      <w:r>
        <w:rPr>
          <w:rFonts w:hint="eastAsia" w:ascii="宋体" w:hAnsi="宋体" w:eastAsia="宋体" w:cs="宋体"/>
          <w:color w:val="auto"/>
          <w:sz w:val="24"/>
          <w:szCs w:val="22"/>
          <w:highlight w:val="none"/>
        </w:rPr>
        <w:t>乙方</w:t>
      </w:r>
      <w:bookmarkEnd w:id="168"/>
      <w:r>
        <w:rPr>
          <w:rFonts w:hint="eastAsia" w:ascii="宋体" w:hAnsi="宋体" w:eastAsia="宋体" w:cs="宋体"/>
          <w:color w:val="auto"/>
          <w:sz w:val="24"/>
          <w:szCs w:val="22"/>
          <w:highlight w:val="none"/>
        </w:rPr>
        <w:t>对本次采购提出的各项支付金额的总和，是乙方完成本项目所发生的所有含税费用（包括但不仅限于乙方为完成本项目采购内容所必须的质量保证与技术支持、采用、分析、报告、检测、培训、售后服务、仪器设备投入）、支付给员工的工资和国家强制缴纳的各种社会保障资金，以及乙方认为需要的其他费用等。合同总金额还包括了乙方所有人员工资、劳务支出、配套费用、保险、税费及服务相关等所发生的全部费用以及乙方企业利润、税金、招标代理服务费和政策性文件规定及合同包含的所有风险、责任等各项应有费用。同时，除非合同条款中另有规定，否则，合同总金额在合同实施期间不因市场变化因素而变动。</w:t>
      </w:r>
      <w:r>
        <w:rPr>
          <w:rFonts w:hint="eastAsia" w:ascii="宋体" w:hAnsi="宋体" w:eastAsia="宋体" w:cs="宋体"/>
          <w:b/>
          <w:bCs/>
          <w:color w:val="auto"/>
          <w:sz w:val="24"/>
          <w:szCs w:val="22"/>
          <w:highlight w:val="none"/>
          <w:lang w:eastAsia="zh-CN"/>
        </w:rPr>
        <w:t>最终金额按实际抽检的批次结算</w:t>
      </w:r>
      <w:r>
        <w:rPr>
          <w:rFonts w:hint="eastAsia" w:ascii="宋体" w:hAnsi="宋体" w:eastAsia="宋体" w:cs="宋体"/>
          <w:color w:val="auto"/>
          <w:sz w:val="24"/>
          <w:szCs w:val="22"/>
          <w:highlight w:val="none"/>
          <w:lang w:eastAsia="zh-CN"/>
        </w:rPr>
        <w:t>。</w:t>
      </w:r>
    </w:p>
    <w:p w14:paraId="3123DAEE">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w:t>
      </w:r>
      <w:bookmarkStart w:id="169" w:name="_Hlk2258479"/>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乙方</w:t>
      </w:r>
      <w:bookmarkEnd w:id="169"/>
      <w:r>
        <w:rPr>
          <w:rFonts w:hint="eastAsia" w:ascii="宋体" w:hAnsi="宋体" w:eastAsia="宋体" w:cs="宋体"/>
          <w:color w:val="auto"/>
          <w:sz w:val="24"/>
          <w:szCs w:val="22"/>
          <w:highlight w:val="none"/>
        </w:rPr>
        <w:t>在履行合同过程中，所发生的全部生产、生活费用均由乙方负责。</w:t>
      </w:r>
    </w:p>
    <w:p w14:paraId="28DB0406">
      <w:pPr>
        <w:spacing w:line="520" w:lineRule="exact"/>
        <w:ind w:firstLine="482" w:firstLineChars="200"/>
        <w:outlineLvl w:val="0"/>
        <w:rPr>
          <w:rFonts w:hint="eastAsia" w:ascii="宋体" w:hAnsi="宋体" w:eastAsia="宋体" w:cs="宋体"/>
          <w:color w:val="auto"/>
          <w:sz w:val="24"/>
          <w:szCs w:val="22"/>
          <w:highlight w:val="none"/>
        </w:rPr>
      </w:pPr>
      <w:r>
        <w:rPr>
          <w:rFonts w:hint="eastAsia" w:ascii="宋体" w:hAnsi="宋体" w:eastAsia="宋体" w:cs="宋体"/>
          <w:b/>
          <w:color w:val="auto"/>
          <w:sz w:val="24"/>
          <w:szCs w:val="22"/>
          <w:highlight w:val="none"/>
        </w:rPr>
        <w:t>三、税费</w:t>
      </w:r>
    </w:p>
    <w:p w14:paraId="14D40B7B">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val="en-US" w:eastAsia="zh-CN"/>
        </w:rPr>
        <w:t>.</w:t>
      </w:r>
      <w:r>
        <w:rPr>
          <w:rFonts w:hint="eastAsia" w:ascii="宋体" w:hAnsi="宋体" w:eastAsia="宋体" w:cs="宋体"/>
          <w:color w:val="auto"/>
          <w:sz w:val="24"/>
          <w:szCs w:val="22"/>
          <w:highlight w:val="none"/>
        </w:rPr>
        <w:t>中国政府根据现行税法规定对乙方征收的、与本合同有关的一切税费，均由乙方负担。</w:t>
      </w:r>
    </w:p>
    <w:p w14:paraId="0BE3A4B8">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w:t>
      </w:r>
      <w:r>
        <w:rPr>
          <w:rFonts w:hint="eastAsia" w:ascii="宋体" w:hAnsi="宋体" w:cs="宋体"/>
          <w:color w:val="auto"/>
          <w:sz w:val="24"/>
          <w:szCs w:val="22"/>
          <w:highlight w:val="none"/>
          <w:lang w:val="en-US" w:eastAsia="zh-CN"/>
        </w:rPr>
        <w:t>.</w:t>
      </w:r>
      <w:r>
        <w:rPr>
          <w:rFonts w:hint="eastAsia" w:ascii="宋体" w:hAnsi="宋体" w:eastAsia="宋体" w:cs="宋体"/>
          <w:color w:val="auto"/>
          <w:sz w:val="24"/>
          <w:szCs w:val="22"/>
          <w:highlight w:val="none"/>
        </w:rPr>
        <w:t>在中国境外发生的与本合同执行过程的一切税费由乙方负担。</w:t>
      </w:r>
    </w:p>
    <w:p w14:paraId="52842940">
      <w:pPr>
        <w:spacing w:line="520" w:lineRule="exact"/>
        <w:ind w:firstLine="482" w:firstLineChars="200"/>
        <w:rPr>
          <w:rFonts w:hint="eastAsia" w:ascii="宋体" w:hAnsi="宋体" w:eastAsia="宋体" w:cs="宋体"/>
          <w:color w:val="auto"/>
          <w:sz w:val="24"/>
          <w:szCs w:val="22"/>
          <w:highlight w:val="none"/>
        </w:rPr>
      </w:pPr>
      <w:r>
        <w:rPr>
          <w:rFonts w:hint="eastAsia" w:ascii="宋体" w:hAnsi="宋体" w:eastAsia="宋体" w:cs="宋体"/>
          <w:b/>
          <w:color w:val="auto"/>
          <w:sz w:val="24"/>
          <w:szCs w:val="20"/>
          <w:highlight w:val="none"/>
        </w:rPr>
        <w:t>四、</w:t>
      </w:r>
      <w:bookmarkStart w:id="170" w:name="_Hlk81919483"/>
      <w:r>
        <w:rPr>
          <w:rFonts w:hint="eastAsia" w:ascii="宋体" w:hAnsi="宋体" w:eastAsia="宋体" w:cs="宋体"/>
          <w:b/>
          <w:color w:val="auto"/>
          <w:sz w:val="24"/>
          <w:szCs w:val="20"/>
          <w:highlight w:val="none"/>
        </w:rPr>
        <w:t>服务范围</w:t>
      </w:r>
      <w:bookmarkEnd w:id="170"/>
      <w:r>
        <w:rPr>
          <w:rFonts w:hint="eastAsia" w:ascii="宋体" w:hAnsi="宋体" w:eastAsia="宋体" w:cs="宋体"/>
          <w:b/>
          <w:color w:val="auto"/>
          <w:sz w:val="24"/>
          <w:szCs w:val="20"/>
          <w:highlight w:val="none"/>
        </w:rPr>
        <w:t>和合同履行期限</w:t>
      </w:r>
    </w:p>
    <w:p w14:paraId="47264B98">
      <w:pPr>
        <w:spacing w:line="520" w:lineRule="exact"/>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rPr>
        <w:t>服务范围：对1</w:t>
      </w:r>
      <w:r>
        <w:rPr>
          <w:rFonts w:hint="eastAsia" w:ascii="宋体" w:hAnsi="宋体" w:cs="宋体"/>
          <w:color w:val="auto"/>
          <w:sz w:val="24"/>
          <w:szCs w:val="20"/>
          <w:highlight w:val="none"/>
          <w:lang w:val="en-US" w:eastAsia="zh-CN"/>
        </w:rPr>
        <w:t>5</w:t>
      </w:r>
      <w:r>
        <w:rPr>
          <w:rFonts w:hint="eastAsia" w:ascii="宋体" w:hAnsi="宋体" w:eastAsia="宋体" w:cs="宋体"/>
          <w:color w:val="auto"/>
          <w:sz w:val="24"/>
          <w:szCs w:val="20"/>
          <w:highlight w:val="none"/>
        </w:rPr>
        <w:t>家农贸市场检测室的快检运营服务</w:t>
      </w:r>
      <w:r>
        <w:rPr>
          <w:rFonts w:hint="eastAsia" w:ascii="宋体" w:hAnsi="宋体" w:cs="宋体"/>
          <w:color w:val="auto"/>
          <w:sz w:val="24"/>
          <w:szCs w:val="20"/>
          <w:highlight w:val="none"/>
          <w:lang w:eastAsia="zh-CN"/>
        </w:rPr>
        <w:t>（农贸市场快检室数量根据全区农贸市场分布需要，可以动态调整）</w:t>
      </w:r>
      <w:r>
        <w:rPr>
          <w:rFonts w:hint="eastAsia" w:ascii="宋体" w:hAnsi="宋体" w:eastAsia="宋体" w:cs="宋体"/>
          <w:color w:val="auto"/>
          <w:sz w:val="24"/>
          <w:szCs w:val="20"/>
          <w:highlight w:val="none"/>
        </w:rPr>
        <w:t>，主要负责每个检测室的日常运营、检测工具设备投入、样品购买、检测耗材、检测试剂、检测人员工资、检测数据公示、检测数据传输与储存等，所有检测数据信息归采购方所有，不得外传并需为采购方保存检测数据至少2年。所需费用全部包含在投标报价中，运营过程中不再追加任何费用。</w:t>
      </w:r>
    </w:p>
    <w:p w14:paraId="11BD1DFD">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2</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rPr>
        <w:t>合同履行期限：</w:t>
      </w:r>
      <w:r>
        <w:rPr>
          <w:rFonts w:hint="eastAsia" w:ascii="宋体" w:hAnsi="宋体" w:cs="宋体"/>
          <w:color w:val="auto"/>
          <w:sz w:val="24"/>
          <w:szCs w:val="20"/>
          <w:highlight w:val="none"/>
          <w:lang w:val="en-US" w:eastAsia="zh-CN"/>
        </w:rPr>
        <w:t>本合同履行期限暂定壹年。</w:t>
      </w:r>
      <w:r>
        <w:rPr>
          <w:rFonts w:hint="eastAsia" w:ascii="Times New Roman" w:hAnsi="Times New Roman" w:eastAsia="宋体" w:cs="Times New Roman"/>
          <w:color w:val="auto"/>
          <w:sz w:val="24"/>
          <w:szCs w:val="20"/>
          <w:highlight w:val="none"/>
        </w:rPr>
        <w:t>合同一年一签，经甲方考核合格可续签一年，具体按甲方要求执行。</w:t>
      </w:r>
      <w:r>
        <w:rPr>
          <w:rFonts w:hint="eastAsia" w:ascii="宋体" w:hAnsi="宋体" w:eastAsia="宋体" w:cs="宋体"/>
          <w:b w:val="0"/>
          <w:bCs w:val="0"/>
          <w:color w:val="auto"/>
          <w:kern w:val="0"/>
          <w:sz w:val="24"/>
          <w:szCs w:val="24"/>
          <w:highlight w:val="none"/>
          <w:lang w:val="en-US" w:eastAsia="zh-CN"/>
        </w:rPr>
        <w:t>中标后三个工作日内签订合同，</w:t>
      </w:r>
      <w:r>
        <w:rPr>
          <w:rFonts w:hint="eastAsia" w:ascii="宋体" w:hAnsi="宋体" w:cs="宋体"/>
          <w:b w:val="0"/>
          <w:bCs w:val="0"/>
          <w:color w:val="auto"/>
          <w:kern w:val="0"/>
          <w:sz w:val="24"/>
          <w:szCs w:val="24"/>
          <w:highlight w:val="none"/>
          <w:lang w:val="en-US" w:eastAsia="zh-CN"/>
        </w:rPr>
        <w:t>合同签订后</w:t>
      </w:r>
      <w:r>
        <w:rPr>
          <w:rFonts w:hint="eastAsia" w:ascii="宋体" w:hAnsi="宋体" w:eastAsia="宋体" w:cs="宋体"/>
          <w:b w:val="0"/>
          <w:bCs w:val="0"/>
          <w:color w:val="auto"/>
          <w:kern w:val="0"/>
          <w:sz w:val="24"/>
          <w:highlight w:val="none"/>
          <w:lang w:val="en-US" w:eastAsia="zh-CN"/>
        </w:rPr>
        <w:t>7个工作</w:t>
      </w:r>
      <w:r>
        <w:rPr>
          <w:rFonts w:hint="eastAsia" w:ascii="宋体" w:hAnsi="宋体" w:eastAsia="宋体" w:cs="宋体"/>
          <w:b w:val="0"/>
          <w:bCs w:val="0"/>
          <w:color w:val="auto"/>
          <w:kern w:val="0"/>
          <w:sz w:val="24"/>
          <w:highlight w:val="none"/>
        </w:rPr>
        <w:t>日内完成检测人员招聘</w:t>
      </w:r>
      <w:r>
        <w:rPr>
          <w:rFonts w:hint="eastAsia" w:ascii="宋体" w:hAnsi="宋体" w:eastAsia="宋体" w:cs="宋体"/>
          <w:b w:val="0"/>
          <w:bCs w:val="0"/>
          <w:color w:val="auto"/>
          <w:kern w:val="0"/>
          <w:sz w:val="24"/>
          <w:highlight w:val="none"/>
          <w:lang w:val="en-US" w:eastAsia="zh-CN"/>
        </w:rPr>
        <w:t>及培训</w:t>
      </w:r>
      <w:r>
        <w:rPr>
          <w:rFonts w:hint="eastAsia" w:ascii="宋体" w:hAnsi="宋体" w:eastAsia="宋体" w:cs="宋体"/>
          <w:b w:val="0"/>
          <w:bCs w:val="0"/>
          <w:color w:val="auto"/>
          <w:kern w:val="0"/>
          <w:sz w:val="24"/>
          <w:highlight w:val="none"/>
        </w:rPr>
        <w:t>工作</w:t>
      </w:r>
      <w:r>
        <w:rPr>
          <w:rFonts w:hint="eastAsia" w:ascii="宋体" w:hAnsi="宋体" w:eastAsia="宋体" w:cs="宋体"/>
          <w:b w:val="0"/>
          <w:bCs w:val="0"/>
          <w:color w:val="auto"/>
          <w:kern w:val="0"/>
          <w:sz w:val="24"/>
          <w:highlight w:val="none"/>
          <w:lang w:val="en-US" w:eastAsia="zh-CN"/>
        </w:rPr>
        <w:t>并</w:t>
      </w:r>
      <w:r>
        <w:rPr>
          <w:rFonts w:hint="eastAsia" w:ascii="宋体" w:hAnsi="宋体" w:eastAsia="宋体" w:cs="宋体"/>
          <w:b w:val="0"/>
          <w:bCs w:val="0"/>
          <w:color w:val="auto"/>
          <w:kern w:val="0"/>
          <w:sz w:val="24"/>
          <w:highlight w:val="none"/>
        </w:rPr>
        <w:t>正常开展</w:t>
      </w:r>
      <w:r>
        <w:rPr>
          <w:rFonts w:hint="eastAsia" w:ascii="宋体" w:hAnsi="宋体" w:eastAsia="宋体" w:cs="宋体"/>
          <w:b w:val="0"/>
          <w:bCs w:val="0"/>
          <w:color w:val="auto"/>
          <w:kern w:val="0"/>
          <w:sz w:val="24"/>
          <w:highlight w:val="none"/>
          <w:lang w:val="en-US" w:eastAsia="zh-CN"/>
        </w:rPr>
        <w:t>日常检测</w:t>
      </w:r>
      <w:r>
        <w:rPr>
          <w:rFonts w:hint="eastAsia" w:ascii="宋体" w:hAnsi="宋体" w:eastAsia="宋体" w:cs="宋体"/>
          <w:b w:val="0"/>
          <w:bCs w:val="0"/>
          <w:color w:val="auto"/>
          <w:kern w:val="0"/>
          <w:sz w:val="24"/>
          <w:highlight w:val="none"/>
        </w:rPr>
        <w:t>工作。运营期限从本合同签订之日至202</w:t>
      </w:r>
      <w:r>
        <w:rPr>
          <w:rFonts w:hint="eastAsia" w:ascii="宋体" w:hAnsi="宋体" w:cs="宋体"/>
          <w:b w:val="0"/>
          <w:bCs w:val="0"/>
          <w:color w:val="auto"/>
          <w:kern w:val="0"/>
          <w:sz w:val="24"/>
          <w:highlight w:val="none"/>
          <w:lang w:val="en-US" w:eastAsia="zh-CN"/>
        </w:rPr>
        <w:t>5</w:t>
      </w:r>
      <w:r>
        <w:rPr>
          <w:rFonts w:hint="eastAsia" w:ascii="宋体" w:hAnsi="宋体" w:eastAsia="宋体" w:cs="宋体"/>
          <w:b w:val="0"/>
          <w:bCs w:val="0"/>
          <w:color w:val="auto"/>
          <w:kern w:val="0"/>
          <w:sz w:val="24"/>
          <w:highlight w:val="none"/>
        </w:rPr>
        <w:t>年</w:t>
      </w:r>
      <w:r>
        <w:rPr>
          <w:rFonts w:hint="eastAsia" w:ascii="宋体" w:hAnsi="宋体" w:eastAsia="宋体" w:cs="宋体"/>
          <w:b w:val="0"/>
          <w:bCs w:val="0"/>
          <w:color w:val="auto"/>
          <w:kern w:val="0"/>
          <w:sz w:val="24"/>
          <w:highlight w:val="none"/>
          <w:lang w:val="en-US" w:eastAsia="zh-CN"/>
        </w:rPr>
        <w:t>12月31日</w:t>
      </w:r>
      <w:r>
        <w:rPr>
          <w:rFonts w:hint="eastAsia" w:ascii="宋体" w:hAnsi="宋体" w:eastAsia="宋体" w:cs="宋体"/>
          <w:color w:val="auto"/>
          <w:sz w:val="24"/>
          <w:szCs w:val="22"/>
          <w:highlight w:val="none"/>
        </w:rPr>
        <w:t>。</w:t>
      </w:r>
    </w:p>
    <w:p w14:paraId="5F1CD711">
      <w:pPr>
        <w:spacing w:line="520" w:lineRule="exact"/>
        <w:ind w:firstLine="482" w:firstLineChars="20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五、服务地点</w:t>
      </w:r>
    </w:p>
    <w:p w14:paraId="744635EA">
      <w:pPr>
        <w:spacing w:line="520" w:lineRule="exact"/>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盐南高新区范围内的农贸市场，采购人指定地点。</w:t>
      </w:r>
    </w:p>
    <w:p w14:paraId="5847DC8B">
      <w:pPr>
        <w:spacing w:line="52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szCs w:val="22"/>
          <w:highlight w:val="none"/>
        </w:rPr>
        <w:t>六、权利保证</w:t>
      </w:r>
    </w:p>
    <w:p w14:paraId="764007DA">
      <w:pPr>
        <w:spacing w:line="520" w:lineRule="exact"/>
        <w:ind w:firstLine="480" w:firstLineChars="200"/>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1.</w:t>
      </w:r>
      <w:r>
        <w:rPr>
          <w:rFonts w:hint="eastAsia" w:ascii="宋体" w:hAnsi="宋体" w:eastAsia="宋体" w:cs="宋体"/>
          <w:color w:val="auto"/>
          <w:sz w:val="24"/>
          <w:szCs w:val="20"/>
          <w:highlight w:val="none"/>
        </w:rPr>
        <w:t>乙方应保证甲方在使用本项目的服务或其任何一部分时不受第三方提出侵犯其专利权、版权、商标权或其他权利的起诉。一旦出现侵权，乙方应承担全部责任。</w:t>
      </w:r>
    </w:p>
    <w:p w14:paraId="5982CAC5">
      <w:pPr>
        <w:spacing w:line="52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szCs w:val="22"/>
          <w:highlight w:val="none"/>
        </w:rPr>
        <w:t>七、质量保证</w:t>
      </w:r>
    </w:p>
    <w:p w14:paraId="03EA7D8A">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val="en-US" w:eastAsia="zh-CN"/>
        </w:rPr>
        <w:t>.</w:t>
      </w:r>
      <w:r>
        <w:rPr>
          <w:rFonts w:hint="eastAsia" w:ascii="宋体" w:hAnsi="宋体" w:eastAsia="宋体" w:cs="宋体"/>
          <w:color w:val="auto"/>
          <w:sz w:val="24"/>
          <w:szCs w:val="22"/>
          <w:highlight w:val="none"/>
        </w:rPr>
        <w:t>符合相关最新标准和要求。</w:t>
      </w:r>
    </w:p>
    <w:p w14:paraId="3B406D44">
      <w:pPr>
        <w:spacing w:line="520" w:lineRule="exact"/>
        <w:ind w:firstLine="480" w:firstLineChars="200"/>
        <w:rPr>
          <w:rFonts w:hint="eastAsia" w:ascii="宋体" w:hAnsi="宋体" w:eastAsia="宋体" w:cs="宋体"/>
          <w:b/>
          <w:color w:val="auto"/>
          <w:sz w:val="24"/>
          <w:szCs w:val="22"/>
          <w:highlight w:val="none"/>
        </w:rPr>
      </w:pPr>
      <w:r>
        <w:rPr>
          <w:rFonts w:hint="eastAsia" w:ascii="宋体" w:hAnsi="宋体" w:eastAsia="宋体" w:cs="宋体"/>
          <w:color w:val="auto"/>
          <w:sz w:val="24"/>
          <w:szCs w:val="22"/>
          <w:highlight w:val="none"/>
        </w:rPr>
        <w:t>2</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乙方所提供的</w:t>
      </w:r>
      <w:r>
        <w:rPr>
          <w:rFonts w:hint="eastAsia" w:ascii="宋体" w:hAnsi="宋体" w:cs="宋体"/>
          <w:color w:val="auto"/>
          <w:sz w:val="24"/>
          <w:szCs w:val="22"/>
          <w:highlight w:val="none"/>
          <w:lang w:eastAsia="zh-CN"/>
        </w:rPr>
        <w:t>服务</w:t>
      </w:r>
      <w:r>
        <w:rPr>
          <w:rFonts w:hint="eastAsia" w:ascii="宋体" w:hAnsi="宋体" w:eastAsia="宋体" w:cs="宋体"/>
          <w:color w:val="auto"/>
          <w:sz w:val="24"/>
          <w:szCs w:val="22"/>
          <w:highlight w:val="none"/>
        </w:rPr>
        <w:t>须满足本项目采购文件的规定，若无特殊说明，则以国家或行业有关部门最新颁布的标准及规范为准。</w:t>
      </w:r>
    </w:p>
    <w:p w14:paraId="6F04C84B">
      <w:pPr>
        <w:spacing w:line="520" w:lineRule="exact"/>
        <w:ind w:firstLine="482" w:firstLineChars="200"/>
        <w:rPr>
          <w:rFonts w:hint="default" w:ascii="宋体" w:hAnsi="宋体" w:eastAsia="宋体" w:cs="宋体"/>
          <w:color w:val="auto"/>
          <w:sz w:val="24"/>
          <w:szCs w:val="22"/>
          <w:highlight w:val="none"/>
          <w:lang w:val="en-US" w:eastAsia="zh-CN"/>
        </w:rPr>
      </w:pPr>
      <w:r>
        <w:rPr>
          <w:rFonts w:hint="eastAsia" w:ascii="宋体" w:hAnsi="宋体" w:eastAsia="宋体" w:cs="宋体"/>
          <w:b/>
          <w:color w:val="auto"/>
          <w:sz w:val="24"/>
          <w:szCs w:val="22"/>
          <w:highlight w:val="none"/>
        </w:rPr>
        <w:t>八、付款</w:t>
      </w:r>
      <w:r>
        <w:rPr>
          <w:rFonts w:hint="eastAsia" w:ascii="宋体" w:hAnsi="宋体" w:eastAsia="宋体" w:cs="宋体"/>
          <w:b/>
          <w:color w:val="auto"/>
          <w:sz w:val="24"/>
          <w:szCs w:val="22"/>
          <w:highlight w:val="none"/>
          <w:lang w:val="en-US" w:eastAsia="zh-CN"/>
        </w:rPr>
        <w:t>方式及履约保证金</w:t>
      </w:r>
    </w:p>
    <w:p w14:paraId="0BB18017">
      <w:pPr>
        <w:spacing w:line="520" w:lineRule="exact"/>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bCs/>
          <w:color w:val="auto"/>
          <w:sz w:val="24"/>
          <w:highlight w:val="none"/>
          <w:lang w:val="en-US" w:eastAsia="zh-CN"/>
        </w:rPr>
        <w:t>1</w:t>
      </w:r>
      <w:r>
        <w:rPr>
          <w:rFonts w:hint="eastAsia" w:ascii="宋体" w:hAnsi="宋体" w:cs="宋体"/>
          <w:bCs/>
          <w:color w:val="auto"/>
          <w:sz w:val="24"/>
          <w:highlight w:val="none"/>
          <w:lang w:val="en-US" w:eastAsia="zh-CN"/>
        </w:rPr>
        <w:t>.</w:t>
      </w:r>
      <w:r>
        <w:rPr>
          <w:rFonts w:hint="eastAsia" w:ascii="宋体" w:hAnsi="宋体" w:eastAsia="宋体" w:cs="宋体"/>
          <w:color w:val="auto"/>
          <w:sz w:val="24"/>
          <w:szCs w:val="22"/>
          <w:highlight w:val="none"/>
          <w:lang w:val="en-US" w:eastAsia="zh-CN"/>
        </w:rPr>
        <w:t>预付款支付时间：</w:t>
      </w:r>
      <w:r>
        <w:rPr>
          <w:rFonts w:hint="eastAsia" w:ascii="宋体" w:hAnsi="宋体" w:eastAsia="宋体" w:cs="宋体"/>
          <w:color w:val="auto"/>
          <w:sz w:val="24"/>
          <w:szCs w:val="22"/>
          <w:highlight w:val="none"/>
        </w:rPr>
        <w:t>合同签订</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乙方开具发票后</w:t>
      </w:r>
      <w:r>
        <w:rPr>
          <w:rFonts w:hint="eastAsia" w:ascii="宋体" w:hAnsi="宋体" w:eastAsia="宋体" w:cs="宋体"/>
          <w:color w:val="auto"/>
          <w:sz w:val="24"/>
          <w:szCs w:val="22"/>
          <w:highlight w:val="none"/>
        </w:rPr>
        <w:t>30日内，预付款支付比例：合同金额的</w:t>
      </w:r>
      <w:r>
        <w:rPr>
          <w:rFonts w:hint="eastAsia" w:ascii="宋体" w:hAnsi="宋体" w:eastAsia="宋体" w:cs="宋体"/>
          <w:color w:val="auto"/>
          <w:sz w:val="24"/>
          <w:szCs w:val="22"/>
          <w:highlight w:val="none"/>
          <w:lang w:val="en-US" w:eastAsia="zh-CN"/>
        </w:rPr>
        <w:t>30</w:t>
      </w:r>
      <w:r>
        <w:rPr>
          <w:rFonts w:hint="eastAsia" w:ascii="宋体" w:hAnsi="宋体" w:eastAsia="宋体" w:cs="宋体"/>
          <w:color w:val="auto"/>
          <w:sz w:val="24"/>
          <w:szCs w:val="22"/>
          <w:highlight w:val="none"/>
        </w:rPr>
        <w:t>%。</w:t>
      </w:r>
    </w:p>
    <w:p w14:paraId="2314710A">
      <w:pPr>
        <w:pStyle w:val="15"/>
        <w:keepNext w:val="0"/>
        <w:keepLines w:val="0"/>
        <w:pageBreakBefore w:val="0"/>
        <w:widowControl w:val="0"/>
        <w:kinsoku/>
        <w:wordWrap/>
        <w:overflowPunct/>
        <w:topLinePunct w:val="0"/>
        <w:autoSpaceDE/>
        <w:autoSpaceDN/>
        <w:bidi w:val="0"/>
        <w:adjustRightInd/>
        <w:snapToGrid w:val="0"/>
        <w:spacing w:before="120" w:after="120" w:line="460" w:lineRule="exact"/>
        <w:ind w:firstLine="480" w:firstLineChars="200"/>
        <w:textAlignment w:val="auto"/>
        <w:rPr>
          <w:rFonts w:hint="eastAsia" w:ascii="宋体" w:hAnsi="宋体" w:eastAsia="宋体" w:cs="宋体"/>
          <w:bCs/>
          <w:color w:val="auto"/>
          <w:sz w:val="24"/>
          <w:highlight w:val="none"/>
        </w:rPr>
      </w:pPr>
      <w:r>
        <w:rPr>
          <w:rFonts w:hint="eastAsia" w:ascii="宋体" w:hAnsi="宋体" w:cs="宋体"/>
          <w:color w:val="auto"/>
          <w:sz w:val="24"/>
          <w:szCs w:val="22"/>
          <w:highlight w:val="none"/>
          <w:lang w:val="en-US" w:eastAsia="zh-CN"/>
        </w:rPr>
        <w:t>2</w:t>
      </w:r>
      <w:r>
        <w:rPr>
          <w:rFonts w:hint="eastAsia" w:hAnsi="宋体" w:cs="宋体"/>
          <w:color w:val="auto"/>
          <w:sz w:val="24"/>
          <w:szCs w:val="22"/>
          <w:highlight w:val="none"/>
          <w:lang w:val="en-US" w:eastAsia="zh-CN"/>
        </w:rPr>
        <w:t>.</w:t>
      </w:r>
      <w:r>
        <w:rPr>
          <w:rFonts w:hint="eastAsia" w:ascii="宋体" w:hAnsi="宋体" w:eastAsia="宋体" w:cs="宋体"/>
          <w:color w:val="auto"/>
          <w:sz w:val="24"/>
          <w:szCs w:val="22"/>
          <w:highlight w:val="none"/>
        </w:rPr>
        <w:t>甲方按</w:t>
      </w:r>
      <w:r>
        <w:rPr>
          <w:rFonts w:hint="eastAsia" w:ascii="宋体" w:hAnsi="宋体" w:cs="宋体"/>
          <w:color w:val="auto"/>
          <w:sz w:val="24"/>
          <w:szCs w:val="22"/>
          <w:highlight w:val="none"/>
          <w:lang w:val="en-US" w:eastAsia="zh-CN"/>
        </w:rPr>
        <w:t>季度</w:t>
      </w:r>
      <w:r>
        <w:rPr>
          <w:rFonts w:hint="eastAsia" w:ascii="宋体" w:hAnsi="宋体" w:eastAsia="宋体" w:cs="宋体"/>
          <w:color w:val="auto"/>
          <w:sz w:val="24"/>
          <w:szCs w:val="22"/>
          <w:highlight w:val="none"/>
        </w:rPr>
        <w:t>向乙方支付服务费</w:t>
      </w:r>
      <w:r>
        <w:rPr>
          <w:rFonts w:hint="eastAsia" w:ascii="宋体" w:hAnsi="宋体" w:eastAsia="宋体" w:cs="宋体"/>
          <w:bCs/>
          <w:color w:val="auto"/>
          <w:sz w:val="24"/>
          <w:highlight w:val="none"/>
        </w:rPr>
        <w:t>，</w:t>
      </w:r>
      <w:r>
        <w:rPr>
          <w:rFonts w:hint="eastAsia" w:ascii="宋体" w:hAnsi="宋体" w:eastAsia="宋体" w:cs="宋体"/>
          <w:color w:val="auto"/>
          <w:sz w:val="24"/>
          <w:szCs w:val="22"/>
          <w:highlight w:val="none"/>
        </w:rPr>
        <w:t>付款以人民币通过银行给付，统一汇至乙方</w:t>
      </w:r>
      <w:r>
        <w:rPr>
          <w:rFonts w:hint="eastAsia" w:ascii="宋体" w:hAnsi="宋体" w:eastAsia="宋体" w:cs="宋体"/>
          <w:color w:val="auto"/>
          <w:kern w:val="0"/>
          <w:sz w:val="24"/>
          <w:szCs w:val="22"/>
          <w:highlight w:val="none"/>
        </w:rPr>
        <w:t>的单位银行账户。具体付款进度如下：</w:t>
      </w:r>
      <w:r>
        <w:rPr>
          <w:rFonts w:hint="eastAsia" w:ascii="宋体" w:hAnsi="宋体" w:eastAsia="宋体" w:cs="宋体"/>
          <w:bCs/>
          <w:color w:val="auto"/>
          <w:sz w:val="24"/>
          <w:highlight w:val="none"/>
        </w:rPr>
        <w:t>按</w:t>
      </w:r>
      <w:r>
        <w:rPr>
          <w:rFonts w:hint="eastAsia" w:hAnsi="宋体" w:cs="宋体"/>
          <w:bCs/>
          <w:color w:val="auto"/>
          <w:sz w:val="24"/>
          <w:highlight w:val="none"/>
          <w:lang w:val="en-US" w:eastAsia="zh-CN"/>
        </w:rPr>
        <w:t>实际检测的农产品批次数，按季度据实</w:t>
      </w:r>
      <w:r>
        <w:rPr>
          <w:rFonts w:hint="eastAsia" w:ascii="宋体" w:hAnsi="宋体" w:eastAsia="宋体" w:cs="宋体"/>
          <w:bCs/>
          <w:color w:val="auto"/>
          <w:sz w:val="24"/>
          <w:highlight w:val="none"/>
        </w:rPr>
        <w:t>结算，12月底支付</w:t>
      </w:r>
      <w:r>
        <w:rPr>
          <w:rFonts w:hint="eastAsia" w:hAnsi="宋体" w:cs="宋体"/>
          <w:bCs/>
          <w:color w:val="auto"/>
          <w:sz w:val="24"/>
          <w:highlight w:val="none"/>
          <w:lang w:val="en-US" w:eastAsia="zh-CN"/>
        </w:rPr>
        <w:t>全部</w:t>
      </w:r>
      <w:r>
        <w:rPr>
          <w:rFonts w:hint="eastAsia" w:ascii="宋体" w:hAnsi="宋体" w:eastAsia="宋体" w:cs="宋体"/>
          <w:bCs/>
          <w:color w:val="auto"/>
          <w:sz w:val="24"/>
          <w:highlight w:val="none"/>
        </w:rPr>
        <w:t>款</w:t>
      </w:r>
      <w:r>
        <w:rPr>
          <w:rFonts w:hint="eastAsia" w:hAnsi="宋体" w:cs="宋体"/>
          <w:bCs/>
          <w:color w:val="auto"/>
          <w:sz w:val="24"/>
          <w:highlight w:val="none"/>
          <w:lang w:val="en-US" w:eastAsia="zh-CN"/>
        </w:rPr>
        <w:t>项</w:t>
      </w:r>
      <w:r>
        <w:rPr>
          <w:rFonts w:hint="eastAsia" w:ascii="宋体" w:hAnsi="宋体" w:eastAsia="宋体" w:cs="宋体"/>
          <w:bCs/>
          <w:color w:val="auto"/>
          <w:sz w:val="24"/>
          <w:highlight w:val="none"/>
        </w:rPr>
        <w:t>（需通过考核，如有不合格事项，按约定扣除相应金额）。</w:t>
      </w:r>
    </w:p>
    <w:p w14:paraId="45717DD6">
      <w:pPr>
        <w:pStyle w:val="15"/>
        <w:keepNext w:val="0"/>
        <w:keepLines w:val="0"/>
        <w:pageBreakBefore w:val="0"/>
        <w:widowControl w:val="0"/>
        <w:kinsoku/>
        <w:wordWrap/>
        <w:overflowPunct/>
        <w:topLinePunct w:val="0"/>
        <w:autoSpaceDE/>
        <w:autoSpaceDN/>
        <w:bidi w:val="0"/>
        <w:adjustRightInd/>
        <w:snapToGrid w:val="0"/>
        <w:spacing w:before="120" w:after="120" w:line="46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hAnsi="宋体" w:cs="宋体"/>
          <w:bCs/>
          <w:color w:val="auto"/>
          <w:sz w:val="24"/>
          <w:highlight w:val="none"/>
          <w:lang w:val="en-US" w:eastAsia="zh-CN"/>
        </w:rPr>
        <w:t>.</w:t>
      </w:r>
      <w:r>
        <w:rPr>
          <w:rFonts w:hint="eastAsia" w:ascii="宋体" w:hAnsi="宋体" w:eastAsia="宋体" w:cs="宋体"/>
          <w:bCs/>
          <w:color w:val="auto"/>
          <w:sz w:val="24"/>
          <w:highlight w:val="none"/>
        </w:rPr>
        <w:t>履约保证金</w:t>
      </w:r>
    </w:p>
    <w:p w14:paraId="09080DD7">
      <w:pPr>
        <w:pStyle w:val="15"/>
        <w:keepNext w:val="0"/>
        <w:keepLines w:val="0"/>
        <w:pageBreakBefore w:val="0"/>
        <w:widowControl w:val="0"/>
        <w:kinsoku/>
        <w:wordWrap/>
        <w:overflowPunct/>
        <w:topLinePunct w:val="0"/>
        <w:autoSpaceDE/>
        <w:autoSpaceDN/>
        <w:bidi w:val="0"/>
        <w:adjustRightInd/>
        <w:snapToGrid w:val="0"/>
        <w:spacing w:before="120" w:after="120" w:line="460" w:lineRule="exact"/>
        <w:ind w:firstLine="480" w:firstLineChars="200"/>
        <w:textAlignment w:val="auto"/>
        <w:rPr>
          <w:rFonts w:hint="eastAsia" w:ascii="宋体" w:hAnsi="宋体" w:eastAsia="宋体" w:cs="宋体"/>
          <w:bCs/>
          <w:color w:val="auto"/>
          <w:sz w:val="24"/>
          <w:highlight w:val="none"/>
          <w:lang w:eastAsia="zh-CN"/>
        </w:rPr>
      </w:pPr>
      <w:r>
        <w:rPr>
          <w:rFonts w:hint="eastAsia" w:hAnsi="宋体" w:cs="宋体"/>
          <w:bCs/>
          <w:color w:val="auto"/>
          <w:sz w:val="24"/>
          <w:highlight w:val="none"/>
          <w:lang w:val="en-US" w:eastAsia="zh-CN"/>
        </w:rPr>
        <w:t>3</w:t>
      </w: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乙方</w:t>
      </w:r>
      <w:r>
        <w:rPr>
          <w:rFonts w:hint="eastAsia" w:ascii="宋体" w:hAnsi="宋体" w:eastAsia="宋体" w:cs="宋体"/>
          <w:bCs/>
          <w:color w:val="auto"/>
          <w:sz w:val="24"/>
          <w:highlight w:val="none"/>
        </w:rPr>
        <w:t>在收到成交通知书后，签订采购合同前，应向采购人缴纳</w:t>
      </w:r>
      <w:r>
        <w:rPr>
          <w:rFonts w:hint="eastAsia" w:ascii="宋体" w:hAnsi="宋体" w:eastAsia="宋体" w:cs="宋体"/>
          <w:bCs/>
          <w:color w:val="auto"/>
          <w:sz w:val="24"/>
          <w:highlight w:val="none"/>
          <w:lang w:val="en-US" w:eastAsia="zh-CN"/>
        </w:rPr>
        <w:t>人民币</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lang w:val="en-US" w:eastAsia="zh-CN"/>
        </w:rPr>
        <w:t>元（</w:t>
      </w:r>
      <w:r>
        <w:rPr>
          <w:rFonts w:hint="eastAsia" w:ascii="宋体" w:hAnsi="宋体" w:eastAsia="宋体" w:cs="宋体"/>
          <w:bCs/>
          <w:color w:val="auto"/>
          <w:sz w:val="24"/>
          <w:highlight w:val="none"/>
        </w:rPr>
        <w:t>中标金额</w:t>
      </w:r>
      <w:r>
        <w:rPr>
          <w:rFonts w:hint="eastAsia" w:ascii="宋体" w:hAnsi="宋体" w:eastAsia="宋体" w:cs="宋体"/>
          <w:bCs/>
          <w:color w:val="auto"/>
          <w:sz w:val="24"/>
          <w:highlight w:val="none"/>
          <w:lang w:val="en-US" w:eastAsia="zh-CN"/>
        </w:rPr>
        <w:t>的</w:t>
      </w:r>
      <w:r>
        <w:rPr>
          <w:rFonts w:hint="eastAsia" w:hAnsi="宋体" w:cs="宋体"/>
          <w:bCs/>
          <w:color w:val="auto"/>
          <w:sz w:val="24"/>
          <w:highlight w:val="none"/>
          <w:lang w:val="en-US" w:eastAsia="zh-CN"/>
        </w:rPr>
        <w:t>5</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的履约保证金</w:t>
      </w:r>
      <w:r>
        <w:rPr>
          <w:rFonts w:hint="eastAsia" w:ascii="宋体" w:hAnsi="宋体" w:eastAsia="宋体" w:cs="宋体"/>
          <w:bCs/>
          <w:color w:val="auto"/>
          <w:sz w:val="24"/>
          <w:highlight w:val="none"/>
          <w:lang w:eastAsia="zh-CN"/>
        </w:rPr>
        <w:t>。</w:t>
      </w:r>
    </w:p>
    <w:p w14:paraId="412A0148">
      <w:pPr>
        <w:keepNext w:val="0"/>
        <w:keepLines w:val="0"/>
        <w:pageBreakBefore w:val="0"/>
        <w:widowControl w:val="0"/>
        <w:spacing w:line="500" w:lineRule="exact"/>
        <w:ind w:left="239" w:leftChars="114" w:firstLine="307" w:firstLineChars="128"/>
        <w:contextualSpacing/>
        <w:jc w:val="lef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注：</w:t>
      </w:r>
      <w:r>
        <w:rPr>
          <w:rFonts w:hint="eastAsia" w:ascii="宋体" w:hAnsi="宋体"/>
          <w:color w:val="auto"/>
          <w:sz w:val="24"/>
          <w:szCs w:val="24"/>
          <w:highlight w:val="none"/>
        </w:rPr>
        <w:t>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本项目约定为</w:t>
      </w:r>
      <w:r>
        <w:rPr>
          <w:rFonts w:hint="eastAsia" w:ascii="宋体" w:hAnsi="宋体"/>
          <w:color w:val="auto"/>
          <w:sz w:val="24"/>
          <w:szCs w:val="24"/>
          <w:highlight w:val="none"/>
          <w:lang w:val="en-US" w:eastAsia="zh-CN"/>
        </w:rPr>
        <w:t>免缴履约保证金</w:t>
      </w:r>
      <w:r>
        <w:rPr>
          <w:rFonts w:hint="eastAsia" w:ascii="宋体" w:hAnsi="宋体"/>
          <w:color w:val="auto"/>
          <w:sz w:val="24"/>
          <w:szCs w:val="24"/>
          <w:highlight w:val="none"/>
        </w:rPr>
        <w:t>。</w:t>
      </w:r>
    </w:p>
    <w:p w14:paraId="4851696D">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rPr>
      </w:pPr>
      <w:r>
        <w:rPr>
          <w:rFonts w:hint="eastAsia" w:ascii="宋体" w:hAnsi="宋体"/>
          <w:color w:val="auto"/>
          <w:sz w:val="24"/>
          <w:szCs w:val="24"/>
          <w:highlight w:val="none"/>
          <w:lang w:val="en-US" w:eastAsia="zh-CN"/>
        </w:rPr>
        <w:t>3.2、履约保证金缴纳形式：</w:t>
      </w:r>
      <w:r>
        <w:rPr>
          <w:rFonts w:hint="eastAsia" w:ascii="宋体" w:hAnsi="宋体"/>
          <w:color w:val="auto"/>
          <w:sz w:val="24"/>
          <w:szCs w:val="24"/>
          <w:highlight w:val="none"/>
        </w:rPr>
        <w:t xml:space="preserve">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                                                                                                                                                                                                                                                                                                                                                                                                                                                                                                                                                                                                                                                                                                                                                                                                                                                                                                                                                                                                                                                                                                                                                                                                                                                                                                                                                                                                                                                                                                                                                                                                                                                                                                                                                                                                                                                                                                                                                                                                                                                                                                                                                                                                                                                                                                                                                                                                                                                                                                                                                                                                                                                                                                                                                                                                                                                                                                                                                                                                                                                                                                                                                                                                                                                                                                                                                                                                                                                                                                                                                                                                                                        </w:t>
      </w:r>
    </w:p>
    <w:p w14:paraId="4488AD97">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3.3履约保证金的退还：</w:t>
      </w:r>
    </w:p>
    <w:p w14:paraId="4C6A9E70">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3.3.1方式：无息退还至投标人缴纳履约保证金的账户。如为保函，在到期时自行失效。</w:t>
      </w:r>
    </w:p>
    <w:p w14:paraId="1F09428A">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3.3.2时间：验收合格且采购人收到发票后30日内。</w:t>
      </w:r>
    </w:p>
    <w:p w14:paraId="445EEB3B">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3.3.3条件：按合同要求全部履约完成并经采购人验收合格，且采购人收到中标人出具的发票。</w:t>
      </w:r>
    </w:p>
    <w:p w14:paraId="1834C8B0">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3.3.4不予退还情形：</w:t>
      </w:r>
    </w:p>
    <w:p w14:paraId="6FDA9155">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除不可抗力情况外，投标人出现下列情形之一的，其履约保证金，招标人将视情节决定不予退还或部分不予退还。</w:t>
      </w:r>
    </w:p>
    <w:p w14:paraId="352BC29A">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（1）中标人无正当理由拒绝签订合同的，或者在签订合同时向采购人提出附加条件或者更改合同实质性内容要求的；</w:t>
      </w:r>
    </w:p>
    <w:p w14:paraId="346230F2">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（2）中标人不履行与采购人订立的合同的；</w:t>
      </w:r>
    </w:p>
    <w:p w14:paraId="79E65321">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（3）中标人所供货物或服务不符合招标文件规定要求的；</w:t>
      </w:r>
    </w:p>
    <w:p w14:paraId="25416B00">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（4）中标人采取欺骗、弄虚作假方式投标的或与其他投标人串通投标的；</w:t>
      </w:r>
    </w:p>
    <w:p w14:paraId="290C35D8">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（5）中标人将合同内容转包、违法分包的；</w:t>
      </w:r>
    </w:p>
    <w:p w14:paraId="68679331">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（6）中标人故意捏造事实或伪造证明材料，进行虚假恶意投诉或反映的。</w:t>
      </w:r>
    </w:p>
    <w:p w14:paraId="4E6222B8">
      <w:pPr>
        <w:keepNext w:val="0"/>
        <w:keepLines w:val="0"/>
        <w:pageBreakBefore w:val="0"/>
        <w:widowControl w:val="0"/>
        <w:spacing w:line="500" w:lineRule="exact"/>
        <w:ind w:left="239" w:leftChars="114" w:firstLine="307" w:firstLineChars="128"/>
        <w:contextualSpacing/>
        <w:jc w:val="left"/>
        <w:rPr>
          <w:rFonts w:hint="eastAsia" w:ascii="宋体" w:hAnsi="宋体"/>
          <w:color w:val="auto"/>
          <w:sz w:val="24"/>
          <w:szCs w:val="24"/>
          <w:highlight w:val="none"/>
        </w:rPr>
      </w:pPr>
      <w:r>
        <w:rPr>
          <w:rFonts w:hint="eastAsia" w:ascii="宋体" w:hAnsi="宋体"/>
          <w:color w:val="auto"/>
          <w:sz w:val="24"/>
          <w:szCs w:val="24"/>
          <w:highlight w:val="none"/>
          <w:lang w:val="en-US" w:eastAsia="zh-CN"/>
        </w:rPr>
        <w:t>3.3.5逾期退还的违约责任：采购人逾期无故未退还履约保证金的，按中国人民银行同期贷款基准利率上浮20%后的利率支付超期资金占用费，但因供应商自身原因导致无法及时退还的除外。</w:t>
      </w:r>
    </w:p>
    <w:p w14:paraId="15F56E11">
      <w:pPr>
        <w:spacing w:line="520" w:lineRule="exact"/>
        <w:ind w:firstLine="482" w:firstLineChars="200"/>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九、违约责任</w:t>
      </w:r>
    </w:p>
    <w:p w14:paraId="2B6A313B">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１</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甲方无正当理由拒收服务、拒付服务款的，甲方向乙方偿付合同总价的5%违约金。</w:t>
      </w:r>
    </w:p>
    <w:p w14:paraId="763B75B6">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如乙方不能交付服务的，甲方有权扣留全部履约保证金；同时乙方应向甲方支付合同总价5%的违约金。</w:t>
      </w:r>
    </w:p>
    <w:p w14:paraId="1EF5DD41">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 xml:space="preserve">乙方所交付的服务不符合合同规定的，甲方有权拒收。甲方拒收的，乙方应向甲方支付合同总价5%的违约金。 </w:t>
      </w:r>
    </w:p>
    <w:p w14:paraId="5C032BF0">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乙方在承担上述2-3款一项或多项违约责任后，仍应继续履行合同规定的义务（甲方解除合同的除外）。甲方未能及时追究乙方的任何一项违约责任并不表明甲方放弃追究乙方该项或其他违约责任</w:t>
      </w:r>
    </w:p>
    <w:p w14:paraId="6B395032">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由于乙方的过错造成合同无法继续履行的，除乙方履约保证金不予退还外，还应向甲方支付不少于合同总价30</w:t>
      </w:r>
      <w:r>
        <w:rPr>
          <w:rFonts w:hint="eastAsia" w:ascii="宋体" w:hAnsi="宋体" w:cs="宋体"/>
          <w:color w:val="auto"/>
          <w:sz w:val="24"/>
          <w:szCs w:val="22"/>
          <w:highlight w:val="none"/>
          <w:lang w:eastAsia="zh-CN"/>
        </w:rPr>
        <w:t>%的</w:t>
      </w:r>
      <w:r>
        <w:rPr>
          <w:rFonts w:hint="eastAsia" w:ascii="宋体" w:hAnsi="宋体" w:eastAsia="宋体" w:cs="宋体"/>
          <w:color w:val="auto"/>
          <w:sz w:val="24"/>
          <w:szCs w:val="22"/>
          <w:highlight w:val="none"/>
        </w:rPr>
        <w:t>赔偿金。</w:t>
      </w:r>
    </w:p>
    <w:p w14:paraId="657257EB">
      <w:pPr>
        <w:spacing w:line="520" w:lineRule="exact"/>
        <w:ind w:firstLine="482" w:firstLineChars="200"/>
        <w:outlineLvl w:val="0"/>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十、保密</w:t>
      </w:r>
    </w:p>
    <w:p w14:paraId="48254B8C">
      <w:pPr>
        <w:spacing w:line="520" w:lineRule="exact"/>
        <w:ind w:firstLine="480" w:firstLineChars="200"/>
        <w:outlineLvl w:val="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乙方对在本合同签订、履行过程中知悉的甲方资料和信息，以及关于本合同的相关信息，除甲方作出相应的书面说明外，均应视为甲方的保密信息，未经甲方书面同意不得向任何第三方披露。</w:t>
      </w:r>
    </w:p>
    <w:p w14:paraId="3825AE26">
      <w:pPr>
        <w:spacing w:line="520" w:lineRule="exact"/>
        <w:ind w:firstLine="480" w:firstLineChars="200"/>
        <w:outlineLvl w:val="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无论本合同是否变更、解除或终止，本合同的保密条款不受其限制而继续有效，乙方应继续承担保密条款约定的保密义务。若乙方未能遵守本合同约定的保密义务的，甲方可要求乙方支付本合同总金额20%的违约金，违约金不足以弥补甲方损失的，乙方应予以补足。同时，甲方有权视情节轻重单方解除合同。</w:t>
      </w:r>
    </w:p>
    <w:p w14:paraId="198A1343">
      <w:pPr>
        <w:spacing w:line="520" w:lineRule="exact"/>
        <w:ind w:firstLine="482" w:firstLineChars="200"/>
        <w:outlineLvl w:val="0"/>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十一、知识产权</w:t>
      </w:r>
    </w:p>
    <w:p w14:paraId="1213B993">
      <w:pPr>
        <w:spacing w:line="520" w:lineRule="exact"/>
        <w:ind w:firstLine="480" w:firstLineChars="200"/>
        <w:outlineLvl w:val="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信息化监管系统平台为本项目重要配套项目，乙方应对提交给甲方的资料的真实性、合法性、有效性负责，保证，在中华人民共和国境内使用的产品、服务或其任何一部分时，不会产生涉及第三方的专利权、商标权或其它知识产权所引起的法律和经济纠纷。若第三人提出此方面指控的与甲方无关，乙方应与第三人交涉，并承担可能发生的一切法律责任、费用和后果；若甲方因此而产生损失的，则乙方应赔偿甲方一切直接、间接损失。甲方有权视情无条件终止合同。</w:t>
      </w:r>
    </w:p>
    <w:p w14:paraId="1ACD071D">
      <w:pPr>
        <w:spacing w:line="520" w:lineRule="exact"/>
        <w:ind w:firstLine="480" w:firstLineChars="200"/>
        <w:outlineLvl w:val="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乙方履行本合同过程中产生的著作权等知识产权归甲方所有，未经甲方书面同意，乙方不得擅自使用或授权任何第三方使用。乙方违反前述约定的，应向甲方支付本合同总金额20%的违约金，违约金不足以弥补甲方损失的，乙方应予以补足。</w:t>
      </w:r>
    </w:p>
    <w:p w14:paraId="12947129">
      <w:pPr>
        <w:spacing w:line="520" w:lineRule="exact"/>
        <w:ind w:firstLine="480" w:firstLineChars="200"/>
        <w:outlineLvl w:val="0"/>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3.</w:t>
      </w:r>
      <w:r>
        <w:rPr>
          <w:rFonts w:hint="eastAsia" w:ascii="宋体" w:hAnsi="宋体" w:eastAsia="宋体" w:cs="宋体"/>
          <w:color w:val="auto"/>
          <w:sz w:val="24"/>
          <w:szCs w:val="20"/>
          <w:highlight w:val="none"/>
          <w:lang w:val="en-US" w:eastAsia="zh-CN"/>
        </w:rPr>
        <w:t>乙方在提供服务过程中产生的</w:t>
      </w:r>
      <w:r>
        <w:rPr>
          <w:rFonts w:hint="eastAsia" w:ascii="宋体" w:hAnsi="宋体" w:cs="宋体"/>
          <w:color w:val="auto"/>
          <w:sz w:val="24"/>
          <w:szCs w:val="20"/>
          <w:highlight w:val="none"/>
          <w:lang w:val="en-US" w:eastAsia="zh-CN"/>
        </w:rPr>
        <w:t>保存在乙方系统的</w:t>
      </w:r>
      <w:r>
        <w:rPr>
          <w:rFonts w:hint="eastAsia" w:ascii="宋体" w:hAnsi="宋体" w:eastAsia="宋体" w:cs="宋体"/>
          <w:color w:val="auto"/>
          <w:sz w:val="24"/>
          <w:szCs w:val="20"/>
          <w:highlight w:val="none"/>
          <w:lang w:val="en-US" w:eastAsia="zh-CN"/>
        </w:rPr>
        <w:t>市场主体数据</w:t>
      </w:r>
      <w:r>
        <w:rPr>
          <w:rFonts w:hint="eastAsia" w:ascii="宋体" w:hAnsi="宋体" w:cs="宋体"/>
          <w:color w:val="auto"/>
          <w:sz w:val="24"/>
          <w:szCs w:val="20"/>
          <w:highlight w:val="none"/>
          <w:lang w:val="en-US" w:eastAsia="zh-CN"/>
        </w:rPr>
        <w:t>（包括但不限于市场主体名称、人员管理、培训及抽检数据）包括</w:t>
      </w:r>
      <w:r>
        <w:rPr>
          <w:rFonts w:hint="eastAsia" w:ascii="宋体" w:hAnsi="宋体" w:eastAsia="宋体" w:cs="宋体"/>
          <w:color w:val="auto"/>
          <w:sz w:val="24"/>
          <w:szCs w:val="20"/>
          <w:highlight w:val="none"/>
          <w:lang w:val="en-US" w:eastAsia="zh-CN"/>
        </w:rPr>
        <w:t>归甲方所有，甲方要求提供时，乙方应在3个工作日内无条件提供。</w:t>
      </w:r>
      <w:r>
        <w:rPr>
          <w:rFonts w:hint="eastAsia" w:ascii="宋体" w:hAnsi="宋体" w:cs="宋体"/>
          <w:color w:val="auto"/>
          <w:sz w:val="24"/>
          <w:szCs w:val="20"/>
          <w:highlight w:val="none"/>
          <w:lang w:val="en-US" w:eastAsia="zh-CN"/>
        </w:rPr>
        <w:t>如乙方无正当理由不提供的，双方约定，乙方向甲方赔偿本合同总金额的50%。</w:t>
      </w:r>
    </w:p>
    <w:p w14:paraId="7BF877DE">
      <w:pPr>
        <w:spacing w:line="520" w:lineRule="exact"/>
        <w:ind w:firstLine="482" w:firstLineChars="200"/>
        <w:outlineLvl w:val="0"/>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十二、安全问题</w:t>
      </w:r>
    </w:p>
    <w:p w14:paraId="3342A3B7">
      <w:pPr>
        <w:spacing w:line="520" w:lineRule="exact"/>
        <w:ind w:firstLine="480" w:firstLineChars="200"/>
        <w:outlineLvl w:val="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乙方在本合同履行期间，必须考虑检测过程中的安全问题，所发生的一切货物损坏和人身伤害事故（不包括不可抗力因素），由乙方承担全部责任。</w:t>
      </w:r>
    </w:p>
    <w:p w14:paraId="0A6275F2">
      <w:pPr>
        <w:spacing w:line="520" w:lineRule="exact"/>
        <w:ind w:firstLine="482" w:firstLineChars="200"/>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十三、转让</w:t>
      </w:r>
    </w:p>
    <w:p w14:paraId="59663095">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除甲方事先书面同意外，乙方不得转让任何其应履行的合同义务。</w:t>
      </w:r>
    </w:p>
    <w:p w14:paraId="0F8297FA">
      <w:pPr>
        <w:spacing w:line="520" w:lineRule="exact"/>
        <w:ind w:firstLine="482" w:firstLineChars="200"/>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十四、不可抗力</w:t>
      </w:r>
    </w:p>
    <w:p w14:paraId="7E11AE19">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如果甲、乙双方因不可抗力而导致合同实施延误或不能履行合同义务，在不可抗力影响的范围内不应该被没收合同履约及维护保证金或已支付的款项，也不应该承担误期赔偿或延期付款赔偿或终止合同的责任。</w:t>
      </w:r>
    </w:p>
    <w:p w14:paraId="0ED8A63C">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本条所述的“不可抗力”系指那些双方不能预见、不能克服并无法避免的事件，但不包括任何一方的违约或疏忽。不可预见的事件包括，战争、严重火灾、洪水、台风、地震及其他双方同意的情况。</w:t>
      </w:r>
    </w:p>
    <w:p w14:paraId="7A0F407E">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在不可抗力事件发生后，受损方应尽快以书面形式将不可抗力的情况和原因通知对方，除对方书面另行要求外，受损</w:t>
      </w:r>
      <w:r>
        <w:rPr>
          <w:rFonts w:hint="eastAsia" w:ascii="宋体" w:hAnsi="宋体" w:cs="宋体"/>
          <w:color w:val="auto"/>
          <w:sz w:val="24"/>
          <w:szCs w:val="22"/>
          <w:highlight w:val="none"/>
          <w:lang w:eastAsia="zh-CN"/>
        </w:rPr>
        <w:t>方</w:t>
      </w:r>
      <w:r>
        <w:rPr>
          <w:rFonts w:hint="eastAsia" w:ascii="宋体" w:hAnsi="宋体" w:eastAsia="宋体" w:cs="宋体"/>
          <w:color w:val="auto"/>
          <w:sz w:val="24"/>
          <w:szCs w:val="22"/>
          <w:highlight w:val="none"/>
        </w:rPr>
        <w:t>应尽实际可能继续履行合同义务，以及寻求采取合理的方案履行因受不可抗力影响的其他事项。如果不可抗力事件影响延续超过规定的项目交付日期，双方应通过友好协商在合理的时间内就进一步实施合同达成协议。</w:t>
      </w:r>
    </w:p>
    <w:p w14:paraId="42C12B03">
      <w:pPr>
        <w:spacing w:line="520" w:lineRule="exact"/>
        <w:ind w:firstLine="482" w:firstLineChars="200"/>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十五、仲裁</w:t>
      </w:r>
    </w:p>
    <w:p w14:paraId="7830E7C7">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双方在执行合同中所发生的一切争议，应通过协商解决。如协商不成，可向合同签订地法院起诉，合同签订地在此约定为盐城市。</w:t>
      </w:r>
    </w:p>
    <w:p w14:paraId="48FF7451">
      <w:pPr>
        <w:spacing w:line="520" w:lineRule="exact"/>
        <w:ind w:firstLine="482" w:firstLineChars="200"/>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十六、投诉</w:t>
      </w:r>
    </w:p>
    <w:p w14:paraId="1918267A">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为了保障甲方和乙方的合法权益，保证本合同顺利执行，在合同有效期内将建立投诉监管制度。具体方式为：</w:t>
      </w:r>
    </w:p>
    <w:p w14:paraId="6F0918D1">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甲方可就乙方提供货物或服务的质量、价格、售后服务等问题</w:t>
      </w:r>
      <w:r>
        <w:rPr>
          <w:rFonts w:hint="eastAsia" w:ascii="宋体" w:hAnsi="宋体" w:cs="宋体"/>
          <w:color w:val="auto"/>
          <w:sz w:val="24"/>
          <w:szCs w:val="22"/>
          <w:highlight w:val="none"/>
          <w:lang w:eastAsia="zh-CN"/>
        </w:rPr>
        <w:t>以及其他</w:t>
      </w:r>
      <w:r>
        <w:rPr>
          <w:rFonts w:hint="eastAsia" w:ascii="宋体" w:hAnsi="宋体" w:eastAsia="宋体" w:cs="宋体"/>
          <w:color w:val="auto"/>
          <w:sz w:val="24"/>
          <w:szCs w:val="22"/>
          <w:highlight w:val="none"/>
        </w:rPr>
        <w:t>乙方的违约行为可以向相关行业监管部门投诉；</w:t>
      </w:r>
    </w:p>
    <w:p w14:paraId="274EFCED">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乙方可就甲方的违约行为和违纪事项，可以向相关部门起诉或检举。</w:t>
      </w:r>
    </w:p>
    <w:p w14:paraId="32D79C3A">
      <w:pPr>
        <w:spacing w:line="520" w:lineRule="exact"/>
        <w:ind w:firstLine="482" w:firstLineChars="200"/>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十七、其他</w:t>
      </w:r>
    </w:p>
    <w:p w14:paraId="0F84D267">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合同双方可以就本合同主要内容以外的事项进行协商。</w:t>
      </w:r>
    </w:p>
    <w:p w14:paraId="0A065EF6">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本合同自双方签字盖章之日起生效。合同生效后如需变更合同条款，须经双方协商同意。</w:t>
      </w:r>
    </w:p>
    <w:p w14:paraId="4215AE81">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本合同任何条款不能认定为任何一方提供的格式条款。</w:t>
      </w:r>
    </w:p>
    <w:p w14:paraId="076A9765">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本合同若有未尽事宜，双方可协商解决。</w:t>
      </w:r>
    </w:p>
    <w:p w14:paraId="12140985">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本合同一式</w:t>
      </w:r>
      <w:r>
        <w:rPr>
          <w:rFonts w:hint="eastAsia" w:ascii="宋体" w:hAnsi="宋体" w:cs="宋体"/>
          <w:color w:val="auto"/>
          <w:sz w:val="24"/>
          <w:szCs w:val="22"/>
          <w:highlight w:val="none"/>
          <w:lang w:val="en-US" w:eastAsia="zh-CN"/>
        </w:rPr>
        <w:t>陆</w:t>
      </w:r>
      <w:r>
        <w:rPr>
          <w:rFonts w:hint="eastAsia" w:ascii="宋体" w:hAnsi="宋体" w:eastAsia="宋体" w:cs="宋体"/>
          <w:color w:val="auto"/>
          <w:sz w:val="24"/>
          <w:szCs w:val="22"/>
          <w:highlight w:val="none"/>
        </w:rPr>
        <w:t>份，甲、乙双方各执叁份。</w:t>
      </w:r>
    </w:p>
    <w:p w14:paraId="494AFEA2">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6</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本合同未注明事项</w:t>
      </w:r>
      <w:r>
        <w:rPr>
          <w:rFonts w:hint="eastAsia" w:ascii="宋体" w:hAnsi="宋体" w:eastAsia="宋体" w:cs="宋体"/>
          <w:color w:val="auto"/>
          <w:sz w:val="24"/>
          <w:szCs w:val="22"/>
          <w:highlight w:val="none"/>
          <w:lang w:eastAsia="zh-CN"/>
        </w:rPr>
        <w:t>招标文件</w:t>
      </w:r>
      <w:r>
        <w:rPr>
          <w:rFonts w:hint="eastAsia" w:ascii="宋体" w:hAnsi="宋体" w:eastAsia="宋体" w:cs="宋体"/>
          <w:color w:val="auto"/>
          <w:sz w:val="24"/>
          <w:szCs w:val="22"/>
          <w:highlight w:val="none"/>
        </w:rPr>
        <w:t>中有规定的，按</w:t>
      </w:r>
      <w:r>
        <w:rPr>
          <w:rFonts w:hint="eastAsia" w:ascii="宋体" w:hAnsi="宋体" w:eastAsia="宋体" w:cs="宋体"/>
          <w:color w:val="auto"/>
          <w:sz w:val="24"/>
          <w:szCs w:val="22"/>
          <w:highlight w:val="none"/>
          <w:lang w:eastAsia="zh-CN"/>
        </w:rPr>
        <w:t>招标文件</w:t>
      </w:r>
      <w:r>
        <w:rPr>
          <w:rFonts w:hint="eastAsia" w:ascii="宋体" w:hAnsi="宋体" w:eastAsia="宋体" w:cs="宋体"/>
          <w:color w:val="auto"/>
          <w:sz w:val="24"/>
          <w:szCs w:val="22"/>
          <w:highlight w:val="none"/>
        </w:rPr>
        <w:t>中的规定处理，没有规定的，按照</w:t>
      </w:r>
      <w:r>
        <w:rPr>
          <w:rFonts w:hint="eastAsia" w:ascii="宋体" w:hAnsi="宋体" w:cs="宋体"/>
          <w:color w:val="auto"/>
          <w:sz w:val="24"/>
          <w:szCs w:val="22"/>
          <w:highlight w:val="none"/>
          <w:lang w:eastAsia="zh-CN"/>
        </w:rPr>
        <w:t>国家有关</w:t>
      </w:r>
      <w:r>
        <w:rPr>
          <w:rFonts w:hint="eastAsia" w:ascii="宋体" w:hAnsi="宋体" w:eastAsia="宋体" w:cs="宋体"/>
          <w:color w:val="auto"/>
          <w:sz w:val="24"/>
          <w:szCs w:val="22"/>
          <w:highlight w:val="none"/>
        </w:rPr>
        <w:t>规定处理。</w:t>
      </w:r>
    </w:p>
    <w:p w14:paraId="52AEAAE0">
      <w:pPr>
        <w:spacing w:line="520" w:lineRule="exact"/>
        <w:ind w:firstLine="480" w:firstLineChars="200"/>
        <w:rPr>
          <w:rFonts w:hint="eastAsia" w:ascii="宋体" w:hAnsi="宋体" w:eastAsia="宋体" w:cs="宋体"/>
          <w:color w:val="auto"/>
          <w:sz w:val="24"/>
          <w:szCs w:val="22"/>
          <w:highlight w:val="none"/>
        </w:rPr>
      </w:pPr>
    </w:p>
    <w:p w14:paraId="0C17B49A">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甲方（公章）：                             乙方（公章）：</w:t>
      </w:r>
    </w:p>
    <w:p w14:paraId="19C013AB">
      <w:pPr>
        <w:spacing w:line="520" w:lineRule="exact"/>
        <w:ind w:firstLine="480" w:firstLineChars="200"/>
        <w:rPr>
          <w:rFonts w:hint="eastAsia" w:ascii="宋体" w:hAnsi="宋体" w:eastAsia="宋体" w:cs="宋体"/>
          <w:color w:val="auto"/>
          <w:sz w:val="24"/>
          <w:szCs w:val="22"/>
          <w:highlight w:val="none"/>
        </w:rPr>
      </w:pPr>
    </w:p>
    <w:p w14:paraId="26A139B7">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法定代表人（签字）：                      法定代表人（签字）：</w:t>
      </w:r>
    </w:p>
    <w:p w14:paraId="45A2BD90">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委托代理人（签字）：                      委托代理人（签字）：          </w:t>
      </w:r>
    </w:p>
    <w:p w14:paraId="63572AED">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联系电话：                                联系电话：</w:t>
      </w:r>
    </w:p>
    <w:p w14:paraId="3DAF1F43">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传    真                                  传    真：</w:t>
      </w:r>
    </w:p>
    <w:p w14:paraId="1BC97164">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经营地址：                                经营地址：</w:t>
      </w:r>
    </w:p>
    <w:p w14:paraId="49B3416B">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开户银行：                                开户银行：</w:t>
      </w:r>
    </w:p>
    <w:p w14:paraId="2DB91492">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帐    号：                                帐    号：</w:t>
      </w:r>
    </w:p>
    <w:p w14:paraId="141FD451">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合同签订地点：</w:t>
      </w:r>
      <w:r>
        <w:rPr>
          <w:rFonts w:hint="eastAsia" w:ascii="宋体" w:hAnsi="宋体" w:cs="宋体"/>
          <w:color w:val="auto"/>
          <w:sz w:val="24"/>
          <w:szCs w:val="22"/>
          <w:highlight w:val="none"/>
          <w:lang w:val="en-US" w:eastAsia="zh-CN"/>
        </w:rPr>
        <w:t>江苏省盐城市</w:t>
      </w:r>
      <w:r>
        <w:rPr>
          <w:rFonts w:hint="eastAsia" w:ascii="宋体" w:hAnsi="宋体" w:eastAsia="宋体" w:cs="宋体"/>
          <w:color w:val="auto"/>
          <w:sz w:val="24"/>
          <w:szCs w:val="22"/>
          <w:highlight w:val="none"/>
        </w:rPr>
        <w:t xml:space="preserve">        </w:t>
      </w:r>
      <w:r>
        <w:rPr>
          <w:rFonts w:hint="eastAsia" w:ascii="宋体" w:hAnsi="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 xml:space="preserve">      合同签订时间：     年  月  日</w:t>
      </w:r>
    </w:p>
    <w:p w14:paraId="299E52F4">
      <w:pPr>
        <w:spacing w:line="520" w:lineRule="exact"/>
        <w:rPr>
          <w:rFonts w:hint="eastAsia" w:ascii="宋体" w:hAnsi="宋体" w:eastAsia="宋体" w:cs="宋体"/>
          <w:color w:val="auto"/>
          <w:sz w:val="24"/>
          <w:highlight w:val="none"/>
          <w:u w:val="single"/>
        </w:rPr>
      </w:pPr>
    </w:p>
    <w:p w14:paraId="2636C65D">
      <w:pPr>
        <w:spacing w:line="52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r>
        <w:rPr>
          <w:rFonts w:hint="eastAsia" w:ascii="宋体" w:hAnsi="宋体" w:eastAsia="宋体" w:cs="宋体"/>
          <w:b/>
          <w:color w:val="auto"/>
          <w:sz w:val="36"/>
          <w:szCs w:val="36"/>
          <w:highlight w:val="none"/>
        </w:rPr>
        <w:t>廉政合同</w:t>
      </w:r>
    </w:p>
    <w:p w14:paraId="63397F9A">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为切实加强工程建设领域党风廉政建设，有效预防违法违纪违规行为和腐败问题的发生，根据国家有关工程建设、廉政建设的规定，建设工程的发包人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（以下简称“甲方”）与承包人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（含承包人按法律法规规定和招标文件约定允许分包的各专业承包人）（以下简称“乙方”），订立如下合同。 </w:t>
      </w:r>
    </w:p>
    <w:p w14:paraId="75AAD66F">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一、甲方的权利和义务 </w:t>
      </w:r>
    </w:p>
    <w:p w14:paraId="4CFC1E1F">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（1）严格执行党的政策纪律、国家法律法规和各项规章制度，建立并落实廉政责任制。 </w:t>
      </w:r>
    </w:p>
    <w:p w14:paraId="37ADE4E9">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建立健全廉政教育制度，设立廉政告示牌，公布举报电话， 监督并严肃查处违法违纪行为。  </w:t>
      </w:r>
    </w:p>
    <w:p w14:paraId="7D162B8D">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在一至三年内进入盐城市场，涉嫌犯罪的，移送司法机关依法处理。 </w:t>
      </w:r>
    </w:p>
    <w:p w14:paraId="2C97BA46">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甲方及其工作人员和受甲方委托从事本项目招标代理、监理、跟踪审计等单位的人员不得索要或接受乙方的礼金、礼品、有价证券及回扣、好处费、感谢费等；不得在乙方报销任何应由甲方或其相关工作人员应当个人支付的费用；不得参加乙方安排的宴请、健身、旅游及娱乐等活动；不得接受乙方提供的通讯工具、交通工具、高档办公用品以及通信充值卡、加油卡等；不得要求或者接受乙方为其汽车或住房装修，不得要求或者接受乙方为其婚丧嫁娶、配偶子女的工作安排以及出国出境、旅游等提供方便；不得利用职权、职务影响或工作便利从事与本项目有关的有偿中介、材料设备供应、工程分包、劳务等经济活动；不得违规为本人、亲友、身边工作人员和特定关系人承接或投资、入股重大工程项目相关的业务；不准违规进行变更签证或以虚假计量等手段虚报高报工程量；不准与相关工程单位发生借贷、租赁或合伙经营等个人经济关系。 </w:t>
      </w:r>
    </w:p>
    <w:p w14:paraId="26150028">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二、乙方的权利和义务 </w:t>
      </w:r>
    </w:p>
    <w:p w14:paraId="72907F71">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（1）有权依照国家</w:t>
      </w:r>
      <w:r>
        <w:rPr>
          <w:rFonts w:hint="eastAsia" w:ascii="宋体" w:hAnsi="宋体" w:cs="宋体"/>
          <w:color w:val="auto"/>
          <w:sz w:val="24"/>
          <w:highlight w:val="none"/>
          <w:lang w:eastAsia="zh-CN"/>
        </w:rPr>
        <w:t>法律法规</w:t>
      </w:r>
      <w:r>
        <w:rPr>
          <w:rFonts w:hint="eastAsia" w:ascii="宋体" w:hAnsi="宋体" w:eastAsia="宋体" w:cs="宋体"/>
          <w:color w:val="auto"/>
          <w:sz w:val="24"/>
          <w:highlight w:val="none"/>
        </w:rPr>
        <w:t xml:space="preserve">和规章制度，开展生产经营活动。 </w:t>
      </w:r>
    </w:p>
    <w:p w14:paraId="3920AB47">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建设过程中，如发现甲方及其工作人员和受甲方委托从事招标代理、监理、跟踪审计等单位的人员存在“吃拿卡要”等违法违纪违规行为，有权在第一时间向盐南高新区纪工委口头或书面反映并要求告知处理结果。 </w:t>
      </w:r>
    </w:p>
    <w:p w14:paraId="1C5D13D5">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（3）严格执行党的政策纪律、国家法律法规和各项规章制度，建立并落实廉政责任制，严格遵守职业道德。 </w:t>
      </w:r>
    </w:p>
    <w:p w14:paraId="3AA322FF">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（4）建立健全廉政教育制度，定期开展廉政警示教育活动，教育引导自身工作人员遵守行为规范。 </w:t>
      </w:r>
    </w:p>
    <w:p w14:paraId="2D68FDB9">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得以任何理由向甲方及其工作人员和受甲方委托从事招标代理、监理、跟踪审计等单位的人员行贿、馈赠礼金、礼品、有价证券及给予回扣、好处费、感谢费等；不得以任何名义为上述人员报销应由其单位或个人支付的任何费用；不得以任何理由安排上述人员参加宴请、健身、旅游及娱乐等活动；不得为上述人员购置或提供通讯工具、交通工具、高档办公用品以及通信充值卡、加油卡等；不得为上述人员提供汽车或住房等装修；不得为上述人员的婚丧嫁娶、配偶子女的工作安排以及出国出境、旅游等提供方便。乙方如违反以上要求，发生违纪违规违法等行为，须无条件接受甲方给予的处罚。 </w:t>
      </w:r>
    </w:p>
    <w:p w14:paraId="220D486B">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三、本合同有效期为甲乙双方签署之日起至该项目工程款全部拨付完成后止。 </w:t>
      </w:r>
    </w:p>
    <w:p w14:paraId="193E1E29">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四、本合同作为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工程合同的附件，与工程施工合同具有同等的法律效力。 </w:t>
      </w:r>
    </w:p>
    <w:p w14:paraId="36CE27CF">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五、本合同作为主合同附件，正本和副本份数与本主合同的约定相同。由双方法定代表人或其授权的代理人签名与加盖公章后生效。 </w:t>
      </w:r>
    </w:p>
    <w:p w14:paraId="5DBB153B">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以下无正文</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w:t>
      </w:r>
    </w:p>
    <w:p w14:paraId="15600787">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0A125761">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甲方：（盖公章）                       乙方：（盖公章）   </w:t>
      </w:r>
    </w:p>
    <w:p w14:paraId="37AC93F3">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                   法定代表人：（签字）</w:t>
      </w:r>
    </w:p>
    <w:p w14:paraId="1FBE014B">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合同签订地址：                        合同签订地址：</w:t>
      </w:r>
    </w:p>
    <w:p w14:paraId="5DC573C2">
      <w:pPr>
        <w:adjustRightInd w:val="0"/>
        <w:snapToGrid w:val="0"/>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签订时间：      年   月   日        签订时间：      年   月   日</w:t>
      </w:r>
    </w:p>
    <w:p w14:paraId="47B4F5A6">
      <w:pPr>
        <w:rPr>
          <w:rStyle w:val="25"/>
          <w:rFonts w:hAnsi="宋体" w:cs="宋体"/>
          <w:b w:val="0"/>
          <w:color w:val="auto"/>
          <w:sz w:val="24"/>
          <w:szCs w:val="24"/>
          <w:highlight w:val="none"/>
        </w:rPr>
      </w:pPr>
      <w:r>
        <w:rPr>
          <w:rStyle w:val="25"/>
          <w:rFonts w:hAnsi="宋体" w:cs="宋体"/>
          <w:b w:val="0"/>
          <w:color w:val="auto"/>
          <w:sz w:val="24"/>
          <w:szCs w:val="24"/>
          <w:highlight w:val="none"/>
        </w:rPr>
        <w:br w:type="page"/>
      </w:r>
    </w:p>
    <w:p w14:paraId="1647CE11">
      <w:pPr>
        <w:spacing w:line="520" w:lineRule="exact"/>
        <w:jc w:val="center"/>
        <w:rPr>
          <w:rFonts w:ascii="宋体" w:hAnsi="宋体" w:eastAsia="宋体" w:cs="宋体"/>
          <w:b/>
          <w:bCs/>
          <w:color w:val="auto"/>
          <w:sz w:val="36"/>
          <w:szCs w:val="36"/>
          <w:highlight w:val="none"/>
        </w:rPr>
      </w:pPr>
      <w:bookmarkStart w:id="171" w:name="_Hlt16619369"/>
      <w:bookmarkEnd w:id="171"/>
      <w:r>
        <w:rPr>
          <w:rFonts w:hint="eastAsia" w:ascii="宋体" w:hAnsi="宋体" w:eastAsia="宋体" w:cs="宋体"/>
          <w:b/>
          <w:bCs/>
          <w:color w:val="auto"/>
          <w:sz w:val="36"/>
          <w:szCs w:val="36"/>
          <w:highlight w:val="none"/>
        </w:rPr>
        <w:t>安全生产合同</w:t>
      </w:r>
    </w:p>
    <w:p w14:paraId="4F204179">
      <w:pPr>
        <w:spacing w:line="520" w:lineRule="exact"/>
        <w:jc w:val="center"/>
        <w:rPr>
          <w:rFonts w:ascii="宋体" w:hAnsi="宋体" w:eastAsia="宋体" w:cs="宋体"/>
          <w:b/>
          <w:bCs/>
          <w:color w:val="auto"/>
          <w:sz w:val="36"/>
          <w:szCs w:val="36"/>
          <w:highlight w:val="none"/>
        </w:rPr>
      </w:pPr>
    </w:p>
    <w:p w14:paraId="7FAC06F3">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为在</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2025年盐南高新区农贸市场食品安全快检服务采购项目</w:t>
      </w:r>
      <w:r>
        <w:rPr>
          <w:rFonts w:hint="eastAsia" w:ascii="宋体" w:hAnsi="宋体" w:eastAsia="宋体" w:cs="宋体"/>
          <w:color w:val="auto"/>
          <w:sz w:val="24"/>
          <w:szCs w:val="24"/>
          <w:highlight w:val="none"/>
        </w:rPr>
        <w:t>合同的实施过程中创造安全、高效的施工环境，切实搞好本项目的安全管理工作，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（以下简称“甲方”）与承包人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（以下简称“乙方”）特此签订安全生产合同：</w:t>
      </w:r>
    </w:p>
    <w:p w14:paraId="11A6806F">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一、甲方职责</w:t>
      </w:r>
    </w:p>
    <w:p w14:paraId="25DE2D0B">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1、严格遵守国家有关安全生产的法律法规，认真执行工程承包合同中的有关安全要求。</w:t>
      </w:r>
    </w:p>
    <w:p w14:paraId="10E555D8">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2、按照“安全第一、预防为主”和坚持“管生产必须管安全”的原则进行安全生产管理，做到生产与安全工作同时计划、布置、检查、总结和评比。</w:t>
      </w:r>
    </w:p>
    <w:p w14:paraId="0F27D077">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3、重要的安全设施必须坚持与主体工程“三同时”的原则，即：同时设计，审批，同时施工，同时验收，投入使用。</w:t>
      </w:r>
    </w:p>
    <w:p w14:paraId="59C9BA60">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4、定期召开安全生产调度会，及时传达中央及地方有关安全生产的精神。</w:t>
      </w:r>
    </w:p>
    <w:p w14:paraId="5C563C3A">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5、组织对乙方施工现场安全生产检查，监督乙方及时处理发现的各种安全隐患。</w:t>
      </w:r>
    </w:p>
    <w:p w14:paraId="14F0B0EC">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二、乙方职责</w:t>
      </w:r>
    </w:p>
    <w:p w14:paraId="1D5C1786">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1、严格遵守国家有关安全生产的法律法规有关安全生产的规定，认真执行工程承包合同中的有关安全要求。</w:t>
      </w:r>
    </w:p>
    <w:p w14:paraId="3E35FF9B">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练和遵守本条款的各项规定。做到生产与安全工作同时计划、布置、检查、总结和评比。</w:t>
      </w:r>
    </w:p>
    <w:p w14:paraId="16980BCD">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3%配备安全员，专职负责所有员工的安全和治安保卫工作及预防事故的发生。安全机构人员，有权按有关规定发布指令。并采取保护性措施防止事故发生。</w:t>
      </w:r>
    </w:p>
    <w:p w14:paraId="00B352B5">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4、乙方在任何时候都应采取各种合理的预防措施，防止其员工发生任何违法、违禁、暴力或妨碍治安的行为。</w:t>
      </w:r>
    </w:p>
    <w:p w14:paraId="19EC06A5">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63A92B25">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3F5A8635">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7、操作人员上岗，必须按规定穿戴防护用品。施工负责人和安全检查员应随时检查劳动防护用品的穿戴情况，不按规定穿戴防护用品的人员不得上岗。</w:t>
      </w:r>
    </w:p>
    <w:p w14:paraId="2545CB38">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8、所有施工机具设备和高空作业的设备均应定期检查，并有安全员的签字记录，保证其经常处于完好状态；不合格的机具、设备和劳动保护用品严禁使用。</w:t>
      </w:r>
    </w:p>
    <w:p w14:paraId="0CD89F6A">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9、施工中采用新技术、新工艺、新设备、新材料时，必须制定相应的安全技术措施，施工现场必须具有相关的安全标志牌。</w:t>
      </w:r>
    </w:p>
    <w:p w14:paraId="25B7C1C1">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p>
    <w:p w14:paraId="60C1034A">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三、违约责任</w:t>
      </w:r>
    </w:p>
    <w:p w14:paraId="12990A18">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如因甲方或乙方违约造成安全事故，将依法追究责任。</w:t>
      </w:r>
    </w:p>
    <w:p w14:paraId="3839A34E">
      <w:pPr>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本合同作为主合同附件，合同份数与本主合同的约定相同，与施工合同具有同等的法律效力，由双方法定代表人或其授权的代理人签署与加盖公章后生效，全部工程竣工验收后失效。</w:t>
      </w:r>
    </w:p>
    <w:p w14:paraId="4DC2BAE1">
      <w:pPr>
        <w:spacing w:line="520" w:lineRule="exact"/>
        <w:ind w:firstLine="480" w:firstLineChars="200"/>
        <w:rPr>
          <w:rFonts w:ascii="宋体" w:hAnsi="宋体" w:eastAsia="宋体" w:cs="宋体"/>
          <w:color w:val="auto"/>
          <w:sz w:val="24"/>
          <w:szCs w:val="24"/>
          <w:highlight w:val="none"/>
        </w:rPr>
      </w:pPr>
    </w:p>
    <w:p w14:paraId="7D30FBB4">
      <w:pPr>
        <w:spacing w:line="520" w:lineRule="exact"/>
        <w:ind w:firstLine="480" w:firstLineChars="200"/>
        <w:rPr>
          <w:rFonts w:ascii="宋体" w:hAnsi="宋体" w:eastAsia="宋体" w:cs="宋体"/>
          <w:color w:val="auto"/>
          <w:sz w:val="24"/>
          <w:szCs w:val="24"/>
          <w:highlight w:val="none"/>
        </w:rPr>
      </w:pPr>
    </w:p>
    <w:p w14:paraId="051517FA">
      <w:pPr>
        <w:spacing w:line="520" w:lineRule="exact"/>
        <w:ind w:firstLine="420" w:firstLineChars="200"/>
        <w:rPr>
          <w:rFonts w:ascii="宋体" w:hAnsi="宋体" w:eastAsia="宋体" w:cs="宋体"/>
          <w:color w:val="auto"/>
          <w:sz w:val="21"/>
          <w:szCs w:val="21"/>
          <w:highlight w:val="none"/>
        </w:rPr>
      </w:pPr>
    </w:p>
    <w:p w14:paraId="44256210">
      <w:pPr>
        <w:pStyle w:val="16"/>
        <w:spacing w:line="520" w:lineRule="exact"/>
        <w:ind w:left="357" w:leftChars="17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甲方单位：（盖章）                    乙方单位：（盖章）</w:t>
      </w:r>
    </w:p>
    <w:p w14:paraId="2DD63D3C">
      <w:pPr>
        <w:pStyle w:val="16"/>
        <w:spacing w:line="520" w:lineRule="exact"/>
        <w:ind w:left="836" w:leftChars="398" w:firstLine="0" w:firstLineChars="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br w:type="textWrapping"/>
      </w:r>
      <w:r>
        <w:rPr>
          <w:rFonts w:hint="eastAsia" w:ascii="宋体" w:hAnsi="宋体" w:eastAsia="宋体" w:cs="宋体"/>
          <w:color w:val="auto"/>
          <w:sz w:val="24"/>
          <w:szCs w:val="21"/>
          <w:highlight w:val="none"/>
        </w:rPr>
        <w:t>法定代表人：（签名）                  法定代表人：（签名）</w:t>
      </w:r>
    </w:p>
    <w:p w14:paraId="4EA405B0">
      <w:pPr>
        <w:pStyle w:val="16"/>
        <w:spacing w:line="520" w:lineRule="exact"/>
        <w:ind w:left="357" w:leftChars="170"/>
        <w:rPr>
          <w:rFonts w:ascii="宋体" w:hAnsi="宋体" w:eastAsia="宋体" w:cs="宋体"/>
          <w:color w:val="auto"/>
          <w:sz w:val="24"/>
          <w:szCs w:val="21"/>
          <w:highlight w:val="none"/>
        </w:rPr>
      </w:pPr>
    </w:p>
    <w:p w14:paraId="6705AC10">
      <w:pPr>
        <w:pStyle w:val="16"/>
        <w:spacing w:line="520" w:lineRule="exact"/>
        <w:ind w:firstLine="960" w:firstLineChars="40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或委托代理人：</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签名</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             或委托代理人：</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签名</w:t>
      </w:r>
      <w:r>
        <w:rPr>
          <w:rFonts w:hint="eastAsia" w:ascii="宋体" w:hAnsi="宋体" w:eastAsia="宋体" w:cs="宋体"/>
          <w:color w:val="auto"/>
          <w:sz w:val="24"/>
          <w:szCs w:val="21"/>
          <w:highlight w:val="none"/>
          <w:lang w:eastAsia="zh-CN"/>
        </w:rPr>
        <w:t>）</w:t>
      </w:r>
    </w:p>
    <w:p w14:paraId="49E2E8DD">
      <w:pPr>
        <w:spacing w:line="520" w:lineRule="exact"/>
        <w:ind w:firstLine="4095" w:firstLineChars="1950"/>
        <w:rPr>
          <w:rFonts w:ascii="宋体" w:hAnsi="宋体" w:eastAsia="宋体" w:cs="宋体"/>
          <w:color w:val="auto"/>
          <w:sz w:val="21"/>
          <w:szCs w:val="21"/>
          <w:highlight w:val="none"/>
        </w:rPr>
      </w:pPr>
    </w:p>
    <w:p w14:paraId="26761F01">
      <w:pPr>
        <w:spacing w:line="520" w:lineRule="exact"/>
        <w:ind w:firstLine="4410" w:firstLineChars="21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375CAEC">
      <w:pPr>
        <w:spacing w:line="420" w:lineRule="exact"/>
        <w:ind w:firstLine="600" w:firstLineChars="250"/>
        <w:rPr>
          <w:rFonts w:hint="eastAsia" w:ascii="宋体" w:hAnsi="宋体" w:eastAsia="宋体" w:cs="宋体"/>
          <w:color w:val="auto"/>
          <w:sz w:val="24"/>
          <w:highlight w:val="none"/>
          <w:u w:val="single"/>
        </w:rPr>
      </w:pPr>
    </w:p>
    <w:p w14:paraId="6988AF61">
      <w:pPr>
        <w:pStyle w:val="22"/>
        <w:rPr>
          <w:rFonts w:hint="eastAsia" w:ascii="宋体" w:hAnsi="宋体" w:eastAsia="宋体" w:cs="宋体"/>
          <w:color w:val="auto"/>
          <w:sz w:val="24"/>
          <w:highlight w:val="none"/>
          <w:u w:val="single"/>
        </w:rPr>
      </w:pPr>
    </w:p>
    <w:p w14:paraId="31C8CE92">
      <w:pPr>
        <w:pStyle w:val="22"/>
        <w:rPr>
          <w:rFonts w:hint="eastAsia" w:ascii="宋体" w:hAnsi="宋体" w:eastAsia="宋体" w:cs="宋体"/>
          <w:color w:val="auto"/>
          <w:sz w:val="24"/>
          <w:highlight w:val="none"/>
          <w:u w:val="single"/>
        </w:rPr>
      </w:pPr>
    </w:p>
    <w:p w14:paraId="1FBB3B03">
      <w:pPr>
        <w:pStyle w:val="22"/>
        <w:rPr>
          <w:rFonts w:hint="eastAsia" w:ascii="宋体" w:hAnsi="宋体" w:eastAsia="宋体" w:cs="宋体"/>
          <w:color w:val="auto"/>
          <w:sz w:val="24"/>
          <w:highlight w:val="none"/>
          <w:u w:val="single"/>
        </w:rPr>
      </w:pPr>
    </w:p>
    <w:p w14:paraId="59D36337">
      <w:pPr>
        <w:pStyle w:val="22"/>
        <w:rPr>
          <w:rFonts w:hint="eastAsia" w:ascii="宋体" w:hAnsi="宋体" w:eastAsia="宋体" w:cs="宋体"/>
          <w:color w:val="auto"/>
          <w:sz w:val="24"/>
          <w:highlight w:val="none"/>
          <w:u w:val="single"/>
        </w:rPr>
      </w:pPr>
    </w:p>
    <w:p w14:paraId="74A05481">
      <w:pPr>
        <w:pStyle w:val="22"/>
        <w:rPr>
          <w:rFonts w:hint="eastAsia" w:ascii="宋体" w:hAnsi="宋体" w:eastAsia="宋体" w:cs="宋体"/>
          <w:color w:val="auto"/>
          <w:sz w:val="24"/>
          <w:highlight w:val="none"/>
          <w:u w:val="single"/>
        </w:rPr>
      </w:pPr>
    </w:p>
    <w:p w14:paraId="6BF1D759">
      <w:pPr>
        <w:pStyle w:val="22"/>
        <w:rPr>
          <w:rFonts w:hint="eastAsia" w:ascii="宋体" w:hAnsi="宋体" w:eastAsia="宋体" w:cs="宋体"/>
          <w:color w:val="auto"/>
          <w:sz w:val="24"/>
          <w:highlight w:val="none"/>
          <w:u w:val="single"/>
        </w:rPr>
      </w:pPr>
    </w:p>
    <w:p w14:paraId="7B8A52E9">
      <w:pPr>
        <w:pStyle w:val="22"/>
        <w:rPr>
          <w:rFonts w:hint="eastAsia" w:ascii="宋体" w:hAnsi="宋体" w:eastAsia="宋体" w:cs="宋体"/>
          <w:color w:val="auto"/>
          <w:sz w:val="24"/>
          <w:highlight w:val="none"/>
          <w:u w:val="single"/>
        </w:rPr>
      </w:pPr>
    </w:p>
    <w:p w14:paraId="638EEB18">
      <w:pPr>
        <w:pStyle w:val="22"/>
        <w:ind w:firstLine="480"/>
        <w:jc w:val="center"/>
        <w:rPr>
          <w:rFonts w:hint="eastAsia" w:ascii="宋体" w:hAnsi="宋体" w:eastAsia="宋体" w:cs="宋体"/>
          <w:b/>
          <w:bCs/>
          <w:color w:val="auto"/>
          <w:sz w:val="32"/>
          <w:szCs w:val="32"/>
          <w:highlight w:val="none"/>
          <w:lang w:val="en-US" w:eastAsia="zh-CN"/>
        </w:rPr>
      </w:pPr>
      <w:r>
        <w:rPr>
          <w:rFonts w:hint="eastAsia" w:hAnsi="宋体" w:cs="宋体"/>
          <w:b/>
          <w:color w:val="auto"/>
          <w:sz w:val="36"/>
          <w:szCs w:val="36"/>
          <w:highlight w:val="none"/>
        </w:rPr>
        <w:br w:type="page"/>
      </w:r>
      <w:r>
        <w:rPr>
          <w:rFonts w:hint="eastAsia" w:hAnsi="宋体" w:cs="宋体"/>
          <w:b/>
          <w:color w:val="auto"/>
          <w:sz w:val="36"/>
          <w:szCs w:val="36"/>
          <w:highlight w:val="none"/>
        </w:rPr>
        <w:t>第四章  采购需求</w:t>
      </w:r>
      <w:bookmarkEnd w:id="159"/>
      <w:bookmarkEnd w:id="160"/>
      <w:bookmarkEnd w:id="161"/>
      <w:bookmarkStart w:id="172" w:name="_Toc120614281"/>
    </w:p>
    <w:p w14:paraId="2C0AEC2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bookmarkStart w:id="173" w:name="_Toc7525"/>
      <w:bookmarkStart w:id="174" w:name="_Toc508216954"/>
      <w:bookmarkStart w:id="175" w:name="_Toc397928630"/>
      <w:r>
        <w:rPr>
          <w:rFonts w:hint="eastAsia" w:ascii="宋体" w:hAnsi="宋体" w:eastAsia="宋体" w:cs="宋体"/>
          <w:color w:val="auto"/>
          <w:sz w:val="24"/>
          <w:szCs w:val="24"/>
          <w:highlight w:val="none"/>
          <w:lang w:val="en-US" w:eastAsia="zh-CN"/>
        </w:rPr>
        <w:t>项目属性：服务类项目</w:t>
      </w:r>
    </w:p>
    <w:p w14:paraId="5D109592">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一、项目概述</w:t>
      </w:r>
    </w:p>
    <w:p w14:paraId="64B1597C">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1、项目名称：202</w:t>
      </w: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年盐南高新区农贸市场快检服务采购项目。</w:t>
      </w:r>
    </w:p>
    <w:p w14:paraId="212FBD6F">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2、项目概况：202</w:t>
      </w: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年盐南高新区农贸市场快检服务采购项目，采购预算为人民币180万元，采购资金为财政资金，资金来源已经落实。主要采购内容为：</w:t>
      </w:r>
    </w:p>
    <w:p w14:paraId="68F35B71">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rPr>
        <w:t>对1</w:t>
      </w: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家农贸市场检测室</w:t>
      </w:r>
      <w:r>
        <w:rPr>
          <w:rFonts w:hint="eastAsia" w:ascii="宋体" w:hAnsi="宋体" w:cs="宋体"/>
          <w:color w:val="auto"/>
          <w:sz w:val="24"/>
          <w:szCs w:val="20"/>
          <w:highlight w:val="none"/>
          <w:lang w:eastAsia="zh-CN"/>
        </w:rPr>
        <w:t>（农贸市场快检室数量根据全区农贸市场分布需要，可以动态调整）</w:t>
      </w:r>
      <w:r>
        <w:rPr>
          <w:rFonts w:hint="eastAsia" w:ascii="宋体" w:hAnsi="宋体" w:eastAsia="宋体" w:cs="宋体"/>
          <w:b w:val="0"/>
          <w:bCs w:val="0"/>
          <w:color w:val="auto"/>
          <w:kern w:val="0"/>
          <w:sz w:val="24"/>
          <w:szCs w:val="24"/>
          <w:highlight w:val="none"/>
        </w:rPr>
        <w:t>的快检运营服务，主要负责每个检测室的日常运营、检测工具设备投入、样品购买、检测耗材、检测试剂、检测人员工资、检测数据公示、检测数据传输与储存等，所有检测数据信息归采购方所有，不得外传并需为采购方保存检测数据至少2年</w:t>
      </w:r>
      <w:r>
        <w:rPr>
          <w:rFonts w:hint="eastAsia" w:ascii="宋体" w:hAnsi="宋体" w:cs="宋体"/>
          <w:b w:val="0"/>
          <w:bCs w:val="0"/>
          <w:color w:val="auto"/>
          <w:kern w:val="0"/>
          <w:sz w:val="24"/>
          <w:szCs w:val="24"/>
          <w:highlight w:val="none"/>
          <w:lang w:eastAsia="zh-CN"/>
        </w:rPr>
        <w:t>。</w:t>
      </w:r>
    </w:p>
    <w:p w14:paraId="1ED93E40">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3、发包范围与标段划分：202</w:t>
      </w: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年盐南高新区农贸市场快检服务采购项目，本次采购为一个标段，具体采购内容及要求详见采购文件。</w:t>
      </w:r>
    </w:p>
    <w:p w14:paraId="03243FEC">
      <w:pPr>
        <w:spacing w:line="52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b w:val="0"/>
          <w:bCs w:val="0"/>
          <w:color w:val="auto"/>
          <w:kern w:val="0"/>
          <w:sz w:val="24"/>
          <w:szCs w:val="24"/>
          <w:highlight w:val="none"/>
        </w:rPr>
        <w:t>4、</w:t>
      </w:r>
      <w:r>
        <w:rPr>
          <w:rFonts w:hint="eastAsia" w:ascii="宋体" w:hAnsi="宋体" w:eastAsia="宋体" w:cs="宋体"/>
          <w:b w:val="0"/>
          <w:bCs w:val="0"/>
          <w:color w:val="auto"/>
          <w:kern w:val="0"/>
          <w:sz w:val="24"/>
          <w:szCs w:val="24"/>
          <w:highlight w:val="none"/>
          <w:lang w:val="en-US" w:eastAsia="zh-CN"/>
        </w:rPr>
        <w:t>合同履行</w:t>
      </w:r>
      <w:r>
        <w:rPr>
          <w:rFonts w:hint="eastAsia" w:ascii="宋体" w:hAnsi="宋体" w:eastAsia="宋体" w:cs="宋体"/>
          <w:b w:val="0"/>
          <w:bCs w:val="0"/>
          <w:color w:val="auto"/>
          <w:kern w:val="0"/>
          <w:sz w:val="24"/>
          <w:szCs w:val="24"/>
          <w:highlight w:val="none"/>
        </w:rPr>
        <w:t>期限：</w:t>
      </w:r>
      <w:r>
        <w:rPr>
          <w:rFonts w:hint="eastAsia" w:ascii="宋体" w:hAnsi="宋体" w:cs="宋体"/>
          <w:color w:val="auto"/>
          <w:sz w:val="24"/>
          <w:szCs w:val="20"/>
          <w:highlight w:val="none"/>
          <w:lang w:val="en-US" w:eastAsia="zh-CN"/>
        </w:rPr>
        <w:t>本合同履行期限暂定壹年。</w:t>
      </w:r>
      <w:r>
        <w:rPr>
          <w:rFonts w:hint="eastAsia" w:ascii="Times New Roman" w:hAnsi="Times New Roman" w:eastAsia="宋体" w:cs="Times New Roman"/>
          <w:color w:val="auto"/>
          <w:sz w:val="24"/>
          <w:szCs w:val="20"/>
          <w:highlight w:val="none"/>
        </w:rPr>
        <w:t>合同一年一签，经甲方考核合格可续签一年，具体按甲方要求执行。</w:t>
      </w:r>
      <w:r>
        <w:rPr>
          <w:rFonts w:hint="eastAsia" w:ascii="宋体" w:hAnsi="宋体" w:eastAsia="宋体" w:cs="宋体"/>
          <w:b w:val="0"/>
          <w:bCs w:val="0"/>
          <w:color w:val="auto"/>
          <w:kern w:val="0"/>
          <w:sz w:val="24"/>
          <w:szCs w:val="24"/>
          <w:highlight w:val="none"/>
          <w:lang w:val="en-US" w:eastAsia="zh-CN"/>
        </w:rPr>
        <w:t>中标后三个工作日内签订合同，</w:t>
      </w:r>
      <w:r>
        <w:rPr>
          <w:rFonts w:hint="eastAsia" w:ascii="宋体" w:hAnsi="宋体" w:cs="宋体"/>
          <w:b w:val="0"/>
          <w:bCs w:val="0"/>
          <w:color w:val="auto"/>
          <w:kern w:val="0"/>
          <w:sz w:val="24"/>
          <w:szCs w:val="24"/>
          <w:highlight w:val="none"/>
          <w:lang w:val="en-US" w:eastAsia="zh-CN"/>
        </w:rPr>
        <w:t>合同签订后</w:t>
      </w:r>
      <w:r>
        <w:rPr>
          <w:rFonts w:hint="eastAsia" w:ascii="宋体" w:hAnsi="宋体" w:eastAsia="宋体" w:cs="宋体"/>
          <w:b w:val="0"/>
          <w:bCs w:val="0"/>
          <w:color w:val="auto"/>
          <w:kern w:val="0"/>
          <w:sz w:val="24"/>
          <w:highlight w:val="none"/>
          <w:lang w:val="en-US" w:eastAsia="zh-CN"/>
        </w:rPr>
        <w:t>7个工作</w:t>
      </w:r>
      <w:r>
        <w:rPr>
          <w:rFonts w:hint="eastAsia" w:ascii="宋体" w:hAnsi="宋体" w:eastAsia="宋体" w:cs="宋体"/>
          <w:b w:val="0"/>
          <w:bCs w:val="0"/>
          <w:color w:val="auto"/>
          <w:kern w:val="0"/>
          <w:sz w:val="24"/>
          <w:highlight w:val="none"/>
        </w:rPr>
        <w:t>日内完成检测人员招聘</w:t>
      </w:r>
      <w:r>
        <w:rPr>
          <w:rFonts w:hint="eastAsia" w:ascii="宋体" w:hAnsi="宋体" w:eastAsia="宋体" w:cs="宋体"/>
          <w:b w:val="0"/>
          <w:bCs w:val="0"/>
          <w:color w:val="auto"/>
          <w:kern w:val="0"/>
          <w:sz w:val="24"/>
          <w:highlight w:val="none"/>
          <w:lang w:val="en-US" w:eastAsia="zh-CN"/>
        </w:rPr>
        <w:t>及培训</w:t>
      </w:r>
      <w:r>
        <w:rPr>
          <w:rFonts w:hint="eastAsia" w:ascii="宋体" w:hAnsi="宋体" w:eastAsia="宋体" w:cs="宋体"/>
          <w:b w:val="0"/>
          <w:bCs w:val="0"/>
          <w:color w:val="auto"/>
          <w:kern w:val="0"/>
          <w:sz w:val="24"/>
          <w:highlight w:val="none"/>
        </w:rPr>
        <w:t>工作</w:t>
      </w:r>
      <w:r>
        <w:rPr>
          <w:rFonts w:hint="eastAsia" w:ascii="宋体" w:hAnsi="宋体" w:eastAsia="宋体" w:cs="宋体"/>
          <w:b w:val="0"/>
          <w:bCs w:val="0"/>
          <w:color w:val="auto"/>
          <w:kern w:val="0"/>
          <w:sz w:val="24"/>
          <w:highlight w:val="none"/>
          <w:lang w:val="en-US" w:eastAsia="zh-CN"/>
        </w:rPr>
        <w:t>并</w:t>
      </w:r>
      <w:r>
        <w:rPr>
          <w:rFonts w:hint="eastAsia" w:ascii="宋体" w:hAnsi="宋体" w:eastAsia="宋体" w:cs="宋体"/>
          <w:b w:val="0"/>
          <w:bCs w:val="0"/>
          <w:color w:val="auto"/>
          <w:kern w:val="0"/>
          <w:sz w:val="24"/>
          <w:highlight w:val="none"/>
        </w:rPr>
        <w:t>正常开展</w:t>
      </w:r>
      <w:r>
        <w:rPr>
          <w:rFonts w:hint="eastAsia" w:ascii="宋体" w:hAnsi="宋体" w:eastAsia="宋体" w:cs="宋体"/>
          <w:b w:val="0"/>
          <w:bCs w:val="0"/>
          <w:color w:val="auto"/>
          <w:kern w:val="0"/>
          <w:sz w:val="24"/>
          <w:highlight w:val="none"/>
          <w:lang w:val="en-US" w:eastAsia="zh-CN"/>
        </w:rPr>
        <w:t>日常检测</w:t>
      </w:r>
      <w:r>
        <w:rPr>
          <w:rFonts w:hint="eastAsia" w:ascii="宋体" w:hAnsi="宋体" w:eastAsia="宋体" w:cs="宋体"/>
          <w:b w:val="0"/>
          <w:bCs w:val="0"/>
          <w:color w:val="auto"/>
          <w:kern w:val="0"/>
          <w:sz w:val="24"/>
          <w:highlight w:val="none"/>
        </w:rPr>
        <w:t>工作。运营期限从本合同签订之日至202</w:t>
      </w:r>
      <w:r>
        <w:rPr>
          <w:rFonts w:hint="eastAsia" w:ascii="宋体" w:hAnsi="宋体" w:cs="宋体"/>
          <w:b w:val="0"/>
          <w:bCs w:val="0"/>
          <w:color w:val="auto"/>
          <w:kern w:val="0"/>
          <w:sz w:val="24"/>
          <w:highlight w:val="none"/>
          <w:lang w:val="en-US" w:eastAsia="zh-CN"/>
        </w:rPr>
        <w:t>5</w:t>
      </w:r>
      <w:r>
        <w:rPr>
          <w:rFonts w:hint="eastAsia" w:ascii="宋体" w:hAnsi="宋体" w:eastAsia="宋体" w:cs="宋体"/>
          <w:b w:val="0"/>
          <w:bCs w:val="0"/>
          <w:color w:val="auto"/>
          <w:kern w:val="0"/>
          <w:sz w:val="24"/>
          <w:highlight w:val="none"/>
        </w:rPr>
        <w:t>年</w:t>
      </w:r>
      <w:r>
        <w:rPr>
          <w:rFonts w:hint="eastAsia" w:ascii="宋体" w:hAnsi="宋体" w:eastAsia="宋体" w:cs="宋体"/>
          <w:b w:val="0"/>
          <w:bCs w:val="0"/>
          <w:color w:val="auto"/>
          <w:kern w:val="0"/>
          <w:sz w:val="24"/>
          <w:highlight w:val="none"/>
          <w:lang w:val="en-US" w:eastAsia="zh-CN"/>
        </w:rPr>
        <w:t>12月31日</w:t>
      </w:r>
      <w:r>
        <w:rPr>
          <w:rFonts w:hint="eastAsia" w:ascii="宋体" w:hAnsi="宋体" w:eastAsia="宋体" w:cs="宋体"/>
          <w:color w:val="auto"/>
          <w:sz w:val="24"/>
          <w:szCs w:val="22"/>
          <w:highlight w:val="none"/>
        </w:rPr>
        <w:t>。</w:t>
      </w:r>
    </w:p>
    <w:p w14:paraId="79C7517F">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5、项目地点：盐南高新区范围内的农贸市场，采购人指定地点。</w:t>
      </w:r>
    </w:p>
    <w:p w14:paraId="78801536">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6、详细需求见招标文件。</w:t>
      </w:r>
    </w:p>
    <w:p w14:paraId="6DEA8B85">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二、检测室运营及系统平台搭建需求内容</w:t>
      </w:r>
    </w:p>
    <w:p w14:paraId="05C78A33">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（一）检测室运营的要求：</w:t>
      </w:r>
    </w:p>
    <w:p w14:paraId="68696C25">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1.运营期限</w:t>
      </w:r>
    </w:p>
    <w:p w14:paraId="7656EBA9">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中标供应商负责检测室的运营期为</w:t>
      </w:r>
      <w:r>
        <w:rPr>
          <w:rFonts w:hint="eastAsia" w:ascii="宋体" w:hAnsi="宋体" w:cs="宋体"/>
          <w:b w:val="0"/>
          <w:bCs w:val="0"/>
          <w:color w:val="auto"/>
          <w:kern w:val="0"/>
          <w:sz w:val="24"/>
          <w:szCs w:val="24"/>
          <w:highlight w:val="none"/>
          <w:lang w:val="en-US" w:eastAsia="zh-CN"/>
        </w:rPr>
        <w:t>正常开展日常检测工作之日</w:t>
      </w:r>
      <w:r>
        <w:rPr>
          <w:rFonts w:hint="eastAsia" w:ascii="宋体" w:hAnsi="宋体" w:eastAsia="宋体" w:cs="宋体"/>
          <w:b w:val="0"/>
          <w:bCs w:val="0"/>
          <w:color w:val="auto"/>
          <w:kern w:val="0"/>
          <w:sz w:val="24"/>
          <w:szCs w:val="24"/>
          <w:highlight w:val="none"/>
        </w:rPr>
        <w:t>至202</w:t>
      </w: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年</w:t>
      </w:r>
      <w:r>
        <w:rPr>
          <w:rFonts w:hint="eastAsia" w:ascii="宋体" w:hAnsi="宋体" w:eastAsia="宋体" w:cs="宋体"/>
          <w:b w:val="0"/>
          <w:bCs w:val="0"/>
          <w:color w:val="auto"/>
          <w:kern w:val="0"/>
          <w:sz w:val="24"/>
          <w:szCs w:val="24"/>
          <w:highlight w:val="none"/>
          <w:lang w:val="en-US" w:eastAsia="zh-CN"/>
        </w:rPr>
        <w:t>12月31日</w:t>
      </w:r>
      <w:r>
        <w:rPr>
          <w:rFonts w:hint="eastAsia" w:ascii="宋体" w:hAnsi="宋体" w:eastAsia="宋体" w:cs="宋体"/>
          <w:b w:val="0"/>
          <w:bCs w:val="0"/>
          <w:color w:val="auto"/>
          <w:kern w:val="0"/>
          <w:sz w:val="24"/>
          <w:szCs w:val="24"/>
          <w:highlight w:val="none"/>
        </w:rPr>
        <w:t>，主要负责每个检测室的日常运营、检测工具设备投入、样品购买、检测耗材、检测试剂、检测人员工资、检测数据公示、检测数据传输与储存等，所有检测数据信息归采购方所有，不得外传并需为采购方保存检测数据至少2年。所需费用全部包含在投标报价中，运营过程中不再追加任何费用。</w:t>
      </w:r>
    </w:p>
    <w:p w14:paraId="15FFC0CC">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2.检测任务</w:t>
      </w:r>
    </w:p>
    <w:p w14:paraId="6EFF0543">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rPr>
        <w:t>中标供应商负责的运营期内，每个检测室每天完成检测样品数量不少于15个，每个检测室月检测批次不低于450批次，其中农药残留检测批次不低于月度批次的60%，畜禽肉及制品、禽蛋不低于月度批次的15%、水产品不低于月度批次的5%，理化类检测批次不高于月度批次的20%。全年检测批次</w:t>
      </w:r>
      <w:r>
        <w:rPr>
          <w:rFonts w:hint="eastAsia" w:ascii="宋体" w:hAnsi="宋体" w:cs="宋体"/>
          <w:b w:val="0"/>
          <w:bCs w:val="0"/>
          <w:color w:val="auto"/>
          <w:kern w:val="0"/>
          <w:sz w:val="24"/>
          <w:szCs w:val="24"/>
          <w:highlight w:val="none"/>
          <w:lang w:eastAsia="zh-CN"/>
        </w:rPr>
        <w:t>约</w:t>
      </w:r>
      <w:r>
        <w:rPr>
          <w:rFonts w:hint="eastAsia" w:ascii="宋体" w:hAnsi="宋体" w:cs="宋体"/>
          <w:b w:val="0"/>
          <w:bCs w:val="0"/>
          <w:color w:val="auto"/>
          <w:kern w:val="0"/>
          <w:sz w:val="24"/>
          <w:szCs w:val="24"/>
          <w:highlight w:val="none"/>
          <w:lang w:val="en-US" w:eastAsia="zh-CN"/>
        </w:rPr>
        <w:t>81</w:t>
      </w:r>
      <w:r>
        <w:rPr>
          <w:rFonts w:hint="eastAsia" w:ascii="宋体" w:hAnsi="宋体" w:eastAsia="宋体" w:cs="宋体"/>
          <w:b w:val="0"/>
          <w:bCs w:val="0"/>
          <w:color w:val="auto"/>
          <w:kern w:val="0"/>
          <w:sz w:val="24"/>
          <w:szCs w:val="24"/>
          <w:highlight w:val="none"/>
        </w:rPr>
        <w:t>000批次。（检测品种、类别、项目详见表1）</w:t>
      </w:r>
    </w:p>
    <w:p w14:paraId="41D2C196">
      <w:pPr>
        <w:widowControl/>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表1   农贸市场检测室主要的检测品种、类别、项目</w:t>
      </w:r>
    </w:p>
    <w:tbl>
      <w:tblPr>
        <w:tblStyle w:val="23"/>
        <w:tblpPr w:leftFromText="180" w:rightFromText="180" w:vertAnchor="text" w:horzAnchor="page" w:tblpX="1452" w:tblpY="100"/>
        <w:tblOverlap w:val="never"/>
        <w:tblW w:w="9179" w:type="dxa"/>
        <w:tblInd w:w="0" w:type="dxa"/>
        <w:tblLayout w:type="fixed"/>
        <w:tblCellMar>
          <w:top w:w="0" w:type="dxa"/>
          <w:left w:w="10" w:type="dxa"/>
          <w:bottom w:w="0" w:type="dxa"/>
          <w:right w:w="10" w:type="dxa"/>
        </w:tblCellMar>
      </w:tblPr>
      <w:tblGrid>
        <w:gridCol w:w="1340"/>
        <w:gridCol w:w="4260"/>
        <w:gridCol w:w="3579"/>
      </w:tblGrid>
      <w:tr w14:paraId="05DDFF29">
        <w:tblPrEx>
          <w:tblCellMar>
            <w:top w:w="0" w:type="dxa"/>
            <w:left w:w="10" w:type="dxa"/>
            <w:bottom w:w="0" w:type="dxa"/>
            <w:right w:w="10" w:type="dxa"/>
          </w:tblCellMar>
        </w:tblPrEx>
        <w:trPr>
          <w:trHeight w:val="593"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FBFC2A9">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种类</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004AA6F">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重点快检品种</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65FC311">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重点快检项目</w:t>
            </w:r>
          </w:p>
        </w:tc>
      </w:tr>
      <w:tr w14:paraId="3FEF107F">
        <w:tblPrEx>
          <w:tblCellMar>
            <w:top w:w="0" w:type="dxa"/>
            <w:left w:w="10" w:type="dxa"/>
            <w:bottom w:w="0" w:type="dxa"/>
            <w:right w:w="10" w:type="dxa"/>
          </w:tblCellMar>
        </w:tblPrEx>
        <w:trPr>
          <w:trHeight w:val="1200"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678911F">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蔬菜</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4B2B8D6">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生菜、菜心、上海青、苦麦菜、黄白菜、小白菜、芥兰、芹菜、韭菜、西兰花、青瓜、茄子、四季豆、豇豆、土豆等</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05D0540">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有机磷类、氨基甲酸酯类、菊酯类、有机氯类农药、杀菌剂类农药等</w:t>
            </w:r>
          </w:p>
        </w:tc>
      </w:tr>
      <w:tr w14:paraId="3034D137">
        <w:tblPrEx>
          <w:tblCellMar>
            <w:top w:w="0" w:type="dxa"/>
            <w:left w:w="10" w:type="dxa"/>
            <w:bottom w:w="0" w:type="dxa"/>
            <w:right w:w="10" w:type="dxa"/>
          </w:tblCellMar>
        </w:tblPrEx>
        <w:trPr>
          <w:trHeight w:val="903"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AE916B3">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水果</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9542A3A">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苹果、桔子、梨、橙子、香蕉、桃子等</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1136FB2">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有机磷类、氨基甲酸酯类、菊酯类、有机氯类农药、杀菌剂类农药等</w:t>
            </w:r>
          </w:p>
        </w:tc>
      </w:tr>
      <w:tr w14:paraId="7B3640AF">
        <w:tblPrEx>
          <w:tblCellMar>
            <w:top w:w="0" w:type="dxa"/>
            <w:left w:w="10" w:type="dxa"/>
            <w:bottom w:w="0" w:type="dxa"/>
            <w:right w:w="10" w:type="dxa"/>
          </w:tblCellMar>
        </w:tblPrEx>
        <w:trPr>
          <w:trHeight w:val="605"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058FEC8">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水产品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14A3B21">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鲫鱼、</w:t>
            </w:r>
            <w:r>
              <w:rPr>
                <w:rFonts w:hint="eastAsia" w:ascii="宋体" w:hAnsi="宋体" w:cs="宋体"/>
                <w:b w:val="0"/>
                <w:bCs w:val="0"/>
                <w:color w:val="auto"/>
                <w:sz w:val="24"/>
                <w:szCs w:val="24"/>
                <w:highlight w:val="none"/>
                <w:lang w:val="en-US" w:eastAsia="zh-CN"/>
              </w:rPr>
              <w:t>鳊鱼、</w:t>
            </w:r>
            <w:r>
              <w:rPr>
                <w:rFonts w:hint="eastAsia" w:ascii="宋体" w:hAnsi="宋体" w:eastAsia="宋体" w:cs="宋体"/>
                <w:b w:val="0"/>
                <w:bCs w:val="0"/>
                <w:color w:val="auto"/>
                <w:sz w:val="24"/>
                <w:szCs w:val="24"/>
                <w:highlight w:val="none"/>
              </w:rPr>
              <w:t>草鱼、黄骨鱼、鳜鱼、花甲、扇贝、白贝、淡水虾、贻贝等</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836DB3C">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甲醛，孔雀石绿，硝基呋喃类，氯霉素，磺胺类，二氧化硫</w:t>
            </w:r>
          </w:p>
        </w:tc>
      </w:tr>
      <w:tr w14:paraId="3150C613">
        <w:tblPrEx>
          <w:tblCellMar>
            <w:top w:w="0" w:type="dxa"/>
            <w:left w:w="10" w:type="dxa"/>
            <w:bottom w:w="0" w:type="dxa"/>
            <w:right w:w="10" w:type="dxa"/>
          </w:tblCellMar>
        </w:tblPrEx>
        <w:trPr>
          <w:trHeight w:val="903"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960910C">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畜禽肉类</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C189FE9">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猪肉、牛肉、羊肉、鸡肉等</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48AFA40">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盐酸克伦特罗，沙丁胺醇，莱克多巴胺，水分，硝基呋喃类，氯霉素，磺胺类</w:t>
            </w:r>
          </w:p>
        </w:tc>
      </w:tr>
      <w:tr w14:paraId="50030884">
        <w:tblPrEx>
          <w:tblCellMar>
            <w:top w:w="0" w:type="dxa"/>
            <w:left w:w="10" w:type="dxa"/>
            <w:bottom w:w="0" w:type="dxa"/>
            <w:right w:w="10" w:type="dxa"/>
          </w:tblCellMar>
        </w:tblPrEx>
        <w:trPr>
          <w:trHeight w:val="605"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CA818A6">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食用植物油</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CA65356">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食用油（煎炸油）等</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1DA79E0">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酸价、过氧化值、极性组分</w:t>
            </w:r>
          </w:p>
        </w:tc>
      </w:tr>
      <w:tr w14:paraId="6414B701">
        <w:tblPrEx>
          <w:tblCellMar>
            <w:top w:w="0" w:type="dxa"/>
            <w:left w:w="10" w:type="dxa"/>
            <w:bottom w:w="0" w:type="dxa"/>
            <w:right w:w="10" w:type="dxa"/>
          </w:tblCellMar>
        </w:tblPrEx>
        <w:trPr>
          <w:trHeight w:val="605"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97B397D">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粮食加工品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440ED39">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小麦粉、生湿面制品</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7BAF6AA">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吊白块、过氧化苯甲酰</w:t>
            </w:r>
          </w:p>
        </w:tc>
      </w:tr>
      <w:tr w14:paraId="5711DCBB">
        <w:tblPrEx>
          <w:tblCellMar>
            <w:top w:w="0" w:type="dxa"/>
            <w:left w:w="10" w:type="dxa"/>
            <w:bottom w:w="0" w:type="dxa"/>
            <w:right w:w="10" w:type="dxa"/>
          </w:tblCellMar>
        </w:tblPrEx>
        <w:trPr>
          <w:trHeight w:val="605"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DFD088A">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粮食加工品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CD9743A">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大米 </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216E3AD">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黄曲霉毒素B1</w:t>
            </w:r>
          </w:p>
        </w:tc>
      </w:tr>
      <w:tr w14:paraId="1BDE4F2F">
        <w:tblPrEx>
          <w:tblCellMar>
            <w:top w:w="0" w:type="dxa"/>
            <w:left w:w="10" w:type="dxa"/>
            <w:bottom w:w="0" w:type="dxa"/>
            <w:right w:w="10" w:type="dxa"/>
          </w:tblCellMar>
        </w:tblPrEx>
        <w:trPr>
          <w:trHeight w:val="573"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0D6157F">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米面制品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B31EFA9">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馒头、发糕、油条</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BB7BACD">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硫酸铝钾、硫酸铝铵</w:t>
            </w:r>
          </w:p>
        </w:tc>
      </w:tr>
      <w:tr w14:paraId="64CF40D1">
        <w:tblPrEx>
          <w:tblCellMar>
            <w:top w:w="0" w:type="dxa"/>
            <w:left w:w="10" w:type="dxa"/>
            <w:bottom w:w="0" w:type="dxa"/>
            <w:right w:w="10" w:type="dxa"/>
          </w:tblCellMar>
        </w:tblPrEx>
        <w:trPr>
          <w:trHeight w:val="605"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8E885D4">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肉制品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FA778AA">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散装熟卤肉制品</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759C94C">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亚硝酸盐、致病菌（沙门氏菌、金黄色葡萄球菌）</w:t>
            </w:r>
          </w:p>
        </w:tc>
      </w:tr>
      <w:tr w14:paraId="69ADAACE">
        <w:tblPrEx>
          <w:tblCellMar>
            <w:top w:w="0" w:type="dxa"/>
            <w:left w:w="10" w:type="dxa"/>
            <w:bottom w:w="0" w:type="dxa"/>
            <w:right w:w="10" w:type="dxa"/>
          </w:tblCellMar>
        </w:tblPrEx>
        <w:trPr>
          <w:trHeight w:val="605"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3AD4B0D">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水产制品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D95EA8E">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水产制品</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9F80ADB">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二氧化硫、致病菌（沙门氏菌、金黄色葡萄球菌）</w:t>
            </w:r>
          </w:p>
        </w:tc>
      </w:tr>
      <w:tr w14:paraId="5E660D3A">
        <w:tblPrEx>
          <w:tblCellMar>
            <w:top w:w="0" w:type="dxa"/>
            <w:left w:w="10" w:type="dxa"/>
            <w:bottom w:w="0" w:type="dxa"/>
            <w:right w:w="10" w:type="dxa"/>
          </w:tblCellMar>
        </w:tblPrEx>
        <w:trPr>
          <w:trHeight w:val="573"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8804A0E">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水发产品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05FA27E">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水发产品</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86B8098">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甲醛、双氧水</w:t>
            </w:r>
          </w:p>
        </w:tc>
      </w:tr>
      <w:tr w14:paraId="2404ED1B">
        <w:tblPrEx>
          <w:tblCellMar>
            <w:top w:w="0" w:type="dxa"/>
            <w:left w:w="10" w:type="dxa"/>
            <w:bottom w:w="0" w:type="dxa"/>
            <w:right w:w="10" w:type="dxa"/>
          </w:tblCellMar>
        </w:tblPrEx>
        <w:trPr>
          <w:trHeight w:val="573"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1944B8E">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淀粉制品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6D6C6C9">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粉丝、粉条、凉皮</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665AC74">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铝的残留量、二氧化硫</w:t>
            </w:r>
          </w:p>
        </w:tc>
      </w:tr>
      <w:tr w14:paraId="0C9C652A">
        <w:tblPrEx>
          <w:tblCellMar>
            <w:top w:w="0" w:type="dxa"/>
            <w:left w:w="10" w:type="dxa"/>
            <w:bottom w:w="0" w:type="dxa"/>
            <w:right w:w="10" w:type="dxa"/>
          </w:tblCellMar>
        </w:tblPrEx>
        <w:trPr>
          <w:trHeight w:val="571"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EC0BFEA">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糕点</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627032C">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散装糕点</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9521D59">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酸价、过氧化值</w:t>
            </w:r>
          </w:p>
        </w:tc>
      </w:tr>
      <w:tr w14:paraId="69F95DBE">
        <w:tblPrEx>
          <w:tblCellMar>
            <w:top w:w="0" w:type="dxa"/>
            <w:left w:w="10" w:type="dxa"/>
            <w:bottom w:w="0" w:type="dxa"/>
            <w:right w:w="10" w:type="dxa"/>
          </w:tblCellMar>
        </w:tblPrEx>
        <w:trPr>
          <w:trHeight w:val="573"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2B0E37E">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调味品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53FF182">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火锅、麻辣烫调味料（底料、蘸料）</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71DBCC9">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罂粟类物质</w:t>
            </w:r>
          </w:p>
        </w:tc>
      </w:tr>
      <w:tr w14:paraId="3AEB637B">
        <w:tblPrEx>
          <w:tblCellMar>
            <w:top w:w="0" w:type="dxa"/>
            <w:left w:w="10" w:type="dxa"/>
            <w:bottom w:w="0" w:type="dxa"/>
            <w:right w:w="10" w:type="dxa"/>
          </w:tblCellMar>
        </w:tblPrEx>
        <w:trPr>
          <w:trHeight w:val="573"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93485A7">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膨化食品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427EC44">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膨化食品</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8791F79">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铝的残留量</w:t>
            </w:r>
          </w:p>
        </w:tc>
      </w:tr>
      <w:tr w14:paraId="57A844C1">
        <w:tblPrEx>
          <w:tblCellMar>
            <w:top w:w="0" w:type="dxa"/>
            <w:left w:w="10" w:type="dxa"/>
            <w:bottom w:w="0" w:type="dxa"/>
            <w:right w:w="10" w:type="dxa"/>
          </w:tblCellMar>
        </w:tblPrEx>
        <w:trPr>
          <w:trHeight w:val="605"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E787EF1">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豆制品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1540928">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腐竹、豆干、豆腐</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BC53808">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铝的残留量、二氧化硫、吊白块</w:t>
            </w:r>
          </w:p>
        </w:tc>
      </w:tr>
      <w:tr w14:paraId="096B19E6">
        <w:tblPrEx>
          <w:tblCellMar>
            <w:top w:w="0" w:type="dxa"/>
            <w:left w:w="10" w:type="dxa"/>
            <w:bottom w:w="0" w:type="dxa"/>
            <w:right w:w="10" w:type="dxa"/>
          </w:tblCellMar>
        </w:tblPrEx>
        <w:trPr>
          <w:trHeight w:val="913" w:hRule="atLeast"/>
        </w:trPr>
        <w:tc>
          <w:tcPr>
            <w:tcW w:w="134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5F3EEFD">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水果制品</w:t>
            </w:r>
          </w:p>
        </w:tc>
        <w:tc>
          <w:tcPr>
            <w:tcW w:w="4260"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FB52E47">
            <w:pPr>
              <w:spacing w:line="42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蜜饯、果脯</w:t>
            </w:r>
          </w:p>
        </w:tc>
        <w:tc>
          <w:tcPr>
            <w:tcW w:w="357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E92E95B">
            <w:pPr>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苯甲酸、山梨酸、糖精钠、甜蜜素、致病菌（沙门氏菌、金黄色葡萄球菌）</w:t>
            </w:r>
          </w:p>
        </w:tc>
      </w:tr>
    </w:tbl>
    <w:p w14:paraId="1CD69C8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3.检测人员</w:t>
      </w:r>
    </w:p>
    <w:p w14:paraId="34F6C032">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中标供应商负责的运营期内，应在每个检测室配备一名检测员，至少需配置</w:t>
      </w:r>
      <w:r>
        <w:rPr>
          <w:rFonts w:hint="eastAsia" w:ascii="宋体" w:hAnsi="宋体" w:cs="宋体"/>
          <w:b w:val="0"/>
          <w:bCs w:val="0"/>
          <w:color w:val="auto"/>
          <w:kern w:val="0"/>
          <w:sz w:val="24"/>
          <w:szCs w:val="24"/>
          <w:highlight w:val="none"/>
          <w:lang w:val="en-US" w:eastAsia="zh-CN"/>
        </w:rPr>
        <w:t>15</w:t>
      </w:r>
      <w:r>
        <w:rPr>
          <w:rFonts w:hint="eastAsia" w:ascii="宋体" w:hAnsi="宋体" w:eastAsia="宋体" w:cs="宋体"/>
          <w:b w:val="0"/>
          <w:bCs w:val="0"/>
          <w:color w:val="auto"/>
          <w:kern w:val="0"/>
          <w:sz w:val="24"/>
          <w:szCs w:val="24"/>
          <w:highlight w:val="none"/>
        </w:rPr>
        <w:t>名，检测员需持人员健康证及培训合格证上岗。中标供应商除应做好检测员的安全生产教育外，还应为检测员提供必要的劳动保护条件，为检测员办理作业时的人身安全保险和意外伤害险，一切安全责任事故均由中标供应商负责（保险种类由中标供应商自行选择）服务期内对所有检测人员提供不少于40个课时的食品安全培训，并形成培训记录，服务期结束后</w:t>
      </w:r>
      <w:r>
        <w:rPr>
          <w:rFonts w:hint="eastAsia" w:ascii="宋体" w:hAnsi="宋体" w:eastAsia="宋体" w:cs="宋体"/>
          <w:b w:val="0"/>
          <w:bCs w:val="0"/>
          <w:color w:val="auto"/>
          <w:kern w:val="0"/>
          <w:sz w:val="24"/>
          <w:szCs w:val="24"/>
          <w:highlight w:val="none"/>
          <w:lang w:val="en-US" w:eastAsia="zh-CN"/>
        </w:rPr>
        <w:t>须将</w:t>
      </w:r>
      <w:r>
        <w:rPr>
          <w:rFonts w:hint="eastAsia" w:ascii="宋体" w:hAnsi="宋体" w:eastAsia="宋体" w:cs="宋体"/>
          <w:b w:val="0"/>
          <w:bCs w:val="0"/>
          <w:color w:val="auto"/>
          <w:kern w:val="0"/>
          <w:sz w:val="24"/>
          <w:szCs w:val="24"/>
          <w:highlight w:val="none"/>
        </w:rPr>
        <w:t>培训记录一并移交给采购方。</w:t>
      </w:r>
    </w:p>
    <w:p w14:paraId="167A63F5">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4.检测数据</w:t>
      </w:r>
    </w:p>
    <w:p w14:paraId="5C89247F">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中标供应商需把检测信息与不合格食品后处置信息（包括后处置记录、销毁照片、追溯信息、抽检结果等）自动上传至盐南高新区食品安全检测监管系统平台及盐城市市场监督管理局搭建的快检系统平台，所有检测数据信息归采购方所有，不得外传并需为采购人保存至少两年。</w:t>
      </w:r>
    </w:p>
    <w:p w14:paraId="7F9EB132">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5.不合格处置</w:t>
      </w:r>
    </w:p>
    <w:p w14:paraId="51AEB7DA">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对快检初检结果表明不符合食品安全标准的食品，中标供应商需立即开展快检复检。检测结果判定为不合格的，应立即通知市场经营户。市场经营户无异议的，中标供应商需协助市场主办方要求经营者立即停止销售，当场销毁或进行无害化处理，处置过程拍照留档；经营者对检测结果有异议的，可自收到检测结果起 4 小时内申请复检。复检应由有资质的第三方检测机构执行，复检期间，被复检人暂停销售，复检结论仍不合格的，复检费用由复检申请人自行承担。复检不得采用快速检测的方法。</w:t>
      </w:r>
    </w:p>
    <w:p w14:paraId="7850FC2B">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6.样品留存</w:t>
      </w:r>
    </w:p>
    <w:p w14:paraId="2B82E4EB">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中标供应商应依据样本类别及性质，在不破坏样本原本状态及不被污染的原则下，按适当的保存条件妥善保存。检测结果为阴性的，留样时长不少于 24 小时；检测结果为阳性的，样品保存至后处置结束。 </w:t>
      </w:r>
    </w:p>
    <w:p w14:paraId="6EE8664F">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7.检测结果公示</w:t>
      </w:r>
    </w:p>
    <w:p w14:paraId="070D7C5D">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中标供应商需每天在农贸市场的快检信息公布专栏公示检测品种、项目、结果、时间等信息。</w:t>
      </w:r>
    </w:p>
    <w:p w14:paraId="6930CCE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8.资料保管</w:t>
      </w:r>
    </w:p>
    <w:p w14:paraId="474F12D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中标供应商对检测工作中形成的数据资料、各项制度、统计报表等相关文件，进行分类登记保管。建立样品采集、结果公示、后处置记录、统计报表、市场自查等工作台账，保存不少于一年。</w:t>
      </w:r>
    </w:p>
    <w:p w14:paraId="54EE5BEE">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9.</w:t>
      </w:r>
      <w:r>
        <w:rPr>
          <w:rFonts w:hint="eastAsia" w:ascii="宋体" w:hAnsi="宋体" w:eastAsia="宋体" w:cs="宋体"/>
          <w:b w:val="0"/>
          <w:bCs w:val="0"/>
          <w:color w:val="auto"/>
          <w:kern w:val="0"/>
          <w:sz w:val="24"/>
          <w:szCs w:val="24"/>
          <w:highlight w:val="none"/>
          <w:lang w:val="en-US" w:eastAsia="zh-CN"/>
        </w:rPr>
        <w:t>检测仪器要求</w:t>
      </w:r>
    </w:p>
    <w:p w14:paraId="38AF734E">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（1）投标人可利用采购人现有检测室的相关配套设施，并提供满足项目运营要求的检测设包括但不限于：食品安全综合检测仪、离心机、样品浓缩仪、振荡器、工具箱、耗材包等，其中</w:t>
      </w:r>
      <w:r>
        <w:rPr>
          <w:rFonts w:hint="eastAsia" w:ascii="宋体" w:hAnsi="宋体" w:eastAsia="宋体" w:cs="宋体"/>
          <w:b w:val="0"/>
          <w:bCs w:val="0"/>
          <w:color w:val="auto"/>
          <w:kern w:val="0"/>
          <w:sz w:val="24"/>
          <w:szCs w:val="24"/>
          <w:highlight w:val="none"/>
          <w:lang w:val="en-US" w:eastAsia="zh-CN"/>
        </w:rPr>
        <w:t>为确保检测结果的准确性</w:t>
      </w:r>
      <w:r>
        <w:rPr>
          <w:rFonts w:hint="eastAsia" w:ascii="宋体" w:hAnsi="宋体" w:cs="宋体"/>
          <w:b w:val="0"/>
          <w:bCs w:val="0"/>
          <w:color w:val="auto"/>
          <w:kern w:val="0"/>
          <w:sz w:val="24"/>
          <w:szCs w:val="24"/>
          <w:highlight w:val="none"/>
          <w:lang w:val="en-US" w:eastAsia="zh-CN"/>
        </w:rPr>
        <w:t>和稳定性</w:t>
      </w:r>
      <w:r>
        <w:rPr>
          <w:rFonts w:hint="eastAsia" w:ascii="宋体" w:hAnsi="宋体" w:eastAsia="宋体" w:cs="宋体"/>
          <w:b w:val="0"/>
          <w:bCs w:val="0"/>
          <w:color w:val="auto"/>
          <w:kern w:val="0"/>
          <w:sz w:val="24"/>
          <w:szCs w:val="24"/>
          <w:highlight w:val="none"/>
          <w:lang w:val="en-US" w:eastAsia="zh-CN"/>
        </w:rPr>
        <w:t>，中标供应商</w:t>
      </w:r>
      <w:r>
        <w:rPr>
          <w:rFonts w:hint="eastAsia" w:ascii="宋体" w:hAnsi="宋体" w:cs="宋体"/>
          <w:b w:val="0"/>
          <w:bCs w:val="0"/>
          <w:color w:val="auto"/>
          <w:kern w:val="0"/>
          <w:sz w:val="24"/>
          <w:szCs w:val="24"/>
          <w:highlight w:val="none"/>
          <w:lang w:val="en-US" w:eastAsia="zh-CN"/>
        </w:rPr>
        <w:t>在服务过程中</w:t>
      </w:r>
      <w:r>
        <w:rPr>
          <w:rFonts w:hint="eastAsia" w:ascii="宋体" w:hAnsi="宋体" w:eastAsia="宋体" w:cs="宋体"/>
          <w:b w:val="0"/>
          <w:bCs w:val="0"/>
          <w:color w:val="auto"/>
          <w:kern w:val="0"/>
          <w:sz w:val="24"/>
          <w:szCs w:val="24"/>
          <w:highlight w:val="none"/>
          <w:lang w:val="en-US" w:eastAsia="zh-CN"/>
        </w:rPr>
        <w:t>所提供的食品安全检测设备需经过相关计量单位的校准检定</w:t>
      </w:r>
      <w:r>
        <w:rPr>
          <w:rFonts w:hint="eastAsia" w:ascii="宋体" w:hAnsi="宋体" w:cs="宋体"/>
          <w:b w:val="0"/>
          <w:bCs w:val="0"/>
          <w:color w:val="auto"/>
          <w:kern w:val="0"/>
          <w:sz w:val="24"/>
          <w:szCs w:val="24"/>
          <w:highlight w:val="none"/>
          <w:lang w:val="en-US" w:eastAsia="zh-CN"/>
        </w:rPr>
        <w:t>并且需</w:t>
      </w:r>
      <w:r>
        <w:rPr>
          <w:rFonts w:hint="eastAsia" w:ascii="宋体" w:hAnsi="宋体" w:eastAsia="宋体" w:cs="宋体"/>
          <w:b w:val="0"/>
          <w:bCs w:val="0"/>
          <w:color w:val="auto"/>
          <w:kern w:val="0"/>
          <w:sz w:val="24"/>
          <w:szCs w:val="24"/>
          <w:highlight w:val="none"/>
          <w:lang w:val="en-US" w:eastAsia="zh-CN"/>
        </w:rPr>
        <w:t>通过安全性测试</w:t>
      </w:r>
      <w:r>
        <w:rPr>
          <w:rFonts w:hint="eastAsia" w:ascii="宋体" w:hAnsi="宋体" w:cs="宋体"/>
          <w:b w:val="0"/>
          <w:bCs w:val="0"/>
          <w:color w:val="auto"/>
          <w:kern w:val="0"/>
          <w:sz w:val="24"/>
          <w:szCs w:val="24"/>
          <w:highlight w:val="none"/>
          <w:lang w:val="en-US" w:eastAsia="zh-CN"/>
        </w:rPr>
        <w:t>。</w:t>
      </w:r>
    </w:p>
    <w:p w14:paraId="35633876">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2）在项目运营期间，投标人需至少提供2台备用核心检测设备至采购方处。运营所使用的核心检测设备以及备用检测设备的功能满足包括但不限于以下参数指标：1、分光光度检测模块：通道数≥16；2、胶体金检测模块：检测通道≥6 通道；3、操作屏≥15.6 英寸；4、胶体金检测适配标准通用检测卡，支持胶体金单卡、双联卡、三联卡检测，并可同时检测 2 张或以上三联卡。</w:t>
      </w:r>
    </w:p>
    <w:p w14:paraId="6A172230">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kern w:val="0"/>
          <w:sz w:val="24"/>
          <w:szCs w:val="24"/>
          <w:highlight w:val="none"/>
          <w:lang w:val="en-US" w:eastAsia="zh-CN"/>
        </w:rPr>
        <w:t>10</w:t>
      </w:r>
      <w:r>
        <w:rPr>
          <w:rFonts w:hint="eastAsia" w:ascii="宋体" w:hAnsi="宋体" w:eastAsia="宋体" w:cs="宋体"/>
          <w:b w:val="0"/>
          <w:bCs w:val="0"/>
          <w:color w:val="auto"/>
          <w:kern w:val="0"/>
          <w:sz w:val="24"/>
          <w:szCs w:val="24"/>
          <w:highlight w:val="none"/>
        </w:rPr>
        <w:t>.增值服务要求</w:t>
      </w:r>
    </w:p>
    <w:p w14:paraId="353BCB51">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中标单位需在各市场醒目位置设置“你点我检”公示栏、样品收集台等，中标单位除需完成各个市场工作日内检测批次任务，还需开展“你送我检”活动，每日免费检测不超过5批次的“你送我检”项目，现场接收消费者送检的自购食品，并及时告知和解读检测结果；检测人员要科学回答消费者有关的食品安全咨询，宣传食品安全科普知识。</w:t>
      </w:r>
    </w:p>
    <w:p w14:paraId="0C2D705B">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r>
        <w:rPr>
          <w:rFonts w:hint="eastAsia" w:ascii="宋体" w:hAnsi="宋体" w:cs="宋体"/>
          <w:b w:val="0"/>
          <w:bCs w:val="0"/>
          <w:color w:val="auto"/>
          <w:kern w:val="0"/>
          <w:sz w:val="24"/>
          <w:szCs w:val="24"/>
          <w:highlight w:val="none"/>
          <w:lang w:val="en-US" w:eastAsia="zh-CN"/>
        </w:rPr>
        <w:t>中标单位需定期组织现场</w:t>
      </w:r>
      <w:r>
        <w:rPr>
          <w:rFonts w:hint="eastAsia" w:ascii="宋体" w:hAnsi="宋体" w:eastAsia="宋体" w:cs="宋体"/>
          <w:b w:val="0"/>
          <w:bCs w:val="0"/>
          <w:color w:val="auto"/>
          <w:kern w:val="0"/>
          <w:sz w:val="24"/>
          <w:szCs w:val="24"/>
          <w:highlight w:val="none"/>
        </w:rPr>
        <w:t>“你送我检”活动</w:t>
      </w:r>
      <w:r>
        <w:rPr>
          <w:rFonts w:hint="eastAsia" w:ascii="宋体" w:hAnsi="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为</w:t>
      </w:r>
      <w:r>
        <w:rPr>
          <w:rFonts w:hint="eastAsia" w:ascii="宋体" w:hAnsi="宋体" w:eastAsia="宋体" w:cs="宋体"/>
          <w:b w:val="0"/>
          <w:bCs w:val="0"/>
          <w:color w:val="auto"/>
          <w:kern w:val="0"/>
          <w:sz w:val="24"/>
          <w:szCs w:val="24"/>
          <w:highlight w:val="none"/>
        </w:rPr>
        <w:t>保障采购人</w:t>
      </w:r>
      <w:r>
        <w:rPr>
          <w:rFonts w:hint="eastAsia" w:ascii="宋体" w:hAnsi="宋体" w:cs="宋体"/>
          <w:b w:val="0"/>
          <w:bCs w:val="0"/>
          <w:color w:val="auto"/>
          <w:kern w:val="0"/>
          <w:sz w:val="24"/>
          <w:szCs w:val="24"/>
          <w:highlight w:val="none"/>
          <w:lang w:val="en-US" w:eastAsia="zh-CN"/>
        </w:rPr>
        <w:t>现场检测和</w:t>
      </w:r>
      <w:r>
        <w:rPr>
          <w:rFonts w:hint="eastAsia" w:ascii="宋体" w:hAnsi="宋体" w:eastAsia="宋体" w:cs="宋体"/>
          <w:b w:val="0"/>
          <w:bCs w:val="0"/>
          <w:color w:val="auto"/>
          <w:kern w:val="0"/>
          <w:sz w:val="24"/>
          <w:szCs w:val="24"/>
          <w:highlight w:val="none"/>
        </w:rPr>
        <w:t>突发检测任务，响应时间为2小时内。</w:t>
      </w:r>
    </w:p>
    <w:p w14:paraId="7BD6EC4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除满足日常的检测工作外，供应商还需协助采购人举办食品安全宣传周、中高考、你点我检、3</w:t>
      </w:r>
      <w:r>
        <w:rPr>
          <w:rFonts w:hint="eastAsia" w:ascii="仿宋_GB2312" w:hAnsi="仿宋_GB2312" w:eastAsia="仿宋_GB2312" w:cs="仿宋_GB2312"/>
          <w:b w:val="0"/>
          <w:bCs w:val="0"/>
          <w:color w:val="auto"/>
          <w:kern w:val="0"/>
          <w:sz w:val="24"/>
          <w:szCs w:val="24"/>
          <w:highlight w:val="none"/>
          <w:lang w:val="en-US" w:eastAsia="zh-CN"/>
        </w:rPr>
        <w:t>·</w:t>
      </w:r>
      <w:r>
        <w:rPr>
          <w:rFonts w:hint="eastAsia" w:ascii="宋体" w:hAnsi="宋体" w:cs="宋体"/>
          <w:b w:val="0"/>
          <w:bCs w:val="0"/>
          <w:color w:val="auto"/>
          <w:kern w:val="0"/>
          <w:sz w:val="24"/>
          <w:szCs w:val="24"/>
          <w:highlight w:val="none"/>
          <w:lang w:val="en-US" w:eastAsia="zh-CN"/>
        </w:rPr>
        <w:t>15等重大保障活动，同时需具备食品安全快检车，具有重大事件的应急保障能力</w:t>
      </w:r>
      <w:r>
        <w:rPr>
          <w:rFonts w:hint="eastAsia" w:ascii="宋体" w:hAnsi="宋体" w:eastAsia="宋体" w:cs="宋体"/>
          <w:b w:val="0"/>
          <w:bCs w:val="0"/>
          <w:color w:val="auto"/>
          <w:kern w:val="0"/>
          <w:sz w:val="24"/>
          <w:szCs w:val="24"/>
          <w:highlight w:val="none"/>
          <w:lang w:val="en-US" w:eastAsia="zh-CN"/>
        </w:rPr>
        <w:t>。</w:t>
      </w:r>
    </w:p>
    <w:p w14:paraId="727612A4">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（二）盐南高新区食品安全检测监管系统搭建的要求</w:t>
      </w:r>
    </w:p>
    <w:p w14:paraId="1376DB8E">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食品安全检测监管</w:t>
      </w:r>
      <w:r>
        <w:rPr>
          <w:rFonts w:hint="eastAsia" w:ascii="宋体" w:hAnsi="宋体" w:cs="宋体"/>
          <w:b w:val="0"/>
          <w:bCs w:val="0"/>
          <w:color w:val="auto"/>
          <w:kern w:val="0"/>
          <w:sz w:val="24"/>
          <w:szCs w:val="24"/>
          <w:highlight w:val="none"/>
          <w:lang w:val="en-US" w:eastAsia="zh-CN"/>
        </w:rPr>
        <w:t>溯源</w:t>
      </w:r>
      <w:r>
        <w:rPr>
          <w:rFonts w:hint="eastAsia" w:ascii="宋体" w:hAnsi="宋体" w:eastAsia="宋体" w:cs="宋体"/>
          <w:b w:val="0"/>
          <w:bCs w:val="0"/>
          <w:color w:val="auto"/>
          <w:kern w:val="0"/>
          <w:sz w:val="24"/>
          <w:szCs w:val="24"/>
          <w:highlight w:val="none"/>
        </w:rPr>
        <w:t>系统应具备良好的软件架构设计，层次分明。该系统需</w:t>
      </w:r>
      <w:r>
        <w:rPr>
          <w:rFonts w:hint="eastAsia" w:ascii="宋体" w:hAnsi="宋体" w:eastAsia="宋体" w:cs="宋体"/>
          <w:b w:val="0"/>
          <w:bCs w:val="0"/>
          <w:color w:val="auto"/>
          <w:kern w:val="0"/>
          <w:sz w:val="24"/>
          <w:szCs w:val="24"/>
          <w:highlight w:val="none"/>
          <w:lang w:val="en-US" w:eastAsia="zh-CN"/>
        </w:rPr>
        <w:t>至少</w:t>
      </w:r>
      <w:r>
        <w:rPr>
          <w:rFonts w:hint="eastAsia" w:ascii="宋体" w:hAnsi="宋体" w:eastAsia="宋体" w:cs="宋体"/>
          <w:b w:val="0"/>
          <w:bCs w:val="0"/>
          <w:color w:val="auto"/>
          <w:kern w:val="0"/>
          <w:sz w:val="24"/>
          <w:szCs w:val="24"/>
          <w:highlight w:val="none"/>
        </w:rPr>
        <w:t>包含</w:t>
      </w:r>
      <w:r>
        <w:rPr>
          <w:rFonts w:hint="eastAsia" w:ascii="宋体" w:hAnsi="宋体" w:eastAsia="宋体" w:cs="宋体"/>
          <w:b w:val="0"/>
          <w:bCs w:val="0"/>
          <w:color w:val="auto"/>
          <w:kern w:val="0"/>
          <w:sz w:val="24"/>
          <w:szCs w:val="24"/>
          <w:highlight w:val="none"/>
          <w:lang w:val="en-US" w:eastAsia="zh-CN"/>
        </w:rPr>
        <w:t>以下</w:t>
      </w:r>
      <w:r>
        <w:rPr>
          <w:rFonts w:hint="eastAsia" w:ascii="宋体" w:hAnsi="宋体" w:cs="宋体"/>
          <w:b w:val="0"/>
          <w:bCs w:val="0"/>
          <w:color w:val="auto"/>
          <w:kern w:val="0"/>
          <w:sz w:val="24"/>
          <w:szCs w:val="24"/>
          <w:highlight w:val="none"/>
          <w:lang w:val="en-US" w:eastAsia="zh-CN"/>
        </w:rPr>
        <w:t>9</w:t>
      </w:r>
      <w:r>
        <w:rPr>
          <w:rFonts w:hint="eastAsia" w:ascii="宋体" w:hAnsi="宋体" w:eastAsia="宋体" w:cs="宋体"/>
          <w:b w:val="0"/>
          <w:bCs w:val="0"/>
          <w:color w:val="auto"/>
          <w:kern w:val="0"/>
          <w:sz w:val="24"/>
          <w:szCs w:val="24"/>
          <w:highlight w:val="none"/>
        </w:rPr>
        <w:t>个子系统：档案信息管理子系统、平台管理子系统、检测监管子系统、快检室运营管理子系统、风险监测子系统、检测员考核子系统、大数据分析子系统、信息公示子系统</w:t>
      </w: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溯源管理子系统</w:t>
      </w:r>
      <w:r>
        <w:rPr>
          <w:rFonts w:hint="eastAsia" w:ascii="宋体" w:hAnsi="宋体" w:eastAsia="宋体" w:cs="宋体"/>
          <w:b w:val="0"/>
          <w:bCs w:val="0"/>
          <w:color w:val="auto"/>
          <w:kern w:val="0"/>
          <w:sz w:val="24"/>
          <w:szCs w:val="24"/>
          <w:highlight w:val="none"/>
        </w:rPr>
        <w:t>。各子系统根据监管要求，提供相应Web端监管系统，监管小程序、溯源索证小程序、商户扫码公示H5等用以满足食品安全检测监管功能需求，并可与盐城市市场监管局快检系统平台衔接、融合，具体功能需求如下：</w:t>
      </w:r>
    </w:p>
    <w:p w14:paraId="103D8EC9">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1.档案信息管理子系统：</w:t>
      </w:r>
    </w:p>
    <w:p w14:paraId="39539590">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档案信息管理子系统包含各农贸市场及经营户档案信息的维护。包括如下功能：</w:t>
      </w:r>
    </w:p>
    <w:p w14:paraId="4B95F7F3">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（1）农贸市场档案管理：农贸市场基本信息，包含主体类型、</w:t>
      </w:r>
      <w:r>
        <w:rPr>
          <w:rFonts w:hint="eastAsia" w:ascii="宋体" w:hAnsi="宋体" w:cs="宋体"/>
          <w:b w:val="0"/>
          <w:bCs w:val="0"/>
          <w:color w:val="auto"/>
          <w:kern w:val="0"/>
          <w:sz w:val="24"/>
          <w:szCs w:val="24"/>
          <w:highlight w:val="none"/>
          <w:lang w:val="en-US" w:eastAsia="zh-CN"/>
        </w:rPr>
        <w:t>经营范围</w:t>
      </w:r>
      <w:r>
        <w:rPr>
          <w:rFonts w:hint="eastAsia" w:ascii="宋体" w:hAnsi="宋体" w:eastAsia="宋体" w:cs="宋体"/>
          <w:b w:val="0"/>
          <w:bCs w:val="0"/>
          <w:color w:val="auto"/>
          <w:kern w:val="0"/>
          <w:sz w:val="24"/>
          <w:szCs w:val="24"/>
          <w:highlight w:val="none"/>
        </w:rPr>
        <w:t>主体地址、负责人姓名、负责人联系电话、食安负责人姓名、食安负责人联系电话等。农贸市场监管信息，包含监管责任人、监管责任人联系电话、主体简介。农贸市场相关</w:t>
      </w:r>
      <w:r>
        <w:rPr>
          <w:rFonts w:hint="eastAsia" w:ascii="宋体" w:hAnsi="宋体" w:cs="宋体"/>
          <w:b w:val="0"/>
          <w:bCs w:val="0"/>
          <w:color w:val="auto"/>
          <w:kern w:val="0"/>
          <w:sz w:val="24"/>
          <w:szCs w:val="24"/>
          <w:highlight w:val="none"/>
          <w:lang w:val="en-US" w:eastAsia="zh-CN"/>
        </w:rPr>
        <w:t>介绍以及</w:t>
      </w:r>
      <w:r>
        <w:rPr>
          <w:rFonts w:hint="eastAsia" w:ascii="宋体" w:hAnsi="宋体" w:eastAsia="宋体" w:cs="宋体"/>
          <w:b w:val="0"/>
          <w:bCs w:val="0"/>
          <w:color w:val="auto"/>
          <w:kern w:val="0"/>
          <w:sz w:val="24"/>
          <w:szCs w:val="24"/>
          <w:highlight w:val="none"/>
        </w:rPr>
        <w:t>营业执照照片。</w:t>
      </w:r>
    </w:p>
    <w:p w14:paraId="5E35FBD4">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（2）经营户档案管理：包含经营户名称、摊位号、联系方式、</w:t>
      </w:r>
      <w:r>
        <w:rPr>
          <w:rFonts w:hint="eastAsia" w:ascii="宋体" w:hAnsi="宋体" w:cs="宋体"/>
          <w:b w:val="0"/>
          <w:bCs w:val="0"/>
          <w:color w:val="auto"/>
          <w:kern w:val="0"/>
          <w:sz w:val="24"/>
          <w:szCs w:val="24"/>
          <w:highlight w:val="none"/>
          <w:lang w:val="en-US" w:eastAsia="zh-CN"/>
        </w:rPr>
        <w:t>经营种类</w:t>
      </w:r>
      <w:r>
        <w:rPr>
          <w:rFonts w:hint="eastAsia" w:ascii="宋体" w:hAnsi="宋体" w:eastAsia="宋体" w:cs="宋体"/>
          <w:b w:val="0"/>
          <w:bCs w:val="0"/>
          <w:color w:val="auto"/>
          <w:kern w:val="0"/>
          <w:sz w:val="24"/>
          <w:szCs w:val="24"/>
          <w:highlight w:val="none"/>
        </w:rPr>
        <w:t>、商户头像、主营项目、</w:t>
      </w:r>
      <w:r>
        <w:rPr>
          <w:rFonts w:hint="eastAsia" w:ascii="宋体" w:hAnsi="宋体" w:cs="宋体"/>
          <w:b w:val="0"/>
          <w:bCs w:val="0"/>
          <w:color w:val="auto"/>
          <w:kern w:val="0"/>
          <w:sz w:val="24"/>
          <w:szCs w:val="24"/>
          <w:highlight w:val="none"/>
          <w:lang w:val="en-US" w:eastAsia="zh-CN"/>
        </w:rPr>
        <w:t>签约期限</w:t>
      </w:r>
      <w:r>
        <w:rPr>
          <w:rFonts w:hint="eastAsia" w:ascii="宋体" w:hAnsi="宋体" w:eastAsia="宋体" w:cs="宋体"/>
          <w:b w:val="0"/>
          <w:bCs w:val="0"/>
          <w:color w:val="auto"/>
          <w:kern w:val="0"/>
          <w:sz w:val="24"/>
          <w:szCs w:val="24"/>
          <w:highlight w:val="none"/>
        </w:rPr>
        <w:t>。</w:t>
      </w:r>
    </w:p>
    <w:p w14:paraId="4D82DF56">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2.平台管理子系统：</w:t>
      </w:r>
    </w:p>
    <w:p w14:paraId="247240B6">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平台管理子系统为市场监管部门提供配置和管理功能，实现整个系统的配置以及监管，具体包括：</w:t>
      </w:r>
    </w:p>
    <w:p w14:paraId="3EC1850D">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（1）部门管理：维护系统部门信息、包含部门名称、部门负责人、联系电话。</w:t>
      </w:r>
    </w:p>
    <w:p w14:paraId="034DC8BD">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（2）用户管理：维护系统账号信息，包含角色、账号、密码、用户姓名、联系电话、所属单位。</w:t>
      </w:r>
    </w:p>
    <w:p w14:paraId="24F53102">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（3）权限管理：维护系统角色信息。</w:t>
      </w:r>
    </w:p>
    <w:p w14:paraId="18C57570">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rPr>
        <w:t>.检测监管子系统：</w:t>
      </w:r>
    </w:p>
    <w:p w14:paraId="62F6D88B">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检测监管子系统包含监管系统中检测相关的功能。监管平台对检测数据进行实时统计、分析。本子系统包含监管系统功能、监管小程序功能、采样互联功能、检测仪器互联功能：</w:t>
      </w:r>
    </w:p>
    <w:p w14:paraId="4BCBD43F">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（1）监管系统包含以下功能：</w:t>
      </w:r>
    </w:p>
    <w:p w14:paraId="31D440D2">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项目运维：包含对各农贸市场检测总量任务的下达。</w:t>
      </w:r>
    </w:p>
    <w:p w14:paraId="3DDF1BA0">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样品信息查询：包含按照起止日期、局、所、样品类型、样品名称、检测结果等筛选条件进行样品信息查询。</w:t>
      </w:r>
    </w:p>
    <w:p w14:paraId="3074A64A">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检测信息查询：包含按照起止日期、局、所、样品类型、样品名称、检测类别、检测项目、检测结果等筛选条件进行检测信息查询。</w:t>
      </w:r>
    </w:p>
    <w:p w14:paraId="53653296">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检测数据统计：对检测总量、快检合格率、任务完成率、检测类别、样品类别的数据统计。</w:t>
      </w:r>
    </w:p>
    <w:p w14:paraId="5785ACB5">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大数据分析：包含任务执行分析。</w:t>
      </w:r>
    </w:p>
    <w:p w14:paraId="0A522B3E">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（2）监管小程序包含以下功能：</w:t>
      </w:r>
    </w:p>
    <w:p w14:paraId="77606EA4">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食品快检：查看辖区内各农贸市场检测执行情况。</w:t>
      </w:r>
    </w:p>
    <w:p w14:paraId="41DCC08F">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快检分析：查看辖区内各农贸市场检测问题发生情况。</w:t>
      </w:r>
    </w:p>
    <w:p w14:paraId="20A60DA8">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（3）采样</w:t>
      </w:r>
      <w:r>
        <w:rPr>
          <w:rFonts w:hint="eastAsia" w:ascii="宋体" w:hAnsi="宋体" w:cs="宋体"/>
          <w:b w:val="0"/>
          <w:bCs w:val="0"/>
          <w:color w:val="auto"/>
          <w:kern w:val="0"/>
          <w:sz w:val="24"/>
          <w:szCs w:val="24"/>
          <w:highlight w:val="none"/>
          <w:lang w:val="en-US" w:eastAsia="zh-CN"/>
        </w:rPr>
        <w:t>小程序</w:t>
      </w:r>
      <w:r>
        <w:rPr>
          <w:rFonts w:hint="eastAsia" w:ascii="宋体" w:hAnsi="宋体" w:eastAsia="宋体" w:cs="宋体"/>
          <w:b w:val="0"/>
          <w:bCs w:val="0"/>
          <w:color w:val="auto"/>
          <w:kern w:val="0"/>
          <w:sz w:val="24"/>
          <w:szCs w:val="24"/>
          <w:highlight w:val="none"/>
        </w:rPr>
        <w:t>含以下功能：</w:t>
      </w:r>
    </w:p>
    <w:p w14:paraId="6CCC873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样品采集：包括</w:t>
      </w:r>
      <w:r>
        <w:rPr>
          <w:rFonts w:hint="eastAsia" w:ascii="宋体" w:hAnsi="宋体" w:cs="宋体"/>
          <w:b w:val="0"/>
          <w:bCs w:val="0"/>
          <w:color w:val="auto"/>
          <w:kern w:val="0"/>
          <w:sz w:val="24"/>
          <w:szCs w:val="24"/>
          <w:highlight w:val="none"/>
          <w:lang w:val="en-US" w:eastAsia="zh-CN"/>
        </w:rPr>
        <w:t>随机采样、任务采样、客户送检、采样定位、</w:t>
      </w:r>
      <w:r>
        <w:rPr>
          <w:rFonts w:hint="eastAsia" w:ascii="宋体" w:hAnsi="宋体" w:eastAsia="宋体" w:cs="宋体"/>
          <w:b w:val="0"/>
          <w:bCs w:val="0"/>
          <w:color w:val="auto"/>
          <w:kern w:val="0"/>
          <w:sz w:val="24"/>
          <w:szCs w:val="24"/>
          <w:highlight w:val="none"/>
        </w:rPr>
        <w:t>样品种类、经营户名称、</w:t>
      </w:r>
      <w:r>
        <w:rPr>
          <w:rFonts w:hint="eastAsia" w:ascii="宋体" w:hAnsi="宋体" w:cs="宋体"/>
          <w:b w:val="0"/>
          <w:bCs w:val="0"/>
          <w:color w:val="auto"/>
          <w:kern w:val="0"/>
          <w:sz w:val="24"/>
          <w:szCs w:val="24"/>
          <w:highlight w:val="none"/>
          <w:lang w:val="en-US" w:eastAsia="zh-CN"/>
        </w:rPr>
        <w:t>摊位号、</w:t>
      </w:r>
      <w:r>
        <w:rPr>
          <w:rFonts w:hint="eastAsia" w:ascii="宋体" w:hAnsi="宋体" w:eastAsia="宋体" w:cs="宋体"/>
          <w:b w:val="0"/>
          <w:bCs w:val="0"/>
          <w:color w:val="auto"/>
          <w:kern w:val="0"/>
          <w:sz w:val="24"/>
          <w:szCs w:val="24"/>
          <w:highlight w:val="none"/>
        </w:rPr>
        <w:t>样品名称、</w:t>
      </w:r>
      <w:r>
        <w:rPr>
          <w:rFonts w:hint="eastAsia" w:ascii="宋体" w:hAnsi="宋体" w:cs="宋体"/>
          <w:b w:val="0"/>
          <w:bCs w:val="0"/>
          <w:color w:val="auto"/>
          <w:kern w:val="0"/>
          <w:sz w:val="24"/>
          <w:szCs w:val="24"/>
          <w:highlight w:val="none"/>
          <w:lang w:val="en-US" w:eastAsia="zh-CN"/>
        </w:rPr>
        <w:t>推荐</w:t>
      </w:r>
      <w:r>
        <w:rPr>
          <w:rFonts w:hint="eastAsia" w:ascii="宋体" w:hAnsi="宋体" w:eastAsia="宋体" w:cs="宋体"/>
          <w:b w:val="0"/>
          <w:bCs w:val="0"/>
          <w:color w:val="auto"/>
          <w:kern w:val="0"/>
          <w:sz w:val="24"/>
          <w:szCs w:val="24"/>
          <w:highlight w:val="none"/>
        </w:rPr>
        <w:t>检测项目、</w:t>
      </w:r>
      <w:r>
        <w:rPr>
          <w:rFonts w:hint="eastAsia" w:ascii="宋体" w:hAnsi="宋体" w:cs="宋体"/>
          <w:b w:val="0"/>
          <w:bCs w:val="0"/>
          <w:color w:val="auto"/>
          <w:kern w:val="0"/>
          <w:sz w:val="24"/>
          <w:szCs w:val="24"/>
          <w:highlight w:val="none"/>
          <w:lang w:val="en-US" w:eastAsia="zh-CN"/>
        </w:rPr>
        <w:t>数量、采样费用、</w:t>
      </w:r>
      <w:r>
        <w:rPr>
          <w:rFonts w:hint="eastAsia" w:ascii="宋体" w:hAnsi="宋体" w:eastAsia="宋体" w:cs="宋体"/>
          <w:b w:val="0"/>
          <w:bCs w:val="0"/>
          <w:color w:val="auto"/>
          <w:kern w:val="0"/>
          <w:sz w:val="24"/>
          <w:szCs w:val="24"/>
          <w:highlight w:val="none"/>
        </w:rPr>
        <w:t>采样照片、</w:t>
      </w:r>
      <w:r>
        <w:rPr>
          <w:rFonts w:hint="eastAsia" w:ascii="宋体" w:hAnsi="宋体" w:cs="宋体"/>
          <w:b w:val="0"/>
          <w:bCs w:val="0"/>
          <w:color w:val="auto"/>
          <w:kern w:val="0"/>
          <w:sz w:val="24"/>
          <w:szCs w:val="24"/>
          <w:highlight w:val="none"/>
          <w:lang w:val="en-US" w:eastAsia="zh-CN"/>
        </w:rPr>
        <w:t>被采样单位签字等</w:t>
      </w:r>
      <w:r>
        <w:rPr>
          <w:rFonts w:hint="eastAsia" w:ascii="宋体" w:hAnsi="宋体" w:eastAsia="宋体" w:cs="宋体"/>
          <w:b w:val="0"/>
          <w:bCs w:val="0"/>
          <w:color w:val="auto"/>
          <w:kern w:val="0"/>
          <w:sz w:val="24"/>
          <w:szCs w:val="24"/>
          <w:highlight w:val="none"/>
        </w:rPr>
        <w:t>。</w:t>
      </w:r>
    </w:p>
    <w:p w14:paraId="01FA84C4">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rPr>
        <w:t>）检测仪器互联包含以下功能：</w:t>
      </w:r>
    </w:p>
    <w:p w14:paraId="4263F54B">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提供检测仪器数据对接端口，检测数据可以通过不同厂家的检测仪器实时上传、汇总、分析。</w:t>
      </w:r>
    </w:p>
    <w:p w14:paraId="576D16B8">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rPr>
        <w:t>.快检室运营管理子系统</w:t>
      </w:r>
    </w:p>
    <w:p w14:paraId="5DE3712A">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快检室运营管理子系统包含</w:t>
      </w:r>
      <w:r>
        <w:rPr>
          <w:rFonts w:hint="eastAsia" w:ascii="宋体" w:hAnsi="宋体" w:cs="宋体"/>
          <w:b w:val="0"/>
          <w:bCs w:val="0"/>
          <w:color w:val="auto"/>
          <w:kern w:val="0"/>
          <w:sz w:val="24"/>
          <w:szCs w:val="24"/>
          <w:highlight w:val="none"/>
          <w:lang w:val="en-US" w:eastAsia="zh-CN"/>
        </w:rPr>
        <w:t>采样检测管理审核功能、试剂管理功能以及资料库功能</w:t>
      </w:r>
      <w:r>
        <w:rPr>
          <w:rFonts w:hint="eastAsia" w:ascii="宋体" w:hAnsi="宋体" w:eastAsia="宋体" w:cs="宋体"/>
          <w:b w:val="0"/>
          <w:bCs w:val="0"/>
          <w:color w:val="auto"/>
          <w:kern w:val="0"/>
          <w:sz w:val="24"/>
          <w:szCs w:val="24"/>
          <w:highlight w:val="none"/>
        </w:rPr>
        <w:t>。</w:t>
      </w:r>
    </w:p>
    <w:p w14:paraId="6E016039">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r>
        <w:rPr>
          <w:rFonts w:hint="eastAsia" w:ascii="宋体" w:hAnsi="宋体" w:cs="宋体"/>
          <w:b w:val="0"/>
          <w:bCs w:val="0"/>
          <w:color w:val="auto"/>
          <w:kern w:val="0"/>
          <w:sz w:val="24"/>
          <w:szCs w:val="24"/>
          <w:highlight w:val="none"/>
          <w:lang w:val="en-US" w:eastAsia="zh-CN"/>
        </w:rPr>
        <w:t>采样检测管理审核功能</w:t>
      </w:r>
      <w:r>
        <w:rPr>
          <w:rFonts w:hint="eastAsia" w:ascii="宋体" w:hAnsi="宋体" w:eastAsia="宋体" w:cs="宋体"/>
          <w:b w:val="0"/>
          <w:bCs w:val="0"/>
          <w:color w:val="auto"/>
          <w:kern w:val="0"/>
          <w:sz w:val="24"/>
          <w:szCs w:val="24"/>
          <w:highlight w:val="none"/>
        </w:rPr>
        <w:t>：</w:t>
      </w:r>
    </w:p>
    <w:p w14:paraId="502DAEC9">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检测员需使用小程序采样，采样的同时进行定位，后台统计采样时间及地点，在非管辖市场内产生的采样信息需要上级管理人员对该条采样信息审核，从而规范检测员的日常采样工作。</w:t>
      </w:r>
    </w:p>
    <w:p w14:paraId="1D73EE3B">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检测员用仪器进行检测时也需要进行定位，在非管辖市场内产生的检测数据同样需要上级管理人员对该条监测数据审核，从而规范检测员的日常检测工作。</w:t>
      </w:r>
    </w:p>
    <w:p w14:paraId="2557B040">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r>
        <w:rPr>
          <w:rFonts w:hint="eastAsia" w:ascii="宋体" w:hAnsi="宋体" w:cs="宋体"/>
          <w:b w:val="0"/>
          <w:bCs w:val="0"/>
          <w:color w:val="auto"/>
          <w:kern w:val="0"/>
          <w:sz w:val="24"/>
          <w:szCs w:val="24"/>
          <w:highlight w:val="none"/>
          <w:lang w:val="en-US" w:eastAsia="zh-CN"/>
        </w:rPr>
        <w:t>试剂管理</w:t>
      </w:r>
      <w:r>
        <w:rPr>
          <w:rFonts w:hint="eastAsia" w:ascii="宋体" w:hAnsi="宋体" w:eastAsia="宋体" w:cs="宋体"/>
          <w:b w:val="0"/>
          <w:bCs w:val="0"/>
          <w:color w:val="auto"/>
          <w:kern w:val="0"/>
          <w:sz w:val="24"/>
          <w:szCs w:val="24"/>
          <w:highlight w:val="none"/>
        </w:rPr>
        <w:t>功能：</w:t>
      </w:r>
    </w:p>
    <w:p w14:paraId="3CCB3B08">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包括了试剂的申请、供应商管理、供应商所售试剂列表、商品管理、仓库名称、入库管理、入库明细管理、出库管理、调拨管理等功能。</w:t>
      </w:r>
    </w:p>
    <w:p w14:paraId="6EB5363E">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检测设备可与试剂管理功能联动，设备检测的次数与试剂库存关联，当检测超过试剂批次数之后检测设备则无法进行检测。</w:t>
      </w:r>
    </w:p>
    <w:p w14:paraId="35F552C3">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.风险监测子系统：</w:t>
      </w:r>
    </w:p>
    <w:p w14:paraId="43D8F46E">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风险监测子系统包含通过监管平台实时查看风险情况，并提供风险处理手段。风险监测子系统包含如下部分：</w:t>
      </w:r>
    </w:p>
    <w:p w14:paraId="2BC6B682">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实时风险：查看辖区内各农贸市场风险发生情况及风险详情。</w:t>
      </w:r>
    </w:p>
    <w:p w14:paraId="59D0284C">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复核日志：查看历史已经处理过的风险。</w:t>
      </w:r>
    </w:p>
    <w:p w14:paraId="723D4D45">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 </w:t>
      </w:r>
      <w:r>
        <w:rPr>
          <w:rFonts w:hint="eastAsia" w:ascii="宋体" w:hAnsi="宋体" w:cs="宋体"/>
          <w:b w:val="0"/>
          <w:bCs w:val="0"/>
          <w:color w:val="auto"/>
          <w:kern w:val="0"/>
          <w:sz w:val="24"/>
          <w:szCs w:val="24"/>
          <w:highlight w:val="none"/>
          <w:lang w:val="en-US" w:eastAsia="zh-CN"/>
        </w:rPr>
        <w:t>6</w:t>
      </w:r>
      <w:r>
        <w:rPr>
          <w:rFonts w:hint="eastAsia" w:ascii="宋体" w:hAnsi="宋体" w:eastAsia="宋体" w:cs="宋体"/>
          <w:b w:val="0"/>
          <w:bCs w:val="0"/>
          <w:color w:val="auto"/>
          <w:kern w:val="0"/>
          <w:sz w:val="24"/>
          <w:szCs w:val="24"/>
          <w:highlight w:val="none"/>
        </w:rPr>
        <w:t>.检测员考核子系统：</w:t>
      </w:r>
    </w:p>
    <w:p w14:paraId="4FE9855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该系统主要为检测员培训考核提供一套完善的机制，包含检测员学习功能，提供统计检测员学习时长功能，保障检测员按照要求完成食品安全知识学习任务，提供检测员模拟答题功能，巩固检测员食安知识，同时提供考试系统，对检测员定期进行知识考核。本子系统包含以下功能：</w:t>
      </w:r>
    </w:p>
    <w:p w14:paraId="7FA30344">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理论课程</w:t>
      </w:r>
      <w:r>
        <w:rPr>
          <w:rFonts w:hint="eastAsia" w:ascii="宋体" w:hAnsi="宋体" w:eastAsia="宋体" w:cs="宋体"/>
          <w:b w:val="0"/>
          <w:bCs w:val="0"/>
          <w:color w:val="auto"/>
          <w:kern w:val="0"/>
          <w:sz w:val="24"/>
          <w:szCs w:val="24"/>
          <w:highlight w:val="none"/>
        </w:rPr>
        <w:t>：发布食品安全政策法规、专业知识、监管要求</w:t>
      </w:r>
      <w:r>
        <w:rPr>
          <w:rFonts w:hint="eastAsia" w:ascii="宋体" w:hAnsi="宋体" w:cs="宋体"/>
          <w:b w:val="0"/>
          <w:bCs w:val="0"/>
          <w:color w:val="auto"/>
          <w:kern w:val="0"/>
          <w:sz w:val="24"/>
          <w:szCs w:val="24"/>
          <w:highlight w:val="none"/>
          <w:lang w:val="en-US" w:eastAsia="zh-CN"/>
        </w:rPr>
        <w:t>等内容；</w:t>
      </w:r>
    </w:p>
    <w:p w14:paraId="24900D83">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80" w:firstLineChars="200"/>
        <w:textAlignment w:val="auto"/>
        <w:rPr>
          <w:rFonts w:hint="default"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资料库能：包括试剂以及设备的操作视频、检测室相关管理文件等。</w:t>
      </w:r>
    </w:p>
    <w:p w14:paraId="735CCD40">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模拟考试：</w:t>
      </w:r>
      <w:r>
        <w:rPr>
          <w:rFonts w:hint="eastAsia" w:ascii="宋体" w:hAnsi="宋体" w:eastAsia="宋体" w:cs="宋体"/>
          <w:b w:val="0"/>
          <w:bCs w:val="0"/>
          <w:color w:val="auto"/>
          <w:kern w:val="0"/>
          <w:sz w:val="24"/>
          <w:szCs w:val="24"/>
          <w:highlight w:val="none"/>
        </w:rPr>
        <w:t>提供模拟考试功能</w:t>
      </w:r>
      <w:r>
        <w:rPr>
          <w:rFonts w:hint="eastAsia" w:ascii="宋体" w:hAnsi="宋体" w:cs="宋体"/>
          <w:b w:val="0"/>
          <w:bCs w:val="0"/>
          <w:color w:val="auto"/>
          <w:kern w:val="0"/>
          <w:sz w:val="24"/>
          <w:szCs w:val="24"/>
          <w:highlight w:val="none"/>
          <w:lang w:eastAsia="zh-CN"/>
        </w:rPr>
        <w:t>；</w:t>
      </w:r>
    </w:p>
    <w:p w14:paraId="04920256">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错题本：记录错题并加强练习；</w:t>
      </w:r>
    </w:p>
    <w:p w14:paraId="56BB39FF">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题库</w:t>
      </w:r>
      <w:r>
        <w:rPr>
          <w:rFonts w:hint="eastAsia" w:ascii="宋体" w:hAnsi="宋体" w:eastAsia="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包括快检知识、食品安全管理员、食品安全监管的题目</w:t>
      </w:r>
    </w:p>
    <w:p w14:paraId="21868A61">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kern w:val="0"/>
          <w:sz w:val="24"/>
          <w:szCs w:val="24"/>
          <w:highlight w:val="none"/>
          <w:lang w:val="en-US" w:eastAsia="zh-CN"/>
        </w:rPr>
        <w:t>正式</w:t>
      </w:r>
      <w:r>
        <w:rPr>
          <w:rFonts w:hint="eastAsia" w:ascii="宋体" w:hAnsi="宋体" w:eastAsia="宋体" w:cs="宋体"/>
          <w:b w:val="0"/>
          <w:bCs w:val="0"/>
          <w:color w:val="auto"/>
          <w:kern w:val="0"/>
          <w:sz w:val="24"/>
          <w:szCs w:val="24"/>
          <w:highlight w:val="none"/>
        </w:rPr>
        <w:t>考试：为检测员提供在线考试功能。</w:t>
      </w:r>
    </w:p>
    <w:p w14:paraId="6760C532">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学习记录：记录检测员</w:t>
      </w:r>
      <w:r>
        <w:rPr>
          <w:rFonts w:hint="eastAsia" w:ascii="宋体" w:hAnsi="宋体" w:eastAsia="宋体" w:cs="宋体"/>
          <w:b w:val="0"/>
          <w:bCs w:val="0"/>
          <w:color w:val="auto"/>
          <w:kern w:val="0"/>
          <w:sz w:val="24"/>
          <w:szCs w:val="24"/>
          <w:highlight w:val="none"/>
        </w:rPr>
        <w:t>在线学习时长</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考试情况统计、分析</w:t>
      </w:r>
      <w:r>
        <w:rPr>
          <w:rFonts w:hint="eastAsia" w:ascii="宋体" w:hAnsi="宋体" w:cs="宋体"/>
          <w:b w:val="0"/>
          <w:bCs w:val="0"/>
          <w:color w:val="auto"/>
          <w:kern w:val="0"/>
          <w:sz w:val="24"/>
          <w:szCs w:val="24"/>
          <w:highlight w:val="none"/>
          <w:lang w:eastAsia="zh-CN"/>
        </w:rPr>
        <w:t>；</w:t>
      </w:r>
    </w:p>
    <w:p w14:paraId="26D569FF">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kern w:val="0"/>
          <w:sz w:val="24"/>
          <w:szCs w:val="24"/>
          <w:highlight w:val="none"/>
          <w:lang w:val="en-US" w:eastAsia="zh-CN"/>
        </w:rPr>
        <w:t>7</w:t>
      </w:r>
      <w:r>
        <w:rPr>
          <w:rFonts w:hint="eastAsia" w:ascii="宋体" w:hAnsi="宋体" w:eastAsia="宋体" w:cs="宋体"/>
          <w:b w:val="0"/>
          <w:bCs w:val="0"/>
          <w:color w:val="auto"/>
          <w:kern w:val="0"/>
          <w:sz w:val="24"/>
          <w:szCs w:val="24"/>
          <w:highlight w:val="none"/>
        </w:rPr>
        <w:t>.大数据分析子系统：</w:t>
      </w:r>
    </w:p>
    <w:p w14:paraId="518B9465">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主要运用大数据分析挖掘技术进行多维度数据分析，提供对食品安全工作的决策支持。本子系统应包含以下功能：</w:t>
      </w:r>
    </w:p>
    <w:p w14:paraId="4A1C8E4A">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（1）检测执行分析：</w:t>
      </w:r>
    </w:p>
    <w:p w14:paraId="05E952E1">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①计划量、完成量、完成率概况；②农贸市场计划任务量和实际完成量对比分析；③样品类别检测量分析</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覆盖率</w:t>
      </w:r>
      <w:r>
        <w:rPr>
          <w:rFonts w:hint="eastAsia" w:ascii="宋体" w:hAnsi="宋体" w:cs="宋体"/>
          <w:b w:val="0"/>
          <w:bCs w:val="0"/>
          <w:color w:val="auto"/>
          <w:kern w:val="0"/>
          <w:sz w:val="24"/>
          <w:szCs w:val="24"/>
          <w:highlight w:val="none"/>
          <w:lang w:val="en-US" w:eastAsia="zh-CN"/>
        </w:rPr>
        <w:t>情况</w:t>
      </w:r>
      <w:r>
        <w:rPr>
          <w:rFonts w:hint="eastAsia" w:ascii="宋体" w:hAnsi="宋体" w:eastAsia="宋体" w:cs="宋体"/>
          <w:b w:val="0"/>
          <w:bCs w:val="0"/>
          <w:color w:val="auto"/>
          <w:kern w:val="0"/>
          <w:sz w:val="24"/>
          <w:szCs w:val="24"/>
          <w:highlight w:val="none"/>
        </w:rPr>
        <w:t>；④不同业态检测量占比分析；⑤检测类别检测量占比分析；⑥快检室检测任务完成率排行；⑦农贸市场平均检测量排行；⑧农贸市场监测覆盖率排行。</w:t>
      </w:r>
    </w:p>
    <w:p w14:paraId="188CBACA">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（2）风险监测分析：</w:t>
      </w:r>
    </w:p>
    <w:p w14:paraId="1A24CBE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宋体" w:hAnsi="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①检测总量、合格量、不合格量、合格率概况；②农贸市场初检不合格量和复核数量对比分析；③农贸市场快检室检测合格率排行；④检测类别合格率对比分析；⑤不同业态检测合格率对比分析；⑥农贸市场初检不合格率排行；⑦农贸市场检测复核率排行；⑧样品检测不合格量排行。</w:t>
      </w:r>
    </w:p>
    <w:p w14:paraId="021EBAFB">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kern w:val="0"/>
          <w:sz w:val="24"/>
          <w:szCs w:val="24"/>
          <w:highlight w:val="none"/>
          <w:lang w:val="en-US" w:eastAsia="zh-CN"/>
        </w:rPr>
        <w:t>8</w:t>
      </w:r>
      <w:r>
        <w:rPr>
          <w:rFonts w:hint="eastAsia" w:ascii="宋体" w:hAnsi="宋体" w:eastAsia="宋体" w:cs="宋体"/>
          <w:b w:val="0"/>
          <w:bCs w:val="0"/>
          <w:color w:val="auto"/>
          <w:kern w:val="0"/>
          <w:sz w:val="24"/>
          <w:szCs w:val="24"/>
          <w:highlight w:val="none"/>
        </w:rPr>
        <w:t>.信息公示子系统：</w:t>
      </w:r>
    </w:p>
    <w:p w14:paraId="6C9FF0BC">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信息公示子系统满足食品安全信息、商品交易公示的需要，包含经营主体二维码，其中各部分具备的功能如下：</w:t>
      </w:r>
    </w:p>
    <w:p w14:paraId="4C759391">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商户二维码H5：</w:t>
      </w:r>
    </w:p>
    <w:p w14:paraId="51F9CD26">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检：此商户近期检测信息。</w:t>
      </w:r>
    </w:p>
    <w:p w14:paraId="5762F503">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源：此商户溯源信息。</w:t>
      </w:r>
    </w:p>
    <w:p w14:paraId="3ADF1130">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评：此商户的评价信息，并可对此商户进行评价。</w:t>
      </w:r>
    </w:p>
    <w:p w14:paraId="37974541">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9.溯源管理子系统：</w:t>
      </w:r>
    </w:p>
    <w:p w14:paraId="684E2BE1">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val="en-US" w:eastAsia="zh-CN"/>
        </w:rPr>
        <w:t>进出货管理：经营户可以通过小程序建立供应商名录以及对应提供的商品，建立入库、库存、出库的详细信息，确保在经营户这一端上下游追溯链条能够完整。入库的商品可在检测员采样时直接导入进行采样，无需重复填写采样信息。</w:t>
      </w:r>
    </w:p>
    <w:p w14:paraId="327BD648">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农产品合格证：通过扫描农产品合格证或者拍照，保存上游农产品合格证的信息。</w:t>
      </w:r>
    </w:p>
    <w:p w14:paraId="2F7FD680">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val="en-US" w:eastAsia="zh-CN"/>
        </w:rPr>
        <w:t>追溯管理：该系统可按农产品或经营户查询，以树状图的形式展现每一次流动的痕迹，也可按溯源码查询同一批次农产品的溯源。每批商品进入批发市场后都会生成一个溯源码，一旦发现问题，可及时向上游追溯。</w:t>
      </w:r>
    </w:p>
    <w:p w14:paraId="79FF4921">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rPr>
      </w:pPr>
    </w:p>
    <w:p w14:paraId="1950C1A3">
      <w:pPr>
        <w:pStyle w:val="3"/>
        <w:rPr>
          <w:rFonts w:hint="eastAsia"/>
          <w:color w:val="auto"/>
          <w:highlight w:val="none"/>
        </w:rPr>
      </w:pPr>
    </w:p>
    <w:p w14:paraId="5B91EE58">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sz w:val="24"/>
          <w:szCs w:val="24"/>
          <w:highlight w:val="none"/>
        </w:rPr>
      </w:pPr>
    </w:p>
    <w:p w14:paraId="7FFA2103">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b w:val="0"/>
          <w:bCs w:val="0"/>
          <w:color w:val="auto"/>
          <w:sz w:val="24"/>
          <w:szCs w:val="24"/>
          <w:highlight w:val="none"/>
        </w:rPr>
      </w:pPr>
    </w:p>
    <w:p w14:paraId="1939F63B">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r>
    </w:p>
    <w:p w14:paraId="02D8C5EE">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附件</w:t>
      </w:r>
    </w:p>
    <w:p w14:paraId="41AA9AF8">
      <w:pPr>
        <w:spacing w:line="400" w:lineRule="exact"/>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盐南高新区农贸市场食用农产品快速检测工作规范（试行）</w:t>
      </w:r>
    </w:p>
    <w:p w14:paraId="254B19E7">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为规范和指导全区农贸市场食用农产品快速检测工作（以下简称“快检工作”），根据《中华人民共和国食品安全法》及其实施条例、《食用农产品市场销售质量安全监督管理办法》等法律法规，结合实际，制定本规范。</w:t>
      </w:r>
    </w:p>
    <w:p w14:paraId="15EFAE5F">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一、适用范围</w:t>
      </w:r>
    </w:p>
    <w:p w14:paraId="4281FC04">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本规范适用于全区农贸市场食用农产品快检工作。</w:t>
      </w:r>
    </w:p>
    <w:p w14:paraId="5145F0EF">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二、工作职责</w:t>
      </w:r>
    </w:p>
    <w:p w14:paraId="79889946">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（一）区局：负责对农贸市场食用农产品快检工作进行指导和督查。委托第三方专业技术机构实施农贸市场快检工作。按季度对农贸市场快检工作进行抽查考核。</w:t>
      </w:r>
    </w:p>
    <w:p w14:paraId="55BB9F34">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市场监管所：负责监督和指导辖区农贸市场日常快检工作。对辖区内农贸市场快检室进行日常监管与考核，配合区局对辖区农贸市场快检工作进行督查考核。督促市场开办者、经营户按规定进行阳性后处置。</w:t>
      </w:r>
    </w:p>
    <w:p w14:paraId="726896E0">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快检服务单位：负责农贸市场快检室日常维护。制定快检工作制度，按要求配备检测人员。制定快检计划，规范进行抽样、检测、记录、公示，按时完成快检任务。按规定告知阳性结果，配合市场开办者、经营户进行阳性后处置。</w:t>
      </w:r>
    </w:p>
    <w:p w14:paraId="07739DDA">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（四）市场开办者：落实食品安全主体责任，加强食用农产品入场管理。配合开展快检工作，按规定及时处置快检阳性产品。</w:t>
      </w:r>
    </w:p>
    <w:p w14:paraId="435FB658">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三、制度要求</w:t>
      </w:r>
    </w:p>
    <w:p w14:paraId="194613F4">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（一）管理制度。建立快检管理制度，包括快检室职能、岗位职责、工作流程、检测计划、不合格样品处置流程等。</w:t>
      </w:r>
    </w:p>
    <w:p w14:paraId="5ECF3BF8">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（二）质控制度。落实检测质量控制制度，包括仪器管理制度、试剂耗材管理制度、抽样制度、检测流程、检测结果处理制度、检测记录管理制度等。</w:t>
      </w:r>
    </w:p>
    <w:p w14:paraId="29B1E59E">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四、人员管理</w:t>
      </w:r>
    </w:p>
    <w:p w14:paraId="2ADE8241">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（一）人员配备。快检服务单位应明确专人负责快检室的管理，配备与检测能力、检测数量相适应的专职或兼职检测人员，并有人员技术档案。管理人员和检测人员可以为同一人。</w:t>
      </w:r>
    </w:p>
    <w:p w14:paraId="061C3756">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（二）能力培训。检测人员应定期参加培训，掌握检测操作技能，熟练操作检测设备，熟悉检测方法标准、检测流程、实验室安全与防护、数据处理。</w:t>
      </w:r>
    </w:p>
    <w:p w14:paraId="45961E02">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（三）工作规范。检测人员工作时应穿着工作服，不得在快检室内从事与工作无关的活动。非检测室人员未经允许不得进入检测区，以确保安全。</w:t>
      </w:r>
    </w:p>
    <w:p w14:paraId="607B9133">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五、设备管理</w:t>
      </w:r>
    </w:p>
    <w:p w14:paraId="410C8BE7">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（一）设备配置。农贸市场快检室内配备与市场经营的食用农产品相适应的快速检测仪器设备以及必要的辅助器具。快检室启用前应进行仪器设备的调试验收。</w:t>
      </w:r>
    </w:p>
    <w:p w14:paraId="08C19A72">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（二）日常维护。快检服务公司应负责快检设备的日常维护，确保正常使用。仪器出现故障需要检修时，应使用备用仪器，确保快检工作不间断。维修前应保存好仪器内数据，做好维修记录。</w:t>
      </w:r>
    </w:p>
    <w:p w14:paraId="16E78403">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（三）辅助设施。农贸市场应保障快检所需的水、电。</w:t>
      </w:r>
    </w:p>
    <w:p w14:paraId="234CEB75">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六、试剂耗材</w:t>
      </w:r>
    </w:p>
    <w:p w14:paraId="3C715EBB">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（一）试剂采购。快检服务公司采购的快检试剂应符合快检工作需要，快检试剂应符合相应标准，应按规定的条件贮存试剂。</w:t>
      </w:r>
    </w:p>
    <w:p w14:paraId="49A5A6F4">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（二）试剂使用。快检服务公司按照说明书要求保存试剂，不得使用过期试剂。配制的溶液应明确标识试剂名称、配制时间、有效期等。</w:t>
      </w:r>
    </w:p>
    <w:p w14:paraId="2ECFB164">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（三）废弃物处置。快检服务公司应采用适宜的方式妥善处置废弃的试剂、耗材，防止造成环境污染等情形发生。</w:t>
      </w:r>
    </w:p>
    <w:p w14:paraId="36766C9F">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七、快检实施</w:t>
      </w:r>
    </w:p>
    <w:p w14:paraId="696978FA">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快检计划。快检服务公司应制定快检工作计划，确保按照合同约定，完成快检任务。每天快检工作原则上抽样及检测应在交易高峰前完成。根据食用农产品品种、季节、风险等级确定快检频次、数量、品种覆盖率和检测项目。</w:t>
      </w:r>
    </w:p>
    <w:p w14:paraId="1A8940B7">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批次品种。符合招投标要求。快检服务单位根据市场销售实际，需要调整市场快检批次和品种的，应向区局书面申请，并确保抽检总批次数符合招投标要求。区局审核通过后，应将调整后的抽检批次数通报农贸市场所在市场监管所；市场监管所根据调整后的批次和品种进行日常监管。</w:t>
      </w:r>
    </w:p>
    <w:p w14:paraId="3A576C54">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（三）抽样要求。快检服务单位按照随机原则进行抽样，填写抽样记录等文书。抽样应付费。样品应进行编号、封存，确保在流转过程中不受污染、混淆。留样样品应保存不少于</w:t>
      </w:r>
      <w:r>
        <w:rPr>
          <w:rFonts w:hint="eastAsia" w:ascii="宋体" w:hAnsi="宋体" w:cs="宋体"/>
          <w:b w:val="0"/>
          <w:bCs w:val="0"/>
          <w:color w:val="auto"/>
          <w:sz w:val="24"/>
          <w:szCs w:val="24"/>
          <w:highlight w:val="none"/>
          <w:lang w:val="en-US" w:eastAsia="zh-CN"/>
        </w:rPr>
        <w:t>24</w:t>
      </w:r>
      <w:r>
        <w:rPr>
          <w:rFonts w:hint="eastAsia" w:ascii="宋体" w:hAnsi="宋体" w:eastAsia="宋体" w:cs="宋体"/>
          <w:b w:val="0"/>
          <w:bCs w:val="0"/>
          <w:color w:val="auto"/>
          <w:sz w:val="24"/>
          <w:szCs w:val="24"/>
          <w:highlight w:val="none"/>
        </w:rPr>
        <w:t>小时，存储温度应符合样品需求。</w:t>
      </w:r>
    </w:p>
    <w:p w14:paraId="6F46F603">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（四）快检方法。快检服务单位采用国家规定的快速检测方法或现行有效的检测方法进行快检。</w:t>
      </w:r>
    </w:p>
    <w:p w14:paraId="7E48C06C">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八、结果管理</w:t>
      </w:r>
    </w:p>
    <w:p w14:paraId="3B0BE227">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（一）结果告知。快检结果应于1小时内告知被抽检对象，填写快速检测结果报告书，由被抽检对象签字确认。</w:t>
      </w:r>
    </w:p>
    <w:p w14:paraId="470B35D9">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（二）阳性处置。当快检结果出现疑似阳性时，应进行双样复测。对经双样复测后结果仍为阳性的，应立即告知被抽检对象、市场开办者以及所在地市场监管所。</w:t>
      </w:r>
    </w:p>
    <w:p w14:paraId="72A6029C">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1.被抽检对象对快检结果无异议的，市场开办者应依照与入场销售者的食品安全协议，监督销售者当场自行销毁或作无害化处理，制作销毁记录，并通过拍照或录像等方式留档。</w:t>
      </w:r>
    </w:p>
    <w:p w14:paraId="7D1959E5">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被抽检对象对快速检测结果有异议的，可以自收到检测结果起4小时内申请复检，由市场监管所依照法定程序抽样检测。复检期间，不得销售快检疑似阳性食用农产品。复检结论仍不合格的，市场监督管理部门依法处理。复检结论合格的，恢复销售。</w:t>
      </w:r>
    </w:p>
    <w:p w14:paraId="10B0F4AE">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九、数据管理</w:t>
      </w:r>
    </w:p>
    <w:p w14:paraId="3A061EDF">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（一）结果公示。当天的快检结果应及时通过电子显示屏等方式进行公示，公示的时间应符合合同约定。</w:t>
      </w:r>
    </w:p>
    <w:p w14:paraId="4C6A4075">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（二）结果上传。快检结果应及时上传至市局平台。检测原始记录或电子数据应确保真实，并存档不低于24个月。</w:t>
      </w:r>
    </w:p>
    <w:p w14:paraId="04DF65BF">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（三）异常处理。发现市场无快检数据上传、疑似阳性异常增高和未及时处理等情况的，快检服务单位、市场开办者应积极配合区局、市场监管所调查原因，并及时整改。</w:t>
      </w:r>
    </w:p>
    <w:p w14:paraId="39CCE8E9">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十、督查考核</w:t>
      </w:r>
    </w:p>
    <w:p w14:paraId="1247605A">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（一）考核频次。区局按季度抽查农贸市场数不少于农贸市场总数的25%，年度覆盖所有农贸市场。市场监管所对辖区农贸市场快检室按季度全覆盖考核，季度考核原则上应在季度最后一个月25日之前完成。</w:t>
      </w:r>
    </w:p>
    <w:p w14:paraId="7565F844">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（二）考核内容。详见《盐南高新区农贸市场食用农产品快检工作考核表》。</w:t>
      </w:r>
    </w:p>
    <w:p w14:paraId="4761EF6A">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考核结果。每个农贸市场考核总分为100分，季度考核农贸市场所得平均分作为当季度快检服务单位考核得分。当季度考核得分大于等于90分为合格，按照当季度任务完成情况支付服务费用；当季度考核得分小于90分大于等于85分，扣当季度应付服务费用2000元；当季度考核得分小于85分大于等于80分，扣当季度应付服务费用4000元；当季度考核得分小于80分，扣当季度应付服务费用6000元；连续两个季度考核得分小于80分的，不得参加下年度区农贸市场快检项目招投标。</w:t>
      </w:r>
    </w:p>
    <w:p w14:paraId="29976523">
      <w:pPr>
        <w:pStyle w:val="29"/>
        <w:spacing w:before="0" w:after="0" w:line="520" w:lineRule="exact"/>
        <w:ind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十一、其他</w:t>
      </w:r>
    </w:p>
    <w:p w14:paraId="12CB94BF">
      <w:pPr>
        <w:pStyle w:val="29"/>
        <w:spacing w:before="0" w:after="0" w:line="520" w:lineRule="exact"/>
        <w:ind w:firstLineChars="200"/>
        <w:rPr>
          <w:rFonts w:ascii="宋体" w:hAnsi="宋体" w:eastAsia="宋体" w:cs="宋体"/>
          <w:b w:val="0"/>
          <w:bCs w:val="0"/>
          <w:color w:val="auto"/>
          <w:highlight w:val="none"/>
        </w:rPr>
      </w:pPr>
      <w:r>
        <w:rPr>
          <w:rFonts w:hint="eastAsia" w:ascii="宋体" w:hAnsi="宋体" w:eastAsia="宋体" w:cs="宋体"/>
          <w:b w:val="0"/>
          <w:bCs w:val="0"/>
          <w:color w:val="auto"/>
          <w:sz w:val="24"/>
          <w:szCs w:val="24"/>
          <w:highlight w:val="none"/>
        </w:rPr>
        <w:t>区局可根据最新法律法规和上级部门要求适时对本规范进行修订。</w:t>
      </w:r>
    </w:p>
    <w:p w14:paraId="59D5F52E">
      <w:pPr>
        <w:spacing w:line="400" w:lineRule="exact"/>
        <w:jc w:val="left"/>
        <w:rPr>
          <w:rFonts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br w:type="page"/>
      </w:r>
      <w:r>
        <w:rPr>
          <w:rFonts w:hint="eastAsia" w:ascii="宋体" w:hAnsi="宋体" w:eastAsia="宋体" w:cs="宋体"/>
          <w:b w:val="0"/>
          <w:bCs w:val="0"/>
          <w:color w:val="auto"/>
          <w:sz w:val="28"/>
          <w:szCs w:val="28"/>
          <w:highlight w:val="none"/>
        </w:rPr>
        <w:t>附件</w:t>
      </w:r>
    </w:p>
    <w:p w14:paraId="1D1864F1">
      <w:pPr>
        <w:spacing w:line="400" w:lineRule="exact"/>
        <w:ind w:firstLine="560" w:firstLineChars="200"/>
        <w:jc w:val="center"/>
        <w:rPr>
          <w:rFonts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盐南高新区农贸市场食用农产品快检工作考核表</w:t>
      </w:r>
    </w:p>
    <w:p w14:paraId="306A0E24">
      <w:pPr>
        <w:spacing w:line="400" w:lineRule="exact"/>
        <w:jc w:val="left"/>
        <w:rPr>
          <w:rFonts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农贸市场名称：               督查时间：        年    月   日</w:t>
      </w:r>
    </w:p>
    <w:tbl>
      <w:tblPr>
        <w:tblStyle w:val="23"/>
        <w:tblW w:w="54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9"/>
        <w:gridCol w:w="4675"/>
        <w:gridCol w:w="2525"/>
        <w:gridCol w:w="1457"/>
      </w:tblGrid>
      <w:tr w14:paraId="7E005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blHeader/>
          <w:jc w:val="center"/>
        </w:trPr>
        <w:tc>
          <w:tcPr>
            <w:tcW w:w="687" w:type="pct"/>
            <w:noWrap w:val="0"/>
            <w:vAlign w:val="center"/>
          </w:tcPr>
          <w:p w14:paraId="49AB44ED">
            <w:pPr>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考核</w:t>
            </w:r>
          </w:p>
          <w:p w14:paraId="71E1B52B">
            <w:pPr>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项目</w:t>
            </w:r>
          </w:p>
        </w:tc>
        <w:tc>
          <w:tcPr>
            <w:tcW w:w="2329" w:type="pct"/>
            <w:noWrap w:val="0"/>
            <w:vAlign w:val="center"/>
          </w:tcPr>
          <w:p w14:paraId="621EED85">
            <w:pPr>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考核内容</w:t>
            </w:r>
          </w:p>
        </w:tc>
        <w:tc>
          <w:tcPr>
            <w:tcW w:w="1258" w:type="pct"/>
            <w:noWrap w:val="0"/>
            <w:vAlign w:val="center"/>
          </w:tcPr>
          <w:p w14:paraId="763B038C">
            <w:pPr>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查看材料和检查方法</w:t>
            </w:r>
          </w:p>
        </w:tc>
        <w:tc>
          <w:tcPr>
            <w:tcW w:w="725" w:type="pct"/>
            <w:noWrap w:val="0"/>
            <w:vAlign w:val="center"/>
          </w:tcPr>
          <w:p w14:paraId="6D3A879A">
            <w:pPr>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督查结果</w:t>
            </w:r>
          </w:p>
        </w:tc>
      </w:tr>
      <w:tr w14:paraId="78ABE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687" w:type="pct"/>
            <w:noWrap w:val="0"/>
            <w:vAlign w:val="center"/>
          </w:tcPr>
          <w:p w14:paraId="62492FD4">
            <w:pPr>
              <w:adjustRightInd w:val="0"/>
              <w:snapToGrid w:val="0"/>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一、制度要求</w:t>
            </w:r>
          </w:p>
          <w:p w14:paraId="5934C8AD">
            <w:pPr>
              <w:adjustRightInd w:val="0"/>
              <w:snapToGrid w:val="0"/>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（15分）</w:t>
            </w:r>
          </w:p>
        </w:tc>
        <w:tc>
          <w:tcPr>
            <w:tcW w:w="2329" w:type="pct"/>
            <w:noWrap w:val="0"/>
            <w:vAlign w:val="center"/>
          </w:tcPr>
          <w:p w14:paraId="49FD2274">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1.建立快检室岗位职责、工作流程、检测计划、不合格样品处置流程等，在快检室醒目位置公示。缺1项制度扣1分，未公示扣1分。</w:t>
            </w:r>
          </w:p>
          <w:p w14:paraId="61C16278">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2.落实检测质量控制制度，包括仪器管理制度、试剂耗材管理制度、抽样制度、检测流程、检测结果处理制度、检测记录管理制度等。缺1项制度扣1分；缺1项制度落实记录扣2分。</w:t>
            </w:r>
          </w:p>
        </w:tc>
        <w:tc>
          <w:tcPr>
            <w:tcW w:w="1258" w:type="pct"/>
            <w:noWrap w:val="0"/>
            <w:vAlign w:val="center"/>
          </w:tcPr>
          <w:p w14:paraId="46012353">
            <w:pPr>
              <w:adjustRightInd w:val="0"/>
              <w:snapToGrid w:val="0"/>
              <w:spacing w:before="80"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1.现场检查制度及上墙情况。</w:t>
            </w:r>
          </w:p>
          <w:p w14:paraId="59FC1206">
            <w:pPr>
              <w:adjustRightInd w:val="0"/>
              <w:snapToGrid w:val="0"/>
              <w:spacing w:before="80"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2.查看管理制度文件、检测质量控制制度。</w:t>
            </w:r>
          </w:p>
        </w:tc>
        <w:tc>
          <w:tcPr>
            <w:tcW w:w="725" w:type="pct"/>
            <w:noWrap w:val="0"/>
            <w:vAlign w:val="center"/>
          </w:tcPr>
          <w:p w14:paraId="0393710D">
            <w:pPr>
              <w:spacing w:line="420" w:lineRule="exact"/>
              <w:jc w:val="left"/>
              <w:rPr>
                <w:rFonts w:ascii="宋体" w:hAnsi="宋体" w:eastAsia="宋体" w:cs="宋体"/>
                <w:b w:val="0"/>
                <w:bCs w:val="0"/>
                <w:color w:val="auto"/>
                <w:sz w:val="24"/>
                <w:highlight w:val="none"/>
              </w:rPr>
            </w:pPr>
          </w:p>
        </w:tc>
      </w:tr>
      <w:tr w14:paraId="2B115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8" w:hRule="atLeast"/>
          <w:jc w:val="center"/>
        </w:trPr>
        <w:tc>
          <w:tcPr>
            <w:tcW w:w="687" w:type="pct"/>
            <w:noWrap w:val="0"/>
            <w:vAlign w:val="center"/>
          </w:tcPr>
          <w:p w14:paraId="1EAD8A53">
            <w:pPr>
              <w:adjustRightInd w:val="0"/>
              <w:snapToGrid w:val="0"/>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二、人员管理（15分）</w:t>
            </w:r>
          </w:p>
          <w:p w14:paraId="3A508133">
            <w:pPr>
              <w:adjustRightInd w:val="0"/>
              <w:snapToGrid w:val="0"/>
              <w:spacing w:line="420" w:lineRule="exact"/>
              <w:jc w:val="center"/>
              <w:rPr>
                <w:rFonts w:ascii="宋体" w:hAnsi="宋体" w:eastAsia="宋体" w:cs="宋体"/>
                <w:b w:val="0"/>
                <w:bCs w:val="0"/>
                <w:color w:val="auto"/>
                <w:sz w:val="24"/>
                <w:highlight w:val="none"/>
              </w:rPr>
            </w:pPr>
          </w:p>
        </w:tc>
        <w:tc>
          <w:tcPr>
            <w:tcW w:w="2329" w:type="pct"/>
            <w:noWrap w:val="0"/>
            <w:vAlign w:val="center"/>
          </w:tcPr>
          <w:p w14:paraId="3A5624B4">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1.明确专人负责快检项目管理。未配置管理人员扣3分；人员数量不足，每少1人扣1分，最高扣3分。</w:t>
            </w:r>
          </w:p>
          <w:p w14:paraId="046F934C">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2.检测人员定期参与培训，掌握检测操作技能、熟练操作检测设备、熟悉检测方法标准、检测流程，每季度不少于8小时的培训时长。未培训扣3分，未考试扣3分。</w:t>
            </w:r>
          </w:p>
          <w:p w14:paraId="3438D797">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3.检测人员工作时穿着工作服，不在快检室内从事与工作无关的活动。未规范着装扣1分，从事无关活动扣1分。</w:t>
            </w:r>
          </w:p>
          <w:p w14:paraId="363C2085">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4.非检测室人员是否未经允许进入检测区。非检验室人员进入检测区扣1分。</w:t>
            </w:r>
          </w:p>
        </w:tc>
        <w:tc>
          <w:tcPr>
            <w:tcW w:w="1258" w:type="pct"/>
            <w:noWrap w:val="0"/>
            <w:vAlign w:val="center"/>
          </w:tcPr>
          <w:p w14:paraId="04ADB490">
            <w:pPr>
              <w:adjustRightInd w:val="0"/>
              <w:snapToGrid w:val="0"/>
              <w:spacing w:before="80"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1.查验人员档案、检验员证书、培训记录。</w:t>
            </w:r>
          </w:p>
          <w:p w14:paraId="2DB370F5">
            <w:pPr>
              <w:adjustRightInd w:val="0"/>
              <w:snapToGrid w:val="0"/>
              <w:spacing w:before="80"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2.现场与检测人员谈话，适当时可安排实验操作或盲样考核。</w:t>
            </w:r>
          </w:p>
          <w:p w14:paraId="6068F320">
            <w:pPr>
              <w:adjustRightInd w:val="0"/>
              <w:snapToGrid w:val="0"/>
              <w:spacing w:before="80"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3.现场观察检测人员着装、快检室摆放物品，查看检测区域是否有相关标识防止非检测室人员擅入。</w:t>
            </w:r>
          </w:p>
        </w:tc>
        <w:tc>
          <w:tcPr>
            <w:tcW w:w="725" w:type="pct"/>
            <w:noWrap w:val="0"/>
            <w:vAlign w:val="center"/>
          </w:tcPr>
          <w:p w14:paraId="2952F58D">
            <w:pPr>
              <w:spacing w:line="420" w:lineRule="exact"/>
              <w:jc w:val="left"/>
              <w:rPr>
                <w:rFonts w:ascii="宋体" w:hAnsi="宋体" w:eastAsia="宋体" w:cs="宋体"/>
                <w:b w:val="0"/>
                <w:bCs w:val="0"/>
                <w:color w:val="auto"/>
                <w:sz w:val="24"/>
                <w:highlight w:val="none"/>
              </w:rPr>
            </w:pPr>
          </w:p>
        </w:tc>
      </w:tr>
      <w:tr w14:paraId="54050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87" w:type="pct"/>
            <w:noWrap w:val="0"/>
            <w:vAlign w:val="center"/>
          </w:tcPr>
          <w:p w14:paraId="093DD382">
            <w:pPr>
              <w:adjustRightInd w:val="0"/>
              <w:snapToGrid w:val="0"/>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三、环境卫生</w:t>
            </w:r>
          </w:p>
          <w:p w14:paraId="71D80694">
            <w:pPr>
              <w:adjustRightInd w:val="0"/>
              <w:snapToGrid w:val="0"/>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（5分）</w:t>
            </w:r>
          </w:p>
        </w:tc>
        <w:tc>
          <w:tcPr>
            <w:tcW w:w="2329" w:type="pct"/>
            <w:noWrap w:val="0"/>
            <w:vAlign w:val="center"/>
          </w:tcPr>
          <w:p w14:paraId="27BBBEDA">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检测室设备、工作台、地面、墙面整洁卫生，无与快检工作无关的个人物品。不整洁扣3分，私人物品乱放扣2分。</w:t>
            </w:r>
          </w:p>
        </w:tc>
        <w:tc>
          <w:tcPr>
            <w:tcW w:w="1258" w:type="pct"/>
            <w:noWrap w:val="0"/>
            <w:vAlign w:val="center"/>
          </w:tcPr>
          <w:p w14:paraId="6D1F3E3B">
            <w:pPr>
              <w:adjustRightInd w:val="0"/>
              <w:snapToGrid w:val="0"/>
              <w:spacing w:before="80"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现场检查场所面积、区域划分、标识和环境卫生。</w:t>
            </w:r>
          </w:p>
        </w:tc>
        <w:tc>
          <w:tcPr>
            <w:tcW w:w="725" w:type="pct"/>
            <w:noWrap w:val="0"/>
            <w:vAlign w:val="center"/>
          </w:tcPr>
          <w:p w14:paraId="0C1C2426">
            <w:pPr>
              <w:spacing w:line="420" w:lineRule="exact"/>
              <w:jc w:val="left"/>
              <w:rPr>
                <w:rFonts w:ascii="宋体" w:hAnsi="宋体" w:eastAsia="宋体" w:cs="宋体"/>
                <w:b w:val="0"/>
                <w:bCs w:val="0"/>
                <w:color w:val="auto"/>
                <w:sz w:val="24"/>
                <w:highlight w:val="none"/>
              </w:rPr>
            </w:pPr>
          </w:p>
        </w:tc>
      </w:tr>
      <w:tr w14:paraId="0121E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87" w:type="pct"/>
            <w:noWrap w:val="0"/>
            <w:vAlign w:val="center"/>
          </w:tcPr>
          <w:p w14:paraId="5C8E993B">
            <w:pPr>
              <w:adjustRightInd w:val="0"/>
              <w:snapToGrid w:val="0"/>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四、设备管理（10分）</w:t>
            </w:r>
          </w:p>
        </w:tc>
        <w:tc>
          <w:tcPr>
            <w:tcW w:w="2329" w:type="pct"/>
            <w:noWrap w:val="0"/>
            <w:vAlign w:val="center"/>
          </w:tcPr>
          <w:p w14:paraId="4D1ABE73">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仪器设备及必要的辅助设备正常维护且正常使用。未正常维护，扣5分；未正常使用扣5分。</w:t>
            </w:r>
          </w:p>
        </w:tc>
        <w:tc>
          <w:tcPr>
            <w:tcW w:w="1258" w:type="pct"/>
            <w:noWrap w:val="0"/>
            <w:vAlign w:val="center"/>
          </w:tcPr>
          <w:p w14:paraId="45A8BC82">
            <w:pPr>
              <w:adjustRightInd w:val="0"/>
              <w:snapToGrid w:val="0"/>
              <w:spacing w:before="60"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现场查看仪器设备的种类、数量、状态和维护记录，判断是否适应快检需要。</w:t>
            </w:r>
          </w:p>
        </w:tc>
        <w:tc>
          <w:tcPr>
            <w:tcW w:w="725" w:type="pct"/>
            <w:noWrap w:val="0"/>
            <w:vAlign w:val="center"/>
          </w:tcPr>
          <w:p w14:paraId="187F5FFB">
            <w:pPr>
              <w:spacing w:line="420" w:lineRule="exact"/>
              <w:jc w:val="left"/>
              <w:rPr>
                <w:rFonts w:ascii="宋体" w:hAnsi="宋体" w:eastAsia="宋体" w:cs="宋体"/>
                <w:b w:val="0"/>
                <w:bCs w:val="0"/>
                <w:color w:val="auto"/>
                <w:sz w:val="24"/>
                <w:highlight w:val="none"/>
              </w:rPr>
            </w:pPr>
          </w:p>
        </w:tc>
      </w:tr>
      <w:tr w14:paraId="12BEC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687" w:type="pct"/>
            <w:noWrap w:val="0"/>
            <w:vAlign w:val="center"/>
          </w:tcPr>
          <w:p w14:paraId="322C34C0">
            <w:pPr>
              <w:adjustRightInd w:val="0"/>
              <w:snapToGrid w:val="0"/>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五、试剂耗材（10分）</w:t>
            </w:r>
          </w:p>
        </w:tc>
        <w:tc>
          <w:tcPr>
            <w:tcW w:w="2329" w:type="pct"/>
            <w:noWrap w:val="0"/>
            <w:vAlign w:val="center"/>
          </w:tcPr>
          <w:p w14:paraId="7CE721C6">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1.购买的试剂耗材符合检测需求，购买时索取供货商资质、产品合格证，保存购买凭证。购买试剂不符合检测需求的扣3分；未索证索票并保存的，扣2分。</w:t>
            </w:r>
          </w:p>
          <w:p w14:paraId="38B5D438">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2.按照说明书妥善保存试剂，无过期试剂。未妥善保管扣3分；有过期试剂扣2分。</w:t>
            </w:r>
          </w:p>
        </w:tc>
        <w:tc>
          <w:tcPr>
            <w:tcW w:w="1258" w:type="pct"/>
            <w:noWrap w:val="0"/>
            <w:vAlign w:val="center"/>
          </w:tcPr>
          <w:p w14:paraId="3C65518B">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查看试剂耗材的合格证明、说明书和贮存情况；现场查看溶液的标识。</w:t>
            </w:r>
          </w:p>
        </w:tc>
        <w:tc>
          <w:tcPr>
            <w:tcW w:w="725" w:type="pct"/>
            <w:noWrap w:val="0"/>
            <w:vAlign w:val="center"/>
          </w:tcPr>
          <w:p w14:paraId="7D0E0A7D">
            <w:pPr>
              <w:spacing w:line="420" w:lineRule="exact"/>
              <w:jc w:val="left"/>
              <w:rPr>
                <w:rFonts w:ascii="宋体" w:hAnsi="宋体" w:eastAsia="宋体" w:cs="宋体"/>
                <w:b w:val="0"/>
                <w:bCs w:val="0"/>
                <w:color w:val="auto"/>
                <w:sz w:val="24"/>
                <w:highlight w:val="none"/>
              </w:rPr>
            </w:pPr>
          </w:p>
        </w:tc>
      </w:tr>
      <w:tr w14:paraId="528F9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87" w:type="pct"/>
            <w:noWrap w:val="0"/>
            <w:vAlign w:val="center"/>
          </w:tcPr>
          <w:p w14:paraId="3143AADE">
            <w:pPr>
              <w:adjustRightInd w:val="0"/>
              <w:snapToGrid w:val="0"/>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六、快检实施（20分）</w:t>
            </w:r>
          </w:p>
        </w:tc>
        <w:tc>
          <w:tcPr>
            <w:tcW w:w="2329" w:type="pct"/>
            <w:noWrap w:val="0"/>
            <w:vAlign w:val="center"/>
          </w:tcPr>
          <w:p w14:paraId="24EE561B">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1.月度快检覆盖市场所有经营户。未达要求扣2分。</w:t>
            </w:r>
          </w:p>
          <w:p w14:paraId="2BB3271D">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2.快检数量、检测项目和非农残检测占比符合要求：非农残≥30%，农残中有机磷≤70%。不符合比例的扣5分。</w:t>
            </w:r>
          </w:p>
          <w:p w14:paraId="0B088B79">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3.按照规定进行随机抽样并填写抽样工作单、快速检测工作记录等文书。未达要求扣3分。</w:t>
            </w:r>
          </w:p>
          <w:p w14:paraId="72447C45">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4.抽取的样品有编号，存储得当，留样时间不低于48小时。未达要求扣2分。</w:t>
            </w:r>
          </w:p>
          <w:p w14:paraId="6C3CF4A9">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5.采用</w:t>
            </w:r>
            <w:r>
              <w:rPr>
                <w:rFonts w:hint="eastAsia" w:ascii="宋体" w:hAnsi="宋体" w:cs="宋体"/>
                <w:b w:val="0"/>
                <w:bCs w:val="0"/>
                <w:color w:val="auto"/>
                <w:sz w:val="24"/>
                <w:highlight w:val="none"/>
                <w:lang w:eastAsia="zh-CN"/>
              </w:rPr>
              <w:t>国家市场监管总局</w:t>
            </w:r>
            <w:r>
              <w:rPr>
                <w:rFonts w:ascii="宋体" w:hAnsi="宋体" w:eastAsia="宋体" w:cs="宋体"/>
                <w:b w:val="0"/>
                <w:bCs w:val="0"/>
                <w:color w:val="auto"/>
                <w:sz w:val="24"/>
                <w:highlight w:val="none"/>
              </w:rPr>
              <w:t>或国务院有关部门规定的快速检测方法或现行有效的检测方法对样品进行快检。未达要求扣3分。</w:t>
            </w:r>
          </w:p>
        </w:tc>
        <w:tc>
          <w:tcPr>
            <w:tcW w:w="1258" w:type="pct"/>
            <w:noWrap w:val="0"/>
            <w:vAlign w:val="center"/>
          </w:tcPr>
          <w:p w14:paraId="0E4F0C67">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1.抽查当季抽样工作单、检测完成时间、检测记录。</w:t>
            </w:r>
          </w:p>
          <w:p w14:paraId="687030D8">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2.核算快检工作量是否满足要求。</w:t>
            </w:r>
          </w:p>
          <w:p w14:paraId="73F7FA9E">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3.查看抽样单、检测记录等文书，查看检测样品编号；查看快检结果疑似阳性样品的留样时间。</w:t>
            </w:r>
          </w:p>
          <w:p w14:paraId="7477576F">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4.查看检测原始记录或电子数据，判断采用方法是否合理。</w:t>
            </w:r>
          </w:p>
        </w:tc>
        <w:tc>
          <w:tcPr>
            <w:tcW w:w="725" w:type="pct"/>
            <w:noWrap w:val="0"/>
            <w:vAlign w:val="center"/>
          </w:tcPr>
          <w:p w14:paraId="2CE96045">
            <w:pPr>
              <w:spacing w:line="420" w:lineRule="exact"/>
              <w:jc w:val="left"/>
              <w:rPr>
                <w:rFonts w:ascii="宋体" w:hAnsi="宋体" w:eastAsia="宋体" w:cs="宋体"/>
                <w:b w:val="0"/>
                <w:bCs w:val="0"/>
                <w:color w:val="auto"/>
                <w:sz w:val="24"/>
                <w:highlight w:val="none"/>
              </w:rPr>
            </w:pPr>
          </w:p>
        </w:tc>
      </w:tr>
      <w:tr w14:paraId="01A43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4" w:hRule="atLeast"/>
          <w:jc w:val="center"/>
        </w:trPr>
        <w:tc>
          <w:tcPr>
            <w:tcW w:w="687" w:type="pct"/>
            <w:noWrap w:val="0"/>
            <w:vAlign w:val="center"/>
          </w:tcPr>
          <w:p w14:paraId="310423DD">
            <w:pPr>
              <w:adjustRightInd w:val="0"/>
              <w:snapToGrid w:val="0"/>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七、阳性管理（15分）</w:t>
            </w:r>
          </w:p>
        </w:tc>
        <w:tc>
          <w:tcPr>
            <w:tcW w:w="2329" w:type="pct"/>
            <w:noWrap w:val="0"/>
            <w:vAlign w:val="center"/>
          </w:tcPr>
          <w:p w14:paraId="429DE80E">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1.快检阳性结果在规定时间内通报销售者、市场管理方、市场监管所。未落实，有1例扣5分。</w:t>
            </w:r>
          </w:p>
          <w:p w14:paraId="64AB6DBD">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2.快检结果出现疑似阳性时进行双样复测。未按规定复测扣5分。</w:t>
            </w:r>
          </w:p>
          <w:p w14:paraId="3792F97F">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3.经双样复测后结果仍为阳性的，立即告知销售者停止销售；配合市场管理方、市场监管所做好阳性后处置。未落实扣5分。</w:t>
            </w:r>
          </w:p>
        </w:tc>
        <w:tc>
          <w:tcPr>
            <w:tcW w:w="1258" w:type="pct"/>
            <w:noWrap w:val="0"/>
            <w:vAlign w:val="center"/>
          </w:tcPr>
          <w:p w14:paraId="5C75FD58">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1.走访市场</w:t>
            </w:r>
            <w:r>
              <w:rPr>
                <w:rFonts w:hint="eastAsia" w:ascii="宋体" w:hAnsi="宋体" w:cs="宋体"/>
                <w:b w:val="0"/>
                <w:bCs w:val="0"/>
                <w:color w:val="auto"/>
                <w:sz w:val="24"/>
                <w:highlight w:val="none"/>
                <w:lang w:eastAsia="zh-CN"/>
              </w:rPr>
              <w:t>摊主</w:t>
            </w:r>
            <w:r>
              <w:rPr>
                <w:rFonts w:ascii="宋体" w:hAnsi="宋体" w:eastAsia="宋体" w:cs="宋体"/>
                <w:b w:val="0"/>
                <w:bCs w:val="0"/>
                <w:color w:val="auto"/>
                <w:sz w:val="24"/>
                <w:highlight w:val="none"/>
              </w:rPr>
              <w:t>，了解告知情况；查看结果告知记录。</w:t>
            </w:r>
          </w:p>
          <w:p w14:paraId="4AC185CD">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2.查看疑似阳性结果的双样复测记录或者电子数据。</w:t>
            </w:r>
          </w:p>
          <w:p w14:paraId="6EFCA11A">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3.查看当季的后处置记录。</w:t>
            </w:r>
          </w:p>
        </w:tc>
        <w:tc>
          <w:tcPr>
            <w:tcW w:w="725" w:type="pct"/>
            <w:noWrap w:val="0"/>
            <w:vAlign w:val="center"/>
          </w:tcPr>
          <w:p w14:paraId="12D8F5DB">
            <w:pPr>
              <w:spacing w:line="420" w:lineRule="exact"/>
              <w:jc w:val="left"/>
              <w:rPr>
                <w:rFonts w:ascii="宋体" w:hAnsi="宋体" w:eastAsia="宋体" w:cs="宋体"/>
                <w:b w:val="0"/>
                <w:bCs w:val="0"/>
                <w:color w:val="auto"/>
                <w:sz w:val="24"/>
                <w:highlight w:val="none"/>
              </w:rPr>
            </w:pPr>
          </w:p>
        </w:tc>
      </w:tr>
      <w:tr w14:paraId="0033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87" w:type="pct"/>
            <w:noWrap w:val="0"/>
            <w:vAlign w:val="center"/>
          </w:tcPr>
          <w:p w14:paraId="01458BEE">
            <w:pPr>
              <w:adjustRightInd w:val="0"/>
              <w:snapToGrid w:val="0"/>
              <w:spacing w:line="420" w:lineRule="exact"/>
              <w:jc w:val="center"/>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八、数据管理（10分）</w:t>
            </w:r>
          </w:p>
        </w:tc>
        <w:tc>
          <w:tcPr>
            <w:tcW w:w="2329" w:type="pct"/>
            <w:noWrap w:val="0"/>
            <w:vAlign w:val="center"/>
          </w:tcPr>
          <w:p w14:paraId="5D426F78">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1.当天的快检结果是否公示，未公示扣3分，未按规定时间公示或公示内容有误，扣2分。</w:t>
            </w:r>
          </w:p>
          <w:p w14:paraId="478B15DD">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2.快检结果及时上传至市局平台。未及时上传扣5分。</w:t>
            </w:r>
          </w:p>
          <w:p w14:paraId="49C823DD">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3.检测原始记录或电子数据妥善保管。未妥善保管扣2分。</w:t>
            </w:r>
          </w:p>
        </w:tc>
        <w:tc>
          <w:tcPr>
            <w:tcW w:w="1258" w:type="pct"/>
            <w:noWrap w:val="0"/>
            <w:vAlign w:val="center"/>
          </w:tcPr>
          <w:p w14:paraId="51E64B29">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1.现场查看公示情况。</w:t>
            </w:r>
          </w:p>
          <w:p w14:paraId="622B5734">
            <w:pPr>
              <w:spacing w:line="420" w:lineRule="exact"/>
              <w:jc w:val="lef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2.查看检测原始记录存档时间；</w:t>
            </w:r>
            <w:r>
              <w:rPr>
                <w:rFonts w:hint="eastAsia" w:ascii="宋体" w:hAnsi="宋体" w:cs="宋体"/>
                <w:b w:val="0"/>
                <w:bCs w:val="0"/>
                <w:color w:val="auto"/>
                <w:sz w:val="24"/>
                <w:highlight w:val="none"/>
                <w:lang w:eastAsia="zh-CN"/>
              </w:rPr>
              <w:t>登录</w:t>
            </w:r>
            <w:r>
              <w:rPr>
                <w:rFonts w:ascii="宋体" w:hAnsi="宋体" w:eastAsia="宋体" w:cs="宋体"/>
                <w:b w:val="0"/>
                <w:bCs w:val="0"/>
                <w:color w:val="auto"/>
                <w:sz w:val="24"/>
                <w:highlight w:val="none"/>
              </w:rPr>
              <w:t>市局平台产品，查看结果上传和后处理情况录入的及时性。</w:t>
            </w:r>
          </w:p>
        </w:tc>
        <w:tc>
          <w:tcPr>
            <w:tcW w:w="725" w:type="pct"/>
            <w:noWrap w:val="0"/>
            <w:vAlign w:val="center"/>
          </w:tcPr>
          <w:p w14:paraId="1D6DA48F">
            <w:pPr>
              <w:spacing w:line="420" w:lineRule="exact"/>
              <w:jc w:val="left"/>
              <w:rPr>
                <w:rFonts w:ascii="宋体" w:hAnsi="宋体" w:eastAsia="宋体" w:cs="宋体"/>
                <w:b w:val="0"/>
                <w:bCs w:val="0"/>
                <w:color w:val="auto"/>
                <w:sz w:val="24"/>
                <w:highlight w:val="none"/>
              </w:rPr>
            </w:pPr>
          </w:p>
        </w:tc>
      </w:tr>
      <w:tr w14:paraId="3A40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6" w:hRule="atLeast"/>
          <w:jc w:val="center"/>
        </w:trPr>
        <w:tc>
          <w:tcPr>
            <w:tcW w:w="5000" w:type="pct"/>
            <w:gridSpan w:val="4"/>
            <w:noWrap w:val="0"/>
            <w:vAlign w:val="center"/>
          </w:tcPr>
          <w:p w14:paraId="25A0491F">
            <w:pPr>
              <w:spacing w:line="420" w:lineRule="exac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检查组成员签字：          农贸市场负责人签字：        快检服务单位现场负责人签字：</w:t>
            </w:r>
          </w:p>
          <w:p w14:paraId="24E17E63">
            <w:pPr>
              <w:spacing w:line="420" w:lineRule="exact"/>
              <w:jc w:val="center"/>
              <w:rPr>
                <w:rFonts w:ascii="宋体" w:hAnsi="宋体" w:eastAsia="宋体" w:cs="宋体"/>
                <w:b w:val="0"/>
                <w:bCs w:val="0"/>
                <w:color w:val="auto"/>
                <w:sz w:val="24"/>
                <w:highlight w:val="none"/>
              </w:rPr>
            </w:pPr>
          </w:p>
          <w:p w14:paraId="18C28B9B">
            <w:pPr>
              <w:spacing w:line="420" w:lineRule="exact"/>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日期：                    日期：                       日期：</w:t>
            </w:r>
          </w:p>
        </w:tc>
      </w:tr>
    </w:tbl>
    <w:p w14:paraId="2DE7D0E7">
      <w:pPr>
        <w:pStyle w:val="31"/>
        <w:spacing w:line="520" w:lineRule="exact"/>
        <w:ind w:firstLine="0" w:firstLineChars="0"/>
        <w:rPr>
          <w:rFonts w:ascii="宋体" w:hAnsi="宋体" w:eastAsia="宋体" w:cs="宋体"/>
          <w:b w:val="0"/>
          <w:bCs w:val="0"/>
          <w:color w:val="auto"/>
          <w:sz w:val="24"/>
          <w:highlight w:val="none"/>
        </w:rPr>
      </w:pPr>
    </w:p>
    <w:p w14:paraId="341A2F2B">
      <w:pPr>
        <w:tabs>
          <w:tab w:val="left" w:pos="632"/>
          <w:tab w:val="left" w:pos="2828"/>
        </w:tabs>
        <w:spacing w:line="360" w:lineRule="auto"/>
        <w:rPr>
          <w:rFonts w:hint="eastAsia" w:ascii="宋体" w:hAnsi="宋体" w:cs="Courier New"/>
          <w:b/>
          <w:bCs/>
          <w:color w:val="auto"/>
          <w:sz w:val="24"/>
          <w:szCs w:val="24"/>
          <w:highlight w:val="none"/>
        </w:rPr>
      </w:pPr>
    </w:p>
    <w:p w14:paraId="667540A0">
      <w:pPr>
        <w:jc w:val="center"/>
        <w:rPr>
          <w:rFonts w:hint="eastAsia" w:ascii="黑体" w:hAnsi="Arial" w:eastAsia="黑体" w:cs="Arial"/>
          <w:b/>
          <w:bCs/>
          <w:color w:val="auto"/>
          <w:sz w:val="44"/>
          <w:szCs w:val="44"/>
          <w:highlight w:val="none"/>
        </w:rPr>
      </w:pPr>
    </w:p>
    <w:p w14:paraId="3218F9EC">
      <w:pPr>
        <w:spacing w:line="360" w:lineRule="auto"/>
        <w:ind w:firstLine="482" w:firstLineChars="200"/>
        <w:rPr>
          <w:rFonts w:hint="eastAsia" w:ascii="宋体" w:hAnsi="宋体" w:cs="Courier New"/>
          <w:b/>
          <w:bCs/>
          <w:color w:val="auto"/>
          <w:sz w:val="24"/>
          <w:highlight w:val="none"/>
        </w:rPr>
      </w:pPr>
      <w:r>
        <w:rPr>
          <w:rFonts w:hint="eastAsia" w:ascii="宋体" w:hAnsi="宋体" w:cs="Courier New"/>
          <w:b/>
          <w:bCs/>
          <w:color w:val="auto"/>
          <w:sz w:val="24"/>
          <w:highlight w:val="none"/>
        </w:rPr>
        <w:t>注：采购标的的所属行业为其他未列明行业，根据《工业和信息化部、国家统计局、国家发展和改革委员会、财政部关于印发中小企业划型标准规定的通知》（工信部联企业[2011]300号）规定的划分标准填写。</w:t>
      </w:r>
    </w:p>
    <w:p w14:paraId="77DA99F5">
      <w:pPr>
        <w:autoSpaceDN w:val="0"/>
        <w:spacing w:line="360" w:lineRule="auto"/>
        <w:ind w:firstLine="643" w:firstLineChars="200"/>
        <w:jc w:val="center"/>
        <w:rPr>
          <w:rFonts w:hint="eastAsia" w:ascii="宋体" w:hAnsi="宋体" w:eastAsia="宋体" w:cs="宋体"/>
          <w:b/>
          <w:color w:val="auto"/>
          <w:sz w:val="36"/>
          <w:szCs w:val="36"/>
          <w:highlight w:val="none"/>
        </w:rPr>
      </w:pPr>
      <w:r>
        <w:rPr>
          <w:rFonts w:hint="eastAsia" w:ascii="宋体" w:hAnsi="宋体" w:eastAsia="宋体" w:cs="Times New Roman"/>
          <w:b/>
          <w:bCs/>
          <w:color w:val="auto"/>
          <w:sz w:val="32"/>
          <w:szCs w:val="32"/>
          <w:highlight w:val="none"/>
        </w:rPr>
        <w:br w:type="page"/>
      </w:r>
      <w:bookmarkEnd w:id="173"/>
      <w:bookmarkEnd w:id="174"/>
      <w:bookmarkEnd w:id="175"/>
      <w:r>
        <w:rPr>
          <w:rFonts w:hint="eastAsia" w:ascii="宋体" w:hAnsi="宋体" w:eastAsia="宋体" w:cs="宋体"/>
          <w:b/>
          <w:color w:val="auto"/>
          <w:sz w:val="36"/>
          <w:szCs w:val="36"/>
          <w:highlight w:val="none"/>
        </w:rPr>
        <w:t>第五章</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评标方法与评标标准</w:t>
      </w:r>
    </w:p>
    <w:p w14:paraId="0BBC27A2">
      <w:pPr>
        <w:tabs>
          <w:tab w:val="left" w:pos="632"/>
          <w:tab w:val="left" w:pos="2828"/>
        </w:tabs>
        <w:spacing w:line="360" w:lineRule="auto"/>
        <w:ind w:firstLine="482" w:firstLineChars="200"/>
        <w:rPr>
          <w:rFonts w:hint="eastAsia" w:ascii="宋体" w:hAnsi="宋体" w:cs="Courier New"/>
          <w:b/>
          <w:color w:val="auto"/>
          <w:sz w:val="24"/>
          <w:szCs w:val="24"/>
          <w:highlight w:val="none"/>
        </w:rPr>
      </w:pPr>
      <w:r>
        <w:rPr>
          <w:rFonts w:hint="eastAsia" w:ascii="宋体" w:hAnsi="宋体" w:cs="Courier New"/>
          <w:b/>
          <w:color w:val="auto"/>
          <w:sz w:val="24"/>
          <w:szCs w:val="24"/>
          <w:highlight w:val="none"/>
        </w:rPr>
        <w:t>一、定标原则</w:t>
      </w:r>
    </w:p>
    <w:p w14:paraId="27CC230A">
      <w:pPr>
        <w:tabs>
          <w:tab w:val="left" w:pos="632"/>
          <w:tab w:val="left" w:pos="2828"/>
        </w:tabs>
        <w:spacing w:line="360" w:lineRule="auto"/>
        <w:ind w:firstLine="480" w:firstLineChars="200"/>
        <w:rPr>
          <w:rFonts w:hint="eastAsia" w:ascii="宋体" w:hAnsi="宋体" w:cs="Courier New"/>
          <w:color w:val="auto"/>
          <w:sz w:val="24"/>
          <w:szCs w:val="24"/>
          <w:highlight w:val="none"/>
        </w:rPr>
      </w:pPr>
      <w:r>
        <w:rPr>
          <w:rFonts w:hint="eastAsia" w:ascii="宋体" w:hAnsi="宋体" w:cs="Courier New"/>
          <w:color w:val="auto"/>
          <w:sz w:val="24"/>
          <w:szCs w:val="24"/>
          <w:highlight w:val="none"/>
        </w:rPr>
        <w:t>本项目采用</w:t>
      </w:r>
      <w:r>
        <w:rPr>
          <w:rFonts w:hint="eastAsia" w:ascii="宋体" w:hAnsi="宋体" w:cs="Courier New"/>
          <w:b/>
          <w:color w:val="auto"/>
          <w:sz w:val="24"/>
          <w:szCs w:val="24"/>
          <w:highlight w:val="none"/>
        </w:rPr>
        <w:t xml:space="preserve"> </w:t>
      </w:r>
      <w:r>
        <w:rPr>
          <w:rFonts w:hint="eastAsia" w:ascii="宋体" w:hAnsi="宋体" w:cs="Courier New"/>
          <w:b/>
          <w:color w:val="auto"/>
          <w:sz w:val="24"/>
          <w:szCs w:val="24"/>
          <w:highlight w:val="none"/>
          <w:u w:val="single"/>
        </w:rPr>
        <w:t>综合评分</w:t>
      </w:r>
      <w:r>
        <w:rPr>
          <w:rFonts w:hint="eastAsia" w:ascii="宋体" w:hAnsi="宋体" w:cs="Courier New"/>
          <w:b/>
          <w:color w:val="auto"/>
          <w:sz w:val="24"/>
          <w:szCs w:val="24"/>
          <w:highlight w:val="none"/>
        </w:rPr>
        <w:t xml:space="preserve"> </w:t>
      </w:r>
      <w:r>
        <w:rPr>
          <w:rFonts w:hint="eastAsia" w:ascii="宋体" w:hAnsi="宋体" w:cs="Courier New"/>
          <w:color w:val="auto"/>
          <w:sz w:val="24"/>
          <w:szCs w:val="24"/>
          <w:highlight w:val="none"/>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042094E5">
      <w:pPr>
        <w:tabs>
          <w:tab w:val="left" w:pos="632"/>
          <w:tab w:val="left" w:pos="2828"/>
        </w:tabs>
        <w:spacing w:line="360" w:lineRule="auto"/>
        <w:ind w:firstLine="482" w:firstLineChars="200"/>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政府采购政策功能落实</w:t>
      </w:r>
    </w:p>
    <w:p w14:paraId="7AEF9BA3">
      <w:pPr>
        <w:pStyle w:val="29"/>
        <w:ind w:firstLineChars="200"/>
        <w:rPr>
          <w:rFonts w:hint="eastAsia" w:ascii="宋体" w:hAnsi="宋体"/>
          <w:color w:val="auto"/>
          <w:kern w:val="2"/>
          <w:highlight w:val="none"/>
        </w:rPr>
      </w:pPr>
      <w:r>
        <w:rPr>
          <w:rFonts w:hint="eastAsia" w:ascii="宋体" w:hAnsi="宋体"/>
          <w:color w:val="auto"/>
          <w:kern w:val="2"/>
          <w:highlight w:val="none"/>
        </w:rPr>
        <w:t>1、小微型企业价格扣除</w:t>
      </w:r>
    </w:p>
    <w:p w14:paraId="013C6D6E">
      <w:pPr>
        <w:pStyle w:val="29"/>
        <w:ind w:firstLineChars="200"/>
        <w:rPr>
          <w:rFonts w:hint="eastAsia" w:ascii="宋体" w:hAnsi="宋体"/>
          <w:color w:val="auto"/>
          <w:kern w:val="2"/>
          <w:highlight w:val="none"/>
        </w:rPr>
      </w:pPr>
      <w:r>
        <w:rPr>
          <w:rFonts w:hint="eastAsia" w:ascii="宋体" w:hAnsi="宋体"/>
          <w:color w:val="auto"/>
          <w:kern w:val="2"/>
          <w:highlight w:val="none"/>
        </w:rPr>
        <w:t>（1）本项目对小型和微型企业产品给予20%的扣除价格，用扣除后的价格参与评审。</w:t>
      </w:r>
    </w:p>
    <w:p w14:paraId="02FD61E5">
      <w:pPr>
        <w:pStyle w:val="29"/>
        <w:ind w:firstLineChars="200"/>
        <w:rPr>
          <w:rFonts w:hint="eastAsia" w:ascii="宋体" w:hAnsi="宋体"/>
          <w:color w:val="auto"/>
          <w:kern w:val="2"/>
          <w:highlight w:val="none"/>
        </w:rPr>
      </w:pPr>
      <w:r>
        <w:rPr>
          <w:rFonts w:hint="eastAsia" w:ascii="宋体" w:hAnsi="宋体"/>
          <w:color w:val="auto"/>
          <w:kern w:val="2"/>
          <w:highlight w:val="none"/>
        </w:rPr>
        <w:t>（2）供应商需按照采购文件的要求提供相应的《小微企业声明函》。</w:t>
      </w:r>
    </w:p>
    <w:p w14:paraId="0E8636B9">
      <w:pPr>
        <w:pStyle w:val="29"/>
        <w:ind w:firstLineChars="200"/>
        <w:rPr>
          <w:rFonts w:hint="eastAsia" w:ascii="宋体" w:hAnsi="宋体"/>
          <w:color w:val="auto"/>
          <w:kern w:val="2"/>
          <w:highlight w:val="none"/>
        </w:rPr>
      </w:pPr>
      <w:r>
        <w:rPr>
          <w:rFonts w:hint="eastAsia" w:ascii="宋体" w:hAnsi="宋体"/>
          <w:color w:val="auto"/>
          <w:kern w:val="2"/>
          <w:highlight w:val="none"/>
        </w:rPr>
        <w:t>（3）企业标准请参照《关于印发中小企业划型标准规定的通知》（工信部联企业[2011]300号）文件规定自行填写。</w:t>
      </w:r>
    </w:p>
    <w:p w14:paraId="61CE84D3">
      <w:pPr>
        <w:pStyle w:val="29"/>
        <w:ind w:firstLineChars="200"/>
        <w:rPr>
          <w:rFonts w:hint="eastAsia" w:ascii="宋体" w:hAnsi="宋体"/>
          <w:color w:val="auto"/>
          <w:kern w:val="2"/>
          <w:highlight w:val="none"/>
        </w:rPr>
      </w:pPr>
      <w:r>
        <w:rPr>
          <w:rFonts w:hint="eastAsia" w:ascii="宋体" w:hAnsi="宋体"/>
          <w:color w:val="auto"/>
          <w:kern w:val="2"/>
          <w:highlight w:val="none"/>
        </w:rPr>
        <w:t>2、残疾人福利单位价格扣除</w:t>
      </w:r>
    </w:p>
    <w:p w14:paraId="4862157B">
      <w:pPr>
        <w:pStyle w:val="29"/>
        <w:ind w:firstLineChars="200"/>
        <w:rPr>
          <w:rFonts w:hint="eastAsia" w:ascii="宋体" w:hAnsi="宋体"/>
          <w:color w:val="auto"/>
          <w:kern w:val="2"/>
          <w:highlight w:val="none"/>
        </w:rPr>
      </w:pPr>
      <w:r>
        <w:rPr>
          <w:rFonts w:hint="eastAsia" w:ascii="宋体" w:hAnsi="宋体"/>
          <w:color w:val="auto"/>
          <w:kern w:val="2"/>
          <w:highlight w:val="none"/>
        </w:rPr>
        <w:t>（1）本项目对残疾人福利性单位视同小型、微型企业，给予20%的价格扣除，用扣除后的价格参与评审。</w:t>
      </w:r>
    </w:p>
    <w:p w14:paraId="2D46CF63">
      <w:pPr>
        <w:pStyle w:val="29"/>
        <w:ind w:firstLineChars="200"/>
        <w:rPr>
          <w:rFonts w:hint="eastAsia" w:ascii="宋体" w:hAnsi="宋体"/>
          <w:color w:val="auto"/>
          <w:kern w:val="2"/>
          <w:highlight w:val="none"/>
        </w:rPr>
      </w:pPr>
      <w:r>
        <w:rPr>
          <w:rFonts w:hint="eastAsia" w:ascii="宋体" w:hAnsi="宋体"/>
          <w:color w:val="auto"/>
          <w:kern w:val="2"/>
          <w:highlight w:val="none"/>
        </w:rPr>
        <w:t>（2）残疾人福利单位需按照采购文件的要求提供《残疾人福利性单位声明函》。</w:t>
      </w:r>
    </w:p>
    <w:p w14:paraId="50E488FE">
      <w:pPr>
        <w:pStyle w:val="29"/>
        <w:ind w:firstLineChars="200"/>
        <w:rPr>
          <w:rFonts w:hint="eastAsia" w:ascii="宋体" w:hAnsi="宋体"/>
          <w:color w:val="auto"/>
          <w:kern w:val="2"/>
          <w:highlight w:val="none"/>
        </w:rPr>
      </w:pPr>
      <w:r>
        <w:rPr>
          <w:rFonts w:hint="eastAsia" w:ascii="宋体" w:hAnsi="宋体"/>
          <w:color w:val="auto"/>
          <w:kern w:val="2"/>
          <w:highlight w:val="none"/>
        </w:rPr>
        <w:t>（3）残疾人福利单位标准请参照《关于促进残疾人就业政府采购政策的通知》（财库〔2017〕141号）。</w:t>
      </w:r>
    </w:p>
    <w:p w14:paraId="1D0A615C">
      <w:pPr>
        <w:pStyle w:val="29"/>
        <w:ind w:firstLineChars="200"/>
        <w:rPr>
          <w:rFonts w:hint="eastAsia" w:ascii="宋体" w:hAnsi="宋体"/>
          <w:color w:val="auto"/>
          <w:kern w:val="2"/>
          <w:highlight w:val="none"/>
        </w:rPr>
      </w:pPr>
      <w:r>
        <w:rPr>
          <w:rFonts w:hint="eastAsia" w:ascii="宋体" w:hAnsi="宋体"/>
          <w:color w:val="auto"/>
          <w:kern w:val="2"/>
          <w:highlight w:val="none"/>
        </w:rPr>
        <w:t>3、监狱和戒毒企业价格扣除</w:t>
      </w:r>
    </w:p>
    <w:p w14:paraId="4C6E1474">
      <w:pPr>
        <w:pStyle w:val="29"/>
        <w:ind w:firstLineChars="200"/>
        <w:rPr>
          <w:rFonts w:hint="eastAsia" w:ascii="宋体" w:hAnsi="宋体"/>
          <w:color w:val="auto"/>
          <w:kern w:val="2"/>
          <w:highlight w:val="none"/>
        </w:rPr>
      </w:pPr>
      <w:r>
        <w:rPr>
          <w:rFonts w:hint="eastAsia" w:ascii="宋体" w:hAnsi="宋体"/>
          <w:color w:val="auto"/>
          <w:kern w:val="2"/>
          <w:highlight w:val="none"/>
        </w:rPr>
        <w:t>（1）本项目对监狱和戒毒企业（简称监狱企业）视同小型、微型企业，给予20%的价格扣除，用扣除后的价格参与评审。</w:t>
      </w:r>
    </w:p>
    <w:p w14:paraId="38EA2255">
      <w:pPr>
        <w:pStyle w:val="29"/>
        <w:ind w:firstLineChars="200"/>
        <w:rPr>
          <w:rFonts w:hint="eastAsia" w:ascii="宋体" w:hAnsi="宋体"/>
          <w:color w:val="auto"/>
          <w:kern w:val="2"/>
          <w:highlight w:val="none"/>
        </w:rPr>
      </w:pPr>
      <w:r>
        <w:rPr>
          <w:rFonts w:hint="eastAsia" w:ascii="宋体" w:hAnsi="宋体"/>
          <w:color w:val="auto"/>
          <w:kern w:val="2"/>
          <w:highlight w:val="none"/>
        </w:rPr>
        <w:t>（2）监狱企业参加政府采购活动时，需提供由省级以上监狱管理局、戒毒管理局</w:t>
      </w:r>
      <w:r>
        <w:rPr>
          <w:rFonts w:hint="eastAsia" w:ascii="宋体" w:hAnsi="宋体"/>
          <w:color w:val="auto"/>
          <w:kern w:val="2"/>
          <w:highlight w:val="none"/>
          <w:lang w:eastAsia="zh-CN"/>
        </w:rPr>
        <w:t>（</w:t>
      </w:r>
      <w:r>
        <w:rPr>
          <w:rFonts w:hint="eastAsia" w:ascii="宋体" w:hAnsi="宋体"/>
          <w:color w:val="auto"/>
          <w:kern w:val="2"/>
          <w:highlight w:val="none"/>
        </w:rPr>
        <w:t>含新疆生产建设兵团</w:t>
      </w:r>
      <w:r>
        <w:rPr>
          <w:rFonts w:hint="eastAsia" w:ascii="宋体" w:hAnsi="宋体"/>
          <w:color w:val="auto"/>
          <w:kern w:val="2"/>
          <w:highlight w:val="none"/>
          <w:lang w:eastAsia="zh-CN"/>
        </w:rPr>
        <w:t>）</w:t>
      </w:r>
      <w:r>
        <w:rPr>
          <w:rFonts w:hint="eastAsia" w:ascii="宋体" w:hAnsi="宋体"/>
          <w:color w:val="auto"/>
          <w:kern w:val="2"/>
          <w:highlight w:val="none"/>
        </w:rPr>
        <w:t>出具的属于监狱企业的证明文件。供应商如不提供上述证明文件，价格将不做相应扣除。</w:t>
      </w:r>
    </w:p>
    <w:p w14:paraId="194FB851">
      <w:pPr>
        <w:pStyle w:val="29"/>
        <w:ind w:firstLineChars="200"/>
        <w:rPr>
          <w:rFonts w:hint="eastAsia" w:ascii="宋体" w:hAnsi="宋体"/>
          <w:color w:val="auto"/>
          <w:kern w:val="2"/>
          <w:highlight w:val="none"/>
        </w:rPr>
      </w:pPr>
      <w:r>
        <w:rPr>
          <w:rFonts w:hint="eastAsia" w:ascii="宋体" w:hAnsi="宋体"/>
          <w:color w:val="auto"/>
          <w:kern w:val="2"/>
          <w:highlight w:val="none"/>
        </w:rPr>
        <w:t>（3）监狱企业标准请参照《关于政府采购支持监狱企业发展有关问题的通知》（财库[2014]68号）。</w:t>
      </w:r>
    </w:p>
    <w:p w14:paraId="76E50F70">
      <w:pPr>
        <w:pStyle w:val="29"/>
        <w:ind w:firstLineChars="200"/>
        <w:rPr>
          <w:rFonts w:hint="eastAsia" w:ascii="宋体" w:hAnsi="宋体"/>
          <w:color w:val="auto"/>
          <w:kern w:val="2"/>
          <w:highlight w:val="none"/>
        </w:rPr>
      </w:pPr>
      <w:r>
        <w:rPr>
          <w:rFonts w:hint="eastAsia" w:ascii="宋体" w:hAnsi="宋体"/>
          <w:color w:val="auto"/>
          <w:kern w:val="2"/>
          <w:highlight w:val="none"/>
        </w:rPr>
        <w:t>4、残疾人福利单位、监狱企业属于小型、微型企业的，不重复享受政策。</w:t>
      </w:r>
    </w:p>
    <w:p w14:paraId="2023C2E7">
      <w:pPr>
        <w:pStyle w:val="29"/>
        <w:ind w:firstLineChars="200"/>
        <w:rPr>
          <w:rFonts w:hint="eastAsia" w:ascii="宋体" w:hAnsi="宋体"/>
          <w:color w:val="auto"/>
          <w:kern w:val="2"/>
          <w:highlight w:val="none"/>
        </w:rPr>
      </w:pPr>
      <w:r>
        <w:rPr>
          <w:rFonts w:hint="eastAsia" w:ascii="宋体" w:hAnsi="宋体"/>
          <w:color w:val="auto"/>
          <w:kern w:val="2"/>
          <w:highlight w:val="none"/>
        </w:rPr>
        <w:t>5、如果本项目同意联合体投标或同意分包履行合同的</w:t>
      </w:r>
      <w:r>
        <w:rPr>
          <w:rFonts w:hint="eastAsia" w:ascii="宋体" w:hAnsi="宋体"/>
          <w:color w:val="auto"/>
          <w:kern w:val="2"/>
          <w:highlight w:val="none"/>
          <w:lang w:eastAsia="zh-CN"/>
        </w:rPr>
        <w:t>，</w:t>
      </w:r>
      <w:r>
        <w:rPr>
          <w:rFonts w:hint="eastAsia" w:ascii="宋体" w:hAnsi="宋体"/>
          <w:color w:val="auto"/>
          <w:kern w:val="2"/>
          <w:highlight w:val="none"/>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59F9A39">
      <w:pPr>
        <w:pStyle w:val="29"/>
        <w:ind w:firstLineChars="200"/>
        <w:rPr>
          <w:rFonts w:hint="eastAsia" w:ascii="宋体" w:hAnsi="宋体"/>
          <w:color w:val="auto"/>
          <w:kern w:val="2"/>
          <w:highlight w:val="none"/>
        </w:rPr>
      </w:pPr>
      <w:r>
        <w:rPr>
          <w:rFonts w:hint="eastAsia" w:ascii="宋体" w:hAnsi="宋体"/>
          <w:color w:val="auto"/>
          <w:kern w:val="2"/>
          <w:highlight w:val="none"/>
        </w:rPr>
        <w:t>6、联合体各方均为小型、微型企业（残疾人福利单位、监狱企业）的，联合体享受20%。</w:t>
      </w:r>
    </w:p>
    <w:p w14:paraId="3481F067">
      <w:pPr>
        <w:pStyle w:val="29"/>
        <w:ind w:firstLineChars="200"/>
        <w:rPr>
          <w:rFonts w:hint="eastAsia" w:ascii="宋体" w:hAnsi="宋体"/>
          <w:color w:val="auto"/>
          <w:kern w:val="2"/>
          <w:highlight w:val="none"/>
        </w:rPr>
      </w:pPr>
      <w:r>
        <w:rPr>
          <w:rFonts w:hint="eastAsia" w:ascii="宋体" w:hAnsi="宋体"/>
          <w:color w:val="auto"/>
          <w:kern w:val="2"/>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olor w:val="auto"/>
          <w:kern w:val="2"/>
          <w:highlight w:val="none"/>
          <w:lang w:eastAsia="zh-CN"/>
        </w:rPr>
        <w:t>（</w:t>
      </w:r>
      <w:r>
        <w:rPr>
          <w:rFonts w:hint="eastAsia" w:ascii="宋体" w:hAnsi="宋体"/>
          <w:color w:val="auto"/>
          <w:kern w:val="2"/>
          <w:highlight w:val="none"/>
        </w:rPr>
        <w:t>由国家确定的认证机构出具的、处于有效期之内的节能产品、环境标志产品认证证书</w:t>
      </w:r>
      <w:r>
        <w:rPr>
          <w:rFonts w:hint="eastAsia" w:ascii="宋体" w:hAnsi="宋体"/>
          <w:color w:val="auto"/>
          <w:kern w:val="2"/>
          <w:highlight w:val="none"/>
          <w:lang w:eastAsia="zh-CN"/>
        </w:rPr>
        <w:t>）</w:t>
      </w:r>
      <w:r>
        <w:rPr>
          <w:rFonts w:hint="eastAsia" w:ascii="宋体" w:hAnsi="宋体"/>
          <w:color w:val="auto"/>
          <w:kern w:val="2"/>
          <w:highlight w:val="none"/>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F5FBBAF">
      <w:pPr>
        <w:pStyle w:val="29"/>
        <w:ind w:firstLineChars="200"/>
        <w:rPr>
          <w:rFonts w:hint="eastAsia" w:ascii="宋体" w:hAnsi="宋体"/>
          <w:color w:val="auto"/>
          <w:kern w:val="2"/>
          <w:highlight w:val="none"/>
        </w:rPr>
      </w:pPr>
      <w:r>
        <w:rPr>
          <w:rFonts w:hint="eastAsia" w:ascii="宋体" w:hAnsi="宋体"/>
          <w:color w:val="auto"/>
          <w:kern w:val="2"/>
          <w:highlight w:val="none"/>
        </w:rPr>
        <w:t>8、根据《江苏省政府采购信用管理暂行办法》的规定，供应商信用评价结果为三星的扣2分，评价结果为二星的扣3分，评价结果为一星的扣4分。</w:t>
      </w:r>
    </w:p>
    <w:p w14:paraId="70112173">
      <w:pPr>
        <w:tabs>
          <w:tab w:val="left" w:pos="632"/>
          <w:tab w:val="left" w:pos="2828"/>
        </w:tabs>
        <w:spacing w:line="360" w:lineRule="auto"/>
        <w:ind w:firstLine="482" w:firstLineChars="200"/>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二、评标标准</w:t>
      </w:r>
    </w:p>
    <w:p w14:paraId="18C30C36">
      <w:pPr>
        <w:tabs>
          <w:tab w:val="left" w:pos="632"/>
          <w:tab w:val="left" w:pos="2828"/>
        </w:tabs>
        <w:spacing w:line="360" w:lineRule="auto"/>
        <w:ind w:firstLine="480" w:firstLineChars="200"/>
        <w:rPr>
          <w:rFonts w:hint="eastAsia" w:ascii="宋体" w:hAnsi="宋体" w:cs="Courier New"/>
          <w:color w:val="auto"/>
          <w:sz w:val="24"/>
          <w:szCs w:val="24"/>
          <w:highlight w:val="none"/>
        </w:rPr>
      </w:pPr>
      <w:r>
        <w:rPr>
          <w:rFonts w:hint="eastAsia" w:ascii="宋体" w:hAnsi="宋体" w:cs="Courier New"/>
          <w:color w:val="auto"/>
          <w:sz w:val="24"/>
          <w:szCs w:val="24"/>
          <w:highlight w:val="none"/>
        </w:rPr>
        <w:t>本项目评分总分值为100分。</w:t>
      </w:r>
    </w:p>
    <w:tbl>
      <w:tblPr>
        <w:tblStyle w:val="23"/>
        <w:tblW w:w="7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5"/>
        <w:gridCol w:w="6584"/>
      </w:tblGrid>
      <w:tr w14:paraId="770A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275" w:type="dxa"/>
            <w:noWrap w:val="0"/>
            <w:vAlign w:val="center"/>
          </w:tcPr>
          <w:p w14:paraId="202E881E">
            <w:pPr>
              <w:widowControl/>
              <w:jc w:val="left"/>
              <w:textAlignment w:val="center"/>
              <w:rPr>
                <w:rFonts w:ascii="宋体" w:hAnsi="宋体" w:eastAsia="宋体" w:cs="宋体"/>
                <w:b w:val="0"/>
                <w:bCs w:val="0"/>
                <w:color w:val="auto"/>
                <w:highlight w:val="none"/>
              </w:rPr>
            </w:pPr>
            <w:r>
              <w:rPr>
                <w:rFonts w:hint="eastAsia" w:ascii="宋体" w:hAnsi="宋体" w:eastAsia="宋体" w:cs="宋体"/>
                <w:b w:val="0"/>
                <w:bCs w:val="0"/>
                <w:color w:val="auto"/>
                <w:kern w:val="0"/>
                <w:sz w:val="24"/>
                <w:highlight w:val="none"/>
                <w:lang w:bidi="ar"/>
              </w:rPr>
              <w:t>评分项</w:t>
            </w:r>
          </w:p>
        </w:tc>
        <w:tc>
          <w:tcPr>
            <w:tcW w:w="6584" w:type="dxa"/>
            <w:noWrap w:val="0"/>
            <w:vAlign w:val="center"/>
          </w:tcPr>
          <w:p w14:paraId="2FC1C3EF">
            <w:pPr>
              <w:widowControl/>
              <w:jc w:val="center"/>
              <w:textAlignment w:val="center"/>
              <w:rPr>
                <w:rFonts w:ascii="宋体" w:hAnsi="宋体" w:eastAsia="宋体" w:cs="宋体"/>
                <w:b w:val="0"/>
                <w:bCs w:val="0"/>
                <w:color w:val="auto"/>
                <w:highlight w:val="none"/>
              </w:rPr>
            </w:pPr>
            <w:r>
              <w:rPr>
                <w:rFonts w:hint="eastAsia" w:ascii="宋体" w:hAnsi="宋体" w:eastAsia="宋体" w:cs="宋体"/>
                <w:b w:val="0"/>
                <w:bCs w:val="0"/>
                <w:color w:val="auto"/>
                <w:kern w:val="0"/>
                <w:sz w:val="24"/>
                <w:highlight w:val="none"/>
                <w:lang w:bidi="ar"/>
              </w:rPr>
              <w:t>评分标准</w:t>
            </w:r>
          </w:p>
        </w:tc>
      </w:tr>
      <w:tr w14:paraId="47733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5" w:type="dxa"/>
            <w:noWrap w:val="0"/>
            <w:vAlign w:val="center"/>
          </w:tcPr>
          <w:p w14:paraId="2A482240">
            <w:pPr>
              <w:widowControl/>
              <w:jc w:val="left"/>
              <w:textAlignment w:val="center"/>
              <w:rPr>
                <w:rFonts w:ascii="宋体" w:hAnsi="宋体" w:eastAsia="宋体" w:cs="宋体"/>
                <w:b w:val="0"/>
                <w:bCs w:val="0"/>
                <w:color w:val="auto"/>
                <w:highlight w:val="none"/>
              </w:rPr>
            </w:pPr>
            <w:r>
              <w:rPr>
                <w:rFonts w:hint="eastAsia" w:ascii="宋体" w:hAnsi="宋体" w:eastAsia="宋体" w:cs="宋体"/>
                <w:b w:val="0"/>
                <w:bCs w:val="0"/>
                <w:color w:val="auto"/>
                <w:kern w:val="0"/>
                <w:sz w:val="24"/>
                <w:highlight w:val="none"/>
                <w:lang w:bidi="ar"/>
              </w:rPr>
              <w:t>价格部分（15分）</w:t>
            </w:r>
          </w:p>
        </w:tc>
        <w:tc>
          <w:tcPr>
            <w:tcW w:w="6584" w:type="dxa"/>
            <w:noWrap w:val="0"/>
            <w:vAlign w:val="center"/>
          </w:tcPr>
          <w:p w14:paraId="3B438672">
            <w:pPr>
              <w:widowControl/>
              <w:jc w:val="left"/>
              <w:textAlignment w:val="center"/>
              <w:rPr>
                <w:rFonts w:ascii="宋体" w:hAnsi="宋体" w:eastAsia="宋体" w:cs="宋体"/>
                <w:b w:val="0"/>
                <w:bCs w:val="0"/>
                <w:color w:val="auto"/>
                <w:highlight w:val="none"/>
              </w:rPr>
            </w:pPr>
            <w:r>
              <w:rPr>
                <w:rFonts w:hint="eastAsia" w:ascii="宋体" w:hAnsi="宋体" w:eastAsia="宋体" w:cs="宋体"/>
                <w:b w:val="0"/>
                <w:bCs w:val="0"/>
                <w:color w:val="auto"/>
                <w:kern w:val="0"/>
                <w:sz w:val="24"/>
                <w:highlight w:val="none"/>
                <w:lang w:bidi="ar"/>
              </w:rPr>
              <w:t>采用低价优先法计算，即满足招标文件要求且投标价格最低的投标报价为评标基准价，其价格分为满分。其他投标人的价格分按照下列公式计算（小数点保留两位，第三位四舍五入）：投标报价得分=(评标基准价／投标报价)×15。</w:t>
            </w:r>
          </w:p>
        </w:tc>
      </w:tr>
      <w:tr w14:paraId="0068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275" w:type="dxa"/>
            <w:vMerge w:val="restart"/>
            <w:noWrap w:val="0"/>
            <w:vAlign w:val="center"/>
          </w:tcPr>
          <w:p w14:paraId="0FAF5426">
            <w:pPr>
              <w:widowControl/>
              <w:jc w:val="left"/>
              <w:textAlignment w:val="center"/>
              <w:rPr>
                <w:rFonts w:ascii="宋体" w:hAnsi="宋体" w:eastAsia="宋体" w:cs="宋体"/>
                <w:b w:val="0"/>
                <w:bCs w:val="0"/>
                <w:color w:val="auto"/>
                <w:highlight w:val="none"/>
              </w:rPr>
            </w:pPr>
            <w:r>
              <w:rPr>
                <w:rFonts w:hint="eastAsia" w:ascii="宋体" w:hAnsi="宋体" w:eastAsia="宋体" w:cs="宋体"/>
                <w:b w:val="0"/>
                <w:bCs w:val="0"/>
                <w:color w:val="auto"/>
                <w:kern w:val="0"/>
                <w:sz w:val="24"/>
                <w:highlight w:val="none"/>
                <w:lang w:bidi="ar"/>
              </w:rPr>
              <w:t>技术</w:t>
            </w:r>
            <w:r>
              <w:rPr>
                <w:rFonts w:hint="eastAsia" w:ascii="宋体" w:hAnsi="宋体" w:cs="宋体"/>
                <w:b w:val="0"/>
                <w:bCs w:val="0"/>
                <w:color w:val="auto"/>
                <w:kern w:val="0"/>
                <w:sz w:val="24"/>
                <w:highlight w:val="none"/>
                <w:lang w:val="en-US" w:eastAsia="zh-CN" w:bidi="ar"/>
              </w:rPr>
              <w:t>服务</w:t>
            </w:r>
            <w:r>
              <w:rPr>
                <w:rFonts w:hint="eastAsia" w:ascii="宋体" w:hAnsi="宋体" w:eastAsia="宋体" w:cs="宋体"/>
                <w:b w:val="0"/>
                <w:bCs w:val="0"/>
                <w:color w:val="auto"/>
                <w:kern w:val="0"/>
                <w:sz w:val="24"/>
                <w:highlight w:val="none"/>
                <w:lang w:bidi="ar"/>
              </w:rPr>
              <w:t>能力（</w:t>
            </w:r>
            <w:r>
              <w:rPr>
                <w:rFonts w:hint="eastAsia" w:ascii="宋体" w:hAnsi="宋体" w:cs="宋体"/>
                <w:b w:val="0"/>
                <w:bCs w:val="0"/>
                <w:color w:val="auto"/>
                <w:kern w:val="0"/>
                <w:sz w:val="24"/>
                <w:highlight w:val="none"/>
                <w:lang w:val="en-US" w:eastAsia="zh-CN" w:bidi="ar"/>
              </w:rPr>
              <w:t>22</w:t>
            </w:r>
            <w:r>
              <w:rPr>
                <w:rFonts w:hint="eastAsia" w:ascii="宋体" w:hAnsi="宋体" w:eastAsia="宋体" w:cs="宋体"/>
                <w:b w:val="0"/>
                <w:bCs w:val="0"/>
                <w:color w:val="auto"/>
                <w:kern w:val="0"/>
                <w:sz w:val="24"/>
                <w:highlight w:val="none"/>
                <w:lang w:bidi="ar"/>
              </w:rPr>
              <w:t>分）</w:t>
            </w:r>
          </w:p>
        </w:tc>
        <w:tc>
          <w:tcPr>
            <w:tcW w:w="6584" w:type="dxa"/>
            <w:noWrap w:val="0"/>
            <w:vAlign w:val="center"/>
          </w:tcPr>
          <w:p w14:paraId="4F7B2D44">
            <w:pPr>
              <w:widowControl/>
              <w:numPr>
                <w:ilvl w:val="0"/>
                <w:numId w:val="0"/>
              </w:numPr>
              <w:jc w:val="left"/>
              <w:textAlignment w:val="center"/>
              <w:rPr>
                <w:rFonts w:hint="eastAsia" w:ascii="宋体" w:hAnsi="宋体" w:cs="宋体"/>
                <w:b w:val="0"/>
                <w:bCs w:val="0"/>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1.投标人承诺。</w:t>
            </w:r>
            <w:r>
              <w:rPr>
                <w:rFonts w:hint="eastAsia" w:ascii="宋体" w:hAnsi="宋体" w:eastAsia="宋体" w:cs="宋体"/>
                <w:b w:val="0"/>
                <w:bCs w:val="0"/>
                <w:color w:val="auto"/>
                <w:kern w:val="0"/>
                <w:sz w:val="24"/>
                <w:highlight w:val="none"/>
                <w:lang w:bidi="ar"/>
              </w:rPr>
              <w:t>信息化监管系统平台为本项目重要配套项目，投标人应保证，在中华人民共和国境内使用投标产品、服务或其任何一部分时，不会产生涉及第三方的专利权、商标权或其它知识产权所引起的法律和经济纠纷。</w:t>
            </w:r>
            <w:r>
              <w:rPr>
                <w:rFonts w:hint="eastAsia" w:ascii="宋体" w:hAnsi="宋体" w:cs="宋体"/>
                <w:b w:val="0"/>
                <w:bCs w:val="0"/>
                <w:color w:val="auto"/>
                <w:kern w:val="0"/>
                <w:sz w:val="24"/>
                <w:highlight w:val="none"/>
                <w:lang w:val="en-US" w:eastAsia="zh-CN" w:bidi="ar"/>
              </w:rPr>
              <w:t>提供有效承诺的得3分，未提供的不得分。</w:t>
            </w:r>
          </w:p>
          <w:p w14:paraId="18814472">
            <w:pPr>
              <w:widowControl/>
              <w:numPr>
                <w:ilvl w:val="0"/>
                <w:numId w:val="0"/>
              </w:numPr>
              <w:jc w:val="left"/>
              <w:textAlignment w:val="center"/>
              <w:rPr>
                <w:rFonts w:hint="default" w:ascii="宋体" w:hAnsi="宋体" w:cs="宋体"/>
                <w:b w:val="0"/>
                <w:bCs w:val="0"/>
                <w:color w:val="auto"/>
                <w:kern w:val="0"/>
                <w:sz w:val="24"/>
                <w:highlight w:val="none"/>
                <w:lang w:val="en-US" w:eastAsia="zh-CN" w:bidi="ar"/>
              </w:rPr>
            </w:pPr>
            <w:r>
              <w:rPr>
                <w:rFonts w:hint="eastAsia" w:ascii="宋体" w:hAnsi="宋体" w:cs="宋体"/>
                <w:b/>
                <w:bCs/>
                <w:color w:val="auto"/>
                <w:kern w:val="0"/>
                <w:sz w:val="24"/>
                <w:highlight w:val="none"/>
                <w:lang w:val="en-US" w:eastAsia="zh-CN" w:bidi="ar"/>
              </w:rPr>
              <w:t>注：承诺书须由投标人法定代表人本人签字并加盖投标人公章。</w:t>
            </w:r>
          </w:p>
        </w:tc>
      </w:tr>
      <w:tr w14:paraId="32F47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275" w:type="dxa"/>
            <w:vMerge w:val="continue"/>
            <w:noWrap w:val="0"/>
            <w:vAlign w:val="center"/>
          </w:tcPr>
          <w:p w14:paraId="08080BA5">
            <w:pPr>
              <w:widowControl/>
              <w:jc w:val="left"/>
              <w:textAlignment w:val="center"/>
              <w:rPr>
                <w:color w:val="auto"/>
                <w:highlight w:val="none"/>
              </w:rPr>
            </w:pPr>
          </w:p>
        </w:tc>
        <w:tc>
          <w:tcPr>
            <w:tcW w:w="6584" w:type="dxa"/>
            <w:noWrap w:val="0"/>
            <w:vAlign w:val="center"/>
          </w:tcPr>
          <w:p w14:paraId="37896A53">
            <w:pPr>
              <w:widowControl/>
              <w:numPr>
                <w:ilvl w:val="0"/>
                <w:numId w:val="3"/>
              </w:numPr>
              <w:jc w:val="left"/>
              <w:textAlignment w:val="center"/>
              <w:rPr>
                <w:rFonts w:hint="eastAsia" w:ascii="宋体" w:hAnsi="宋体" w:eastAsia="宋体" w:cs="宋体"/>
                <w:color w:val="auto"/>
                <w:sz w:val="24"/>
                <w:highlight w:val="none"/>
                <w:lang w:eastAsia="zh-CN"/>
              </w:rPr>
            </w:pPr>
            <w:r>
              <w:rPr>
                <w:rFonts w:hint="eastAsia" w:ascii="宋体" w:hAnsi="宋体" w:eastAsia="宋体" w:cs="宋体"/>
                <w:b w:val="0"/>
                <w:bCs w:val="0"/>
                <w:color w:val="auto"/>
                <w:kern w:val="0"/>
                <w:sz w:val="24"/>
                <w:highlight w:val="none"/>
                <w:lang w:bidi="ar"/>
              </w:rPr>
              <w:t>投标人具有完善的管理体系，提供有效期内的ISO9001质量管理体系认证、ISO14001环境管理体系认证、ISO45001职业健康安全管理体系认证、GB/T31950诚信管理体系认证、ISO28000供应链管理体系认证、ISO27001信息安全管理体系认证，每</w:t>
            </w:r>
            <w:r>
              <w:rPr>
                <w:rFonts w:hint="eastAsia" w:ascii="宋体" w:hAnsi="宋体" w:cs="宋体"/>
                <w:b w:val="0"/>
                <w:bCs w:val="0"/>
                <w:color w:val="auto"/>
                <w:kern w:val="0"/>
                <w:sz w:val="24"/>
                <w:highlight w:val="none"/>
                <w:lang w:val="en-US" w:eastAsia="zh-CN" w:bidi="ar"/>
              </w:rPr>
              <w:t>提供1份</w:t>
            </w:r>
            <w:r>
              <w:rPr>
                <w:rFonts w:hint="eastAsia" w:ascii="宋体" w:hAnsi="宋体" w:eastAsia="宋体" w:cs="宋体"/>
                <w:b w:val="0"/>
                <w:bCs w:val="0"/>
                <w:color w:val="auto"/>
                <w:kern w:val="0"/>
                <w:sz w:val="24"/>
                <w:highlight w:val="none"/>
                <w:lang w:bidi="ar"/>
              </w:rPr>
              <w:t>得1分，满分</w:t>
            </w:r>
            <w:r>
              <w:rPr>
                <w:rFonts w:hint="eastAsia" w:ascii="宋体" w:hAnsi="宋体" w:cs="宋体"/>
                <w:b w:val="0"/>
                <w:bCs w:val="0"/>
                <w:color w:val="auto"/>
                <w:kern w:val="0"/>
                <w:sz w:val="24"/>
                <w:highlight w:val="none"/>
                <w:lang w:val="en-US" w:eastAsia="zh-CN" w:bidi="ar"/>
              </w:rPr>
              <w:t>6</w:t>
            </w:r>
            <w:r>
              <w:rPr>
                <w:rFonts w:hint="eastAsia" w:ascii="宋体" w:hAnsi="宋体" w:eastAsia="宋体" w:cs="宋体"/>
                <w:b w:val="0"/>
                <w:bCs w:val="0"/>
                <w:color w:val="auto"/>
                <w:kern w:val="0"/>
                <w:sz w:val="24"/>
                <w:highlight w:val="none"/>
                <w:lang w:bidi="ar"/>
              </w:rPr>
              <w:t>分</w:t>
            </w:r>
            <w:r>
              <w:rPr>
                <w:rFonts w:hint="eastAsia" w:ascii="宋体" w:hAnsi="宋体" w:cs="宋体"/>
                <w:b w:val="0"/>
                <w:bCs w:val="0"/>
                <w:color w:val="auto"/>
                <w:kern w:val="0"/>
                <w:sz w:val="24"/>
                <w:highlight w:val="none"/>
                <w:lang w:eastAsia="zh-CN" w:bidi="ar"/>
              </w:rPr>
              <w:t>。</w:t>
            </w:r>
          </w:p>
          <w:p w14:paraId="67546062">
            <w:pPr>
              <w:widowControl/>
              <w:numPr>
                <w:ilvl w:val="0"/>
                <w:numId w:val="0"/>
              </w:numPr>
              <w:jc w:val="left"/>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注：需提供有效期内的国家认证认可信息公共服务平台查询截图及证书彩色扫描件并加盖投标人公章，未提供或提供不符合要求的不得分。</w:t>
            </w:r>
          </w:p>
        </w:tc>
      </w:tr>
      <w:tr w14:paraId="18D57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1275" w:type="dxa"/>
            <w:vMerge w:val="continue"/>
            <w:noWrap w:val="0"/>
            <w:vAlign w:val="center"/>
          </w:tcPr>
          <w:p w14:paraId="43F321CE">
            <w:pPr>
              <w:rPr>
                <w:rFonts w:ascii="宋体" w:hAnsi="宋体" w:eastAsia="宋体" w:cs="宋体"/>
                <w:b w:val="0"/>
                <w:bCs w:val="0"/>
                <w:color w:val="auto"/>
                <w:highlight w:val="none"/>
              </w:rPr>
            </w:pPr>
          </w:p>
        </w:tc>
        <w:tc>
          <w:tcPr>
            <w:tcW w:w="6584" w:type="dxa"/>
            <w:noWrap w:val="0"/>
            <w:vAlign w:val="center"/>
          </w:tcPr>
          <w:p w14:paraId="26627483">
            <w:pPr>
              <w:widowControl/>
              <w:jc w:val="left"/>
              <w:textAlignment w:val="center"/>
              <w:rPr>
                <w:rFonts w:hint="default" w:ascii="宋体" w:hAnsi="宋体" w:eastAsia="宋体" w:cs="宋体"/>
                <w:b w:val="0"/>
                <w:bCs w:val="0"/>
                <w:color w:val="auto"/>
                <w:sz w:val="24"/>
                <w:szCs w:val="24"/>
                <w:highlight w:val="none"/>
                <w:lang w:val="en-US" w:eastAsia="zh-CN"/>
              </w:rPr>
            </w:pP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售后服务能力</w:t>
            </w:r>
            <w:r>
              <w:rPr>
                <w:rFonts w:hint="eastAsia" w:ascii="宋体" w:hAnsi="宋体" w:cs="宋体"/>
                <w:color w:val="auto"/>
                <w:kern w:val="0"/>
                <w:sz w:val="24"/>
                <w:szCs w:val="24"/>
                <w:highlight w:val="none"/>
                <w:lang w:val="en-US" w:eastAsia="zh-CN" w:bidi="ar-SA"/>
              </w:rPr>
              <w:t>。</w:t>
            </w:r>
            <w:r>
              <w:rPr>
                <w:rFonts w:hint="eastAsia" w:ascii="宋体" w:hAnsi="宋体" w:eastAsia="宋体" w:cs="宋体"/>
                <w:b w:val="0"/>
                <w:bCs w:val="0"/>
                <w:color w:val="auto"/>
                <w:sz w:val="24"/>
                <w:szCs w:val="24"/>
                <w:highlight w:val="none"/>
                <w:lang w:val="en-US" w:eastAsia="zh-CN"/>
              </w:rPr>
              <w:t>为保障本项目的售后服务质量。投标</w:t>
            </w:r>
            <w:r>
              <w:rPr>
                <w:rFonts w:hint="eastAsia" w:ascii="宋体" w:hAnsi="宋体" w:cs="宋体"/>
                <w:b w:val="0"/>
                <w:bCs w:val="0"/>
                <w:color w:val="auto"/>
                <w:sz w:val="24"/>
                <w:szCs w:val="24"/>
                <w:highlight w:val="none"/>
                <w:lang w:val="en-US" w:eastAsia="zh-CN"/>
              </w:rPr>
              <w:t>人</w:t>
            </w:r>
            <w:r>
              <w:rPr>
                <w:rFonts w:hint="eastAsia" w:ascii="宋体" w:hAnsi="宋体" w:eastAsia="宋体" w:cs="宋体"/>
                <w:b w:val="0"/>
                <w:bCs w:val="0"/>
                <w:color w:val="auto"/>
                <w:sz w:val="24"/>
                <w:szCs w:val="24"/>
                <w:highlight w:val="none"/>
                <w:lang w:val="en-US" w:eastAsia="zh-CN"/>
              </w:rPr>
              <w:t>须通过售后服务体系认证，认证证书评级为10星及以上的得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分，5星以</w:t>
            </w:r>
            <w:r>
              <w:rPr>
                <w:rFonts w:hint="eastAsia" w:ascii="宋体" w:hAnsi="宋体" w:cs="宋体"/>
                <w:b w:val="0"/>
                <w:bCs w:val="0"/>
                <w:color w:val="auto"/>
                <w:sz w:val="24"/>
                <w:szCs w:val="24"/>
                <w:highlight w:val="none"/>
                <w:lang w:val="en-US" w:eastAsia="zh-CN"/>
              </w:rPr>
              <w:t>上、10星以下</w:t>
            </w:r>
            <w:r>
              <w:rPr>
                <w:rFonts w:hint="eastAsia" w:ascii="宋体" w:hAnsi="宋体" w:eastAsia="宋体" w:cs="宋体"/>
                <w:b w:val="0"/>
                <w:bCs w:val="0"/>
                <w:color w:val="auto"/>
                <w:sz w:val="24"/>
                <w:szCs w:val="24"/>
                <w:highlight w:val="none"/>
                <w:lang w:val="en-US" w:eastAsia="zh-CN"/>
              </w:rPr>
              <w:t>的得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w:t>
            </w:r>
            <w:r>
              <w:rPr>
                <w:rFonts w:hint="eastAsia" w:ascii="宋体" w:hAnsi="宋体" w:cs="宋体"/>
                <w:b w:val="0"/>
                <w:bCs w:val="0"/>
                <w:color w:val="auto"/>
                <w:sz w:val="24"/>
                <w:szCs w:val="24"/>
                <w:highlight w:val="none"/>
                <w:lang w:val="en-US" w:eastAsia="zh-CN"/>
              </w:rPr>
              <w:t>，5星以下的得1分。</w:t>
            </w:r>
          </w:p>
          <w:p w14:paraId="19B18DA9">
            <w:pPr>
              <w:widowControl/>
              <w:numPr>
                <w:ilvl w:val="0"/>
                <w:numId w:val="0"/>
              </w:numPr>
              <w:ind w:leftChars="0"/>
              <w:jc w:val="left"/>
              <w:textAlignment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注：需提供国家认证认可信息公共服务平台查询截图及证书复印件加盖投标人公章，未提供或不符合要求的不得分</w:t>
            </w:r>
          </w:p>
        </w:tc>
      </w:tr>
      <w:tr w14:paraId="29835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1275" w:type="dxa"/>
            <w:vMerge w:val="continue"/>
            <w:noWrap w:val="0"/>
            <w:vAlign w:val="center"/>
          </w:tcPr>
          <w:p w14:paraId="5C4A535F">
            <w:pPr>
              <w:rPr>
                <w:rFonts w:ascii="宋体" w:hAnsi="宋体" w:eastAsia="宋体" w:cs="宋体"/>
                <w:b w:val="0"/>
                <w:bCs w:val="0"/>
                <w:color w:val="auto"/>
                <w:highlight w:val="none"/>
              </w:rPr>
            </w:pPr>
          </w:p>
        </w:tc>
        <w:tc>
          <w:tcPr>
            <w:tcW w:w="6584" w:type="dxa"/>
            <w:noWrap w:val="0"/>
            <w:vAlign w:val="center"/>
          </w:tcPr>
          <w:p w14:paraId="547DECF7">
            <w:pPr>
              <w:widowControl/>
              <w:numPr>
                <w:ilvl w:val="0"/>
                <w:numId w:val="0"/>
              </w:numPr>
              <w:ind w:leftChars="0"/>
              <w:jc w:val="left"/>
              <w:textAlignment w:val="center"/>
              <w:rPr>
                <w:rFonts w:hint="eastAsia" w:ascii="宋体" w:hAnsi="宋体" w:eastAsia="宋体" w:cs="宋体"/>
                <w:b w:val="0"/>
                <w:bCs w:val="0"/>
                <w:color w:val="auto"/>
                <w:kern w:val="0"/>
                <w:sz w:val="24"/>
                <w:highlight w:val="none"/>
                <w:lang w:bidi="ar"/>
              </w:rPr>
            </w:pPr>
            <w:r>
              <w:rPr>
                <w:rFonts w:hint="eastAsia" w:ascii="宋体" w:hAnsi="宋体" w:cs="宋体"/>
                <w:b w:val="0"/>
                <w:bCs w:val="0"/>
                <w:color w:val="auto"/>
                <w:kern w:val="0"/>
                <w:sz w:val="24"/>
                <w:highlight w:val="none"/>
                <w:lang w:val="en-US" w:eastAsia="zh-CN" w:bidi="ar"/>
              </w:rPr>
              <w:t>4.</w:t>
            </w:r>
            <w:r>
              <w:rPr>
                <w:rFonts w:hint="eastAsia" w:ascii="宋体" w:hAnsi="宋体" w:eastAsia="宋体" w:cs="宋体"/>
                <w:b w:val="0"/>
                <w:bCs w:val="0"/>
                <w:color w:val="auto"/>
                <w:kern w:val="0"/>
                <w:sz w:val="24"/>
                <w:highlight w:val="none"/>
                <w:lang w:bidi="ar"/>
              </w:rPr>
              <w:t>投标人具有</w:t>
            </w:r>
            <w:r>
              <w:rPr>
                <w:rFonts w:hint="eastAsia" w:ascii="宋体" w:hAnsi="宋体" w:cs="宋体"/>
                <w:b w:val="0"/>
                <w:bCs w:val="0"/>
                <w:color w:val="auto"/>
                <w:kern w:val="0"/>
                <w:sz w:val="24"/>
                <w:highlight w:val="none"/>
                <w:lang w:val="en-US" w:eastAsia="zh-CN" w:bidi="ar"/>
              </w:rPr>
              <w:t>经</w:t>
            </w:r>
            <w:r>
              <w:rPr>
                <w:rFonts w:hint="eastAsia" w:ascii="宋体" w:hAnsi="宋体" w:eastAsia="宋体" w:cs="宋体"/>
                <w:b w:val="0"/>
                <w:bCs w:val="0"/>
                <w:color w:val="auto"/>
                <w:kern w:val="0"/>
                <w:sz w:val="24"/>
                <w:highlight w:val="none"/>
                <w:lang w:bidi="ar"/>
              </w:rPr>
              <w:t>省级（含副省级）以上检验资质的第三方机构出具的评价报告，评价报告需按食药监办科〔2017〕43 号《食品快速检测方法评价技术规范》等要求进行盲样测试，评价结果需符合国家市场监管总局(包括原国家食药监总局）快检方法要求（评价内容至少包括适用范围、灵敏度、特异性、假阳性率、假阴性率指标）每提供1个得0.</w:t>
            </w:r>
            <w:r>
              <w:rPr>
                <w:rFonts w:hint="eastAsia" w:ascii="宋体" w:hAnsi="宋体" w:cs="宋体"/>
                <w:b w:val="0"/>
                <w:bCs w:val="0"/>
                <w:color w:val="auto"/>
                <w:kern w:val="0"/>
                <w:sz w:val="24"/>
                <w:highlight w:val="none"/>
                <w:lang w:val="en-US" w:eastAsia="zh-CN" w:bidi="ar"/>
              </w:rPr>
              <w:t>5</w:t>
            </w:r>
            <w:r>
              <w:rPr>
                <w:rFonts w:hint="eastAsia" w:ascii="宋体" w:hAnsi="宋体" w:eastAsia="宋体" w:cs="宋体"/>
                <w:b w:val="0"/>
                <w:bCs w:val="0"/>
                <w:color w:val="auto"/>
                <w:kern w:val="0"/>
                <w:sz w:val="24"/>
                <w:highlight w:val="none"/>
                <w:lang w:bidi="ar"/>
              </w:rPr>
              <w:t>分，最高</w:t>
            </w:r>
            <w:r>
              <w:rPr>
                <w:rFonts w:hint="eastAsia" w:ascii="宋体" w:hAnsi="宋体" w:cs="宋体"/>
                <w:b w:val="0"/>
                <w:bCs w:val="0"/>
                <w:color w:val="auto"/>
                <w:kern w:val="0"/>
                <w:sz w:val="24"/>
                <w:highlight w:val="none"/>
                <w:lang w:val="en-US" w:eastAsia="zh-CN" w:bidi="ar"/>
              </w:rPr>
              <w:t>10</w:t>
            </w:r>
            <w:r>
              <w:rPr>
                <w:rFonts w:hint="eastAsia" w:ascii="宋体" w:hAnsi="宋体" w:eastAsia="宋体" w:cs="宋体"/>
                <w:b w:val="0"/>
                <w:bCs w:val="0"/>
                <w:color w:val="auto"/>
                <w:kern w:val="0"/>
                <w:sz w:val="24"/>
                <w:highlight w:val="none"/>
                <w:lang w:bidi="ar"/>
              </w:rPr>
              <w:t>分</w:t>
            </w:r>
            <w:r>
              <w:rPr>
                <w:rFonts w:hint="eastAsia" w:ascii="宋体" w:hAnsi="宋体" w:cs="宋体"/>
                <w:b w:val="0"/>
                <w:bCs w:val="0"/>
                <w:color w:val="auto"/>
                <w:kern w:val="0"/>
                <w:sz w:val="24"/>
                <w:highlight w:val="none"/>
                <w:lang w:eastAsia="zh-CN" w:bidi="ar"/>
              </w:rPr>
              <w:t>。</w:t>
            </w:r>
          </w:p>
          <w:p w14:paraId="1CD21393">
            <w:pPr>
              <w:widowControl/>
              <w:numPr>
                <w:ilvl w:val="0"/>
                <w:numId w:val="0"/>
              </w:numPr>
              <w:ind w:leftChars="0"/>
              <w:jc w:val="left"/>
              <w:textAlignment w:val="center"/>
              <w:rPr>
                <w:rFonts w:ascii="宋体" w:hAnsi="宋体" w:eastAsia="宋体" w:cs="宋体"/>
                <w:b w:val="0"/>
                <w:bCs w:val="0"/>
                <w:color w:val="auto"/>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需提供</w:t>
            </w:r>
            <w:r>
              <w:rPr>
                <w:rFonts w:hint="eastAsia" w:ascii="宋体" w:hAnsi="宋体" w:eastAsia="宋体" w:cs="宋体"/>
                <w:b/>
                <w:bCs/>
                <w:color w:val="auto"/>
                <w:sz w:val="24"/>
                <w:szCs w:val="24"/>
                <w:highlight w:val="none"/>
                <w:lang w:val="en-US" w:eastAsia="zh-CN"/>
              </w:rPr>
              <w:t>报告复印件</w:t>
            </w:r>
            <w:r>
              <w:rPr>
                <w:rFonts w:hint="eastAsia" w:ascii="宋体" w:hAnsi="宋体" w:cs="宋体"/>
                <w:b/>
                <w:bCs/>
                <w:color w:val="auto"/>
                <w:sz w:val="24"/>
                <w:szCs w:val="24"/>
                <w:highlight w:val="none"/>
                <w:lang w:val="en-US" w:eastAsia="zh-CN"/>
              </w:rPr>
              <w:t>并加盖投标人公章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未按要求提供</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不得分。</w:t>
            </w:r>
          </w:p>
        </w:tc>
      </w:tr>
      <w:tr w14:paraId="03FC6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275" w:type="dxa"/>
            <w:vMerge w:val="restart"/>
            <w:noWrap w:val="0"/>
            <w:vAlign w:val="top"/>
          </w:tcPr>
          <w:p w14:paraId="1EC569CE">
            <w:pPr>
              <w:widowControl/>
              <w:jc w:val="left"/>
              <w:textAlignment w:val="center"/>
              <w:rPr>
                <w:rFonts w:hint="eastAsia" w:ascii="宋体" w:hAnsi="宋体" w:eastAsia="宋体" w:cs="宋体"/>
                <w:b w:val="0"/>
                <w:bCs w:val="0"/>
                <w:color w:val="auto"/>
                <w:kern w:val="0"/>
                <w:sz w:val="24"/>
                <w:highlight w:val="none"/>
                <w:lang w:bidi="ar"/>
              </w:rPr>
            </w:pPr>
            <w:r>
              <w:rPr>
                <w:rFonts w:hint="eastAsia" w:ascii="宋体" w:hAnsi="宋体" w:eastAsia="宋体" w:cs="宋体"/>
                <w:b w:val="0"/>
                <w:bCs w:val="0"/>
                <w:color w:val="auto"/>
                <w:kern w:val="0"/>
                <w:sz w:val="24"/>
                <w:highlight w:val="none"/>
                <w:lang w:bidi="ar"/>
              </w:rPr>
              <w:t>人员配备</w:t>
            </w:r>
          </w:p>
          <w:p w14:paraId="37BA08F0">
            <w:pPr>
              <w:widowControl/>
              <w:jc w:val="left"/>
              <w:textAlignment w:val="center"/>
              <w:rPr>
                <w:rFonts w:hint="eastAsia" w:ascii="宋体" w:hAnsi="宋体" w:eastAsia="宋体" w:cs="宋体"/>
                <w:b w:val="0"/>
                <w:bCs w:val="0"/>
                <w:color w:val="auto"/>
                <w:kern w:val="0"/>
                <w:sz w:val="24"/>
                <w:highlight w:val="none"/>
                <w:lang w:bidi="ar"/>
              </w:rPr>
            </w:pPr>
            <w:r>
              <w:rPr>
                <w:rFonts w:hint="eastAsia" w:ascii="宋体" w:hAnsi="宋体" w:eastAsia="宋体" w:cs="宋体"/>
                <w:b w:val="0"/>
                <w:bCs w:val="0"/>
                <w:color w:val="auto"/>
                <w:kern w:val="0"/>
                <w:sz w:val="24"/>
                <w:highlight w:val="none"/>
                <w:lang w:bidi="ar"/>
              </w:rPr>
              <w:t>和相关设</w:t>
            </w:r>
          </w:p>
          <w:p w14:paraId="77B63FCF">
            <w:pPr>
              <w:widowControl/>
              <w:jc w:val="left"/>
              <w:textAlignment w:val="center"/>
              <w:rPr>
                <w:rFonts w:hint="eastAsia" w:ascii="宋体" w:hAnsi="宋体" w:eastAsia="宋体" w:cs="宋体"/>
                <w:b w:val="0"/>
                <w:bCs w:val="0"/>
                <w:color w:val="auto"/>
                <w:kern w:val="0"/>
                <w:sz w:val="24"/>
                <w:highlight w:val="none"/>
                <w:lang w:eastAsia="zh-CN" w:bidi="ar"/>
              </w:rPr>
            </w:pPr>
            <w:r>
              <w:rPr>
                <w:rFonts w:hint="eastAsia" w:ascii="宋体" w:hAnsi="宋体" w:eastAsia="宋体" w:cs="宋体"/>
                <w:b w:val="0"/>
                <w:bCs w:val="0"/>
                <w:color w:val="auto"/>
                <w:kern w:val="0"/>
                <w:sz w:val="24"/>
                <w:highlight w:val="none"/>
                <w:lang w:bidi="ar"/>
              </w:rPr>
              <w:t>备配备</w:t>
            </w:r>
            <w:r>
              <w:rPr>
                <w:rFonts w:hint="eastAsia" w:ascii="宋体" w:hAnsi="宋体" w:cs="宋体"/>
                <w:b w:val="0"/>
                <w:bCs w:val="0"/>
                <w:color w:val="auto"/>
                <w:kern w:val="0"/>
                <w:sz w:val="24"/>
                <w:highlight w:val="none"/>
                <w:lang w:eastAsia="zh-CN" w:bidi="ar"/>
              </w:rPr>
              <w:t>（</w:t>
            </w:r>
            <w:r>
              <w:rPr>
                <w:rFonts w:hint="eastAsia" w:ascii="宋体" w:hAnsi="宋体" w:cs="宋体"/>
                <w:b w:val="0"/>
                <w:bCs w:val="0"/>
                <w:color w:val="auto"/>
                <w:kern w:val="0"/>
                <w:sz w:val="24"/>
                <w:highlight w:val="none"/>
                <w:lang w:val="en-US" w:eastAsia="zh-CN" w:bidi="ar"/>
              </w:rPr>
              <w:t>18分</w:t>
            </w:r>
            <w:r>
              <w:rPr>
                <w:rFonts w:hint="eastAsia" w:ascii="宋体" w:hAnsi="宋体" w:cs="宋体"/>
                <w:b w:val="0"/>
                <w:bCs w:val="0"/>
                <w:color w:val="auto"/>
                <w:kern w:val="0"/>
                <w:sz w:val="24"/>
                <w:highlight w:val="none"/>
                <w:lang w:eastAsia="zh-CN" w:bidi="ar"/>
              </w:rPr>
              <w:t>）</w:t>
            </w:r>
          </w:p>
        </w:tc>
        <w:tc>
          <w:tcPr>
            <w:tcW w:w="6584" w:type="dxa"/>
            <w:noWrap w:val="0"/>
            <w:vAlign w:val="top"/>
          </w:tcPr>
          <w:p w14:paraId="167BDDB1">
            <w:pPr>
              <w:widowControl/>
              <w:numPr>
                <w:ilvl w:val="0"/>
                <w:numId w:val="0"/>
              </w:numPr>
              <w:jc w:val="left"/>
              <w:textAlignment w:val="center"/>
              <w:rPr>
                <w:rFonts w:hint="eastAsia" w:ascii="宋体" w:hAnsi="宋体" w:eastAsia="宋体" w:cs="宋体"/>
                <w:b w:val="0"/>
                <w:bCs w:val="0"/>
                <w:color w:val="auto"/>
                <w:kern w:val="0"/>
                <w:sz w:val="24"/>
                <w:highlight w:val="none"/>
                <w:lang w:bidi="ar"/>
              </w:rPr>
            </w:pPr>
            <w:r>
              <w:rPr>
                <w:rFonts w:hint="eastAsia" w:ascii="宋体" w:hAnsi="宋体" w:cs="宋体"/>
                <w:b w:val="0"/>
                <w:bCs w:val="0"/>
                <w:color w:val="auto"/>
                <w:kern w:val="0"/>
                <w:sz w:val="24"/>
                <w:highlight w:val="none"/>
                <w:lang w:val="en-US" w:eastAsia="zh-CN" w:bidi="ar"/>
              </w:rPr>
              <w:t>1.</w:t>
            </w:r>
            <w:r>
              <w:rPr>
                <w:rFonts w:hint="eastAsia" w:ascii="宋体" w:hAnsi="宋体" w:eastAsia="宋体" w:cs="宋体"/>
                <w:b w:val="0"/>
                <w:bCs w:val="0"/>
                <w:color w:val="auto"/>
                <w:kern w:val="0"/>
                <w:sz w:val="24"/>
                <w:highlight w:val="none"/>
                <w:lang w:bidi="ar"/>
              </w:rPr>
              <w:t>投标人为本项目提供专业技术培训人员，技术培训人员具有大专及以上学历（生物类、食品类、化学类、检测化验类等相关专业），</w:t>
            </w:r>
            <w:r>
              <w:rPr>
                <w:rFonts w:hint="eastAsia" w:ascii="宋体" w:hAnsi="宋体" w:cs="宋体"/>
                <w:b w:val="0"/>
                <w:bCs w:val="0"/>
                <w:color w:val="auto"/>
                <w:kern w:val="0"/>
                <w:sz w:val="24"/>
                <w:highlight w:val="none"/>
                <w:lang w:val="en-US" w:eastAsia="zh-CN" w:bidi="ar"/>
              </w:rPr>
              <w:t>每提供1名符合要求的人员</w:t>
            </w:r>
            <w:r>
              <w:rPr>
                <w:rFonts w:hint="eastAsia" w:ascii="宋体" w:hAnsi="宋体" w:eastAsia="宋体" w:cs="宋体"/>
                <w:b w:val="0"/>
                <w:bCs w:val="0"/>
                <w:color w:val="auto"/>
                <w:kern w:val="0"/>
                <w:sz w:val="24"/>
                <w:highlight w:val="none"/>
                <w:lang w:bidi="ar"/>
              </w:rPr>
              <w:t>得2分，满分6分</w:t>
            </w:r>
            <w:r>
              <w:rPr>
                <w:rFonts w:hint="eastAsia" w:ascii="宋体" w:hAnsi="宋体" w:cs="宋体"/>
                <w:b w:val="0"/>
                <w:bCs w:val="0"/>
                <w:color w:val="auto"/>
                <w:kern w:val="0"/>
                <w:sz w:val="24"/>
                <w:highlight w:val="none"/>
                <w:lang w:eastAsia="zh-CN" w:bidi="ar"/>
              </w:rPr>
              <w:t>。</w:t>
            </w:r>
          </w:p>
          <w:p w14:paraId="5E485409">
            <w:pPr>
              <w:widowControl/>
              <w:numPr>
                <w:ilvl w:val="0"/>
                <w:numId w:val="0"/>
              </w:numPr>
              <w:ind w:leftChars="0"/>
              <w:jc w:val="left"/>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需提供毕业证书复印件</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lang w:val="en-US" w:eastAsia="zh-CN"/>
              </w:rPr>
              <w:t>投标人为其缴纳的开标前近1个月的社保缴纳证明扫描件并加盖投标人公章</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可提供官网打印的具有二维码或验证码的缴费清单）</w:t>
            </w:r>
            <w:r>
              <w:rPr>
                <w:rFonts w:hint="eastAsia" w:ascii="宋体" w:hAnsi="宋体" w:cs="宋体"/>
                <w:b/>
                <w:bCs/>
                <w:color w:val="auto"/>
                <w:sz w:val="24"/>
                <w:szCs w:val="24"/>
                <w:highlight w:val="none"/>
                <w:lang w:val="en-US" w:eastAsia="zh-CN"/>
              </w:rPr>
              <w:t>并加盖投标人公章</w:t>
            </w:r>
            <w:r>
              <w:rPr>
                <w:rFonts w:hint="eastAsia" w:ascii="宋体" w:hAnsi="宋体" w:eastAsia="宋体" w:cs="宋体"/>
                <w:b/>
                <w:bCs/>
                <w:color w:val="auto"/>
                <w:sz w:val="24"/>
                <w:szCs w:val="24"/>
                <w:highlight w:val="none"/>
              </w:rPr>
              <w:t>,未按要求提供</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不得分</w:t>
            </w:r>
            <w:r>
              <w:rPr>
                <w:rFonts w:hint="eastAsia" w:ascii="宋体" w:hAnsi="宋体" w:eastAsia="宋体" w:cs="宋体"/>
                <w:b/>
                <w:bCs/>
                <w:color w:val="auto"/>
                <w:sz w:val="24"/>
                <w:szCs w:val="24"/>
                <w:highlight w:val="none"/>
                <w:lang w:eastAsia="zh-CN"/>
              </w:rPr>
              <w:t>。</w:t>
            </w:r>
          </w:p>
          <w:p w14:paraId="48DF0BA0">
            <w:pPr>
              <w:widowControl/>
              <w:jc w:val="left"/>
              <w:textAlignment w:val="center"/>
              <w:rPr>
                <w:rFonts w:hint="eastAsia" w:ascii="宋体" w:hAnsi="宋体" w:eastAsia="宋体" w:cs="宋体"/>
                <w:b w:val="0"/>
                <w:bCs w:val="0"/>
                <w:color w:val="auto"/>
                <w:kern w:val="0"/>
                <w:sz w:val="24"/>
                <w:highlight w:val="none"/>
                <w:lang w:bidi="ar"/>
              </w:rPr>
            </w:pPr>
          </w:p>
        </w:tc>
      </w:tr>
      <w:tr w14:paraId="46DA6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275" w:type="dxa"/>
            <w:vMerge w:val="continue"/>
            <w:noWrap w:val="0"/>
            <w:vAlign w:val="top"/>
          </w:tcPr>
          <w:p w14:paraId="388F1A97">
            <w:pPr>
              <w:widowControl/>
              <w:jc w:val="left"/>
              <w:textAlignment w:val="center"/>
              <w:rPr>
                <w:color w:val="auto"/>
                <w:highlight w:val="none"/>
              </w:rPr>
            </w:pPr>
          </w:p>
        </w:tc>
        <w:tc>
          <w:tcPr>
            <w:tcW w:w="6584" w:type="dxa"/>
            <w:noWrap w:val="0"/>
            <w:vAlign w:val="top"/>
          </w:tcPr>
          <w:p w14:paraId="05BB363F">
            <w:pPr>
              <w:widowControl/>
              <w:jc w:val="left"/>
              <w:textAlignment w:val="center"/>
              <w:rPr>
                <w:rFonts w:hint="eastAsia" w:ascii="宋体" w:hAnsi="宋体" w:eastAsia="宋体" w:cs="宋体"/>
                <w:b w:val="0"/>
                <w:bCs w:val="0"/>
                <w:color w:val="auto"/>
                <w:kern w:val="0"/>
                <w:sz w:val="24"/>
                <w:highlight w:val="none"/>
                <w:lang w:bidi="ar"/>
              </w:rPr>
            </w:pPr>
            <w:r>
              <w:rPr>
                <w:rFonts w:hint="eastAsia" w:ascii="宋体" w:hAnsi="宋体" w:cs="宋体"/>
                <w:b w:val="0"/>
                <w:bCs w:val="0"/>
                <w:color w:val="auto"/>
                <w:kern w:val="0"/>
                <w:sz w:val="24"/>
                <w:highlight w:val="none"/>
                <w:lang w:val="en-US" w:eastAsia="zh-CN" w:bidi="ar"/>
              </w:rPr>
              <w:t>2.</w:t>
            </w:r>
            <w:r>
              <w:rPr>
                <w:rFonts w:hint="eastAsia" w:ascii="宋体" w:hAnsi="宋体" w:eastAsia="宋体" w:cs="宋体"/>
                <w:b w:val="0"/>
                <w:bCs w:val="0"/>
                <w:color w:val="auto"/>
                <w:kern w:val="0"/>
                <w:sz w:val="24"/>
                <w:highlight w:val="none"/>
                <w:lang w:bidi="ar"/>
              </w:rPr>
              <w:t>食品安全</w:t>
            </w:r>
            <w:r>
              <w:rPr>
                <w:rFonts w:hint="eastAsia" w:ascii="宋体" w:hAnsi="宋体" w:cs="宋体"/>
                <w:b w:val="0"/>
                <w:bCs w:val="0"/>
                <w:color w:val="auto"/>
                <w:kern w:val="0"/>
                <w:sz w:val="24"/>
                <w:highlight w:val="none"/>
                <w:lang w:val="en-US" w:eastAsia="zh-CN" w:bidi="ar"/>
              </w:rPr>
              <w:t>检测</w:t>
            </w:r>
            <w:r>
              <w:rPr>
                <w:rFonts w:hint="eastAsia" w:ascii="宋体" w:hAnsi="宋体" w:eastAsia="宋体" w:cs="宋体"/>
                <w:b w:val="0"/>
                <w:bCs w:val="0"/>
                <w:color w:val="auto"/>
                <w:kern w:val="0"/>
                <w:sz w:val="24"/>
                <w:highlight w:val="none"/>
                <w:lang w:bidi="ar"/>
              </w:rPr>
              <w:t>仪</w:t>
            </w:r>
            <w:r>
              <w:rPr>
                <w:rFonts w:hint="eastAsia" w:ascii="宋体" w:hAnsi="宋体" w:cs="宋体"/>
                <w:b w:val="0"/>
                <w:bCs w:val="0"/>
                <w:color w:val="auto"/>
                <w:kern w:val="0"/>
                <w:sz w:val="24"/>
                <w:highlight w:val="none"/>
                <w:lang w:val="en-US" w:eastAsia="zh-CN" w:bidi="ar"/>
              </w:rPr>
              <w:t>精准性。投标人</w:t>
            </w:r>
            <w:r>
              <w:rPr>
                <w:rFonts w:hint="eastAsia" w:ascii="宋体" w:hAnsi="宋体" w:eastAsia="宋体" w:cs="宋体"/>
                <w:b w:val="0"/>
                <w:bCs w:val="0"/>
                <w:color w:val="auto"/>
                <w:kern w:val="0"/>
                <w:sz w:val="24"/>
                <w:highlight w:val="none"/>
                <w:lang w:bidi="ar"/>
              </w:rPr>
              <w:t>拟投入的食品安全</w:t>
            </w:r>
            <w:r>
              <w:rPr>
                <w:rFonts w:hint="eastAsia" w:ascii="宋体" w:hAnsi="宋体" w:cs="宋体"/>
                <w:b w:val="0"/>
                <w:bCs w:val="0"/>
                <w:color w:val="auto"/>
                <w:kern w:val="0"/>
                <w:sz w:val="24"/>
                <w:highlight w:val="none"/>
                <w:lang w:val="en-US" w:eastAsia="zh-CN" w:bidi="ar"/>
              </w:rPr>
              <w:t>检测</w:t>
            </w:r>
            <w:r>
              <w:rPr>
                <w:rFonts w:hint="eastAsia" w:ascii="宋体" w:hAnsi="宋体" w:eastAsia="宋体" w:cs="宋体"/>
                <w:b w:val="0"/>
                <w:bCs w:val="0"/>
                <w:color w:val="auto"/>
                <w:kern w:val="0"/>
                <w:sz w:val="24"/>
                <w:highlight w:val="none"/>
                <w:lang w:bidi="ar"/>
              </w:rPr>
              <w:t>仪</w:t>
            </w:r>
            <w:r>
              <w:rPr>
                <w:rFonts w:hint="eastAsia" w:ascii="宋体" w:hAnsi="宋体" w:cs="宋体"/>
                <w:b w:val="0"/>
                <w:bCs w:val="0"/>
                <w:color w:val="auto"/>
                <w:kern w:val="0"/>
                <w:sz w:val="24"/>
                <w:highlight w:val="none"/>
                <w:lang w:eastAsia="zh-CN" w:bidi="ar"/>
              </w:rPr>
              <w:t>（</w:t>
            </w:r>
            <w:r>
              <w:rPr>
                <w:rFonts w:hint="eastAsia" w:ascii="宋体" w:hAnsi="宋体" w:cs="宋体"/>
                <w:b w:val="0"/>
                <w:bCs w:val="0"/>
                <w:color w:val="auto"/>
                <w:kern w:val="0"/>
                <w:sz w:val="24"/>
                <w:highlight w:val="none"/>
                <w:lang w:val="en-US" w:eastAsia="zh-CN" w:bidi="ar"/>
              </w:rPr>
              <w:t>核心设备</w:t>
            </w:r>
            <w:r>
              <w:rPr>
                <w:rFonts w:hint="eastAsia" w:ascii="宋体" w:hAnsi="宋体" w:cs="宋体"/>
                <w:b w:val="0"/>
                <w:bCs w:val="0"/>
                <w:color w:val="auto"/>
                <w:kern w:val="0"/>
                <w:sz w:val="24"/>
                <w:highlight w:val="none"/>
                <w:lang w:eastAsia="zh-CN" w:bidi="ar"/>
              </w:rPr>
              <w:t>）</w:t>
            </w:r>
            <w:r>
              <w:rPr>
                <w:rFonts w:hint="eastAsia" w:ascii="宋体" w:hAnsi="宋体" w:eastAsia="宋体" w:cs="宋体"/>
                <w:b w:val="0"/>
                <w:bCs w:val="0"/>
                <w:color w:val="auto"/>
                <w:kern w:val="0"/>
                <w:sz w:val="24"/>
                <w:highlight w:val="none"/>
                <w:lang w:bidi="ar"/>
              </w:rPr>
              <w:t>性能要求符合：波长示值误差：≤±1.0nm、波长重复性：≤0.5nm、基线暗噪声：≤0.2%、透射比示值误差：≤±0.5%、透射比重复</w:t>
            </w:r>
            <w:bookmarkStart w:id="196" w:name="_GoBack"/>
            <w:bookmarkEnd w:id="196"/>
            <w:r>
              <w:rPr>
                <w:rFonts w:hint="eastAsia" w:ascii="宋体" w:hAnsi="宋体" w:eastAsia="宋体" w:cs="宋体"/>
                <w:b w:val="0"/>
                <w:bCs w:val="0"/>
                <w:color w:val="auto"/>
                <w:kern w:val="0"/>
                <w:sz w:val="24"/>
                <w:highlight w:val="none"/>
                <w:lang w:bidi="ar"/>
              </w:rPr>
              <w:t>性：≤0.2%，得</w:t>
            </w:r>
            <w:r>
              <w:rPr>
                <w:rFonts w:hint="eastAsia" w:ascii="宋体" w:hAnsi="宋体" w:cs="宋体"/>
                <w:b w:val="0"/>
                <w:bCs w:val="0"/>
                <w:color w:val="auto"/>
                <w:kern w:val="0"/>
                <w:sz w:val="24"/>
                <w:highlight w:val="none"/>
                <w:lang w:val="en-US" w:eastAsia="zh-CN" w:bidi="ar"/>
              </w:rPr>
              <w:t>4</w:t>
            </w:r>
            <w:r>
              <w:rPr>
                <w:rFonts w:hint="eastAsia" w:ascii="宋体" w:hAnsi="宋体" w:eastAsia="宋体" w:cs="宋体"/>
                <w:b w:val="0"/>
                <w:bCs w:val="0"/>
                <w:color w:val="auto"/>
                <w:kern w:val="0"/>
                <w:sz w:val="24"/>
                <w:highlight w:val="none"/>
                <w:lang w:bidi="ar"/>
              </w:rPr>
              <w:t>分。</w:t>
            </w:r>
          </w:p>
          <w:p w14:paraId="48D00F56">
            <w:pPr>
              <w:widowControl/>
              <w:numPr>
                <w:ilvl w:val="0"/>
                <w:numId w:val="0"/>
              </w:numPr>
              <w:ind w:leftChars="0"/>
              <w:jc w:val="left"/>
              <w:textAlignment w:val="center"/>
              <w:rPr>
                <w:rFonts w:hint="eastAsia" w:ascii="宋体" w:hAnsi="宋体" w:eastAsia="宋体" w:cs="宋体"/>
                <w:b w:val="0"/>
                <w:bCs w:val="0"/>
                <w:color w:val="auto"/>
                <w:kern w:val="0"/>
                <w:sz w:val="24"/>
                <w:highlight w:val="none"/>
                <w:lang w:bidi="ar"/>
              </w:rPr>
            </w:pPr>
            <w:r>
              <w:rPr>
                <w:rFonts w:hint="eastAsia" w:ascii="宋体" w:hAnsi="宋体" w:eastAsia="宋体" w:cs="宋体"/>
                <w:b/>
                <w:bCs/>
                <w:color w:val="auto"/>
                <w:sz w:val="24"/>
                <w:szCs w:val="24"/>
                <w:highlight w:val="none"/>
                <w:lang w:val="en-US" w:eastAsia="zh-CN"/>
              </w:rPr>
              <w:t>注:需</w:t>
            </w:r>
            <w:r>
              <w:rPr>
                <w:rFonts w:hint="eastAsia" w:ascii="宋体" w:hAnsi="宋体" w:eastAsia="宋体" w:cs="宋体"/>
                <w:b/>
                <w:bCs/>
                <w:color w:val="auto"/>
                <w:sz w:val="24"/>
                <w:szCs w:val="24"/>
                <w:highlight w:val="none"/>
              </w:rPr>
              <w:t>提供计量机构出具的有效期内的校准证书或检定证书，提供复印件或影印件或扫描件，</w:t>
            </w:r>
            <w:r>
              <w:rPr>
                <w:rFonts w:hint="eastAsia" w:ascii="宋体" w:hAnsi="宋体" w:eastAsia="宋体" w:cs="宋体"/>
                <w:b/>
                <w:bCs/>
                <w:color w:val="auto"/>
                <w:sz w:val="24"/>
                <w:szCs w:val="24"/>
                <w:highlight w:val="none"/>
                <w:lang w:val="en-US" w:eastAsia="zh-CN"/>
              </w:rPr>
              <w:t>并加盖投标人</w:t>
            </w:r>
            <w:r>
              <w:rPr>
                <w:rFonts w:hint="eastAsia" w:ascii="宋体" w:hAnsi="宋体" w:eastAsia="宋体" w:cs="宋体"/>
                <w:b/>
                <w:bCs/>
                <w:color w:val="auto"/>
                <w:sz w:val="24"/>
                <w:szCs w:val="24"/>
                <w:highlight w:val="none"/>
              </w:rPr>
              <w:t>公章。</w:t>
            </w:r>
          </w:p>
        </w:tc>
      </w:tr>
      <w:tr w14:paraId="00C6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275" w:type="dxa"/>
            <w:vMerge w:val="continue"/>
            <w:noWrap w:val="0"/>
            <w:vAlign w:val="top"/>
          </w:tcPr>
          <w:p w14:paraId="488BFEB8">
            <w:pPr>
              <w:widowControl/>
              <w:jc w:val="left"/>
              <w:textAlignment w:val="center"/>
              <w:rPr>
                <w:rFonts w:hint="eastAsia" w:ascii="宋体" w:hAnsi="宋体" w:eastAsia="宋体" w:cs="宋体"/>
                <w:b w:val="0"/>
                <w:bCs w:val="0"/>
                <w:color w:val="auto"/>
                <w:kern w:val="0"/>
                <w:sz w:val="24"/>
                <w:highlight w:val="none"/>
                <w:lang w:bidi="ar"/>
              </w:rPr>
            </w:pPr>
          </w:p>
        </w:tc>
        <w:tc>
          <w:tcPr>
            <w:tcW w:w="6584" w:type="dxa"/>
            <w:noWrap w:val="0"/>
            <w:vAlign w:val="top"/>
          </w:tcPr>
          <w:p w14:paraId="7BED4B45">
            <w:pPr>
              <w:widowControl/>
              <w:jc w:val="left"/>
              <w:textAlignment w:val="center"/>
              <w:rPr>
                <w:rFonts w:hint="eastAsia" w:ascii="宋体" w:hAnsi="宋体" w:eastAsia="宋体" w:cs="宋体"/>
                <w:b w:val="0"/>
                <w:bCs w:val="0"/>
                <w:color w:val="auto"/>
                <w:kern w:val="0"/>
                <w:sz w:val="24"/>
                <w:highlight w:val="none"/>
                <w:lang w:bidi="ar"/>
              </w:rPr>
            </w:pPr>
            <w:r>
              <w:rPr>
                <w:rFonts w:hint="eastAsia" w:ascii="宋体" w:hAnsi="宋体" w:cs="宋体"/>
                <w:b w:val="0"/>
                <w:bCs w:val="0"/>
                <w:color w:val="auto"/>
                <w:kern w:val="0"/>
                <w:sz w:val="24"/>
                <w:highlight w:val="none"/>
                <w:lang w:val="en-US" w:eastAsia="zh-CN" w:bidi="ar"/>
              </w:rPr>
              <w:t>3.</w:t>
            </w:r>
            <w:r>
              <w:rPr>
                <w:rFonts w:hint="eastAsia" w:ascii="宋体" w:hAnsi="宋体" w:eastAsia="宋体" w:cs="宋体"/>
                <w:b w:val="0"/>
                <w:bCs w:val="0"/>
                <w:color w:val="auto"/>
                <w:kern w:val="0"/>
                <w:sz w:val="24"/>
                <w:highlight w:val="none"/>
                <w:lang w:bidi="ar"/>
              </w:rPr>
              <w:t>食品检测仪安全性</w:t>
            </w:r>
            <w:r>
              <w:rPr>
                <w:rFonts w:hint="eastAsia" w:ascii="宋体" w:hAnsi="宋体" w:cs="宋体"/>
                <w:b w:val="0"/>
                <w:bCs w:val="0"/>
                <w:color w:val="auto"/>
                <w:kern w:val="0"/>
                <w:sz w:val="24"/>
                <w:highlight w:val="none"/>
                <w:lang w:val="en-US" w:eastAsia="zh-CN" w:bidi="ar"/>
              </w:rPr>
              <w:t>能。</w:t>
            </w:r>
            <w:r>
              <w:rPr>
                <w:rFonts w:hint="eastAsia" w:ascii="宋体" w:hAnsi="宋体" w:eastAsia="宋体" w:cs="宋体"/>
                <w:b w:val="0"/>
                <w:bCs w:val="0"/>
                <w:color w:val="auto"/>
                <w:kern w:val="0"/>
                <w:sz w:val="24"/>
                <w:highlight w:val="none"/>
                <w:lang w:bidi="ar"/>
              </w:rPr>
              <w:t>通过电磁辐射抗干扰度检测、静电放电试验检测、跌落试验检测、高低温试验检测的得</w:t>
            </w:r>
            <w:r>
              <w:rPr>
                <w:rFonts w:hint="eastAsia" w:ascii="宋体" w:hAnsi="宋体" w:cs="宋体"/>
                <w:b w:val="0"/>
                <w:bCs w:val="0"/>
                <w:color w:val="auto"/>
                <w:kern w:val="0"/>
                <w:sz w:val="24"/>
                <w:highlight w:val="none"/>
                <w:lang w:val="en-US" w:eastAsia="zh-CN" w:bidi="ar"/>
              </w:rPr>
              <w:t>4</w:t>
            </w:r>
            <w:r>
              <w:rPr>
                <w:rFonts w:hint="eastAsia" w:ascii="宋体" w:hAnsi="宋体" w:eastAsia="宋体" w:cs="宋体"/>
                <w:b w:val="0"/>
                <w:bCs w:val="0"/>
                <w:color w:val="auto"/>
                <w:kern w:val="0"/>
                <w:sz w:val="24"/>
                <w:highlight w:val="none"/>
                <w:lang w:bidi="ar"/>
              </w:rPr>
              <w:t>分。</w:t>
            </w:r>
          </w:p>
          <w:p w14:paraId="2B311008">
            <w:pPr>
              <w:widowControl/>
              <w:jc w:val="left"/>
              <w:textAlignment w:val="center"/>
              <w:rPr>
                <w:rFonts w:hint="eastAsia" w:ascii="宋体" w:hAnsi="宋体" w:eastAsia="宋体" w:cs="宋体"/>
                <w:b w:val="0"/>
                <w:bCs w:val="0"/>
                <w:color w:val="auto"/>
                <w:kern w:val="0"/>
                <w:sz w:val="24"/>
                <w:highlight w:val="none"/>
                <w:lang w:bidi="ar"/>
              </w:rPr>
            </w:pPr>
            <w:r>
              <w:rPr>
                <w:rFonts w:hint="eastAsia" w:ascii="宋体" w:hAnsi="宋体" w:eastAsia="宋体" w:cs="宋体"/>
                <w:b/>
                <w:bCs/>
                <w:color w:val="auto"/>
                <w:sz w:val="24"/>
                <w:szCs w:val="24"/>
                <w:highlight w:val="none"/>
                <w:lang w:val="en-US" w:eastAsia="zh-CN"/>
              </w:rPr>
              <w:t>注：需提供第三方检测机构出具的检测报告复印件或影印件或扫描件，加盖投标人公章。</w:t>
            </w:r>
          </w:p>
        </w:tc>
      </w:tr>
      <w:tr w14:paraId="1377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275" w:type="dxa"/>
            <w:vMerge w:val="continue"/>
            <w:noWrap w:val="0"/>
            <w:vAlign w:val="top"/>
          </w:tcPr>
          <w:p w14:paraId="66D5F8CA">
            <w:pPr>
              <w:widowControl/>
              <w:jc w:val="left"/>
              <w:textAlignment w:val="center"/>
              <w:rPr>
                <w:rFonts w:hint="eastAsia" w:ascii="宋体" w:hAnsi="宋体" w:eastAsia="宋体" w:cs="宋体"/>
                <w:b w:val="0"/>
                <w:bCs w:val="0"/>
                <w:color w:val="auto"/>
                <w:kern w:val="0"/>
                <w:sz w:val="24"/>
                <w:highlight w:val="none"/>
                <w:lang w:bidi="ar"/>
              </w:rPr>
            </w:pPr>
          </w:p>
        </w:tc>
        <w:tc>
          <w:tcPr>
            <w:tcW w:w="6584" w:type="dxa"/>
            <w:noWrap w:val="0"/>
            <w:vAlign w:val="top"/>
          </w:tcPr>
          <w:p w14:paraId="08DCF02C">
            <w:pPr>
              <w:widowControl/>
              <w:jc w:val="left"/>
              <w:textAlignment w:val="center"/>
              <w:rPr>
                <w:rFonts w:hint="default" w:ascii="宋体" w:hAnsi="宋体" w:eastAsia="宋体" w:cs="宋体"/>
                <w:b w:val="0"/>
                <w:bCs w:val="0"/>
                <w:color w:val="auto"/>
                <w:kern w:val="0"/>
                <w:sz w:val="24"/>
                <w:highlight w:val="none"/>
                <w:lang w:val="en-US" w:eastAsia="zh-CN" w:bidi="ar"/>
              </w:rPr>
            </w:pPr>
            <w:r>
              <w:rPr>
                <w:rFonts w:hint="eastAsia" w:ascii="宋体" w:hAnsi="宋体" w:cs="宋体"/>
                <w:b w:val="0"/>
                <w:bCs w:val="0"/>
                <w:color w:val="auto"/>
                <w:kern w:val="0"/>
                <w:sz w:val="24"/>
                <w:highlight w:val="none"/>
                <w:lang w:val="en-US" w:eastAsia="zh-CN" w:bidi="ar"/>
              </w:rPr>
              <w:t>4.</w:t>
            </w:r>
            <w:r>
              <w:rPr>
                <w:rFonts w:hint="eastAsia" w:ascii="宋体" w:hAnsi="宋体" w:eastAsia="宋体" w:cs="宋体"/>
                <w:b w:val="0"/>
                <w:bCs w:val="0"/>
                <w:color w:val="auto"/>
                <w:kern w:val="0"/>
                <w:sz w:val="24"/>
                <w:highlight w:val="none"/>
                <w:lang w:bidi="ar"/>
              </w:rPr>
              <w:t>供应商具有专用食品安全快速检测车（专用改装车），</w:t>
            </w:r>
            <w:r>
              <w:rPr>
                <w:rFonts w:hint="eastAsia" w:ascii="宋体" w:hAnsi="宋体" w:eastAsia="宋体" w:cs="宋体"/>
                <w:b w:val="0"/>
                <w:bCs w:val="0"/>
                <w:color w:val="auto"/>
                <w:kern w:val="0"/>
                <w:sz w:val="24"/>
                <w:highlight w:val="none"/>
                <w:lang w:val="en-US" w:eastAsia="zh-CN" w:bidi="ar"/>
              </w:rPr>
              <w:t>自有车辆</w:t>
            </w:r>
            <w:r>
              <w:rPr>
                <w:rFonts w:hint="eastAsia" w:ascii="宋体" w:hAnsi="宋体" w:eastAsia="宋体" w:cs="宋体"/>
                <w:b w:val="0"/>
                <w:bCs w:val="0"/>
                <w:color w:val="auto"/>
                <w:kern w:val="0"/>
                <w:sz w:val="24"/>
                <w:highlight w:val="none"/>
                <w:lang w:bidi="ar"/>
              </w:rPr>
              <w:t>得</w:t>
            </w:r>
            <w:r>
              <w:rPr>
                <w:rFonts w:hint="eastAsia" w:ascii="宋体" w:hAnsi="宋体" w:cs="宋体"/>
                <w:b w:val="0"/>
                <w:bCs w:val="0"/>
                <w:color w:val="auto"/>
                <w:kern w:val="0"/>
                <w:sz w:val="24"/>
                <w:highlight w:val="none"/>
                <w:lang w:val="en-US" w:eastAsia="zh-CN" w:bidi="ar"/>
              </w:rPr>
              <w:t>4</w:t>
            </w:r>
            <w:r>
              <w:rPr>
                <w:rFonts w:hint="eastAsia" w:ascii="宋体" w:hAnsi="宋体" w:eastAsia="宋体" w:cs="宋体"/>
                <w:b w:val="0"/>
                <w:bCs w:val="0"/>
                <w:color w:val="auto"/>
                <w:kern w:val="0"/>
                <w:sz w:val="24"/>
                <w:highlight w:val="none"/>
                <w:lang w:bidi="ar"/>
              </w:rPr>
              <w:t>分</w:t>
            </w:r>
            <w:r>
              <w:rPr>
                <w:rFonts w:hint="eastAsia" w:ascii="宋体" w:hAnsi="宋体" w:eastAsia="宋体" w:cs="宋体"/>
                <w:b w:val="0"/>
                <w:bCs w:val="0"/>
                <w:color w:val="auto"/>
                <w:kern w:val="0"/>
                <w:sz w:val="24"/>
                <w:highlight w:val="none"/>
                <w:lang w:eastAsia="zh-CN" w:bidi="ar"/>
              </w:rPr>
              <w:t>，</w:t>
            </w:r>
            <w:r>
              <w:rPr>
                <w:rFonts w:hint="eastAsia" w:ascii="宋体" w:hAnsi="宋体" w:eastAsia="宋体" w:cs="宋体"/>
                <w:b w:val="0"/>
                <w:bCs w:val="0"/>
                <w:color w:val="auto"/>
                <w:kern w:val="0"/>
                <w:sz w:val="24"/>
                <w:highlight w:val="none"/>
                <w:lang w:val="en-US" w:eastAsia="zh-CN" w:bidi="ar"/>
              </w:rPr>
              <w:t>租赁车辆得</w:t>
            </w:r>
            <w:r>
              <w:rPr>
                <w:rFonts w:hint="eastAsia" w:ascii="宋体" w:hAnsi="宋体" w:cs="宋体"/>
                <w:b w:val="0"/>
                <w:bCs w:val="0"/>
                <w:color w:val="auto"/>
                <w:kern w:val="0"/>
                <w:sz w:val="24"/>
                <w:highlight w:val="none"/>
                <w:lang w:val="en-US" w:eastAsia="zh-CN" w:bidi="ar"/>
              </w:rPr>
              <w:t>2</w:t>
            </w:r>
            <w:r>
              <w:rPr>
                <w:rFonts w:hint="eastAsia" w:ascii="宋体" w:hAnsi="宋体" w:eastAsia="宋体" w:cs="宋体"/>
                <w:b w:val="0"/>
                <w:bCs w:val="0"/>
                <w:color w:val="auto"/>
                <w:kern w:val="0"/>
                <w:sz w:val="24"/>
                <w:highlight w:val="none"/>
                <w:lang w:val="en-US" w:eastAsia="zh-CN" w:bidi="ar"/>
              </w:rPr>
              <w:t>分。</w:t>
            </w:r>
          </w:p>
          <w:p w14:paraId="6843E9C9">
            <w:pPr>
              <w:widowControl/>
              <w:numPr>
                <w:ilvl w:val="0"/>
                <w:numId w:val="0"/>
              </w:numPr>
              <w:ind w:leftChars="0"/>
              <w:jc w:val="left"/>
              <w:textAlignment w:val="center"/>
              <w:rPr>
                <w:rFonts w:hint="eastAsia" w:ascii="宋体" w:hAnsi="宋体" w:eastAsia="宋体" w:cs="宋体"/>
                <w:b w:val="0"/>
                <w:bCs w:val="0"/>
                <w:color w:val="auto"/>
                <w:kern w:val="0"/>
                <w:sz w:val="24"/>
                <w:highlight w:val="none"/>
                <w:lang w:bidi="ar"/>
              </w:rPr>
            </w:pPr>
            <w:r>
              <w:rPr>
                <w:rFonts w:hint="eastAsia" w:ascii="宋体" w:hAnsi="宋体" w:eastAsia="宋体" w:cs="宋体"/>
                <w:b/>
                <w:bCs/>
                <w:color w:val="auto"/>
                <w:sz w:val="24"/>
                <w:szCs w:val="24"/>
                <w:highlight w:val="none"/>
                <w:lang w:val="en-US" w:eastAsia="zh-CN"/>
              </w:rPr>
              <w:t>注：需</w:t>
            </w:r>
            <w:r>
              <w:rPr>
                <w:rFonts w:hint="eastAsia" w:ascii="宋体" w:hAnsi="宋体" w:eastAsia="宋体" w:cs="宋体"/>
                <w:b/>
                <w:bCs/>
                <w:color w:val="auto"/>
                <w:sz w:val="24"/>
                <w:szCs w:val="24"/>
                <w:highlight w:val="none"/>
              </w:rPr>
              <w:t>提供车辆行驶证（行驶证中车辆类型需为轻型或中型非载货专项作业，提供普通客车或货车行驶证不得分）、车辆登记证、整车实物照片（含车载快检设备），</w:t>
            </w:r>
            <w:r>
              <w:rPr>
                <w:rFonts w:hint="eastAsia" w:ascii="宋体" w:hAnsi="宋体" w:cs="宋体"/>
                <w:b/>
                <w:bCs/>
                <w:color w:val="auto"/>
                <w:sz w:val="24"/>
                <w:szCs w:val="24"/>
                <w:highlight w:val="none"/>
                <w:lang w:val="en-US" w:eastAsia="zh-CN"/>
              </w:rPr>
              <w:t>自有</w:t>
            </w:r>
            <w:r>
              <w:rPr>
                <w:rFonts w:hint="eastAsia" w:ascii="宋体" w:hAnsi="宋体" w:eastAsia="宋体" w:cs="宋体"/>
                <w:b/>
                <w:bCs/>
                <w:color w:val="auto"/>
                <w:sz w:val="24"/>
                <w:szCs w:val="24"/>
                <w:highlight w:val="none"/>
              </w:rPr>
              <w:t>车辆行驶证须与</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名称一致提供复印件或影印件或扫描件，</w:t>
            </w:r>
            <w:r>
              <w:rPr>
                <w:rFonts w:hint="eastAsia" w:ascii="宋体" w:hAnsi="宋体" w:cs="宋体"/>
                <w:b/>
                <w:bCs/>
                <w:color w:val="auto"/>
                <w:sz w:val="24"/>
                <w:szCs w:val="24"/>
                <w:highlight w:val="none"/>
                <w:lang w:val="en-US" w:eastAsia="zh-CN"/>
              </w:rPr>
              <w:t>并加盖投标人</w:t>
            </w:r>
            <w:r>
              <w:rPr>
                <w:rFonts w:hint="eastAsia" w:ascii="宋体" w:hAnsi="宋体" w:eastAsia="宋体" w:cs="宋体"/>
                <w:b/>
                <w:bCs/>
                <w:color w:val="auto"/>
                <w:sz w:val="24"/>
                <w:szCs w:val="24"/>
                <w:highlight w:val="none"/>
              </w:rPr>
              <w:t>公章。</w:t>
            </w:r>
            <w:r>
              <w:rPr>
                <w:rFonts w:hint="eastAsia" w:ascii="宋体" w:hAnsi="宋体" w:cs="宋体"/>
                <w:b/>
                <w:bCs/>
                <w:color w:val="auto"/>
                <w:sz w:val="24"/>
                <w:szCs w:val="24"/>
                <w:highlight w:val="none"/>
                <w:lang w:val="en-US" w:eastAsia="zh-CN"/>
              </w:rPr>
              <w:t>租赁车辆须提供租赁合同。</w:t>
            </w:r>
          </w:p>
        </w:tc>
      </w:tr>
      <w:tr w14:paraId="74E8C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275" w:type="dxa"/>
            <w:vMerge w:val="restart"/>
            <w:noWrap w:val="0"/>
            <w:vAlign w:val="center"/>
          </w:tcPr>
          <w:p w14:paraId="7D69BF3F">
            <w:pPr>
              <w:widowControl/>
              <w:jc w:val="left"/>
              <w:textAlignment w:val="center"/>
              <w:rPr>
                <w:rFonts w:ascii="宋体" w:hAnsi="宋体" w:eastAsia="宋体" w:cs="宋体"/>
                <w:b w:val="0"/>
                <w:bCs w:val="0"/>
                <w:color w:val="auto"/>
                <w:highlight w:val="none"/>
              </w:rPr>
            </w:pPr>
            <w:r>
              <w:rPr>
                <w:rFonts w:hint="eastAsia" w:ascii="宋体" w:hAnsi="宋体" w:eastAsia="宋体" w:cs="宋体"/>
                <w:b w:val="0"/>
                <w:bCs w:val="0"/>
                <w:color w:val="auto"/>
                <w:kern w:val="0"/>
                <w:sz w:val="24"/>
                <w:highlight w:val="none"/>
                <w:lang w:bidi="ar"/>
              </w:rPr>
              <w:t>检测服务方案（</w:t>
            </w:r>
            <w:r>
              <w:rPr>
                <w:rFonts w:hint="eastAsia" w:ascii="宋体" w:hAnsi="宋体" w:cs="宋体"/>
                <w:b w:val="0"/>
                <w:bCs w:val="0"/>
                <w:color w:val="auto"/>
                <w:kern w:val="0"/>
                <w:sz w:val="24"/>
                <w:highlight w:val="none"/>
                <w:lang w:val="en-US" w:eastAsia="zh-CN" w:bidi="ar"/>
              </w:rPr>
              <w:t>40</w:t>
            </w:r>
            <w:r>
              <w:rPr>
                <w:rFonts w:hint="eastAsia" w:ascii="宋体" w:hAnsi="宋体" w:eastAsia="宋体" w:cs="宋体"/>
                <w:b w:val="0"/>
                <w:bCs w:val="0"/>
                <w:color w:val="auto"/>
                <w:kern w:val="0"/>
                <w:sz w:val="24"/>
                <w:highlight w:val="none"/>
                <w:lang w:bidi="ar"/>
              </w:rPr>
              <w:t>分）</w:t>
            </w:r>
          </w:p>
        </w:tc>
        <w:tc>
          <w:tcPr>
            <w:tcW w:w="6584" w:type="dxa"/>
            <w:noWrap w:val="0"/>
            <w:vAlign w:val="center"/>
          </w:tcPr>
          <w:p w14:paraId="7CBFCCD1">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eastAsia="zh-CN"/>
              </w:rPr>
              <w:t>.</w:t>
            </w:r>
            <w:r>
              <w:rPr>
                <w:rFonts w:ascii="宋体" w:hAnsi="宋体" w:eastAsia="宋体" w:cs="宋体"/>
                <w:b w:val="0"/>
                <w:bCs w:val="0"/>
                <w:color w:val="auto"/>
                <w:sz w:val="24"/>
                <w:szCs w:val="24"/>
                <w:highlight w:val="none"/>
              </w:rPr>
              <w:t>根据投标人针对本项目提供的检测服务人力资源保障方案进行综合评分，方案需涵盖以下内容：</w:t>
            </w:r>
          </w:p>
          <w:p w14:paraId="7B712983">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（1）人员招聘与选拔</w:t>
            </w:r>
          </w:p>
          <w:p w14:paraId="72640657">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（2）人员</w:t>
            </w:r>
            <w:r>
              <w:rPr>
                <w:rFonts w:hint="eastAsia" w:ascii="宋体" w:hAnsi="宋体" w:cs="宋体"/>
                <w:b w:val="0"/>
                <w:bCs w:val="0"/>
                <w:color w:val="auto"/>
                <w:sz w:val="24"/>
                <w:szCs w:val="24"/>
                <w:highlight w:val="none"/>
                <w:lang w:val="en-US" w:eastAsia="zh-CN"/>
              </w:rPr>
              <w:t>管理</w:t>
            </w:r>
            <w:r>
              <w:rPr>
                <w:rFonts w:ascii="宋体" w:hAnsi="宋体" w:eastAsia="宋体" w:cs="宋体"/>
                <w:b w:val="0"/>
                <w:bCs w:val="0"/>
                <w:color w:val="auto"/>
                <w:sz w:val="24"/>
                <w:szCs w:val="24"/>
                <w:highlight w:val="none"/>
              </w:rPr>
              <w:t>与考核</w:t>
            </w:r>
          </w:p>
          <w:p w14:paraId="0401EE01">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（3）人员储备与发展</w:t>
            </w:r>
          </w:p>
          <w:p w14:paraId="1BBBE6E1">
            <w:pPr>
              <w:widowControl/>
              <w:jc w:val="left"/>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（4）与2024年度检测服务</w:t>
            </w:r>
            <w:r>
              <w:rPr>
                <w:rFonts w:hint="eastAsia" w:ascii="宋体" w:hAnsi="宋体" w:eastAsia="宋体" w:cs="宋体"/>
                <w:b w:val="0"/>
                <w:bCs w:val="0"/>
                <w:color w:val="auto"/>
                <w:sz w:val="24"/>
                <w:szCs w:val="24"/>
                <w:highlight w:val="none"/>
                <w:lang w:val="en-US" w:eastAsia="zh-CN"/>
              </w:rPr>
              <w:t>机构的有效衔接</w:t>
            </w:r>
          </w:p>
          <w:p w14:paraId="1969F921">
            <w:pPr>
              <w:widowControl/>
              <w:jc w:val="left"/>
              <w:textAlignment w:val="center"/>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评委根据投标人</w:t>
            </w:r>
            <w:r>
              <w:rPr>
                <w:rFonts w:hint="eastAsia" w:ascii="宋体" w:hAnsi="宋体" w:eastAsia="宋体" w:cs="宋体"/>
                <w:b w:val="0"/>
                <w:bCs w:val="0"/>
                <w:color w:val="auto"/>
                <w:sz w:val="24"/>
                <w:szCs w:val="24"/>
                <w:highlight w:val="none"/>
                <w:lang w:val="en-US" w:eastAsia="zh-CN"/>
              </w:rPr>
              <w:t>方案</w:t>
            </w:r>
            <w:r>
              <w:rPr>
                <w:rFonts w:hint="eastAsia" w:ascii="宋体" w:hAnsi="宋体" w:eastAsia="宋体" w:cs="宋体"/>
                <w:b w:val="0"/>
                <w:bCs w:val="0"/>
                <w:color w:val="auto"/>
                <w:sz w:val="24"/>
                <w:szCs w:val="24"/>
                <w:highlight w:val="none"/>
              </w:rPr>
              <w:t>进行</w:t>
            </w:r>
            <w:r>
              <w:rPr>
                <w:rFonts w:hint="eastAsia" w:ascii="宋体" w:hAnsi="宋体" w:eastAsia="宋体" w:cs="宋体"/>
                <w:b w:val="0"/>
                <w:bCs w:val="0"/>
                <w:color w:val="auto"/>
                <w:sz w:val="24"/>
                <w:szCs w:val="24"/>
                <w:highlight w:val="none"/>
                <w:lang w:val="en-US" w:eastAsia="zh-CN"/>
              </w:rPr>
              <w:t>评审。优于项目需求得10分，满足项目需求得6分，不满足或不提供得0分。</w:t>
            </w:r>
            <w:r>
              <w:rPr>
                <w:rFonts w:hint="eastAsia" w:ascii="宋体" w:hAnsi="宋体" w:eastAsia="宋体" w:cs="宋体"/>
                <w:b w:val="0"/>
                <w:bCs w:val="0"/>
                <w:color w:val="auto"/>
                <w:sz w:val="24"/>
                <w:szCs w:val="24"/>
                <w:highlight w:val="none"/>
                <w:lang w:eastAsia="zh-CN"/>
              </w:rPr>
              <w:t xml:space="preserve"> </w:t>
            </w:r>
          </w:p>
        </w:tc>
      </w:tr>
      <w:tr w14:paraId="0F2E1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275" w:type="dxa"/>
            <w:vMerge w:val="continue"/>
            <w:noWrap w:val="0"/>
            <w:vAlign w:val="center"/>
          </w:tcPr>
          <w:p w14:paraId="4A3D3881">
            <w:pPr>
              <w:widowControl/>
              <w:jc w:val="left"/>
              <w:textAlignment w:val="center"/>
              <w:rPr>
                <w:rFonts w:hint="eastAsia" w:ascii="宋体" w:hAnsi="宋体" w:eastAsia="宋体" w:cs="宋体"/>
                <w:b w:val="0"/>
                <w:bCs w:val="0"/>
                <w:color w:val="auto"/>
                <w:kern w:val="0"/>
                <w:sz w:val="24"/>
                <w:highlight w:val="none"/>
                <w:lang w:bidi="ar"/>
              </w:rPr>
            </w:pPr>
          </w:p>
        </w:tc>
        <w:tc>
          <w:tcPr>
            <w:tcW w:w="6584" w:type="dxa"/>
            <w:noWrap w:val="0"/>
            <w:vAlign w:val="center"/>
          </w:tcPr>
          <w:p w14:paraId="507247CC">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2</w:t>
            </w:r>
            <w:r>
              <w:rPr>
                <w:rFonts w:hint="eastAsia" w:ascii="宋体" w:hAnsi="宋体" w:cs="宋体"/>
                <w:b w:val="0"/>
                <w:bCs w:val="0"/>
                <w:color w:val="auto"/>
                <w:sz w:val="24"/>
                <w:szCs w:val="24"/>
                <w:highlight w:val="none"/>
                <w:lang w:eastAsia="zh-CN"/>
              </w:rPr>
              <w:t>.</w:t>
            </w:r>
            <w:r>
              <w:rPr>
                <w:rFonts w:ascii="宋体" w:hAnsi="宋体" w:eastAsia="宋体" w:cs="宋体"/>
                <w:b w:val="0"/>
                <w:bCs w:val="0"/>
                <w:color w:val="auto"/>
                <w:sz w:val="24"/>
                <w:szCs w:val="24"/>
                <w:highlight w:val="none"/>
              </w:rPr>
              <w:t>根据投标人针对本项目提供的检测服务质量保障方案进行综合评分，方案需涵盖以下内容：</w:t>
            </w:r>
          </w:p>
          <w:p w14:paraId="42A49B89">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（1）快检服务工作流程</w:t>
            </w:r>
          </w:p>
          <w:p w14:paraId="3370F37D">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（2）检测结果准确性</w:t>
            </w:r>
          </w:p>
          <w:p w14:paraId="3F658D90">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（3）实施过程管控</w:t>
            </w:r>
          </w:p>
          <w:p w14:paraId="5EEB4195">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（4）检测服务应急保障</w:t>
            </w:r>
          </w:p>
          <w:p w14:paraId="2C83FCAE">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（5）不合格产品后处置</w:t>
            </w:r>
          </w:p>
          <w:p w14:paraId="73C610DF">
            <w:pPr>
              <w:widowControl/>
              <w:jc w:val="left"/>
              <w:textAlignment w:val="center"/>
              <w:rPr>
                <w:rFonts w:hint="eastAsia" w:ascii="宋体" w:hAnsi="宋体" w:eastAsia="宋体" w:cs="宋体"/>
                <w:b w:val="0"/>
                <w:bCs w:val="0"/>
                <w:color w:val="auto"/>
                <w:kern w:val="0"/>
                <w:sz w:val="24"/>
                <w:highlight w:val="none"/>
                <w:lang w:eastAsia="zh-CN" w:bidi="ar"/>
              </w:rPr>
            </w:pPr>
            <w:r>
              <w:rPr>
                <w:rFonts w:hint="eastAsia" w:ascii="宋体" w:hAnsi="宋体" w:eastAsia="宋体" w:cs="宋体"/>
                <w:b w:val="0"/>
                <w:bCs w:val="0"/>
                <w:color w:val="auto"/>
                <w:kern w:val="0"/>
                <w:sz w:val="24"/>
                <w:highlight w:val="none"/>
                <w:lang w:bidi="ar"/>
              </w:rPr>
              <w:t>根据投标人提供的采样、检测的具体流程</w:t>
            </w:r>
            <w:r>
              <w:rPr>
                <w:rFonts w:hint="eastAsia" w:ascii="宋体" w:hAnsi="宋体" w:cs="宋体"/>
                <w:b w:val="0"/>
                <w:bCs w:val="0"/>
                <w:color w:val="auto"/>
                <w:kern w:val="0"/>
                <w:sz w:val="24"/>
                <w:highlight w:val="none"/>
                <w:lang w:eastAsia="zh-CN" w:bidi="ar"/>
              </w:rPr>
              <w:t>、</w:t>
            </w:r>
            <w:r>
              <w:rPr>
                <w:rFonts w:hint="eastAsia" w:ascii="宋体" w:hAnsi="宋体" w:eastAsia="宋体" w:cs="宋体"/>
                <w:b w:val="0"/>
                <w:bCs w:val="0"/>
                <w:color w:val="auto"/>
                <w:kern w:val="0"/>
                <w:sz w:val="24"/>
                <w:highlight w:val="none"/>
                <w:lang w:bidi="ar"/>
              </w:rPr>
              <w:t>检测质量的把控</w:t>
            </w:r>
            <w:r>
              <w:rPr>
                <w:rFonts w:hint="eastAsia" w:ascii="宋体" w:hAnsi="宋体" w:cs="宋体"/>
                <w:b w:val="0"/>
                <w:bCs w:val="0"/>
                <w:color w:val="auto"/>
                <w:kern w:val="0"/>
                <w:sz w:val="24"/>
                <w:highlight w:val="none"/>
                <w:lang w:val="en-US" w:eastAsia="zh-CN" w:bidi="ar"/>
              </w:rPr>
              <w:t>和应急保障能力</w:t>
            </w:r>
            <w:r>
              <w:rPr>
                <w:rFonts w:hint="eastAsia" w:ascii="宋体" w:hAnsi="宋体" w:eastAsia="宋体" w:cs="宋体"/>
                <w:b w:val="0"/>
                <w:bCs w:val="0"/>
                <w:color w:val="auto"/>
                <w:kern w:val="0"/>
                <w:sz w:val="24"/>
                <w:highlight w:val="none"/>
                <w:lang w:bidi="ar"/>
              </w:rPr>
              <w:t>等方面表述与采购文件中服务要求对比进行评审</w:t>
            </w:r>
            <w:r>
              <w:rPr>
                <w:rFonts w:hint="eastAsia" w:ascii="宋体" w:hAnsi="宋体" w:cs="宋体"/>
                <w:b w:val="0"/>
                <w:bCs w:val="0"/>
                <w:color w:val="auto"/>
                <w:kern w:val="0"/>
                <w:sz w:val="24"/>
                <w:highlight w:val="none"/>
                <w:lang w:eastAsia="zh-CN" w:bidi="ar"/>
              </w:rPr>
              <w:t>。</w:t>
            </w:r>
          </w:p>
          <w:p w14:paraId="3668530A">
            <w:pPr>
              <w:widowControl/>
              <w:jc w:val="left"/>
              <w:textAlignment w:val="center"/>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评委根据投标人</w:t>
            </w:r>
            <w:r>
              <w:rPr>
                <w:rFonts w:hint="eastAsia" w:ascii="宋体" w:hAnsi="宋体" w:eastAsia="宋体" w:cs="宋体"/>
                <w:b w:val="0"/>
                <w:bCs w:val="0"/>
                <w:color w:val="auto"/>
                <w:sz w:val="24"/>
                <w:szCs w:val="24"/>
                <w:highlight w:val="none"/>
                <w:lang w:val="en-US" w:eastAsia="zh-CN"/>
              </w:rPr>
              <w:t>方案</w:t>
            </w:r>
            <w:r>
              <w:rPr>
                <w:rFonts w:hint="eastAsia" w:ascii="宋体" w:hAnsi="宋体" w:eastAsia="宋体" w:cs="宋体"/>
                <w:b w:val="0"/>
                <w:bCs w:val="0"/>
                <w:color w:val="auto"/>
                <w:sz w:val="24"/>
                <w:szCs w:val="24"/>
                <w:highlight w:val="none"/>
              </w:rPr>
              <w:t>进行</w:t>
            </w:r>
            <w:r>
              <w:rPr>
                <w:rFonts w:hint="eastAsia" w:ascii="宋体" w:hAnsi="宋体" w:eastAsia="宋体" w:cs="宋体"/>
                <w:b w:val="0"/>
                <w:bCs w:val="0"/>
                <w:color w:val="auto"/>
                <w:sz w:val="24"/>
                <w:szCs w:val="24"/>
                <w:highlight w:val="none"/>
                <w:lang w:val="en-US" w:eastAsia="zh-CN"/>
              </w:rPr>
              <w:t>评审。优于项目需求得10分，满足项目需求得6分，不满足或不提供得0分。</w:t>
            </w:r>
          </w:p>
        </w:tc>
      </w:tr>
      <w:tr w14:paraId="1D12E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275" w:type="dxa"/>
            <w:vMerge w:val="continue"/>
            <w:noWrap w:val="0"/>
            <w:vAlign w:val="center"/>
          </w:tcPr>
          <w:p w14:paraId="75FAC544">
            <w:pPr>
              <w:widowControl/>
              <w:jc w:val="left"/>
              <w:textAlignment w:val="center"/>
              <w:rPr>
                <w:rFonts w:hint="eastAsia" w:ascii="宋体" w:hAnsi="宋体" w:eastAsia="宋体" w:cs="宋体"/>
                <w:b w:val="0"/>
                <w:bCs w:val="0"/>
                <w:color w:val="auto"/>
                <w:kern w:val="0"/>
                <w:sz w:val="24"/>
                <w:highlight w:val="none"/>
                <w:lang w:bidi="ar"/>
              </w:rPr>
            </w:pPr>
          </w:p>
        </w:tc>
        <w:tc>
          <w:tcPr>
            <w:tcW w:w="6584" w:type="dxa"/>
            <w:noWrap w:val="0"/>
            <w:vAlign w:val="center"/>
          </w:tcPr>
          <w:p w14:paraId="50804A3F">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3</w:t>
            </w:r>
            <w:r>
              <w:rPr>
                <w:rFonts w:hint="eastAsia" w:ascii="宋体" w:hAnsi="宋体" w:cs="宋体"/>
                <w:b w:val="0"/>
                <w:bCs w:val="0"/>
                <w:color w:val="auto"/>
                <w:sz w:val="24"/>
                <w:szCs w:val="24"/>
                <w:highlight w:val="none"/>
                <w:lang w:eastAsia="zh-CN"/>
              </w:rPr>
              <w:t>.</w:t>
            </w:r>
            <w:r>
              <w:rPr>
                <w:rFonts w:ascii="宋体" w:hAnsi="宋体" w:eastAsia="宋体" w:cs="宋体"/>
                <w:b w:val="0"/>
                <w:bCs w:val="0"/>
                <w:color w:val="auto"/>
                <w:sz w:val="24"/>
                <w:szCs w:val="24"/>
                <w:highlight w:val="none"/>
              </w:rPr>
              <w:t>根据投标人针对本项目提供的检测人员培训方案进行综合评分，方案需涵盖以下内容：</w:t>
            </w:r>
          </w:p>
          <w:p w14:paraId="1006DA45">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（1）培训目标及计划</w:t>
            </w:r>
          </w:p>
          <w:p w14:paraId="3B548C1A">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（2）培训方式</w:t>
            </w:r>
          </w:p>
          <w:p w14:paraId="39F239FB">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（3）培训内容</w:t>
            </w:r>
          </w:p>
          <w:p w14:paraId="0964BBE4">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（4）培训评估</w:t>
            </w:r>
          </w:p>
          <w:p w14:paraId="6028FA51">
            <w:pPr>
              <w:widowControl/>
              <w:jc w:val="left"/>
              <w:textAlignment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5）培训不合格人员惩戒</w:t>
            </w:r>
          </w:p>
          <w:p w14:paraId="1062A758">
            <w:pPr>
              <w:widowControl/>
              <w:jc w:val="left"/>
              <w:textAlignment w:val="center"/>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评委根据投标人</w:t>
            </w:r>
            <w:r>
              <w:rPr>
                <w:rFonts w:hint="eastAsia" w:ascii="宋体" w:hAnsi="宋体" w:eastAsia="宋体" w:cs="宋体"/>
                <w:b w:val="0"/>
                <w:bCs w:val="0"/>
                <w:color w:val="auto"/>
                <w:sz w:val="24"/>
                <w:szCs w:val="24"/>
                <w:highlight w:val="none"/>
                <w:lang w:val="en-US" w:eastAsia="zh-CN"/>
              </w:rPr>
              <w:t>方案</w:t>
            </w:r>
            <w:r>
              <w:rPr>
                <w:rFonts w:hint="eastAsia" w:ascii="宋体" w:hAnsi="宋体" w:eastAsia="宋体" w:cs="宋体"/>
                <w:b w:val="0"/>
                <w:bCs w:val="0"/>
                <w:color w:val="auto"/>
                <w:sz w:val="24"/>
                <w:szCs w:val="24"/>
                <w:highlight w:val="none"/>
              </w:rPr>
              <w:t>进行</w:t>
            </w:r>
            <w:r>
              <w:rPr>
                <w:rFonts w:hint="eastAsia" w:ascii="宋体" w:hAnsi="宋体" w:eastAsia="宋体" w:cs="宋体"/>
                <w:b w:val="0"/>
                <w:bCs w:val="0"/>
                <w:color w:val="auto"/>
                <w:sz w:val="24"/>
                <w:szCs w:val="24"/>
                <w:highlight w:val="none"/>
                <w:lang w:val="en-US" w:eastAsia="zh-CN"/>
              </w:rPr>
              <w:t>评审。优于项目需求得10分，满足项目需求得6分，不满足或不提供得0分。</w:t>
            </w:r>
            <w:r>
              <w:rPr>
                <w:rFonts w:hint="eastAsia" w:ascii="宋体" w:hAnsi="宋体" w:eastAsia="宋体" w:cs="宋体"/>
                <w:b w:val="0"/>
                <w:bCs w:val="0"/>
                <w:color w:val="auto"/>
                <w:sz w:val="24"/>
                <w:szCs w:val="24"/>
                <w:highlight w:val="none"/>
                <w:lang w:eastAsia="zh-CN"/>
              </w:rPr>
              <w:t xml:space="preserve"> </w:t>
            </w:r>
          </w:p>
        </w:tc>
      </w:tr>
      <w:tr w14:paraId="19E64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275" w:type="dxa"/>
            <w:vMerge w:val="continue"/>
            <w:noWrap w:val="0"/>
            <w:vAlign w:val="center"/>
          </w:tcPr>
          <w:p w14:paraId="6CCBDCF6">
            <w:pPr>
              <w:widowControl/>
              <w:jc w:val="left"/>
              <w:textAlignment w:val="center"/>
              <w:rPr>
                <w:rFonts w:hint="eastAsia" w:ascii="宋体" w:hAnsi="宋体" w:eastAsia="宋体" w:cs="宋体"/>
                <w:b w:val="0"/>
                <w:bCs w:val="0"/>
                <w:color w:val="auto"/>
                <w:kern w:val="0"/>
                <w:sz w:val="24"/>
                <w:highlight w:val="none"/>
                <w:lang w:bidi="ar"/>
              </w:rPr>
            </w:pPr>
          </w:p>
        </w:tc>
        <w:tc>
          <w:tcPr>
            <w:tcW w:w="6584" w:type="dxa"/>
            <w:noWrap w:val="0"/>
            <w:vAlign w:val="center"/>
          </w:tcPr>
          <w:p w14:paraId="3C9A3F21">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4</w:t>
            </w:r>
            <w:r>
              <w:rPr>
                <w:rFonts w:hint="eastAsia" w:ascii="宋体" w:hAnsi="宋体" w:cs="宋体"/>
                <w:b w:val="0"/>
                <w:bCs w:val="0"/>
                <w:color w:val="auto"/>
                <w:sz w:val="24"/>
                <w:szCs w:val="24"/>
                <w:highlight w:val="none"/>
                <w:lang w:eastAsia="zh-CN"/>
              </w:rPr>
              <w:t>.</w:t>
            </w:r>
            <w:r>
              <w:rPr>
                <w:rFonts w:ascii="宋体" w:hAnsi="宋体" w:eastAsia="宋体" w:cs="宋体"/>
                <w:b w:val="0"/>
                <w:bCs w:val="0"/>
                <w:color w:val="auto"/>
                <w:sz w:val="24"/>
                <w:szCs w:val="24"/>
                <w:highlight w:val="none"/>
              </w:rPr>
              <w:t>根据投标人针对本项目提供在专项活动保障服务工作中的相关方案进行综合评分，方案</w:t>
            </w:r>
            <w:r>
              <w:rPr>
                <w:rFonts w:hint="eastAsia" w:ascii="宋体" w:hAnsi="宋体" w:cs="宋体"/>
                <w:b w:val="0"/>
                <w:bCs w:val="0"/>
                <w:color w:val="auto"/>
                <w:sz w:val="24"/>
                <w:szCs w:val="24"/>
                <w:highlight w:val="none"/>
                <w:lang w:val="en-US" w:eastAsia="zh-CN"/>
              </w:rPr>
              <w:t>包括但不限于</w:t>
            </w:r>
            <w:r>
              <w:rPr>
                <w:rFonts w:ascii="宋体" w:hAnsi="宋体" w:eastAsia="宋体" w:cs="宋体"/>
                <w:b w:val="0"/>
                <w:bCs w:val="0"/>
                <w:color w:val="auto"/>
                <w:sz w:val="24"/>
                <w:szCs w:val="24"/>
                <w:highlight w:val="none"/>
              </w:rPr>
              <w:t>以下内容：</w:t>
            </w:r>
          </w:p>
          <w:p w14:paraId="200CA637">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（1）食品安全宣传周活动</w:t>
            </w:r>
          </w:p>
          <w:p w14:paraId="2C408585">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（2）你点我检</w:t>
            </w:r>
          </w:p>
          <w:p w14:paraId="65B498AB">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（3）增值服务</w:t>
            </w:r>
          </w:p>
          <w:p w14:paraId="355DCA13">
            <w:pPr>
              <w:widowControl/>
              <w:jc w:val="left"/>
              <w:textAlignment w:val="center"/>
              <w:rPr>
                <w:rFonts w:ascii="宋体" w:hAnsi="宋体" w:eastAsia="宋体" w:cs="宋体"/>
                <w:b w:val="0"/>
                <w:bCs w:val="0"/>
                <w:color w:val="auto"/>
                <w:sz w:val="24"/>
                <w:szCs w:val="24"/>
                <w:highlight w:val="none"/>
              </w:rPr>
            </w:pPr>
            <w:r>
              <w:rPr>
                <w:rFonts w:hint="eastAsia" w:ascii="宋体" w:hAnsi="宋体" w:cs="宋体"/>
                <w:b w:val="0"/>
                <w:bCs w:val="0"/>
                <w:color w:val="auto"/>
                <w:kern w:val="0"/>
                <w:sz w:val="24"/>
                <w:highlight w:val="none"/>
                <w:lang w:eastAsia="zh-CN" w:bidi="ar"/>
              </w:rPr>
              <w:t>（</w:t>
            </w:r>
            <w:r>
              <w:rPr>
                <w:rFonts w:hint="eastAsia" w:ascii="宋体" w:hAnsi="宋体" w:cs="宋体"/>
                <w:b w:val="0"/>
                <w:bCs w:val="0"/>
                <w:color w:val="auto"/>
                <w:kern w:val="0"/>
                <w:sz w:val="24"/>
                <w:highlight w:val="none"/>
                <w:lang w:val="en-US" w:eastAsia="zh-CN" w:bidi="ar"/>
              </w:rPr>
              <w:t>4）</w:t>
            </w:r>
            <w:r>
              <w:rPr>
                <w:rFonts w:hint="eastAsia" w:ascii="宋体" w:hAnsi="宋体" w:eastAsia="宋体" w:cs="宋体"/>
                <w:b w:val="0"/>
                <w:bCs w:val="0"/>
                <w:color w:val="auto"/>
                <w:kern w:val="0"/>
                <w:sz w:val="24"/>
                <w:highlight w:val="none"/>
                <w:lang w:bidi="ar"/>
              </w:rPr>
              <w:t>食品安全溯源</w:t>
            </w:r>
          </w:p>
          <w:p w14:paraId="74CEACB5">
            <w:pPr>
              <w:widowControl/>
              <w:jc w:val="left"/>
              <w:textAlignment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5</w:t>
            </w:r>
            <w:r>
              <w:rPr>
                <w:rFonts w:ascii="宋体" w:hAnsi="宋体" w:eastAsia="宋体" w:cs="宋体"/>
                <w:b w:val="0"/>
                <w:bCs w:val="0"/>
                <w:color w:val="auto"/>
                <w:sz w:val="24"/>
                <w:szCs w:val="24"/>
                <w:highlight w:val="none"/>
              </w:rPr>
              <w:t>）应急</w:t>
            </w:r>
            <w:r>
              <w:rPr>
                <w:rFonts w:hint="eastAsia" w:ascii="宋体" w:hAnsi="宋体" w:cs="宋体"/>
                <w:b w:val="0"/>
                <w:bCs w:val="0"/>
                <w:color w:val="auto"/>
                <w:sz w:val="24"/>
                <w:szCs w:val="24"/>
                <w:highlight w:val="none"/>
                <w:lang w:val="en-US" w:eastAsia="zh-CN"/>
              </w:rPr>
              <w:t>处置</w:t>
            </w:r>
            <w:r>
              <w:rPr>
                <w:rFonts w:ascii="宋体" w:hAnsi="宋体" w:eastAsia="宋体" w:cs="宋体"/>
                <w:b w:val="0"/>
                <w:bCs w:val="0"/>
                <w:color w:val="auto"/>
                <w:sz w:val="24"/>
                <w:szCs w:val="24"/>
                <w:highlight w:val="none"/>
              </w:rPr>
              <w:t>方案</w:t>
            </w:r>
            <w:r>
              <w:rPr>
                <w:rFonts w:hint="eastAsia" w:ascii="宋体" w:hAnsi="宋体" w:eastAsia="宋体" w:cs="宋体"/>
                <w:b w:val="0"/>
                <w:bCs w:val="0"/>
                <w:color w:val="auto"/>
                <w:kern w:val="0"/>
                <w:sz w:val="24"/>
                <w:highlight w:val="none"/>
                <w:lang w:bidi="ar"/>
              </w:rPr>
              <w:t>（包括但不限于快检结果阳性处置、大型活动保障等）</w:t>
            </w:r>
          </w:p>
          <w:p w14:paraId="18E633EB">
            <w:pPr>
              <w:widowControl/>
              <w:jc w:val="left"/>
              <w:textAlignment w:val="center"/>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评委根据投标人</w:t>
            </w:r>
            <w:r>
              <w:rPr>
                <w:rFonts w:hint="eastAsia" w:ascii="宋体" w:hAnsi="宋体" w:eastAsia="宋体" w:cs="宋体"/>
                <w:b w:val="0"/>
                <w:bCs w:val="0"/>
                <w:color w:val="auto"/>
                <w:sz w:val="24"/>
                <w:szCs w:val="24"/>
                <w:highlight w:val="none"/>
                <w:lang w:val="en-US" w:eastAsia="zh-CN"/>
              </w:rPr>
              <w:t>方案</w:t>
            </w:r>
            <w:r>
              <w:rPr>
                <w:rFonts w:hint="eastAsia" w:ascii="宋体" w:hAnsi="宋体" w:eastAsia="宋体" w:cs="宋体"/>
                <w:b w:val="0"/>
                <w:bCs w:val="0"/>
                <w:color w:val="auto"/>
                <w:sz w:val="24"/>
                <w:szCs w:val="24"/>
                <w:highlight w:val="none"/>
              </w:rPr>
              <w:t>进行</w:t>
            </w:r>
            <w:r>
              <w:rPr>
                <w:rFonts w:hint="eastAsia" w:ascii="宋体" w:hAnsi="宋体" w:eastAsia="宋体" w:cs="宋体"/>
                <w:b w:val="0"/>
                <w:bCs w:val="0"/>
                <w:color w:val="auto"/>
                <w:sz w:val="24"/>
                <w:szCs w:val="24"/>
                <w:highlight w:val="none"/>
                <w:lang w:val="en-US" w:eastAsia="zh-CN"/>
              </w:rPr>
              <w:t>评审。优于项目需求得10分，满足项目需求得6分，不满足或不提供得0分。</w:t>
            </w:r>
            <w:r>
              <w:rPr>
                <w:rFonts w:hint="eastAsia" w:ascii="宋体" w:hAnsi="宋体" w:eastAsia="宋体" w:cs="宋体"/>
                <w:b w:val="0"/>
                <w:bCs w:val="0"/>
                <w:color w:val="auto"/>
                <w:sz w:val="24"/>
                <w:szCs w:val="24"/>
                <w:highlight w:val="none"/>
                <w:lang w:eastAsia="zh-CN"/>
              </w:rPr>
              <w:t xml:space="preserve"> </w:t>
            </w:r>
          </w:p>
        </w:tc>
      </w:tr>
      <w:tr w14:paraId="3B5C6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1275" w:type="dxa"/>
            <w:noWrap w:val="0"/>
            <w:vAlign w:val="center"/>
          </w:tcPr>
          <w:p w14:paraId="44191E7F">
            <w:pPr>
              <w:pStyle w:val="29"/>
              <w:spacing w:before="0" w:after="0" w:line="520" w:lineRule="exact"/>
              <w:ind w:firstLine="0" w:firstLineChars="0"/>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highlight w:val="none"/>
                <w:lang w:val="en-US" w:eastAsia="zh-CN"/>
              </w:rPr>
              <w:t>投标人业绩</w:t>
            </w:r>
            <w:r>
              <w:rPr>
                <w:rFonts w:ascii="宋体" w:hAnsi="宋体" w:eastAsia="宋体" w:cs="宋体"/>
                <w:color w:val="auto"/>
                <w:highlight w:val="none"/>
              </w:rPr>
              <w:t>（</w:t>
            </w:r>
            <w:r>
              <w:rPr>
                <w:rFonts w:hint="eastAsia" w:ascii="宋体" w:hAnsi="宋体" w:cs="宋体"/>
                <w:color w:val="auto"/>
                <w:highlight w:val="none"/>
                <w:lang w:val="en-US" w:eastAsia="zh-CN"/>
              </w:rPr>
              <w:t>5</w:t>
            </w:r>
            <w:r>
              <w:rPr>
                <w:rFonts w:ascii="宋体" w:hAnsi="宋体" w:eastAsia="宋体" w:cs="宋体"/>
                <w:color w:val="auto"/>
                <w:highlight w:val="none"/>
              </w:rPr>
              <w:t>分）</w:t>
            </w:r>
          </w:p>
        </w:tc>
        <w:tc>
          <w:tcPr>
            <w:tcW w:w="6584" w:type="dxa"/>
            <w:noWrap w:val="0"/>
            <w:vAlign w:val="center"/>
          </w:tcPr>
          <w:p w14:paraId="658E3A23">
            <w:pPr>
              <w:widowControl/>
              <w:jc w:val="left"/>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自2022年1月1日以来（以合同签订时间为准），</w:t>
            </w:r>
            <w:r>
              <w:rPr>
                <w:rFonts w:hint="eastAsia" w:ascii="宋体" w:hAnsi="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val="en-US" w:eastAsia="zh-CN"/>
              </w:rPr>
              <w:t>提供具有与本项目类似业绩，每提供一个业绩得</w:t>
            </w:r>
            <w:r>
              <w:rPr>
                <w:rFonts w:hint="eastAsia" w:ascii="宋体" w:hAnsi="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lang w:val="en-US" w:eastAsia="zh-CN"/>
              </w:rPr>
              <w:t>分，最多得</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分。</w:t>
            </w:r>
          </w:p>
          <w:p w14:paraId="448EACF2">
            <w:pPr>
              <w:widowControl/>
              <w:jc w:val="left"/>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color w:val="auto"/>
                <w:sz w:val="24"/>
                <w:szCs w:val="24"/>
                <w:highlight w:val="none"/>
              </w:rPr>
              <w:t>注：需提供中标通知书及合同彩色扫描件并加盖投标人公章。</w:t>
            </w:r>
          </w:p>
        </w:tc>
      </w:tr>
    </w:tbl>
    <w:p w14:paraId="5E37E49B">
      <w:pPr>
        <w:pStyle w:val="7"/>
        <w:rPr>
          <w:rFonts w:hint="eastAsia"/>
          <w:color w:val="auto"/>
          <w:highlight w:val="none"/>
        </w:rPr>
      </w:pPr>
    </w:p>
    <w:p w14:paraId="53288F04">
      <w:pPr>
        <w:pStyle w:val="22"/>
        <w:rPr>
          <w:color w:val="auto"/>
          <w:highlight w:val="none"/>
        </w:rPr>
      </w:pPr>
    </w:p>
    <w:p w14:paraId="0D59289B">
      <w:pPr>
        <w:widowControl/>
        <w:jc w:val="center"/>
        <w:rPr>
          <w:rFonts w:hint="eastAsia" w:ascii="宋体" w:hAnsi="宋体" w:cs="宋体"/>
          <w:bCs/>
          <w:color w:val="auto"/>
          <w:sz w:val="36"/>
          <w:szCs w:val="36"/>
          <w:highlight w:val="none"/>
        </w:rPr>
      </w:pPr>
    </w:p>
    <w:p w14:paraId="147E252D">
      <w:pPr>
        <w:widowControl/>
        <w:jc w:val="center"/>
        <w:rPr>
          <w:rFonts w:hint="eastAsia" w:ascii="宋体" w:hAnsi="宋体" w:cs="宋体"/>
          <w:bCs/>
          <w:color w:val="auto"/>
          <w:sz w:val="36"/>
          <w:szCs w:val="36"/>
          <w:highlight w:val="none"/>
        </w:rPr>
      </w:pPr>
    </w:p>
    <w:bookmarkEnd w:id="162"/>
    <w:bookmarkEnd w:id="163"/>
    <w:bookmarkEnd w:id="164"/>
    <w:bookmarkEnd w:id="165"/>
    <w:bookmarkEnd w:id="172"/>
    <w:p w14:paraId="55E668D1">
      <w:pPr>
        <w:rPr>
          <w:rFonts w:hint="eastAsia" w:ascii="黑体" w:eastAsia="黑体" w:cs="黑体"/>
          <w:color w:val="auto"/>
          <w:sz w:val="44"/>
          <w:szCs w:val="44"/>
          <w:highlight w:val="none"/>
        </w:rPr>
      </w:pPr>
      <w:r>
        <w:rPr>
          <w:rFonts w:hint="eastAsia" w:ascii="黑体" w:eastAsia="黑体" w:cs="黑体"/>
          <w:color w:val="auto"/>
          <w:sz w:val="44"/>
          <w:szCs w:val="44"/>
          <w:highlight w:val="none"/>
        </w:rPr>
        <w:br w:type="page"/>
      </w:r>
    </w:p>
    <w:p w14:paraId="712A9D84">
      <w:pPr>
        <w:ind w:firstLine="0"/>
        <w:jc w:val="center"/>
        <w:rPr>
          <w:rFonts w:ascii="Calibri" w:hAnsi="Calibri" w:cs="Times New Roman"/>
          <w:color w:val="auto"/>
          <w:sz w:val="24"/>
          <w:szCs w:val="24"/>
          <w:highlight w:val="none"/>
        </w:rPr>
      </w:pPr>
      <w:r>
        <w:rPr>
          <w:rFonts w:hint="eastAsia" w:ascii="黑体" w:eastAsia="黑体" w:cs="黑体"/>
          <w:color w:val="auto"/>
          <w:sz w:val="44"/>
          <w:szCs w:val="44"/>
          <w:highlight w:val="none"/>
        </w:rPr>
        <w:t>第六章  投标文件格式</w:t>
      </w:r>
    </w:p>
    <w:p w14:paraId="6513CC12">
      <w:pPr>
        <w:spacing w:line="240" w:lineRule="auto"/>
        <w:ind w:firstLine="0"/>
        <w:jc w:val="center"/>
        <w:rPr>
          <w:b/>
          <w:color w:val="auto"/>
          <w:sz w:val="72"/>
          <w:szCs w:val="72"/>
          <w:highlight w:val="none"/>
        </w:rPr>
      </w:pPr>
      <w:bookmarkStart w:id="176" w:name="_Hlt26955039"/>
      <w:bookmarkEnd w:id="176"/>
      <w:bookmarkStart w:id="177" w:name="_Toc26554094"/>
      <w:bookmarkEnd w:id="177"/>
      <w:bookmarkStart w:id="178" w:name="_Hlt26671244"/>
      <w:bookmarkEnd w:id="178"/>
    </w:p>
    <w:p w14:paraId="764D3683">
      <w:pPr>
        <w:spacing w:line="240" w:lineRule="auto"/>
        <w:ind w:firstLine="0"/>
        <w:jc w:val="center"/>
        <w:rPr>
          <w:b/>
          <w:color w:val="auto"/>
          <w:sz w:val="72"/>
          <w:szCs w:val="72"/>
          <w:highlight w:val="none"/>
        </w:rPr>
      </w:pPr>
    </w:p>
    <w:p w14:paraId="206FF4B8">
      <w:pPr>
        <w:spacing w:line="240" w:lineRule="auto"/>
        <w:ind w:firstLine="0"/>
        <w:jc w:val="center"/>
        <w:rPr>
          <w:b/>
          <w:color w:val="auto"/>
          <w:sz w:val="72"/>
          <w:szCs w:val="72"/>
          <w:highlight w:val="none"/>
        </w:rPr>
      </w:pPr>
    </w:p>
    <w:p w14:paraId="1AE5516E">
      <w:pPr>
        <w:spacing w:line="240" w:lineRule="auto"/>
        <w:ind w:firstLine="0"/>
        <w:jc w:val="center"/>
        <w:rPr>
          <w:rFonts w:ascii="Calibri" w:hAnsi="Calibri" w:cs="Times New Roman"/>
          <w:color w:val="auto"/>
          <w:sz w:val="24"/>
          <w:szCs w:val="24"/>
          <w:highlight w:val="none"/>
        </w:rPr>
      </w:pPr>
      <w:r>
        <w:rPr>
          <w:rFonts w:hint="eastAsia"/>
          <w:b/>
          <w:color w:val="auto"/>
          <w:sz w:val="72"/>
          <w:szCs w:val="72"/>
          <w:highlight w:val="none"/>
        </w:rPr>
        <w:t>投 标 文 件</w:t>
      </w:r>
    </w:p>
    <w:p w14:paraId="27036A82">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11F0535E">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4274B673">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4CDF0DFB">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7C55D086">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172A0274">
      <w:pPr>
        <w:spacing w:line="240" w:lineRule="auto"/>
        <w:ind w:firstLine="0"/>
        <w:jc w:val="both"/>
        <w:rPr>
          <w:b/>
          <w:color w:val="auto"/>
          <w:sz w:val="36"/>
          <w:szCs w:val="36"/>
          <w:highlight w:val="none"/>
        </w:rPr>
      </w:pPr>
    </w:p>
    <w:p w14:paraId="28976DD3">
      <w:pPr>
        <w:spacing w:line="240" w:lineRule="auto"/>
        <w:ind w:firstLine="0"/>
        <w:jc w:val="both"/>
        <w:rPr>
          <w:b/>
          <w:color w:val="auto"/>
          <w:sz w:val="36"/>
          <w:szCs w:val="36"/>
          <w:highlight w:val="none"/>
        </w:rPr>
      </w:pPr>
    </w:p>
    <w:p w14:paraId="668FA921">
      <w:pPr>
        <w:ind w:firstLine="723"/>
        <w:jc w:val="center"/>
        <w:rPr>
          <w:rFonts w:ascii="Calibri" w:hAnsi="Calibri" w:cs="Times New Roman"/>
          <w:color w:val="auto"/>
          <w:sz w:val="24"/>
          <w:szCs w:val="24"/>
          <w:highlight w:val="none"/>
        </w:rPr>
      </w:pPr>
      <w:r>
        <w:rPr>
          <w:rFonts w:hint="eastAsia"/>
          <w:b/>
          <w:color w:val="auto"/>
          <w:sz w:val="36"/>
          <w:szCs w:val="36"/>
          <w:highlight w:val="none"/>
        </w:rPr>
        <w:t>项目 名 称：</w:t>
      </w:r>
      <w:r>
        <w:rPr>
          <w:rFonts w:hint="eastAsia"/>
          <w:b/>
          <w:color w:val="auto"/>
          <w:sz w:val="36"/>
          <w:szCs w:val="36"/>
          <w:highlight w:val="none"/>
          <w:u w:val="single"/>
        </w:rPr>
        <w:t>                   </w:t>
      </w:r>
    </w:p>
    <w:p w14:paraId="473D0E2C">
      <w:pPr>
        <w:ind w:firstLine="723"/>
        <w:jc w:val="center"/>
        <w:rPr>
          <w:rFonts w:ascii="Calibri" w:hAnsi="Calibri" w:cs="Times New Roman"/>
          <w:color w:val="auto"/>
          <w:sz w:val="24"/>
          <w:szCs w:val="24"/>
          <w:highlight w:val="none"/>
        </w:rPr>
      </w:pPr>
      <w:r>
        <w:rPr>
          <w:rFonts w:hint="eastAsia"/>
          <w:b/>
          <w:color w:val="auto"/>
          <w:sz w:val="36"/>
          <w:szCs w:val="36"/>
          <w:highlight w:val="none"/>
        </w:rPr>
        <w:t>项目 编 号：</w:t>
      </w:r>
      <w:r>
        <w:rPr>
          <w:rFonts w:hint="eastAsia"/>
          <w:b/>
          <w:color w:val="auto"/>
          <w:sz w:val="36"/>
          <w:szCs w:val="36"/>
          <w:highlight w:val="none"/>
          <w:u w:val="single"/>
        </w:rPr>
        <w:t>                   </w:t>
      </w:r>
    </w:p>
    <w:p w14:paraId="73D0B561">
      <w:pPr>
        <w:ind w:firstLine="723"/>
        <w:jc w:val="both"/>
        <w:rPr>
          <w:rFonts w:ascii="Calibri" w:hAnsi="Calibri" w:cs="Times New Roman"/>
          <w:color w:val="auto"/>
          <w:sz w:val="24"/>
          <w:szCs w:val="24"/>
          <w:highlight w:val="none"/>
        </w:rPr>
      </w:pPr>
      <w:r>
        <w:rPr>
          <w:rFonts w:hint="eastAsia"/>
          <w:b/>
          <w:color w:val="auto"/>
          <w:sz w:val="36"/>
          <w:szCs w:val="36"/>
          <w:highlight w:val="none"/>
        </w:rPr>
        <w:t xml:space="preserve"> </w:t>
      </w:r>
      <w:r>
        <w:rPr>
          <w:rFonts w:hint="eastAsia"/>
          <w:b/>
          <w:color w:val="auto"/>
          <w:sz w:val="36"/>
          <w:szCs w:val="36"/>
          <w:highlight w:val="none"/>
          <w:lang w:val="en-US" w:eastAsia="zh-CN"/>
        </w:rPr>
        <w:t xml:space="preserve">         </w:t>
      </w:r>
      <w:r>
        <w:rPr>
          <w:rFonts w:hint="eastAsia"/>
          <w:b/>
          <w:color w:val="auto"/>
          <w:sz w:val="36"/>
          <w:szCs w:val="36"/>
          <w:highlight w:val="none"/>
        </w:rPr>
        <w:t>投标人名称：</w:t>
      </w:r>
      <w:r>
        <w:rPr>
          <w:rFonts w:hint="eastAsia"/>
          <w:b/>
          <w:color w:val="auto"/>
          <w:sz w:val="36"/>
          <w:szCs w:val="36"/>
          <w:highlight w:val="none"/>
          <w:u w:val="single"/>
        </w:rPr>
        <w:t xml:space="preserve">（加盖CA电子公章） </w:t>
      </w:r>
    </w:p>
    <w:p w14:paraId="0F2ADEC5">
      <w:pPr>
        <w:ind w:firstLine="723"/>
        <w:rPr>
          <w:rFonts w:ascii="Calibri" w:hAnsi="Calibri" w:cs="Times New Roman"/>
          <w:color w:val="auto"/>
          <w:sz w:val="24"/>
          <w:szCs w:val="24"/>
          <w:highlight w:val="none"/>
        </w:rPr>
      </w:pPr>
      <w:r>
        <w:rPr>
          <w:rFonts w:hint="eastAsia"/>
          <w:b/>
          <w:color w:val="auto"/>
          <w:sz w:val="36"/>
          <w:szCs w:val="36"/>
          <w:highlight w:val="none"/>
        </w:rPr>
        <w:t xml:space="preserve"> </w:t>
      </w:r>
      <w:r>
        <w:rPr>
          <w:rFonts w:hint="eastAsia"/>
          <w:b/>
          <w:color w:val="auto"/>
          <w:sz w:val="36"/>
          <w:szCs w:val="36"/>
          <w:highlight w:val="none"/>
          <w:lang w:val="en-US" w:eastAsia="zh-CN"/>
        </w:rPr>
        <w:t xml:space="preserve">         </w:t>
      </w:r>
      <w:r>
        <w:rPr>
          <w:rFonts w:hint="eastAsia"/>
          <w:b/>
          <w:color w:val="auto"/>
          <w:sz w:val="36"/>
          <w:szCs w:val="36"/>
          <w:highlight w:val="none"/>
        </w:rPr>
        <w:t>日      期：</w:t>
      </w:r>
      <w:r>
        <w:rPr>
          <w:rFonts w:hint="eastAsia"/>
          <w:b/>
          <w:color w:val="auto"/>
          <w:sz w:val="36"/>
          <w:szCs w:val="36"/>
          <w:highlight w:val="none"/>
          <w:u w:val="single"/>
        </w:rPr>
        <w:t xml:space="preserve">                   </w:t>
      </w:r>
    </w:p>
    <w:p w14:paraId="229E23E9">
      <w:pPr>
        <w:pStyle w:val="29"/>
        <w:rPr>
          <w:color w:val="auto"/>
          <w:highlight w:val="none"/>
        </w:rPr>
      </w:pPr>
    </w:p>
    <w:p w14:paraId="2603B622">
      <w:pPr>
        <w:pStyle w:val="29"/>
        <w:rPr>
          <w:color w:val="auto"/>
          <w:highlight w:val="none"/>
        </w:rPr>
      </w:pPr>
    </w:p>
    <w:p w14:paraId="76462A09">
      <w:pPr>
        <w:pStyle w:val="37"/>
        <w:ind w:firstLine="480"/>
        <w:rPr>
          <w:color w:val="auto"/>
          <w:highlight w:val="none"/>
        </w:rPr>
      </w:pPr>
    </w:p>
    <w:p w14:paraId="36764102">
      <w:pPr>
        <w:pStyle w:val="37"/>
        <w:ind w:firstLine="480"/>
        <w:rPr>
          <w:color w:val="auto"/>
          <w:highlight w:val="none"/>
        </w:rPr>
      </w:pPr>
    </w:p>
    <w:p w14:paraId="691647F7">
      <w:pPr>
        <w:rPr>
          <w:b/>
          <w:bCs/>
          <w:color w:val="auto"/>
          <w:sz w:val="28"/>
          <w:szCs w:val="22"/>
          <w:highlight w:val="none"/>
        </w:rPr>
      </w:pPr>
      <w:r>
        <w:rPr>
          <w:rFonts w:hint="eastAsia"/>
          <w:b/>
          <w:bCs/>
          <w:color w:val="auto"/>
          <w:sz w:val="28"/>
          <w:szCs w:val="22"/>
          <w:highlight w:val="none"/>
        </w:rPr>
        <w:br w:type="page" w:clear="all"/>
      </w:r>
    </w:p>
    <w:p w14:paraId="7A17F215">
      <w:pPr>
        <w:spacing w:line="520" w:lineRule="exact"/>
        <w:ind w:firstLine="560"/>
        <w:jc w:val="center"/>
        <w:rPr>
          <w:b/>
          <w:bCs/>
          <w:color w:val="auto"/>
          <w:sz w:val="28"/>
          <w:szCs w:val="22"/>
          <w:highlight w:val="none"/>
        </w:rPr>
      </w:pPr>
      <w:r>
        <w:rPr>
          <w:rFonts w:hint="eastAsia"/>
          <w:b/>
          <w:bCs/>
          <w:color w:val="auto"/>
          <w:sz w:val="28"/>
          <w:szCs w:val="22"/>
          <w:highlight w:val="none"/>
        </w:rPr>
        <w:t>投标文件目录</w:t>
      </w:r>
    </w:p>
    <w:p w14:paraId="659FFC34">
      <w:pPr>
        <w:spacing w:line="520" w:lineRule="exact"/>
        <w:ind w:firstLine="480"/>
        <w:rPr>
          <w:i/>
          <w:iCs/>
          <w:color w:val="auto"/>
          <w:sz w:val="24"/>
          <w:highlight w:val="none"/>
          <w:u w:val="single"/>
        </w:rPr>
      </w:pPr>
      <w:r>
        <w:rPr>
          <w:rFonts w:hint="eastAsia"/>
          <w:i/>
          <w:iCs/>
          <w:color w:val="auto"/>
          <w:sz w:val="24"/>
          <w:highlight w:val="none"/>
          <w:u w:val="single"/>
        </w:rPr>
        <w:t>一、法人或者其他组织的营业执照等证明文件，自然人的身份证明</w:t>
      </w:r>
    </w:p>
    <w:p w14:paraId="66F829C2">
      <w:pPr>
        <w:spacing w:line="520" w:lineRule="exact"/>
        <w:ind w:firstLine="480"/>
        <w:rPr>
          <w:i/>
          <w:iCs/>
          <w:color w:val="auto"/>
          <w:sz w:val="24"/>
          <w:highlight w:val="none"/>
          <w:u w:val="single"/>
        </w:rPr>
      </w:pPr>
      <w:r>
        <w:rPr>
          <w:rFonts w:hint="eastAsia"/>
          <w:i/>
          <w:iCs/>
          <w:color w:val="auto"/>
          <w:sz w:val="24"/>
          <w:highlight w:val="none"/>
          <w:u w:val="single"/>
        </w:rPr>
        <w:t>二、上一年度的财务状况报表（</w:t>
      </w:r>
      <w:r>
        <w:rPr>
          <w:rFonts w:hint="eastAsia"/>
          <w:b/>
          <w:bCs/>
          <w:i/>
          <w:iCs/>
          <w:color w:val="auto"/>
          <w:sz w:val="24"/>
          <w:highlight w:val="none"/>
          <w:u w:val="single"/>
        </w:rPr>
        <w:t>至少提供资产负债表、利润表、现金流量表，投标人成立不满一年无需提供</w:t>
      </w:r>
      <w:r>
        <w:rPr>
          <w:rFonts w:hint="eastAsia"/>
          <w:i/>
          <w:iCs/>
          <w:color w:val="auto"/>
          <w:sz w:val="24"/>
          <w:highlight w:val="none"/>
          <w:u w:val="single"/>
        </w:rPr>
        <w:t>）</w:t>
      </w:r>
    </w:p>
    <w:p w14:paraId="779B57CE">
      <w:pPr>
        <w:spacing w:line="520" w:lineRule="exact"/>
        <w:ind w:firstLine="480"/>
        <w:rPr>
          <w:i/>
          <w:iCs/>
          <w:color w:val="auto"/>
          <w:sz w:val="24"/>
          <w:highlight w:val="none"/>
          <w:u w:val="single"/>
        </w:rPr>
      </w:pPr>
      <w:r>
        <w:rPr>
          <w:rFonts w:hint="eastAsia"/>
          <w:i/>
          <w:iCs/>
          <w:color w:val="auto"/>
          <w:sz w:val="24"/>
          <w:highlight w:val="none"/>
          <w:u w:val="single"/>
        </w:rPr>
        <w:t>三、具备履行合同所必需的设备和专业技术能力的书面声明</w:t>
      </w:r>
    </w:p>
    <w:p w14:paraId="5166675F">
      <w:pPr>
        <w:spacing w:line="520" w:lineRule="exact"/>
        <w:ind w:firstLine="480"/>
        <w:rPr>
          <w:i/>
          <w:iCs/>
          <w:color w:val="auto"/>
          <w:sz w:val="24"/>
          <w:highlight w:val="none"/>
          <w:u w:val="single"/>
        </w:rPr>
      </w:pPr>
      <w:r>
        <w:rPr>
          <w:rFonts w:hint="eastAsia"/>
          <w:i/>
          <w:iCs/>
          <w:color w:val="auto"/>
          <w:sz w:val="24"/>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D4DA416">
      <w:pPr>
        <w:spacing w:line="520" w:lineRule="exact"/>
        <w:ind w:firstLine="480"/>
        <w:rPr>
          <w:i/>
          <w:iCs/>
          <w:color w:val="auto"/>
          <w:sz w:val="24"/>
          <w:highlight w:val="none"/>
          <w:u w:val="single"/>
        </w:rPr>
      </w:pPr>
      <w:r>
        <w:rPr>
          <w:rFonts w:hint="eastAsia"/>
          <w:i/>
          <w:iCs/>
          <w:color w:val="auto"/>
          <w:sz w:val="24"/>
          <w:highlight w:val="none"/>
          <w:u w:val="single"/>
        </w:rPr>
        <w:t>五、参加政府采购活动前 3 年内在经营活动中没有重大违法记录的书面声明</w:t>
      </w:r>
    </w:p>
    <w:p w14:paraId="73D424E8">
      <w:pPr>
        <w:spacing w:line="520" w:lineRule="exact"/>
        <w:ind w:firstLine="480"/>
        <w:rPr>
          <w:i/>
          <w:iCs/>
          <w:color w:val="auto"/>
          <w:sz w:val="24"/>
          <w:highlight w:val="none"/>
          <w:u w:val="single"/>
        </w:rPr>
      </w:pPr>
      <w:r>
        <w:rPr>
          <w:rFonts w:hint="eastAsia"/>
          <w:i/>
          <w:iCs/>
          <w:color w:val="auto"/>
          <w:sz w:val="24"/>
          <w:highlight w:val="none"/>
          <w:u w:val="single"/>
        </w:rPr>
        <w:t>六、特定资格要求的证明文件（如果本项目设置特定资格要求，则需要提供）</w:t>
      </w:r>
    </w:p>
    <w:p w14:paraId="0C00C885">
      <w:pPr>
        <w:spacing w:line="520" w:lineRule="exact"/>
        <w:ind w:firstLine="480"/>
        <w:rPr>
          <w:i/>
          <w:iCs/>
          <w:color w:val="auto"/>
          <w:sz w:val="24"/>
          <w:highlight w:val="none"/>
          <w:u w:val="single"/>
        </w:rPr>
      </w:pPr>
      <w:r>
        <w:rPr>
          <w:rFonts w:hint="eastAsia"/>
          <w:i/>
          <w:iCs/>
          <w:color w:val="auto"/>
          <w:sz w:val="24"/>
          <w:highlight w:val="none"/>
          <w:u w:val="single"/>
        </w:rPr>
        <w:t>七、法人授权书</w:t>
      </w:r>
    </w:p>
    <w:p w14:paraId="70C5C27F">
      <w:pPr>
        <w:spacing w:line="520" w:lineRule="exact"/>
        <w:ind w:firstLine="480"/>
        <w:rPr>
          <w:i/>
          <w:iCs/>
          <w:color w:val="auto"/>
          <w:sz w:val="24"/>
          <w:highlight w:val="none"/>
          <w:u w:val="single"/>
        </w:rPr>
      </w:pPr>
      <w:r>
        <w:rPr>
          <w:rFonts w:hint="eastAsia"/>
          <w:i/>
          <w:iCs/>
          <w:color w:val="auto"/>
          <w:sz w:val="24"/>
          <w:highlight w:val="none"/>
          <w:u w:val="single"/>
        </w:rPr>
        <w:t>八、投标函</w:t>
      </w:r>
    </w:p>
    <w:p w14:paraId="6610F9E0">
      <w:pPr>
        <w:spacing w:line="520" w:lineRule="exact"/>
        <w:ind w:firstLine="480"/>
        <w:rPr>
          <w:i/>
          <w:iCs/>
          <w:color w:val="auto"/>
          <w:sz w:val="24"/>
          <w:highlight w:val="none"/>
          <w:u w:val="single"/>
        </w:rPr>
      </w:pPr>
      <w:r>
        <w:rPr>
          <w:rFonts w:hint="eastAsia"/>
          <w:i/>
          <w:iCs/>
          <w:color w:val="auto"/>
          <w:sz w:val="24"/>
          <w:highlight w:val="none"/>
          <w:u w:val="single"/>
        </w:rPr>
        <w:t>九、中小微企业声明函</w:t>
      </w:r>
    </w:p>
    <w:p w14:paraId="565EF774">
      <w:pPr>
        <w:spacing w:line="520" w:lineRule="exact"/>
        <w:ind w:firstLine="480"/>
        <w:rPr>
          <w:i/>
          <w:iCs/>
          <w:color w:val="auto"/>
          <w:sz w:val="24"/>
          <w:highlight w:val="none"/>
          <w:u w:val="single"/>
        </w:rPr>
      </w:pPr>
      <w:r>
        <w:rPr>
          <w:rFonts w:hint="eastAsia"/>
          <w:i/>
          <w:iCs/>
          <w:color w:val="auto"/>
          <w:sz w:val="24"/>
          <w:highlight w:val="none"/>
          <w:u w:val="single"/>
        </w:rPr>
        <w:t>十、残疾人福利性单位声明函</w:t>
      </w:r>
    </w:p>
    <w:p w14:paraId="54ACE08E">
      <w:pPr>
        <w:spacing w:line="520" w:lineRule="exact"/>
        <w:ind w:firstLine="480"/>
        <w:rPr>
          <w:i/>
          <w:iCs/>
          <w:color w:val="auto"/>
          <w:sz w:val="24"/>
          <w:highlight w:val="none"/>
          <w:u w:val="single"/>
        </w:rPr>
      </w:pPr>
      <w:r>
        <w:rPr>
          <w:rFonts w:hint="eastAsia"/>
          <w:i/>
          <w:iCs/>
          <w:color w:val="auto"/>
          <w:sz w:val="24"/>
          <w:highlight w:val="none"/>
          <w:u w:val="single"/>
        </w:rPr>
        <w:t>十一、投标分项报价表</w:t>
      </w:r>
    </w:p>
    <w:p w14:paraId="6BF40179">
      <w:pPr>
        <w:spacing w:line="520" w:lineRule="exact"/>
        <w:ind w:firstLine="480"/>
        <w:rPr>
          <w:i/>
          <w:iCs/>
          <w:color w:val="auto"/>
          <w:sz w:val="24"/>
          <w:highlight w:val="none"/>
          <w:u w:val="single"/>
        </w:rPr>
      </w:pPr>
      <w:r>
        <w:rPr>
          <w:rFonts w:hint="eastAsia"/>
          <w:i/>
          <w:iCs/>
          <w:color w:val="auto"/>
          <w:sz w:val="24"/>
          <w:highlight w:val="none"/>
          <w:u w:val="single"/>
        </w:rPr>
        <w:t>十二、技术要求响应及偏离表</w:t>
      </w:r>
    </w:p>
    <w:p w14:paraId="28160F5A">
      <w:pPr>
        <w:spacing w:line="520" w:lineRule="exact"/>
        <w:ind w:firstLine="480"/>
        <w:rPr>
          <w:i/>
          <w:iCs/>
          <w:color w:val="auto"/>
          <w:sz w:val="24"/>
          <w:highlight w:val="none"/>
          <w:u w:val="single"/>
        </w:rPr>
      </w:pPr>
      <w:r>
        <w:rPr>
          <w:rFonts w:hint="eastAsia"/>
          <w:i/>
          <w:iCs/>
          <w:color w:val="auto"/>
          <w:sz w:val="24"/>
          <w:highlight w:val="none"/>
          <w:u w:val="single"/>
        </w:rPr>
        <w:t>十三、商务要求响应及偏离表</w:t>
      </w:r>
    </w:p>
    <w:p w14:paraId="3DDFCDC4">
      <w:pPr>
        <w:spacing w:line="520" w:lineRule="exact"/>
        <w:ind w:firstLine="480"/>
        <w:rPr>
          <w:i/>
          <w:iCs/>
          <w:color w:val="auto"/>
          <w:sz w:val="24"/>
          <w:highlight w:val="none"/>
          <w:u w:val="single"/>
        </w:rPr>
      </w:pPr>
      <w:r>
        <w:rPr>
          <w:rFonts w:hint="eastAsia"/>
          <w:i/>
          <w:iCs/>
          <w:color w:val="auto"/>
          <w:sz w:val="24"/>
          <w:highlight w:val="none"/>
          <w:u w:val="single"/>
        </w:rPr>
        <w:t>十四、开标一览表</w:t>
      </w:r>
    </w:p>
    <w:p w14:paraId="2CD28BE2">
      <w:pPr>
        <w:spacing w:line="520" w:lineRule="exact"/>
        <w:ind w:firstLine="480"/>
        <w:rPr>
          <w:i/>
          <w:iCs/>
          <w:color w:val="auto"/>
          <w:sz w:val="24"/>
          <w:highlight w:val="none"/>
          <w:u w:val="single"/>
        </w:rPr>
      </w:pPr>
      <w:r>
        <w:rPr>
          <w:rFonts w:hint="eastAsia"/>
          <w:i/>
          <w:iCs/>
          <w:color w:val="auto"/>
          <w:sz w:val="24"/>
          <w:highlight w:val="none"/>
          <w:u w:val="single"/>
        </w:rPr>
        <w:t>十五、服务方案等</w:t>
      </w:r>
    </w:p>
    <w:p w14:paraId="7BFED95F">
      <w:pPr>
        <w:spacing w:line="520" w:lineRule="exact"/>
        <w:ind w:firstLine="480"/>
        <w:rPr>
          <w:i/>
          <w:iCs/>
          <w:color w:val="auto"/>
          <w:sz w:val="24"/>
          <w:highlight w:val="none"/>
          <w:u w:val="single"/>
        </w:rPr>
      </w:pPr>
      <w:r>
        <w:rPr>
          <w:rFonts w:hint="eastAsia"/>
          <w:i/>
          <w:iCs/>
          <w:color w:val="auto"/>
          <w:sz w:val="24"/>
          <w:highlight w:val="none"/>
          <w:u w:val="single"/>
        </w:rPr>
        <w:t>十六、盐城市政府采购事前信用承诺书</w:t>
      </w:r>
    </w:p>
    <w:p w14:paraId="5D9551E4">
      <w:pPr>
        <w:ind w:firstLine="440"/>
        <w:rPr>
          <w:color w:val="auto"/>
          <w:highlight w:val="none"/>
        </w:rPr>
      </w:pPr>
    </w:p>
    <w:p w14:paraId="0FB2956E">
      <w:pPr>
        <w:ind w:firstLine="440"/>
        <w:rPr>
          <w:color w:val="auto"/>
          <w:highlight w:val="none"/>
        </w:rPr>
      </w:pPr>
    </w:p>
    <w:p w14:paraId="09320CEE">
      <w:pPr>
        <w:ind w:firstLine="440"/>
        <w:rPr>
          <w:color w:val="auto"/>
          <w:highlight w:val="none"/>
        </w:rPr>
      </w:pPr>
    </w:p>
    <w:p w14:paraId="39D664DC">
      <w:pPr>
        <w:pStyle w:val="32"/>
        <w:tabs>
          <w:tab w:val="left" w:pos="360"/>
        </w:tabs>
        <w:ind w:firstLine="482"/>
        <w:jc w:val="center"/>
        <w:rPr>
          <w:color w:val="auto"/>
          <w:highlight w:val="none"/>
        </w:rPr>
      </w:pPr>
      <w:r>
        <w:rPr>
          <w:rFonts w:hint="eastAsia"/>
          <w:b/>
          <w:color w:val="auto"/>
          <w:highlight w:val="none"/>
        </w:rPr>
        <w:br w:type="page" w:clear="all"/>
      </w:r>
    </w:p>
    <w:p w14:paraId="5C386227">
      <w:pPr>
        <w:pStyle w:val="37"/>
        <w:ind w:firstLine="480"/>
        <w:rPr>
          <w:i/>
          <w:iCs/>
          <w:color w:val="auto"/>
          <w:highlight w:val="none"/>
          <w:u w:val="single"/>
        </w:rPr>
      </w:pPr>
      <w:r>
        <w:rPr>
          <w:rFonts w:hint="eastAsia"/>
          <w:i/>
          <w:iCs/>
          <w:color w:val="auto"/>
          <w:highlight w:val="none"/>
          <w:u w:val="single"/>
        </w:rPr>
        <w:t> </w:t>
      </w:r>
      <w:r>
        <w:rPr>
          <w:rFonts w:hint="eastAsia" w:asciiTheme="majorEastAsia" w:hAnsiTheme="majorEastAsia" w:eastAsiaTheme="majorEastAsia" w:cstheme="majorEastAsia"/>
          <w:i/>
          <w:iCs/>
          <w:color w:val="auto"/>
          <w:sz w:val="28"/>
          <w:szCs w:val="28"/>
          <w:highlight w:val="none"/>
          <w:u w:val="single"/>
        </w:rPr>
        <w:t>一、法人或者其他组织的营业执照等证明文件，自然人的身份证明</w:t>
      </w:r>
    </w:p>
    <w:p w14:paraId="489F1CB4">
      <w:pPr>
        <w:ind w:firstLine="440"/>
        <w:rPr>
          <w:color w:val="auto"/>
          <w:highlight w:val="none"/>
        </w:rPr>
      </w:pPr>
    </w:p>
    <w:p w14:paraId="0840BEA3">
      <w:pPr>
        <w:ind w:firstLine="440"/>
        <w:rPr>
          <w:color w:val="auto"/>
          <w:highlight w:val="none"/>
        </w:rPr>
      </w:pPr>
    </w:p>
    <w:p w14:paraId="73360FA7">
      <w:pPr>
        <w:ind w:firstLine="440"/>
        <w:rPr>
          <w:color w:val="auto"/>
          <w:highlight w:val="none"/>
        </w:rPr>
      </w:pPr>
      <w:r>
        <w:rPr>
          <w:rFonts w:hint="eastAsia"/>
          <w:color w:val="auto"/>
          <w:highlight w:val="none"/>
        </w:rPr>
        <w:t xml:space="preserve">                                      </w:t>
      </w:r>
    </w:p>
    <w:p w14:paraId="32F121E3">
      <w:pPr>
        <w:pStyle w:val="38"/>
        <w:ind w:firstLine="440"/>
        <w:jc w:val="center"/>
        <w:rPr>
          <w:color w:val="auto"/>
          <w:sz w:val="24"/>
          <w:szCs w:val="21"/>
          <w:highlight w:val="none"/>
          <w:u w:val="single"/>
        </w:rPr>
      </w:pPr>
      <w:r>
        <w:rPr>
          <w:rFonts w:hint="eastAsia"/>
          <w:color w:val="auto"/>
          <w:highlight w:val="none"/>
        </w:rPr>
        <w:br w:type="page" w:clear="all"/>
      </w:r>
      <w:r>
        <w:rPr>
          <w:rFonts w:hint="eastAsia" w:ascii="Times New Roman" w:hAnsi="Times New Roman" w:eastAsia="宋体" w:cs="Times New Roman"/>
          <w:i/>
          <w:iCs/>
          <w:color w:val="auto"/>
          <w:kern w:val="2"/>
          <w:sz w:val="24"/>
          <w:szCs w:val="21"/>
          <w:highlight w:val="none"/>
          <w:u w:val="single"/>
          <w:lang w:val="en-US" w:eastAsia="zh-CN" w:bidi="ar-SA"/>
        </w:rPr>
        <w:t>二、上一年度的财务状况报表</w:t>
      </w:r>
    </w:p>
    <w:p w14:paraId="12017494">
      <w:pPr>
        <w:spacing w:line="520" w:lineRule="exact"/>
        <w:ind w:firstLine="480"/>
        <w:rPr>
          <w:color w:val="auto"/>
          <w:sz w:val="24"/>
          <w:highlight w:val="none"/>
          <w:u w:val="single"/>
        </w:rPr>
      </w:pPr>
      <w:r>
        <w:rPr>
          <w:rFonts w:hint="eastAsia"/>
          <w:color w:val="auto"/>
          <w:sz w:val="24"/>
          <w:highlight w:val="none"/>
          <w:u w:val="single"/>
        </w:rPr>
        <w:t>（</w:t>
      </w:r>
      <w:r>
        <w:rPr>
          <w:rFonts w:hint="eastAsia"/>
          <w:b/>
          <w:bCs/>
          <w:color w:val="auto"/>
          <w:sz w:val="24"/>
          <w:highlight w:val="none"/>
          <w:u w:val="single"/>
        </w:rPr>
        <w:t>至少提供资产负债表、利润表、现金流量表，投标人成立不满一年无需提供</w:t>
      </w:r>
      <w:r>
        <w:rPr>
          <w:rFonts w:hint="eastAsia"/>
          <w:color w:val="auto"/>
          <w:sz w:val="24"/>
          <w:highlight w:val="none"/>
          <w:u w:val="single"/>
        </w:rPr>
        <w:t>）</w:t>
      </w:r>
    </w:p>
    <w:p w14:paraId="2D412E7A">
      <w:pPr>
        <w:ind w:firstLine="440"/>
        <w:rPr>
          <w:color w:val="auto"/>
          <w:highlight w:val="none"/>
        </w:rPr>
      </w:pPr>
    </w:p>
    <w:p w14:paraId="258A17D6">
      <w:pPr>
        <w:ind w:firstLine="440"/>
        <w:rPr>
          <w:color w:val="auto"/>
          <w:highlight w:val="none"/>
        </w:rPr>
      </w:pPr>
    </w:p>
    <w:p w14:paraId="3C0A754D">
      <w:pPr>
        <w:ind w:firstLine="440"/>
        <w:rPr>
          <w:color w:val="auto"/>
          <w:highlight w:val="none"/>
        </w:rPr>
      </w:pPr>
      <w:r>
        <w:rPr>
          <w:rFonts w:hint="eastAsia"/>
          <w:color w:val="auto"/>
          <w:highlight w:val="none"/>
        </w:rPr>
        <w:t xml:space="preserve">                                      </w:t>
      </w:r>
    </w:p>
    <w:p w14:paraId="115533BA">
      <w:pPr>
        <w:ind w:firstLine="440"/>
        <w:rPr>
          <w:color w:val="auto"/>
          <w:highlight w:val="none"/>
        </w:rPr>
      </w:pPr>
    </w:p>
    <w:p w14:paraId="27355428">
      <w:pPr>
        <w:ind w:firstLine="440"/>
        <w:rPr>
          <w:color w:val="auto"/>
          <w:highlight w:val="none"/>
        </w:rPr>
      </w:pPr>
      <w:bookmarkStart w:id="179" w:name="_Hlt26671380"/>
      <w:bookmarkEnd w:id="179"/>
      <w:bookmarkStart w:id="180" w:name="_格式3__银行出具的资信证明"/>
      <w:bookmarkEnd w:id="180"/>
      <w:bookmarkStart w:id="181" w:name="_Hlt26955070"/>
      <w:bookmarkEnd w:id="181"/>
    </w:p>
    <w:p w14:paraId="0A7FD34A">
      <w:pPr>
        <w:ind w:firstLine="440"/>
        <w:rPr>
          <w:color w:val="auto"/>
          <w:highlight w:val="none"/>
        </w:rPr>
      </w:pPr>
    </w:p>
    <w:p w14:paraId="06C0C277">
      <w:pPr>
        <w:ind w:firstLine="440"/>
        <w:rPr>
          <w:color w:val="auto"/>
          <w:highlight w:val="none"/>
        </w:rPr>
      </w:pPr>
    </w:p>
    <w:p w14:paraId="65599049">
      <w:pPr>
        <w:ind w:firstLine="440"/>
        <w:rPr>
          <w:color w:val="auto"/>
          <w:highlight w:val="none"/>
        </w:rPr>
      </w:pPr>
    </w:p>
    <w:p w14:paraId="2136F026">
      <w:pPr>
        <w:ind w:firstLine="440"/>
        <w:rPr>
          <w:color w:val="auto"/>
          <w:highlight w:val="none"/>
        </w:rPr>
      </w:pPr>
    </w:p>
    <w:p w14:paraId="266666D0">
      <w:pPr>
        <w:ind w:firstLine="440"/>
        <w:rPr>
          <w:color w:val="auto"/>
          <w:highlight w:val="none"/>
        </w:rPr>
      </w:pPr>
    </w:p>
    <w:p w14:paraId="12254993">
      <w:pPr>
        <w:pStyle w:val="37"/>
        <w:ind w:firstLine="480"/>
        <w:rPr>
          <w:color w:val="auto"/>
          <w:highlight w:val="none"/>
        </w:rPr>
      </w:pPr>
    </w:p>
    <w:p w14:paraId="4814D3D7">
      <w:pPr>
        <w:pStyle w:val="37"/>
        <w:ind w:firstLine="480"/>
        <w:rPr>
          <w:color w:val="auto"/>
          <w:highlight w:val="none"/>
        </w:rPr>
      </w:pPr>
    </w:p>
    <w:p w14:paraId="78B77CDC">
      <w:pPr>
        <w:pStyle w:val="37"/>
        <w:ind w:firstLine="480"/>
        <w:rPr>
          <w:color w:val="auto"/>
          <w:highlight w:val="none"/>
        </w:rPr>
      </w:pPr>
    </w:p>
    <w:p w14:paraId="127C6867">
      <w:pPr>
        <w:rPr>
          <w:color w:val="auto"/>
          <w:highlight w:val="none"/>
        </w:rPr>
      </w:pPr>
      <w:r>
        <w:rPr>
          <w:color w:val="auto"/>
          <w:highlight w:val="none"/>
        </w:rPr>
        <w:br w:type="page"/>
      </w:r>
    </w:p>
    <w:p w14:paraId="3F1E2112">
      <w:pPr>
        <w:pStyle w:val="37"/>
        <w:ind w:firstLine="480"/>
        <w:jc w:val="center"/>
        <w:rPr>
          <w:rFonts w:hint="eastAsia" w:eastAsia="宋体"/>
          <w:i/>
          <w:iCs/>
          <w:color w:val="auto"/>
          <w:highlight w:val="none"/>
          <w:u w:val="single"/>
        </w:rPr>
      </w:pPr>
      <w:r>
        <w:rPr>
          <w:rFonts w:hint="eastAsia" w:eastAsia="宋体"/>
          <w:i/>
          <w:iCs/>
          <w:color w:val="auto"/>
          <w:highlight w:val="none"/>
          <w:u w:val="single"/>
        </w:rPr>
        <w:t>三、具备履行合同所必需的设备和专业技术能力的书面声明</w:t>
      </w:r>
    </w:p>
    <w:p w14:paraId="7C998113">
      <w:pPr>
        <w:pStyle w:val="37"/>
        <w:spacing w:line="500" w:lineRule="exact"/>
        <w:ind w:firstLine="480"/>
        <w:rPr>
          <w:rFonts w:eastAsiaTheme="minorEastAsia"/>
          <w:color w:val="auto"/>
          <w:szCs w:val="24"/>
          <w:highlight w:val="none"/>
        </w:rPr>
      </w:pPr>
      <w:r>
        <w:rPr>
          <w:rFonts w:hint="eastAsia" w:eastAsiaTheme="minorEastAsia"/>
          <w:color w:val="auto"/>
          <w:szCs w:val="24"/>
          <w:highlight w:val="none"/>
        </w:rPr>
        <w:t>我单位郑重声明：我单位具备履行本项采购合同所必需的设备和专业技术能力，为履行本项采购合同我公司具备如下主要设备和主要专业技术能力：</w:t>
      </w:r>
    </w:p>
    <w:p w14:paraId="174E5477">
      <w:pPr>
        <w:pStyle w:val="37"/>
        <w:spacing w:beforeAutospacing="0" w:afterAutospacing="0" w:line="500" w:lineRule="exact"/>
        <w:ind w:firstLine="480"/>
        <w:jc w:val="both"/>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7E884295">
      <w:pPr>
        <w:pStyle w:val="37"/>
        <w:spacing w:beforeAutospacing="0" w:afterAutospacing="0" w:line="500" w:lineRule="exact"/>
        <w:ind w:firstLine="480"/>
        <w:jc w:val="both"/>
        <w:rPr>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5AE33114">
      <w:pPr>
        <w:ind w:firstLine="440"/>
        <w:rPr>
          <w:color w:val="auto"/>
          <w:highlight w:val="none"/>
        </w:rPr>
      </w:pPr>
      <w:r>
        <w:rPr>
          <w:rFonts w:hint="eastAsia"/>
          <w:color w:val="auto"/>
          <w:highlight w:val="none"/>
        </w:rPr>
        <w:br w:type="page" w:clear="all"/>
      </w:r>
    </w:p>
    <w:p w14:paraId="445733BF">
      <w:pPr>
        <w:pStyle w:val="37"/>
        <w:spacing w:line="240" w:lineRule="auto"/>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四、依法缴纳税收和社会保障资金的相关材料</w:t>
      </w:r>
    </w:p>
    <w:p w14:paraId="166B619A">
      <w:pPr>
        <w:pStyle w:val="37"/>
        <w:spacing w:beforeAutospacing="0" w:afterAutospacing="0" w:line="440" w:lineRule="exact"/>
        <w:ind w:firstLine="480"/>
        <w:jc w:val="both"/>
        <w:rPr>
          <w:color w:val="auto"/>
          <w:szCs w:val="24"/>
          <w:highlight w:val="none"/>
        </w:rPr>
      </w:pPr>
      <w:r>
        <w:rPr>
          <w:rFonts w:hint="eastAsia"/>
          <w:color w:val="auto"/>
          <w:szCs w:val="24"/>
          <w:highlight w:val="none"/>
        </w:rPr>
        <w:t>提供提交投标文件截止时间前一年内至少一个月依法缴纳税收及缴纳社会保障资金的证明材料。投标人依法享受缓缴、免缴税收、社会保障资金的提供证明材料。</w:t>
      </w:r>
    </w:p>
    <w:p w14:paraId="31387C91">
      <w:pPr>
        <w:pStyle w:val="37"/>
        <w:ind w:firstLine="480"/>
        <w:rPr>
          <w:color w:val="auto"/>
          <w:highlight w:val="none"/>
        </w:rPr>
      </w:pPr>
    </w:p>
    <w:p w14:paraId="764261FF">
      <w:pPr>
        <w:pStyle w:val="39"/>
        <w:ind w:firstLine="643"/>
        <w:rPr>
          <w:color w:val="auto"/>
          <w:highlight w:val="none"/>
        </w:rPr>
      </w:pPr>
    </w:p>
    <w:p w14:paraId="4DE870CD">
      <w:pPr>
        <w:rPr>
          <w:color w:val="auto"/>
          <w:highlight w:val="none"/>
        </w:rPr>
      </w:pPr>
      <w:r>
        <w:rPr>
          <w:color w:val="auto"/>
          <w:highlight w:val="none"/>
        </w:rPr>
        <w:br w:type="page"/>
      </w:r>
    </w:p>
    <w:p w14:paraId="1BB72B22">
      <w:pPr>
        <w:pStyle w:val="37"/>
        <w:numPr>
          <w:ilvl w:val="0"/>
          <w:numId w:val="4"/>
        </w:numPr>
        <w:ind w:firstLine="560"/>
        <w:jc w:val="center"/>
        <w:rPr>
          <w:rFonts w:ascii="黑体" w:hAnsi="黑体" w:eastAsia="黑体" w:cs="黑体"/>
          <w:color w:val="auto"/>
          <w:sz w:val="28"/>
          <w:szCs w:val="28"/>
          <w:highlight w:val="none"/>
          <w:u w:val="single"/>
        </w:rPr>
      </w:pPr>
      <w:r>
        <w:rPr>
          <w:rFonts w:hint="eastAsia" w:ascii="黑体" w:hAnsi="黑体" w:eastAsia="黑体" w:cs="黑体"/>
          <w:i/>
          <w:iCs/>
          <w:color w:val="auto"/>
          <w:sz w:val="28"/>
          <w:szCs w:val="28"/>
          <w:highlight w:val="none"/>
          <w:u w:val="single"/>
        </w:rPr>
        <w:t>参加政府采购活动前 3 年内在经营活动中没有重大违法记录的</w:t>
      </w:r>
      <w:r>
        <w:rPr>
          <w:rFonts w:hint="eastAsia" w:ascii="黑体" w:hAnsi="黑体" w:eastAsia="黑体" w:cs="黑体"/>
          <w:color w:val="auto"/>
          <w:sz w:val="28"/>
          <w:szCs w:val="28"/>
          <w:highlight w:val="none"/>
          <w:u w:val="single"/>
        </w:rPr>
        <w:t>书面声明</w:t>
      </w:r>
    </w:p>
    <w:p w14:paraId="5390611D">
      <w:pPr>
        <w:pStyle w:val="37"/>
        <w:spacing w:line="240" w:lineRule="auto"/>
        <w:ind w:firstLine="0"/>
        <w:jc w:val="center"/>
        <w:rPr>
          <w:color w:val="auto"/>
          <w:sz w:val="32"/>
          <w:szCs w:val="32"/>
          <w:highlight w:val="none"/>
        </w:rPr>
      </w:pPr>
      <w:r>
        <w:rPr>
          <w:rFonts w:hint="eastAsia"/>
          <w:color w:val="auto"/>
          <w:sz w:val="32"/>
          <w:szCs w:val="32"/>
          <w:highlight w:val="none"/>
        </w:rPr>
        <w:t>声 明</w:t>
      </w:r>
    </w:p>
    <w:p w14:paraId="1E40FA3F">
      <w:pPr>
        <w:pStyle w:val="37"/>
        <w:ind w:firstLine="480"/>
        <w:rPr>
          <w:color w:val="auto"/>
          <w:highlight w:val="none"/>
        </w:rPr>
      </w:pPr>
      <w:r>
        <w:rPr>
          <w:rFonts w:hint="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6E566FED">
      <w:pPr>
        <w:pStyle w:val="37"/>
        <w:ind w:firstLine="480"/>
        <w:rPr>
          <w:color w:val="auto"/>
          <w:highlight w:val="none"/>
        </w:rPr>
      </w:pPr>
    </w:p>
    <w:p w14:paraId="7370681E">
      <w:pPr>
        <w:pStyle w:val="37"/>
        <w:ind w:firstLine="480"/>
        <w:rPr>
          <w:color w:val="auto"/>
          <w:highlight w:val="none"/>
        </w:rPr>
      </w:pPr>
    </w:p>
    <w:p w14:paraId="54356C6A">
      <w:pPr>
        <w:pStyle w:val="37"/>
        <w:ind w:firstLine="480"/>
        <w:rPr>
          <w:color w:val="auto"/>
          <w:highlight w:val="none"/>
        </w:rPr>
      </w:pPr>
    </w:p>
    <w:p w14:paraId="6D3FD25F">
      <w:pPr>
        <w:pStyle w:val="37"/>
        <w:ind w:firstLine="480"/>
        <w:rPr>
          <w:color w:val="auto"/>
          <w:highlight w:val="none"/>
        </w:rPr>
      </w:pPr>
    </w:p>
    <w:p w14:paraId="4BF20B84">
      <w:pPr>
        <w:pStyle w:val="37"/>
        <w:ind w:firstLine="480"/>
        <w:rPr>
          <w:color w:val="auto"/>
          <w:highlight w:val="none"/>
        </w:rPr>
      </w:pPr>
    </w:p>
    <w:p w14:paraId="02C2CBA7">
      <w:pPr>
        <w:pStyle w:val="37"/>
        <w:ind w:firstLine="480"/>
        <w:rPr>
          <w:color w:val="auto"/>
          <w:highlight w:val="none"/>
        </w:rPr>
      </w:pPr>
    </w:p>
    <w:p w14:paraId="78F44A5C">
      <w:pPr>
        <w:pStyle w:val="37"/>
        <w:ind w:firstLine="480"/>
        <w:rPr>
          <w:color w:val="auto"/>
          <w:highlight w:val="none"/>
        </w:rPr>
      </w:pPr>
    </w:p>
    <w:p w14:paraId="1EF70CFE">
      <w:pPr>
        <w:pStyle w:val="37"/>
        <w:ind w:firstLine="480"/>
        <w:rPr>
          <w:color w:val="auto"/>
          <w:highlight w:val="none"/>
        </w:rPr>
      </w:pPr>
    </w:p>
    <w:p w14:paraId="6EF93D95">
      <w:pPr>
        <w:pStyle w:val="37"/>
        <w:ind w:firstLine="480"/>
        <w:rPr>
          <w:color w:val="auto"/>
          <w:highlight w:val="none"/>
        </w:rPr>
      </w:pPr>
    </w:p>
    <w:p w14:paraId="2605C49B">
      <w:pPr>
        <w:pStyle w:val="37"/>
        <w:ind w:firstLine="480"/>
        <w:rPr>
          <w:color w:val="auto"/>
          <w:highlight w:val="none"/>
        </w:rPr>
      </w:pPr>
    </w:p>
    <w:p w14:paraId="09EE607D">
      <w:pPr>
        <w:pStyle w:val="37"/>
        <w:ind w:firstLine="480"/>
        <w:rPr>
          <w:color w:val="auto"/>
          <w:highlight w:val="none"/>
        </w:rPr>
      </w:pPr>
    </w:p>
    <w:p w14:paraId="2F4FD62F">
      <w:pPr>
        <w:pStyle w:val="37"/>
        <w:ind w:firstLine="480"/>
        <w:rPr>
          <w:color w:val="auto"/>
          <w:highlight w:val="none"/>
        </w:rPr>
      </w:pPr>
    </w:p>
    <w:p w14:paraId="363199F8">
      <w:pPr>
        <w:ind w:firstLine="440"/>
        <w:rPr>
          <w:color w:val="auto"/>
          <w:highlight w:val="none"/>
        </w:rPr>
      </w:pPr>
      <w:r>
        <w:rPr>
          <w:rFonts w:hint="eastAsia"/>
          <w:color w:val="auto"/>
          <w:highlight w:val="none"/>
        </w:rPr>
        <w:br w:type="page" w:clear="all"/>
      </w:r>
    </w:p>
    <w:p w14:paraId="6D41419E">
      <w:pPr>
        <w:pStyle w:val="37"/>
        <w:spacing w:line="240" w:lineRule="auto"/>
        <w:ind w:firstLine="56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六、特定资格要求的证明文件</w:t>
      </w:r>
    </w:p>
    <w:p w14:paraId="5A23D98F">
      <w:pPr>
        <w:pStyle w:val="37"/>
        <w:spacing w:line="240" w:lineRule="auto"/>
        <w:ind w:firstLine="480"/>
        <w:jc w:val="center"/>
        <w:rPr>
          <w:color w:val="auto"/>
          <w:highlight w:val="none"/>
        </w:rPr>
      </w:pPr>
      <w:r>
        <w:rPr>
          <w:rFonts w:hint="eastAsia"/>
          <w:color w:val="auto"/>
          <w:highlight w:val="none"/>
        </w:rPr>
        <w:t>申请人的特定资格要求中要求提供的，必须提供。</w:t>
      </w:r>
    </w:p>
    <w:p w14:paraId="68CC041B">
      <w:pPr>
        <w:pStyle w:val="40"/>
        <w:spacing w:line="240" w:lineRule="auto"/>
        <w:ind w:firstLine="883"/>
        <w:rPr>
          <w:color w:val="auto"/>
          <w:highlight w:val="none"/>
        </w:rPr>
      </w:pPr>
    </w:p>
    <w:p w14:paraId="124E9AAA">
      <w:pPr>
        <w:ind w:firstLine="440"/>
        <w:rPr>
          <w:color w:val="auto"/>
          <w:highlight w:val="none"/>
        </w:rPr>
      </w:pPr>
    </w:p>
    <w:p w14:paraId="7825365C">
      <w:pPr>
        <w:pStyle w:val="41"/>
        <w:ind w:firstLine="440"/>
        <w:rPr>
          <w:color w:val="auto"/>
          <w:highlight w:val="none"/>
        </w:rPr>
      </w:pPr>
    </w:p>
    <w:p w14:paraId="465FADB0">
      <w:pPr>
        <w:ind w:firstLine="440"/>
        <w:rPr>
          <w:color w:val="auto"/>
          <w:highlight w:val="none"/>
        </w:rPr>
      </w:pPr>
    </w:p>
    <w:p w14:paraId="22843F9D">
      <w:pPr>
        <w:ind w:firstLine="440"/>
        <w:rPr>
          <w:color w:val="auto"/>
          <w:highlight w:val="none"/>
        </w:rPr>
      </w:pPr>
    </w:p>
    <w:p w14:paraId="53FA13A9">
      <w:pPr>
        <w:ind w:firstLine="440"/>
        <w:rPr>
          <w:color w:val="auto"/>
          <w:highlight w:val="none"/>
        </w:rPr>
      </w:pPr>
    </w:p>
    <w:p w14:paraId="53AC2FA7">
      <w:pPr>
        <w:ind w:firstLine="440"/>
        <w:rPr>
          <w:color w:val="auto"/>
          <w:highlight w:val="none"/>
        </w:rPr>
      </w:pPr>
    </w:p>
    <w:p w14:paraId="37A8D6ED">
      <w:pPr>
        <w:ind w:firstLine="440"/>
        <w:rPr>
          <w:color w:val="auto"/>
          <w:highlight w:val="none"/>
        </w:rPr>
      </w:pPr>
    </w:p>
    <w:p w14:paraId="72B25BC9">
      <w:pPr>
        <w:ind w:firstLine="440"/>
        <w:rPr>
          <w:color w:val="auto"/>
          <w:highlight w:val="none"/>
        </w:rPr>
      </w:pPr>
    </w:p>
    <w:p w14:paraId="5474D7BF">
      <w:pPr>
        <w:ind w:firstLine="440"/>
        <w:rPr>
          <w:color w:val="auto"/>
          <w:highlight w:val="none"/>
        </w:rPr>
      </w:pPr>
    </w:p>
    <w:p w14:paraId="5B4DB028">
      <w:pPr>
        <w:ind w:firstLine="440"/>
        <w:rPr>
          <w:color w:val="auto"/>
          <w:highlight w:val="none"/>
        </w:rPr>
      </w:pPr>
    </w:p>
    <w:p w14:paraId="1F47C4AA">
      <w:pPr>
        <w:ind w:firstLine="440"/>
        <w:rPr>
          <w:color w:val="auto"/>
          <w:highlight w:val="none"/>
        </w:rPr>
      </w:pPr>
    </w:p>
    <w:p w14:paraId="08188C64">
      <w:pPr>
        <w:ind w:firstLine="440"/>
        <w:rPr>
          <w:color w:val="auto"/>
          <w:highlight w:val="none"/>
        </w:rPr>
      </w:pPr>
    </w:p>
    <w:p w14:paraId="49837308">
      <w:pPr>
        <w:ind w:firstLine="440"/>
        <w:rPr>
          <w:color w:val="auto"/>
          <w:highlight w:val="none"/>
        </w:rPr>
      </w:pPr>
    </w:p>
    <w:p w14:paraId="1816BFEB">
      <w:pPr>
        <w:ind w:firstLine="440"/>
        <w:rPr>
          <w:color w:val="auto"/>
          <w:highlight w:val="none"/>
        </w:rPr>
      </w:pPr>
    </w:p>
    <w:p w14:paraId="788B2D14">
      <w:pPr>
        <w:ind w:firstLine="440"/>
        <w:rPr>
          <w:color w:val="auto"/>
          <w:highlight w:val="none"/>
        </w:rPr>
      </w:pPr>
    </w:p>
    <w:p w14:paraId="50FAA9C8">
      <w:pPr>
        <w:ind w:firstLine="440"/>
        <w:rPr>
          <w:color w:val="auto"/>
          <w:highlight w:val="none"/>
        </w:rPr>
      </w:pPr>
    </w:p>
    <w:p w14:paraId="4DADC1B3">
      <w:pPr>
        <w:ind w:firstLine="440"/>
        <w:rPr>
          <w:color w:val="auto"/>
          <w:highlight w:val="none"/>
        </w:rPr>
      </w:pPr>
    </w:p>
    <w:p w14:paraId="47954D1D">
      <w:pPr>
        <w:ind w:firstLine="440"/>
        <w:rPr>
          <w:color w:val="auto"/>
          <w:highlight w:val="none"/>
        </w:rPr>
      </w:pPr>
    </w:p>
    <w:p w14:paraId="5CBFE58C">
      <w:pPr>
        <w:ind w:firstLine="440"/>
        <w:rPr>
          <w:color w:val="auto"/>
          <w:highlight w:val="none"/>
        </w:rPr>
      </w:pPr>
    </w:p>
    <w:p w14:paraId="305ACA34">
      <w:pPr>
        <w:pStyle w:val="37"/>
        <w:ind w:firstLine="480"/>
        <w:rPr>
          <w:color w:val="auto"/>
          <w:highlight w:val="none"/>
        </w:rPr>
      </w:pPr>
    </w:p>
    <w:p w14:paraId="0C72FA59">
      <w:pPr>
        <w:pStyle w:val="37"/>
        <w:ind w:firstLine="480"/>
        <w:rPr>
          <w:color w:val="auto"/>
          <w:highlight w:val="none"/>
        </w:rPr>
      </w:pPr>
    </w:p>
    <w:p w14:paraId="0077FA3E">
      <w:pPr>
        <w:pStyle w:val="37"/>
        <w:ind w:firstLine="480"/>
        <w:rPr>
          <w:color w:val="auto"/>
          <w:highlight w:val="none"/>
        </w:rPr>
      </w:pPr>
    </w:p>
    <w:p w14:paraId="294A9ADF">
      <w:pPr>
        <w:ind w:firstLine="560"/>
        <w:rPr>
          <w:color w:val="auto"/>
          <w:sz w:val="28"/>
          <w:highlight w:val="none"/>
        </w:rPr>
      </w:pPr>
      <w:r>
        <w:rPr>
          <w:rFonts w:hint="eastAsia"/>
          <w:color w:val="auto"/>
          <w:sz w:val="28"/>
          <w:highlight w:val="none"/>
        </w:rPr>
        <w:br w:type="page" w:clear="all"/>
      </w:r>
    </w:p>
    <w:p w14:paraId="038D27AE">
      <w:pPr>
        <w:pStyle w:val="37"/>
        <w:ind w:firstLine="56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七、法人授权书</w:t>
      </w:r>
    </w:p>
    <w:p w14:paraId="60DD4EBF">
      <w:pPr>
        <w:pStyle w:val="37"/>
        <w:ind w:firstLine="480"/>
        <w:rPr>
          <w:color w:val="auto"/>
          <w:highlight w:val="none"/>
        </w:rPr>
      </w:pPr>
      <w:r>
        <w:rPr>
          <w:rFonts w:hint="eastAsia"/>
          <w:color w:val="auto"/>
          <w:highlight w:val="none"/>
        </w:rPr>
        <w:t>本授权书声明：____________（投标人名称）授权________________（被授权人的姓名）为我方就</w:t>
      </w:r>
      <w:r>
        <w:rPr>
          <w:rFonts w:hint="eastAsia"/>
          <w:color w:val="auto"/>
          <w:highlight w:val="none"/>
          <w:u w:val="single"/>
          <w:lang w:eastAsia="zh-CN"/>
        </w:rPr>
        <w:t>JSZC-320992-WYGS-G2025-0003</w:t>
      </w:r>
      <w:r>
        <w:rPr>
          <w:rFonts w:hint="eastAsia"/>
          <w:color w:val="auto"/>
          <w:highlight w:val="none"/>
        </w:rPr>
        <w:t>号</w:t>
      </w:r>
      <w:r>
        <w:rPr>
          <w:rFonts w:hint="eastAsia"/>
          <w:color w:val="auto"/>
          <w:szCs w:val="20"/>
          <w:highlight w:val="none"/>
          <w:u w:val="single"/>
          <w:lang w:eastAsia="zh-CN"/>
        </w:rPr>
        <w:t>2025年盐南高新区农贸市场食品安全快检服务采购项目</w:t>
      </w:r>
      <w:r>
        <w:rPr>
          <w:rFonts w:hint="eastAsia"/>
          <w:color w:val="auto"/>
          <w:highlight w:val="none"/>
        </w:rPr>
        <w:t>采购活动的合法代理人，以本单位名义全权处理一切与该项目采购有关的事务。</w:t>
      </w:r>
    </w:p>
    <w:p w14:paraId="2A4ADF54">
      <w:pPr>
        <w:pStyle w:val="37"/>
        <w:spacing w:line="240" w:lineRule="auto"/>
        <w:ind w:firstLine="480"/>
        <w:rPr>
          <w:color w:val="auto"/>
          <w:highlight w:val="none"/>
        </w:rPr>
      </w:pPr>
      <w:r>
        <w:rPr>
          <w:rFonts w:hint="eastAsia"/>
          <w:color w:val="auto"/>
          <w:highlight w:val="none"/>
        </w:rPr>
        <w:t>本授权书于______年____月____日起生效，特此声明。</w:t>
      </w:r>
    </w:p>
    <w:p w14:paraId="12EC9BB5">
      <w:pPr>
        <w:pStyle w:val="37"/>
        <w:spacing w:line="240" w:lineRule="auto"/>
        <w:ind w:firstLine="480"/>
        <w:rPr>
          <w:color w:val="auto"/>
          <w:highlight w:val="none"/>
        </w:rPr>
      </w:pPr>
      <w:r>
        <w:rPr>
          <w:rFonts w:hint="eastAsia"/>
          <w:color w:val="auto"/>
          <w:highlight w:val="none"/>
        </w:rPr>
        <w:t>被授权人身份证号码：</w:t>
      </w:r>
      <w:r>
        <w:rPr>
          <w:rFonts w:hint="eastAsia"/>
          <w:color w:val="auto"/>
          <w:highlight w:val="none"/>
          <w:u w:val="single"/>
        </w:rPr>
        <w:t>                     </w:t>
      </w:r>
      <w:r>
        <w:rPr>
          <w:rFonts w:hint="eastAsia"/>
          <w:color w:val="auto"/>
          <w:highlight w:val="none"/>
        </w:rPr>
        <w:t>              </w:t>
      </w:r>
    </w:p>
    <w:p w14:paraId="47076785">
      <w:pPr>
        <w:pStyle w:val="37"/>
        <w:spacing w:line="240" w:lineRule="auto"/>
        <w:ind w:firstLine="480"/>
        <w:rPr>
          <w:color w:val="auto"/>
          <w:highlight w:val="none"/>
        </w:rPr>
      </w:pPr>
      <w:r>
        <w:rPr>
          <w:rFonts w:hint="eastAsia"/>
          <w:color w:val="auto"/>
          <w:highlight w:val="none"/>
        </w:rPr>
        <w:t>被授权人联系电话：</w:t>
      </w:r>
      <w:r>
        <w:rPr>
          <w:rFonts w:hint="eastAsia"/>
          <w:color w:val="auto"/>
          <w:highlight w:val="none"/>
          <w:u w:val="single"/>
        </w:rPr>
        <w:t xml:space="preserve">（手机）               </w:t>
      </w:r>
      <w:r>
        <w:rPr>
          <w:rFonts w:hint="eastAsia"/>
          <w:color w:val="auto"/>
          <w:highlight w:val="none"/>
        </w:rPr>
        <w:t xml:space="preserve">                   </w:t>
      </w:r>
    </w:p>
    <w:p w14:paraId="20AEEA78">
      <w:pPr>
        <w:pStyle w:val="37"/>
        <w:spacing w:line="240" w:lineRule="auto"/>
        <w:ind w:firstLine="480"/>
        <w:rPr>
          <w:color w:val="auto"/>
          <w:highlight w:val="none"/>
        </w:rPr>
      </w:pPr>
      <w:r>
        <w:rPr>
          <w:rFonts w:hint="eastAsia"/>
          <w:color w:val="auto"/>
          <w:highlight w:val="none"/>
        </w:rPr>
        <w:t>授权单位名称：</w:t>
      </w:r>
      <w:r>
        <w:rPr>
          <w:rFonts w:hint="eastAsia"/>
          <w:color w:val="auto"/>
          <w:highlight w:val="none"/>
          <w:u w:val="single"/>
        </w:rPr>
        <w:t xml:space="preserve">（加盖CA电子公章）         </w:t>
      </w:r>
      <w:r>
        <w:rPr>
          <w:rFonts w:hint="eastAsia"/>
          <w:color w:val="auto"/>
          <w:highlight w:val="none"/>
        </w:rPr>
        <w:t xml:space="preserve">            </w:t>
      </w:r>
    </w:p>
    <w:p w14:paraId="4BE1E392">
      <w:pPr>
        <w:pStyle w:val="37"/>
        <w:spacing w:line="240" w:lineRule="auto"/>
        <w:ind w:firstLine="480"/>
        <w:rPr>
          <w:color w:val="auto"/>
          <w:highlight w:val="none"/>
        </w:rPr>
      </w:pPr>
      <w:r>
        <w:rPr>
          <w:rFonts w:hint="eastAsia"/>
          <w:color w:val="auto"/>
          <w:highlight w:val="none"/>
        </w:rPr>
        <w:t>单 位 地 址：</w:t>
      </w:r>
      <w:r>
        <w:rPr>
          <w:rFonts w:hint="eastAsia"/>
          <w:color w:val="auto"/>
          <w:highlight w:val="none"/>
          <w:u w:val="single"/>
        </w:rPr>
        <w:t>                            </w:t>
      </w:r>
      <w:r>
        <w:rPr>
          <w:rFonts w:hint="eastAsia"/>
          <w:color w:val="auto"/>
          <w:highlight w:val="none"/>
        </w:rPr>
        <w:t xml:space="preserve">             </w:t>
      </w:r>
    </w:p>
    <w:p w14:paraId="29186370">
      <w:pPr>
        <w:pStyle w:val="37"/>
        <w:spacing w:line="240" w:lineRule="auto"/>
        <w:ind w:firstLine="480"/>
        <w:rPr>
          <w:color w:val="auto"/>
          <w:szCs w:val="22"/>
          <w:highlight w:val="none"/>
        </w:rPr>
      </w:pPr>
      <w:r>
        <w:rPr>
          <w:rFonts w:hint="eastAsia"/>
          <w:color w:val="auto"/>
          <w:szCs w:val="22"/>
          <w:highlight w:val="none"/>
        </w:rPr>
        <w:t>日       期：</w:t>
      </w:r>
      <w:r>
        <w:rPr>
          <w:rFonts w:hint="eastAsia"/>
          <w:color w:val="auto"/>
          <w:szCs w:val="22"/>
          <w:highlight w:val="none"/>
          <w:u w:val="single"/>
        </w:rPr>
        <w:t>                            </w:t>
      </w:r>
    </w:p>
    <w:p w14:paraId="5D28A47F">
      <w:pPr>
        <w:pStyle w:val="37"/>
        <w:spacing w:line="240" w:lineRule="auto"/>
        <w:ind w:firstLine="0"/>
        <w:jc w:val="both"/>
        <w:rPr>
          <w:color w:val="auto"/>
          <w:highlight w:val="none"/>
        </w:rPr>
      </w:pPr>
      <w:r>
        <w:rPr>
          <w:rFonts w:hint="eastAsia"/>
          <w:color w:val="auto"/>
          <w:highlight w:val="none"/>
        </w:rPr>
        <w:t>                            </w:t>
      </w:r>
    </w:p>
    <w:p w14:paraId="150B729D">
      <w:pPr>
        <w:ind w:firstLine="440"/>
        <w:rPr>
          <w:color w:val="auto"/>
          <w:highlight w:val="none"/>
        </w:rPr>
      </w:pPr>
    </w:p>
    <w:p w14:paraId="175C44B9">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r>
    </w:p>
    <w:p w14:paraId="14A68F57">
      <w:pPr>
        <w:ind w:firstLine="48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八、投标函</w:t>
      </w:r>
    </w:p>
    <w:p w14:paraId="58768D44">
      <w:pPr>
        <w:ind w:firstLine="480"/>
        <w:rPr>
          <w:rFonts w:hint="default" w:eastAsia="宋体"/>
          <w:color w:val="auto"/>
          <w:sz w:val="24"/>
          <w:szCs w:val="24"/>
          <w:highlight w:val="none"/>
          <w:lang w:val="en-US" w:eastAsia="zh-CN"/>
        </w:rPr>
      </w:pPr>
      <w:r>
        <w:rPr>
          <w:rFonts w:hint="eastAsia"/>
          <w:color w:val="auto"/>
          <w:sz w:val="24"/>
          <w:szCs w:val="24"/>
          <w:highlight w:val="none"/>
        </w:rPr>
        <w:t>致：</w:t>
      </w:r>
      <w:r>
        <w:rPr>
          <w:rFonts w:hint="eastAsia"/>
          <w:color w:val="auto"/>
          <w:sz w:val="24"/>
          <w:szCs w:val="24"/>
          <w:highlight w:val="none"/>
          <w:lang w:val="en-US" w:eastAsia="zh-CN"/>
        </w:rPr>
        <w:t>江苏省盐南高新技术产业开发区市场监督管理局</w:t>
      </w:r>
    </w:p>
    <w:p w14:paraId="4C3B9079">
      <w:pPr>
        <w:ind w:firstLine="480"/>
        <w:rPr>
          <w:color w:val="auto"/>
          <w:sz w:val="24"/>
          <w:szCs w:val="24"/>
          <w:highlight w:val="none"/>
        </w:rPr>
      </w:pPr>
      <w:r>
        <w:rPr>
          <w:rFonts w:hint="eastAsia"/>
          <w:color w:val="auto"/>
          <w:sz w:val="24"/>
          <w:szCs w:val="24"/>
          <w:highlight w:val="none"/>
        </w:rPr>
        <w:t>根据贵方的</w:t>
      </w:r>
      <w:r>
        <w:rPr>
          <w:rFonts w:hint="eastAsia"/>
          <w:color w:val="auto"/>
          <w:sz w:val="24"/>
          <w:szCs w:val="24"/>
          <w:highlight w:val="none"/>
          <w:u w:val="single"/>
        </w:rPr>
        <w:t xml:space="preserve">      </w:t>
      </w:r>
      <w:r>
        <w:rPr>
          <w:rFonts w:hint="eastAsia"/>
          <w:color w:val="auto"/>
          <w:sz w:val="24"/>
          <w:szCs w:val="24"/>
          <w:highlight w:val="none"/>
        </w:rPr>
        <w:t>号招标文件，正式授权下述签字人______</w:t>
      </w:r>
      <w:r>
        <w:rPr>
          <w:rFonts w:hint="eastAsia"/>
          <w:color w:val="auto"/>
          <w:sz w:val="24"/>
          <w:szCs w:val="24"/>
          <w:highlight w:val="none"/>
          <w:lang w:eastAsia="zh-CN"/>
        </w:rPr>
        <w:t>（</w:t>
      </w:r>
      <w:r>
        <w:rPr>
          <w:rFonts w:hint="eastAsia"/>
          <w:color w:val="auto"/>
          <w:sz w:val="24"/>
          <w:szCs w:val="24"/>
          <w:highlight w:val="none"/>
        </w:rPr>
        <w:t>姓名</w:t>
      </w:r>
      <w:r>
        <w:rPr>
          <w:rFonts w:hint="eastAsia"/>
          <w:color w:val="auto"/>
          <w:sz w:val="24"/>
          <w:szCs w:val="24"/>
          <w:highlight w:val="none"/>
          <w:lang w:eastAsia="zh-CN"/>
        </w:rPr>
        <w:t>）</w:t>
      </w:r>
      <w:r>
        <w:rPr>
          <w:rFonts w:hint="eastAsia"/>
          <w:color w:val="auto"/>
          <w:sz w:val="24"/>
          <w:szCs w:val="24"/>
          <w:highlight w:val="none"/>
        </w:rPr>
        <w:t>代表我方______________（投标人的名称），全权处理本次项目投标的有关事宜。</w:t>
      </w:r>
    </w:p>
    <w:p w14:paraId="71CC9407">
      <w:pPr>
        <w:ind w:firstLine="480"/>
        <w:rPr>
          <w:color w:val="auto"/>
          <w:sz w:val="24"/>
          <w:szCs w:val="24"/>
          <w:highlight w:val="none"/>
        </w:rPr>
      </w:pPr>
      <w:r>
        <w:rPr>
          <w:rFonts w:hint="eastAsia"/>
          <w:color w:val="auto"/>
          <w:sz w:val="24"/>
          <w:szCs w:val="24"/>
          <w:highlight w:val="none"/>
        </w:rPr>
        <w:t>据此函，__________签字人兹宣布同意如下：</w:t>
      </w:r>
    </w:p>
    <w:p w14:paraId="145321DE">
      <w:pPr>
        <w:ind w:firstLine="480"/>
        <w:rPr>
          <w:color w:val="auto"/>
          <w:sz w:val="24"/>
          <w:szCs w:val="24"/>
          <w:highlight w:val="none"/>
        </w:rPr>
      </w:pPr>
      <w:r>
        <w:rPr>
          <w:rFonts w:hint="eastAsia"/>
          <w:color w:val="auto"/>
          <w:sz w:val="24"/>
          <w:szCs w:val="24"/>
          <w:highlight w:val="none"/>
        </w:rPr>
        <w:t>1.按招标文件规定的各项要求，向买方提供所需服务（包含与服务相关的货物）。</w:t>
      </w:r>
    </w:p>
    <w:p w14:paraId="324C8001">
      <w:pPr>
        <w:ind w:firstLine="480"/>
        <w:rPr>
          <w:color w:val="auto"/>
          <w:sz w:val="24"/>
          <w:szCs w:val="24"/>
          <w:highlight w:val="none"/>
        </w:rPr>
      </w:pPr>
      <w:r>
        <w:rPr>
          <w:rFonts w:hint="eastAsia"/>
          <w:color w:val="auto"/>
          <w:sz w:val="24"/>
          <w:szCs w:val="24"/>
          <w:highlight w:val="none"/>
        </w:rPr>
        <w:t>2.我们完全理解贵方不一定将合同授予最低报价的投标人。</w:t>
      </w:r>
    </w:p>
    <w:p w14:paraId="591B9612">
      <w:pPr>
        <w:ind w:firstLine="480"/>
        <w:rPr>
          <w:color w:val="auto"/>
          <w:sz w:val="24"/>
          <w:szCs w:val="24"/>
          <w:highlight w:val="none"/>
        </w:rPr>
      </w:pPr>
      <w:r>
        <w:rPr>
          <w:rFonts w:hint="eastAsia"/>
          <w:color w:val="auto"/>
          <w:sz w:val="24"/>
          <w:szCs w:val="24"/>
          <w:highlight w:val="none"/>
        </w:rPr>
        <w:t>3.我们已详细审核全部招标文件及其有效补充文件，我们知道必须放弃提出含糊不清或误解问题的权利。</w:t>
      </w:r>
    </w:p>
    <w:p w14:paraId="26A29112">
      <w:pPr>
        <w:ind w:firstLine="480"/>
        <w:rPr>
          <w:color w:val="auto"/>
          <w:sz w:val="24"/>
          <w:szCs w:val="24"/>
          <w:highlight w:val="none"/>
        </w:rPr>
      </w:pPr>
      <w:r>
        <w:rPr>
          <w:rFonts w:hint="eastAsia"/>
          <w:color w:val="auto"/>
          <w:sz w:val="24"/>
          <w:szCs w:val="24"/>
          <w:highlight w:val="none"/>
        </w:rPr>
        <w:t>4.我们同意从规定的开标日期起遵循本投标文件，并在规定的投标有效期期满之前均具有约束力。</w:t>
      </w:r>
    </w:p>
    <w:p w14:paraId="2F211B33">
      <w:pPr>
        <w:ind w:firstLine="480"/>
        <w:rPr>
          <w:color w:val="auto"/>
          <w:sz w:val="24"/>
          <w:szCs w:val="24"/>
          <w:highlight w:val="none"/>
        </w:rPr>
      </w:pPr>
      <w:r>
        <w:rPr>
          <w:rFonts w:hint="eastAsia"/>
          <w:color w:val="auto"/>
          <w:sz w:val="24"/>
          <w:szCs w:val="24"/>
          <w:highlight w:val="none"/>
        </w:rPr>
        <w:t>5.同意向贵方提供贵方可能另外要求的与投标有关的任何证据或资料，并保证我方已提供和将要提供的文件是真实的、准确的。</w:t>
      </w:r>
    </w:p>
    <w:p w14:paraId="07AD04BC">
      <w:pPr>
        <w:ind w:firstLine="480"/>
        <w:rPr>
          <w:color w:val="auto"/>
          <w:sz w:val="24"/>
          <w:szCs w:val="24"/>
          <w:highlight w:val="none"/>
        </w:rPr>
      </w:pPr>
      <w:r>
        <w:rPr>
          <w:rFonts w:hint="eastAsia"/>
          <w:color w:val="auto"/>
          <w:sz w:val="24"/>
          <w:szCs w:val="24"/>
          <w:highlight w:val="none"/>
        </w:rPr>
        <w:t>6.一旦我方中标</w:t>
      </w:r>
      <w:r>
        <w:rPr>
          <w:rFonts w:hint="eastAsia"/>
          <w:color w:val="auto"/>
          <w:sz w:val="24"/>
          <w:szCs w:val="24"/>
          <w:highlight w:val="none"/>
          <w:lang w:eastAsia="zh-CN"/>
        </w:rPr>
        <w:t>，</w:t>
      </w:r>
      <w:r>
        <w:rPr>
          <w:rFonts w:hint="eastAsia"/>
          <w:color w:val="auto"/>
          <w:sz w:val="24"/>
          <w:szCs w:val="24"/>
          <w:highlight w:val="none"/>
        </w:rPr>
        <w:t>我方将根据招标文件的规定，严格履行合同的责任和义务</w:t>
      </w:r>
      <w:r>
        <w:rPr>
          <w:rFonts w:hint="eastAsia"/>
          <w:color w:val="auto"/>
          <w:sz w:val="24"/>
          <w:szCs w:val="24"/>
          <w:highlight w:val="none"/>
          <w:lang w:eastAsia="zh-CN"/>
        </w:rPr>
        <w:t>，</w:t>
      </w:r>
      <w:r>
        <w:rPr>
          <w:rFonts w:hint="eastAsia"/>
          <w:color w:val="auto"/>
          <w:sz w:val="24"/>
          <w:szCs w:val="24"/>
          <w:highlight w:val="none"/>
        </w:rPr>
        <w:t>并保证在招标文件规定的时间完成项目，交付买方验收、使用。</w:t>
      </w:r>
    </w:p>
    <w:p w14:paraId="4814354A">
      <w:pPr>
        <w:ind w:firstLine="480"/>
        <w:rPr>
          <w:color w:val="auto"/>
          <w:sz w:val="24"/>
          <w:szCs w:val="24"/>
          <w:highlight w:val="none"/>
        </w:rPr>
      </w:pPr>
      <w:r>
        <w:rPr>
          <w:rFonts w:hint="eastAsia"/>
          <w:color w:val="auto"/>
          <w:sz w:val="24"/>
          <w:szCs w:val="24"/>
          <w:highlight w:val="none"/>
        </w:rPr>
        <w:t>7.与本投标有关的正式通讯地址为：</w:t>
      </w:r>
    </w:p>
    <w:p w14:paraId="566A6B77">
      <w:pPr>
        <w:ind w:firstLine="480"/>
        <w:rPr>
          <w:color w:val="auto"/>
          <w:sz w:val="24"/>
          <w:szCs w:val="24"/>
          <w:highlight w:val="none"/>
        </w:rPr>
      </w:pPr>
      <w:r>
        <w:rPr>
          <w:rFonts w:hint="eastAsia"/>
          <w:color w:val="auto"/>
          <w:sz w:val="24"/>
          <w:szCs w:val="24"/>
          <w:highlight w:val="none"/>
        </w:rPr>
        <w:t>地        址：</w:t>
      </w:r>
    </w:p>
    <w:p w14:paraId="1A8A0357">
      <w:pPr>
        <w:ind w:firstLine="480"/>
        <w:rPr>
          <w:color w:val="auto"/>
          <w:sz w:val="24"/>
          <w:szCs w:val="24"/>
          <w:highlight w:val="none"/>
        </w:rPr>
      </w:pPr>
      <w:r>
        <w:rPr>
          <w:rFonts w:hint="eastAsia"/>
          <w:color w:val="auto"/>
          <w:sz w:val="24"/>
          <w:szCs w:val="24"/>
          <w:highlight w:val="none"/>
        </w:rPr>
        <w:t>邮        编：</w:t>
      </w:r>
    </w:p>
    <w:p w14:paraId="6F450BFB">
      <w:pPr>
        <w:ind w:firstLine="480"/>
        <w:rPr>
          <w:color w:val="auto"/>
          <w:sz w:val="24"/>
          <w:szCs w:val="24"/>
          <w:highlight w:val="none"/>
        </w:rPr>
      </w:pPr>
      <w:r>
        <w:rPr>
          <w:rFonts w:hint="eastAsia"/>
          <w:color w:val="auto"/>
          <w:sz w:val="24"/>
          <w:szCs w:val="24"/>
          <w:highlight w:val="none"/>
        </w:rPr>
        <w:t>电        话：</w:t>
      </w:r>
    </w:p>
    <w:p w14:paraId="0A57CBB4">
      <w:pPr>
        <w:ind w:firstLine="480"/>
        <w:rPr>
          <w:color w:val="auto"/>
          <w:sz w:val="24"/>
          <w:szCs w:val="24"/>
          <w:highlight w:val="none"/>
        </w:rPr>
      </w:pPr>
      <w:r>
        <w:rPr>
          <w:rFonts w:hint="eastAsia"/>
          <w:color w:val="auto"/>
          <w:sz w:val="24"/>
          <w:szCs w:val="24"/>
          <w:highlight w:val="none"/>
        </w:rPr>
        <w:t>传        真：</w:t>
      </w:r>
    </w:p>
    <w:p w14:paraId="06D34196">
      <w:pPr>
        <w:ind w:firstLine="480"/>
        <w:rPr>
          <w:color w:val="auto"/>
          <w:sz w:val="24"/>
          <w:szCs w:val="24"/>
          <w:highlight w:val="none"/>
        </w:rPr>
      </w:pPr>
      <w:r>
        <w:rPr>
          <w:rFonts w:hint="eastAsia"/>
          <w:color w:val="auto"/>
          <w:sz w:val="24"/>
          <w:szCs w:val="24"/>
          <w:highlight w:val="none"/>
        </w:rPr>
        <w:t>投标人开户行：</w:t>
      </w:r>
    </w:p>
    <w:p w14:paraId="1BE63EDF">
      <w:pPr>
        <w:ind w:firstLine="480"/>
        <w:rPr>
          <w:color w:val="auto"/>
          <w:sz w:val="24"/>
          <w:szCs w:val="24"/>
          <w:highlight w:val="none"/>
        </w:rPr>
      </w:pPr>
      <w:r>
        <w:rPr>
          <w:rFonts w:hint="eastAsia"/>
          <w:color w:val="auto"/>
          <w:sz w:val="24"/>
          <w:szCs w:val="24"/>
          <w:highlight w:val="none"/>
        </w:rPr>
        <w:t xml:space="preserve">账        号： </w:t>
      </w:r>
    </w:p>
    <w:p w14:paraId="5274DFDB">
      <w:pPr>
        <w:ind w:firstLine="480"/>
        <w:rPr>
          <w:color w:val="auto"/>
          <w:sz w:val="24"/>
          <w:szCs w:val="24"/>
          <w:highlight w:val="none"/>
        </w:rPr>
      </w:pPr>
      <w:r>
        <w:rPr>
          <w:rFonts w:hint="eastAsia"/>
          <w:color w:val="auto"/>
          <w:sz w:val="24"/>
          <w:szCs w:val="24"/>
          <w:highlight w:val="none"/>
        </w:rPr>
        <w:t>日        期：______年____月____日</w:t>
      </w:r>
    </w:p>
    <w:p w14:paraId="1D9A07C9">
      <w:pPr>
        <w:ind w:firstLine="480"/>
        <w:rPr>
          <w:color w:val="auto"/>
          <w:sz w:val="24"/>
          <w:szCs w:val="24"/>
          <w:highlight w:val="none"/>
        </w:rPr>
      </w:pPr>
    </w:p>
    <w:p w14:paraId="7B7246E9">
      <w:pPr>
        <w:ind w:firstLine="440"/>
        <w:rPr>
          <w:color w:val="auto"/>
          <w:highlight w:val="none"/>
        </w:rPr>
      </w:pPr>
    </w:p>
    <w:p w14:paraId="1B636DE4">
      <w:pPr>
        <w:ind w:firstLine="56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九、小微企业声明函（服务）</w:t>
      </w:r>
    </w:p>
    <w:p w14:paraId="78323A38">
      <w:pPr>
        <w:pStyle w:val="20"/>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highlight w:val="none"/>
          <w:lang w:val="en-US" w:eastAsia="zh-CN"/>
        </w:rPr>
        <w:t>江苏伟业项目管理有限公司</w:t>
      </w:r>
      <w:r>
        <w:rPr>
          <w:rFonts w:hint="eastAsia" w:ascii="宋体" w:hAnsi="宋体" w:eastAsia="宋体" w:cs="宋体"/>
          <w:color w:val="auto"/>
          <w:highlight w:val="none"/>
        </w:rPr>
        <w:t>组织的</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（项目名称）（分包号：**）</w:t>
      </w:r>
      <w:r>
        <w:rPr>
          <w:rFonts w:hint="eastAsia" w:ascii="宋体" w:hAnsi="宋体" w:eastAsia="宋体" w:cs="宋体"/>
          <w:color w:val="auto"/>
          <w:highlight w:val="none"/>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CD85F59">
      <w:pPr>
        <w:pStyle w:val="20"/>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（小型企业、微型企业）；</w:t>
      </w:r>
    </w:p>
    <w:p w14:paraId="31BBA280">
      <w:pPr>
        <w:pStyle w:val="20"/>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（小型企业、微型企业）；</w:t>
      </w:r>
    </w:p>
    <w:p w14:paraId="7140324E">
      <w:pPr>
        <w:pStyle w:val="20"/>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w:t>
      </w:r>
    </w:p>
    <w:p w14:paraId="5C858147">
      <w:pPr>
        <w:pStyle w:val="20"/>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04D6DC60">
      <w:pPr>
        <w:pStyle w:val="20"/>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2EE69163">
      <w:pPr>
        <w:pStyle w:val="20"/>
        <w:spacing w:beforeAutospacing="0" w:afterAutospacing="0" w:line="0" w:lineRule="atLeast"/>
        <w:ind w:right="720"/>
        <w:jc w:val="both"/>
        <w:rPr>
          <w:color w:val="auto"/>
          <w:highlight w:val="none"/>
        </w:rPr>
      </w:pPr>
      <w:r>
        <w:rPr>
          <w:color w:val="auto"/>
          <w:highlight w:val="none"/>
        </w:rPr>
        <w:t> </w:t>
      </w:r>
    </w:p>
    <w:p w14:paraId="48152680">
      <w:pPr>
        <w:pStyle w:val="20"/>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63AB8183">
      <w:pPr>
        <w:pStyle w:val="20"/>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4D9E50AD">
      <w:pPr>
        <w:pStyle w:val="20"/>
        <w:spacing w:beforeAutospacing="0" w:afterAutospacing="0" w:line="0" w:lineRule="atLeast"/>
        <w:ind w:firstLine="240"/>
        <w:jc w:val="both"/>
        <w:rPr>
          <w:color w:val="auto"/>
          <w:highlight w:val="none"/>
        </w:rPr>
      </w:pPr>
      <w:r>
        <w:rPr>
          <w:color w:val="auto"/>
          <w:highlight w:val="none"/>
        </w:rPr>
        <w:t> </w:t>
      </w:r>
    </w:p>
    <w:p w14:paraId="1ADF41BE">
      <w:pPr>
        <w:pStyle w:val="2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15F5CEEB">
      <w:pPr>
        <w:ind w:firstLine="480"/>
        <w:rPr>
          <w:color w:val="auto"/>
          <w:sz w:val="24"/>
          <w:szCs w:val="24"/>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r>
        <w:rPr>
          <w:rFonts w:hint="eastAsia"/>
          <w:color w:val="auto"/>
          <w:sz w:val="24"/>
          <w:szCs w:val="24"/>
          <w:highlight w:val="none"/>
        </w:rPr>
        <w:br w:type="page" w:clear="all"/>
      </w:r>
    </w:p>
    <w:p w14:paraId="56042FE2">
      <w:pPr>
        <w:pStyle w:val="42"/>
        <w:ind w:left="0" w:firstLine="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十、残疾人福利性单位声明函</w:t>
      </w:r>
    </w:p>
    <w:p w14:paraId="43A7EE01">
      <w:pPr>
        <w:ind w:firstLine="480"/>
        <w:rPr>
          <w:color w:val="auto"/>
          <w:sz w:val="24"/>
          <w:szCs w:val="24"/>
          <w:highlight w:val="none"/>
        </w:rPr>
      </w:pPr>
      <w:r>
        <w:rPr>
          <w:rFonts w:hint="eastAsia"/>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color w:val="auto"/>
          <w:sz w:val="24"/>
          <w:highlight w:val="none"/>
          <w:u w:val="single"/>
          <w:lang w:eastAsia="zh-CN"/>
        </w:rPr>
        <w:t>江苏省盐南高新技术产业开发区市场监督管理局</w:t>
      </w:r>
      <w:r>
        <w:rPr>
          <w:rFonts w:hint="eastAsia"/>
          <w:color w:val="auto"/>
          <w:sz w:val="24"/>
          <w:szCs w:val="24"/>
          <w:highlight w:val="none"/>
        </w:rPr>
        <w:t>单位的采购文件编号为</w:t>
      </w:r>
      <w:r>
        <w:rPr>
          <w:rFonts w:hint="eastAsia"/>
          <w:color w:val="auto"/>
          <w:sz w:val="24"/>
          <w:szCs w:val="24"/>
          <w:highlight w:val="none"/>
          <w:u w:val="single"/>
          <w:lang w:eastAsia="zh-CN"/>
        </w:rPr>
        <w:t>JSZC-320992-WYGS-G2025-0003</w:t>
      </w:r>
      <w:r>
        <w:rPr>
          <w:rFonts w:hint="eastAsia"/>
          <w:color w:val="auto"/>
          <w:sz w:val="24"/>
          <w:szCs w:val="24"/>
          <w:highlight w:val="none"/>
        </w:rPr>
        <w:t>的</w:t>
      </w:r>
      <w:r>
        <w:rPr>
          <w:rFonts w:hint="eastAsia"/>
          <w:color w:val="auto"/>
          <w:sz w:val="24"/>
          <w:szCs w:val="24"/>
          <w:highlight w:val="none"/>
          <w:u w:val="single"/>
          <w:lang w:eastAsia="zh-CN"/>
        </w:rPr>
        <w:t>2025年盐南高新区农贸市场食品安全快检服务采购项目</w:t>
      </w:r>
      <w:r>
        <w:rPr>
          <w:rFonts w:hint="eastAsia"/>
          <w:color w:val="auto"/>
          <w:sz w:val="24"/>
          <w:szCs w:val="24"/>
          <w:highlight w:val="none"/>
        </w:rPr>
        <w:t>采购活动由本单位提供服务。</w:t>
      </w:r>
    </w:p>
    <w:p w14:paraId="755CD46D">
      <w:pPr>
        <w:ind w:firstLine="480"/>
        <w:rPr>
          <w:color w:val="auto"/>
          <w:sz w:val="24"/>
          <w:szCs w:val="24"/>
          <w:highlight w:val="none"/>
        </w:rPr>
      </w:pPr>
      <w:r>
        <w:rPr>
          <w:rFonts w:hint="eastAsia"/>
          <w:color w:val="auto"/>
          <w:sz w:val="24"/>
          <w:szCs w:val="24"/>
          <w:highlight w:val="none"/>
        </w:rPr>
        <w:t>本单位对上述声明的真实性负责。如有虚假，将依法承担相应责任。</w:t>
      </w:r>
    </w:p>
    <w:p w14:paraId="3D12BE77">
      <w:pPr>
        <w:ind w:firstLine="480"/>
        <w:rPr>
          <w:color w:val="auto"/>
          <w:sz w:val="24"/>
          <w:szCs w:val="24"/>
          <w:highlight w:val="none"/>
        </w:rPr>
      </w:pPr>
      <w:r>
        <w:rPr>
          <w:rFonts w:hint="eastAsia"/>
          <w:color w:val="auto"/>
          <w:sz w:val="24"/>
          <w:szCs w:val="24"/>
          <w:highlight w:val="none"/>
        </w:rPr>
        <w:t> </w:t>
      </w:r>
    </w:p>
    <w:p w14:paraId="49BFF030">
      <w:pPr>
        <w:ind w:firstLine="480"/>
        <w:rPr>
          <w:color w:val="auto"/>
          <w:sz w:val="24"/>
          <w:szCs w:val="24"/>
          <w:highlight w:val="none"/>
        </w:rPr>
      </w:pPr>
      <w:r>
        <w:rPr>
          <w:rFonts w:hint="eastAsia"/>
          <w:color w:val="auto"/>
          <w:sz w:val="24"/>
          <w:szCs w:val="24"/>
          <w:highlight w:val="none"/>
        </w:rPr>
        <w:t>（备注：1、供应商如不提供此声明函，价格将不做相应扣除。2、中标人为残疾人福利单位的，此声明函将随中标结果同时公告，接受社会监督）</w:t>
      </w:r>
    </w:p>
    <w:p w14:paraId="5033B9A3">
      <w:pPr>
        <w:ind w:firstLine="480"/>
        <w:rPr>
          <w:color w:val="auto"/>
          <w:sz w:val="24"/>
          <w:szCs w:val="24"/>
          <w:highlight w:val="none"/>
        </w:rPr>
      </w:pPr>
      <w:r>
        <w:rPr>
          <w:rFonts w:hint="eastAsia"/>
          <w:color w:val="auto"/>
          <w:sz w:val="24"/>
          <w:szCs w:val="24"/>
          <w:highlight w:val="none"/>
        </w:rPr>
        <w:t> </w:t>
      </w:r>
    </w:p>
    <w:p w14:paraId="1FD0602C">
      <w:pPr>
        <w:ind w:firstLine="480"/>
        <w:rPr>
          <w:color w:val="auto"/>
          <w:sz w:val="24"/>
          <w:szCs w:val="24"/>
          <w:highlight w:val="none"/>
        </w:rPr>
      </w:pPr>
      <w:r>
        <w:rPr>
          <w:rFonts w:hint="eastAsia"/>
          <w:color w:val="auto"/>
          <w:sz w:val="24"/>
          <w:szCs w:val="24"/>
          <w:highlight w:val="none"/>
        </w:rPr>
        <w:t>                                     企业名称（加盖CA电子公章）：</w:t>
      </w:r>
    </w:p>
    <w:p w14:paraId="021F6DA4">
      <w:pPr>
        <w:ind w:firstLine="7200"/>
        <w:rPr>
          <w:color w:val="auto"/>
          <w:sz w:val="24"/>
          <w:szCs w:val="24"/>
          <w:highlight w:val="none"/>
        </w:rPr>
      </w:pPr>
      <w:r>
        <w:rPr>
          <w:rFonts w:hint="eastAsia"/>
          <w:color w:val="auto"/>
          <w:sz w:val="24"/>
          <w:szCs w:val="24"/>
          <w:highlight w:val="none"/>
        </w:rPr>
        <w:t xml:space="preserve"> 日  期：</w:t>
      </w:r>
    </w:p>
    <w:p w14:paraId="348D1A0C">
      <w:pPr>
        <w:ind w:firstLine="480"/>
        <w:rPr>
          <w:color w:val="auto"/>
          <w:sz w:val="24"/>
          <w:szCs w:val="24"/>
          <w:highlight w:val="none"/>
        </w:rPr>
      </w:pPr>
    </w:p>
    <w:p w14:paraId="1EE6907D">
      <w:pPr>
        <w:ind w:firstLine="480"/>
        <w:rPr>
          <w:color w:val="auto"/>
          <w:sz w:val="24"/>
          <w:szCs w:val="24"/>
          <w:highlight w:val="none"/>
        </w:rPr>
      </w:pPr>
      <w:r>
        <w:rPr>
          <w:rFonts w:hint="eastAsia"/>
          <w:color w:val="auto"/>
          <w:sz w:val="24"/>
          <w:szCs w:val="24"/>
          <w:highlight w:val="none"/>
        </w:rPr>
        <w:t> </w:t>
      </w:r>
    </w:p>
    <w:p w14:paraId="6B1A4967">
      <w:pPr>
        <w:ind w:firstLine="480"/>
        <w:rPr>
          <w:color w:val="auto"/>
          <w:sz w:val="24"/>
          <w:szCs w:val="24"/>
          <w:highlight w:val="none"/>
        </w:rPr>
      </w:pPr>
    </w:p>
    <w:p w14:paraId="12AA3CDA">
      <w:pPr>
        <w:ind w:firstLine="440"/>
        <w:rPr>
          <w:color w:val="auto"/>
          <w:highlight w:val="none"/>
        </w:rPr>
      </w:pPr>
    </w:p>
    <w:p w14:paraId="3C499891">
      <w:pPr>
        <w:ind w:firstLine="440"/>
        <w:rPr>
          <w:color w:val="auto"/>
          <w:highlight w:val="none"/>
        </w:rPr>
      </w:pPr>
    </w:p>
    <w:p w14:paraId="6DBBC538">
      <w:pPr>
        <w:ind w:firstLine="440"/>
        <w:rPr>
          <w:color w:val="auto"/>
          <w:highlight w:val="none"/>
        </w:rPr>
      </w:pPr>
    </w:p>
    <w:p w14:paraId="7B5CCE93">
      <w:pPr>
        <w:ind w:firstLine="440"/>
        <w:rPr>
          <w:color w:val="auto"/>
          <w:highlight w:val="none"/>
        </w:rPr>
      </w:pPr>
    </w:p>
    <w:p w14:paraId="77FF25A7">
      <w:pPr>
        <w:ind w:firstLine="440"/>
        <w:rPr>
          <w:color w:val="auto"/>
          <w:highlight w:val="none"/>
        </w:rPr>
      </w:pPr>
    </w:p>
    <w:p w14:paraId="273547EA">
      <w:pPr>
        <w:ind w:firstLine="440"/>
        <w:rPr>
          <w:color w:val="auto"/>
          <w:highlight w:val="none"/>
        </w:rPr>
      </w:pPr>
    </w:p>
    <w:p w14:paraId="0ED2BAC9">
      <w:pPr>
        <w:ind w:firstLine="440"/>
        <w:rPr>
          <w:color w:val="auto"/>
          <w:highlight w:val="none"/>
        </w:rPr>
      </w:pPr>
    </w:p>
    <w:p w14:paraId="2D5F2EBF">
      <w:pPr>
        <w:ind w:firstLine="440"/>
        <w:rPr>
          <w:color w:val="auto"/>
          <w:highlight w:val="none"/>
        </w:rPr>
      </w:pPr>
    </w:p>
    <w:p w14:paraId="521D5FE8">
      <w:pPr>
        <w:ind w:firstLine="440"/>
        <w:rPr>
          <w:color w:val="auto"/>
          <w:highlight w:val="none"/>
        </w:rPr>
      </w:pPr>
    </w:p>
    <w:p w14:paraId="088D2BB7">
      <w:pPr>
        <w:ind w:firstLine="440"/>
        <w:rPr>
          <w:color w:val="auto"/>
          <w:highlight w:val="none"/>
        </w:rPr>
      </w:pPr>
    </w:p>
    <w:p w14:paraId="425C4B65">
      <w:pPr>
        <w:ind w:firstLine="440"/>
        <w:rPr>
          <w:color w:val="auto"/>
          <w:highlight w:val="none"/>
        </w:rPr>
      </w:pPr>
    </w:p>
    <w:p w14:paraId="4DCA69C5">
      <w:pPr>
        <w:pStyle w:val="22"/>
        <w:tabs>
          <w:tab w:val="left" w:pos="180"/>
        </w:tabs>
        <w:ind w:firstLine="640"/>
        <w:rPr>
          <w:color w:val="auto"/>
          <w:highlight w:val="none"/>
        </w:rPr>
      </w:pPr>
    </w:p>
    <w:p w14:paraId="207997CF">
      <w:pPr>
        <w:pStyle w:val="22"/>
        <w:tabs>
          <w:tab w:val="left" w:pos="180"/>
        </w:tabs>
        <w:ind w:firstLine="640"/>
        <w:rPr>
          <w:color w:val="auto"/>
          <w:highlight w:val="none"/>
        </w:rPr>
      </w:pPr>
    </w:p>
    <w:p w14:paraId="3FCA00D4">
      <w:pPr>
        <w:rPr>
          <w:color w:val="auto"/>
          <w:highlight w:val="none"/>
        </w:rPr>
      </w:pPr>
      <w:r>
        <w:rPr>
          <w:color w:val="auto"/>
          <w:highlight w:val="none"/>
        </w:rPr>
        <w:br w:type="page"/>
      </w:r>
    </w:p>
    <w:p w14:paraId="3A3C1FE2">
      <w:pPr>
        <w:pStyle w:val="20"/>
        <w:spacing w:beforeAutospacing="0" w:afterAutospacing="0"/>
        <w:jc w:val="center"/>
        <w:rPr>
          <w:rFonts w:eastAsia="黑体"/>
          <w:i/>
          <w:iCs/>
          <w:color w:val="auto"/>
          <w:highlight w:val="none"/>
        </w:rPr>
      </w:pPr>
      <w:r>
        <w:rPr>
          <w:rFonts w:hint="eastAsia" w:ascii="黑体" w:eastAsia="黑体" w:cs="黑体"/>
          <w:b/>
          <w:i/>
          <w:iCs/>
          <w:color w:val="auto"/>
          <w:sz w:val="32"/>
          <w:szCs w:val="32"/>
          <w:highlight w:val="none"/>
          <w:u w:val="single"/>
        </w:rPr>
        <w:t>十一、投标分项报价表</w:t>
      </w:r>
      <w:r>
        <w:rPr>
          <w:rFonts w:hint="eastAsia" w:ascii="黑体" w:eastAsia="黑体" w:cs="黑体"/>
          <w:b/>
          <w:i/>
          <w:iCs/>
          <w:color w:val="auto"/>
          <w:sz w:val="32"/>
          <w:szCs w:val="32"/>
          <w:highlight w:val="none"/>
        </w:rPr>
        <w:t xml:space="preserve"> </w:t>
      </w:r>
    </w:p>
    <w:tbl>
      <w:tblPr>
        <w:tblStyle w:val="23"/>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758A5F5A">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6</w:t>
            </w:r>
          </w:p>
        </w:tc>
      </w:tr>
      <w:tr w14:paraId="37407F45">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ascii="宋体"/>
                <w:color w:val="auto"/>
                <w:sz w:val="24"/>
                <w:highlight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分项</w:t>
            </w:r>
          </w:p>
          <w:p w14:paraId="04CE5FC7">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分项</w:t>
            </w:r>
          </w:p>
          <w:p w14:paraId="0FEC4C65">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总价</w:t>
            </w:r>
          </w:p>
        </w:tc>
      </w:tr>
      <w:tr w14:paraId="051188F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20"/>
              <w:spacing w:beforeAutospacing="0" w:afterAutospacing="0" w:line="0" w:lineRule="atLeast"/>
              <w:jc w:val="center"/>
              <w:rPr>
                <w:color w:val="auto"/>
                <w:highlight w:val="none"/>
              </w:rPr>
            </w:pPr>
            <w:r>
              <w:rPr>
                <w:color w:val="auto"/>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20"/>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20"/>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20"/>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20"/>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20"/>
              <w:spacing w:beforeAutospacing="0" w:afterAutospacing="0" w:line="0" w:lineRule="atLeast"/>
              <w:jc w:val="center"/>
              <w:rPr>
                <w:color w:val="auto"/>
                <w:highlight w:val="none"/>
              </w:rPr>
            </w:pPr>
            <w:r>
              <w:rPr>
                <w:color w:val="auto"/>
                <w:highlight w:val="none"/>
              </w:rPr>
              <w:t> </w:t>
            </w:r>
          </w:p>
        </w:tc>
      </w:tr>
      <w:tr w14:paraId="38B54F8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20"/>
              <w:spacing w:beforeAutospacing="0" w:afterAutospacing="0" w:line="0" w:lineRule="atLeast"/>
              <w:jc w:val="center"/>
              <w:rPr>
                <w:color w:val="auto"/>
                <w:highlight w:val="none"/>
              </w:rPr>
            </w:pPr>
            <w:r>
              <w:rPr>
                <w:color w:val="auto"/>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20"/>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20"/>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20"/>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20"/>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20"/>
              <w:spacing w:beforeAutospacing="0" w:afterAutospacing="0" w:line="0" w:lineRule="atLeast"/>
              <w:jc w:val="center"/>
              <w:rPr>
                <w:color w:val="auto"/>
                <w:highlight w:val="none"/>
              </w:rPr>
            </w:pPr>
            <w:r>
              <w:rPr>
                <w:color w:val="auto"/>
                <w:highlight w:val="none"/>
              </w:rPr>
              <w:t> </w:t>
            </w:r>
          </w:p>
        </w:tc>
      </w:tr>
      <w:tr w14:paraId="17F8E46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20"/>
              <w:spacing w:beforeAutospacing="0" w:afterAutospacing="0" w:line="0" w:lineRule="atLeast"/>
              <w:jc w:val="center"/>
              <w:rPr>
                <w:color w:val="auto"/>
                <w:highlight w:val="none"/>
              </w:rPr>
            </w:pPr>
            <w:r>
              <w:rPr>
                <w:color w:val="auto"/>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20"/>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20"/>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20"/>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20"/>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20"/>
              <w:spacing w:beforeAutospacing="0" w:afterAutospacing="0" w:line="0" w:lineRule="atLeast"/>
              <w:jc w:val="center"/>
              <w:rPr>
                <w:color w:val="auto"/>
                <w:highlight w:val="none"/>
              </w:rPr>
            </w:pPr>
            <w:r>
              <w:rPr>
                <w:color w:val="auto"/>
                <w:highlight w:val="none"/>
              </w:rPr>
              <w:t> </w:t>
            </w:r>
          </w:p>
        </w:tc>
      </w:tr>
      <w:tr w14:paraId="1775547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20"/>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20"/>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20"/>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20"/>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20"/>
              <w:spacing w:beforeAutospacing="0" w:afterAutospacing="0" w:line="0" w:lineRule="atLeast"/>
              <w:jc w:val="center"/>
              <w:rPr>
                <w:color w:val="auto"/>
                <w:highlight w:val="none"/>
              </w:rPr>
            </w:pPr>
            <w:r>
              <w:rPr>
                <w:color w:val="auto"/>
                <w:highlight w:val="none"/>
              </w:rPr>
              <w:t> </w:t>
            </w:r>
          </w:p>
        </w:tc>
      </w:tr>
      <w:tr w14:paraId="6E902B74">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20"/>
              <w:spacing w:beforeAutospacing="0" w:afterAutospacing="0" w:line="0" w:lineRule="atLeast"/>
              <w:jc w:val="center"/>
              <w:rPr>
                <w:color w:val="auto"/>
                <w:highlight w:val="none"/>
              </w:rPr>
            </w:pPr>
            <w:r>
              <w:rPr>
                <w:rFonts w:hint="eastAsia" w:ascii="宋体" w:hAnsi="宋体" w:eastAsia="宋体" w:cs="宋体"/>
                <w:color w:val="auto"/>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20"/>
              <w:spacing w:beforeAutospacing="0" w:afterAutospacing="0" w:line="0" w:lineRule="atLeast"/>
              <w:jc w:val="both"/>
              <w:rPr>
                <w:color w:val="auto"/>
                <w:highlight w:val="none"/>
              </w:rPr>
            </w:pPr>
            <w:r>
              <w:rPr>
                <w:color w:val="auto"/>
                <w:highlight w:val="none"/>
              </w:rPr>
              <w:t> </w:t>
            </w:r>
          </w:p>
        </w:tc>
      </w:tr>
    </w:tbl>
    <w:p w14:paraId="36F4F46C">
      <w:pPr>
        <w:pStyle w:val="20"/>
        <w:spacing w:beforeAutospacing="0" w:afterAutospacing="0"/>
        <w:jc w:val="both"/>
        <w:rPr>
          <w:color w:val="auto"/>
          <w:highlight w:val="none"/>
        </w:rPr>
      </w:pPr>
      <w:r>
        <w:rPr>
          <w:rFonts w:hint="eastAsia" w:ascii="宋体" w:hAnsi="宋体" w:eastAsia="宋体" w:cs="宋体"/>
          <w:color w:val="auto"/>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61583005">
      <w:pPr>
        <w:pStyle w:val="20"/>
        <w:spacing w:beforeAutospacing="0" w:afterAutospacing="0"/>
        <w:jc w:val="center"/>
        <w:rPr>
          <w:color w:val="auto"/>
          <w:highlight w:val="none"/>
        </w:rPr>
      </w:pPr>
      <w:r>
        <w:rPr>
          <w:color w:val="auto"/>
          <w:highlight w:val="none"/>
        </w:rPr>
        <w:t> </w:t>
      </w:r>
    </w:p>
    <w:p w14:paraId="40A7DB27">
      <w:pPr>
        <w:pStyle w:val="20"/>
        <w:spacing w:beforeAutospacing="0" w:afterAutospacing="0"/>
        <w:jc w:val="center"/>
        <w:rPr>
          <w:color w:val="auto"/>
          <w:highlight w:val="none"/>
        </w:rPr>
      </w:pPr>
      <w:r>
        <w:rPr>
          <w:color w:val="auto"/>
          <w:highlight w:val="none"/>
        </w:rPr>
        <w:t> </w:t>
      </w:r>
    </w:p>
    <w:p w14:paraId="05F298F1">
      <w:pPr>
        <w:pStyle w:val="20"/>
        <w:spacing w:beforeAutospacing="0" w:afterAutospacing="0"/>
        <w:jc w:val="center"/>
        <w:rPr>
          <w:color w:val="auto"/>
          <w:highlight w:val="none"/>
        </w:rPr>
      </w:pPr>
      <w:r>
        <w:rPr>
          <w:color w:val="auto"/>
          <w:highlight w:val="none"/>
        </w:rPr>
        <w:t> </w:t>
      </w:r>
    </w:p>
    <w:p w14:paraId="39706C2B">
      <w:pPr>
        <w:pStyle w:val="20"/>
        <w:spacing w:beforeAutospacing="0" w:afterAutospacing="0"/>
        <w:jc w:val="center"/>
        <w:rPr>
          <w:color w:val="auto"/>
          <w:highlight w:val="none"/>
        </w:rPr>
      </w:pPr>
      <w:r>
        <w:rPr>
          <w:color w:val="auto"/>
          <w:highlight w:val="none"/>
        </w:rPr>
        <w:t> </w:t>
      </w:r>
    </w:p>
    <w:p w14:paraId="4A94BB85">
      <w:pPr>
        <w:pStyle w:val="20"/>
        <w:spacing w:beforeAutospacing="0" w:afterAutospacing="0"/>
        <w:jc w:val="center"/>
        <w:rPr>
          <w:color w:val="auto"/>
          <w:highlight w:val="none"/>
        </w:rPr>
      </w:pPr>
      <w:r>
        <w:rPr>
          <w:color w:val="auto"/>
          <w:highlight w:val="none"/>
        </w:rPr>
        <w:t> </w:t>
      </w:r>
    </w:p>
    <w:p w14:paraId="3EFE5620">
      <w:pPr>
        <w:pStyle w:val="20"/>
        <w:spacing w:beforeAutospacing="0" w:afterAutospacing="0"/>
        <w:jc w:val="center"/>
        <w:rPr>
          <w:color w:val="auto"/>
          <w:highlight w:val="none"/>
        </w:rPr>
      </w:pPr>
    </w:p>
    <w:p w14:paraId="75117A34">
      <w:pPr>
        <w:pStyle w:val="20"/>
        <w:spacing w:beforeAutospacing="0" w:afterAutospacing="0"/>
        <w:jc w:val="center"/>
        <w:rPr>
          <w:color w:val="auto"/>
          <w:highlight w:val="none"/>
        </w:rPr>
      </w:pPr>
    </w:p>
    <w:p w14:paraId="7D01EFCA">
      <w:pPr>
        <w:pStyle w:val="20"/>
        <w:spacing w:beforeAutospacing="0" w:afterAutospacing="0"/>
        <w:jc w:val="center"/>
        <w:rPr>
          <w:color w:val="auto"/>
          <w:highlight w:val="none"/>
        </w:rPr>
      </w:pPr>
    </w:p>
    <w:p w14:paraId="58B3DD7B">
      <w:pPr>
        <w:rPr>
          <w:rFonts w:hint="eastAsia" w:ascii="黑体" w:eastAsia="黑体" w:cs="黑体"/>
          <w:b/>
          <w:i/>
          <w:iCs/>
          <w:color w:val="auto"/>
          <w:sz w:val="32"/>
          <w:szCs w:val="32"/>
          <w:highlight w:val="none"/>
          <w:u w:val="single"/>
        </w:rPr>
      </w:pPr>
      <w:r>
        <w:rPr>
          <w:rFonts w:hint="eastAsia" w:ascii="黑体" w:eastAsia="黑体" w:cs="黑体"/>
          <w:b/>
          <w:i/>
          <w:iCs/>
          <w:color w:val="auto"/>
          <w:sz w:val="32"/>
          <w:szCs w:val="32"/>
          <w:highlight w:val="none"/>
          <w:u w:val="single"/>
        </w:rPr>
        <w:br w:type="page"/>
      </w:r>
    </w:p>
    <w:p w14:paraId="31D4C171">
      <w:pPr>
        <w:pStyle w:val="20"/>
        <w:spacing w:beforeAutospacing="0" w:afterAutospacing="0"/>
        <w:jc w:val="center"/>
        <w:rPr>
          <w:i/>
          <w:iCs/>
          <w:color w:val="auto"/>
          <w:highlight w:val="none"/>
          <w:u w:val="single"/>
        </w:rPr>
      </w:pPr>
      <w:r>
        <w:rPr>
          <w:rFonts w:hint="eastAsia" w:ascii="黑体" w:eastAsia="黑体" w:cs="黑体"/>
          <w:b/>
          <w:i/>
          <w:iCs/>
          <w:color w:val="auto"/>
          <w:sz w:val="32"/>
          <w:szCs w:val="32"/>
          <w:highlight w:val="none"/>
          <w:u w:val="single"/>
        </w:rPr>
        <w:t>十二、技术要求响应及偏离表</w:t>
      </w:r>
    </w:p>
    <w:tbl>
      <w:tblPr>
        <w:tblStyle w:val="23"/>
        <w:tblW w:w="8850" w:type="dxa"/>
        <w:tblCellSpacing w:w="0" w:type="dxa"/>
        <w:tblInd w:w="10" w:type="dxa"/>
        <w:tblLayout w:type="fixed"/>
        <w:tblCellMar>
          <w:top w:w="0" w:type="dxa"/>
          <w:left w:w="108" w:type="dxa"/>
          <w:bottom w:w="0" w:type="dxa"/>
          <w:right w:w="108" w:type="dxa"/>
        </w:tblCellMar>
      </w:tblPr>
      <w:tblGrid>
        <w:gridCol w:w="629"/>
        <w:gridCol w:w="2935"/>
        <w:gridCol w:w="2608"/>
        <w:gridCol w:w="1247"/>
        <w:gridCol w:w="1431"/>
      </w:tblGrid>
      <w:tr w14:paraId="215D595B">
        <w:tblPrEx>
          <w:tblCellMar>
            <w:top w:w="0" w:type="dxa"/>
            <w:left w:w="108" w:type="dxa"/>
            <w:bottom w:w="0" w:type="dxa"/>
            <w:right w:w="108" w:type="dxa"/>
          </w:tblCellMar>
        </w:tblPrEx>
        <w:trPr>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877C00">
            <w:pPr>
              <w:pStyle w:val="20"/>
              <w:spacing w:beforeAutospacing="0" w:afterAutospacing="0"/>
              <w:ind w:firstLine="0"/>
              <w:rPr>
                <w:color w:val="auto"/>
                <w:highlight w:val="none"/>
              </w:rPr>
            </w:pPr>
            <w:r>
              <w:rPr>
                <w:rFonts w:hint="eastAsia" w:cs="宋体"/>
                <w:color w:val="auto"/>
                <w:highlight w:val="none"/>
              </w:rPr>
              <w:t>序号</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F3C835">
            <w:pPr>
              <w:pStyle w:val="20"/>
              <w:spacing w:beforeAutospacing="0" w:afterAutospacing="0"/>
              <w:jc w:val="center"/>
              <w:rPr>
                <w:color w:val="auto"/>
                <w:highlight w:val="none"/>
              </w:rPr>
            </w:pPr>
            <w:r>
              <w:rPr>
                <w:rFonts w:hint="eastAsia"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D60B8">
            <w:pPr>
              <w:pStyle w:val="20"/>
              <w:spacing w:beforeAutospacing="0" w:afterAutospacing="0"/>
              <w:jc w:val="center"/>
              <w:rPr>
                <w:color w:val="auto"/>
                <w:highlight w:val="none"/>
              </w:rPr>
            </w:pPr>
            <w:r>
              <w:rPr>
                <w:rFonts w:hint="eastAsia"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7AD0C9">
            <w:pPr>
              <w:pStyle w:val="20"/>
              <w:spacing w:beforeAutospacing="0" w:afterAutospacing="0"/>
              <w:jc w:val="center"/>
              <w:rPr>
                <w:color w:val="auto"/>
                <w:highlight w:val="none"/>
              </w:rPr>
            </w:pPr>
            <w:r>
              <w:rPr>
                <w:rFonts w:hint="eastAsia" w:cs="宋体"/>
                <w:color w:val="auto"/>
                <w:highlight w:val="none"/>
              </w:rPr>
              <w:t>超出、符合或偏离</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750B18">
            <w:pPr>
              <w:pStyle w:val="20"/>
              <w:spacing w:beforeAutospacing="0" w:afterAutospacing="0"/>
              <w:jc w:val="center"/>
              <w:rPr>
                <w:color w:val="auto"/>
                <w:highlight w:val="none"/>
              </w:rPr>
            </w:pPr>
            <w:r>
              <w:rPr>
                <w:rFonts w:hint="eastAsia" w:cs="宋体"/>
                <w:color w:val="auto"/>
                <w:highlight w:val="none"/>
              </w:rPr>
              <w:t>证明</w:t>
            </w:r>
          </w:p>
          <w:p w14:paraId="6B51E470">
            <w:pPr>
              <w:pStyle w:val="20"/>
              <w:spacing w:beforeAutospacing="0" w:afterAutospacing="0"/>
              <w:jc w:val="center"/>
              <w:rPr>
                <w:color w:val="auto"/>
                <w:highlight w:val="none"/>
              </w:rPr>
            </w:pPr>
            <w:r>
              <w:rPr>
                <w:rFonts w:hint="eastAsia" w:cs="宋体"/>
                <w:color w:val="auto"/>
                <w:highlight w:val="none"/>
              </w:rPr>
              <w:t>材料</w:t>
            </w:r>
          </w:p>
        </w:tc>
      </w:tr>
      <w:tr w14:paraId="27028B65">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9AB1B">
            <w:pPr>
              <w:pStyle w:val="20"/>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3B3116">
            <w:pPr>
              <w:pStyle w:val="2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FF7643">
            <w:pPr>
              <w:pStyle w:val="2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45709">
            <w:pPr>
              <w:pStyle w:val="20"/>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839BA">
            <w:pPr>
              <w:pStyle w:val="20"/>
              <w:spacing w:beforeAutospacing="0" w:afterAutospacing="0"/>
              <w:jc w:val="center"/>
              <w:rPr>
                <w:color w:val="auto"/>
                <w:highlight w:val="none"/>
              </w:rPr>
            </w:pPr>
            <w:r>
              <w:rPr>
                <w:color w:val="auto"/>
                <w:highlight w:val="none"/>
              </w:rPr>
              <w:t> </w:t>
            </w:r>
          </w:p>
        </w:tc>
      </w:tr>
      <w:tr w14:paraId="13772B8E">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52B5A5">
            <w:pPr>
              <w:pStyle w:val="20"/>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BA50C0">
            <w:pPr>
              <w:pStyle w:val="2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92AF52">
            <w:pPr>
              <w:pStyle w:val="2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A08B0">
            <w:pPr>
              <w:pStyle w:val="20"/>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1AB84">
            <w:pPr>
              <w:pStyle w:val="20"/>
              <w:spacing w:beforeAutospacing="0" w:afterAutospacing="0"/>
              <w:jc w:val="center"/>
              <w:rPr>
                <w:color w:val="auto"/>
                <w:highlight w:val="none"/>
              </w:rPr>
            </w:pPr>
            <w:r>
              <w:rPr>
                <w:color w:val="auto"/>
                <w:highlight w:val="none"/>
              </w:rPr>
              <w:t> </w:t>
            </w:r>
          </w:p>
        </w:tc>
      </w:tr>
      <w:tr w14:paraId="16C5B6BA">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A7400">
            <w:pPr>
              <w:pStyle w:val="20"/>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EB880">
            <w:pPr>
              <w:pStyle w:val="2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8C327F">
            <w:pPr>
              <w:pStyle w:val="2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63E2D">
            <w:pPr>
              <w:pStyle w:val="20"/>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7068DA">
            <w:pPr>
              <w:pStyle w:val="20"/>
              <w:spacing w:beforeAutospacing="0" w:afterAutospacing="0"/>
              <w:jc w:val="center"/>
              <w:rPr>
                <w:color w:val="auto"/>
                <w:highlight w:val="none"/>
              </w:rPr>
            </w:pPr>
            <w:r>
              <w:rPr>
                <w:color w:val="auto"/>
                <w:highlight w:val="none"/>
              </w:rPr>
              <w:t> </w:t>
            </w:r>
          </w:p>
        </w:tc>
      </w:tr>
      <w:tr w14:paraId="132E8A52">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5C915">
            <w:pPr>
              <w:pStyle w:val="20"/>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4BD00">
            <w:pPr>
              <w:pStyle w:val="2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D2709A">
            <w:pPr>
              <w:pStyle w:val="2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8CAEA">
            <w:pPr>
              <w:pStyle w:val="20"/>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015043">
            <w:pPr>
              <w:pStyle w:val="20"/>
              <w:spacing w:beforeAutospacing="0" w:afterAutospacing="0"/>
              <w:jc w:val="center"/>
              <w:rPr>
                <w:color w:val="auto"/>
                <w:highlight w:val="none"/>
              </w:rPr>
            </w:pPr>
            <w:r>
              <w:rPr>
                <w:color w:val="auto"/>
                <w:highlight w:val="none"/>
              </w:rPr>
              <w:t> </w:t>
            </w:r>
          </w:p>
        </w:tc>
      </w:tr>
      <w:tr w14:paraId="60D3613D">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E74C4">
            <w:pPr>
              <w:pStyle w:val="20"/>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C3F3F0">
            <w:pPr>
              <w:pStyle w:val="2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F530F8">
            <w:pPr>
              <w:pStyle w:val="2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EE9225">
            <w:pPr>
              <w:pStyle w:val="20"/>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4896D6">
            <w:pPr>
              <w:pStyle w:val="20"/>
              <w:spacing w:beforeAutospacing="0" w:afterAutospacing="0"/>
              <w:jc w:val="center"/>
              <w:rPr>
                <w:color w:val="auto"/>
                <w:highlight w:val="none"/>
              </w:rPr>
            </w:pPr>
            <w:r>
              <w:rPr>
                <w:color w:val="auto"/>
                <w:highlight w:val="none"/>
              </w:rPr>
              <w:t> </w:t>
            </w:r>
          </w:p>
        </w:tc>
      </w:tr>
      <w:tr w14:paraId="37EEAFD4">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5A515A">
            <w:pPr>
              <w:pStyle w:val="20"/>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D83D3">
            <w:pPr>
              <w:pStyle w:val="2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D24D0">
            <w:pPr>
              <w:pStyle w:val="2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88F32">
            <w:pPr>
              <w:pStyle w:val="20"/>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D24A3">
            <w:pPr>
              <w:pStyle w:val="20"/>
              <w:spacing w:beforeAutospacing="0" w:afterAutospacing="0"/>
              <w:jc w:val="center"/>
              <w:rPr>
                <w:color w:val="auto"/>
                <w:highlight w:val="none"/>
              </w:rPr>
            </w:pPr>
            <w:r>
              <w:rPr>
                <w:color w:val="auto"/>
                <w:highlight w:val="none"/>
              </w:rPr>
              <w:t> </w:t>
            </w:r>
          </w:p>
        </w:tc>
      </w:tr>
      <w:tr w14:paraId="18A5B82F">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6E578">
            <w:pPr>
              <w:pStyle w:val="20"/>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D9EC39">
            <w:pPr>
              <w:pStyle w:val="2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B6172">
            <w:pPr>
              <w:pStyle w:val="2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AE6C68">
            <w:pPr>
              <w:pStyle w:val="20"/>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AA6C08">
            <w:pPr>
              <w:pStyle w:val="20"/>
              <w:spacing w:beforeAutospacing="0" w:afterAutospacing="0"/>
              <w:jc w:val="center"/>
              <w:rPr>
                <w:color w:val="auto"/>
                <w:highlight w:val="none"/>
              </w:rPr>
            </w:pPr>
            <w:r>
              <w:rPr>
                <w:color w:val="auto"/>
                <w:highlight w:val="none"/>
              </w:rPr>
              <w:t> </w:t>
            </w:r>
          </w:p>
        </w:tc>
      </w:tr>
      <w:tr w14:paraId="73D841E3">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8C73D">
            <w:pPr>
              <w:pStyle w:val="20"/>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A25E9">
            <w:pPr>
              <w:pStyle w:val="20"/>
              <w:spacing w:beforeAutospacing="0" w:afterAutospacing="0"/>
              <w:jc w:val="center"/>
              <w:rPr>
                <w:color w:val="auto"/>
                <w:highlight w:val="none"/>
              </w:rPr>
            </w:pPr>
            <w:r>
              <w:rPr>
                <w:rFonts w:hint="eastAsia"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BE71B">
            <w:pPr>
              <w:pStyle w:val="2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C13858">
            <w:pPr>
              <w:pStyle w:val="20"/>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064D1">
            <w:pPr>
              <w:pStyle w:val="20"/>
              <w:spacing w:beforeAutospacing="0" w:afterAutospacing="0"/>
              <w:jc w:val="center"/>
              <w:rPr>
                <w:color w:val="auto"/>
                <w:highlight w:val="none"/>
              </w:rPr>
            </w:pPr>
            <w:r>
              <w:rPr>
                <w:color w:val="auto"/>
                <w:highlight w:val="none"/>
              </w:rPr>
              <w:t> </w:t>
            </w:r>
          </w:p>
        </w:tc>
      </w:tr>
    </w:tbl>
    <w:p w14:paraId="7549302D">
      <w:pPr>
        <w:pStyle w:val="20"/>
        <w:spacing w:beforeAutospacing="0" w:afterAutospacing="0"/>
        <w:jc w:val="both"/>
        <w:rPr>
          <w:color w:val="auto"/>
          <w:highlight w:val="none"/>
        </w:rPr>
      </w:pPr>
      <w:r>
        <w:rPr>
          <w:rFonts w:hint="eastAsia" w:cs="宋体"/>
          <w:color w:val="auto"/>
          <w:highlight w:val="none"/>
        </w:rPr>
        <w:t>注： 行数不够，可自行添加。</w:t>
      </w:r>
    </w:p>
    <w:p w14:paraId="1ABBD211">
      <w:pPr>
        <w:pStyle w:val="20"/>
        <w:spacing w:beforeAutospacing="0" w:afterAutospacing="0"/>
        <w:jc w:val="center"/>
        <w:rPr>
          <w:color w:val="auto"/>
          <w:highlight w:val="none"/>
        </w:rPr>
      </w:pPr>
      <w:r>
        <w:rPr>
          <w:color w:val="auto"/>
          <w:highlight w:val="none"/>
        </w:rPr>
        <w:t> </w:t>
      </w:r>
    </w:p>
    <w:p w14:paraId="4C717E03">
      <w:pPr>
        <w:pStyle w:val="20"/>
        <w:spacing w:beforeAutospacing="0" w:afterAutospacing="0"/>
        <w:jc w:val="center"/>
        <w:rPr>
          <w:color w:val="auto"/>
          <w:highlight w:val="none"/>
        </w:rPr>
      </w:pPr>
      <w:r>
        <w:rPr>
          <w:color w:val="auto"/>
          <w:highlight w:val="none"/>
        </w:rPr>
        <w:t> </w:t>
      </w:r>
    </w:p>
    <w:p w14:paraId="4274153A">
      <w:pPr>
        <w:pStyle w:val="20"/>
        <w:spacing w:beforeAutospacing="0" w:afterAutospacing="0"/>
        <w:jc w:val="center"/>
        <w:rPr>
          <w:color w:val="auto"/>
          <w:highlight w:val="none"/>
        </w:rPr>
      </w:pPr>
      <w:r>
        <w:rPr>
          <w:color w:val="auto"/>
          <w:highlight w:val="none"/>
        </w:rPr>
        <w:t> </w:t>
      </w:r>
    </w:p>
    <w:p w14:paraId="211A2073">
      <w:pPr>
        <w:pStyle w:val="20"/>
        <w:spacing w:beforeAutospacing="0" w:afterAutospacing="0"/>
        <w:jc w:val="center"/>
        <w:rPr>
          <w:color w:val="auto"/>
          <w:highlight w:val="none"/>
        </w:rPr>
      </w:pPr>
      <w:r>
        <w:rPr>
          <w:color w:val="auto"/>
          <w:highlight w:val="none"/>
        </w:rPr>
        <w:t> </w:t>
      </w:r>
    </w:p>
    <w:p w14:paraId="3F314393">
      <w:pPr>
        <w:pStyle w:val="20"/>
        <w:spacing w:beforeAutospacing="0" w:afterAutospacing="0"/>
        <w:jc w:val="both"/>
        <w:rPr>
          <w:color w:val="auto"/>
          <w:highlight w:val="none"/>
        </w:rPr>
      </w:pPr>
      <w:r>
        <w:rPr>
          <w:color w:val="auto"/>
          <w:highlight w:val="none"/>
        </w:rPr>
        <w:t> </w:t>
      </w:r>
    </w:p>
    <w:p w14:paraId="1403FDEB">
      <w:pPr>
        <w:pStyle w:val="20"/>
        <w:spacing w:beforeAutospacing="0" w:afterAutospacing="0"/>
        <w:jc w:val="both"/>
        <w:rPr>
          <w:color w:val="auto"/>
          <w:highlight w:val="none"/>
        </w:rPr>
      </w:pPr>
      <w:r>
        <w:rPr>
          <w:color w:val="auto"/>
          <w:highlight w:val="none"/>
        </w:rPr>
        <w:t> </w:t>
      </w:r>
    </w:p>
    <w:p w14:paraId="72259A48">
      <w:pPr>
        <w:pStyle w:val="20"/>
        <w:spacing w:beforeAutospacing="0" w:afterAutospacing="0"/>
        <w:jc w:val="both"/>
        <w:rPr>
          <w:color w:val="auto"/>
          <w:highlight w:val="none"/>
        </w:rPr>
      </w:pPr>
      <w:r>
        <w:rPr>
          <w:color w:val="auto"/>
          <w:highlight w:val="none"/>
        </w:rPr>
        <w:t> </w:t>
      </w:r>
    </w:p>
    <w:p w14:paraId="2FA7C829">
      <w:pPr>
        <w:pStyle w:val="20"/>
        <w:spacing w:beforeAutospacing="0" w:afterAutospacing="0"/>
        <w:jc w:val="both"/>
        <w:rPr>
          <w:color w:val="auto"/>
          <w:highlight w:val="none"/>
        </w:rPr>
      </w:pPr>
      <w:r>
        <w:rPr>
          <w:color w:val="auto"/>
          <w:highlight w:val="none"/>
        </w:rPr>
        <w:t> </w:t>
      </w:r>
    </w:p>
    <w:p w14:paraId="77438C69">
      <w:pPr>
        <w:rPr>
          <w:color w:val="auto"/>
          <w:highlight w:val="none"/>
        </w:rPr>
      </w:pPr>
      <w:r>
        <w:rPr>
          <w:color w:val="auto"/>
          <w:highlight w:val="none"/>
        </w:rPr>
        <w:br w:type="page"/>
      </w:r>
    </w:p>
    <w:p w14:paraId="7F4E5B46">
      <w:pPr>
        <w:pStyle w:val="20"/>
        <w:spacing w:beforeAutospacing="0" w:afterAutospacing="0"/>
        <w:jc w:val="center"/>
        <w:rPr>
          <w:i/>
          <w:iCs/>
          <w:color w:val="auto"/>
          <w:highlight w:val="none"/>
          <w:u w:val="single"/>
        </w:rPr>
      </w:pPr>
      <w:bookmarkStart w:id="182" w:name="_Hlt26955054"/>
      <w:r>
        <w:rPr>
          <w:rFonts w:hint="eastAsia" w:ascii="黑体" w:eastAsia="黑体" w:cs="黑体"/>
          <w:b/>
          <w:i/>
          <w:iCs/>
          <w:color w:val="auto"/>
          <w:sz w:val="32"/>
          <w:szCs w:val="32"/>
          <w:highlight w:val="none"/>
          <w:u w:val="single"/>
        </w:rPr>
        <w:t>十三、商务要求响应及偏离表</w:t>
      </w:r>
    </w:p>
    <w:tbl>
      <w:tblPr>
        <w:tblStyle w:val="23"/>
        <w:tblW w:w="8850" w:type="dxa"/>
        <w:tblCellSpacing w:w="0" w:type="dxa"/>
        <w:tblInd w:w="10" w:type="dxa"/>
        <w:tblLayout w:type="fixed"/>
        <w:tblCellMar>
          <w:top w:w="0" w:type="dxa"/>
          <w:left w:w="108" w:type="dxa"/>
          <w:bottom w:w="0" w:type="dxa"/>
          <w:right w:w="108" w:type="dxa"/>
        </w:tblCellMar>
      </w:tblPr>
      <w:tblGrid>
        <w:gridCol w:w="662"/>
        <w:gridCol w:w="2469"/>
        <w:gridCol w:w="2645"/>
        <w:gridCol w:w="1657"/>
        <w:gridCol w:w="1417"/>
      </w:tblGrid>
      <w:tr w14:paraId="2C4D669B">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AAD89">
            <w:pPr>
              <w:pStyle w:val="20"/>
              <w:spacing w:beforeAutospacing="0" w:afterAutospacing="0"/>
              <w:ind w:firstLine="0"/>
              <w:rPr>
                <w:color w:val="auto"/>
                <w:highlight w:val="none"/>
              </w:rPr>
            </w:pPr>
            <w:bookmarkStart w:id="183" w:name="_Hlt24879081"/>
            <w:bookmarkStart w:id="184" w:name="_Hlt26671343"/>
            <w:bookmarkStart w:id="185" w:name="_Hlt26955064"/>
            <w:bookmarkStart w:id="186" w:name="_Hlt26955056"/>
            <w:bookmarkStart w:id="187" w:name="_Hlt26580838"/>
            <w:bookmarkStart w:id="188" w:name="_Hlt26671372"/>
            <w:bookmarkStart w:id="189" w:name="_Hlt26782999"/>
            <w:bookmarkStart w:id="190" w:name="_Hlt26609391"/>
            <w:r>
              <w:rPr>
                <w:rFonts w:hint="eastAsia" w:cs="宋体"/>
                <w:color w:val="auto"/>
                <w:highlight w:val="none"/>
              </w:rPr>
              <w:t>序号</w:t>
            </w:r>
            <w:bookmarkEnd w:id="183"/>
            <w:bookmarkEnd w:id="184"/>
            <w:bookmarkEnd w:id="185"/>
            <w:bookmarkEnd w:id="186"/>
            <w:bookmarkEnd w:id="187"/>
            <w:bookmarkEnd w:id="188"/>
            <w:bookmarkEnd w:id="189"/>
            <w:bookmarkEnd w:id="190"/>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460CCD">
            <w:pPr>
              <w:pStyle w:val="20"/>
              <w:spacing w:beforeAutospacing="0" w:afterAutospacing="0"/>
              <w:jc w:val="center"/>
              <w:rPr>
                <w:color w:val="auto"/>
                <w:highlight w:val="none"/>
              </w:rPr>
            </w:pPr>
            <w:r>
              <w:rPr>
                <w:rFonts w:hint="eastAsia"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0F27E6">
            <w:pPr>
              <w:pStyle w:val="20"/>
              <w:spacing w:beforeAutospacing="0" w:afterAutospacing="0"/>
              <w:jc w:val="center"/>
              <w:rPr>
                <w:color w:val="auto"/>
                <w:highlight w:val="none"/>
              </w:rPr>
            </w:pPr>
            <w:r>
              <w:rPr>
                <w:rFonts w:hint="eastAsia" w:cs="宋体"/>
                <w:color w:val="auto"/>
                <w:highlight w:val="none"/>
              </w:rPr>
              <w:t>投标响应情况</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6768D">
            <w:pPr>
              <w:pStyle w:val="20"/>
              <w:spacing w:beforeAutospacing="0" w:afterAutospacing="0"/>
              <w:jc w:val="center"/>
              <w:rPr>
                <w:color w:val="auto"/>
                <w:highlight w:val="none"/>
              </w:rPr>
            </w:pPr>
            <w:r>
              <w:rPr>
                <w:rFonts w:hint="eastAsia" w:cs="宋体"/>
                <w:color w:val="auto"/>
                <w:highlight w:val="none"/>
              </w:rPr>
              <w:t>超出、符合或偏离</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3B3DB">
            <w:pPr>
              <w:pStyle w:val="20"/>
              <w:spacing w:beforeAutospacing="0" w:afterAutospacing="0"/>
              <w:jc w:val="center"/>
              <w:rPr>
                <w:color w:val="auto"/>
                <w:highlight w:val="none"/>
              </w:rPr>
            </w:pPr>
            <w:r>
              <w:rPr>
                <w:rFonts w:hint="eastAsia" w:cs="宋体"/>
                <w:color w:val="auto"/>
                <w:highlight w:val="none"/>
              </w:rPr>
              <w:t>证明</w:t>
            </w:r>
          </w:p>
          <w:p w14:paraId="1E61C6D8">
            <w:pPr>
              <w:pStyle w:val="20"/>
              <w:spacing w:beforeAutospacing="0" w:afterAutospacing="0"/>
              <w:jc w:val="center"/>
              <w:rPr>
                <w:color w:val="auto"/>
                <w:highlight w:val="none"/>
              </w:rPr>
            </w:pPr>
            <w:r>
              <w:rPr>
                <w:rFonts w:hint="eastAsia" w:cs="宋体"/>
                <w:color w:val="auto"/>
                <w:highlight w:val="none"/>
              </w:rPr>
              <w:t>材料</w:t>
            </w:r>
          </w:p>
        </w:tc>
      </w:tr>
      <w:tr w14:paraId="197B692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CB928">
            <w:pPr>
              <w:pStyle w:val="2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C4155">
            <w:pPr>
              <w:pStyle w:val="2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7027B">
            <w:pPr>
              <w:pStyle w:val="20"/>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1B2AB1">
            <w:pPr>
              <w:pStyle w:val="20"/>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FE2A5">
            <w:pPr>
              <w:pStyle w:val="20"/>
              <w:spacing w:beforeAutospacing="0" w:afterAutospacing="0"/>
              <w:jc w:val="center"/>
              <w:rPr>
                <w:color w:val="auto"/>
                <w:highlight w:val="none"/>
              </w:rPr>
            </w:pPr>
            <w:r>
              <w:rPr>
                <w:color w:val="auto"/>
                <w:highlight w:val="none"/>
              </w:rPr>
              <w:t> </w:t>
            </w:r>
          </w:p>
        </w:tc>
      </w:tr>
      <w:tr w14:paraId="44C8CBC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ABDBC0">
            <w:pPr>
              <w:pStyle w:val="2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F7918">
            <w:pPr>
              <w:pStyle w:val="2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D5CFA">
            <w:pPr>
              <w:pStyle w:val="20"/>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B0AEA">
            <w:pPr>
              <w:pStyle w:val="20"/>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B71D33">
            <w:pPr>
              <w:pStyle w:val="20"/>
              <w:spacing w:beforeAutospacing="0" w:afterAutospacing="0"/>
              <w:jc w:val="center"/>
              <w:rPr>
                <w:color w:val="auto"/>
                <w:highlight w:val="none"/>
              </w:rPr>
            </w:pPr>
            <w:r>
              <w:rPr>
                <w:color w:val="auto"/>
                <w:highlight w:val="none"/>
              </w:rPr>
              <w:t> </w:t>
            </w:r>
          </w:p>
        </w:tc>
      </w:tr>
      <w:tr w14:paraId="77A27E7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3CD7E">
            <w:pPr>
              <w:pStyle w:val="2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A7F54D">
            <w:pPr>
              <w:pStyle w:val="2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E913C">
            <w:pPr>
              <w:pStyle w:val="20"/>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3F83E2">
            <w:pPr>
              <w:pStyle w:val="20"/>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EBCA7">
            <w:pPr>
              <w:pStyle w:val="20"/>
              <w:spacing w:beforeAutospacing="0" w:afterAutospacing="0"/>
              <w:jc w:val="center"/>
              <w:rPr>
                <w:color w:val="auto"/>
                <w:highlight w:val="none"/>
              </w:rPr>
            </w:pPr>
            <w:r>
              <w:rPr>
                <w:color w:val="auto"/>
                <w:highlight w:val="none"/>
              </w:rPr>
              <w:t> </w:t>
            </w:r>
          </w:p>
        </w:tc>
      </w:tr>
      <w:tr w14:paraId="52AB0C0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3961D4">
            <w:pPr>
              <w:pStyle w:val="2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EAECE0">
            <w:pPr>
              <w:pStyle w:val="2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CB5CF">
            <w:pPr>
              <w:pStyle w:val="20"/>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9B1CD2">
            <w:pPr>
              <w:pStyle w:val="20"/>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8436B9">
            <w:pPr>
              <w:pStyle w:val="20"/>
              <w:spacing w:beforeAutospacing="0" w:afterAutospacing="0"/>
              <w:jc w:val="center"/>
              <w:rPr>
                <w:color w:val="auto"/>
                <w:highlight w:val="none"/>
              </w:rPr>
            </w:pPr>
            <w:r>
              <w:rPr>
                <w:color w:val="auto"/>
                <w:highlight w:val="none"/>
              </w:rPr>
              <w:t> </w:t>
            </w:r>
          </w:p>
        </w:tc>
      </w:tr>
      <w:tr w14:paraId="0F49A8E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1D6BA4">
            <w:pPr>
              <w:pStyle w:val="2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A9035">
            <w:pPr>
              <w:pStyle w:val="2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EA3C1">
            <w:pPr>
              <w:pStyle w:val="20"/>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385680">
            <w:pPr>
              <w:pStyle w:val="20"/>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E985F">
            <w:pPr>
              <w:pStyle w:val="20"/>
              <w:spacing w:beforeAutospacing="0" w:afterAutospacing="0"/>
              <w:jc w:val="center"/>
              <w:rPr>
                <w:color w:val="auto"/>
                <w:highlight w:val="none"/>
              </w:rPr>
            </w:pPr>
            <w:r>
              <w:rPr>
                <w:color w:val="auto"/>
                <w:highlight w:val="none"/>
              </w:rPr>
              <w:t> </w:t>
            </w:r>
          </w:p>
        </w:tc>
      </w:tr>
      <w:tr w14:paraId="098864A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80F3AE">
            <w:pPr>
              <w:pStyle w:val="2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7432CE">
            <w:pPr>
              <w:pStyle w:val="2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7E552">
            <w:pPr>
              <w:pStyle w:val="20"/>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1AA4D8">
            <w:pPr>
              <w:pStyle w:val="20"/>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5BE46A">
            <w:pPr>
              <w:pStyle w:val="20"/>
              <w:spacing w:beforeAutospacing="0" w:afterAutospacing="0"/>
              <w:jc w:val="center"/>
              <w:rPr>
                <w:color w:val="auto"/>
                <w:highlight w:val="none"/>
              </w:rPr>
            </w:pPr>
            <w:r>
              <w:rPr>
                <w:color w:val="auto"/>
                <w:highlight w:val="none"/>
              </w:rPr>
              <w:t> </w:t>
            </w:r>
          </w:p>
        </w:tc>
      </w:tr>
      <w:tr w14:paraId="55B853F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CA1ED">
            <w:pPr>
              <w:pStyle w:val="2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B02935">
            <w:pPr>
              <w:pStyle w:val="2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C9FAF">
            <w:pPr>
              <w:pStyle w:val="20"/>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2657D">
            <w:pPr>
              <w:pStyle w:val="20"/>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6E962">
            <w:pPr>
              <w:pStyle w:val="20"/>
              <w:spacing w:beforeAutospacing="0" w:afterAutospacing="0"/>
              <w:jc w:val="center"/>
              <w:rPr>
                <w:color w:val="auto"/>
                <w:highlight w:val="none"/>
              </w:rPr>
            </w:pPr>
            <w:r>
              <w:rPr>
                <w:color w:val="auto"/>
                <w:highlight w:val="none"/>
              </w:rPr>
              <w:t> </w:t>
            </w:r>
          </w:p>
        </w:tc>
      </w:tr>
      <w:tr w14:paraId="72ACAA0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22FE76">
            <w:pPr>
              <w:pStyle w:val="20"/>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2C74B">
            <w:pPr>
              <w:pStyle w:val="20"/>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7EE5C">
            <w:pPr>
              <w:pStyle w:val="20"/>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7800D">
            <w:pPr>
              <w:pStyle w:val="20"/>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453B9">
            <w:pPr>
              <w:pStyle w:val="20"/>
              <w:spacing w:beforeAutospacing="0" w:afterAutospacing="0"/>
              <w:jc w:val="center"/>
              <w:rPr>
                <w:color w:val="auto"/>
                <w:highlight w:val="none"/>
              </w:rPr>
            </w:pPr>
            <w:r>
              <w:rPr>
                <w:color w:val="auto"/>
                <w:highlight w:val="none"/>
              </w:rPr>
              <w:t> </w:t>
            </w:r>
          </w:p>
        </w:tc>
      </w:tr>
    </w:tbl>
    <w:p w14:paraId="42DC9E0F">
      <w:pPr>
        <w:pStyle w:val="20"/>
        <w:spacing w:beforeAutospacing="0" w:afterAutospacing="0"/>
        <w:jc w:val="both"/>
        <w:rPr>
          <w:color w:val="auto"/>
          <w:highlight w:val="none"/>
        </w:rPr>
      </w:pPr>
      <w:r>
        <w:rPr>
          <w:rFonts w:hint="eastAsia" w:cs="宋体"/>
          <w:color w:val="auto"/>
          <w:highlight w:val="none"/>
        </w:rPr>
        <w:t>注： 行数不够，可自行添加。</w:t>
      </w:r>
    </w:p>
    <w:p w14:paraId="4A197F54">
      <w:pPr>
        <w:pStyle w:val="20"/>
        <w:spacing w:beforeAutospacing="0" w:afterAutospacing="0" w:line="480" w:lineRule="auto"/>
        <w:jc w:val="both"/>
        <w:rPr>
          <w:color w:val="auto"/>
          <w:highlight w:val="none"/>
        </w:rPr>
      </w:pPr>
      <w:r>
        <w:rPr>
          <w:color w:val="auto"/>
          <w:highlight w:val="none"/>
        </w:rPr>
        <w:t> </w:t>
      </w:r>
    </w:p>
    <w:p w14:paraId="72A50F3B">
      <w:pPr>
        <w:pStyle w:val="20"/>
        <w:spacing w:beforeAutospacing="0" w:afterAutospacing="0" w:line="480" w:lineRule="auto"/>
        <w:jc w:val="both"/>
        <w:rPr>
          <w:color w:val="auto"/>
          <w:highlight w:val="none"/>
        </w:rPr>
      </w:pPr>
      <w:r>
        <w:rPr>
          <w:color w:val="auto"/>
          <w:highlight w:val="none"/>
        </w:rPr>
        <w:t> </w:t>
      </w:r>
    </w:p>
    <w:p w14:paraId="6804E6E5">
      <w:pPr>
        <w:pStyle w:val="20"/>
        <w:spacing w:beforeAutospacing="0" w:afterAutospacing="0"/>
        <w:jc w:val="center"/>
        <w:rPr>
          <w:color w:val="auto"/>
          <w:highlight w:val="none"/>
        </w:rPr>
      </w:pPr>
      <w:bookmarkStart w:id="191" w:name="_Toc462564146"/>
      <w:bookmarkStart w:id="192" w:name="_格式2__法定代表人授权书"/>
      <w:bookmarkStart w:id="193" w:name="_Hlt26955066"/>
      <w:bookmarkStart w:id="194" w:name="_Hlt26609389"/>
      <w:bookmarkStart w:id="195" w:name="_Hlt26671374"/>
      <w:r>
        <w:rPr>
          <w:color w:val="auto"/>
          <w:highlight w:val="none"/>
        </w:rPr>
        <w:t> </w:t>
      </w:r>
    </w:p>
    <w:p w14:paraId="33D890B5">
      <w:pPr>
        <w:pStyle w:val="20"/>
        <w:spacing w:beforeAutospacing="0" w:afterAutospacing="0"/>
        <w:jc w:val="both"/>
        <w:rPr>
          <w:color w:val="auto"/>
          <w:highlight w:val="none"/>
        </w:rPr>
      </w:pPr>
      <w:r>
        <w:rPr>
          <w:color w:val="auto"/>
          <w:highlight w:val="none"/>
        </w:rPr>
        <w:t> </w:t>
      </w:r>
    </w:p>
    <w:p w14:paraId="3A41DACA">
      <w:pPr>
        <w:pStyle w:val="20"/>
        <w:spacing w:beforeAutospacing="0" w:afterAutospacing="0"/>
        <w:jc w:val="both"/>
        <w:rPr>
          <w:color w:val="auto"/>
          <w:highlight w:val="none"/>
        </w:rPr>
      </w:pPr>
      <w:r>
        <w:rPr>
          <w:color w:val="auto"/>
          <w:highlight w:val="none"/>
        </w:rPr>
        <w:t> </w:t>
      </w:r>
    </w:p>
    <w:p w14:paraId="2D5666B1">
      <w:pPr>
        <w:pStyle w:val="20"/>
        <w:spacing w:beforeAutospacing="0" w:afterAutospacing="0"/>
        <w:jc w:val="both"/>
        <w:rPr>
          <w:color w:val="auto"/>
          <w:highlight w:val="none"/>
        </w:rPr>
      </w:pPr>
    </w:p>
    <w:p w14:paraId="5797328D">
      <w:pPr>
        <w:pStyle w:val="20"/>
        <w:spacing w:beforeAutospacing="0" w:afterAutospacing="0"/>
        <w:jc w:val="both"/>
        <w:rPr>
          <w:color w:val="auto"/>
          <w:highlight w:val="none"/>
        </w:rPr>
      </w:pPr>
    </w:p>
    <w:p w14:paraId="5DAEC0B6">
      <w:pPr>
        <w:pStyle w:val="20"/>
        <w:spacing w:beforeAutospacing="0" w:afterAutospacing="0"/>
        <w:jc w:val="both"/>
        <w:rPr>
          <w:color w:val="auto"/>
          <w:highlight w:val="none"/>
        </w:rPr>
      </w:pPr>
    </w:p>
    <w:p w14:paraId="5420BAB9">
      <w:pPr>
        <w:pStyle w:val="20"/>
        <w:spacing w:beforeAutospacing="0" w:afterAutospacing="0"/>
        <w:jc w:val="both"/>
        <w:rPr>
          <w:color w:val="auto"/>
          <w:highlight w:val="none"/>
        </w:rPr>
      </w:pPr>
    </w:p>
    <w:p w14:paraId="3D6BEF9B">
      <w:pPr>
        <w:pStyle w:val="20"/>
        <w:spacing w:beforeAutospacing="0" w:afterAutospacing="0"/>
        <w:jc w:val="both"/>
        <w:rPr>
          <w:color w:val="auto"/>
          <w:highlight w:val="none"/>
        </w:rPr>
      </w:pPr>
    </w:p>
    <w:p w14:paraId="7C4A9298">
      <w:pPr>
        <w:rPr>
          <w:color w:val="auto"/>
          <w:highlight w:val="none"/>
        </w:rPr>
      </w:pPr>
      <w:r>
        <w:rPr>
          <w:color w:val="auto"/>
          <w:highlight w:val="none"/>
        </w:rPr>
        <w:br w:type="page"/>
      </w:r>
    </w:p>
    <w:p w14:paraId="236120F8">
      <w:pPr>
        <w:pStyle w:val="20"/>
        <w:spacing w:beforeAutospacing="0" w:afterAutospacing="0"/>
        <w:jc w:val="both"/>
        <w:rPr>
          <w:color w:val="auto"/>
          <w:highlight w:val="none"/>
        </w:rPr>
      </w:pPr>
      <w:r>
        <w:rPr>
          <w:rFonts w:hint="eastAsia" w:ascii="黑体" w:eastAsia="黑体" w:cs="黑体"/>
          <w:b/>
          <w:i/>
          <w:color w:val="auto"/>
          <w:sz w:val="32"/>
          <w:szCs w:val="32"/>
          <w:highlight w:val="none"/>
        </w:rPr>
        <w:t xml:space="preserve">                  </w:t>
      </w:r>
      <w:r>
        <w:rPr>
          <w:rFonts w:hint="eastAsia" w:ascii="黑体" w:eastAsia="黑体" w:cs="黑体"/>
          <w:b/>
          <w:i/>
          <w:color w:val="auto"/>
          <w:sz w:val="32"/>
          <w:szCs w:val="32"/>
          <w:highlight w:val="none"/>
          <w:u w:val="single"/>
        </w:rPr>
        <w:t>十四、开标一览表</w:t>
      </w:r>
    </w:p>
    <w:p w14:paraId="329136C8">
      <w:pPr>
        <w:pStyle w:val="20"/>
        <w:spacing w:beforeAutospacing="0" w:afterAutospacing="0"/>
        <w:ind w:firstLine="480"/>
        <w:jc w:val="both"/>
        <w:rPr>
          <w:color w:val="auto"/>
          <w:highlight w:val="none"/>
        </w:rPr>
      </w:pPr>
      <w:r>
        <w:rPr>
          <w:rFonts w:hint="eastAsia" w:cs="宋体"/>
          <w:color w:val="auto"/>
          <w:highlight w:val="none"/>
        </w:rPr>
        <w:t>投标人全称（加盖CA电子签章）：</w:t>
      </w:r>
    </w:p>
    <w:p w14:paraId="11A0B711">
      <w:pPr>
        <w:pStyle w:val="37"/>
        <w:spacing w:line="280" w:lineRule="exact"/>
        <w:ind w:firstLine="480"/>
        <w:rPr>
          <w:rFonts w:hint="eastAsia" w:eastAsia="宋体"/>
          <w:color w:val="auto"/>
          <w:highlight w:val="none"/>
          <w:lang w:eastAsia="zh-CN"/>
        </w:rPr>
      </w:pPr>
      <w:r>
        <w:rPr>
          <w:rFonts w:hint="eastAsia"/>
          <w:color w:val="auto"/>
          <w:highlight w:val="none"/>
        </w:rPr>
        <w:t>项目名称：</w:t>
      </w:r>
      <w:r>
        <w:rPr>
          <w:rFonts w:hint="eastAsia"/>
          <w:color w:val="auto"/>
          <w:highlight w:val="none"/>
          <w:lang w:eastAsia="zh-CN"/>
        </w:rPr>
        <w:t>2025年盐南高新区农贸市场食品安全快检服务采购项目</w:t>
      </w:r>
    </w:p>
    <w:p w14:paraId="545E17C9">
      <w:pPr>
        <w:pStyle w:val="20"/>
        <w:spacing w:beforeAutospacing="0" w:afterAutospacing="0"/>
        <w:ind w:firstLine="480"/>
        <w:jc w:val="both"/>
        <w:rPr>
          <w:rFonts w:cs="宋体"/>
          <w:color w:val="auto"/>
          <w:highlight w:val="none"/>
        </w:rPr>
      </w:pPr>
    </w:p>
    <w:p w14:paraId="356EC4EC">
      <w:pPr>
        <w:pStyle w:val="20"/>
        <w:spacing w:beforeAutospacing="0" w:afterAutospacing="0"/>
        <w:ind w:firstLine="480"/>
        <w:jc w:val="both"/>
        <w:rPr>
          <w:rFonts w:cs="宋体"/>
          <w:color w:val="auto"/>
          <w:highlight w:val="none"/>
        </w:rPr>
      </w:pPr>
      <w:r>
        <w:rPr>
          <w:rFonts w:hint="eastAsia" w:cs="宋体"/>
          <w:color w:val="auto"/>
          <w:highlight w:val="none"/>
        </w:rPr>
        <w:t>招标编号：</w:t>
      </w:r>
    </w:p>
    <w:tbl>
      <w:tblPr>
        <w:tblStyle w:val="23"/>
        <w:tblW w:w="8206" w:type="dxa"/>
        <w:tblCellSpacing w:w="0" w:type="dxa"/>
        <w:tblInd w:w="118" w:type="dxa"/>
        <w:tblLayout w:type="fixed"/>
        <w:tblCellMar>
          <w:top w:w="0" w:type="dxa"/>
          <w:left w:w="108" w:type="dxa"/>
          <w:bottom w:w="0" w:type="dxa"/>
          <w:right w:w="108" w:type="dxa"/>
        </w:tblCellMar>
      </w:tblPr>
      <w:tblGrid>
        <w:gridCol w:w="8206"/>
      </w:tblGrid>
      <w:tr w14:paraId="1DA3F7D6">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19142">
            <w:pPr>
              <w:pStyle w:val="20"/>
              <w:spacing w:beforeAutospacing="0" w:afterAutospacing="0"/>
              <w:ind w:firstLine="0"/>
              <w:jc w:val="both"/>
              <w:rPr>
                <w:color w:val="auto"/>
                <w:highlight w:val="none"/>
              </w:rPr>
            </w:pPr>
            <w:r>
              <w:rPr>
                <w:rFonts w:hint="eastAsia" w:cs="宋体"/>
                <w:color w:val="auto"/>
                <w:highlight w:val="none"/>
              </w:rPr>
              <w:t>投标总报价</w:t>
            </w:r>
          </w:p>
        </w:tc>
      </w:tr>
      <w:tr w14:paraId="4323191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6DB758">
            <w:pPr>
              <w:pStyle w:val="20"/>
              <w:spacing w:beforeAutospacing="0" w:afterAutospacing="0" w:line="0" w:lineRule="atLeast"/>
              <w:ind w:firstLine="0"/>
              <w:rPr>
                <w:color w:val="auto"/>
                <w:highlight w:val="none"/>
              </w:rPr>
            </w:pPr>
            <w:r>
              <w:rPr>
                <w:rFonts w:hint="eastAsia" w:cs="宋体"/>
                <w:color w:val="auto"/>
                <w:highlight w:val="none"/>
              </w:rPr>
              <w:t>小写：    （人民币：元）</w:t>
            </w:r>
          </w:p>
        </w:tc>
      </w:tr>
    </w:tbl>
    <w:p w14:paraId="4849565D">
      <w:pPr>
        <w:pStyle w:val="20"/>
        <w:spacing w:beforeAutospacing="0" w:afterAutospacing="0"/>
        <w:jc w:val="both"/>
        <w:rPr>
          <w:color w:val="auto"/>
          <w:highlight w:val="none"/>
        </w:rPr>
      </w:pPr>
      <w:r>
        <w:rPr>
          <w:color w:val="auto"/>
          <w:highlight w:val="none"/>
        </w:rPr>
        <w:t> </w:t>
      </w:r>
    </w:p>
    <w:p w14:paraId="04EC97C4">
      <w:pPr>
        <w:pStyle w:val="20"/>
        <w:spacing w:beforeAutospacing="0" w:afterAutospacing="0"/>
        <w:ind w:firstLine="480"/>
        <w:jc w:val="both"/>
        <w:rPr>
          <w:color w:val="auto"/>
          <w:highlight w:val="none"/>
        </w:rPr>
      </w:pPr>
      <w:r>
        <w:rPr>
          <w:rFonts w:hint="eastAsia" w:cs="宋体"/>
          <w:color w:val="auto"/>
          <w:highlight w:val="none"/>
        </w:rPr>
        <w:t xml:space="preserve">                                     日期：  </w:t>
      </w:r>
      <w:r>
        <w:rPr>
          <w:rFonts w:hint="eastAsia" w:cs="宋体"/>
          <w:color w:val="auto"/>
          <w:highlight w:val="none"/>
          <w:u w:val="single"/>
        </w:rPr>
        <w:t xml:space="preserve">     </w:t>
      </w:r>
      <w:r>
        <w:rPr>
          <w:rFonts w:hint="eastAsia" w:cs="宋体"/>
          <w:color w:val="auto"/>
          <w:highlight w:val="none"/>
        </w:rPr>
        <w:t>年</w:t>
      </w:r>
      <w:r>
        <w:rPr>
          <w:rFonts w:hint="eastAsia" w:cs="宋体"/>
          <w:color w:val="auto"/>
          <w:highlight w:val="none"/>
          <w:u w:val="single"/>
        </w:rPr>
        <w:t xml:space="preserve">   </w:t>
      </w:r>
      <w:r>
        <w:rPr>
          <w:rFonts w:hint="eastAsia" w:cs="宋体"/>
          <w:color w:val="auto"/>
          <w:highlight w:val="none"/>
        </w:rPr>
        <w:t>月</w:t>
      </w:r>
      <w:r>
        <w:rPr>
          <w:rFonts w:hint="eastAsia" w:cs="宋体"/>
          <w:color w:val="auto"/>
          <w:highlight w:val="none"/>
          <w:u w:val="single"/>
        </w:rPr>
        <w:t xml:space="preserve">   </w:t>
      </w:r>
      <w:r>
        <w:rPr>
          <w:rFonts w:hint="eastAsia" w:cs="宋体"/>
          <w:color w:val="auto"/>
          <w:highlight w:val="none"/>
        </w:rPr>
        <w:t>日</w:t>
      </w:r>
    </w:p>
    <w:p w14:paraId="25CBB673">
      <w:pPr>
        <w:pStyle w:val="20"/>
        <w:spacing w:beforeAutospacing="0" w:afterAutospacing="0"/>
        <w:ind w:firstLine="480"/>
        <w:jc w:val="both"/>
        <w:rPr>
          <w:color w:val="auto"/>
          <w:highlight w:val="none"/>
        </w:rPr>
      </w:pPr>
      <w:r>
        <w:rPr>
          <w:color w:val="auto"/>
          <w:highlight w:val="none"/>
        </w:rPr>
        <w:t> </w:t>
      </w:r>
    </w:p>
    <w:p w14:paraId="0F4572A4">
      <w:pPr>
        <w:widowControl/>
        <w:spacing w:before="50" w:after="50"/>
        <w:jc w:val="center"/>
        <w:rPr>
          <w:color w:val="auto"/>
          <w:highlight w:val="none"/>
        </w:rPr>
      </w:pPr>
      <w:r>
        <w:rPr>
          <w:color w:val="auto"/>
          <w:highlight w:val="none"/>
        </w:rPr>
        <w:tab/>
      </w:r>
    </w:p>
    <w:p w14:paraId="1305FF8F">
      <w:pPr>
        <w:widowControl/>
        <w:spacing w:before="50" w:after="50"/>
        <w:jc w:val="center"/>
        <w:rPr>
          <w:color w:val="auto"/>
          <w:highlight w:val="none"/>
        </w:rPr>
      </w:pPr>
    </w:p>
    <w:p w14:paraId="102AF65D">
      <w:pPr>
        <w:widowControl/>
        <w:spacing w:before="50" w:after="50"/>
        <w:jc w:val="center"/>
        <w:rPr>
          <w:color w:val="auto"/>
          <w:highlight w:val="none"/>
        </w:rPr>
      </w:pPr>
    </w:p>
    <w:p w14:paraId="25D3FD1A">
      <w:pPr>
        <w:widowControl/>
        <w:spacing w:before="50" w:after="50"/>
        <w:jc w:val="center"/>
        <w:rPr>
          <w:color w:val="auto"/>
          <w:highlight w:val="none"/>
        </w:rPr>
      </w:pPr>
    </w:p>
    <w:p w14:paraId="5991BCB9">
      <w:pPr>
        <w:widowControl/>
        <w:spacing w:before="50" w:after="50"/>
        <w:jc w:val="center"/>
        <w:rPr>
          <w:color w:val="auto"/>
          <w:highlight w:val="none"/>
        </w:rPr>
      </w:pPr>
    </w:p>
    <w:p w14:paraId="125CEF19">
      <w:pPr>
        <w:rPr>
          <w:color w:val="auto"/>
          <w:highlight w:val="none"/>
        </w:rPr>
      </w:pPr>
      <w:r>
        <w:rPr>
          <w:color w:val="auto"/>
          <w:highlight w:val="none"/>
        </w:rPr>
        <w:br w:type="page" w:clear="all"/>
      </w:r>
    </w:p>
    <w:p w14:paraId="54F52B5C">
      <w:pPr>
        <w:widowControl/>
        <w:spacing w:before="50" w:after="50"/>
        <w:jc w:val="center"/>
        <w:rPr>
          <w:i/>
          <w:iCs/>
          <w:color w:val="auto"/>
          <w:sz w:val="24"/>
          <w:highlight w:val="none"/>
          <w:u w:val="single"/>
        </w:rPr>
      </w:pPr>
      <w:r>
        <w:rPr>
          <w:rFonts w:hint="eastAsia"/>
          <w:i/>
          <w:iCs/>
          <w:color w:val="auto"/>
          <w:sz w:val="32"/>
          <w:szCs w:val="32"/>
          <w:highlight w:val="none"/>
          <w:u w:val="single"/>
        </w:rPr>
        <w:t>十五、服务方案等</w:t>
      </w:r>
    </w:p>
    <w:p w14:paraId="438F0790">
      <w:pPr>
        <w:pStyle w:val="20"/>
        <w:tabs>
          <w:tab w:val="left" w:pos="2160"/>
        </w:tabs>
        <w:spacing w:beforeAutospacing="0" w:afterAutospacing="0"/>
        <w:jc w:val="both"/>
        <w:rPr>
          <w:color w:val="auto"/>
          <w:highlight w:val="none"/>
        </w:rPr>
      </w:pPr>
    </w:p>
    <w:p w14:paraId="61473894">
      <w:pPr>
        <w:widowControl/>
        <w:spacing w:line="499" w:lineRule="atLeast"/>
        <w:ind w:firstLine="1600"/>
        <w:rPr>
          <w:color w:val="auto"/>
          <w:sz w:val="32"/>
          <w:szCs w:val="32"/>
          <w:highlight w:val="none"/>
        </w:rPr>
      </w:pPr>
    </w:p>
    <w:p w14:paraId="313DFA34">
      <w:pPr>
        <w:widowControl/>
        <w:spacing w:line="499" w:lineRule="atLeast"/>
        <w:ind w:firstLine="1600"/>
        <w:rPr>
          <w:color w:val="auto"/>
          <w:sz w:val="32"/>
          <w:szCs w:val="32"/>
          <w:highlight w:val="none"/>
        </w:rPr>
      </w:pPr>
    </w:p>
    <w:p w14:paraId="49F7FD47">
      <w:pPr>
        <w:widowControl/>
        <w:spacing w:line="499" w:lineRule="atLeast"/>
        <w:ind w:firstLine="1600"/>
        <w:rPr>
          <w:color w:val="auto"/>
          <w:sz w:val="32"/>
          <w:szCs w:val="32"/>
          <w:highlight w:val="none"/>
        </w:rPr>
      </w:pPr>
    </w:p>
    <w:p w14:paraId="629A35A2">
      <w:pPr>
        <w:widowControl/>
        <w:spacing w:line="499" w:lineRule="atLeast"/>
        <w:ind w:firstLine="1600"/>
        <w:rPr>
          <w:color w:val="auto"/>
          <w:sz w:val="32"/>
          <w:szCs w:val="32"/>
          <w:highlight w:val="none"/>
        </w:rPr>
      </w:pPr>
    </w:p>
    <w:p w14:paraId="753E34F5">
      <w:pPr>
        <w:widowControl/>
        <w:spacing w:line="499" w:lineRule="atLeast"/>
        <w:ind w:firstLine="1600"/>
        <w:rPr>
          <w:color w:val="auto"/>
          <w:sz w:val="32"/>
          <w:szCs w:val="32"/>
          <w:highlight w:val="none"/>
        </w:rPr>
      </w:pPr>
    </w:p>
    <w:p w14:paraId="6386F20B">
      <w:pPr>
        <w:widowControl/>
        <w:spacing w:line="499" w:lineRule="atLeast"/>
        <w:ind w:firstLine="1600"/>
        <w:rPr>
          <w:color w:val="auto"/>
          <w:sz w:val="32"/>
          <w:szCs w:val="32"/>
          <w:highlight w:val="none"/>
        </w:rPr>
      </w:pPr>
    </w:p>
    <w:p w14:paraId="04A52B59">
      <w:pPr>
        <w:widowControl/>
        <w:spacing w:line="499" w:lineRule="atLeast"/>
        <w:ind w:firstLine="1600"/>
        <w:rPr>
          <w:color w:val="auto"/>
          <w:sz w:val="32"/>
          <w:szCs w:val="32"/>
          <w:highlight w:val="none"/>
        </w:rPr>
      </w:pPr>
    </w:p>
    <w:p w14:paraId="68B1CE94">
      <w:pPr>
        <w:widowControl/>
        <w:spacing w:line="499" w:lineRule="atLeast"/>
        <w:ind w:firstLine="1600"/>
        <w:rPr>
          <w:color w:val="auto"/>
          <w:sz w:val="32"/>
          <w:szCs w:val="32"/>
          <w:highlight w:val="none"/>
        </w:rPr>
      </w:pPr>
    </w:p>
    <w:p w14:paraId="0C96D006">
      <w:pPr>
        <w:widowControl/>
        <w:spacing w:line="499" w:lineRule="atLeast"/>
        <w:ind w:firstLine="1600"/>
        <w:rPr>
          <w:color w:val="auto"/>
          <w:sz w:val="32"/>
          <w:szCs w:val="32"/>
          <w:highlight w:val="none"/>
        </w:rPr>
      </w:pPr>
    </w:p>
    <w:p w14:paraId="17388B56">
      <w:pPr>
        <w:widowControl/>
        <w:spacing w:line="499" w:lineRule="atLeast"/>
        <w:ind w:firstLine="1600"/>
        <w:rPr>
          <w:color w:val="auto"/>
          <w:sz w:val="32"/>
          <w:szCs w:val="32"/>
          <w:highlight w:val="none"/>
        </w:rPr>
      </w:pPr>
    </w:p>
    <w:p w14:paraId="07088149">
      <w:pPr>
        <w:widowControl/>
        <w:spacing w:line="499" w:lineRule="atLeast"/>
        <w:ind w:firstLine="1600"/>
        <w:rPr>
          <w:color w:val="auto"/>
          <w:sz w:val="32"/>
          <w:szCs w:val="32"/>
          <w:highlight w:val="none"/>
        </w:rPr>
      </w:pPr>
    </w:p>
    <w:p w14:paraId="54363F8D">
      <w:pPr>
        <w:widowControl/>
        <w:spacing w:line="499" w:lineRule="atLeast"/>
        <w:ind w:firstLine="1600"/>
        <w:rPr>
          <w:color w:val="auto"/>
          <w:sz w:val="32"/>
          <w:szCs w:val="32"/>
          <w:highlight w:val="none"/>
        </w:rPr>
      </w:pPr>
    </w:p>
    <w:p w14:paraId="4BF00728">
      <w:pPr>
        <w:widowControl/>
        <w:spacing w:line="499" w:lineRule="atLeast"/>
        <w:ind w:firstLine="1600"/>
        <w:rPr>
          <w:color w:val="auto"/>
          <w:sz w:val="32"/>
          <w:szCs w:val="32"/>
          <w:highlight w:val="none"/>
        </w:rPr>
      </w:pPr>
    </w:p>
    <w:p w14:paraId="20FE5DF7">
      <w:pPr>
        <w:widowControl/>
        <w:spacing w:line="499" w:lineRule="atLeast"/>
        <w:ind w:firstLine="1600"/>
        <w:rPr>
          <w:color w:val="auto"/>
          <w:sz w:val="32"/>
          <w:szCs w:val="32"/>
          <w:highlight w:val="none"/>
        </w:rPr>
      </w:pPr>
    </w:p>
    <w:p w14:paraId="6A9A2397">
      <w:pPr>
        <w:widowControl/>
        <w:spacing w:line="499" w:lineRule="atLeast"/>
        <w:ind w:firstLine="1600"/>
        <w:rPr>
          <w:color w:val="auto"/>
          <w:sz w:val="32"/>
          <w:szCs w:val="32"/>
          <w:highlight w:val="none"/>
        </w:rPr>
      </w:pPr>
    </w:p>
    <w:p w14:paraId="1831E779">
      <w:pPr>
        <w:widowControl/>
        <w:spacing w:line="499" w:lineRule="atLeast"/>
        <w:ind w:firstLine="1600"/>
        <w:rPr>
          <w:color w:val="auto"/>
          <w:sz w:val="32"/>
          <w:szCs w:val="32"/>
          <w:highlight w:val="none"/>
        </w:rPr>
      </w:pPr>
    </w:p>
    <w:p w14:paraId="7862B106">
      <w:pPr>
        <w:widowControl/>
        <w:spacing w:line="499" w:lineRule="atLeast"/>
        <w:ind w:firstLine="1600"/>
        <w:rPr>
          <w:color w:val="auto"/>
          <w:sz w:val="32"/>
          <w:szCs w:val="32"/>
          <w:highlight w:val="none"/>
        </w:rPr>
      </w:pPr>
    </w:p>
    <w:p w14:paraId="7C7328F8">
      <w:pPr>
        <w:widowControl/>
        <w:spacing w:line="499" w:lineRule="atLeast"/>
        <w:ind w:firstLine="1600"/>
        <w:rPr>
          <w:color w:val="auto"/>
          <w:sz w:val="32"/>
          <w:szCs w:val="32"/>
          <w:highlight w:val="none"/>
        </w:rPr>
      </w:pPr>
    </w:p>
    <w:p w14:paraId="3DE10CAE">
      <w:pPr>
        <w:rPr>
          <w:color w:val="auto"/>
          <w:sz w:val="32"/>
          <w:szCs w:val="32"/>
          <w:highlight w:val="none"/>
        </w:rPr>
      </w:pPr>
      <w:r>
        <w:rPr>
          <w:color w:val="auto"/>
          <w:sz w:val="32"/>
          <w:szCs w:val="32"/>
          <w:highlight w:val="none"/>
        </w:rPr>
        <w:br w:type="page" w:clear="all"/>
      </w:r>
    </w:p>
    <w:p w14:paraId="1F8CA198">
      <w:pPr>
        <w:widowControl/>
        <w:spacing w:line="499" w:lineRule="atLeast"/>
        <w:ind w:firstLine="1600"/>
        <w:rPr>
          <w:i/>
          <w:iCs/>
          <w:color w:val="auto"/>
          <w:sz w:val="24"/>
          <w:highlight w:val="none"/>
          <w:u w:val="single"/>
        </w:rPr>
      </w:pPr>
      <w:r>
        <w:rPr>
          <w:rFonts w:hint="eastAsia"/>
          <w:i/>
          <w:iCs/>
          <w:color w:val="auto"/>
          <w:sz w:val="32"/>
          <w:szCs w:val="32"/>
          <w:highlight w:val="none"/>
          <w:u w:val="single"/>
        </w:rPr>
        <w:t>十六、盐城市政府采购事前信用承诺书</w:t>
      </w:r>
    </w:p>
    <w:p w14:paraId="1E5528FC">
      <w:pPr>
        <w:widowControl/>
        <w:spacing w:line="499" w:lineRule="atLeast"/>
        <w:ind w:firstLine="640"/>
        <w:rPr>
          <w:color w:val="auto"/>
          <w:sz w:val="24"/>
          <w:highlight w:val="none"/>
        </w:rPr>
      </w:pPr>
      <w:r>
        <w:rPr>
          <w:rFonts w:hint="eastAsia"/>
          <w:color w:val="auto"/>
          <w:sz w:val="32"/>
          <w:szCs w:val="32"/>
          <w:highlight w:val="none"/>
        </w:rPr>
        <w:t> </w:t>
      </w:r>
      <w:r>
        <w:rPr>
          <w:rFonts w:hint="eastAsia"/>
          <w:color w:val="auto"/>
          <w:sz w:val="24"/>
          <w:highlight w:val="none"/>
        </w:rPr>
        <w:t>为营造我市公开、公平、公正、诚实守信的政府采购交易环境，树立诚信守法的投标人形象，本人代表本单位作出以下承诺：</w:t>
      </w:r>
    </w:p>
    <w:p w14:paraId="48642892">
      <w:pPr>
        <w:widowControl/>
        <w:spacing w:line="499" w:lineRule="atLeast"/>
        <w:rPr>
          <w:color w:val="auto"/>
          <w:sz w:val="24"/>
          <w:highlight w:val="none"/>
        </w:rPr>
      </w:pPr>
      <w:r>
        <w:rPr>
          <w:rFonts w:hint="eastAsia"/>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47B85B4">
      <w:pPr>
        <w:widowControl/>
        <w:spacing w:line="499" w:lineRule="atLeast"/>
        <w:ind w:firstLine="480"/>
        <w:rPr>
          <w:color w:val="auto"/>
          <w:sz w:val="24"/>
          <w:highlight w:val="none"/>
        </w:rPr>
      </w:pPr>
      <w:r>
        <w:rPr>
          <w:rFonts w:hint="eastAsia"/>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DDE53BE">
      <w:pPr>
        <w:widowControl/>
        <w:spacing w:line="499" w:lineRule="atLeast"/>
        <w:rPr>
          <w:color w:val="auto"/>
          <w:sz w:val="24"/>
          <w:highlight w:val="none"/>
        </w:rPr>
      </w:pPr>
      <w:r>
        <w:rPr>
          <w:rFonts w:hint="eastAsia"/>
          <w:color w:val="auto"/>
          <w:sz w:val="24"/>
          <w:highlight w:val="none"/>
        </w:rPr>
        <w:t xml:space="preserve">   （三）严格依照国家和省、市关于政府采购的法律、法规、规章、规范性文件，参加政府采购投标活动；积极履行社会责任，促进廉政建设； </w:t>
      </w:r>
    </w:p>
    <w:p w14:paraId="699C5DEE">
      <w:pPr>
        <w:widowControl/>
        <w:spacing w:line="499" w:lineRule="atLeast"/>
        <w:rPr>
          <w:color w:val="auto"/>
          <w:sz w:val="24"/>
          <w:highlight w:val="none"/>
        </w:rPr>
      </w:pPr>
      <w:r>
        <w:rPr>
          <w:rFonts w:hint="eastAsia"/>
          <w:color w:val="auto"/>
          <w:sz w:val="24"/>
          <w:highlight w:val="none"/>
        </w:rPr>
        <w:t>   （四）严格遵守即时信息公示规定，及时</w:t>
      </w:r>
      <w:r>
        <w:rPr>
          <w:rFonts w:hint="eastAsia"/>
          <w:color w:val="auto"/>
          <w:sz w:val="24"/>
          <w:highlight w:val="none"/>
          <w:lang w:eastAsia="zh-CN"/>
        </w:rPr>
        <w:t>维护和更新</w:t>
      </w:r>
      <w:r>
        <w:rPr>
          <w:rFonts w:hint="eastAsia"/>
          <w:color w:val="auto"/>
          <w:sz w:val="24"/>
          <w:highlight w:val="none"/>
        </w:rPr>
        <w:t>盐城市政府采购网中与本单位相关的信息；</w:t>
      </w:r>
    </w:p>
    <w:p w14:paraId="2F6001FF">
      <w:pPr>
        <w:widowControl/>
        <w:spacing w:line="499" w:lineRule="atLeast"/>
        <w:rPr>
          <w:color w:val="auto"/>
          <w:sz w:val="24"/>
          <w:highlight w:val="none"/>
        </w:rPr>
      </w:pPr>
      <w:r>
        <w:rPr>
          <w:rFonts w:hint="eastAsia"/>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B614FEF">
      <w:pPr>
        <w:widowControl/>
        <w:spacing w:line="499" w:lineRule="atLeast"/>
        <w:rPr>
          <w:color w:val="auto"/>
          <w:sz w:val="24"/>
          <w:highlight w:val="none"/>
        </w:rPr>
      </w:pPr>
      <w:r>
        <w:rPr>
          <w:rFonts w:hint="eastAsia"/>
          <w:color w:val="auto"/>
          <w:sz w:val="24"/>
          <w:highlight w:val="none"/>
        </w:rPr>
        <w:t>   （六）自觉接受政府、行业组织、社会公众、新闻舆论的监督；</w:t>
      </w:r>
    </w:p>
    <w:p w14:paraId="740BB4F4">
      <w:pPr>
        <w:widowControl/>
        <w:spacing w:line="499" w:lineRule="atLeast"/>
        <w:ind w:firstLine="480"/>
        <w:rPr>
          <w:color w:val="auto"/>
          <w:sz w:val="24"/>
          <w:highlight w:val="none"/>
        </w:rPr>
      </w:pPr>
      <w:r>
        <w:rPr>
          <w:rFonts w:hint="eastAsia"/>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2E0205D">
      <w:pPr>
        <w:widowControl/>
        <w:spacing w:line="499" w:lineRule="atLeast"/>
        <w:rPr>
          <w:color w:val="auto"/>
          <w:sz w:val="24"/>
          <w:highlight w:val="none"/>
        </w:rPr>
      </w:pPr>
      <w:r>
        <w:rPr>
          <w:rFonts w:hint="eastAsia"/>
          <w:color w:val="auto"/>
          <w:sz w:val="24"/>
          <w:highlight w:val="none"/>
        </w:rPr>
        <w:t>   （八）本人已认真阅读了上述承诺，并向本单位员工作了宣传教育。</w:t>
      </w:r>
    </w:p>
    <w:p w14:paraId="58CED857">
      <w:pPr>
        <w:widowControl/>
        <w:spacing w:line="499" w:lineRule="atLeast"/>
        <w:jc w:val="center"/>
        <w:rPr>
          <w:color w:val="auto"/>
          <w:sz w:val="24"/>
          <w:highlight w:val="none"/>
        </w:rPr>
      </w:pPr>
      <w:r>
        <w:rPr>
          <w:rFonts w:hint="eastAsia"/>
          <w:color w:val="auto"/>
          <w:sz w:val="24"/>
          <w:highlight w:val="none"/>
        </w:rPr>
        <w:t>                  法定代表人签名：</w:t>
      </w:r>
    </w:p>
    <w:p w14:paraId="7DE666A6">
      <w:pPr>
        <w:widowControl/>
        <w:spacing w:line="499" w:lineRule="atLeast"/>
        <w:jc w:val="center"/>
        <w:rPr>
          <w:color w:val="auto"/>
          <w:sz w:val="24"/>
          <w:highlight w:val="none"/>
        </w:rPr>
      </w:pPr>
      <w:r>
        <w:rPr>
          <w:rFonts w:hint="eastAsia"/>
          <w:color w:val="auto"/>
          <w:sz w:val="24"/>
          <w:highlight w:val="none"/>
        </w:rPr>
        <w:t>                   单位名称（盖章）：</w:t>
      </w:r>
    </w:p>
    <w:p w14:paraId="2FF8AC15">
      <w:pPr>
        <w:widowControl/>
        <w:spacing w:line="499" w:lineRule="atLeast"/>
        <w:jc w:val="center"/>
        <w:rPr>
          <w:color w:val="auto"/>
          <w:sz w:val="24"/>
          <w:highlight w:val="none"/>
        </w:rPr>
      </w:pPr>
      <w:r>
        <w:rPr>
          <w:rFonts w:hint="eastAsia"/>
          <w:color w:val="auto"/>
          <w:sz w:val="24"/>
          <w:highlight w:val="none"/>
        </w:rPr>
        <w:t>                  年   月   日</w:t>
      </w:r>
      <w:bookmarkEnd w:id="182"/>
      <w:bookmarkEnd w:id="191"/>
      <w:bookmarkEnd w:id="192"/>
      <w:bookmarkEnd w:id="193"/>
      <w:bookmarkEnd w:id="194"/>
      <w:bookmarkEnd w:id="195"/>
    </w:p>
    <w:p w14:paraId="7D98C617">
      <w:pPr>
        <w:pStyle w:val="20"/>
        <w:spacing w:beforeAutospacing="0" w:afterAutospacing="0"/>
        <w:jc w:val="center"/>
        <w:rPr>
          <w:color w:val="auto"/>
          <w:highlight w:val="none"/>
        </w:rPr>
      </w:pPr>
    </w:p>
    <w:p w14:paraId="7D4A98F9">
      <w:pPr>
        <w:pStyle w:val="20"/>
        <w:spacing w:beforeAutospacing="0" w:afterAutospacing="0"/>
        <w:jc w:val="center"/>
        <w:rPr>
          <w:rFonts w:cs="宋体"/>
          <w:b/>
          <w:color w:val="auto"/>
          <w:sz w:val="28"/>
          <w:szCs w:val="28"/>
          <w:highlight w:val="none"/>
        </w:rPr>
      </w:pPr>
      <w:r>
        <w:rPr>
          <w:rFonts w:hint="eastAsia" w:cs="宋体"/>
          <w:b/>
          <w:color w:val="auto"/>
          <w:sz w:val="28"/>
          <w:szCs w:val="28"/>
          <w:highlight w:val="none"/>
        </w:rPr>
        <w:t>质疑函范本</w:t>
      </w:r>
    </w:p>
    <w:p w14:paraId="41FEDDBE">
      <w:pPr>
        <w:pStyle w:val="20"/>
        <w:spacing w:before="290" w:beforeAutospacing="0" w:afterAutospacing="0"/>
        <w:jc w:val="both"/>
        <w:rPr>
          <w:rFonts w:cs="宋体"/>
          <w:bCs/>
          <w:color w:val="auto"/>
          <w:szCs w:val="24"/>
          <w:highlight w:val="none"/>
        </w:rPr>
      </w:pPr>
      <w:r>
        <w:rPr>
          <w:rFonts w:hint="eastAsia" w:cs="宋体"/>
          <w:bCs/>
          <w:color w:val="auto"/>
          <w:szCs w:val="24"/>
          <w:highlight w:val="none"/>
        </w:rPr>
        <w:t>一、质疑供应商基本信息</w:t>
      </w:r>
    </w:p>
    <w:p w14:paraId="62CFB5CC">
      <w:pPr>
        <w:pStyle w:val="20"/>
        <w:spacing w:beforeAutospacing="0" w:afterAutospacing="0"/>
        <w:jc w:val="both"/>
        <w:rPr>
          <w:rFonts w:cs="宋体"/>
          <w:bCs/>
          <w:color w:val="auto"/>
          <w:szCs w:val="24"/>
          <w:highlight w:val="none"/>
        </w:rPr>
      </w:pPr>
      <w:r>
        <w:rPr>
          <w:rFonts w:hint="eastAsia" w:cs="宋体"/>
          <w:bCs/>
          <w:color w:val="auto"/>
          <w:szCs w:val="24"/>
          <w:highlight w:val="none"/>
        </w:rPr>
        <w:t>质疑供应商：</w:t>
      </w:r>
      <w:r>
        <w:rPr>
          <w:rFonts w:hint="eastAsia" w:cs="宋体"/>
          <w:bCs/>
          <w:color w:val="auto"/>
          <w:szCs w:val="24"/>
          <w:highlight w:val="none"/>
          <w:u w:val="single"/>
        </w:rPr>
        <w:t>                    </w:t>
      </w:r>
      <w:r>
        <w:rPr>
          <w:rFonts w:hint="eastAsia" w:cs="宋体"/>
          <w:bCs/>
          <w:color w:val="auto"/>
          <w:szCs w:val="24"/>
          <w:highlight w:val="none"/>
          <w:u w:val="single"/>
        </w:rPr>
        <w:tab/>
      </w:r>
      <w:r>
        <w:rPr>
          <w:rFonts w:hint="eastAsia" w:cs="宋体"/>
          <w:bCs/>
          <w:color w:val="auto"/>
          <w:szCs w:val="24"/>
          <w:highlight w:val="none"/>
          <w:u w:val="single"/>
        </w:rPr>
        <w:t xml:space="preserve">         </w:t>
      </w:r>
      <w:r>
        <w:rPr>
          <w:rFonts w:hint="eastAsia" w:cs="宋体"/>
          <w:bCs/>
          <w:color w:val="auto"/>
          <w:szCs w:val="24"/>
          <w:highlight w:val="none"/>
          <w:u w:val="single"/>
        </w:rPr>
        <w:tab/>
      </w:r>
    </w:p>
    <w:p w14:paraId="212499F0">
      <w:pPr>
        <w:pStyle w:val="20"/>
        <w:spacing w:beforeAutospacing="0" w:afterAutospacing="0"/>
        <w:jc w:val="both"/>
        <w:rPr>
          <w:rFonts w:cs="宋体"/>
          <w:bCs/>
          <w:color w:val="auto"/>
          <w:szCs w:val="24"/>
          <w:highlight w:val="none"/>
          <w:u w:val="single"/>
        </w:rPr>
      </w:pPr>
      <w:r>
        <w:rPr>
          <w:rFonts w:hint="eastAsia" w:cs="宋体"/>
          <w:bCs/>
          <w:color w:val="auto"/>
          <w:szCs w:val="24"/>
          <w:highlight w:val="none"/>
        </w:rPr>
        <w:t>地址：</w:t>
      </w:r>
      <w:r>
        <w:rPr>
          <w:rFonts w:hint="eastAsia" w:cs="宋体"/>
          <w:bCs/>
          <w:color w:val="auto"/>
          <w:szCs w:val="24"/>
          <w:highlight w:val="none"/>
          <w:u w:val="single"/>
        </w:rPr>
        <w:t xml:space="preserve">                      </w:t>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 xml:space="preserve">        </w:t>
      </w:r>
      <w:r>
        <w:rPr>
          <w:rFonts w:hint="eastAsia" w:cs="宋体"/>
          <w:bCs/>
          <w:color w:val="auto"/>
          <w:szCs w:val="24"/>
          <w:highlight w:val="none"/>
          <w:u w:val="single"/>
        </w:rPr>
        <w:tab/>
      </w:r>
    </w:p>
    <w:p w14:paraId="5CDA2630">
      <w:pPr>
        <w:pStyle w:val="20"/>
        <w:spacing w:beforeAutospacing="0" w:afterAutospacing="0"/>
        <w:jc w:val="both"/>
        <w:rPr>
          <w:rFonts w:cs="宋体"/>
          <w:bCs/>
          <w:color w:val="auto"/>
          <w:szCs w:val="24"/>
          <w:highlight w:val="none"/>
        </w:rPr>
      </w:pPr>
      <w:r>
        <w:rPr>
          <w:rFonts w:hint="eastAsia" w:cs="宋体"/>
          <w:bCs/>
          <w:color w:val="auto"/>
          <w:szCs w:val="24"/>
          <w:highlight w:val="none"/>
        </w:rPr>
        <w:t>邮编：</w:t>
      </w:r>
      <w:r>
        <w:rPr>
          <w:rFonts w:hint="eastAsia" w:cs="宋体"/>
          <w:bCs/>
          <w:color w:val="auto"/>
          <w:szCs w:val="24"/>
          <w:highlight w:val="none"/>
          <w:u w:val="single"/>
        </w:rPr>
        <w:t>                                      </w:t>
      </w:r>
      <w:r>
        <w:rPr>
          <w:rFonts w:hint="eastAsia" w:cs="宋体"/>
          <w:bCs/>
          <w:color w:val="auto"/>
          <w:szCs w:val="24"/>
          <w:highlight w:val="none"/>
          <w:u w:val="single"/>
        </w:rPr>
        <w:tab/>
      </w:r>
    </w:p>
    <w:p w14:paraId="45D58B06">
      <w:pPr>
        <w:pStyle w:val="20"/>
        <w:spacing w:beforeAutospacing="0" w:afterAutospacing="0"/>
        <w:jc w:val="both"/>
        <w:rPr>
          <w:rFonts w:cs="宋体"/>
          <w:bCs/>
          <w:color w:val="auto"/>
          <w:szCs w:val="24"/>
          <w:highlight w:val="none"/>
          <w:u w:val="single"/>
        </w:rPr>
      </w:pPr>
      <w:r>
        <w:rPr>
          <w:rFonts w:hint="eastAsia" w:cs="宋体"/>
          <w:bCs/>
          <w:color w:val="auto"/>
          <w:szCs w:val="24"/>
          <w:highlight w:val="none"/>
        </w:rPr>
        <w:t>联系人：</w:t>
      </w:r>
      <w:r>
        <w:rPr>
          <w:rFonts w:hint="eastAsia" w:cs="宋体"/>
          <w:bCs/>
          <w:color w:val="auto"/>
          <w:szCs w:val="24"/>
          <w:highlight w:val="none"/>
          <w:u w:val="single"/>
        </w:rPr>
        <w:t>               </w:t>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 xml:space="preserve">        </w:t>
      </w:r>
    </w:p>
    <w:p w14:paraId="1C107C5F">
      <w:pPr>
        <w:pStyle w:val="20"/>
        <w:spacing w:beforeAutospacing="0" w:afterAutospacing="0"/>
        <w:jc w:val="both"/>
        <w:rPr>
          <w:rFonts w:cs="宋体"/>
          <w:bCs/>
          <w:color w:val="auto"/>
          <w:szCs w:val="24"/>
          <w:highlight w:val="none"/>
        </w:rPr>
      </w:pPr>
      <w:r>
        <w:rPr>
          <w:rFonts w:hint="eastAsia" w:cs="宋体"/>
          <w:bCs/>
          <w:color w:val="auto"/>
          <w:szCs w:val="24"/>
          <w:highlight w:val="none"/>
        </w:rPr>
        <w:t>联系电话：</w:t>
      </w:r>
      <w:r>
        <w:rPr>
          <w:rFonts w:hint="eastAsia" w:cs="宋体"/>
          <w:bCs/>
          <w:color w:val="auto"/>
          <w:szCs w:val="24"/>
          <w:highlight w:val="none"/>
          <w:u w:val="single"/>
        </w:rPr>
        <w:t xml:space="preserve">                                    </w:t>
      </w:r>
    </w:p>
    <w:p w14:paraId="36F6EECA">
      <w:pPr>
        <w:pStyle w:val="20"/>
        <w:spacing w:beforeAutospacing="0" w:afterAutospacing="0"/>
        <w:jc w:val="both"/>
        <w:rPr>
          <w:rFonts w:cs="宋体"/>
          <w:bCs/>
          <w:color w:val="auto"/>
          <w:szCs w:val="24"/>
          <w:highlight w:val="none"/>
        </w:rPr>
      </w:pPr>
      <w:r>
        <w:rPr>
          <w:rFonts w:hint="eastAsia" w:cs="宋体"/>
          <w:bCs/>
          <w:color w:val="auto"/>
          <w:szCs w:val="24"/>
          <w:highlight w:val="none"/>
        </w:rPr>
        <w:t>授权代表：</w:t>
      </w:r>
      <w:r>
        <w:rPr>
          <w:rFonts w:hint="eastAsia" w:cs="宋体"/>
          <w:bCs/>
          <w:color w:val="auto"/>
          <w:szCs w:val="24"/>
          <w:highlight w:val="none"/>
          <w:u w:val="single"/>
        </w:rPr>
        <w:t>                 </w:t>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 xml:space="preserve">    </w:t>
      </w:r>
      <w:r>
        <w:rPr>
          <w:rFonts w:hint="eastAsia" w:cs="宋体"/>
          <w:bCs/>
          <w:color w:val="auto"/>
          <w:szCs w:val="24"/>
          <w:highlight w:val="none"/>
          <w:u w:val="single"/>
        </w:rPr>
        <w:tab/>
      </w:r>
      <w:r>
        <w:rPr>
          <w:rFonts w:hint="eastAsia" w:cs="宋体"/>
          <w:bCs/>
          <w:color w:val="auto"/>
          <w:szCs w:val="24"/>
          <w:highlight w:val="none"/>
          <w:u w:val="single"/>
        </w:rPr>
        <w:t xml:space="preserve"> </w:t>
      </w:r>
    </w:p>
    <w:p w14:paraId="76A7C849">
      <w:pPr>
        <w:pStyle w:val="20"/>
        <w:spacing w:beforeAutospacing="0" w:afterAutospacing="0"/>
        <w:jc w:val="both"/>
        <w:rPr>
          <w:rFonts w:cs="宋体"/>
          <w:bCs/>
          <w:color w:val="auto"/>
          <w:szCs w:val="24"/>
          <w:highlight w:val="none"/>
        </w:rPr>
      </w:pPr>
      <w:r>
        <w:rPr>
          <w:rFonts w:hint="eastAsia" w:cs="宋体"/>
          <w:bCs/>
          <w:color w:val="auto"/>
          <w:szCs w:val="24"/>
          <w:highlight w:val="none"/>
        </w:rPr>
        <w:t>联系电话：</w:t>
      </w:r>
      <w:r>
        <w:rPr>
          <w:rFonts w:hint="eastAsia" w:cs="宋体"/>
          <w:bCs/>
          <w:color w:val="auto"/>
          <w:szCs w:val="24"/>
          <w:highlight w:val="none"/>
          <w:u w:val="single"/>
        </w:rPr>
        <w:t>                  </w:t>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 xml:space="preserve">        </w:t>
      </w:r>
    </w:p>
    <w:p w14:paraId="06043E39">
      <w:pPr>
        <w:pStyle w:val="20"/>
        <w:spacing w:beforeAutospacing="0" w:afterAutospacing="0"/>
        <w:jc w:val="both"/>
        <w:rPr>
          <w:rFonts w:cs="宋体"/>
          <w:bCs/>
          <w:color w:val="auto"/>
          <w:szCs w:val="24"/>
          <w:highlight w:val="none"/>
          <w:u w:val="single"/>
        </w:rPr>
      </w:pPr>
      <w:r>
        <w:rPr>
          <w:rFonts w:hint="eastAsia" w:cs="宋体"/>
          <w:bCs/>
          <w:color w:val="auto"/>
          <w:szCs w:val="24"/>
          <w:highlight w:val="none"/>
        </w:rPr>
        <w:t>地址： </w:t>
      </w:r>
      <w:r>
        <w:rPr>
          <w:rFonts w:hint="eastAsia" w:cs="宋体"/>
          <w:bCs/>
          <w:color w:val="auto"/>
          <w:szCs w:val="24"/>
          <w:highlight w:val="none"/>
          <w:u w:val="single"/>
        </w:rPr>
        <w:t>                  </w:t>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ab/>
      </w:r>
      <w:r>
        <w:rPr>
          <w:rFonts w:hint="eastAsia" w:cs="宋体"/>
          <w:bCs/>
          <w:color w:val="auto"/>
          <w:szCs w:val="24"/>
          <w:highlight w:val="none"/>
          <w:u w:val="single"/>
        </w:rPr>
        <w:t xml:space="preserve">        </w:t>
      </w:r>
    </w:p>
    <w:p w14:paraId="3B1B93AE">
      <w:pPr>
        <w:pStyle w:val="20"/>
        <w:spacing w:beforeAutospacing="0" w:afterAutospacing="0"/>
        <w:jc w:val="both"/>
        <w:rPr>
          <w:rFonts w:cs="宋体"/>
          <w:bCs/>
          <w:color w:val="auto"/>
          <w:szCs w:val="24"/>
          <w:highlight w:val="none"/>
        </w:rPr>
      </w:pPr>
      <w:r>
        <w:rPr>
          <w:rFonts w:hint="eastAsia" w:cs="宋体"/>
          <w:bCs/>
          <w:color w:val="auto"/>
          <w:szCs w:val="24"/>
          <w:highlight w:val="none"/>
        </w:rPr>
        <w:t>邮编：</w:t>
      </w:r>
      <w:r>
        <w:rPr>
          <w:rFonts w:hint="eastAsia" w:cs="宋体"/>
          <w:bCs/>
          <w:color w:val="auto"/>
          <w:szCs w:val="24"/>
          <w:highlight w:val="none"/>
          <w:u w:val="single"/>
        </w:rPr>
        <w:t>                                       </w:t>
      </w:r>
    </w:p>
    <w:p w14:paraId="228E741A">
      <w:pPr>
        <w:pStyle w:val="20"/>
        <w:spacing w:beforeAutospacing="0" w:afterAutospacing="0"/>
        <w:jc w:val="both"/>
        <w:rPr>
          <w:rFonts w:cs="宋体"/>
          <w:bCs/>
          <w:color w:val="auto"/>
          <w:szCs w:val="24"/>
          <w:highlight w:val="none"/>
        </w:rPr>
      </w:pPr>
      <w:r>
        <w:rPr>
          <w:rFonts w:hint="eastAsia" w:cs="宋体"/>
          <w:bCs/>
          <w:color w:val="auto"/>
          <w:szCs w:val="24"/>
          <w:highlight w:val="none"/>
        </w:rPr>
        <w:t>二、质疑项目基本情况</w:t>
      </w:r>
    </w:p>
    <w:p w14:paraId="707DCD58">
      <w:pPr>
        <w:pStyle w:val="20"/>
        <w:spacing w:beforeAutospacing="0" w:afterAutospacing="0"/>
        <w:jc w:val="both"/>
        <w:rPr>
          <w:rFonts w:cs="宋体"/>
          <w:bCs/>
          <w:color w:val="auto"/>
          <w:szCs w:val="24"/>
          <w:highlight w:val="none"/>
        </w:rPr>
      </w:pPr>
      <w:r>
        <w:rPr>
          <w:rFonts w:hint="eastAsia" w:cs="宋体"/>
          <w:bCs/>
          <w:color w:val="auto"/>
          <w:szCs w:val="24"/>
          <w:highlight w:val="none"/>
        </w:rPr>
        <w:t>质疑项目的名称：</w:t>
      </w:r>
      <w:r>
        <w:rPr>
          <w:rFonts w:hint="eastAsia" w:cs="宋体"/>
          <w:bCs/>
          <w:color w:val="auto"/>
          <w:szCs w:val="24"/>
          <w:highlight w:val="none"/>
          <w:u w:val="single"/>
        </w:rPr>
        <w:t xml:space="preserve">                             </w:t>
      </w:r>
    </w:p>
    <w:p w14:paraId="2385D58B">
      <w:pPr>
        <w:pStyle w:val="20"/>
        <w:spacing w:beforeAutospacing="0" w:afterAutospacing="0"/>
        <w:jc w:val="both"/>
        <w:rPr>
          <w:rFonts w:cs="宋体"/>
          <w:bCs/>
          <w:color w:val="auto"/>
          <w:szCs w:val="24"/>
          <w:highlight w:val="none"/>
          <w:u w:val="single"/>
        </w:rPr>
      </w:pPr>
      <w:r>
        <w:rPr>
          <w:rFonts w:hint="eastAsia" w:cs="宋体"/>
          <w:bCs/>
          <w:color w:val="auto"/>
          <w:szCs w:val="24"/>
          <w:highlight w:val="none"/>
        </w:rPr>
        <w:t>质疑项目的编号：</w:t>
      </w:r>
      <w:r>
        <w:rPr>
          <w:rFonts w:hint="eastAsia" w:cs="宋体"/>
          <w:bCs/>
          <w:color w:val="auto"/>
          <w:szCs w:val="24"/>
          <w:highlight w:val="none"/>
          <w:u w:val="single"/>
        </w:rPr>
        <w:t>                             </w:t>
      </w:r>
    </w:p>
    <w:p w14:paraId="23498B56">
      <w:pPr>
        <w:pStyle w:val="20"/>
        <w:spacing w:beforeAutospacing="0" w:afterAutospacing="0"/>
        <w:jc w:val="both"/>
        <w:rPr>
          <w:rFonts w:cs="宋体"/>
          <w:bCs/>
          <w:color w:val="auto"/>
          <w:szCs w:val="24"/>
          <w:highlight w:val="none"/>
        </w:rPr>
      </w:pPr>
      <w:r>
        <w:rPr>
          <w:rFonts w:hint="eastAsia" w:cs="宋体"/>
          <w:bCs/>
          <w:color w:val="auto"/>
          <w:szCs w:val="24"/>
          <w:highlight w:val="none"/>
        </w:rPr>
        <w:t>包号：</w:t>
      </w:r>
      <w:r>
        <w:rPr>
          <w:rFonts w:hint="eastAsia" w:cs="宋体"/>
          <w:bCs/>
          <w:color w:val="auto"/>
          <w:szCs w:val="24"/>
          <w:highlight w:val="none"/>
          <w:u w:val="single"/>
        </w:rPr>
        <w:t xml:space="preserve">                       </w:t>
      </w:r>
      <w:r>
        <w:rPr>
          <w:rFonts w:hint="eastAsia" w:cs="宋体"/>
          <w:bCs/>
          <w:color w:val="auto"/>
          <w:szCs w:val="24"/>
          <w:highlight w:val="none"/>
          <w:u w:val="single"/>
        </w:rPr>
        <w:tab/>
      </w:r>
      <w:r>
        <w:rPr>
          <w:rFonts w:hint="eastAsia" w:cs="宋体"/>
          <w:bCs/>
          <w:color w:val="auto"/>
          <w:szCs w:val="24"/>
          <w:highlight w:val="none"/>
          <w:u w:val="single"/>
        </w:rPr>
        <w:t xml:space="preserve">           </w:t>
      </w:r>
      <w:r>
        <w:rPr>
          <w:rFonts w:hint="eastAsia" w:cs="宋体"/>
          <w:bCs/>
          <w:color w:val="auto"/>
          <w:szCs w:val="24"/>
          <w:highlight w:val="none"/>
          <w:u w:val="single"/>
        </w:rPr>
        <w:tab/>
      </w:r>
    </w:p>
    <w:p w14:paraId="4A418DB5">
      <w:pPr>
        <w:pStyle w:val="20"/>
        <w:spacing w:beforeAutospacing="0" w:afterAutospacing="0"/>
        <w:jc w:val="both"/>
        <w:rPr>
          <w:rFonts w:cs="宋体"/>
          <w:bCs/>
          <w:color w:val="auto"/>
          <w:szCs w:val="24"/>
          <w:highlight w:val="none"/>
        </w:rPr>
      </w:pPr>
      <w:r>
        <w:rPr>
          <w:rFonts w:hint="eastAsia" w:cs="宋体"/>
          <w:bCs/>
          <w:color w:val="auto"/>
          <w:szCs w:val="24"/>
          <w:highlight w:val="none"/>
        </w:rPr>
        <w:t>采购人名称：</w:t>
      </w:r>
      <w:r>
        <w:rPr>
          <w:rFonts w:hint="eastAsia" w:cs="宋体"/>
          <w:bCs/>
          <w:color w:val="auto"/>
          <w:szCs w:val="24"/>
          <w:highlight w:val="none"/>
          <w:u w:val="single"/>
        </w:rPr>
        <w:t>                                 </w:t>
      </w:r>
    </w:p>
    <w:p w14:paraId="3B396086">
      <w:pPr>
        <w:pStyle w:val="20"/>
        <w:spacing w:beforeAutospacing="0" w:afterAutospacing="0"/>
        <w:jc w:val="both"/>
        <w:rPr>
          <w:rFonts w:cs="宋体"/>
          <w:bCs/>
          <w:color w:val="auto"/>
          <w:szCs w:val="24"/>
          <w:highlight w:val="none"/>
        </w:rPr>
      </w:pPr>
      <w:r>
        <w:rPr>
          <w:rFonts w:hint="eastAsia" w:cs="宋体"/>
          <w:bCs/>
          <w:color w:val="auto"/>
          <w:szCs w:val="24"/>
          <w:highlight w:val="none"/>
        </w:rPr>
        <w:t>采购文件获取日期：</w:t>
      </w:r>
      <w:r>
        <w:rPr>
          <w:rFonts w:hint="eastAsia" w:cs="宋体"/>
          <w:bCs/>
          <w:color w:val="auto"/>
          <w:szCs w:val="24"/>
          <w:highlight w:val="none"/>
          <w:u w:val="single"/>
        </w:rPr>
        <w:t>                           </w:t>
      </w:r>
    </w:p>
    <w:p w14:paraId="11FC43F5">
      <w:pPr>
        <w:pStyle w:val="20"/>
        <w:spacing w:beforeAutospacing="0" w:afterAutospacing="0"/>
        <w:jc w:val="both"/>
        <w:rPr>
          <w:rFonts w:cs="宋体"/>
          <w:bCs/>
          <w:color w:val="auto"/>
          <w:szCs w:val="24"/>
          <w:highlight w:val="none"/>
        </w:rPr>
      </w:pPr>
      <w:r>
        <w:rPr>
          <w:rFonts w:hint="eastAsia" w:cs="宋体"/>
          <w:bCs/>
          <w:color w:val="auto"/>
          <w:szCs w:val="24"/>
          <w:highlight w:val="none"/>
        </w:rPr>
        <w:t>三、质疑事项具体内容</w:t>
      </w:r>
    </w:p>
    <w:p w14:paraId="6601FB99">
      <w:pPr>
        <w:pStyle w:val="20"/>
        <w:spacing w:beforeAutospacing="0" w:afterAutospacing="0"/>
        <w:jc w:val="both"/>
        <w:rPr>
          <w:rFonts w:cs="宋体"/>
          <w:bCs/>
          <w:color w:val="auto"/>
          <w:szCs w:val="24"/>
          <w:highlight w:val="none"/>
        </w:rPr>
      </w:pPr>
      <w:r>
        <w:rPr>
          <w:rFonts w:hint="eastAsia" w:cs="宋体"/>
          <w:bCs/>
          <w:color w:val="auto"/>
          <w:szCs w:val="24"/>
          <w:highlight w:val="none"/>
        </w:rPr>
        <w:t>质疑事项1：</w:t>
      </w:r>
      <w:r>
        <w:rPr>
          <w:rFonts w:hint="eastAsia" w:cs="宋体"/>
          <w:bCs/>
          <w:color w:val="auto"/>
          <w:szCs w:val="24"/>
          <w:highlight w:val="none"/>
          <w:u w:val="single"/>
        </w:rPr>
        <w:t>                                  </w:t>
      </w:r>
    </w:p>
    <w:p w14:paraId="1BEFBFCF">
      <w:pPr>
        <w:pStyle w:val="20"/>
        <w:spacing w:beforeAutospacing="0" w:afterAutospacing="0"/>
        <w:rPr>
          <w:rFonts w:cs="宋体"/>
          <w:bCs/>
          <w:color w:val="auto"/>
          <w:szCs w:val="24"/>
          <w:highlight w:val="none"/>
        </w:rPr>
      </w:pPr>
      <w:r>
        <w:rPr>
          <w:rFonts w:hint="eastAsia" w:cs="宋体"/>
          <w:bCs/>
          <w:color w:val="auto"/>
          <w:szCs w:val="24"/>
          <w:highlight w:val="none"/>
        </w:rPr>
        <w:t>事实依据：</w:t>
      </w:r>
      <w:r>
        <w:rPr>
          <w:rFonts w:hint="eastAsia" w:cs="宋体"/>
          <w:bCs/>
          <w:color w:val="auto"/>
          <w:szCs w:val="24"/>
          <w:highlight w:val="none"/>
          <w:u w:val="single"/>
        </w:rPr>
        <w:t xml:space="preserve">                                   </w:t>
      </w:r>
    </w:p>
    <w:p w14:paraId="58D02445">
      <w:pPr>
        <w:pStyle w:val="20"/>
        <w:spacing w:beforeAutospacing="0" w:afterAutospacing="0"/>
        <w:jc w:val="both"/>
        <w:rPr>
          <w:rFonts w:cs="宋体"/>
          <w:bCs/>
          <w:color w:val="auto"/>
          <w:szCs w:val="24"/>
          <w:highlight w:val="none"/>
        </w:rPr>
      </w:pPr>
      <w:r>
        <w:rPr>
          <w:rFonts w:hint="eastAsia" w:cs="宋体"/>
          <w:bCs/>
          <w:color w:val="auto"/>
          <w:szCs w:val="24"/>
          <w:highlight w:val="none"/>
        </w:rPr>
        <w:t>法律依据：</w:t>
      </w:r>
      <w:r>
        <w:rPr>
          <w:rFonts w:hint="eastAsia" w:cs="宋体"/>
          <w:bCs/>
          <w:color w:val="auto"/>
          <w:szCs w:val="24"/>
          <w:highlight w:val="none"/>
          <w:u w:val="single"/>
        </w:rPr>
        <w:t xml:space="preserve">                                   </w:t>
      </w:r>
    </w:p>
    <w:p w14:paraId="4B241490">
      <w:pPr>
        <w:pStyle w:val="20"/>
        <w:spacing w:beforeAutospacing="0" w:afterAutospacing="0"/>
        <w:jc w:val="both"/>
        <w:rPr>
          <w:rFonts w:cs="宋体"/>
          <w:bCs/>
          <w:color w:val="auto"/>
          <w:szCs w:val="24"/>
          <w:highlight w:val="none"/>
        </w:rPr>
      </w:pPr>
      <w:r>
        <w:rPr>
          <w:rFonts w:hint="eastAsia" w:cs="宋体"/>
          <w:bCs/>
          <w:color w:val="auto"/>
          <w:szCs w:val="24"/>
          <w:highlight w:val="none"/>
        </w:rPr>
        <w:t>质疑事项2</w:t>
      </w:r>
    </w:p>
    <w:p w14:paraId="44B6F798">
      <w:pPr>
        <w:pStyle w:val="20"/>
        <w:spacing w:beforeAutospacing="0" w:afterAutospacing="0"/>
        <w:jc w:val="both"/>
        <w:rPr>
          <w:rFonts w:cs="宋体"/>
          <w:bCs/>
          <w:color w:val="auto"/>
          <w:szCs w:val="24"/>
          <w:highlight w:val="none"/>
        </w:rPr>
      </w:pPr>
      <w:r>
        <w:rPr>
          <w:rFonts w:hint="eastAsia" w:cs="宋体"/>
          <w:bCs/>
          <w:color w:val="auto"/>
          <w:szCs w:val="24"/>
          <w:highlight w:val="none"/>
        </w:rPr>
        <w:t>……</w:t>
      </w:r>
    </w:p>
    <w:p w14:paraId="573B9BDC">
      <w:pPr>
        <w:pStyle w:val="20"/>
        <w:spacing w:beforeAutospacing="0" w:afterAutospacing="0"/>
        <w:jc w:val="both"/>
        <w:rPr>
          <w:rFonts w:cs="宋体"/>
          <w:bCs/>
          <w:color w:val="auto"/>
          <w:szCs w:val="24"/>
          <w:highlight w:val="none"/>
        </w:rPr>
      </w:pPr>
      <w:r>
        <w:rPr>
          <w:rFonts w:hint="eastAsia" w:cs="宋体"/>
          <w:bCs/>
          <w:color w:val="auto"/>
          <w:szCs w:val="24"/>
          <w:highlight w:val="none"/>
        </w:rPr>
        <w:t>四、与质疑事项相关的质疑请求</w:t>
      </w:r>
    </w:p>
    <w:p w14:paraId="584FE7DC">
      <w:pPr>
        <w:pStyle w:val="20"/>
        <w:spacing w:beforeAutospacing="0" w:afterAutospacing="0"/>
        <w:jc w:val="both"/>
        <w:rPr>
          <w:rFonts w:cs="宋体"/>
          <w:bCs/>
          <w:color w:val="auto"/>
          <w:szCs w:val="24"/>
          <w:highlight w:val="none"/>
        </w:rPr>
      </w:pPr>
      <w:r>
        <w:rPr>
          <w:rFonts w:hint="eastAsia" w:cs="宋体"/>
          <w:bCs/>
          <w:color w:val="auto"/>
          <w:szCs w:val="24"/>
          <w:highlight w:val="none"/>
        </w:rPr>
        <w:t>请求：</w:t>
      </w:r>
      <w:r>
        <w:rPr>
          <w:rFonts w:hint="eastAsia" w:cs="宋体"/>
          <w:bCs/>
          <w:color w:val="auto"/>
          <w:szCs w:val="24"/>
          <w:highlight w:val="none"/>
          <w:u w:val="single"/>
        </w:rPr>
        <w:t xml:space="preserve">                                        </w:t>
      </w:r>
    </w:p>
    <w:p w14:paraId="65C8E82E">
      <w:pPr>
        <w:pStyle w:val="20"/>
        <w:spacing w:beforeAutospacing="0" w:afterAutospacing="0"/>
        <w:jc w:val="both"/>
        <w:rPr>
          <w:rFonts w:cs="宋体"/>
          <w:bCs/>
          <w:color w:val="auto"/>
          <w:szCs w:val="24"/>
          <w:highlight w:val="none"/>
        </w:rPr>
      </w:pPr>
      <w:r>
        <w:rPr>
          <w:rFonts w:hint="eastAsia" w:cs="宋体"/>
          <w:bCs/>
          <w:color w:val="auto"/>
          <w:szCs w:val="24"/>
          <w:highlight w:val="none"/>
        </w:rPr>
        <w:t>签字</w:t>
      </w:r>
      <w:r>
        <w:rPr>
          <w:rFonts w:hint="eastAsia" w:cs="宋体"/>
          <w:bCs/>
          <w:color w:val="auto"/>
          <w:szCs w:val="24"/>
          <w:highlight w:val="none"/>
          <w:lang w:eastAsia="zh-CN"/>
        </w:rPr>
        <w:t>（</w:t>
      </w:r>
      <w:r>
        <w:rPr>
          <w:rFonts w:hint="eastAsia" w:cs="宋体"/>
          <w:bCs/>
          <w:color w:val="auto"/>
          <w:szCs w:val="24"/>
          <w:highlight w:val="none"/>
        </w:rPr>
        <w:t>签章</w:t>
      </w:r>
      <w:r>
        <w:rPr>
          <w:rFonts w:hint="eastAsia" w:cs="宋体"/>
          <w:bCs/>
          <w:color w:val="auto"/>
          <w:szCs w:val="24"/>
          <w:highlight w:val="none"/>
          <w:lang w:eastAsia="zh-CN"/>
        </w:rPr>
        <w:t>）</w:t>
      </w:r>
      <w:r>
        <w:rPr>
          <w:rFonts w:hint="eastAsia" w:cs="宋体"/>
          <w:bCs/>
          <w:color w:val="auto"/>
          <w:szCs w:val="24"/>
          <w:highlight w:val="none"/>
        </w:rPr>
        <w:t xml:space="preserve">：                 公章：               日期：    </w:t>
      </w:r>
    </w:p>
    <w:p w14:paraId="22C81557">
      <w:pPr>
        <w:pStyle w:val="20"/>
        <w:spacing w:beforeAutospacing="0" w:afterAutospacing="0"/>
        <w:jc w:val="both"/>
        <w:rPr>
          <w:rFonts w:cs="宋体"/>
          <w:bCs/>
          <w:color w:val="auto"/>
          <w:szCs w:val="24"/>
          <w:highlight w:val="none"/>
        </w:rPr>
      </w:pPr>
      <w:r>
        <w:rPr>
          <w:rFonts w:hint="eastAsia" w:cs="宋体"/>
          <w:bCs/>
          <w:color w:val="auto"/>
          <w:szCs w:val="24"/>
          <w:highlight w:val="none"/>
        </w:rPr>
        <w:t>质疑函制作说明：</w:t>
      </w:r>
    </w:p>
    <w:p w14:paraId="1B5DF143">
      <w:pPr>
        <w:pStyle w:val="20"/>
        <w:widowControl/>
        <w:spacing w:beforeAutospacing="0" w:afterAutospacing="0"/>
        <w:ind w:firstLine="480"/>
        <w:rPr>
          <w:rFonts w:cs="宋体"/>
          <w:bCs/>
          <w:color w:val="auto"/>
          <w:szCs w:val="24"/>
          <w:highlight w:val="none"/>
        </w:rPr>
      </w:pPr>
      <w:r>
        <w:rPr>
          <w:rFonts w:hint="eastAsia" w:cs="宋体"/>
          <w:bCs/>
          <w:color w:val="auto"/>
          <w:szCs w:val="24"/>
          <w:highlight w:val="none"/>
        </w:rPr>
        <w:t>1.供应商提出质疑时，应提交质疑函和必要的证明材料。</w:t>
      </w:r>
    </w:p>
    <w:p w14:paraId="56D765D5">
      <w:pPr>
        <w:pStyle w:val="20"/>
        <w:widowControl/>
        <w:spacing w:beforeAutospacing="0" w:afterAutospacing="0"/>
        <w:ind w:firstLine="480"/>
        <w:rPr>
          <w:rFonts w:cs="宋体"/>
          <w:bCs/>
          <w:color w:val="auto"/>
          <w:szCs w:val="24"/>
          <w:highlight w:val="none"/>
        </w:rPr>
      </w:pPr>
      <w:r>
        <w:rPr>
          <w:rFonts w:hint="eastAsia" w:cs="宋体"/>
          <w:bCs/>
          <w:color w:val="auto"/>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DA0B229">
      <w:pPr>
        <w:pStyle w:val="20"/>
        <w:widowControl/>
        <w:spacing w:beforeAutospacing="0" w:afterAutospacing="0"/>
        <w:ind w:firstLine="480"/>
        <w:rPr>
          <w:rFonts w:cs="宋体"/>
          <w:bCs/>
          <w:color w:val="auto"/>
          <w:szCs w:val="24"/>
          <w:highlight w:val="none"/>
        </w:rPr>
      </w:pPr>
      <w:r>
        <w:rPr>
          <w:rFonts w:hint="eastAsia" w:cs="宋体"/>
          <w:bCs/>
          <w:color w:val="auto"/>
          <w:szCs w:val="24"/>
          <w:highlight w:val="none"/>
        </w:rPr>
        <w:t>3.质疑供应商若对项目的某一分包进行质疑，质疑函中应列明具体分包号。</w:t>
      </w:r>
    </w:p>
    <w:p w14:paraId="3412B1C7">
      <w:pPr>
        <w:pStyle w:val="20"/>
        <w:widowControl/>
        <w:spacing w:beforeAutospacing="0" w:afterAutospacing="0"/>
        <w:ind w:firstLine="480"/>
        <w:rPr>
          <w:rFonts w:cs="宋体"/>
          <w:bCs/>
          <w:color w:val="auto"/>
          <w:szCs w:val="24"/>
          <w:highlight w:val="none"/>
        </w:rPr>
      </w:pPr>
      <w:r>
        <w:rPr>
          <w:rFonts w:hint="eastAsia" w:cs="宋体"/>
          <w:bCs/>
          <w:color w:val="auto"/>
          <w:szCs w:val="24"/>
          <w:highlight w:val="none"/>
        </w:rPr>
        <w:t>4.质疑函的质疑事项应具体、明确，并有必要的事实依据和法律依据。</w:t>
      </w:r>
    </w:p>
    <w:p w14:paraId="30CBD238">
      <w:pPr>
        <w:pStyle w:val="20"/>
        <w:widowControl/>
        <w:spacing w:beforeAutospacing="0" w:afterAutospacing="0"/>
        <w:ind w:firstLine="480"/>
        <w:rPr>
          <w:rFonts w:cs="宋体"/>
          <w:bCs/>
          <w:color w:val="auto"/>
          <w:szCs w:val="24"/>
          <w:highlight w:val="none"/>
        </w:rPr>
      </w:pPr>
      <w:r>
        <w:rPr>
          <w:rFonts w:hint="eastAsia" w:cs="宋体"/>
          <w:bCs/>
          <w:color w:val="auto"/>
          <w:szCs w:val="24"/>
          <w:highlight w:val="none"/>
        </w:rPr>
        <w:t>5.质疑函的质疑请求应与质疑事项相关。</w:t>
      </w:r>
    </w:p>
    <w:p w14:paraId="5D837D48">
      <w:pPr>
        <w:pStyle w:val="20"/>
        <w:widowControl/>
        <w:spacing w:beforeAutospacing="0" w:afterAutospacing="0"/>
        <w:ind w:firstLine="480"/>
        <w:rPr>
          <w:rFonts w:cs="宋体"/>
          <w:bCs/>
          <w:color w:val="auto"/>
          <w:szCs w:val="24"/>
          <w:highlight w:val="none"/>
        </w:rPr>
      </w:pPr>
      <w:r>
        <w:rPr>
          <w:rFonts w:hint="eastAsia" w:cs="宋体"/>
          <w:bCs/>
          <w:color w:val="auto"/>
          <w:szCs w:val="24"/>
          <w:highlight w:val="none"/>
        </w:rPr>
        <w:t>6.质疑供应商为自然人的，质疑函应由本人签字；质疑供应商为法人或者其他组织的，质疑函应由法定代表人、主要负责人，或者其授权代表签字或者盖章，并加盖公章。</w:t>
      </w:r>
    </w:p>
    <w:p w14:paraId="3AA3D8BD">
      <w:pPr>
        <w:pStyle w:val="49"/>
        <w:spacing w:beforeAutospacing="0" w:afterAutospacing="0" w:line="500" w:lineRule="exact"/>
        <w:ind w:firstLine="420"/>
        <w:jc w:val="both"/>
        <w:rPr>
          <w:b w:val="0"/>
          <w:bCs/>
          <w:color w:val="auto"/>
          <w:sz w:val="24"/>
          <w:szCs w:val="24"/>
          <w:highlight w:val="none"/>
        </w:rPr>
      </w:pPr>
    </w:p>
    <w:p w14:paraId="1E3214F7">
      <w:pPr>
        <w:ind w:firstLine="440"/>
        <w:rPr>
          <w:bCs/>
          <w:color w:val="auto"/>
          <w:sz w:val="24"/>
          <w:szCs w:val="24"/>
          <w:highlight w:val="none"/>
        </w:rPr>
      </w:pPr>
    </w:p>
    <w:p w14:paraId="66CE2FE5">
      <w:pPr>
        <w:rPr>
          <w:color w:val="auto"/>
          <w:highlight w:val="none"/>
        </w:rPr>
      </w:pPr>
    </w:p>
    <w:p w14:paraId="058576DC">
      <w:pPr>
        <w:rPr>
          <w:color w:val="auto"/>
          <w:highlight w:val="none"/>
        </w:rPr>
      </w:pPr>
    </w:p>
    <w:p w14:paraId="191D027E">
      <w:pPr>
        <w:rPr>
          <w:color w:val="auto"/>
          <w:highlight w:val="none"/>
        </w:rPr>
      </w:pPr>
    </w:p>
    <w:sectPr>
      <w:headerReference r:id="rId4" w:type="first"/>
      <w:footerReference r:id="rId6" w:type="first"/>
      <w:headerReference r:id="rId3" w:type="default"/>
      <w:footerReference r:id="rId5" w:type="default"/>
      <w:pgSz w:w="11906" w:h="16838"/>
      <w:pgMar w:top="1418" w:right="1588" w:bottom="1418" w:left="1365" w:header="851" w:footer="907"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105D5">
    <w:pPr>
      <w:pStyle w:val="17"/>
      <w:jc w:val="center"/>
      <w:rPr>
        <w:b/>
        <w:i/>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E462874">
                          <w:pPr>
                            <w:pStyle w:val="1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67</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1E462874">
                    <w:pPr>
                      <w:pStyle w:val="1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67</w:t>
                    </w:r>
                    <w:r>
                      <w:rPr>
                        <w:rFonts w:hint="eastAsia"/>
                      </w:rP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8CA9A">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0B4B7E">
                          <w:pPr>
                            <w:pStyle w:val="1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67</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14:paraId="130B4B7E">
                    <w:pPr>
                      <w:pStyle w:val="1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67</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D9F22">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9A326">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45D82090"/>
    <w:multiLevelType w:val="singleLevel"/>
    <w:tmpl w:val="45D82090"/>
    <w:lvl w:ilvl="0" w:tentative="0">
      <w:start w:val="2"/>
      <w:numFmt w:val="decimal"/>
      <w:lvlText w:val="%1."/>
      <w:lvlJc w:val="left"/>
      <w:pPr>
        <w:tabs>
          <w:tab w:val="left" w:pos="312"/>
        </w:tabs>
      </w:pPr>
    </w:lvl>
  </w:abstractNum>
  <w:abstractNum w:abstractNumId="2">
    <w:nsid w:val="5544E0D2"/>
    <w:multiLevelType w:val="singleLevel"/>
    <w:tmpl w:val="5544E0D2"/>
    <w:lvl w:ilvl="0" w:tentative="0">
      <w:start w:val="1"/>
      <w:numFmt w:val="ideographTraditional"/>
      <w:suff w:val="nothing"/>
      <w:lvlText w:val="%1、"/>
      <w:lvlJc w:val="left"/>
      <w:rPr>
        <w:rFonts w:hint="eastAsia"/>
      </w:rPr>
    </w:lvl>
  </w:abstractNum>
  <w:abstractNum w:abstractNumId="3">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JlODlhNDY3MjAyNTBmMjhiNTQwNjA3MzQ1N2Y4NDgifQ=="/>
  </w:docVars>
  <w:rsids>
    <w:rsidRoot w:val="00000000"/>
    <w:rsid w:val="00CD3536"/>
    <w:rsid w:val="00DE3995"/>
    <w:rsid w:val="013712F7"/>
    <w:rsid w:val="01522213"/>
    <w:rsid w:val="01A964F2"/>
    <w:rsid w:val="0216715F"/>
    <w:rsid w:val="024261A6"/>
    <w:rsid w:val="026F2DBC"/>
    <w:rsid w:val="02753E85"/>
    <w:rsid w:val="02895B83"/>
    <w:rsid w:val="03D8291E"/>
    <w:rsid w:val="03E72B61"/>
    <w:rsid w:val="040C0819"/>
    <w:rsid w:val="04117BDE"/>
    <w:rsid w:val="04B2316F"/>
    <w:rsid w:val="04D1736D"/>
    <w:rsid w:val="051536FE"/>
    <w:rsid w:val="0530678A"/>
    <w:rsid w:val="06F359CB"/>
    <w:rsid w:val="0745361A"/>
    <w:rsid w:val="074B3407"/>
    <w:rsid w:val="07634BF4"/>
    <w:rsid w:val="078E483E"/>
    <w:rsid w:val="07B37081"/>
    <w:rsid w:val="088968DD"/>
    <w:rsid w:val="08A71825"/>
    <w:rsid w:val="08C6368D"/>
    <w:rsid w:val="09113A96"/>
    <w:rsid w:val="092403B3"/>
    <w:rsid w:val="09886B94"/>
    <w:rsid w:val="09FE6970"/>
    <w:rsid w:val="0B837613"/>
    <w:rsid w:val="0BB36EDB"/>
    <w:rsid w:val="0BBC0D77"/>
    <w:rsid w:val="0C985340"/>
    <w:rsid w:val="0D3265B4"/>
    <w:rsid w:val="0D9F625A"/>
    <w:rsid w:val="0DA303ED"/>
    <w:rsid w:val="0DFA16E3"/>
    <w:rsid w:val="0F3262B2"/>
    <w:rsid w:val="0F36499C"/>
    <w:rsid w:val="0F4F78B0"/>
    <w:rsid w:val="0F6A70B0"/>
    <w:rsid w:val="10813755"/>
    <w:rsid w:val="10AF4A06"/>
    <w:rsid w:val="113B273E"/>
    <w:rsid w:val="11F0177A"/>
    <w:rsid w:val="12C624DB"/>
    <w:rsid w:val="12D06EB6"/>
    <w:rsid w:val="12E265ED"/>
    <w:rsid w:val="12FE1C75"/>
    <w:rsid w:val="130D3C66"/>
    <w:rsid w:val="130F79DE"/>
    <w:rsid w:val="1361772B"/>
    <w:rsid w:val="13C609E5"/>
    <w:rsid w:val="146F1FE4"/>
    <w:rsid w:val="14B700FD"/>
    <w:rsid w:val="14FB4921"/>
    <w:rsid w:val="15007F26"/>
    <w:rsid w:val="15453B8B"/>
    <w:rsid w:val="155210E4"/>
    <w:rsid w:val="159F14ED"/>
    <w:rsid w:val="15FF3A2F"/>
    <w:rsid w:val="16B20DAC"/>
    <w:rsid w:val="16C06F0D"/>
    <w:rsid w:val="170F6A96"/>
    <w:rsid w:val="1724648E"/>
    <w:rsid w:val="176D73C9"/>
    <w:rsid w:val="179E7583"/>
    <w:rsid w:val="17A4103D"/>
    <w:rsid w:val="17A728DB"/>
    <w:rsid w:val="17FF44C5"/>
    <w:rsid w:val="188624F1"/>
    <w:rsid w:val="18982224"/>
    <w:rsid w:val="19173A91"/>
    <w:rsid w:val="19412A48"/>
    <w:rsid w:val="194C455B"/>
    <w:rsid w:val="19EF40C6"/>
    <w:rsid w:val="1A2B77F4"/>
    <w:rsid w:val="1B001394"/>
    <w:rsid w:val="1C8E7BC6"/>
    <w:rsid w:val="1CB47446"/>
    <w:rsid w:val="1D8B2357"/>
    <w:rsid w:val="1DD67A76"/>
    <w:rsid w:val="1E6A1E64"/>
    <w:rsid w:val="1EFD1033"/>
    <w:rsid w:val="1F645556"/>
    <w:rsid w:val="1FAB6CE1"/>
    <w:rsid w:val="1FD9480E"/>
    <w:rsid w:val="1FE35BFE"/>
    <w:rsid w:val="204A474C"/>
    <w:rsid w:val="20566C4C"/>
    <w:rsid w:val="20C718F8"/>
    <w:rsid w:val="21294361"/>
    <w:rsid w:val="223905D4"/>
    <w:rsid w:val="22576CAC"/>
    <w:rsid w:val="22703DC4"/>
    <w:rsid w:val="227B6E3E"/>
    <w:rsid w:val="23294AEC"/>
    <w:rsid w:val="23F23130"/>
    <w:rsid w:val="241A4435"/>
    <w:rsid w:val="24A46A6E"/>
    <w:rsid w:val="24AA7567"/>
    <w:rsid w:val="24BA63DB"/>
    <w:rsid w:val="24EA02AB"/>
    <w:rsid w:val="250F5153"/>
    <w:rsid w:val="256B319A"/>
    <w:rsid w:val="259C77F7"/>
    <w:rsid w:val="26455E46"/>
    <w:rsid w:val="26602252"/>
    <w:rsid w:val="26D134D1"/>
    <w:rsid w:val="27276A2C"/>
    <w:rsid w:val="272950BB"/>
    <w:rsid w:val="274E0F74"/>
    <w:rsid w:val="276B56D3"/>
    <w:rsid w:val="27AA0645"/>
    <w:rsid w:val="28304227"/>
    <w:rsid w:val="28537F15"/>
    <w:rsid w:val="28C037FD"/>
    <w:rsid w:val="29232A22"/>
    <w:rsid w:val="29934A6D"/>
    <w:rsid w:val="29CF3793"/>
    <w:rsid w:val="29E17ECF"/>
    <w:rsid w:val="2B717030"/>
    <w:rsid w:val="2BA411B4"/>
    <w:rsid w:val="2BFD3ED2"/>
    <w:rsid w:val="2C183950"/>
    <w:rsid w:val="2C7A42AE"/>
    <w:rsid w:val="2C845A05"/>
    <w:rsid w:val="2C9E3E55"/>
    <w:rsid w:val="2D144117"/>
    <w:rsid w:val="2D19172E"/>
    <w:rsid w:val="2D2F4BE6"/>
    <w:rsid w:val="2E1B3283"/>
    <w:rsid w:val="2E516CA5"/>
    <w:rsid w:val="2EC92CDF"/>
    <w:rsid w:val="2F091C0C"/>
    <w:rsid w:val="2F3A3BDD"/>
    <w:rsid w:val="2F440D8C"/>
    <w:rsid w:val="2FA84FEB"/>
    <w:rsid w:val="2FDD2EE6"/>
    <w:rsid w:val="305F362E"/>
    <w:rsid w:val="30A43A04"/>
    <w:rsid w:val="30DF67EA"/>
    <w:rsid w:val="3106021B"/>
    <w:rsid w:val="328305A1"/>
    <w:rsid w:val="330C763F"/>
    <w:rsid w:val="33C341A1"/>
    <w:rsid w:val="33CE41EA"/>
    <w:rsid w:val="33F97BC3"/>
    <w:rsid w:val="34727975"/>
    <w:rsid w:val="35216CEF"/>
    <w:rsid w:val="352E7D40"/>
    <w:rsid w:val="35470E02"/>
    <w:rsid w:val="35887FEC"/>
    <w:rsid w:val="35F9034E"/>
    <w:rsid w:val="36453CEF"/>
    <w:rsid w:val="366A3C87"/>
    <w:rsid w:val="3747333B"/>
    <w:rsid w:val="37CD55EE"/>
    <w:rsid w:val="37D72911"/>
    <w:rsid w:val="37E96ABE"/>
    <w:rsid w:val="38196A86"/>
    <w:rsid w:val="389E51DD"/>
    <w:rsid w:val="38F53377"/>
    <w:rsid w:val="390E5EBF"/>
    <w:rsid w:val="390F7E89"/>
    <w:rsid w:val="396E4430"/>
    <w:rsid w:val="39813BF5"/>
    <w:rsid w:val="39A03ED2"/>
    <w:rsid w:val="39C2541D"/>
    <w:rsid w:val="3A7601BF"/>
    <w:rsid w:val="3A881CA1"/>
    <w:rsid w:val="3A8B1791"/>
    <w:rsid w:val="3AED7D56"/>
    <w:rsid w:val="3B336E93"/>
    <w:rsid w:val="3B750477"/>
    <w:rsid w:val="3BAA5C47"/>
    <w:rsid w:val="3BDD601C"/>
    <w:rsid w:val="3C291D0F"/>
    <w:rsid w:val="3D7D1EB5"/>
    <w:rsid w:val="3D934BE4"/>
    <w:rsid w:val="3DFC60AE"/>
    <w:rsid w:val="3E241DF6"/>
    <w:rsid w:val="3E43485C"/>
    <w:rsid w:val="3E8B6203"/>
    <w:rsid w:val="3E9A01F4"/>
    <w:rsid w:val="3EA64DEB"/>
    <w:rsid w:val="3ED23E32"/>
    <w:rsid w:val="3F0C11AE"/>
    <w:rsid w:val="3F6525B0"/>
    <w:rsid w:val="3F982986"/>
    <w:rsid w:val="3FEB7AEB"/>
    <w:rsid w:val="404B17A6"/>
    <w:rsid w:val="406325EE"/>
    <w:rsid w:val="40B120DD"/>
    <w:rsid w:val="40BA4B7E"/>
    <w:rsid w:val="40DD358C"/>
    <w:rsid w:val="410858E9"/>
    <w:rsid w:val="4110479E"/>
    <w:rsid w:val="41986C6D"/>
    <w:rsid w:val="41BB0BAE"/>
    <w:rsid w:val="41C41A95"/>
    <w:rsid w:val="41C537DA"/>
    <w:rsid w:val="421F2EEA"/>
    <w:rsid w:val="42274495"/>
    <w:rsid w:val="4292190E"/>
    <w:rsid w:val="42BC0C70"/>
    <w:rsid w:val="431762B8"/>
    <w:rsid w:val="433F4264"/>
    <w:rsid w:val="43482915"/>
    <w:rsid w:val="440523CD"/>
    <w:rsid w:val="44580936"/>
    <w:rsid w:val="446A2417"/>
    <w:rsid w:val="446F7A2D"/>
    <w:rsid w:val="44F22B38"/>
    <w:rsid w:val="4508410A"/>
    <w:rsid w:val="4587297A"/>
    <w:rsid w:val="45F2066D"/>
    <w:rsid w:val="46080139"/>
    <w:rsid w:val="4613720A"/>
    <w:rsid w:val="461E795D"/>
    <w:rsid w:val="469C3DAE"/>
    <w:rsid w:val="46A75BA4"/>
    <w:rsid w:val="47372A84"/>
    <w:rsid w:val="47655843"/>
    <w:rsid w:val="478D08F6"/>
    <w:rsid w:val="47B02837"/>
    <w:rsid w:val="483F42E6"/>
    <w:rsid w:val="484E4529"/>
    <w:rsid w:val="48774D53"/>
    <w:rsid w:val="49F64E79"/>
    <w:rsid w:val="4AB50890"/>
    <w:rsid w:val="4AC62BC0"/>
    <w:rsid w:val="4AC76815"/>
    <w:rsid w:val="4AD8457E"/>
    <w:rsid w:val="4AEE3DA2"/>
    <w:rsid w:val="4BCF6D84"/>
    <w:rsid w:val="4C0849EF"/>
    <w:rsid w:val="4C4D68A6"/>
    <w:rsid w:val="4C5145E8"/>
    <w:rsid w:val="4CBD1C7E"/>
    <w:rsid w:val="4D500C0F"/>
    <w:rsid w:val="4D5325E2"/>
    <w:rsid w:val="4D956D29"/>
    <w:rsid w:val="4DED20EF"/>
    <w:rsid w:val="4E0842FD"/>
    <w:rsid w:val="4F3B1580"/>
    <w:rsid w:val="4F8E54C1"/>
    <w:rsid w:val="501047BA"/>
    <w:rsid w:val="503D0486"/>
    <w:rsid w:val="505F4DFA"/>
    <w:rsid w:val="506348EA"/>
    <w:rsid w:val="507A1217"/>
    <w:rsid w:val="50C335DB"/>
    <w:rsid w:val="511E4CB5"/>
    <w:rsid w:val="51917235"/>
    <w:rsid w:val="51FF0643"/>
    <w:rsid w:val="525E58F2"/>
    <w:rsid w:val="5281374D"/>
    <w:rsid w:val="529A7AD2"/>
    <w:rsid w:val="52C5188C"/>
    <w:rsid w:val="52DB4C0C"/>
    <w:rsid w:val="53784B50"/>
    <w:rsid w:val="538928BA"/>
    <w:rsid w:val="53ED0102"/>
    <w:rsid w:val="540939FA"/>
    <w:rsid w:val="540E7263"/>
    <w:rsid w:val="54CA5350"/>
    <w:rsid w:val="55036759"/>
    <w:rsid w:val="55295EB9"/>
    <w:rsid w:val="555E1B24"/>
    <w:rsid w:val="558E2409"/>
    <w:rsid w:val="55DA73FC"/>
    <w:rsid w:val="56772E9D"/>
    <w:rsid w:val="56D0520A"/>
    <w:rsid w:val="56F3629C"/>
    <w:rsid w:val="57034731"/>
    <w:rsid w:val="57230B99"/>
    <w:rsid w:val="580249E9"/>
    <w:rsid w:val="58054470"/>
    <w:rsid w:val="58405511"/>
    <w:rsid w:val="5842572D"/>
    <w:rsid w:val="58737694"/>
    <w:rsid w:val="58E70023"/>
    <w:rsid w:val="58EF1411"/>
    <w:rsid w:val="59284923"/>
    <w:rsid w:val="59A26483"/>
    <w:rsid w:val="59B04836"/>
    <w:rsid w:val="59B433AF"/>
    <w:rsid w:val="5A236E98"/>
    <w:rsid w:val="5A5A4FB0"/>
    <w:rsid w:val="5ABB5323"/>
    <w:rsid w:val="5AC467E7"/>
    <w:rsid w:val="5B0647F0"/>
    <w:rsid w:val="5B8347D7"/>
    <w:rsid w:val="5C084598"/>
    <w:rsid w:val="5C1B076F"/>
    <w:rsid w:val="5C4C26EA"/>
    <w:rsid w:val="5CEE5E83"/>
    <w:rsid w:val="5CFB09C9"/>
    <w:rsid w:val="5D2E56F5"/>
    <w:rsid w:val="5D3C274B"/>
    <w:rsid w:val="5DBE7604"/>
    <w:rsid w:val="5E176D14"/>
    <w:rsid w:val="5EA42C9D"/>
    <w:rsid w:val="5F7F40F4"/>
    <w:rsid w:val="5FCF5AF8"/>
    <w:rsid w:val="601B1E7D"/>
    <w:rsid w:val="606C3347"/>
    <w:rsid w:val="6189456E"/>
    <w:rsid w:val="61AB7E9F"/>
    <w:rsid w:val="61AF4AA5"/>
    <w:rsid w:val="61F01D56"/>
    <w:rsid w:val="62516C98"/>
    <w:rsid w:val="629923ED"/>
    <w:rsid w:val="62E573E1"/>
    <w:rsid w:val="62EF200D"/>
    <w:rsid w:val="633140F4"/>
    <w:rsid w:val="6371205A"/>
    <w:rsid w:val="64281C7B"/>
    <w:rsid w:val="64542A70"/>
    <w:rsid w:val="648368E1"/>
    <w:rsid w:val="648A0240"/>
    <w:rsid w:val="656960A7"/>
    <w:rsid w:val="65764C68"/>
    <w:rsid w:val="66014531"/>
    <w:rsid w:val="66A55805"/>
    <w:rsid w:val="67955879"/>
    <w:rsid w:val="67ED7463"/>
    <w:rsid w:val="6808060F"/>
    <w:rsid w:val="681F3395"/>
    <w:rsid w:val="68570D81"/>
    <w:rsid w:val="68AD09A1"/>
    <w:rsid w:val="696372B1"/>
    <w:rsid w:val="6965127B"/>
    <w:rsid w:val="6A1862EE"/>
    <w:rsid w:val="6A1F096E"/>
    <w:rsid w:val="6AC67AF8"/>
    <w:rsid w:val="6AD15A15"/>
    <w:rsid w:val="6B470F23"/>
    <w:rsid w:val="6CB63947"/>
    <w:rsid w:val="6D306C70"/>
    <w:rsid w:val="6DDA7EBD"/>
    <w:rsid w:val="6E1B015A"/>
    <w:rsid w:val="6E57633D"/>
    <w:rsid w:val="6E587601"/>
    <w:rsid w:val="6E9248C1"/>
    <w:rsid w:val="6FDE3B35"/>
    <w:rsid w:val="706C1141"/>
    <w:rsid w:val="714E4D0A"/>
    <w:rsid w:val="71BB6A68"/>
    <w:rsid w:val="71C01745"/>
    <w:rsid w:val="723D0FE7"/>
    <w:rsid w:val="727B1B10"/>
    <w:rsid w:val="727F1DE7"/>
    <w:rsid w:val="728F633E"/>
    <w:rsid w:val="72B34E05"/>
    <w:rsid w:val="72B8066E"/>
    <w:rsid w:val="73A66718"/>
    <w:rsid w:val="74145D78"/>
    <w:rsid w:val="743275B2"/>
    <w:rsid w:val="744B529F"/>
    <w:rsid w:val="74C37184"/>
    <w:rsid w:val="74E10D62"/>
    <w:rsid w:val="751B4EE4"/>
    <w:rsid w:val="756248C1"/>
    <w:rsid w:val="75BC2223"/>
    <w:rsid w:val="765D3A06"/>
    <w:rsid w:val="769E7B7B"/>
    <w:rsid w:val="76F679B7"/>
    <w:rsid w:val="777D3C34"/>
    <w:rsid w:val="77A94A29"/>
    <w:rsid w:val="77C13386"/>
    <w:rsid w:val="78412EB3"/>
    <w:rsid w:val="785030F6"/>
    <w:rsid w:val="78A044E4"/>
    <w:rsid w:val="79030169"/>
    <w:rsid w:val="79366790"/>
    <w:rsid w:val="795B1D53"/>
    <w:rsid w:val="79CC3584"/>
    <w:rsid w:val="7A6051BD"/>
    <w:rsid w:val="7A756E44"/>
    <w:rsid w:val="7A9E26DE"/>
    <w:rsid w:val="7B364826"/>
    <w:rsid w:val="7BD36518"/>
    <w:rsid w:val="7BEB5610"/>
    <w:rsid w:val="7CA405A3"/>
    <w:rsid w:val="7D056BA5"/>
    <w:rsid w:val="7D397910"/>
    <w:rsid w:val="7DE14F1D"/>
    <w:rsid w:val="7E192908"/>
    <w:rsid w:val="7E1E3EE9"/>
    <w:rsid w:val="7E795155"/>
    <w:rsid w:val="7E867872"/>
    <w:rsid w:val="7EA95156"/>
    <w:rsid w:val="7EB0669D"/>
    <w:rsid w:val="7FD84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4"/>
    <w:next w:val="1"/>
    <w:autoRedefine/>
    <w:qFormat/>
    <w:uiPriority w:val="99"/>
    <w:pPr>
      <w:keepNext/>
      <w:jc w:val="center"/>
      <w:outlineLvl w:val="0"/>
    </w:pPr>
    <w:rPr>
      <w:rFonts w:ascii="楷体_GB2312" w:eastAsia="楷体_GB2312"/>
      <w:sz w:val="28"/>
      <w:szCs w:val="28"/>
    </w:rPr>
  </w:style>
  <w:style w:type="paragraph" w:styleId="5">
    <w:name w:val="heading 2"/>
    <w:basedOn w:val="1"/>
    <w:next w:val="1"/>
    <w:autoRedefine/>
    <w:qFormat/>
    <w:uiPriority w:val="99"/>
    <w:pPr>
      <w:keepNext/>
      <w:keepLines/>
      <w:spacing w:before="260" w:after="260" w:line="416" w:lineRule="auto"/>
      <w:jc w:val="center"/>
      <w:outlineLvl w:val="1"/>
    </w:pPr>
    <w:rPr>
      <w:rFonts w:ascii="Arial" w:hAnsi="Arial" w:eastAsia="幼圆" w:cs="Arial"/>
      <w:b/>
      <w:bCs/>
      <w:sz w:val="44"/>
      <w:szCs w:val="44"/>
    </w:rPr>
  </w:style>
  <w:style w:type="paragraph" w:styleId="6">
    <w:name w:val="heading 3"/>
    <w:basedOn w:val="1"/>
    <w:next w:val="1"/>
    <w:autoRedefine/>
    <w:qFormat/>
    <w:uiPriority w:val="99"/>
    <w:pPr>
      <w:keepNext/>
      <w:keepLines/>
      <w:spacing w:before="260" w:after="260" w:line="416" w:lineRule="auto"/>
      <w:outlineLvl w:val="2"/>
    </w:pPr>
    <w:rPr>
      <w:b/>
      <w:bCs/>
      <w:sz w:val="32"/>
      <w:szCs w:val="32"/>
    </w:rPr>
  </w:style>
  <w:style w:type="paragraph" w:styleId="7">
    <w:name w:val="heading 4"/>
    <w:basedOn w:val="1"/>
    <w:next w:val="1"/>
    <w:autoRedefine/>
    <w:qFormat/>
    <w:uiPriority w:val="99"/>
    <w:pPr>
      <w:keepNext/>
      <w:keepLines/>
      <w:spacing w:before="280" w:after="290" w:line="376" w:lineRule="auto"/>
      <w:outlineLvl w:val="3"/>
    </w:pPr>
    <w:rPr>
      <w:rFonts w:ascii="Arial" w:hAnsi="Arial" w:eastAsia="黑体" w:cs="Arial"/>
      <w:b/>
      <w:bCs/>
      <w:sz w:val="28"/>
      <w:szCs w:val="28"/>
    </w:rPr>
  </w:style>
  <w:style w:type="character" w:default="1" w:styleId="24">
    <w:name w:val="Default Paragraph Font"/>
    <w:autoRedefine/>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customStyle="1" w:styleId="2">
    <w:name w:val="Default"/>
    <w:basedOn w:val="1"/>
    <w:autoRedefine/>
    <w:qFormat/>
    <w:uiPriority w:val="0"/>
    <w:pPr>
      <w:autoSpaceDE w:val="0"/>
      <w:autoSpaceDN w:val="0"/>
      <w:adjustRightInd w:val="0"/>
      <w:jc w:val="left"/>
    </w:pPr>
    <w:rPr>
      <w:color w:val="000000"/>
      <w:kern w:val="0"/>
      <w:sz w:val="24"/>
      <w:szCs w:val="24"/>
    </w:rPr>
  </w:style>
  <w:style w:type="paragraph" w:styleId="4">
    <w:name w:val="Title"/>
    <w:basedOn w:val="1"/>
    <w:next w:val="1"/>
    <w:qFormat/>
    <w:uiPriority w:val="0"/>
    <w:pPr>
      <w:spacing w:before="240" w:after="60"/>
      <w:jc w:val="center"/>
      <w:outlineLvl w:val="0"/>
    </w:pPr>
    <w:rPr>
      <w:rFonts w:ascii="Cambria" w:hAnsi="Cambria"/>
      <w:b/>
      <w:bCs/>
      <w:sz w:val="32"/>
      <w:szCs w:val="32"/>
    </w:rPr>
  </w:style>
  <w:style w:type="paragraph" w:styleId="8">
    <w:name w:val="Normal Indent"/>
    <w:basedOn w:val="1"/>
    <w:next w:val="1"/>
    <w:autoRedefine/>
    <w:qFormat/>
    <w:uiPriority w:val="99"/>
    <w:pPr>
      <w:ind w:firstLine="420"/>
    </w:pPr>
    <w:rPr>
      <w:kern w:val="0"/>
      <w:szCs w:val="20"/>
    </w:rPr>
  </w:style>
  <w:style w:type="paragraph" w:styleId="9">
    <w:name w:val="Document Map"/>
    <w:basedOn w:val="1"/>
    <w:autoRedefine/>
    <w:semiHidden/>
    <w:qFormat/>
    <w:uiPriority w:val="99"/>
    <w:pPr>
      <w:shd w:val="clear" w:color="auto" w:fill="000080"/>
    </w:pPr>
  </w:style>
  <w:style w:type="paragraph" w:styleId="10">
    <w:name w:val="annotation text"/>
    <w:basedOn w:val="1"/>
    <w:next w:val="11"/>
    <w:autoRedefine/>
    <w:semiHidden/>
    <w:unhideWhenUsed/>
    <w:qFormat/>
    <w:uiPriority w:val="99"/>
    <w:pPr>
      <w:jc w:val="left"/>
    </w:pPr>
    <w:rPr>
      <w:kern w:val="0"/>
      <w:sz w:val="20"/>
    </w:rPr>
  </w:style>
  <w:style w:type="paragraph" w:styleId="11">
    <w:name w:val="toc 4"/>
    <w:basedOn w:val="1"/>
    <w:next w:val="1"/>
    <w:autoRedefine/>
    <w:semiHidden/>
    <w:unhideWhenUsed/>
    <w:qFormat/>
    <w:uiPriority w:val="39"/>
    <w:pPr>
      <w:ind w:left="1260" w:leftChars="600"/>
    </w:pPr>
  </w:style>
  <w:style w:type="paragraph" w:styleId="12">
    <w:name w:val="Body Text"/>
    <w:basedOn w:val="1"/>
    <w:autoRedefine/>
    <w:qFormat/>
    <w:uiPriority w:val="0"/>
    <w:rPr>
      <w:rFonts w:ascii="楷体_GB2312" w:hAnsi="Arial" w:eastAsia="楷体_GB2312"/>
      <w:sz w:val="28"/>
      <w:szCs w:val="20"/>
    </w:rPr>
  </w:style>
  <w:style w:type="paragraph" w:styleId="13">
    <w:name w:val="Body Text Indent"/>
    <w:basedOn w:val="1"/>
    <w:next w:val="14"/>
    <w:autoRedefine/>
    <w:qFormat/>
    <w:uiPriority w:val="99"/>
    <w:pPr>
      <w:ind w:firstLine="645"/>
    </w:pPr>
    <w:rPr>
      <w:rFonts w:ascii="楷体_GB2312" w:eastAsia="楷体_GB2312"/>
      <w:sz w:val="32"/>
      <w:szCs w:val="32"/>
    </w:rPr>
  </w:style>
  <w:style w:type="paragraph" w:styleId="14">
    <w:name w:val="envelope return"/>
    <w:basedOn w:val="1"/>
    <w:autoRedefine/>
    <w:qFormat/>
    <w:uiPriority w:val="0"/>
    <w:pPr>
      <w:snapToGrid w:val="0"/>
    </w:pPr>
    <w:rPr>
      <w:rFonts w:ascii="Arial" w:hAnsi="Arial"/>
    </w:rPr>
  </w:style>
  <w:style w:type="paragraph" w:styleId="15">
    <w:name w:val="Plain Text"/>
    <w:basedOn w:val="1"/>
    <w:next w:val="1"/>
    <w:autoRedefine/>
    <w:qFormat/>
    <w:uiPriority w:val="99"/>
    <w:rPr>
      <w:rFonts w:ascii="宋体" w:hAnsi="Courier New" w:cs="Courier New"/>
    </w:rPr>
  </w:style>
  <w:style w:type="paragraph" w:styleId="16">
    <w:name w:val="Body Text Indent 2"/>
    <w:basedOn w:val="1"/>
    <w:autoRedefine/>
    <w:qFormat/>
    <w:uiPriority w:val="0"/>
    <w:pPr>
      <w:spacing w:line="400" w:lineRule="exact"/>
      <w:ind w:left="-1" w:firstLine="480" w:firstLineChars="200"/>
    </w:pPr>
    <w:rPr>
      <w:rFonts w:ascii="楷体_GB2312" w:eastAsia="楷体_GB2312"/>
      <w:sz w:val="24"/>
    </w:rPr>
  </w:style>
  <w:style w:type="paragraph" w:styleId="17">
    <w:name w:val="footer"/>
    <w:basedOn w:val="1"/>
    <w:autoRedefine/>
    <w:qFormat/>
    <w:uiPriority w:val="99"/>
    <w:pPr>
      <w:tabs>
        <w:tab w:val="center" w:pos="4153"/>
        <w:tab w:val="right" w:pos="8306"/>
      </w:tabs>
      <w:snapToGrid w:val="0"/>
      <w:jc w:val="left"/>
    </w:pPr>
    <w:rPr>
      <w:sz w:val="18"/>
      <w:szCs w:val="18"/>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toc 6"/>
    <w:basedOn w:val="1"/>
    <w:next w:val="1"/>
    <w:autoRedefine/>
    <w:semiHidden/>
    <w:qFormat/>
    <w:uiPriority w:val="0"/>
    <w:pPr>
      <w:ind w:left="2100" w:leftChars="1000"/>
    </w:pPr>
  </w:style>
  <w:style w:type="paragraph" w:styleId="20">
    <w:name w:val="Normal (Web)"/>
    <w:basedOn w:val="1"/>
    <w:autoRedefine/>
    <w:qFormat/>
    <w:uiPriority w:val="0"/>
    <w:pPr>
      <w:spacing w:beforeAutospacing="1" w:afterAutospacing="1"/>
      <w:jc w:val="left"/>
    </w:pPr>
    <w:rPr>
      <w:rFonts w:cs="Times New Roman"/>
      <w:kern w:val="0"/>
      <w:sz w:val="24"/>
    </w:rPr>
  </w:style>
  <w:style w:type="paragraph" w:styleId="21">
    <w:name w:val="Body Text First Indent"/>
    <w:basedOn w:val="1"/>
    <w:next w:val="19"/>
    <w:autoRedefine/>
    <w:qFormat/>
    <w:uiPriority w:val="99"/>
    <w:pPr>
      <w:spacing w:line="360" w:lineRule="auto"/>
      <w:ind w:firstLine="200" w:firstLineChars="200"/>
    </w:pPr>
    <w:rPr>
      <w:rFonts w:ascii="仿宋_GB2312" w:eastAsia="仿宋_GB2312"/>
      <w:sz w:val="30"/>
      <w:szCs w:val="30"/>
    </w:rPr>
  </w:style>
  <w:style w:type="paragraph" w:styleId="22">
    <w:name w:val="Body Text First Indent 2"/>
    <w:basedOn w:val="13"/>
    <w:next w:val="1"/>
    <w:autoRedefine/>
    <w:qFormat/>
    <w:uiPriority w:val="99"/>
    <w:pPr>
      <w:spacing w:line="360" w:lineRule="auto"/>
      <w:ind w:firstLine="420" w:firstLineChars="200"/>
    </w:pPr>
    <w:rPr>
      <w:rFonts w:ascii="宋体" w:hAnsi="宋体" w:eastAsia="宋体"/>
      <w:sz w:val="21"/>
      <w:szCs w:val="20"/>
    </w:rPr>
  </w:style>
  <w:style w:type="character" w:styleId="25">
    <w:name w:val="Strong"/>
    <w:autoRedefine/>
    <w:qFormat/>
    <w:uiPriority w:val="0"/>
  </w:style>
  <w:style w:type="paragraph" w:customStyle="1" w:styleId="26">
    <w:name w:val="正文文本11"/>
    <w:basedOn w:val="1"/>
    <w:next w:val="27"/>
    <w:autoRedefine/>
    <w:qFormat/>
    <w:uiPriority w:val="0"/>
    <w:rPr>
      <w:rFonts w:ascii="楷体_GB2312" w:hAnsi="Arial" w:eastAsia="楷体_GB2312"/>
      <w:sz w:val="28"/>
      <w:szCs w:val="20"/>
    </w:rPr>
  </w:style>
  <w:style w:type="paragraph" w:customStyle="1" w:styleId="27">
    <w:name w:val="目录 81"/>
    <w:basedOn w:val="1"/>
    <w:next w:val="1"/>
    <w:autoRedefine/>
    <w:unhideWhenUsed/>
    <w:qFormat/>
    <w:uiPriority w:val="39"/>
    <w:pPr>
      <w:ind w:left="2940"/>
    </w:pPr>
    <w:rPr>
      <w:rFonts w:ascii="等线" w:hAnsi="等线" w:eastAsia="等线" w:cs="黑体"/>
    </w:rPr>
  </w:style>
  <w:style w:type="paragraph" w:customStyle="1" w:styleId="28">
    <w:name w:val="正文1"/>
    <w:autoRedefine/>
    <w:qFormat/>
    <w:uiPriority w:val="0"/>
    <w:rPr>
      <w:rFonts w:ascii="Helvetica" w:hAnsi="Helvetica" w:eastAsia="Arial Unicode MS" w:cs="Arial Unicode MS"/>
      <w:color w:val="000000"/>
      <w:sz w:val="22"/>
      <w:szCs w:val="22"/>
      <w:lang w:val="en-US" w:eastAsia="zh-CN" w:bidi="ar-SA"/>
    </w:rPr>
  </w:style>
  <w:style w:type="paragraph" w:customStyle="1" w:styleId="29">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30">
    <w:name w:val="列出段落11"/>
    <w:basedOn w:val="1"/>
    <w:autoRedefine/>
    <w:qFormat/>
    <w:uiPriority w:val="99"/>
    <w:pPr>
      <w:widowControl/>
      <w:ind w:left="720"/>
      <w:contextualSpacing/>
      <w:jc w:val="left"/>
    </w:pPr>
    <w:rPr>
      <w:rFonts w:ascii="Calibri" w:hAnsi="Calibri"/>
      <w:kern w:val="0"/>
      <w:sz w:val="24"/>
      <w:szCs w:val="20"/>
      <w:lang w:eastAsia="en-US"/>
    </w:rPr>
  </w:style>
  <w:style w:type="paragraph" w:customStyle="1" w:styleId="31">
    <w:name w:val="首行缩进"/>
    <w:basedOn w:val="1"/>
    <w:autoRedefine/>
    <w:qFormat/>
    <w:uiPriority w:val="0"/>
    <w:pPr>
      <w:spacing w:line="360" w:lineRule="auto"/>
      <w:ind w:firstLine="480" w:firstLineChars="200"/>
    </w:pPr>
    <w:rPr>
      <w:rFonts w:ascii="宋体" w:hAnsi="宋体" w:cs="宋体"/>
      <w:kern w:val="0"/>
      <w:sz w:val="24"/>
    </w:rPr>
  </w:style>
  <w:style w:type="paragraph" w:customStyle="1" w:styleId="32">
    <w:name w:val="Char"/>
    <w:basedOn w:val="9"/>
    <w:autoRedefine/>
    <w:qFormat/>
    <w:uiPriority w:val="0"/>
    <w:rPr>
      <w:rFonts w:ascii="Tahoma" w:hAnsi="Tahoma"/>
      <w:sz w:val="24"/>
      <w:szCs w:val="24"/>
    </w:rPr>
  </w:style>
  <w:style w:type="character" w:customStyle="1" w:styleId="33">
    <w:name w:val="apple-converted-space"/>
    <w:autoRedefine/>
    <w:qFormat/>
    <w:uiPriority w:val="0"/>
  </w:style>
  <w:style w:type="paragraph" w:customStyle="1" w:styleId="34">
    <w:name w:val="表格文字"/>
    <w:basedOn w:val="1"/>
    <w:next w:val="12"/>
    <w:autoRedefine/>
    <w:qFormat/>
    <w:uiPriority w:val="0"/>
    <w:pPr>
      <w:adjustRightInd w:val="0"/>
      <w:spacing w:line="288" w:lineRule="auto"/>
      <w:jc w:val="left"/>
      <w:textAlignment w:val="baseline"/>
    </w:pPr>
    <w:rPr>
      <w:rFonts w:ascii="Times New Roman" w:hAnsi="Times New Roman" w:eastAsia="宋体" w:cs="Times New Roman"/>
      <w:kern w:val="0"/>
      <w:szCs w:val="20"/>
    </w:rPr>
  </w:style>
  <w:style w:type="paragraph" w:customStyle="1" w:styleId="35">
    <w:name w:val="Table Text"/>
    <w:basedOn w:val="1"/>
    <w:autoRedefine/>
    <w:semiHidden/>
    <w:qFormat/>
    <w:uiPriority w:val="0"/>
    <w:rPr>
      <w:rFonts w:ascii="宋体" w:hAnsi="宋体" w:eastAsia="宋体" w:cs="宋体"/>
      <w:sz w:val="20"/>
      <w:szCs w:val="20"/>
      <w:lang w:val="en-US" w:eastAsia="en-US" w:bidi="ar-SA"/>
    </w:rPr>
  </w:style>
  <w:style w:type="table" w:customStyle="1" w:styleId="36">
    <w:name w:val="Table Normal"/>
    <w:autoRedefine/>
    <w:semiHidden/>
    <w:unhideWhenUsed/>
    <w:qFormat/>
    <w:uiPriority w:val="0"/>
    <w:tblPr>
      <w:tblCellMar>
        <w:top w:w="0" w:type="dxa"/>
        <w:left w:w="0" w:type="dxa"/>
        <w:bottom w:w="0" w:type="dxa"/>
        <w:right w:w="0" w:type="dxa"/>
      </w:tblCellMar>
    </w:tblPr>
  </w:style>
  <w:style w:type="paragraph" w:customStyle="1" w:styleId="37">
    <w:name w:val="普通(网站)1"/>
    <w:basedOn w:val="1"/>
    <w:qFormat/>
    <w:uiPriority w:val="99"/>
    <w:pPr>
      <w:widowControl/>
      <w:spacing w:before="100" w:beforeAutospacing="1" w:after="100" w:afterAutospacing="1"/>
    </w:pPr>
    <w:rPr>
      <w:sz w:val="24"/>
    </w:rPr>
  </w:style>
  <w:style w:type="paragraph" w:customStyle="1" w:styleId="38">
    <w:name w:val="正文缩进11"/>
    <w:basedOn w:val="1"/>
    <w:qFormat/>
    <w:uiPriority w:val="0"/>
    <w:rPr>
      <w:szCs w:val="20"/>
    </w:rPr>
  </w:style>
  <w:style w:type="paragraph" w:customStyle="1" w:styleId="39">
    <w:name w:val="标题 311"/>
    <w:basedOn w:val="1"/>
    <w:next w:val="1"/>
    <w:qFormat/>
    <w:uiPriority w:val="0"/>
    <w:pPr>
      <w:keepNext/>
      <w:keepLines/>
      <w:spacing w:before="260" w:after="260" w:line="416" w:lineRule="auto"/>
      <w:outlineLvl w:val="2"/>
    </w:pPr>
    <w:rPr>
      <w:b/>
      <w:sz w:val="32"/>
      <w:szCs w:val="20"/>
    </w:rPr>
  </w:style>
  <w:style w:type="paragraph" w:customStyle="1" w:styleId="40">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41">
    <w:name w:val="文本块1"/>
    <w:basedOn w:val="1"/>
    <w:autoRedefine/>
    <w:qFormat/>
    <w:uiPriority w:val="99"/>
    <w:pPr>
      <w:tabs>
        <w:tab w:val="left" w:pos="9000"/>
      </w:tabs>
      <w:spacing w:after="120"/>
      <w:ind w:left="1440" w:right="1440"/>
    </w:pPr>
    <w:rPr>
      <w:rFonts w:ascii="Times New Roman" w:hAnsi="Times New Roman"/>
    </w:rPr>
  </w:style>
  <w:style w:type="paragraph" w:styleId="42">
    <w:name w:val="List Paragraph"/>
    <w:basedOn w:val="1"/>
    <w:qFormat/>
    <w:uiPriority w:val="34"/>
    <w:pPr>
      <w:ind w:left="720"/>
      <w:contextualSpacing/>
    </w:pPr>
  </w:style>
  <w:style w:type="character" w:customStyle="1" w:styleId="43">
    <w:name w:val="font31"/>
    <w:basedOn w:val="24"/>
    <w:qFormat/>
    <w:uiPriority w:val="0"/>
    <w:rPr>
      <w:rFonts w:hint="eastAsia" w:ascii="宋体" w:hAnsi="宋体" w:eastAsia="宋体" w:cs="宋体"/>
      <w:b/>
      <w:bCs/>
      <w:color w:val="000000"/>
      <w:sz w:val="22"/>
      <w:szCs w:val="22"/>
      <w:u w:val="none"/>
    </w:rPr>
  </w:style>
  <w:style w:type="character" w:customStyle="1" w:styleId="44">
    <w:name w:val="font71"/>
    <w:basedOn w:val="24"/>
    <w:qFormat/>
    <w:uiPriority w:val="0"/>
    <w:rPr>
      <w:rFonts w:hint="default" w:ascii="Times New Roman" w:hAnsi="Times New Roman" w:cs="Times New Roman"/>
      <w:b/>
      <w:bCs/>
      <w:color w:val="000000"/>
      <w:sz w:val="22"/>
      <w:szCs w:val="22"/>
      <w:u w:val="none"/>
    </w:rPr>
  </w:style>
  <w:style w:type="character" w:customStyle="1" w:styleId="45">
    <w:name w:val="font11"/>
    <w:basedOn w:val="24"/>
    <w:qFormat/>
    <w:uiPriority w:val="0"/>
    <w:rPr>
      <w:rFonts w:hint="eastAsia" w:ascii="宋体" w:hAnsi="宋体" w:eastAsia="宋体" w:cs="宋体"/>
      <w:color w:val="000000"/>
      <w:sz w:val="22"/>
      <w:szCs w:val="22"/>
      <w:u w:val="none"/>
    </w:rPr>
  </w:style>
  <w:style w:type="character" w:customStyle="1" w:styleId="46">
    <w:name w:val="font51"/>
    <w:basedOn w:val="24"/>
    <w:qFormat/>
    <w:uiPriority w:val="0"/>
    <w:rPr>
      <w:rFonts w:hint="default" w:ascii="Times New Roman" w:hAnsi="Times New Roman" w:cs="Times New Roman"/>
      <w:color w:val="000000"/>
      <w:sz w:val="22"/>
      <w:szCs w:val="22"/>
      <w:u w:val="none"/>
    </w:rPr>
  </w:style>
  <w:style w:type="character" w:customStyle="1" w:styleId="47">
    <w:name w:val="font41"/>
    <w:basedOn w:val="24"/>
    <w:qFormat/>
    <w:uiPriority w:val="0"/>
    <w:rPr>
      <w:rFonts w:hint="eastAsia" w:ascii="宋体" w:hAnsi="宋体" w:eastAsia="宋体" w:cs="宋体"/>
      <w:b/>
      <w:bCs/>
      <w:color w:val="000000"/>
      <w:sz w:val="24"/>
      <w:szCs w:val="24"/>
      <w:u w:val="none"/>
    </w:rPr>
  </w:style>
  <w:style w:type="character" w:customStyle="1" w:styleId="48">
    <w:name w:val="font81"/>
    <w:basedOn w:val="24"/>
    <w:qFormat/>
    <w:uiPriority w:val="0"/>
    <w:rPr>
      <w:rFonts w:hint="default" w:ascii="Times New Roman" w:hAnsi="Times New Roman" w:cs="Times New Roman"/>
      <w:b/>
      <w:bCs/>
      <w:color w:val="000000"/>
      <w:sz w:val="24"/>
      <w:szCs w:val="24"/>
      <w:u w:val="none"/>
    </w:rPr>
  </w:style>
  <w:style w:type="paragraph" w:customStyle="1" w:styleId="49">
    <w:name w:val="普通(网站)11"/>
    <w:basedOn w:val="1"/>
    <w:unhideWhenUsed/>
    <w:qFormat/>
    <w:uiPriority w:val="0"/>
    <w:pPr>
      <w:widowControl/>
      <w:spacing w:before="100" w:beforeAutospacing="1" w:after="100" w:afterAutospacing="1"/>
      <w:ind w:firstLine="5742"/>
      <w:jc w:val="center"/>
    </w:pPr>
    <w:rPr>
      <w:rFonts w:asciiTheme="majorEastAsia" w:hAnsiTheme="majorEastAsia" w:eastAsiaTheme="majorEastAsia"/>
      <w:b/>
      <w:sz w:val="4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2267</Words>
  <Characters>2524</Characters>
  <Lines>0</Lines>
  <Paragraphs>0</Paragraphs>
  <TotalTime>14</TotalTime>
  <ScaleCrop>false</ScaleCrop>
  <LinksUpToDate>false</LinksUpToDate>
  <CharactersWithSpaces>2576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2024-03-05T08:15:00Z</dcterms:created>
  <dc:creator>Administrator</dc:creator>
  <cp:lastModifiedBy>盐南高新区伍佑街道（单位）(填报)</cp:lastModifiedBy>
  <cp:lastPrinted>2024-04-02T01:02:00Z</cp:lastPrinted>
  <dcterms:modified xsi:type="dcterms:W3CDTF">2025-01-02T08:55:18Z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4BC8712C5C8645D6AAD3084A407AAD58_13</vt:lpwstr>
  </property>
  <property fmtid="{D5CDD505-2E9C-101B-9397-08002B2CF9AE}" pid="4" name="KSOTemplateDocerSaveRecord">
    <vt:lpwstr>eyJoZGlkIjoiNmU5OTcwMDVlNmYxYTdkODk4MGY1YzI5Yzk0MmU1YzgiLCJ1c2VySWQiOiI2MDU1MTA4NjgifQ==</vt:lpwstr>
  </property>
</Properties>
</file>