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0" w:lineRule="atLeast"/>
        <w:rPr>
          <w:rFonts w:ascii="宋体" w:hAnsi="宋体" w:cs="宋体"/>
          <w:b/>
          <w:bCs/>
          <w:sz w:val="96"/>
          <w:szCs w:val="96"/>
        </w:rPr>
      </w:pPr>
      <w:r/>
      <w:bookmarkStart w:id="89" w:name="_GoBack"/>
      <w:r/>
      <w:bookmarkEnd w:id="89"/>
      <w:r/>
      <w:r/>
    </w:p>
    <w:p>
      <w:pPr>
        <w:jc w:val="center"/>
        <w:spacing w:line="20" w:lineRule="atLeast"/>
        <w:rPr>
          <w:rFonts w:ascii="宋体" w:hAnsi="宋体" w:cs="宋体"/>
          <w:b/>
          <w:bCs/>
          <w:sz w:val="96"/>
          <w:szCs w:val="96"/>
        </w:rPr>
      </w:pPr>
      <w:r>
        <w:rPr>
          <w:rFonts w:ascii="宋体" w:hAnsi="宋体" w:cs="宋体"/>
          <w:b/>
          <w:bCs/>
          <w:sz w:val="96"/>
          <w:szCs w:val="96"/>
        </w:rPr>
      </w:r>
      <w:r/>
    </w:p>
    <w:p>
      <w:pPr>
        <w:jc w:val="center"/>
        <w:spacing w:line="20" w:lineRule="atLeast"/>
        <w:rPr>
          <w:rFonts w:ascii="宋体" w:hAnsi="宋体"/>
          <w:b/>
          <w:bCs/>
          <w:sz w:val="96"/>
          <w:szCs w:val="96"/>
          <w:highlight w:val="none"/>
        </w:rPr>
      </w:pPr>
      <w:r>
        <w:rPr>
          <w:rFonts w:hint="eastAsia" w:ascii="宋体" w:hAnsi="宋体" w:cs="宋体"/>
          <w:b/>
          <w:bCs/>
          <w:sz w:val="96"/>
          <w:szCs w:val="96"/>
          <w:highlight w:val="none"/>
        </w:rPr>
        <w:t xml:space="preserve">泰州市政府采购</w:t>
      </w:r>
      <w:r/>
    </w:p>
    <w:p>
      <w:pPr>
        <w:jc w:val="center"/>
        <w:rPr>
          <w:rFonts w:ascii="宋体" w:hAnsi="宋体" w:cs="宋体"/>
          <w:b/>
          <w:bCs/>
          <w:sz w:val="96"/>
          <w:szCs w:val="96"/>
        </w:rPr>
      </w:pPr>
      <w:r>
        <w:rPr>
          <w:rFonts w:hint="eastAsia" w:ascii="宋体" w:hAnsi="宋体" w:cs="宋体"/>
          <w:b/>
          <w:bCs/>
          <w:sz w:val="96"/>
          <w:szCs w:val="96"/>
        </w:rPr>
        <w:t xml:space="preserve">招</w:t>
      </w:r>
      <w:r>
        <w:rPr>
          <w:rFonts w:ascii="宋体" w:hAnsi="宋体" w:cs="宋体"/>
          <w:b/>
          <w:bCs/>
          <w:sz w:val="96"/>
          <w:szCs w:val="96"/>
        </w:rPr>
        <w:t xml:space="preserve"> </w:t>
      </w:r>
      <w:r>
        <w:rPr>
          <w:rFonts w:hint="eastAsia" w:ascii="宋体" w:hAnsi="宋体" w:cs="宋体"/>
          <w:b/>
          <w:bCs/>
          <w:sz w:val="96"/>
          <w:szCs w:val="96"/>
        </w:rPr>
        <w:t xml:space="preserve">标</w:t>
      </w:r>
      <w:r>
        <w:rPr>
          <w:rFonts w:ascii="宋体" w:hAnsi="宋体" w:cs="宋体"/>
          <w:b/>
          <w:bCs/>
          <w:sz w:val="96"/>
          <w:szCs w:val="96"/>
        </w:rPr>
        <w:t xml:space="preserve"> </w:t>
      </w:r>
      <w:r>
        <w:rPr>
          <w:rFonts w:hint="eastAsia" w:ascii="宋体" w:hAnsi="宋体" w:cs="宋体"/>
          <w:b/>
          <w:bCs/>
          <w:sz w:val="96"/>
          <w:szCs w:val="96"/>
        </w:rPr>
        <w:t xml:space="preserve">文</w:t>
      </w:r>
      <w:r>
        <w:rPr>
          <w:rFonts w:ascii="宋体" w:hAnsi="宋体" w:cs="宋体"/>
          <w:b/>
          <w:bCs/>
          <w:sz w:val="96"/>
          <w:szCs w:val="96"/>
        </w:rPr>
        <w:t xml:space="preserve"> </w:t>
      </w:r>
      <w:r>
        <w:rPr>
          <w:rFonts w:hint="eastAsia" w:ascii="宋体" w:hAnsi="宋体" w:cs="宋体"/>
          <w:b/>
          <w:bCs/>
          <w:sz w:val="96"/>
          <w:szCs w:val="96"/>
        </w:rPr>
        <w:t xml:space="preserve">件</w:t>
      </w:r>
      <w:r/>
    </w:p>
    <w:p>
      <w:pPr>
        <w:jc w:val="center"/>
        <w:tabs>
          <w:tab w:val="left" w:pos="9921" w:leader="none"/>
        </w:tabs>
        <w:rPr>
          <w:rFonts w:ascii="宋体" w:hAnsi="宋体" w:cs="宋体"/>
          <w:bCs/>
          <w:sz w:val="30"/>
        </w:rPr>
      </w:pPr>
      <w:r>
        <w:rPr>
          <w:rFonts w:ascii="宋体" w:hAnsi="宋体" w:cs="宋体"/>
          <w:bCs/>
          <w:sz w:val="30"/>
        </w:rPr>
      </w:r>
      <w:r/>
    </w:p>
    <w:p>
      <w:pPr>
        <w:jc w:val="center"/>
        <w:tabs>
          <w:tab w:val="left" w:pos="9921" w:leader="none"/>
        </w:tabs>
        <w:rPr>
          <w:rFonts w:ascii="宋体" w:hAnsi="宋体" w:cs="宋体"/>
          <w:bCs/>
          <w:sz w:val="30"/>
        </w:rPr>
      </w:pPr>
      <w:r>
        <w:rPr>
          <w:rFonts w:hint="eastAsia" w:ascii="宋体" w:hAnsi="宋体" w:cs="宋体"/>
          <w:bCs/>
          <w:sz w:val="30"/>
        </w:rPr>
        <w:t xml:space="preserve">（全流程电子化不见面开标）</w:t>
      </w:r>
      <w:r/>
    </w:p>
    <w:p>
      <w:pPr>
        <w:pStyle w:val="742"/>
      </w:pPr>
      <w:r/>
      <w:r/>
    </w:p>
    <w:p>
      <w:pPr>
        <w:jc w:val="center"/>
        <w:rPr>
          <w:rFonts w:ascii="华文中宋" w:hAnsi="华文中宋" w:eastAsia="华文中宋"/>
          <w:bCs/>
          <w:sz w:val="30"/>
        </w:rPr>
      </w:pPr>
      <w:r>
        <w:rPr>
          <w:rFonts w:ascii="华文中宋" w:hAnsi="华文中宋" w:eastAsia="华文中宋"/>
          <w:bCs/>
          <w:sz w:val="30"/>
        </w:rPr>
      </w:r>
      <w:r/>
    </w:p>
    <w:p>
      <w:pPr>
        <w:pStyle w:val="739"/>
      </w:pPr>
      <w:r/>
      <w:r/>
    </w:p>
    <w:p>
      <w:pPr>
        <w:jc w:val="left"/>
        <w:spacing w:line="360" w:lineRule="auto"/>
        <w:rPr>
          <w:rFonts w:ascii="黑体" w:hAnsi="华文中宋" w:eastAsia="黑体"/>
          <w:bCs/>
          <w:sz w:val="30"/>
          <w:szCs w:val="30"/>
        </w:rPr>
      </w:pPr>
      <w:r>
        <w:rPr>
          <w:rFonts w:hint="eastAsia" w:ascii="黑体" w:hAnsi="华文中宋" w:eastAsia="黑体"/>
          <w:bCs/>
          <w:sz w:val="30"/>
          <w:szCs w:val="30"/>
        </w:rPr>
        <w:t xml:space="preserve">项目编号：JSZC-321202-YZNH-G2024-0006</w:t>
      </w:r>
      <w:r/>
    </w:p>
    <w:p>
      <w:pPr>
        <w:jc w:val="left"/>
        <w:spacing w:line="360" w:lineRule="auto"/>
        <w:rPr>
          <w:rFonts w:ascii="黑体" w:hAnsi="华文中宋" w:eastAsia="黑体"/>
          <w:bCs/>
          <w:sz w:val="30"/>
          <w:szCs w:val="30"/>
        </w:rPr>
      </w:pPr>
      <w:r>
        <w:rPr>
          <w:rFonts w:hint="eastAsia" w:ascii="黑体" w:hAnsi="华文中宋" w:eastAsia="黑体"/>
          <w:bCs/>
          <w:sz w:val="30"/>
          <w:szCs w:val="30"/>
        </w:rPr>
        <w:t xml:space="preserve">项目名称：海陵区智慧电梯管理项目</w:t>
      </w:r>
      <w:r/>
    </w:p>
    <w:p>
      <w:pPr>
        <w:jc w:val="left"/>
        <w:spacing w:line="360" w:lineRule="auto"/>
        <w:rPr>
          <w:rFonts w:ascii="黑体" w:hAnsi="华文中宋" w:eastAsia="黑体"/>
          <w:bCs/>
          <w:sz w:val="30"/>
          <w:szCs w:val="30"/>
        </w:rPr>
      </w:pPr>
      <w:r>
        <w:rPr>
          <w:rFonts w:hint="eastAsia" w:ascii="黑体" w:hAnsi="华文中宋" w:eastAsia="黑体"/>
          <w:bCs/>
          <w:sz w:val="30"/>
          <w:szCs w:val="30"/>
        </w:rPr>
        <w:t xml:space="preserve">采 购 人：泰州市海陵区市场监督管理局</w:t>
      </w:r>
      <w:r/>
    </w:p>
    <w:p>
      <w:pPr>
        <w:pStyle w:val="737"/>
        <w:spacing w:line="360" w:lineRule="auto"/>
        <w:rPr>
          <w:rFonts w:ascii="黑体" w:hAnsi="华文中宋" w:eastAsia="黑体"/>
          <w:bCs/>
          <w:sz w:val="30"/>
          <w:szCs w:val="30"/>
        </w:rPr>
      </w:pPr>
      <w:r>
        <w:rPr>
          <w:rFonts w:hint="eastAsia" w:ascii="黑体" w:hAnsi="华文中宋" w:eastAsia="黑体"/>
          <w:bCs/>
          <w:sz w:val="30"/>
          <w:szCs w:val="30"/>
        </w:rPr>
        <w:t xml:space="preserve">招标代理：扬州诺浩工程咨询有限公司</w:t>
      </w:r>
      <w:r/>
    </w:p>
    <w:p>
      <w:pPr>
        <w:pStyle w:val="737"/>
        <w:rPr>
          <w:rFonts w:ascii="黑体" w:hAnsi="华文中宋" w:eastAsia="黑体"/>
          <w:bCs/>
          <w:sz w:val="30"/>
          <w:szCs w:val="30"/>
        </w:rPr>
      </w:pPr>
      <w:r>
        <w:rPr>
          <w:rFonts w:ascii="黑体" w:hAnsi="华文中宋" w:eastAsia="黑体"/>
          <w:bCs/>
          <w:sz w:val="30"/>
          <w:szCs w:val="30"/>
        </w:rPr>
      </w:r>
      <w:r/>
    </w:p>
    <w:p>
      <w:pPr>
        <w:pStyle w:val="737"/>
        <w:rPr>
          <w:rFonts w:ascii="黑体" w:hAnsi="华文中宋" w:eastAsia="黑体"/>
          <w:bCs/>
          <w:sz w:val="30"/>
          <w:szCs w:val="30"/>
        </w:rPr>
      </w:pPr>
      <w:r>
        <w:rPr>
          <w:rFonts w:ascii="黑体" w:hAnsi="华文中宋" w:eastAsia="黑体"/>
          <w:bCs/>
          <w:sz w:val="30"/>
          <w:szCs w:val="30"/>
        </w:rPr>
      </w:r>
      <w:r/>
    </w:p>
    <w:p>
      <w:pPr>
        <w:pStyle w:val="739"/>
        <w:jc w:val="center"/>
        <w:rPr>
          <w:rFonts w:ascii="黑体" w:hAnsi="Century Schoolbook" w:eastAsia="黑体"/>
          <w:spacing w:val="-4"/>
          <w:sz w:val="36"/>
        </w:rPr>
      </w:pPr>
      <w:r>
        <w:rPr>
          <w:rFonts w:hint="eastAsia" w:ascii="黑体" w:hAnsi="Century Schoolbook" w:eastAsia="黑体"/>
          <w:spacing w:val="-4"/>
          <w:sz w:val="36"/>
        </w:rPr>
        <w:t xml:space="preserve">二〇二四年八月</w:t>
      </w:r>
      <w:r/>
    </w:p>
    <w:p>
      <w:pPr>
        <w:pStyle w:val="738"/>
        <w:rPr>
          <w:rFonts w:ascii="黑体" w:hAnsi="Century Schoolbook" w:eastAsia="黑体"/>
          <w:spacing w:val="-4"/>
          <w:sz w:val="36"/>
          <w:szCs w:val="20"/>
        </w:rPr>
      </w:pPr>
      <w:r>
        <w:rPr>
          <w:rFonts w:ascii="黑体" w:hAnsi="Century Schoolbook" w:eastAsia="黑体"/>
          <w:spacing w:val="-4"/>
          <w:sz w:val="36"/>
          <w:szCs w:val="20"/>
        </w:rPr>
      </w:r>
      <w:r/>
    </w:p>
    <w:p>
      <w:pPr>
        <w:rPr>
          <w:rFonts w:ascii="黑体" w:hAnsi="Century Schoolbook" w:eastAsia="黑体"/>
          <w:spacing w:val="-4"/>
          <w:sz w:val="36"/>
          <w:szCs w:val="20"/>
        </w:rPr>
      </w:pPr>
      <w:r>
        <w:rPr>
          <w:rFonts w:ascii="黑体" w:hAnsi="Century Schoolbook" w:eastAsia="黑体"/>
          <w:spacing w:val="-4"/>
          <w:sz w:val="36"/>
          <w:szCs w:val="20"/>
        </w:rPr>
      </w:r>
      <w:r/>
    </w:p>
    <w:p>
      <w:pPr>
        <w:jc w:val="center"/>
        <w:pageBreakBefore/>
        <w:rPr>
          <w:rFonts w:eastAsia="黑体"/>
          <w:bCs/>
          <w:sz w:val="48"/>
        </w:rPr>
      </w:pPr>
      <w:r>
        <w:rPr>
          <w:rFonts w:hint="eastAsia" w:eastAsia="黑体"/>
          <w:bCs/>
          <w:sz w:val="48"/>
        </w:rPr>
        <w:t xml:space="preserve">目</w:t>
      </w:r>
      <w:r>
        <w:rPr>
          <w:rFonts w:eastAsia="黑体"/>
          <w:bCs/>
          <w:sz w:val="48"/>
        </w:rPr>
        <w:t xml:space="preserve">     </w:t>
      </w:r>
      <w:r>
        <w:rPr>
          <w:rFonts w:hint="eastAsia" w:eastAsia="黑体"/>
          <w:bCs/>
          <w:sz w:val="48"/>
        </w:rPr>
        <w:t xml:space="preserve">录</w:t>
      </w:r>
      <w:r/>
    </w:p>
    <w:p>
      <w:pPr>
        <w:jc w:val="center"/>
        <w:rPr>
          <w:rFonts w:ascii="黑体" w:eastAsia="黑体"/>
          <w:bCs/>
          <w:sz w:val="30"/>
        </w:rPr>
      </w:pPr>
      <w:r>
        <w:rPr>
          <w:rFonts w:ascii="黑体" w:eastAsia="黑体"/>
          <w:bCs/>
          <w:sz w:val="30"/>
        </w:rPr>
      </w:r>
      <w:r/>
    </w:p>
    <w:p>
      <w:pPr>
        <w:jc w:val="center"/>
        <w:spacing w:line="360" w:lineRule="auto"/>
        <w:rPr>
          <w:rFonts w:ascii="宋体" w:hAnsi="宋体"/>
          <w:bCs/>
          <w:sz w:val="30"/>
        </w:rPr>
      </w:pPr>
      <w:r>
        <w:rPr>
          <w:rFonts w:ascii="宋体" w:hAnsi="宋体"/>
          <w:bCs/>
          <w:sz w:val="30"/>
        </w:rPr>
      </w:r>
      <w:r/>
    </w:p>
    <w:p>
      <w:pPr>
        <w:ind w:firstLine="420"/>
        <w:jc w:val="left"/>
        <w:spacing w:line="360" w:lineRule="auto"/>
        <w:rPr>
          <w:rFonts w:ascii="黑体" w:hAnsi="华文中宋" w:eastAsia="黑体"/>
          <w:bCs/>
          <w:sz w:val="30"/>
          <w:szCs w:val="30"/>
        </w:rPr>
      </w:pPr>
      <w:r>
        <w:rPr>
          <w:rFonts w:hint="eastAsia" w:ascii="黑体" w:hAnsi="华文中宋" w:eastAsia="黑体"/>
          <w:bCs/>
          <w:sz w:val="30"/>
          <w:szCs w:val="30"/>
        </w:rPr>
        <w:t xml:space="preserve">第一章 招标公告</w:t>
      </w:r>
      <w:r/>
    </w:p>
    <w:p>
      <w:pPr>
        <w:ind w:firstLine="420"/>
        <w:jc w:val="left"/>
        <w:spacing w:line="360" w:lineRule="auto"/>
        <w:rPr>
          <w:rFonts w:ascii="黑体" w:hAnsi="华文中宋" w:eastAsia="黑体"/>
          <w:bCs/>
          <w:sz w:val="30"/>
          <w:szCs w:val="30"/>
        </w:rPr>
      </w:pPr>
      <w:r>
        <w:rPr>
          <w:rFonts w:hint="eastAsia" w:ascii="黑体" w:hAnsi="华文中宋" w:eastAsia="黑体"/>
          <w:bCs/>
          <w:sz w:val="30"/>
          <w:szCs w:val="30"/>
        </w:rPr>
        <w:t xml:space="preserve">第二章 投标人须知</w:t>
      </w:r>
      <w:r/>
    </w:p>
    <w:p>
      <w:pPr>
        <w:ind w:firstLine="420"/>
        <w:jc w:val="left"/>
        <w:spacing w:line="360" w:lineRule="auto"/>
        <w:rPr>
          <w:rFonts w:ascii="黑体" w:hAnsi="华文中宋" w:eastAsia="黑体"/>
          <w:bCs/>
          <w:sz w:val="30"/>
          <w:szCs w:val="30"/>
        </w:rPr>
      </w:pPr>
      <w:r>
        <w:rPr>
          <w:rFonts w:hint="eastAsia" w:ascii="黑体" w:hAnsi="华文中宋" w:eastAsia="黑体"/>
          <w:bCs/>
          <w:sz w:val="30"/>
          <w:szCs w:val="30"/>
        </w:rPr>
        <w:t xml:space="preserve">第三章 采购需求</w:t>
      </w:r>
      <w:r/>
    </w:p>
    <w:p>
      <w:pPr>
        <w:ind w:firstLine="420"/>
        <w:jc w:val="left"/>
        <w:spacing w:line="360" w:lineRule="auto"/>
        <w:rPr>
          <w:rFonts w:ascii="黑体" w:hAnsi="华文中宋" w:eastAsia="黑体"/>
          <w:bCs/>
          <w:sz w:val="30"/>
          <w:szCs w:val="30"/>
        </w:rPr>
      </w:pPr>
      <w:r>
        <w:rPr>
          <w:rFonts w:hint="eastAsia" w:ascii="黑体" w:hAnsi="华文中宋" w:eastAsia="黑体"/>
          <w:bCs/>
          <w:sz w:val="30"/>
          <w:szCs w:val="30"/>
        </w:rPr>
        <w:t xml:space="preserve">第四章 合同书（格式文本）</w:t>
      </w:r>
      <w:r/>
    </w:p>
    <w:p>
      <w:pPr>
        <w:ind w:firstLine="420"/>
        <w:jc w:val="left"/>
        <w:spacing w:line="360" w:lineRule="auto"/>
        <w:rPr>
          <w:rFonts w:ascii="黑体" w:hAnsi="华文中宋" w:eastAsia="黑体"/>
          <w:bCs/>
          <w:sz w:val="30"/>
          <w:szCs w:val="30"/>
        </w:rPr>
      </w:pPr>
      <w:r>
        <w:rPr>
          <w:rFonts w:hint="eastAsia" w:ascii="黑体" w:hAnsi="华文中宋" w:eastAsia="黑体"/>
          <w:bCs/>
          <w:sz w:val="30"/>
          <w:szCs w:val="30"/>
        </w:rPr>
        <w:t xml:space="preserve">第五章 评分标准</w:t>
      </w:r>
      <w:r/>
    </w:p>
    <w:p>
      <w:pPr>
        <w:ind w:firstLine="420"/>
        <w:jc w:val="left"/>
        <w:spacing w:line="360" w:lineRule="auto"/>
        <w:rPr>
          <w:rFonts w:ascii="黑体" w:hAnsi="华文中宋" w:eastAsia="黑体"/>
          <w:bCs/>
          <w:sz w:val="30"/>
          <w:szCs w:val="30"/>
        </w:rPr>
      </w:pPr>
      <w:r>
        <w:rPr>
          <w:rFonts w:hint="eastAsia" w:ascii="黑体" w:hAnsi="华文中宋" w:eastAsia="黑体"/>
          <w:bCs/>
          <w:sz w:val="30"/>
          <w:szCs w:val="30"/>
        </w:rPr>
        <w:t xml:space="preserve">第六章 投标文件格式</w:t>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sz w:val="30"/>
          <w:szCs w:val="30"/>
        </w:rPr>
      </w:pPr>
      <w:r>
        <w:rPr>
          <w:rFonts w:ascii="宋体" w:hAnsi="宋体"/>
          <w:sz w:val="30"/>
          <w:szCs w:val="30"/>
        </w:rPr>
      </w:r>
      <w:r/>
    </w:p>
    <w:p>
      <w:pPr>
        <w:spacing w:line="360" w:lineRule="auto"/>
        <w:rPr>
          <w:rFonts w:ascii="宋体" w:hAnsi="宋体"/>
          <w:sz w:val="30"/>
          <w:szCs w:val="30"/>
        </w:rPr>
      </w:pPr>
      <w:r>
        <w:rPr>
          <w:rFonts w:ascii="宋体" w:hAnsi="宋体"/>
          <w:sz w:val="30"/>
          <w:szCs w:val="30"/>
        </w:rPr>
      </w:r>
      <w:r/>
    </w:p>
    <w:p>
      <w:pPr>
        <w:spacing w:line="360" w:lineRule="auto"/>
        <w:rPr>
          <w:rFonts w:ascii="宋体" w:hAnsi="宋体"/>
          <w:sz w:val="30"/>
          <w:szCs w:val="30"/>
        </w:rPr>
      </w:pPr>
      <w:r>
        <w:rPr>
          <w:rFonts w:ascii="宋体" w:hAnsi="宋体"/>
          <w:sz w:val="30"/>
          <w:szCs w:val="30"/>
        </w:rPr>
      </w:r>
      <w:r/>
    </w:p>
    <w:p>
      <w:pPr>
        <w:rPr>
          <w:rFonts w:ascii="宋体" w:hAnsi="宋体"/>
          <w:bCs/>
          <w:sz w:val="30"/>
        </w:rPr>
      </w:pPr>
      <w:r>
        <w:rPr>
          <w:rFonts w:hint="eastAsia" w:ascii="宋体" w:hAnsi="宋体"/>
          <w:bCs/>
          <w:sz w:val="30"/>
        </w:rPr>
        <w:br w:type="page" w:clear="all"/>
      </w:r>
      <w:r/>
    </w:p>
    <w:p>
      <w:pPr>
        <w:jc w:val="center"/>
        <w:rPr>
          <w:b/>
          <w:bCs/>
          <w:sz w:val="32"/>
          <w:szCs w:val="36"/>
        </w:rPr>
      </w:pPr>
      <w:r>
        <w:rPr>
          <w:rFonts w:hint="eastAsia"/>
          <w:b/>
          <w:bCs/>
          <w:sz w:val="32"/>
          <w:szCs w:val="36"/>
        </w:rPr>
        <w:t xml:space="preserve">海陵区智慧电梯管理项目</w:t>
      </w:r>
      <w:r/>
    </w:p>
    <w:p>
      <w:pPr>
        <w:jc w:val="center"/>
        <w:rPr>
          <w:b/>
          <w:bCs/>
          <w:sz w:val="32"/>
          <w:szCs w:val="36"/>
        </w:rPr>
      </w:pPr>
      <w:r>
        <w:rPr>
          <w:rFonts w:hint="eastAsia" w:ascii="黑体" w:hAnsi="华文中宋" w:eastAsia="黑体"/>
          <w:bCs/>
          <w:sz w:val="32"/>
          <w:szCs w:val="30"/>
        </w:rPr>
        <w:t xml:space="preserve">第一章 </w:t>
      </w:r>
      <w:r>
        <w:rPr>
          <w:rFonts w:hint="eastAsia"/>
          <w:b/>
          <w:bCs/>
          <w:sz w:val="32"/>
          <w:szCs w:val="36"/>
        </w:rPr>
        <w:t xml:space="preserve">招标公告</w:t>
      </w:r>
      <w:r/>
    </w:p>
    <w:p>
      <w:pPr>
        <w:spacing w:line="360" w:lineRule="auto"/>
        <w:rPr>
          <w:rFonts w:hint="eastAsia" w:ascii="仿宋" w:hAnsi="仿宋" w:eastAsia="仿宋" w:cs="仿宋"/>
          <w:b/>
          <w:bCs/>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rPr>
        <w:t xml:space="preserve">项</w:t>
      </w:r>
      <w:r>
        <w:rPr>
          <w:rFonts w:hint="eastAsia" w:ascii="仿宋" w:hAnsi="仿宋" w:eastAsia="仿宋" w:cs="仿宋"/>
          <w:sz w:val="24"/>
          <w:szCs w:val="24"/>
        </w:rPr>
        <w:t xml:space="preserve">目概况</w:t>
      </w:r>
      <w:r/>
    </w:p>
    <w:p>
      <w:pPr>
        <w:ind w:firstLine="480"/>
        <w:spacing w:line="360" w:lineRule="auto"/>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single"/>
        </w:rPr>
        <w:t xml:space="preserve">海陵区智慧电梯管理项目JSZC-321202-YZNH-G2024-0006 招标项目的</w:t>
      </w:r>
      <w:r>
        <w:rPr>
          <w:rFonts w:hint="eastAsia" w:ascii="仿宋" w:hAnsi="仿宋" w:eastAsia="仿宋" w:cs="仿宋"/>
          <w:sz w:val="24"/>
          <w:szCs w:val="24"/>
        </w:rPr>
        <w:t xml:space="preserve">潜在投标人应在供应商完成注册并办理CA证书后登录“江苏政府采购‘苏采云’系统”，下载本项目采购文件。 获取招标文件，并于</w:t>
      </w:r>
      <w:r>
        <w:rPr>
          <w:rFonts w:hint="eastAsia" w:ascii="仿宋" w:hAnsi="仿宋" w:eastAsia="仿宋" w:cs="仿宋"/>
          <w:sz w:val="24"/>
          <w:szCs w:val="24"/>
          <w:u w:val="single"/>
        </w:rPr>
        <w:t xml:space="preserve">2024-8-22 09:00（</w:t>
      </w:r>
      <w:r>
        <w:rPr>
          <w:rFonts w:hint="eastAsia" w:ascii="仿宋" w:hAnsi="仿宋" w:eastAsia="仿宋" w:cs="仿宋"/>
          <w:sz w:val="24"/>
          <w:szCs w:val="24"/>
        </w:rPr>
        <w:t xml:space="preserve">北京时间）前递交投标文件。</w:t>
      </w:r>
      <w:r/>
    </w:p>
    <w:p>
      <w:pPr>
        <w:spacing w:line="360" w:lineRule="auto"/>
        <w:rPr>
          <w:rFonts w:hint="eastAsia" w:ascii="仿宋" w:hAnsi="仿宋" w:eastAsia="仿宋" w:cs="仿宋"/>
          <w:b/>
          <w:bCs/>
          <w:sz w:val="24"/>
          <w:szCs w:val="28"/>
        </w:rPr>
      </w:pPr>
      <w:r/>
      <w:bookmarkStart w:id="0" w:name="_Toc28359002"/>
      <w:r/>
      <w:bookmarkStart w:id="1" w:name="_Toc35393790"/>
      <w:r/>
      <w:bookmarkStart w:id="2" w:name="_Toc28359079"/>
      <w:r/>
      <w:bookmarkStart w:id="3" w:name="_Toc35393621"/>
      <w:r/>
      <w:bookmarkStart w:id="4" w:name="_Hlk24379207"/>
      <w:r>
        <w:rPr>
          <w:rFonts w:hint="eastAsia" w:ascii="仿宋" w:hAnsi="仿宋" w:eastAsia="仿宋" w:cs="仿宋"/>
          <w:b/>
          <w:bCs/>
          <w:sz w:val="24"/>
          <w:szCs w:val="28"/>
        </w:rPr>
        <w:t xml:space="preserve">一、项目基本情况</w:t>
      </w:r>
      <w:bookmarkEnd w:id="0"/>
      <w:r/>
      <w:bookmarkEnd w:id="1"/>
      <w:r/>
      <w:bookmarkEnd w:id="2"/>
      <w:r/>
      <w:bookmarkEnd w:id="3"/>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1.项目编号：JSZC-321202-YZNH-G2024-0006</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2.项目名称：</w:t>
      </w:r>
      <w:bookmarkEnd w:id="4"/>
      <w:r>
        <w:rPr>
          <w:rFonts w:hint="eastAsia" w:ascii="仿宋" w:hAnsi="仿宋" w:eastAsia="仿宋" w:cs="仿宋"/>
          <w:sz w:val="24"/>
          <w:szCs w:val="28"/>
        </w:rPr>
        <w:t xml:space="preserve">海陵区智慧电梯管理项目</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3.采购方式：公开招标</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4.预算金额：600万元</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5.最高限价：600万元</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6.采购需求</w:t>
      </w:r>
      <w:r>
        <w:rPr>
          <w:rFonts w:hint="eastAsia" w:ascii="仿宋" w:hAnsi="仿宋" w:eastAsia="仿宋" w:cs="仿宋"/>
          <w:sz w:val="24"/>
          <w:szCs w:val="28"/>
          <w:lang w:val="zh-CN"/>
        </w:rPr>
        <w:t xml:space="preserve">：</w:t>
      </w:r>
      <w:r>
        <w:rPr>
          <w:rFonts w:hint="eastAsia" w:ascii="仿宋" w:hAnsi="仿宋" w:eastAsia="仿宋" w:cs="仿宋"/>
          <w:sz w:val="24"/>
          <w:szCs w:val="28"/>
        </w:rPr>
        <w:t xml:space="preserve">海陵区智慧电梯管理项目主要围绕电梯智慧监管、电梯消防安全等目标，实施全区3446台电梯数字化改造，满足以下三方面需求：1.功能需求：实现电梯数字化改造、综合指挥中心建设、智慧电梯管理平台开发、物业电梯管理平台及APP应用软件开发四大功能。2.性能需求：平台至少支持4000台电梯设备的大数据接入性能要求，根据海陵区电梯增长趋势，后期需能满足1万台电梯的大数据接入性能要求。3.安全需求：具有安全审计、身份验证、授权访问、入侵防范、数据的备份与恢复等安全防护功能。详见招标文件。</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7.合同履行期限：约</w:t>
      </w:r>
      <w:r>
        <w:rPr>
          <w:rFonts w:hint="eastAsia" w:ascii="仿宋" w:hAnsi="仿宋" w:eastAsia="仿宋" w:cs="仿宋"/>
          <w:sz w:val="24"/>
          <w:szCs w:val="24"/>
        </w:rPr>
        <w:t xml:space="preserve">4个月</w:t>
      </w:r>
      <w:r>
        <w:rPr>
          <w:rFonts w:hint="eastAsia" w:ascii="仿宋" w:hAnsi="仿宋" w:eastAsia="仿宋" w:cs="仿宋"/>
          <w:sz w:val="24"/>
          <w:szCs w:val="28"/>
        </w:rPr>
        <w:t xml:space="preserve">（2024年8月下旬——2024年11月）</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8.本项目接受联合体投标。</w:t>
      </w:r>
      <w:r/>
    </w:p>
    <w:p>
      <w:pPr>
        <w:spacing w:line="360" w:lineRule="auto"/>
        <w:rPr>
          <w:rFonts w:hint="eastAsia" w:ascii="仿宋" w:hAnsi="仿宋" w:eastAsia="仿宋" w:cs="仿宋"/>
          <w:b/>
          <w:bCs/>
          <w:sz w:val="24"/>
          <w:szCs w:val="28"/>
        </w:rPr>
      </w:pPr>
      <w:r/>
      <w:bookmarkStart w:id="5" w:name="_Toc35393791"/>
      <w:r/>
      <w:bookmarkStart w:id="6" w:name="_Toc28359003"/>
      <w:r/>
      <w:bookmarkStart w:id="7" w:name="_Toc28359080"/>
      <w:r/>
      <w:bookmarkStart w:id="8" w:name="_Toc35393622"/>
      <w:r>
        <w:rPr>
          <w:rFonts w:hint="eastAsia" w:ascii="仿宋" w:hAnsi="仿宋" w:eastAsia="仿宋" w:cs="仿宋"/>
          <w:b/>
          <w:bCs/>
          <w:sz w:val="24"/>
          <w:szCs w:val="28"/>
        </w:rPr>
        <w:t xml:space="preserve">二、申请人的资格要求：</w:t>
      </w:r>
      <w:bookmarkEnd w:id="5"/>
      <w:r/>
      <w:bookmarkEnd w:id="6"/>
      <w:r/>
      <w:bookmarkEnd w:id="7"/>
      <w:r/>
      <w:bookmarkEnd w:id="8"/>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1.满足《中华人民共和国政府采购法》第二十二条规定：</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（1）具有独立承担民事责任的能力；</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（2）具有良好的商业信誉和健全的财务会计制度；</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（3）具有履行合同所必需的设备和专业技术能力；</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（4）有依法缴纳税收和社会保障资金的良好记录；</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（5）参加政府采购活动前三年内，在经营活动中没有重大违法记录；</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（6）法律、行政法规规定的其他条件。</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2.落实政府采购政策需满足的资格要求：本项目不专门面向中小微企业、监狱企业、残疾人福利性单位，对符合条件的小型和微型企业、残疾人福利性单位、监狱企业给予10%的扣除价格，用扣除后的价格参与评审。</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3.本项目的特定资格要求：</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（1）投标人须具备[电子与智能化工程专业承包二级]及以上资质，同时具备有效的安全生产许可证；</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（2）本次招标接受联合体投标，联合体投标的，应满足下列要求：</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①联合体数量不得超过3家；</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②联合体的资格(资质)条件必须符合要求，并附有联合体协议书；</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③授权委托人必须为联合体牵头人方面的人员，联合体牵头人负责报名、获取招标文件等事宜。</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④投标文件中所有签字盖章只需联合体牵头人签字盖章(联合体协议书除外)。</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（3）联合体各方均未被“信用中国”网站 (www.creditchina.gov.cn) 列入失信执行人、重大税收违法案件当事人名单、政府采购严重违法失信行为记录名单及其他不符合《中华人民共和国政府采购法》第二十二条规定条件的信用记录。</w:t>
      </w:r>
      <w:r/>
    </w:p>
    <w:p>
      <w:pPr>
        <w:spacing w:line="360" w:lineRule="auto"/>
        <w:rPr>
          <w:rFonts w:hint="eastAsia" w:ascii="仿宋" w:hAnsi="仿宋" w:eastAsia="仿宋" w:cs="仿宋"/>
          <w:b/>
          <w:bCs/>
          <w:sz w:val="24"/>
          <w:szCs w:val="28"/>
        </w:rPr>
      </w:pPr>
      <w:r>
        <w:rPr>
          <w:rFonts w:hint="eastAsia" w:ascii="仿宋" w:hAnsi="仿宋" w:eastAsia="仿宋" w:cs="仿宋"/>
          <w:b/>
          <w:bCs/>
          <w:sz w:val="24"/>
          <w:szCs w:val="28"/>
        </w:rPr>
        <w:t xml:space="preserve">三、获取招标文件</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1.时间：2024年8月2日至 2024 年8月9日，每天上午00：00-12：00分，下午12：00-23：59（北京时间，法定节假日除外）。</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2.地点：供应商完成注册并办理CA证书后登录“江苏政府采购‘苏采云’系统”，下载本项目采购文件。</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3.方式：登录“江苏政府采购‘苏采云’系统”</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4.售价：0元</w:t>
      </w:r>
      <w:r/>
    </w:p>
    <w:p>
      <w:pPr>
        <w:spacing w:line="360" w:lineRule="auto"/>
        <w:rPr>
          <w:rFonts w:hint="eastAsia" w:ascii="仿宋" w:hAnsi="仿宋" w:eastAsia="仿宋" w:cs="仿宋"/>
          <w:b/>
          <w:bCs/>
          <w:sz w:val="24"/>
          <w:szCs w:val="28"/>
        </w:rPr>
      </w:pPr>
      <w:r>
        <w:rPr>
          <w:rFonts w:hint="eastAsia" w:ascii="仿宋" w:hAnsi="仿宋" w:eastAsia="仿宋" w:cs="仿宋"/>
          <w:b/>
          <w:bCs/>
          <w:sz w:val="24"/>
          <w:szCs w:val="28"/>
        </w:rPr>
        <w:t xml:space="preserve">四、提交投标文件截止时间、开标时间和地点</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提交投标文件截止时间：2024年8月22日 09：00 （北京时间）</w:t>
      </w:r>
      <w:r/>
    </w:p>
    <w:p>
      <w:pPr>
        <w:spacing w:line="360" w:lineRule="auto"/>
        <w:rPr>
          <w:rFonts w:hint="eastAsia" w:ascii="仿宋" w:hAnsi="仿宋" w:eastAsia="仿宋" w:cs="仿宋"/>
          <w:sz w:val="24"/>
          <w:szCs w:val="28"/>
        </w:rPr>
      </w:pPr>
      <w:r/>
      <w:bookmarkStart w:id="9" w:name="_Hlk133571117"/>
      <w:r/>
      <w:bookmarkEnd w:id="9"/>
      <w:r>
        <w:rPr>
          <w:rFonts w:hint="eastAsia" w:ascii="仿宋" w:hAnsi="仿宋" w:eastAsia="仿宋" w:cs="仿宋"/>
          <w:sz w:val="24"/>
          <w:szCs w:val="28"/>
        </w:rPr>
        <w:t xml:space="preserve">开标时间：2024年8月22日 09：00（北京时间）</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地点：江苏政府采购“苏采云”系统不见面开标大厅。</w:t>
      </w:r>
      <w:r/>
    </w:p>
    <w:p>
      <w:pPr>
        <w:spacing w:line="360" w:lineRule="auto"/>
        <w:rPr>
          <w:rFonts w:hint="eastAsia" w:ascii="仿宋" w:hAnsi="仿宋" w:eastAsia="仿宋" w:cs="仿宋"/>
          <w:b/>
          <w:bCs/>
          <w:sz w:val="24"/>
          <w:szCs w:val="28"/>
        </w:rPr>
      </w:pPr>
      <w:r>
        <w:rPr>
          <w:rFonts w:hint="eastAsia" w:ascii="仿宋" w:hAnsi="仿宋" w:eastAsia="仿宋" w:cs="仿宋"/>
          <w:b/>
          <w:bCs/>
          <w:sz w:val="24"/>
          <w:szCs w:val="28"/>
        </w:rPr>
        <w:t xml:space="preserve">五、公告期限</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自本公告发布之日起5个工作日。</w:t>
      </w:r>
      <w:r/>
    </w:p>
    <w:p>
      <w:pPr>
        <w:spacing w:line="360" w:lineRule="auto"/>
        <w:rPr>
          <w:rFonts w:hint="eastAsia" w:ascii="仿宋" w:hAnsi="仿宋" w:eastAsia="仿宋" w:cs="仿宋"/>
          <w:b/>
          <w:bCs/>
          <w:sz w:val="24"/>
          <w:szCs w:val="28"/>
        </w:rPr>
      </w:pPr>
      <w:r>
        <w:rPr>
          <w:rFonts w:hint="eastAsia" w:ascii="仿宋" w:hAnsi="仿宋" w:eastAsia="仿宋" w:cs="仿宋"/>
          <w:b/>
          <w:bCs/>
          <w:sz w:val="24"/>
          <w:szCs w:val="28"/>
        </w:rPr>
        <w:t xml:space="preserve">六、其他补充事宜</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如在制作电子投标文件中有任何疑问，请拨打电子化政府采购技术支持电话：0523-86897512。</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注意事项：本项目采用网上注册登记方式。</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（2）潜在投标人访问“苏采云”系统的网络地址和方法：“苏采云”系统的网址：http://jszfcg.jsczt.cn/，点击“苏采云”进入系统。</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3）“CA数字证书”的获取：供应商需办理CA锁，“苏采云”系统目前仅支持“苏采云”系统下的政务CA，省内各地区办理的“苏采云”系统下的政务CA全省通用。“CA数字证书”的办理材料详见江苏政府采购网苏采云系统登录页面“新CA办理指南”，网址：http://jsxcmm.com/help/help.html。</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spacing w:line="360" w:lineRule="auto"/>
        <w:rPr>
          <w:rFonts w:hint="eastAsia" w:ascii="仿宋" w:hAnsi="仿宋" w:eastAsia="仿宋" w:cs="仿宋"/>
          <w:b/>
          <w:bCs/>
          <w:sz w:val="24"/>
          <w:szCs w:val="28"/>
        </w:rPr>
      </w:pPr>
      <w:r>
        <w:rPr>
          <w:rFonts w:hint="eastAsia" w:ascii="仿宋" w:hAnsi="仿宋" w:eastAsia="仿宋" w:cs="仿宋"/>
          <w:b/>
          <w:bCs/>
          <w:sz w:val="24"/>
          <w:szCs w:val="28"/>
        </w:rPr>
        <w:t xml:space="preserve">七、对本次招标提出询问，请按以下方式联系</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1.采购人信息</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名 称：泰州市海陵区市场监督管理局</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地址：泰州市海陵区南通路230号</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联系人：李先生</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联系方式：0523-86998995</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2.代理机构信息</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名 称：扬州诺浩工程咨询有限公司</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地址：泰州市凤凰西路创美科技产业园18栋1601</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联系人：姜女士</w:t>
      </w:r>
      <w:r/>
    </w:p>
    <w:p>
      <w:pPr>
        <w:spacing w:line="360" w:lineRule="auto"/>
        <w:rPr>
          <w:rFonts w:hint="eastAsia" w:ascii="仿宋" w:hAnsi="仿宋" w:eastAsia="仿宋" w:cs="仿宋"/>
          <w:sz w:val="24"/>
          <w:szCs w:val="28"/>
        </w:rPr>
      </w:pPr>
      <w:r>
        <w:rPr>
          <w:rFonts w:hint="eastAsia" w:ascii="仿宋" w:hAnsi="仿宋" w:eastAsia="仿宋" w:cs="仿宋"/>
          <w:sz w:val="24"/>
          <w:szCs w:val="28"/>
        </w:rPr>
        <w:t xml:space="preserve">联系方式：</w:t>
      </w:r>
      <w:r>
        <w:rPr>
          <w:rFonts w:hint="eastAsia" w:ascii="仿宋" w:hAnsi="仿宋" w:eastAsia="仿宋" w:cs="仿宋"/>
          <w:sz w:val="24"/>
          <w:szCs w:val="24"/>
        </w:rPr>
        <w:t xml:space="preserve">0523-86211688</w:t>
      </w:r>
      <w:r/>
    </w:p>
    <w:p>
      <w:pPr>
        <w:rPr>
          <w:rFonts w:hint="eastAsia" w:ascii="仿宋" w:hAnsi="仿宋" w:eastAsia="仿宋" w:cs="仿宋"/>
          <w:b/>
          <w:bCs/>
          <w:sz w:val="32"/>
          <w:szCs w:val="36"/>
        </w:rPr>
      </w:pPr>
      <w:r/>
      <w:bookmarkStart w:id="10" w:name="_Toc30574"/>
      <w:r>
        <w:rPr>
          <w:rFonts w:hint="eastAsia" w:ascii="仿宋" w:hAnsi="仿宋" w:eastAsia="仿宋" w:cs="仿宋"/>
          <w:b/>
          <w:bCs/>
          <w:sz w:val="32"/>
          <w:szCs w:val="36"/>
        </w:rPr>
        <w:br w:type="page" w:clear="all"/>
      </w:r>
      <w:r/>
    </w:p>
    <w:p>
      <w:pPr>
        <w:jc w:val="center"/>
        <w:rPr>
          <w:b/>
          <w:bCs/>
          <w:sz w:val="32"/>
          <w:szCs w:val="36"/>
          <w:lang w:val="zh-CN"/>
        </w:rPr>
      </w:pPr>
      <w:r>
        <w:rPr>
          <w:rFonts w:hint="eastAsia" w:ascii="黑体" w:hAnsi="华文中宋" w:eastAsia="黑体"/>
          <w:bCs/>
          <w:sz w:val="32"/>
          <w:szCs w:val="30"/>
        </w:rPr>
        <w:t xml:space="preserve">第二章 </w:t>
      </w:r>
      <w:r>
        <w:rPr>
          <w:rFonts w:hint="eastAsia"/>
          <w:b/>
          <w:bCs/>
          <w:sz w:val="32"/>
          <w:szCs w:val="36"/>
        </w:rPr>
        <w:t xml:space="preserve">投标人须知</w:t>
      </w:r>
      <w:bookmarkEnd w:id="10"/>
      <w:r/>
      <w:r/>
    </w:p>
    <w:p>
      <w:pPr>
        <w:ind w:firstLine="480"/>
        <w:jc w:val="left"/>
        <w:spacing w:line="360" w:lineRule="auto"/>
        <w:rPr>
          <w:rFonts w:hint="eastAsia" w:ascii="仿宋" w:hAnsi="仿宋" w:eastAsia="仿宋" w:cs="仿宋"/>
          <w:bCs/>
          <w:sz w:val="24"/>
          <w:szCs w:val="24"/>
        </w:rPr>
      </w:pPr>
      <w:r/>
      <w:bookmarkStart w:id="11" w:name="_Toc360695595"/>
      <w:r/>
      <w:bookmarkStart w:id="12" w:name="_Toc3420"/>
      <w:r>
        <w:rPr>
          <w:rFonts w:hint="eastAsia" w:ascii="仿宋" w:hAnsi="仿宋" w:eastAsia="仿宋" w:cs="仿宋"/>
          <w:bCs/>
          <w:sz w:val="24"/>
          <w:szCs w:val="24"/>
        </w:rPr>
        <w:t xml:space="preserve">一、遵循原则</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公开透明原则、公平竞争原则、公正原则和诚实信用原则。</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二、采购文件</w:t>
      </w:r>
      <w:r/>
    </w:p>
    <w:p>
      <w:pPr>
        <w:ind w:firstLine="480"/>
        <w:jc w:val="left"/>
        <w:spacing w:line="360" w:lineRule="auto"/>
        <w:tabs>
          <w:tab w:val="left" w:pos="-1260" w:leader="none"/>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1．采购文件包括本文件目录所列全部内容，投标人应仔细阅读，并在投标文件中充分响应采购文件的所有要求。</w:t>
      </w:r>
      <w:r/>
    </w:p>
    <w:p>
      <w:pPr>
        <w:ind w:firstLine="480"/>
        <w:jc w:val="left"/>
        <w:spacing w:line="360" w:lineRule="auto"/>
        <w:tabs>
          <w:tab w:val="left" w:pos="0" w:leader="none"/>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2．采购文件中的“法定代表人”是指投标人的营业执照或相关部门的登记证明文件中的“法定代表人”或“负责人”。</w:t>
      </w:r>
      <w:r>
        <w:rPr>
          <w:rFonts w:hint="eastAsia" w:ascii="仿宋" w:hAnsi="仿宋" w:eastAsia="仿宋" w:cs="仿宋"/>
          <w:bCs/>
          <w:sz w:val="24"/>
        </w:rPr>
        <w:t xml:space="preserve">采购文件中的“采购人”是指</w:t>
      </w:r>
      <w:r>
        <w:rPr>
          <w:rFonts w:hint="eastAsia" w:ascii="仿宋" w:hAnsi="仿宋" w:eastAsia="仿宋" w:cs="仿宋"/>
          <w:sz w:val="24"/>
          <w:szCs w:val="28"/>
        </w:rPr>
        <w:t xml:space="preserve">泰州市海陵区市场监督管理局</w:t>
      </w:r>
      <w:r>
        <w:rPr>
          <w:rFonts w:hint="eastAsia" w:ascii="仿宋" w:hAnsi="仿宋" w:eastAsia="仿宋" w:cs="仿宋"/>
          <w:bCs/>
          <w:sz w:val="24"/>
        </w:rPr>
        <w:t xml:space="preserve">，“代理公司”是指扬州诺浩工程咨询有限公司，“投标人”是指参加本项目的投标单位。</w:t>
      </w:r>
      <w:r/>
    </w:p>
    <w:p>
      <w:pPr>
        <w:ind w:firstLine="480"/>
        <w:jc w:val="left"/>
        <w:spacing w:line="360" w:lineRule="auto"/>
        <w:tabs>
          <w:tab w:val="left" w:pos="0" w:leader="none"/>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3．投标人应在江苏省政府采购管理交易系统（苏采云）获取采购文件（http://jszfcg.jsczt.cn/），按采购文件要求提交全部资料并对采购文件各项内容作出实质性响应，否则投标无效。</w:t>
      </w:r>
      <w:r/>
    </w:p>
    <w:p>
      <w:pPr>
        <w:ind w:firstLine="480"/>
        <w:jc w:val="left"/>
        <w:spacing w:line="360" w:lineRule="auto"/>
        <w:tabs>
          <w:tab w:val="left" w:pos="0" w:leader="none"/>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4．采购文件仅作为本次招投标使用。</w:t>
      </w:r>
      <w:r/>
    </w:p>
    <w:p>
      <w:pPr>
        <w:ind w:firstLine="480"/>
        <w:jc w:val="left"/>
        <w:spacing w:line="360" w:lineRule="auto"/>
        <w:tabs>
          <w:tab w:val="left" w:pos="630" w:leader="none"/>
        </w:tabs>
        <w:rPr>
          <w:rFonts w:hint="eastAsia" w:ascii="仿宋" w:hAnsi="仿宋" w:eastAsia="仿宋" w:cs="仿宋"/>
          <w:bCs/>
          <w:sz w:val="24"/>
          <w:szCs w:val="24"/>
        </w:rPr>
      </w:pPr>
      <w:r>
        <w:rPr>
          <w:rFonts w:hint="eastAsia" w:ascii="仿宋" w:hAnsi="仿宋" w:eastAsia="仿宋" w:cs="仿宋"/>
          <w:bCs/>
          <w:sz w:val="24"/>
          <w:szCs w:val="24"/>
        </w:rPr>
        <w:t xml:space="preserve">三、 采购文件的解释</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本文件的最终解释权归采购人。</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四、采购文件的补充或修正</w:t>
      </w:r>
      <w:r/>
    </w:p>
    <w:p>
      <w:pPr>
        <w:ind w:left="1" w:firstLine="480"/>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color w:val="000000"/>
          <w:sz w:val="24"/>
          <w:szCs w:val="24"/>
        </w:rPr>
        <w:t xml:space="preserve">1．</w:t>
      </w:r>
      <w:r>
        <w:rPr>
          <w:rFonts w:hint="eastAsia" w:ascii="仿宋" w:hAnsi="仿宋" w:eastAsia="仿宋" w:cs="仿宋"/>
          <w:bCs/>
          <w:sz w:val="24"/>
          <w:szCs w:val="24"/>
        </w:rPr>
        <w:t xml:space="preserve">代理公司可在投标截止时间十五日前对采购文件进行必要的澄清或者修改，不足15日的，将顺延提交投标文件的截止时间。</w:t>
      </w:r>
      <w:r/>
    </w:p>
    <w:p>
      <w:pPr>
        <w:ind w:left="1" w:firstLine="480"/>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color w:val="000000"/>
          <w:sz w:val="24"/>
          <w:szCs w:val="24"/>
        </w:rPr>
        <w:t xml:space="preserve">2．</w:t>
      </w:r>
      <w:r>
        <w:rPr>
          <w:rFonts w:hint="eastAsia" w:ascii="仿宋" w:hAnsi="仿宋" w:eastAsia="仿宋" w:cs="仿宋"/>
          <w:bCs/>
          <w:sz w:val="24"/>
          <w:szCs w:val="24"/>
        </w:rPr>
        <w:t xml:space="preserve">潜在投标人对采购文件项目需求部分的询问、质疑请向采购人提出，由采购人负责答复。</w:t>
      </w:r>
      <w:r/>
    </w:p>
    <w:p>
      <w:pPr>
        <w:ind w:left="1" w:firstLine="480"/>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color w:val="000000"/>
          <w:sz w:val="24"/>
          <w:szCs w:val="24"/>
        </w:rPr>
        <w:t xml:space="preserve">3．</w:t>
      </w:r>
      <w:r>
        <w:rPr>
          <w:rFonts w:hint="eastAsia" w:ascii="仿宋" w:hAnsi="仿宋" w:eastAsia="仿宋" w:cs="仿宋"/>
          <w:bCs/>
          <w:sz w:val="24"/>
          <w:szCs w:val="24"/>
        </w:rPr>
        <w:t xml:space="preserve">如需对采购文件进行澄清或修正，代理公司将在泰州市政府采购网和江苏省政府采购网发布更正公告，该澄清或修正的内容为采购文件的组成部分。投标人应在投标截止时间前关注原招标公告媒体上发布的相关更正公告。因投标人未尽注意义务，未及时全面地关注更正公告导致其提交的投标材料不符合要求，而造成的损失及风险（包括但不限于未中标）由投标人自行承担。</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五、 投标文件的组成</w:t>
      </w:r>
      <w:r/>
    </w:p>
    <w:p>
      <w:pPr>
        <w:ind w:left="1" w:firstLine="480"/>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1.投标函（</w:t>
      </w:r>
      <w:r>
        <w:rPr>
          <w:rFonts w:hint="eastAsia" w:ascii="仿宋" w:hAnsi="仿宋" w:eastAsia="仿宋" w:cs="仿宋"/>
          <w:b/>
          <w:bCs/>
          <w:sz w:val="24"/>
          <w:szCs w:val="24"/>
        </w:rPr>
        <w:t xml:space="preserve">格式见附件）</w:t>
      </w:r>
      <w:r/>
    </w:p>
    <w:p>
      <w:pPr>
        <w:ind w:left="1" w:firstLine="480"/>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2.资格、资信证明文件：</w:t>
      </w:r>
      <w:r/>
    </w:p>
    <w:p>
      <w:pPr>
        <w:pStyle w:val="735"/>
        <w:numPr>
          <w:ilvl w:val="1"/>
          <w:numId w:val="0"/>
        </w:numPr>
        <w:ind w:firstLine="480"/>
        <w:jc w:val="left"/>
        <w:spacing w:line="360" w:lineRule="auto"/>
        <w:tabs>
          <w:tab w:val="left" w:pos="1276" w:leader="none"/>
        </w:tabs>
        <w:rPr>
          <w:rFonts w:hint="eastAsia" w:ascii="仿宋" w:hAnsi="仿宋" w:eastAsia="仿宋" w:cs="仿宋"/>
          <w:bCs/>
          <w:sz w:val="24"/>
        </w:rPr>
      </w:pPr>
      <w:r>
        <w:rPr>
          <w:rFonts w:hint="eastAsia" w:ascii="仿宋" w:hAnsi="仿宋" w:eastAsia="仿宋" w:cs="仿宋"/>
          <w:bCs/>
          <w:sz w:val="24"/>
        </w:rPr>
        <w:t xml:space="preserve">（1）关于资格的声明函（</w:t>
      </w:r>
      <w:r>
        <w:rPr>
          <w:rFonts w:hint="eastAsia" w:ascii="仿宋" w:hAnsi="仿宋" w:eastAsia="仿宋" w:cs="仿宋"/>
          <w:b/>
          <w:bCs/>
          <w:sz w:val="24"/>
        </w:rPr>
        <w:t xml:space="preserve">格式见附件</w:t>
      </w:r>
      <w:r>
        <w:rPr>
          <w:rFonts w:hint="eastAsia" w:ascii="仿宋" w:hAnsi="仿宋" w:eastAsia="仿宋" w:cs="仿宋"/>
          <w:bCs/>
          <w:sz w:val="24"/>
        </w:rPr>
        <w:t xml:space="preserve">）</w:t>
      </w:r>
      <w:r/>
    </w:p>
    <w:p>
      <w:pPr>
        <w:pStyle w:val="735"/>
        <w:numPr>
          <w:ilvl w:val="1"/>
          <w:numId w:val="0"/>
        </w:numPr>
        <w:ind w:firstLine="567"/>
        <w:jc w:val="left"/>
        <w:spacing w:line="360" w:lineRule="auto"/>
        <w:tabs>
          <w:tab w:val="left" w:pos="1276" w:leader="none"/>
        </w:tabs>
        <w:rPr>
          <w:rFonts w:hint="eastAsia" w:ascii="仿宋" w:hAnsi="仿宋" w:eastAsia="仿宋" w:cs="仿宋"/>
          <w:bCs/>
          <w:sz w:val="24"/>
        </w:rPr>
      </w:pPr>
      <w:r>
        <w:rPr>
          <w:rFonts w:hint="eastAsia" w:ascii="仿宋" w:hAnsi="仿宋" w:eastAsia="仿宋" w:cs="仿宋"/>
          <w:bCs/>
          <w:sz w:val="24"/>
        </w:rPr>
        <w:t xml:space="preserve">（2）具有营业执照或相关部门的登记证明原件扫描件；</w:t>
      </w:r>
      <w:r/>
    </w:p>
    <w:p>
      <w:pPr>
        <w:numPr>
          <w:ilvl w:val="1"/>
          <w:numId w:val="0"/>
        </w:numPr>
        <w:ind w:firstLine="523"/>
        <w:jc w:val="left"/>
        <w:spacing w:line="360" w:lineRule="auto"/>
        <w:tabs>
          <w:tab w:val="left" w:pos="945" w:leader="none"/>
          <w:tab w:val="left" w:pos="1276" w:leader="none"/>
        </w:tabs>
        <w:rPr>
          <w:rFonts w:hint="eastAsia" w:ascii="仿宋" w:hAnsi="仿宋" w:eastAsia="仿宋" w:cs="仿宋"/>
          <w:bCs/>
          <w:sz w:val="24"/>
          <w:szCs w:val="24"/>
        </w:rPr>
      </w:pPr>
      <w:r>
        <w:rPr>
          <w:rFonts w:hint="eastAsia" w:ascii="仿宋" w:hAnsi="仿宋" w:eastAsia="仿宋" w:cs="仿宋"/>
          <w:bCs/>
          <w:sz w:val="24"/>
          <w:szCs w:val="24"/>
        </w:rPr>
        <w:t xml:space="preserve">（3）投标人法定代表人授权委托书</w:t>
      </w:r>
      <w:r>
        <w:rPr>
          <w:rFonts w:hint="eastAsia" w:ascii="仿宋" w:hAnsi="仿宋" w:eastAsia="仿宋" w:cs="仿宋"/>
          <w:sz w:val="24"/>
          <w:szCs w:val="24"/>
        </w:rPr>
        <w:t xml:space="preserve">（</w:t>
      </w:r>
      <w:r>
        <w:rPr>
          <w:rFonts w:hint="eastAsia" w:ascii="仿宋" w:hAnsi="仿宋" w:eastAsia="仿宋" w:cs="仿宋"/>
          <w:b/>
          <w:bCs/>
          <w:sz w:val="24"/>
          <w:szCs w:val="24"/>
        </w:rPr>
        <w:t xml:space="preserve">格式见附件，法定代表人亲自参加投标的除外</w:t>
      </w:r>
      <w:r>
        <w:rPr>
          <w:rFonts w:hint="eastAsia" w:ascii="仿宋" w:hAnsi="仿宋" w:eastAsia="仿宋" w:cs="仿宋"/>
          <w:sz w:val="24"/>
          <w:szCs w:val="24"/>
        </w:rPr>
        <w:t xml:space="preserve">）；</w:t>
      </w:r>
      <w:r/>
    </w:p>
    <w:p>
      <w:pPr>
        <w:numPr>
          <w:ilvl w:val="1"/>
          <w:numId w:val="0"/>
        </w:numPr>
        <w:ind w:firstLine="523"/>
        <w:jc w:val="left"/>
        <w:spacing w:line="360" w:lineRule="auto"/>
        <w:tabs>
          <w:tab w:val="left" w:pos="945" w:leader="none"/>
          <w:tab w:val="left" w:pos="1276" w:leader="none"/>
        </w:tabs>
        <w:rPr>
          <w:rFonts w:hint="eastAsia" w:ascii="仿宋" w:hAnsi="仿宋" w:eastAsia="仿宋" w:cs="仿宋"/>
          <w:bCs/>
          <w:sz w:val="24"/>
          <w:szCs w:val="24"/>
        </w:rPr>
      </w:pPr>
      <w:r>
        <w:rPr>
          <w:rFonts w:hint="eastAsia" w:ascii="仿宋" w:hAnsi="仿宋" w:eastAsia="仿宋" w:cs="仿宋"/>
          <w:bCs/>
          <w:sz w:val="24"/>
          <w:szCs w:val="24"/>
        </w:rPr>
        <w:t xml:space="preserve">（4）投标人法定代表人身份证原件扫描件；</w:t>
      </w:r>
      <w:r/>
    </w:p>
    <w:p>
      <w:pPr>
        <w:numPr>
          <w:ilvl w:val="1"/>
          <w:numId w:val="0"/>
        </w:numPr>
        <w:ind w:firstLine="523"/>
        <w:jc w:val="left"/>
        <w:spacing w:line="360" w:lineRule="auto"/>
        <w:tabs>
          <w:tab w:val="left" w:pos="945" w:leader="none"/>
          <w:tab w:val="left" w:pos="1276" w:leader="none"/>
        </w:tabs>
        <w:rPr>
          <w:rFonts w:hint="eastAsia" w:ascii="仿宋" w:hAnsi="仿宋" w:eastAsia="仿宋" w:cs="仿宋"/>
          <w:bCs/>
          <w:sz w:val="24"/>
          <w:szCs w:val="24"/>
        </w:rPr>
      </w:pPr>
      <w:r>
        <w:rPr>
          <w:rFonts w:hint="eastAsia" w:ascii="仿宋" w:hAnsi="仿宋" w:eastAsia="仿宋" w:cs="仿宋"/>
          <w:bCs/>
          <w:sz w:val="24"/>
          <w:szCs w:val="24"/>
        </w:rPr>
        <w:t xml:space="preserve">（5）投标人法定代表人授权代表身份证原件扫描件（</w:t>
      </w:r>
      <w:r>
        <w:rPr>
          <w:rFonts w:hint="eastAsia" w:ascii="仿宋" w:hAnsi="仿宋" w:eastAsia="仿宋" w:cs="仿宋"/>
          <w:b/>
          <w:bCs/>
          <w:sz w:val="24"/>
          <w:szCs w:val="24"/>
        </w:rPr>
        <w:t xml:space="preserve">法定代表人亲自参加投标的除外</w:t>
      </w:r>
      <w:r>
        <w:rPr>
          <w:rFonts w:hint="eastAsia" w:ascii="仿宋" w:hAnsi="仿宋" w:eastAsia="仿宋" w:cs="仿宋"/>
          <w:bCs/>
          <w:sz w:val="24"/>
          <w:szCs w:val="24"/>
        </w:rPr>
        <w:t xml:space="preserve">）</w:t>
      </w:r>
      <w:r>
        <w:rPr>
          <w:rFonts w:hint="eastAsia" w:ascii="仿宋" w:hAnsi="仿宋" w:eastAsia="仿宋" w:cs="仿宋"/>
          <w:sz w:val="24"/>
          <w:szCs w:val="24"/>
        </w:rPr>
        <w:t xml:space="preserve">；</w:t>
      </w:r>
      <w:r/>
    </w:p>
    <w:p>
      <w:pPr>
        <w:numPr>
          <w:ilvl w:val="1"/>
          <w:numId w:val="0"/>
        </w:numPr>
        <w:ind w:firstLine="523"/>
        <w:jc w:val="left"/>
        <w:spacing w:line="360" w:lineRule="auto"/>
        <w:tabs>
          <w:tab w:val="left" w:pos="945" w:leader="none"/>
          <w:tab w:val="left" w:pos="1276" w:leader="none"/>
        </w:tabs>
        <w:rPr>
          <w:rFonts w:hint="eastAsia" w:ascii="仿宋" w:hAnsi="仿宋" w:eastAsia="仿宋" w:cs="仿宋"/>
          <w:bCs/>
          <w:sz w:val="24"/>
          <w:szCs w:val="24"/>
        </w:rPr>
      </w:pPr>
      <w:r>
        <w:rPr>
          <w:rFonts w:hint="eastAsia" w:ascii="仿宋" w:hAnsi="仿宋" w:eastAsia="仿宋" w:cs="仿宋"/>
          <w:bCs/>
          <w:sz w:val="24"/>
          <w:szCs w:val="24"/>
        </w:rPr>
        <w:t xml:space="preserve">（6）投标人近一年中任意一个月份（不含投标当月）的财务状况报告（资产负债表和利润表）或由会计师事务所出具的近两年中任意一个年度的审计报告和所附已审财务报告原件扫描件；</w:t>
      </w:r>
      <w:r/>
    </w:p>
    <w:p>
      <w:pPr>
        <w:numPr>
          <w:ilvl w:val="1"/>
          <w:numId w:val="0"/>
        </w:numPr>
        <w:ind w:firstLine="523"/>
        <w:jc w:val="left"/>
        <w:spacing w:line="360" w:lineRule="auto"/>
        <w:tabs>
          <w:tab w:val="left" w:pos="945" w:leader="none"/>
          <w:tab w:val="left" w:pos="1276" w:leader="none"/>
        </w:tabs>
        <w:rPr>
          <w:rFonts w:hint="eastAsia" w:ascii="仿宋" w:hAnsi="仿宋" w:eastAsia="仿宋" w:cs="仿宋"/>
          <w:bCs/>
          <w:sz w:val="24"/>
          <w:szCs w:val="24"/>
        </w:rPr>
      </w:pPr>
      <w:r>
        <w:rPr>
          <w:rFonts w:hint="eastAsia" w:ascii="仿宋" w:hAnsi="仿宋" w:eastAsia="仿宋" w:cs="仿宋"/>
          <w:bCs/>
          <w:sz w:val="24"/>
          <w:szCs w:val="24"/>
        </w:rPr>
        <w:t xml:space="preserve">（7）投标人近一年中任意一个月份（不含投标当月）的依法缴纳税收的相关材料（提供相关主管部门证明或银行代扣证明）原件扫描件；</w:t>
      </w:r>
      <w:r/>
    </w:p>
    <w:p>
      <w:pPr>
        <w:numPr>
          <w:ilvl w:val="1"/>
          <w:numId w:val="0"/>
        </w:numPr>
        <w:ind w:firstLine="523"/>
        <w:jc w:val="left"/>
        <w:spacing w:line="360" w:lineRule="auto"/>
        <w:tabs>
          <w:tab w:val="left" w:pos="945" w:leader="none"/>
          <w:tab w:val="left" w:pos="1276" w:leader="none"/>
        </w:tabs>
        <w:rPr>
          <w:rFonts w:hint="eastAsia" w:ascii="仿宋" w:hAnsi="仿宋" w:eastAsia="仿宋" w:cs="仿宋"/>
          <w:bCs/>
          <w:sz w:val="24"/>
          <w:szCs w:val="24"/>
        </w:rPr>
      </w:pPr>
      <w:r>
        <w:rPr>
          <w:rFonts w:hint="eastAsia" w:ascii="仿宋" w:hAnsi="仿宋" w:eastAsia="仿宋" w:cs="仿宋"/>
          <w:bCs/>
          <w:sz w:val="24"/>
          <w:szCs w:val="24"/>
        </w:rPr>
        <w:t xml:space="preserve">（8）投标人近一年中任意一个月份（不含投标当月）的依法缴纳社会保障资金的相关材料（提供相关主管部门证明或银行代扣证明）原件扫描件；</w:t>
      </w:r>
      <w:r/>
    </w:p>
    <w:p>
      <w:pPr>
        <w:numPr>
          <w:ilvl w:val="1"/>
          <w:numId w:val="0"/>
        </w:numPr>
        <w:ind w:firstLine="523"/>
        <w:jc w:val="left"/>
        <w:spacing w:line="360" w:lineRule="auto"/>
        <w:tabs>
          <w:tab w:val="left" w:pos="945" w:leader="none"/>
          <w:tab w:val="left" w:pos="1276" w:leader="none"/>
        </w:tabs>
        <w:rPr>
          <w:rFonts w:hint="eastAsia" w:ascii="仿宋" w:hAnsi="仿宋" w:eastAsia="仿宋" w:cs="仿宋"/>
          <w:bCs/>
          <w:sz w:val="24"/>
          <w:szCs w:val="24"/>
        </w:rPr>
      </w:pPr>
      <w:r>
        <w:rPr>
          <w:rFonts w:hint="eastAsia" w:ascii="仿宋" w:hAnsi="仿宋" w:eastAsia="仿宋" w:cs="仿宋"/>
          <w:bCs/>
          <w:sz w:val="24"/>
          <w:szCs w:val="24"/>
        </w:rPr>
        <w:t xml:space="preserve">（9）承诺书（</w:t>
      </w:r>
      <w:r>
        <w:rPr>
          <w:rFonts w:hint="eastAsia" w:ascii="仿宋" w:hAnsi="仿宋" w:eastAsia="仿宋" w:cs="仿宋"/>
          <w:b/>
          <w:bCs/>
          <w:sz w:val="24"/>
          <w:szCs w:val="24"/>
        </w:rPr>
        <w:t xml:space="preserve">格式见附件</w:t>
      </w:r>
      <w:r>
        <w:rPr>
          <w:rFonts w:hint="eastAsia" w:ascii="仿宋" w:hAnsi="仿宋" w:eastAsia="仿宋" w:cs="仿宋"/>
          <w:bCs/>
          <w:sz w:val="24"/>
          <w:szCs w:val="24"/>
        </w:rPr>
        <w:t xml:space="preserve">）；</w:t>
      </w:r>
      <w:r/>
    </w:p>
    <w:p>
      <w:pPr>
        <w:numPr>
          <w:ilvl w:val="1"/>
          <w:numId w:val="0"/>
        </w:numPr>
        <w:ind w:firstLine="523"/>
        <w:jc w:val="left"/>
        <w:spacing w:line="360" w:lineRule="auto"/>
        <w:tabs>
          <w:tab w:val="left" w:pos="945" w:leader="none"/>
          <w:tab w:val="left" w:pos="1276" w:leader="none"/>
        </w:tabs>
        <w:rPr>
          <w:rFonts w:hint="eastAsia" w:ascii="仿宋" w:hAnsi="仿宋" w:eastAsia="仿宋" w:cs="仿宋"/>
          <w:bCs/>
          <w:sz w:val="24"/>
          <w:szCs w:val="24"/>
        </w:rPr>
      </w:pPr>
      <w:r>
        <w:rPr>
          <w:rFonts w:hint="eastAsia" w:ascii="仿宋" w:hAnsi="仿宋" w:eastAsia="仿宋" w:cs="仿宋"/>
          <w:bCs/>
          <w:sz w:val="24"/>
          <w:szCs w:val="24"/>
        </w:rPr>
        <w:t xml:space="preserve">（10）采购人要求的特定资质证明原件扫描件（</w:t>
      </w:r>
      <w:r>
        <w:rPr>
          <w:rFonts w:hint="eastAsia" w:ascii="仿宋" w:hAnsi="仿宋" w:eastAsia="仿宋" w:cs="仿宋"/>
          <w:b/>
          <w:bCs/>
          <w:sz w:val="24"/>
          <w:szCs w:val="24"/>
        </w:rPr>
        <w:t xml:space="preserve">详见“招标公告”－“投标人资格要求”）</w:t>
      </w:r>
      <w:r>
        <w:rPr>
          <w:rFonts w:hint="eastAsia" w:ascii="仿宋" w:hAnsi="仿宋" w:eastAsia="仿宋" w:cs="仿宋"/>
          <w:bCs/>
          <w:sz w:val="24"/>
          <w:szCs w:val="24"/>
        </w:rPr>
        <w:t xml:space="preserve">；</w:t>
      </w:r>
      <w:r/>
    </w:p>
    <w:p>
      <w:pPr>
        <w:numPr>
          <w:ilvl w:val="1"/>
          <w:numId w:val="0"/>
        </w:numPr>
        <w:ind w:firstLine="523"/>
        <w:jc w:val="left"/>
        <w:spacing w:line="360" w:lineRule="auto"/>
        <w:tabs>
          <w:tab w:val="left" w:pos="945" w:leader="none"/>
          <w:tab w:val="left" w:pos="1276" w:leader="none"/>
        </w:tabs>
        <w:rPr>
          <w:rFonts w:hint="eastAsia" w:ascii="仿宋" w:hAnsi="仿宋" w:eastAsia="仿宋" w:cs="仿宋"/>
          <w:bCs/>
          <w:sz w:val="24"/>
          <w:szCs w:val="24"/>
        </w:rPr>
      </w:pPr>
      <w:r>
        <w:rPr>
          <w:rFonts w:hint="eastAsia" w:ascii="仿宋" w:hAnsi="仿宋" w:eastAsia="仿宋" w:cs="仿宋"/>
          <w:bCs/>
          <w:sz w:val="24"/>
          <w:szCs w:val="24"/>
        </w:rPr>
        <w:t xml:space="preserve">（11）落实政府采购政策需满足的资格要求证明材料，其中如为中小微企业提供符合要求的中小企业声明函原件；如为监狱企业提供由省级以上监狱管理局、戒毒管理局(含新疆生产建设兵团)出具的属于监狱企业的证明文件；如为残疾人福利单位提供符合要求的残疾人福利性单位声明函原件（格式见附件）。</w:t>
      </w:r>
      <w:r/>
    </w:p>
    <w:p>
      <w:pPr>
        <w:ind w:left="1" w:firstLine="523"/>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3.开标一览表（</w:t>
      </w:r>
      <w:r>
        <w:rPr>
          <w:rFonts w:hint="eastAsia" w:ascii="仿宋" w:hAnsi="仿宋" w:eastAsia="仿宋" w:cs="仿宋"/>
          <w:b/>
          <w:bCs/>
          <w:sz w:val="24"/>
          <w:szCs w:val="24"/>
        </w:rPr>
        <w:t xml:space="preserve">格式见附件</w:t>
      </w:r>
      <w:r>
        <w:rPr>
          <w:rFonts w:hint="eastAsia" w:ascii="仿宋" w:hAnsi="仿宋" w:eastAsia="仿宋" w:cs="仿宋"/>
          <w:bCs/>
          <w:sz w:val="24"/>
          <w:szCs w:val="24"/>
        </w:rPr>
        <w:t xml:space="preserve">）</w:t>
      </w:r>
      <w:r/>
    </w:p>
    <w:p>
      <w:pPr>
        <w:pStyle w:val="742"/>
        <w:ind w:firstLine="480"/>
        <w:rPr>
          <w:rFonts w:hint="eastAsia" w:ascii="仿宋" w:hAnsi="仿宋" w:eastAsia="仿宋" w:cs="仿宋"/>
        </w:rPr>
      </w:pPr>
      <w:r>
        <w:rPr>
          <w:rFonts w:hint="eastAsia" w:ascii="仿宋" w:hAnsi="仿宋" w:eastAsia="仿宋" w:cs="仿宋"/>
          <w:bCs/>
        </w:rPr>
        <w:t xml:space="preserve">4.投标分项报价表（</w:t>
      </w:r>
      <w:r>
        <w:rPr>
          <w:rFonts w:hint="eastAsia" w:ascii="仿宋" w:hAnsi="仿宋" w:eastAsia="仿宋" w:cs="仿宋"/>
          <w:b/>
          <w:bCs/>
        </w:rPr>
        <w:t xml:space="preserve">格式见附件</w:t>
      </w:r>
      <w:r>
        <w:rPr>
          <w:rFonts w:hint="eastAsia" w:ascii="仿宋" w:hAnsi="仿宋" w:eastAsia="仿宋" w:cs="仿宋"/>
          <w:bCs/>
        </w:rPr>
        <w:t xml:space="preserve">）</w:t>
      </w:r>
      <w:r/>
    </w:p>
    <w:p>
      <w:pPr>
        <w:ind w:left="1" w:firstLine="523"/>
        <w:jc w:val="left"/>
        <w:spacing w:line="360" w:lineRule="auto"/>
        <w:tabs>
          <w:tab w:val="left" w:pos="525" w:leader="none"/>
          <w:tab w:val="left" w:pos="945" w:leader="none"/>
        </w:tabs>
        <w:rPr>
          <w:rFonts w:hint="eastAsia" w:ascii="仿宋" w:hAnsi="仿宋" w:eastAsia="仿宋" w:cs="仿宋"/>
        </w:rPr>
      </w:pPr>
      <w:r>
        <w:rPr>
          <w:rFonts w:hint="eastAsia" w:ascii="仿宋" w:hAnsi="仿宋" w:eastAsia="仿宋" w:cs="仿宋"/>
          <w:bCs/>
          <w:sz w:val="24"/>
          <w:szCs w:val="24"/>
        </w:rPr>
        <w:t xml:space="preserve">5.联合体协议书（如有）（</w:t>
      </w:r>
      <w:r>
        <w:rPr>
          <w:rFonts w:hint="eastAsia" w:ascii="仿宋" w:hAnsi="仿宋" w:eastAsia="仿宋" w:cs="仿宋"/>
          <w:b/>
          <w:bCs/>
          <w:sz w:val="24"/>
          <w:szCs w:val="24"/>
        </w:rPr>
        <w:t xml:space="preserve">格式见附件</w:t>
      </w:r>
      <w:r>
        <w:rPr>
          <w:rFonts w:hint="eastAsia" w:ascii="仿宋" w:hAnsi="仿宋" w:eastAsia="仿宋" w:cs="仿宋"/>
          <w:bCs/>
          <w:sz w:val="24"/>
          <w:szCs w:val="24"/>
        </w:rPr>
        <w:t xml:space="preserve">）</w:t>
      </w:r>
      <w:r/>
    </w:p>
    <w:p>
      <w:pPr>
        <w:ind w:left="1" w:firstLine="523"/>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6.技术标准响应偏离表（</w:t>
      </w:r>
      <w:r>
        <w:rPr>
          <w:rFonts w:hint="eastAsia" w:ascii="仿宋" w:hAnsi="仿宋" w:eastAsia="仿宋" w:cs="仿宋"/>
          <w:b/>
          <w:bCs/>
          <w:sz w:val="24"/>
          <w:szCs w:val="24"/>
        </w:rPr>
        <w:t xml:space="preserve">格式见附件</w:t>
      </w:r>
      <w:r>
        <w:rPr>
          <w:rFonts w:hint="eastAsia" w:ascii="仿宋" w:hAnsi="仿宋" w:eastAsia="仿宋" w:cs="仿宋"/>
          <w:bCs/>
          <w:sz w:val="24"/>
          <w:szCs w:val="24"/>
        </w:rPr>
        <w:t xml:space="preserve">）</w:t>
      </w:r>
      <w:r/>
    </w:p>
    <w:p>
      <w:pPr>
        <w:ind w:left="1" w:firstLine="523"/>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7.评分标准中对应的其他所需证明材料（</w:t>
      </w:r>
      <w:r>
        <w:rPr>
          <w:rFonts w:hint="eastAsia" w:ascii="仿宋" w:hAnsi="仿宋" w:eastAsia="仿宋" w:cs="仿宋"/>
          <w:b/>
          <w:bCs/>
          <w:sz w:val="24"/>
          <w:szCs w:val="24"/>
        </w:rPr>
        <w:t xml:space="preserve">如有自行添加</w:t>
      </w:r>
      <w:r>
        <w:rPr>
          <w:rFonts w:hint="eastAsia" w:ascii="仿宋" w:hAnsi="仿宋" w:eastAsia="仿宋" w:cs="仿宋"/>
          <w:bCs/>
          <w:sz w:val="24"/>
          <w:szCs w:val="24"/>
        </w:rPr>
        <w:t xml:space="preserve">）</w:t>
      </w:r>
      <w:r/>
    </w:p>
    <w:p>
      <w:pPr>
        <w:ind w:left="1" w:firstLine="523"/>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8.要求采购人提供的配合（</w:t>
      </w:r>
      <w:r>
        <w:rPr>
          <w:rFonts w:hint="eastAsia" w:ascii="仿宋" w:hAnsi="仿宋" w:eastAsia="仿宋" w:cs="仿宋"/>
          <w:b/>
          <w:bCs/>
          <w:sz w:val="24"/>
          <w:szCs w:val="24"/>
        </w:rPr>
        <w:t xml:space="preserve">如有自拟并自行添加</w:t>
      </w:r>
      <w:r>
        <w:rPr>
          <w:rFonts w:hint="eastAsia" w:ascii="仿宋" w:hAnsi="仿宋" w:eastAsia="仿宋" w:cs="仿宋"/>
          <w:bCs/>
          <w:sz w:val="24"/>
          <w:szCs w:val="24"/>
        </w:rPr>
        <w:t xml:space="preserve">）</w:t>
      </w:r>
      <w:r/>
    </w:p>
    <w:p>
      <w:pPr>
        <w:ind w:left="1" w:firstLine="523"/>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9.其它（</w:t>
      </w:r>
      <w:r>
        <w:rPr>
          <w:rFonts w:hint="eastAsia" w:ascii="仿宋" w:hAnsi="仿宋" w:eastAsia="仿宋" w:cs="仿宋"/>
          <w:b/>
          <w:bCs/>
          <w:sz w:val="24"/>
          <w:szCs w:val="24"/>
        </w:rPr>
        <w:t xml:space="preserve">投标人认为有必要提供的声明和文件，如有自拟并自行添加</w:t>
      </w:r>
      <w:r>
        <w:rPr>
          <w:rFonts w:hint="eastAsia" w:ascii="仿宋" w:hAnsi="仿宋" w:eastAsia="仿宋" w:cs="仿宋"/>
          <w:bCs/>
          <w:sz w:val="24"/>
          <w:szCs w:val="24"/>
        </w:rPr>
        <w:t xml:space="preserve">）</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上述1-4项投标人必须按要求全部提供，否则投标文件无效。</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六、 投标文件的编制和递交</w:t>
      </w:r>
      <w:r/>
    </w:p>
    <w:p>
      <w:pPr>
        <w:ind w:left="1" w:firstLine="523"/>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1.所有文件、往来函件均应使用简体中文（规格、型号辅助符号例外）。</w:t>
      </w:r>
      <w:r/>
    </w:p>
    <w:p>
      <w:pPr>
        <w:ind w:left="1" w:firstLine="523"/>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2.投标文件由投标人按要求参考给定格式如实填写（编写），须有投标人（盖章）、法定代表人或法定代表人授权代表签字或盖章，方为有效，未尽事宜可自行补充。</w:t>
      </w:r>
      <w:r/>
    </w:p>
    <w:p>
      <w:pPr>
        <w:ind w:left="1" w:firstLine="523"/>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3.如无特别说明，投标人报价一律以人民币为结算货币，结算单位为“元”。</w:t>
      </w:r>
      <w:r/>
    </w:p>
    <w:p>
      <w:pPr>
        <w:ind w:left="1" w:firstLine="523"/>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4.投标文件不应有涂改、增删和潦草之处，如有必须修改时，修改处必须有投标人盖章、法定代表人或法定代表人授权代表的签字。</w:t>
      </w:r>
      <w:r/>
    </w:p>
    <w:p>
      <w:pPr>
        <w:ind w:left="1" w:firstLine="523"/>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5.投标费用自理。</w:t>
      </w:r>
      <w:r/>
    </w:p>
    <w:p>
      <w:pPr>
        <w:ind w:left="1" w:firstLine="523"/>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6.投标人应当同时凭CA数字证书登录“江苏政府采购‘苏采云’系统”，并在投标截止时间前上传电子投标文件。</w:t>
      </w:r>
      <w:r/>
    </w:p>
    <w:p>
      <w:pPr>
        <w:ind w:firstLine="24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七、投标文件的递交</w:t>
      </w:r>
      <w:r/>
    </w:p>
    <w:p>
      <w:pPr>
        <w:ind w:firstLine="480"/>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1．电子投标文件的递交</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投标人应当按照《江苏省政府采购管理交易系统（苏采云）供应商操作手册及政府采购客户端》规定，在投标截止时间前制作并上传电子投标文件。</w:t>
      </w:r>
      <w:r/>
    </w:p>
    <w:p>
      <w:pPr>
        <w:ind w:firstLine="480"/>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2．投标截止日期</w:t>
      </w:r>
      <w:r/>
    </w:p>
    <w:p>
      <w:pPr>
        <w:ind w:firstLine="480"/>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2.1 投标人上传电子投标文件的时间不得迟于招标公告中规定的投标截止时间。</w:t>
      </w:r>
      <w:r/>
    </w:p>
    <w:p>
      <w:pPr>
        <w:ind w:firstLine="480"/>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投标人应充分考虑到网络环境、网络带宽等风险因素，如因投标人自身原因造成的电子投标文件上传不成功或未在规定时间内成功解密电子投标文件，由投标人自行承担全部责任。</w:t>
      </w:r>
      <w:r/>
    </w:p>
    <w:p>
      <w:pPr>
        <w:ind w:firstLine="480"/>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2.2 代理公司可以按照规定，通过修改采购文件酌情延长投标截止日期，在此情况下，投标人的所有权利和义务以及投标人受制的截止日期均应以延长后新的截止日期为准。</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八、投标文件的拒收</w:t>
      </w:r>
      <w:r/>
    </w:p>
    <w:p>
      <w:pPr>
        <w:ind w:firstLine="480"/>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采购人拒绝接收在其规定的投标截止时间后上传的任何投标文件。</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九、投标文件的撤回和修改</w:t>
      </w:r>
      <w:r/>
    </w:p>
    <w:p>
      <w:pPr>
        <w:ind w:firstLine="480"/>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1.投标文件的撤回</w:t>
      </w:r>
      <w:r/>
    </w:p>
    <w:p>
      <w:pPr>
        <w:ind w:firstLine="480"/>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投标人可在投标截止时间前，撤回其电子投标文件，具体操作方法见《江苏省政府采购管理交易系统（苏采云）供应商操作手册及政府采购客户端》。</w:t>
      </w:r>
      <w:r/>
    </w:p>
    <w:p>
      <w:pPr>
        <w:ind w:firstLine="480"/>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2.投标文件的修改</w:t>
      </w:r>
      <w:r/>
    </w:p>
    <w:p>
      <w:pPr>
        <w:ind w:firstLine="480"/>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投标人可在投标截止时间前，对其电子投标文件进行修改，具体操作方法见《江苏省政府采购管理交易系统（苏采云）供应商操作手册及政府采购客户端》。</w:t>
      </w:r>
      <w:r/>
    </w:p>
    <w:p>
      <w:pPr>
        <w:ind w:firstLine="480"/>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3.在投标截止时间之后，投标人不得对其电子投标文件作任何修改。</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 无效投标文件的确认</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投标人有下列情况之一者，投标文件无效：</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1.投标人未在规定时间内成功解密电子投标文件的；</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2.投标人未按照采购文件要求上传电子投标文件的；</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3.投标文件未按照采购文件要求加盖电子签章；</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4.投标人的法定代表人授权代表，无法定代表人授权委托书的；</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5.不具备采购文件中规定的资格要求或未按采购文件规定的要求提供资格、资信证明文件的；</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6.被“信用中国”网站（</w:t>
      </w:r>
      <w:r>
        <w:rPr>
          <w:rFonts w:hint="eastAsia" w:ascii="仿宋" w:hAnsi="仿宋" w:eastAsia="仿宋" w:cs="仿宋"/>
        </w:rPr>
        <w:fldChar w:fldCharType="begin"/>
      </w:r>
      <w:r>
        <w:rPr>
          <w:rFonts w:hint="eastAsia" w:ascii="仿宋" w:hAnsi="仿宋" w:eastAsia="仿宋" w:cs="仿宋"/>
        </w:rPr>
        <w:instrText xml:space="preserve"> HYPERLINK "http://www.creditchina.gov.cn" </w:instrText>
      </w:r>
      <w:r>
        <w:rPr>
          <w:rFonts w:hint="eastAsia" w:ascii="仿宋" w:hAnsi="仿宋" w:eastAsia="仿宋" w:cs="仿宋"/>
        </w:rPr>
        <w:fldChar w:fldCharType="separate"/>
      </w:r>
      <w:r>
        <w:rPr>
          <w:rFonts w:hint="eastAsia" w:ascii="仿宋" w:hAnsi="仿宋" w:eastAsia="仿宋" w:cs="仿宋"/>
          <w:bCs/>
          <w:sz w:val="24"/>
          <w:szCs w:val="24"/>
        </w:rPr>
        <w:t xml:space="preserve">www.creditchina.gov.cn</w:t>
      </w:r>
      <w:r>
        <w:rPr>
          <w:rFonts w:hint="eastAsia" w:ascii="仿宋" w:hAnsi="仿宋" w:eastAsia="仿宋" w:cs="仿宋"/>
          <w:bCs/>
          <w:sz w:val="24"/>
          <w:szCs w:val="24"/>
        </w:rPr>
        <w:fldChar w:fldCharType="end"/>
      </w:r>
      <w:r>
        <w:rPr>
          <w:rFonts w:hint="eastAsia" w:ascii="仿宋" w:hAnsi="仿宋" w:eastAsia="仿宋" w:cs="仿宋"/>
          <w:bCs/>
          <w:sz w:val="24"/>
          <w:szCs w:val="24"/>
        </w:rPr>
        <w:t xml:space="preserve">）列入失信被执行人、重大税收违法失信主体、政府采购严重违法失信行为记录名单的；</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7.投标文件未按采购文件规定的内容和要求填写的；</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8.投标文件中有采购文件未允许提供的选择性内容；</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9.不同投标人的投标文件由同一单位或者个人编制的；</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10.不同投标人委托同一单位或者个人办理投标事宜的；</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11.不同投标人的投标文件载明的项目管理成员为同一人的；</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12.不同投标人的投标文件异常一致或者投标报价呈规律性差异的；</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13.不同投标人的单位法定代表人为同一人或者存在直接控股、管理关系的；</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14.项目（标段）投标总价超过本项目（标段）预算或最高限价的；</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15.提供虚假材料的（包括工商营业执照、财务报表、资格证明文件等）；</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16.投标文件含有采购人不能接受的附加条件的；</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18.除单一来源采购项目外，为采购项目提供整体设计、规范编制或者项目管理、监理、检测等服务的；</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19.投标文件内容不全或不符合采购文件中规定的其他实质性要求的。</w:t>
      </w:r>
      <w:r/>
    </w:p>
    <w:p>
      <w:pPr>
        <w:ind w:firstLine="425"/>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20.法律法规和采购文件规定的其他无效情形。</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十一、 开标、评标</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1．投标人应当按照《江苏省政府采购管理交易系统（苏采云）供应商操作手册及政府采购客户端》规定，参加开标活动。</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2.“江苏政府采购‘苏采云’系统”将自动对项目进行开标，并宣读各投标人的《开标一览表》。</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3.投标人在开标过程中涉及的投标文件解密、开标结果确认等工作，应按照《江苏省政府采购管理交易系统（苏采云）供应商操作手册及政府采购客户端》规定执行。每个投标人的解密时长为6分钟，超时视同解密失败。</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4.投标人如果对开标过程和开标记录有疑义，应当根据《江苏省政府采购管理交易系统（苏采云）供应商操作手册及政府采购客户端》规定提出，如 “泰州市政府采购交易管理系统”中《开标一览表》宣布后5分钟内未提出的，视同认可开标结果。</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5.开标时，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1"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6.投标人未参加开标的，视同认可开标结果。</w:t>
      </w:r>
      <w:r/>
    </w:p>
    <w:p>
      <w:pPr>
        <w:ind w:left="1" w:firstLine="480"/>
        <w:jc w:val="left"/>
        <w:spacing w:line="360" w:lineRule="auto"/>
        <w:tabs>
          <w:tab w:val="left" w:pos="945" w:leader="none"/>
        </w:tabs>
        <w:rPr>
          <w:rFonts w:hint="eastAsia" w:ascii="仿宋" w:hAnsi="仿宋" w:eastAsia="仿宋" w:cs="仿宋"/>
          <w:bCs/>
          <w:color w:val="ff0000"/>
          <w:sz w:val="24"/>
          <w:szCs w:val="24"/>
          <w:u w:val="single"/>
        </w:rPr>
      </w:pPr>
      <w:r>
        <w:rPr>
          <w:rFonts w:hint="eastAsia" w:ascii="仿宋" w:hAnsi="仿宋" w:eastAsia="仿宋" w:cs="仿宋"/>
          <w:bCs/>
          <w:sz w:val="24"/>
          <w:szCs w:val="24"/>
        </w:rPr>
        <w:t xml:space="preserve">7.评标程序</w:t>
      </w:r>
      <w:r/>
    </w:p>
    <w:p>
      <w:pPr>
        <w:ind w:firstLine="523"/>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评标工作由代理公司负责组织，具体评标事务由依法组建的评委会负责。</w:t>
      </w:r>
      <w:r/>
    </w:p>
    <w:p>
      <w:pPr>
        <w:numPr>
          <w:ilvl w:val="0"/>
          <w:numId w:val="2"/>
        </w:numPr>
        <w:ind w:left="0" w:firstLine="523"/>
        <w:jc w:val="left"/>
        <w:spacing w:line="360" w:lineRule="auto"/>
        <w:tabs>
          <w:tab w:val="left" w:pos="63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仿宋"/>
          <w:bCs/>
          <w:sz w:val="24"/>
          <w:szCs w:val="24"/>
        </w:rPr>
        <w:t xml:space="preserve">投标文件初审。初审分为资格性检查和符合性检查。</w:t>
      </w:r>
      <w:r/>
    </w:p>
    <w:p>
      <w:pPr>
        <w:numPr>
          <w:ilvl w:val="0"/>
          <w:numId w:val="3"/>
        </w:numPr>
        <w:ind w:left="0" w:firstLine="523"/>
        <w:jc w:val="left"/>
        <w:spacing w:line="360" w:lineRule="auto"/>
        <w:tabs>
          <w:tab w:val="left" w:pos="525" w:leader="none"/>
          <w:tab w:val="left" w:pos="630" w:leader="none"/>
          <w:tab w:val="left" w:pos="945" w:leader="none"/>
          <w:tab w:val="left" w:pos="1365" w:leader="none"/>
        </w:tabs>
        <w:rPr>
          <w:rFonts w:hint="eastAsia" w:ascii="仿宋" w:hAnsi="仿宋" w:eastAsia="仿宋" w:cs="仿宋"/>
          <w:bCs/>
          <w:sz w:val="24"/>
          <w:szCs w:val="24"/>
        </w:rPr>
      </w:pPr>
      <w:r>
        <w:rPr>
          <w:rFonts w:hint="eastAsia" w:ascii="仿宋" w:hAnsi="仿宋" w:eastAsia="仿宋" w:cs="仿宋"/>
          <w:bCs/>
          <w:sz w:val="24"/>
          <w:szCs w:val="24"/>
        </w:rPr>
        <w:t xml:space="preserve">资格性检查。依据法律法规和采购文件的规定，对投标文件中的资格证明等进行审查；通过“信用中国”网站（</w:t>
      </w:r>
      <w:r>
        <w:rPr>
          <w:rFonts w:hint="eastAsia" w:ascii="仿宋" w:hAnsi="仿宋" w:eastAsia="仿宋" w:cs="仿宋"/>
        </w:rPr>
        <w:fldChar w:fldCharType="begin"/>
      </w:r>
      <w:r>
        <w:rPr>
          <w:rFonts w:hint="eastAsia" w:ascii="仿宋" w:hAnsi="仿宋" w:eastAsia="仿宋" w:cs="仿宋"/>
        </w:rPr>
        <w:instrText xml:space="preserve"> HYPERLINK "http://www.creditchina.gov.cn" </w:instrText>
      </w:r>
      <w:r>
        <w:rPr>
          <w:rFonts w:hint="eastAsia" w:ascii="仿宋" w:hAnsi="仿宋" w:eastAsia="仿宋" w:cs="仿宋"/>
        </w:rPr>
        <w:fldChar w:fldCharType="separate"/>
      </w:r>
      <w:r>
        <w:rPr>
          <w:rStyle w:val="764"/>
          <w:rFonts w:hint="eastAsia" w:ascii="仿宋" w:hAnsi="仿宋" w:eastAsia="仿宋" w:cs="仿宋"/>
          <w:bCs/>
          <w:sz w:val="24"/>
          <w:szCs w:val="24"/>
        </w:rPr>
        <w:t xml:space="preserve">www.creditchina.gov.cn</w:t>
      </w:r>
      <w:r>
        <w:rPr>
          <w:rStyle w:val="764"/>
          <w:rFonts w:hint="eastAsia" w:ascii="仿宋" w:hAnsi="仿宋" w:eastAsia="仿宋" w:cs="仿宋"/>
          <w:bCs/>
          <w:sz w:val="24"/>
          <w:szCs w:val="24"/>
        </w:rPr>
        <w:fldChar w:fldCharType="end"/>
      </w:r>
      <w:r>
        <w:rPr>
          <w:rFonts w:hint="eastAsia" w:ascii="仿宋" w:hAnsi="仿宋" w:eastAsia="仿宋" w:cs="仿宋"/>
          <w:bCs/>
          <w:sz w:val="24"/>
          <w:szCs w:val="24"/>
        </w:rPr>
        <w:t xml:space="preserve">）查询投标供应商在投标截止时间之前，是否被列入</w:t>
      </w:r>
      <w:r>
        <w:rPr>
          <w:rFonts w:hint="eastAsia" w:ascii="仿宋" w:hAnsi="仿宋" w:eastAsia="仿宋" w:cs="仿宋"/>
          <w:sz w:val="24"/>
          <w:szCs w:val="24"/>
        </w:rPr>
        <w:t xml:space="preserve">失信被执行人、重大税收违法失信主体、政府采购严重违法失信行为记录名单，</w:t>
      </w:r>
      <w:r>
        <w:rPr>
          <w:rFonts w:hint="eastAsia" w:ascii="仿宋" w:hAnsi="仿宋" w:eastAsia="仿宋" w:cs="仿宋"/>
          <w:bCs/>
          <w:sz w:val="24"/>
          <w:szCs w:val="24"/>
        </w:rPr>
        <w:t xml:space="preserve">以确定投标供应商是否具备投标资格。信用</w:t>
      </w:r>
      <w:r>
        <w:rPr>
          <w:rFonts w:hint="eastAsia" w:ascii="仿宋" w:hAnsi="仿宋" w:eastAsia="仿宋" w:cs="仿宋"/>
          <w:sz w:val="24"/>
          <w:szCs w:val="24"/>
        </w:rPr>
        <w:t xml:space="preserve">查询结果以网页打印的形式留存并归档。</w:t>
      </w:r>
      <w:r/>
    </w:p>
    <w:p>
      <w:pPr>
        <w:numPr>
          <w:ilvl w:val="0"/>
          <w:numId w:val="3"/>
        </w:numPr>
        <w:ind w:left="0" w:firstLine="523"/>
        <w:jc w:val="left"/>
        <w:spacing w:line="360" w:lineRule="auto"/>
        <w:tabs>
          <w:tab w:val="left" w:pos="525" w:leader="none"/>
          <w:tab w:val="left" w:pos="630" w:leader="none"/>
          <w:tab w:val="left" w:pos="945" w:leader="none"/>
          <w:tab w:val="left" w:pos="1365" w:leader="none"/>
        </w:tabs>
        <w:rPr>
          <w:rFonts w:hint="eastAsia" w:ascii="仿宋" w:hAnsi="仿宋" w:eastAsia="仿宋" w:cs="仿宋"/>
          <w:bCs/>
          <w:sz w:val="24"/>
          <w:szCs w:val="24"/>
        </w:rPr>
      </w:pPr>
      <w:r>
        <w:rPr>
          <w:rFonts w:hint="eastAsia" w:ascii="仿宋" w:hAnsi="仿宋" w:eastAsia="仿宋" w:cs="仿宋"/>
          <w:bCs/>
          <w:sz w:val="24"/>
          <w:szCs w:val="24"/>
        </w:rPr>
        <w:t xml:space="preserve">符合性检查。依据采购文件的规定，从投标文件的有效性、完整性和对采购文件的响应程度进行审查，以确定是否对采购文件的实质性要求作出响应。</w:t>
      </w:r>
      <w:r/>
    </w:p>
    <w:p>
      <w:pPr>
        <w:numPr>
          <w:ilvl w:val="0"/>
          <w:numId w:val="2"/>
        </w:numPr>
        <w:ind w:left="0" w:firstLine="523"/>
        <w:jc w:val="left"/>
        <w:spacing w:line="360" w:lineRule="auto"/>
        <w:tabs>
          <w:tab w:val="left" w:pos="525"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仿宋"/>
          <w:bCs/>
          <w:sz w:val="24"/>
          <w:szCs w:val="24"/>
        </w:rPr>
        <w:t xml:space="preserve">澄清有关问题。对投标文件中含义不明确、同类问题表述不一致或者有明显文字和计算错误的内容，</w:t>
      </w:r>
      <w:r>
        <w:rPr>
          <w:rFonts w:hint="eastAsia" w:ascii="仿宋" w:hAnsi="仿宋" w:eastAsia="仿宋" w:cs="仿宋"/>
          <w:sz w:val="24"/>
          <w:szCs w:val="24"/>
        </w:rPr>
        <w:t xml:space="preserve">评委会有权以电子函件形式要求投标人对其投标文件</w:t>
      </w:r>
      <w:r>
        <w:rPr>
          <w:rFonts w:hint="eastAsia" w:ascii="仿宋" w:hAnsi="仿宋" w:eastAsia="仿宋" w:cs="仿宋"/>
          <w:bCs/>
          <w:sz w:val="24"/>
          <w:szCs w:val="24"/>
        </w:rPr>
        <w:t xml:space="preserve">作出必要的澄清、说明或者纠正</w:t>
      </w:r>
      <w:r>
        <w:rPr>
          <w:rFonts w:hint="eastAsia" w:ascii="仿宋" w:hAnsi="仿宋" w:eastAsia="仿宋" w:cs="仿宋"/>
          <w:sz w:val="24"/>
          <w:szCs w:val="24"/>
        </w:rPr>
        <w:t xml:space="preserve">，但并非对每个投标人都作澄清要求。接到评委会澄清要求的投标人应派人按评委会规定的时间和格式在</w:t>
      </w:r>
      <w:r>
        <w:rPr>
          <w:rFonts w:hint="eastAsia" w:ascii="仿宋" w:hAnsi="仿宋" w:eastAsia="仿宋" w:cs="仿宋"/>
          <w:bCs/>
          <w:sz w:val="24"/>
          <w:szCs w:val="24"/>
        </w:rPr>
        <w:t xml:space="preserve">“江苏政府采购‘苏采云’系统”</w:t>
      </w:r>
      <w:r>
        <w:rPr>
          <w:rFonts w:hint="eastAsia" w:ascii="仿宋" w:hAnsi="仿宋" w:eastAsia="仿宋" w:cs="仿宋"/>
          <w:sz w:val="24"/>
          <w:szCs w:val="24"/>
        </w:rPr>
        <w:t xml:space="preserve">中作出澄清，由其授权的代表签字，澄清的内容作为投标文件的补充部分，但投标的价格和实质性的内容不得做任何更改。具体操作方式见</w:t>
      </w:r>
      <w:r>
        <w:rPr>
          <w:rFonts w:hint="eastAsia" w:ascii="仿宋" w:hAnsi="仿宋" w:eastAsia="仿宋" w:cs="仿宋"/>
          <w:bCs/>
          <w:sz w:val="24"/>
          <w:szCs w:val="24"/>
        </w:rPr>
        <w:t xml:space="preserve">《江苏省政府采购管理交易系统（苏采云）供应商操作手册及政府采购客户端》</w:t>
      </w:r>
      <w:r>
        <w:rPr>
          <w:rFonts w:hint="eastAsia" w:ascii="仿宋" w:hAnsi="仿宋" w:eastAsia="仿宋" w:cs="仿宋"/>
          <w:sz w:val="24"/>
          <w:szCs w:val="24"/>
        </w:rPr>
        <w:t xml:space="preserve">。接到评委会澄清要求的投标人如未按规定作出澄清，其风险由投标人自行承担。</w:t>
      </w:r>
      <w:r/>
    </w:p>
    <w:p>
      <w:pPr>
        <w:numPr>
          <w:ilvl w:val="0"/>
          <w:numId w:val="2"/>
        </w:numPr>
        <w:ind w:left="0" w:firstLine="523"/>
        <w:jc w:val="left"/>
        <w:spacing w:line="360" w:lineRule="auto"/>
        <w:tabs>
          <w:tab w:val="left" w:pos="945" w:leader="none"/>
          <w:tab w:val="left" w:pos="1155" w:leader="none"/>
          <w:tab w:val="left" w:pos="1365" w:leader="none"/>
        </w:tabs>
        <w:rPr>
          <w:rFonts w:hint="eastAsia" w:ascii="仿宋" w:hAnsi="仿宋" w:eastAsia="仿宋" w:cs="仿宋"/>
          <w:bCs/>
          <w:sz w:val="24"/>
          <w:szCs w:val="24"/>
        </w:rPr>
      </w:pPr>
      <w:r>
        <w:rPr>
          <w:rFonts w:hint="eastAsia" w:ascii="仿宋" w:hAnsi="仿宋" w:eastAsia="仿宋" w:cs="仿宋"/>
          <w:bCs/>
          <w:sz w:val="24"/>
          <w:szCs w:val="24"/>
        </w:rPr>
        <w:t xml:space="preserve">比较与评价。按采购文件中规定的评标方法和标准，对资格性检查和符合性检查合格的投标文件进行商务和技术评估，综合比较与评价。</w:t>
      </w:r>
      <w:r/>
    </w:p>
    <w:p>
      <w:pPr>
        <w:ind w:left="57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8.评标方法</w:t>
      </w:r>
      <w:r/>
    </w:p>
    <w:p>
      <w:pPr>
        <w:ind w:firstLine="523"/>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投标人通过初审的，方可进入比较与评价程序。</w:t>
      </w:r>
      <w:r/>
    </w:p>
    <w:p>
      <w:pPr>
        <w:ind w:firstLine="523"/>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比较与评价采用综合评分法。</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采购文件全部实质性要求，且按照评审因素的量化指标评审得分最高的投标人为排名第一的中标候选人。</w:t>
      </w:r>
      <w:r/>
    </w:p>
    <w:p>
      <w:pPr>
        <w:ind w:left="57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9.评分标准</w:t>
      </w:r>
      <w:r/>
    </w:p>
    <w:p>
      <w:pPr>
        <w:ind w:left="524"/>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详见附件。</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十二、定标</w:t>
      </w:r>
      <w:r/>
    </w:p>
    <w:p>
      <w:pPr>
        <w:numPr>
          <w:ilvl w:val="1"/>
          <w:numId w:val="0"/>
        </w:numPr>
        <w:ind w:firstLine="523"/>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评标委员会根据采购文件规定的评标方法和评标标准进行评审，按采购文件的要求依法确定中标人。中标结果公告将在泰州市政府采购网和江苏省政府采购网发布中标结果公告。采购人、代理公司和评标委员会对未中标原因不作解释。如有质疑，应在法定质疑期限内，即中标结果公告期限届满之日起7个工作日内，以书面形式（原件）送达采购人，并且针对同一采购程序环节的质疑，须在法定质疑期内一次性提出。质疑函的质疑事项应具体、明确，并有必要的事实依据和法律依据（格式详见中国政府采购网《</w:t>
      </w:r>
      <w:r>
        <w:rPr>
          <w:rFonts w:hint="eastAsia" w:ascii="仿宋" w:hAnsi="仿宋" w:eastAsia="仿宋" w:cs="仿宋"/>
        </w:rPr>
        <w:fldChar w:fldCharType="begin"/>
      </w:r>
      <w:r>
        <w:rPr>
          <w:rFonts w:hint="eastAsia" w:ascii="仿宋" w:hAnsi="仿宋" w:eastAsia="仿宋" w:cs="仿宋"/>
        </w:rPr>
        <w:instrText xml:space="preserve"> HYPERLINK "http://download.ccgp.gov.cn/2018/zhiyihanfanben.zip" \t "_blank" </w:instrText>
      </w:r>
      <w:r>
        <w:rPr>
          <w:rFonts w:hint="eastAsia" w:ascii="仿宋" w:hAnsi="仿宋" w:eastAsia="仿宋" w:cs="仿宋"/>
        </w:rPr>
        <w:fldChar w:fldCharType="separate"/>
      </w:r>
      <w:r>
        <w:rPr>
          <w:rStyle w:val="764"/>
          <w:rFonts w:hint="eastAsia" w:ascii="仿宋" w:hAnsi="仿宋" w:eastAsia="仿宋" w:cs="仿宋"/>
          <w:bCs/>
          <w:sz w:val="24"/>
          <w:szCs w:val="24"/>
        </w:rPr>
        <w:t xml:space="preserve">政府采购供应商质疑函范本</w:t>
      </w:r>
      <w:r>
        <w:rPr>
          <w:rStyle w:val="764"/>
          <w:rFonts w:hint="eastAsia" w:ascii="仿宋" w:hAnsi="仿宋" w:eastAsia="仿宋" w:cs="仿宋"/>
          <w:bCs/>
          <w:sz w:val="24"/>
          <w:szCs w:val="24"/>
        </w:rPr>
        <w:fldChar w:fldCharType="end"/>
      </w:r>
      <w:r>
        <w:rPr>
          <w:rFonts w:hint="eastAsia" w:ascii="仿宋" w:hAnsi="仿宋" w:eastAsia="仿宋" w:cs="仿宋"/>
          <w:bCs/>
          <w:sz w:val="24"/>
          <w:szCs w:val="24"/>
        </w:rPr>
        <w:t xml:space="preserve">》）。采购人将在收到符合上述要求的书面质疑后七个工作日内，对质疑内容作出答复。投标人在法定质疑期限外送达的质疑函或法定质疑期限内送达的质疑函不符合上述要求的均为无效质疑，采购人和招标代理对无效质疑不予受理。如质疑查无实据或投标人捏造事实，提供虚假材料进行恶意举报，不配合或采用不正当手段干扰政府采购事宜的，采购人有权依据政府采购的有关规定，报请政府采购监管部门对该供应商进行相应的行政处罚和记录该供应商的失信信息。</w:t>
      </w:r>
      <w:r/>
    </w:p>
    <w:p>
      <w:pPr>
        <w:numPr>
          <w:ilvl w:val="1"/>
          <w:numId w:val="0"/>
        </w:numPr>
        <w:ind w:left="1290" w:hanging="720"/>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2.采购人向中标人发中标通知书。</w:t>
      </w:r>
      <w:r/>
    </w:p>
    <w:p>
      <w:pPr>
        <w:ind w:firstLine="480"/>
        <w:jc w:val="left"/>
        <w:spacing w:line="360" w:lineRule="auto"/>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2.1 采购人可以邮寄的形式向中标人寄发中标通知书，请供应商准确清晰填写《投标函》，如因相关信息填写错误导致中标通知书无法寄达，采购人将不再寄送中标通知书，由此造成的不利后果由供应商自行承担。</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十三、废标的确认</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在招标采购中，出现下列情况之一的，应予废标：</w:t>
      </w:r>
      <w:r/>
    </w:p>
    <w:p>
      <w:pPr>
        <w:ind w:firstLine="525"/>
        <w:jc w:val="left"/>
        <w:spacing w:line="360" w:lineRule="auto"/>
        <w:tabs>
          <w:tab w:val="left" w:pos="525" w:leader="none"/>
          <w:tab w:val="left" w:pos="945" w:leader="none"/>
          <w:tab w:val="left" w:pos="1260" w:leader="none"/>
        </w:tabs>
        <w:rPr>
          <w:rFonts w:hint="eastAsia" w:ascii="仿宋" w:hAnsi="仿宋" w:eastAsia="仿宋" w:cs="仿宋"/>
          <w:bCs/>
          <w:sz w:val="24"/>
          <w:szCs w:val="24"/>
        </w:rPr>
      </w:pPr>
      <w:r>
        <w:rPr>
          <w:rFonts w:hint="eastAsia" w:ascii="仿宋" w:hAnsi="仿宋" w:eastAsia="仿宋" w:cs="仿宋"/>
          <w:bCs/>
          <w:sz w:val="24"/>
          <w:szCs w:val="24"/>
        </w:rPr>
        <w:t xml:space="preserve">1．符合条件的投标人或者对采购文件作出实质性响应的投标人不足三家；</w:t>
      </w:r>
      <w:r/>
    </w:p>
    <w:p>
      <w:pPr>
        <w:ind w:firstLine="525"/>
        <w:jc w:val="left"/>
        <w:spacing w:line="360" w:lineRule="auto"/>
        <w:tabs>
          <w:tab w:val="left" w:pos="525" w:leader="none"/>
          <w:tab w:val="left" w:pos="945" w:leader="none"/>
          <w:tab w:val="left" w:pos="1260" w:leader="none"/>
        </w:tabs>
        <w:rPr>
          <w:rFonts w:hint="eastAsia" w:ascii="仿宋" w:hAnsi="仿宋" w:eastAsia="仿宋" w:cs="仿宋"/>
          <w:bCs/>
          <w:sz w:val="24"/>
          <w:szCs w:val="24"/>
        </w:rPr>
      </w:pPr>
      <w:r>
        <w:rPr>
          <w:rFonts w:hint="eastAsia" w:ascii="仿宋" w:hAnsi="仿宋" w:eastAsia="仿宋" w:cs="仿宋"/>
          <w:bCs/>
          <w:sz w:val="24"/>
          <w:szCs w:val="24"/>
        </w:rPr>
        <w:t xml:space="preserve">2．出现影响采购公正的违法、违规行为；</w:t>
      </w:r>
      <w:r/>
    </w:p>
    <w:p>
      <w:pPr>
        <w:ind w:firstLine="525"/>
        <w:jc w:val="left"/>
        <w:spacing w:line="360" w:lineRule="auto"/>
        <w:tabs>
          <w:tab w:val="left" w:pos="525" w:leader="none"/>
          <w:tab w:val="left" w:pos="945" w:leader="none"/>
          <w:tab w:val="left" w:pos="1260" w:leader="none"/>
        </w:tabs>
        <w:rPr>
          <w:rFonts w:hint="eastAsia" w:ascii="仿宋" w:hAnsi="仿宋" w:eastAsia="仿宋" w:cs="仿宋"/>
          <w:bCs/>
          <w:sz w:val="24"/>
          <w:szCs w:val="24"/>
        </w:rPr>
      </w:pPr>
      <w:r>
        <w:rPr>
          <w:rFonts w:hint="eastAsia" w:ascii="仿宋" w:hAnsi="仿宋" w:eastAsia="仿宋" w:cs="仿宋"/>
          <w:bCs/>
          <w:sz w:val="24"/>
          <w:szCs w:val="24"/>
        </w:rPr>
        <w:t xml:space="preserve">3．投标人的报价均超过采购预算，采购人不能支付的；</w:t>
      </w:r>
      <w:r/>
    </w:p>
    <w:p>
      <w:pPr>
        <w:ind w:firstLine="525"/>
        <w:jc w:val="left"/>
        <w:spacing w:line="360" w:lineRule="auto"/>
        <w:tabs>
          <w:tab w:val="right" w:pos="180" w:leader="none"/>
          <w:tab w:val="left" w:pos="525" w:leader="none"/>
          <w:tab w:val="left" w:pos="945" w:leader="none"/>
          <w:tab w:val="left" w:pos="1260" w:leader="none"/>
        </w:tabs>
        <w:rPr>
          <w:rFonts w:hint="eastAsia" w:ascii="仿宋" w:hAnsi="仿宋" w:eastAsia="仿宋" w:cs="仿宋"/>
          <w:bCs/>
          <w:sz w:val="24"/>
          <w:szCs w:val="24"/>
        </w:rPr>
      </w:pPr>
      <w:r>
        <w:rPr>
          <w:rFonts w:hint="eastAsia" w:ascii="仿宋" w:hAnsi="仿宋" w:eastAsia="仿宋" w:cs="仿宋"/>
          <w:bCs/>
          <w:sz w:val="24"/>
          <w:szCs w:val="24"/>
        </w:rPr>
        <w:t xml:space="preserve">4．因重大变故，采购任务取消；</w:t>
      </w:r>
      <w:r/>
    </w:p>
    <w:p>
      <w:pPr>
        <w:ind w:firstLine="525"/>
        <w:jc w:val="left"/>
        <w:spacing w:line="360" w:lineRule="auto"/>
        <w:tabs>
          <w:tab w:val="right" w:pos="180" w:leader="none"/>
          <w:tab w:val="left" w:pos="525" w:leader="none"/>
          <w:tab w:val="left" w:pos="945" w:leader="none"/>
          <w:tab w:val="left" w:pos="1260" w:leader="none"/>
        </w:tabs>
        <w:rPr>
          <w:rFonts w:hint="eastAsia" w:ascii="仿宋" w:hAnsi="仿宋" w:eastAsia="仿宋" w:cs="仿宋"/>
          <w:bCs/>
          <w:sz w:val="24"/>
          <w:szCs w:val="24"/>
        </w:rPr>
      </w:pPr>
      <w:r>
        <w:rPr>
          <w:rFonts w:hint="eastAsia" w:ascii="仿宋" w:hAnsi="仿宋" w:eastAsia="仿宋" w:cs="仿宋"/>
          <w:bCs/>
          <w:sz w:val="24"/>
          <w:szCs w:val="24"/>
        </w:rPr>
        <w:t xml:space="preserve">5．因</w:t>
      </w:r>
      <w:r>
        <w:rPr>
          <w:rFonts w:hint="eastAsia" w:ascii="仿宋" w:hAnsi="仿宋" w:eastAsia="仿宋" w:cs="仿宋"/>
          <w:sz w:val="24"/>
          <w:szCs w:val="24"/>
        </w:rPr>
        <w:t xml:space="preserve">“</w:t>
      </w:r>
      <w:r>
        <w:rPr>
          <w:rFonts w:hint="eastAsia" w:ascii="仿宋" w:hAnsi="仿宋" w:eastAsia="仿宋" w:cs="仿宋"/>
          <w:bCs/>
          <w:sz w:val="24"/>
          <w:szCs w:val="24"/>
        </w:rPr>
        <w:t xml:space="preserve">江苏政府采购‘苏采云’系统</w:t>
      </w:r>
      <w:r>
        <w:rPr>
          <w:rFonts w:hint="eastAsia" w:ascii="仿宋" w:hAnsi="仿宋" w:eastAsia="仿宋" w:cs="仿宋"/>
          <w:sz w:val="24"/>
          <w:szCs w:val="24"/>
        </w:rPr>
        <w:t xml:space="preserve">”</w:t>
      </w:r>
      <w:r>
        <w:rPr>
          <w:rFonts w:hint="eastAsia" w:ascii="仿宋" w:hAnsi="仿宋" w:eastAsia="仿宋" w:cs="仿宋"/>
          <w:bCs/>
          <w:sz w:val="24"/>
          <w:szCs w:val="24"/>
        </w:rPr>
        <w:t xml:space="preserve">重大故障原因无法继续开评标的。</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十四、中标无效的确认</w:t>
      </w:r>
      <w:r/>
    </w:p>
    <w:p>
      <w:pPr>
        <w:ind w:firstLine="480"/>
        <w:jc w:val="left"/>
        <w:spacing w:line="360" w:lineRule="auto"/>
        <w:tabs>
          <w:tab w:val="left" w:pos="42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仿宋"/>
          <w:bCs/>
          <w:sz w:val="24"/>
          <w:szCs w:val="24"/>
        </w:rPr>
        <w:t xml:space="preserve">1．提供虚假材料谋取中标的；</w:t>
      </w:r>
      <w:r/>
    </w:p>
    <w:p>
      <w:pPr>
        <w:ind w:firstLine="480"/>
        <w:jc w:val="left"/>
        <w:spacing w:line="360" w:lineRule="auto"/>
        <w:tabs>
          <w:tab w:val="left" w:pos="42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仿宋"/>
          <w:bCs/>
          <w:sz w:val="24"/>
          <w:szCs w:val="24"/>
        </w:rPr>
        <w:t xml:space="preserve">2．采取不正当手段诋毁、排挤其他投标人的；</w:t>
      </w:r>
      <w:r/>
    </w:p>
    <w:p>
      <w:pPr>
        <w:ind w:firstLine="480"/>
        <w:jc w:val="left"/>
        <w:spacing w:line="360" w:lineRule="auto"/>
        <w:tabs>
          <w:tab w:val="left" w:pos="42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仿宋"/>
          <w:bCs/>
          <w:sz w:val="24"/>
          <w:szCs w:val="24"/>
        </w:rPr>
        <w:t xml:space="preserve">3．与招标人、其他投标人恶意串通的；</w:t>
      </w:r>
      <w:r/>
    </w:p>
    <w:p>
      <w:pPr>
        <w:ind w:firstLine="480"/>
        <w:jc w:val="left"/>
        <w:spacing w:line="360" w:lineRule="auto"/>
        <w:tabs>
          <w:tab w:val="left" w:pos="42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仿宋"/>
          <w:bCs/>
          <w:sz w:val="24"/>
          <w:szCs w:val="24"/>
        </w:rPr>
        <w:t xml:space="preserve">4．向招标人行贿或者提供其他不正当利益的；</w:t>
      </w:r>
      <w:r/>
    </w:p>
    <w:p>
      <w:pPr>
        <w:ind w:firstLine="480"/>
        <w:jc w:val="left"/>
        <w:spacing w:line="360" w:lineRule="auto"/>
        <w:tabs>
          <w:tab w:val="left" w:pos="42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仿宋"/>
          <w:bCs/>
          <w:sz w:val="24"/>
          <w:szCs w:val="24"/>
        </w:rPr>
        <w:t xml:space="preserve">5．在招标过程中与招标人进行协商谈判、不按照采购文件和中标人的投标文件订立合同，或者与采购人另行订立背离合同实质性内容的协议的；</w:t>
      </w:r>
      <w:r/>
    </w:p>
    <w:p>
      <w:pPr>
        <w:ind w:firstLine="480"/>
        <w:jc w:val="left"/>
        <w:spacing w:line="360" w:lineRule="auto"/>
        <w:tabs>
          <w:tab w:val="left" w:pos="42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仿宋"/>
          <w:bCs/>
          <w:sz w:val="24"/>
          <w:szCs w:val="24"/>
        </w:rPr>
        <w:t xml:space="preserve">6．拒绝有关部门监督检查或者提供虚假情况的。</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十五、签订</w:t>
      </w:r>
      <w:r>
        <w:rPr>
          <w:rFonts w:hint="eastAsia" w:ascii="仿宋" w:hAnsi="仿宋" w:eastAsia="仿宋" w:cs="仿宋"/>
          <w:b/>
          <w:sz w:val="24"/>
          <w:szCs w:val="24"/>
        </w:rPr>
        <w:t xml:space="preserve">、</w:t>
      </w:r>
      <w:r>
        <w:rPr>
          <w:rFonts w:hint="eastAsia" w:ascii="仿宋" w:hAnsi="仿宋" w:eastAsia="仿宋" w:cs="仿宋"/>
          <w:bCs/>
          <w:sz w:val="24"/>
          <w:szCs w:val="24"/>
        </w:rPr>
        <w:t xml:space="preserve">履行合同</w:t>
      </w:r>
      <w:r/>
    </w:p>
    <w:p>
      <w:pPr>
        <w:ind w:left="130" w:firstLine="420"/>
        <w:jc w:val="left"/>
        <w:spacing w:line="360" w:lineRule="auto"/>
        <w:tabs>
          <w:tab w:val="left" w:pos="525" w:leader="none"/>
          <w:tab w:val="left" w:pos="945" w:leader="none"/>
          <w:tab w:val="left" w:pos="1050" w:leader="none"/>
        </w:tabs>
        <w:rPr>
          <w:rFonts w:hint="eastAsia" w:ascii="仿宋" w:hAnsi="仿宋" w:eastAsia="仿宋" w:cs="仿宋"/>
          <w:b/>
          <w:sz w:val="24"/>
          <w:szCs w:val="24"/>
        </w:rPr>
      </w:pPr>
      <w:r>
        <w:rPr>
          <w:rFonts w:hint="eastAsia" w:ascii="仿宋" w:hAnsi="仿宋" w:eastAsia="仿宋" w:cs="仿宋"/>
          <w:b/>
          <w:sz w:val="24"/>
          <w:szCs w:val="24"/>
        </w:rPr>
        <w:t xml:space="preserve">1．履约保证金：中标人在合同签订前向采购人缴纳（中标价的5%）履约保证金，项目完成并经采购人确认无误后无息退还。</w:t>
      </w:r>
      <w:r/>
    </w:p>
    <w:p>
      <w:pPr>
        <w:pStyle w:val="735"/>
        <w:ind w:firstLine="723"/>
        <w:spacing w:line="360" w:lineRule="auto"/>
        <w:rPr>
          <w:rFonts w:hint="eastAsia" w:ascii="仿宋" w:hAnsi="仿宋" w:eastAsia="仿宋" w:cs="仿宋"/>
          <w:b/>
          <w:sz w:val="24"/>
        </w:rPr>
      </w:pPr>
      <w:r>
        <w:rPr>
          <w:rFonts w:hint="eastAsia" w:ascii="仿宋" w:hAnsi="仿宋" w:eastAsia="仿宋" w:cs="仿宋"/>
          <w:b/>
          <w:sz w:val="24"/>
        </w:rPr>
        <w:t xml:space="preserve">履约保证金提交形式：保函、电汇、转账、汇票或支票。</w:t>
      </w:r>
      <w:r/>
    </w:p>
    <w:p>
      <w:pPr>
        <w:pStyle w:val="735"/>
        <w:ind w:firstLine="723"/>
        <w:spacing w:line="360" w:lineRule="auto"/>
        <w:rPr>
          <w:rFonts w:hint="eastAsia" w:ascii="仿宋" w:hAnsi="仿宋" w:eastAsia="仿宋" w:cs="仿宋"/>
          <w:b/>
          <w:sz w:val="24"/>
        </w:rPr>
      </w:pPr>
      <w:r>
        <w:rPr>
          <w:rFonts w:hint="eastAsia" w:ascii="仿宋" w:hAnsi="仿宋" w:eastAsia="仿宋" w:cs="仿宋"/>
          <w:b/>
          <w:sz w:val="24"/>
        </w:rPr>
        <w:t xml:space="preserve">履约保证金收款账户信息：</w:t>
      </w:r>
      <w:r/>
    </w:p>
    <w:p>
      <w:pPr>
        <w:pStyle w:val="735"/>
        <w:ind w:firstLine="723"/>
        <w:spacing w:line="360" w:lineRule="auto"/>
        <w:rPr>
          <w:rFonts w:hint="eastAsia" w:ascii="仿宋" w:hAnsi="仿宋" w:eastAsia="仿宋" w:cs="仿宋"/>
          <w:b/>
          <w:sz w:val="24"/>
        </w:rPr>
      </w:pPr>
      <w:r>
        <w:rPr>
          <w:rFonts w:hint="eastAsia" w:ascii="仿宋" w:hAnsi="仿宋" w:eastAsia="仿宋" w:cs="仿宋"/>
          <w:b/>
          <w:sz w:val="24"/>
        </w:rPr>
        <w:t xml:space="preserve">户名：泰州市海陵区财政局</w:t>
      </w:r>
      <w:r/>
    </w:p>
    <w:p>
      <w:pPr>
        <w:pStyle w:val="735"/>
        <w:ind w:firstLine="723"/>
        <w:spacing w:line="360" w:lineRule="auto"/>
        <w:rPr>
          <w:rFonts w:hint="eastAsia" w:ascii="仿宋" w:hAnsi="仿宋" w:eastAsia="仿宋" w:cs="仿宋"/>
          <w:b/>
          <w:sz w:val="24"/>
        </w:rPr>
      </w:pPr>
      <w:r>
        <w:rPr>
          <w:rFonts w:hint="eastAsia" w:ascii="仿宋" w:hAnsi="仿宋" w:eastAsia="仿宋" w:cs="仿宋"/>
          <w:b/>
          <w:sz w:val="24"/>
        </w:rPr>
        <w:t xml:space="preserve">开户行：招商银行泰州分行海陵支行</w:t>
      </w:r>
      <w:r/>
    </w:p>
    <w:p>
      <w:pPr>
        <w:pStyle w:val="735"/>
        <w:ind w:firstLine="723"/>
        <w:spacing w:line="360" w:lineRule="auto"/>
        <w:rPr>
          <w:rFonts w:hint="eastAsia" w:ascii="仿宋" w:hAnsi="仿宋" w:eastAsia="仿宋" w:cs="仿宋"/>
          <w:b/>
          <w:sz w:val="24"/>
        </w:rPr>
      </w:pPr>
      <w:r>
        <w:rPr>
          <w:rFonts w:hint="eastAsia" w:ascii="仿宋" w:hAnsi="仿宋" w:eastAsia="仿宋" w:cs="仿宋"/>
          <w:b/>
          <w:sz w:val="24"/>
        </w:rPr>
        <w:t xml:space="preserve">账号：523900010810166</w:t>
      </w:r>
      <w:r>
        <w:rPr>
          <w:rFonts w:hint="eastAsia" w:ascii="仿宋" w:hAnsi="仿宋" w:eastAsia="仿宋" w:cs="仿宋"/>
          <w:b/>
          <w:sz w:val="24"/>
        </w:rPr>
        <w:tab/>
      </w:r>
      <w:r/>
    </w:p>
    <w:p>
      <w:pPr>
        <w:ind w:left="130" w:firstLine="420"/>
        <w:jc w:val="left"/>
        <w:spacing w:line="360" w:lineRule="auto"/>
        <w:tabs>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仿宋"/>
          <w:bCs/>
          <w:sz w:val="24"/>
          <w:szCs w:val="24"/>
        </w:rPr>
        <w:t xml:space="preserve">2.采购人应当自中标通知书发出之日起三十日内，按照采购文件和中标人投标文件的约定，与中标人签订书面合同。所签订的合同不得对采购文件和中标人投标文件作实质性修改。采购人不得向中标人提出任何不合理的要求，作为签订合同的条件，不得与中标人私下订立背离合同实质性内容的协议。采购人应当自政府采购合同签订之日起2个工作日内，将政府采购合同在省级以上人民政府财政部门指定的媒体上公告，但政府采购合同中涉及国家秘密、商业秘密的内容除外。</w:t>
      </w:r>
      <w:r/>
    </w:p>
    <w:p>
      <w:pPr>
        <w:ind w:left="130" w:firstLine="420"/>
        <w:jc w:val="left"/>
        <w:spacing w:line="360" w:lineRule="auto"/>
        <w:tabs>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仿宋"/>
          <w:bCs/>
          <w:sz w:val="24"/>
          <w:szCs w:val="24"/>
        </w:rPr>
        <w:t xml:space="preserve">3．中标方非因不可抗力未履行采购文件、投标文件和合同规定的义务，一经查实，代理公司将根据具体情况提请政府采购管理部门作出相应处理。</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十六、中标服务费</w:t>
      </w:r>
      <w:r/>
    </w:p>
    <w:p>
      <w:pPr>
        <w:ind w:left="130" w:firstLine="420"/>
        <w:jc w:val="left"/>
        <w:spacing w:line="360" w:lineRule="auto"/>
        <w:tabs>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仿宋"/>
          <w:bCs/>
          <w:sz w:val="24"/>
          <w:szCs w:val="24"/>
        </w:rPr>
        <w:t xml:space="preserve">中标服务费按《招标代理服务收费管理暂行办法》（计价格[2002]1980号）*10%计取，中标人在领取中标通知书时向代理机构一次性付清；专家评审费由采购人支付。</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十七、特别提醒</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投标单位如有提供不实材料，弄虚作假者，一律作无效投标处理，该不良行为予以公示。</w:t>
      </w:r>
      <w:r/>
    </w:p>
    <w:p>
      <w:pPr>
        <w:ind w:firstLine="480"/>
        <w:jc w:val="left"/>
        <w:spacing w:line="360" w:lineRule="auto"/>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十八、政府采购政策功能落实</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1.小微型企业价格扣除</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（1）本项目对小型和微型企业给予10%的扣除价格，用扣除后的价格参与评审。</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（2）供应商需按照采购文件的要求提供相应的《企业声明函》。</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（3）企业标准请参照《关于印发中小企业划型标准规定的通知》（工信部联企业[2011]300号）文件规定自行填写。</w:t>
      </w:r>
      <w:r/>
    </w:p>
    <w:p>
      <w:pPr>
        <w:pStyle w:val="916"/>
        <w:spacing w:before="0" w:after="0"/>
        <w:rPr>
          <w:rFonts w:hint="eastAsia" w:ascii="仿宋" w:hAnsi="仿宋" w:eastAsia="仿宋" w:cs="仿宋"/>
        </w:rPr>
      </w:pPr>
      <w:r>
        <w:rPr>
          <w:rFonts w:hint="eastAsia" w:ascii="仿宋" w:hAnsi="仿宋" w:eastAsia="仿宋" w:cs="仿宋"/>
        </w:rPr>
        <w:t xml:space="preserve">2.残疾人福利性单位价格扣除</w:t>
      </w:r>
      <w:r/>
    </w:p>
    <w:p>
      <w:pPr>
        <w:pStyle w:val="916"/>
        <w:ind w:firstLine="360"/>
        <w:spacing w:before="0" w:after="0"/>
        <w:rPr>
          <w:rFonts w:hint="eastAsia" w:ascii="仿宋" w:hAnsi="仿宋" w:eastAsia="仿宋" w:cs="仿宋"/>
        </w:rPr>
      </w:pPr>
      <w:r>
        <w:rPr>
          <w:rFonts w:hint="eastAsia" w:ascii="仿宋" w:hAnsi="仿宋" w:eastAsia="仿宋" w:cs="仿宋"/>
        </w:rPr>
        <w:t xml:space="preserve">（1）本项目对残疾人福利性单位视同小型、微型企业，给予10%的价格扣除，用扣除后的价格参与评审。</w:t>
      </w:r>
      <w:r/>
    </w:p>
    <w:p>
      <w:pPr>
        <w:pStyle w:val="916"/>
        <w:ind w:firstLine="360"/>
        <w:spacing w:before="0" w:after="0"/>
        <w:rPr>
          <w:rFonts w:hint="eastAsia" w:ascii="仿宋" w:hAnsi="仿宋" w:eastAsia="仿宋" w:cs="仿宋"/>
        </w:rPr>
      </w:pPr>
      <w:r>
        <w:rPr>
          <w:rFonts w:hint="eastAsia" w:ascii="仿宋" w:hAnsi="仿宋" w:eastAsia="仿宋" w:cs="仿宋"/>
        </w:rPr>
        <w:t xml:space="preserve">（2）残疾人福利性单位需按照采购文件的要求提供《残疾人福利性单位声明函》。</w:t>
      </w:r>
      <w:r/>
    </w:p>
    <w:p>
      <w:pPr>
        <w:pStyle w:val="916"/>
        <w:ind w:firstLine="360"/>
        <w:spacing w:before="0" w:after="0"/>
        <w:rPr>
          <w:rFonts w:hint="eastAsia" w:ascii="仿宋" w:hAnsi="仿宋" w:eastAsia="仿宋" w:cs="仿宋"/>
        </w:rPr>
      </w:pPr>
      <w:r>
        <w:rPr>
          <w:rFonts w:hint="eastAsia" w:ascii="仿宋" w:hAnsi="仿宋" w:eastAsia="仿宋" w:cs="仿宋"/>
        </w:rPr>
        <w:t xml:space="preserve">（3）残疾人福利性单位标准请参照《关于促进残疾人就业政府采购政策的通知》（财库〔2017〕141号）。</w:t>
      </w:r>
      <w:r/>
    </w:p>
    <w:p>
      <w:pPr>
        <w:pStyle w:val="916"/>
        <w:spacing w:before="0" w:after="0"/>
        <w:rPr>
          <w:rFonts w:hint="eastAsia" w:ascii="仿宋" w:hAnsi="仿宋" w:eastAsia="仿宋" w:cs="仿宋"/>
        </w:rPr>
      </w:pPr>
      <w:r>
        <w:rPr>
          <w:rFonts w:hint="eastAsia" w:ascii="仿宋" w:hAnsi="仿宋" w:eastAsia="仿宋" w:cs="仿宋"/>
        </w:rPr>
        <w:t xml:space="preserve">3.监狱和戒毒企业价格扣除</w:t>
      </w:r>
      <w:r/>
    </w:p>
    <w:p>
      <w:pPr>
        <w:pStyle w:val="916"/>
        <w:spacing w:before="0" w:after="0"/>
        <w:rPr>
          <w:rFonts w:hint="eastAsia" w:ascii="仿宋" w:hAnsi="仿宋" w:eastAsia="仿宋" w:cs="仿宋"/>
        </w:rPr>
      </w:pPr>
      <w:r>
        <w:rPr>
          <w:rFonts w:hint="eastAsia" w:ascii="仿宋" w:hAnsi="仿宋" w:eastAsia="仿宋" w:cs="仿宋"/>
        </w:rPr>
        <w:t xml:space="preserve">（1）本项目对监狱和戒毒企业（简称监狱企业）视同小型、微型企业，给予10%的价格扣除，用扣除后的价格参与评审。</w:t>
      </w:r>
      <w:r/>
    </w:p>
    <w:p>
      <w:pPr>
        <w:pStyle w:val="916"/>
        <w:spacing w:before="0" w:after="0"/>
        <w:rPr>
          <w:rFonts w:hint="eastAsia" w:ascii="仿宋" w:hAnsi="仿宋" w:eastAsia="仿宋" w:cs="仿宋"/>
        </w:rPr>
      </w:pPr>
      <w:r>
        <w:rPr>
          <w:rFonts w:hint="eastAsia" w:ascii="仿宋" w:hAnsi="仿宋" w:eastAsia="仿宋" w:cs="仿宋"/>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6"/>
        <w:spacing w:before="0" w:after="0"/>
        <w:rPr>
          <w:rFonts w:hint="eastAsia" w:ascii="仿宋" w:hAnsi="仿宋" w:eastAsia="仿宋" w:cs="仿宋"/>
        </w:rPr>
      </w:pPr>
      <w:r>
        <w:rPr>
          <w:rFonts w:hint="eastAsia" w:ascii="仿宋" w:hAnsi="仿宋" w:eastAsia="仿宋" w:cs="仿宋"/>
        </w:rPr>
        <w:t xml:space="preserve">（3）监狱企业标准请参照《关于政府采购支持监狱企业发展有关问题的通知》（财库[2014]68号）。</w:t>
      </w:r>
      <w:r/>
    </w:p>
    <w:p>
      <w:pPr>
        <w:pStyle w:val="916"/>
        <w:spacing w:before="0" w:after="0"/>
        <w:rPr>
          <w:rFonts w:hint="eastAsia" w:ascii="仿宋" w:hAnsi="仿宋" w:eastAsia="仿宋" w:cs="仿宋"/>
        </w:rPr>
      </w:pPr>
      <w:r>
        <w:rPr>
          <w:rFonts w:hint="eastAsia" w:ascii="仿宋" w:hAnsi="仿宋" w:eastAsia="仿宋" w:cs="仿宋"/>
        </w:rPr>
        <w:t xml:space="preserve">4.残疾人福利性单位、监狱企业属于小型、微型企业的，不重复享受政策。</w:t>
      </w:r>
      <w:r/>
    </w:p>
    <w:p>
      <w:pPr>
        <w:pStyle w:val="916"/>
        <w:spacing w:before="0" w:after="0"/>
        <w:rPr>
          <w:rFonts w:hint="eastAsia" w:ascii="仿宋" w:hAnsi="仿宋" w:eastAsia="仿宋" w:cs="仿宋"/>
        </w:rPr>
      </w:pPr>
      <w:r>
        <w:rPr>
          <w:rFonts w:hint="eastAsia" w:ascii="仿宋" w:hAnsi="仿宋" w:eastAsia="仿宋" w:cs="仿宋"/>
        </w:rPr>
        <w:t xml:space="preserve">5.大中型企业和其他自然人、法人或者其他组织并与小型、微型企业（残疾人福利性单位、监狱企业）组成联合体共同参加政府采购活动。联合协议中约定，小型、微型企业（残疾人福利性单位、监狱企业）的协议合同金额占到联合体协议合同总金额30%以上的，给予联合体6%的价格扣除，用扣除后的价格参与评审。</w:t>
      </w:r>
      <w:r/>
    </w:p>
    <w:p>
      <w:pPr>
        <w:pStyle w:val="916"/>
        <w:spacing w:before="0" w:after="0"/>
        <w:rPr>
          <w:rFonts w:hint="eastAsia" w:ascii="仿宋" w:hAnsi="仿宋" w:eastAsia="仿宋" w:cs="仿宋"/>
        </w:rPr>
      </w:pPr>
      <w:r>
        <w:rPr>
          <w:rFonts w:hint="eastAsia" w:ascii="仿宋" w:hAnsi="仿宋" w:eastAsia="仿宋" w:cs="仿宋"/>
        </w:rPr>
        <w:t xml:space="preserve">6.联合体各方均为小型、微型企业（残疾人福利性单位、监狱企业）的，联合体享受10%价格扣除，用扣除后的价格参与评审。</w:t>
      </w:r>
      <w:r/>
    </w:p>
    <w:p>
      <w:pPr>
        <w:pStyle w:val="916"/>
        <w:spacing w:before="0" w:after="0"/>
        <w:rPr>
          <w:rFonts w:hint="eastAsia" w:ascii="仿宋" w:hAnsi="仿宋" w:eastAsia="仿宋" w:cs="仿宋"/>
        </w:rPr>
      </w:pPr>
      <w:r>
        <w:rPr>
          <w:rFonts w:hint="eastAsia" w:ascii="仿宋" w:hAnsi="仿宋" w:eastAsia="仿宋" w:cs="仿宋"/>
        </w:rPr>
        <w:t xml:space="preserve">7.本项目属于</w:t>
      </w:r>
      <w:r>
        <w:rPr>
          <w:rFonts w:hint="eastAsia" w:ascii="仿宋" w:hAnsi="仿宋" w:eastAsia="仿宋" w:cs="仿宋"/>
          <w:u w:val="single"/>
        </w:rPr>
        <w:t xml:space="preserve">其他未列明行业类</w:t>
      </w:r>
      <w:r>
        <w:rPr>
          <w:rFonts w:hint="eastAsia" w:ascii="仿宋" w:hAnsi="仿宋" w:eastAsia="仿宋" w:cs="仿宋"/>
        </w:rPr>
        <w:t xml:space="preserve">，根据工信部等部委发布的【《关于印发中小企业划型标准规定的通知》（工信部联企业〔2011〕300号）】，按照本次采购标的所属行业的划型标准，符合条件的中小企业应按照采购文件格式要求提供《中小企业声明函》。请正确填写中小企业声明函，如填写错误或未填报或缺项、漏项则报价不作相应扣除。提交中小企业声明函并中标的，随中标结果公告一同公示。</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jc w:val="center"/>
        <w:rPr>
          <w:b/>
          <w:bCs/>
          <w:sz w:val="32"/>
          <w:szCs w:val="36"/>
        </w:rPr>
      </w:pPr>
      <w:r>
        <w:rPr>
          <w:rFonts w:hint="eastAsia" w:ascii="黑体" w:hAnsi="华文中宋" w:eastAsia="黑体"/>
          <w:bCs/>
          <w:sz w:val="32"/>
          <w:szCs w:val="30"/>
        </w:rPr>
        <w:t xml:space="preserve">第三章 </w:t>
      </w:r>
      <w:r>
        <w:rPr>
          <w:rFonts w:hint="eastAsia"/>
          <w:b/>
          <w:bCs/>
          <w:sz w:val="32"/>
          <w:szCs w:val="36"/>
        </w:rPr>
        <w:t xml:space="preserve">采购需求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一、项目名称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海陵区智慧电梯管理项目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二、建设地点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涉及全区95个小区及1个老年康乐中心。</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三、项目建设目标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作为全国第一期市域社会治理现代化试点城市，近年来，泰州市坚持以习近平新时代中国特色社会主义思想为指导，致力打造长三角地区最具安全感城市，积极探索具有时代特征和市域特点的社会治理新模式，群众安全感始终保持全省前列。</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泰州市各地开始现代化治理体系建设项目如火如荼。这些项目以提高政府治理能力为出发点，大力提高政府信息化水平，进一步推进“互联网+政务服务”建设，加快数据汇聚共享开放，推动信用城市建设，以信息化推进政府治理体系和治理能力现代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泰州市海陵区经济发展快速。2023年，海陵</w:t>
      </w:r>
      <w:r>
        <w:rPr>
          <w:rFonts w:hint="eastAsia" w:ascii="仿宋" w:hAnsi="仿宋" w:eastAsia="仿宋" w:cs="仿宋"/>
          <w:sz w:val="24"/>
          <w:szCs w:val="24"/>
        </w:rPr>
        <w:t xml:space="preserve">区地区生产总值780.6亿元，同比增长6.5%。随着海陵区经济社会的迅猛发展和城市化进程的加快，电梯作为高层建筑必不可少的垂直交运工具也迎来井喷式发展。截至2024年5月27日，全区在用电梯总量已达6317台，每年以约6％左右的速度增加，其中使用年限超15年的电梯有406台。然而随着电梯数量的不断增多，电梯老龄化、电梯维保不到位、使用不规范、电梯监管难度大等问题日益突出，电梯安全已经成为百姓关心，社会舆论关注的热点问题。与此同时电梯人流量大，人员杂，容易产生消防隐患。电梯轿厢往往成为社会综合治理的一个盲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为更全面、更高效地提升海陵区百姓</w:t>
      </w:r>
      <w:r>
        <w:rPr>
          <w:rFonts w:hint="eastAsia" w:ascii="仿宋" w:hAnsi="仿宋" w:eastAsia="仿宋" w:cs="仿宋"/>
          <w:sz w:val="24"/>
          <w:szCs w:val="24"/>
        </w:rPr>
        <w:t xml:space="preserve">的乘梯安全水平，保障人民的生命财产安全，提高海陵区政府的电梯监管效率，降低电梯场景的各类风险，不断提升海陵区电梯智慧管理综合治理水平，通过对海陵区现有电梯信息化管理水平的调研及需求评估，决定建设海陵区智慧电梯管理项目，通过持续加强项目管理、优化实施方案，并借助信息化手段，建设海陵区住宅小区电梯智慧监管项目，将全面提升海陵区电梯智慧管理的综合水平。这一举措不仅有助于市民的乘梯安全，同时也将减轻政府的财政压力，推动城市治理和市场监管的现代化进程，为海陵区打造更加智慧、安全的城市环境，为市民提供更贴心的公共服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w:t>
      </w:r>
      <w:bookmarkStart w:id="13" w:name="_Toc16233"/>
      <w:r/>
      <w:bookmarkStart w:id="14" w:name="_Toc22410"/>
      <w:r/>
      <w:bookmarkStart w:id="15" w:name="_Toc18522"/>
      <w:r/>
      <w:bookmarkStart w:id="16" w:name="_Toc32358"/>
      <w:r/>
      <w:bookmarkStart w:id="17" w:name="_Toc24826"/>
      <w:r/>
      <w:bookmarkStart w:id="18" w:name="_Toc5964"/>
      <w:r/>
      <w:bookmarkStart w:id="19" w:name="_Toc7728"/>
      <w:r/>
      <w:bookmarkStart w:id="20" w:name="_Toc1443"/>
      <w:r/>
      <w:bookmarkStart w:id="21" w:name="_Toc8178"/>
      <w:r/>
      <w:bookmarkStart w:id="22" w:name="_Toc29503"/>
      <w:r/>
      <w:bookmarkStart w:id="23" w:name="_Toc29773"/>
      <w:r>
        <w:rPr>
          <w:rFonts w:hint="eastAsia" w:ascii="仿宋" w:hAnsi="仿宋" w:eastAsia="仿宋" w:cs="仿宋"/>
          <w:sz w:val="24"/>
          <w:szCs w:val="24"/>
        </w:rPr>
        <w:t xml:space="preserve">项目建设原则</w:t>
      </w:r>
      <w:bookmarkEnd w:id="13"/>
      <w:r/>
      <w:bookmarkEnd w:id="14"/>
      <w:r/>
      <w:bookmarkEnd w:id="15"/>
      <w:r/>
      <w:bookmarkEnd w:id="16"/>
      <w:r/>
      <w:bookmarkEnd w:id="17"/>
      <w:r/>
      <w:bookmarkEnd w:id="18"/>
      <w:r/>
      <w:bookmarkEnd w:id="19"/>
      <w:r/>
      <w:bookmarkEnd w:id="20"/>
      <w:r/>
      <w:bookmarkEnd w:id="21"/>
      <w:r/>
      <w:bookmarkEnd w:id="22"/>
      <w:r/>
      <w:bookmarkEnd w:id="23"/>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以海陵区实际需求与信息化建设水平位基础，结合最新技术发展和监管需求变化，适度在重点领域开发较为前沿的创新技术，以经济实用、高效节能、先进可靠为前提，优化升级电梯场景的监管能力，提升电梯消防智控能力，聚焦电梯安全本质实现电梯场景下的智慧监管，为百姓提供更智能化、高效化的城市电梯管理和服务。具体建设原则如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1.需求导向与服务优化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梯安全作为一项关键的民生工程，其运行的好坏事关老百姓的生命和财产安全。项目将坚定不移地以人民的安全感和满意度为核心，在充分调研百姓需求后，以提升电梯运行的效率和监管的服务质量为目的进行项目规划，提高市民的满意度和幸福感，促进城市的可持续发展。</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2.数据融合与共享</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梯场景数据丰富，是智慧城市数据管理的重要补充。因此，本项也承担着推动电梯场景各类数据的高效汇聚、深度融合和广泛共享，打破信息孤岛，实现数据资源的最大化利用的目的，为后续海陵区实现一网统管打下坚实基础。</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3.加强资源整合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认真调研业务现状，以系统应用需求为引领，统筹整合现有资源，做好顶层规划设计，提高基础设施资源利用率，实现相关资源的按需调配、有效共享。在避免重复投资建设的同时，实现建设集约化、信息共享化、服务标准化、效益最大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4.突出智能运用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充分考虑电梯等特种设备信息技术和信息需求的发展的趋势，在技术上应具有一定的超前性，采用较为先进的大数据、物联网、人工智能新理念和新技术，适应市监局业务管理的科技发展需求，以适度超前的意识为指导原则，保证建成的项目系统在5年内不落后。设计中以集成化和数字化的主流产品为核心，确保系统在技术上领先，成熟稳定，符合今后的发展趋势。</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5.专注可靠运行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用被实践证明为成熟和实用的技术和设备，最大限度地满足项目现在和将来的业务发展需要，确保耐久实用。系统管理功能全面，能充分满足项目自身各种业务的管理要求。应具有完全的操作环境，界面简练、友好，联机帮助功能健全有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6.满足开放扩展</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为了满足系统所选用的技术和设备的协同运行能力以及信息化工作发展需求的不断扩展，必须追求系统的开放性，采用开放的技术标准。系统设计中各子系统均提供了标准化和开放性的接口协议，保证了各子系统之间的网络化与集成化实现。总体结构应具有兼容性和可扩展性，既可以包容不同厂类型的产品，便于优化换代，使整个智能化系统可以随着技术的发展与进步，不断得到充实、完善、改进和提高。</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7.保证安全冗余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智能化系统必须具有高度的安全性和稳定性，包括系统自身安全和信息传递的安全，以及运行的可靠性。对网络系统、数据系统的数据交换、存储和访问等应有有效的安全措施，防止数据被破坏、窃取、丢失等事故发生。安全级别控制健全，防止截取操作，能有效审计用户操作，以便追查事故原因。整个信息化系统需要通过信息安全测评，通过查漏补缺来确保系统的安全性。</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8.提高易用便利</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强调以人为本的设计思想，适应多功能、外向型的需求，对于来自项目内外的各种信息进行收集、处理、存储、传输、检索、查询，为项目的使用者和管理者提供有效的信息服务和充分的决策依据，为用户和管理人员提供安全、舒适、方便、快捷、高效、节约的办公环境。</w:t>
      </w:r>
      <w:r/>
    </w:p>
    <w:p>
      <w:pPr>
        <w:ind w:firstLine="480"/>
        <w:spacing w:line="360" w:lineRule="auto"/>
        <w:rPr>
          <w:rFonts w:hint="eastAsia" w:ascii="仿宋" w:hAnsi="仿宋" w:eastAsia="仿宋" w:cs="仿宋"/>
          <w:sz w:val="24"/>
          <w:szCs w:val="24"/>
        </w:rPr>
      </w:pPr>
      <w:r/>
      <w:bookmarkStart w:id="24" w:name="_Toc1633"/>
      <w:r/>
      <w:bookmarkStart w:id="25" w:name="_Toc14672"/>
      <w:r/>
      <w:bookmarkStart w:id="26" w:name="_Toc13970"/>
      <w:r/>
      <w:bookmarkStart w:id="27" w:name="_Toc25482"/>
      <w:r/>
      <w:bookmarkStart w:id="28" w:name="_Toc11093"/>
      <w:r/>
      <w:bookmarkStart w:id="29" w:name="_Toc31454"/>
      <w:r/>
      <w:bookmarkStart w:id="30" w:name="_Toc6225"/>
      <w:r/>
      <w:bookmarkStart w:id="31" w:name="_Toc31659"/>
      <w:r/>
      <w:bookmarkStart w:id="32" w:name="_Toc24815"/>
      <w:r/>
      <w:bookmarkStart w:id="33" w:name="_Toc25300"/>
      <w:r/>
      <w:bookmarkStart w:id="34" w:name="_Toc10098"/>
      <w:r>
        <w:rPr>
          <w:rFonts w:hint="eastAsia" w:ascii="仿宋" w:hAnsi="仿宋" w:eastAsia="仿宋" w:cs="仿宋"/>
          <w:sz w:val="24"/>
          <w:szCs w:val="24"/>
        </w:rPr>
        <w:t xml:space="preserve">五、项目建设内容</w:t>
      </w:r>
      <w:bookmarkEnd w:id="24"/>
      <w:r/>
      <w:bookmarkEnd w:id="25"/>
      <w:r/>
      <w:bookmarkEnd w:id="26"/>
      <w:r/>
      <w:bookmarkEnd w:id="27"/>
      <w:r/>
      <w:bookmarkEnd w:id="28"/>
      <w:r/>
      <w:bookmarkEnd w:id="29"/>
      <w:r/>
      <w:bookmarkEnd w:id="30"/>
      <w:r/>
      <w:bookmarkEnd w:id="31"/>
      <w:r/>
      <w:bookmarkEnd w:id="32"/>
      <w:r/>
      <w:bookmarkEnd w:id="33"/>
      <w:r/>
      <w:bookmarkEnd w:id="34"/>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海陵区智慧电梯管理项目主要围绕创建电梯监管的智能化发展、电梯场景消防隐患管理浪潮</w:t>
      </w:r>
      <w:r>
        <w:rPr>
          <w:rFonts w:hint="eastAsia" w:ascii="仿宋" w:hAnsi="仿宋" w:eastAsia="仿宋" w:cs="仿宋"/>
          <w:sz w:val="24"/>
          <w:szCs w:val="24"/>
        </w:rPr>
        <w:t xml:space="preserve">，实现全区3446台电梯的数字化改造工作（所有的电梯均加装电梯摄像机，其中100台电梯加装智慧电梯传感器，20台电梯加装18.5寸信息发布屏），并充分运用移动互联网、云计算、大数据等新一代信息技术，完成海陵区智慧电梯管理项目的开发，建设以“一库”（电梯数据中心）为基础，以“两大平台”（使用单位管理平台、智能监测平台）为支撑，以“一图”（智慧决策数据驾驶舱）为核心，以物业电梯管理平台和APP为链接，构建共建、共治、共享的电梯安全社会治理新格局，为海陵区打造更加智慧、安全的城市环境，为市民提供更贴心的公共服务。</w:t>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（一）海陵区智慧电梯管理平台软件建设：包括“一库”（电梯数据中心），“两大平台”（使用单位管理平台、智能监测平台），“一图”（智慧决策数据驾驶舱），物业电梯管理平台和APP等。</w:t>
      </w:r>
      <w:r/>
    </w:p>
    <w:p>
      <w:pPr>
        <w:pStyle w:val="928"/>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本项目所开发的电梯监管平台，是紧紧围绕着当前海陵区电梯管理核心诉求进行开发的智慧平台，具体开发需求如下：</w:t>
      </w:r>
      <w:r/>
    </w:p>
    <w:p>
      <w:pPr>
        <w:pStyle w:val="92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1.1电梯数据中心</w:t>
      </w:r>
      <w:r/>
    </w:p>
    <w:p>
      <w:pPr>
        <w:pStyle w:val="928"/>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建立统一的电梯数据中心，将电梯基础数据、运行数据、救援数据、故障数据、监检数据等内容进行统一归类存储。通过数据中心，可以实现跨部门的数据共享，加强数据分析能力，从而更准确地识别电梯运行中的问题和安全隐患。</w:t>
      </w:r>
      <w:r/>
    </w:p>
    <w:p>
      <w:pPr>
        <w:pStyle w:val="92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1.2使用单位管理平台</w:t>
      </w:r>
      <w:r/>
    </w:p>
    <w:p>
      <w:pPr>
        <w:pStyle w:val="928"/>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建立使用单位管理平台。能够将使用单位信息和电梯信息一一对应。方便在使用单位信息发生改变时，及时更新相关数据。</w:t>
      </w:r>
      <w:r/>
    </w:p>
    <w:p>
      <w:pPr>
        <w:pStyle w:val="92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1.3智能监测平台</w:t>
      </w:r>
      <w:r/>
    </w:p>
    <w:p>
      <w:pPr>
        <w:pStyle w:val="928"/>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智能监测平台用来对海陵区所有电梯音视频采集设备运行情况及告警进行实时展示和统计分析。通过该平台的搭建，能够看到电动车入梯、电梯运行数据等实时数据，是海陵区实现电梯场景数字化监管的突破。</w:t>
      </w:r>
      <w:r/>
    </w:p>
    <w:p>
      <w:pPr>
        <w:pStyle w:val="92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1.4智慧决策数据驾驶舱</w:t>
      </w:r>
      <w:r/>
    </w:p>
    <w:p>
      <w:pPr>
        <w:pStyle w:val="928"/>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智能决策数据驾驶仓即是海陵区电梯场景数字化监管转型的展示口，亦是监管人员的决策助手。通过数据动态、可视的直观展现，辅助监管人员做出更加科学的决策，有助于提升电梯安全管理水平，保障乘客安全，同时也提高了监管工作的效率和效果。</w:t>
      </w:r>
      <w:r/>
    </w:p>
    <w:p>
      <w:pPr>
        <w:pStyle w:val="92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1.5智慧决策数据驾驶舱</w:t>
      </w:r>
      <w:r/>
    </w:p>
    <w:p>
      <w:pPr>
        <w:pStyle w:val="928"/>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智能决策数据驾驶仓即是海陵区电梯场景数字化监管转型的展示口，亦是监管人员的决策助手。通过数据动态、可视的直观展现，辅助监管人员做出更加科学的决策，有助于提升电梯安全管理水平，保障乘客安全，同时也提高了监管工作的效率和效果。</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1.6物业电梯管理平台及APP应用软件开发</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所开发的物业电梯管理平台及APP应用软件，通过建立面向多个相关方的统一应用实现不同层面上的数据整合和共享。实现政府、物业共同参与电梯事务的管理和决策，形成多元共治的社会治理新格，是多元共治的重要实践。</w:t>
      </w:r>
      <w:r/>
    </w:p>
    <w:p>
      <w:pPr>
        <w:pStyle w:val="742"/>
        <w:ind w:firstLine="420"/>
        <w:rPr>
          <w:rFonts w:hint="eastAsia" w:ascii="仿宋" w:hAnsi="仿宋" w:eastAsia="仿宋" w:cs="仿宋"/>
        </w:rPr>
      </w:pPr>
      <w:r>
        <w:rPr>
          <w:rFonts w:hint="eastAsia" w:ascii="仿宋" w:hAnsi="仿宋" w:eastAsia="仿宋" w:cs="仿宋"/>
        </w:rPr>
        <w:t xml:space="preserve">本项目对于物业电梯管理平台及APP应用软件具体需求有：实时监控电梯轿厢视频、各类告警及时推送、困人救援全流程可视、维保结果及明细可查、告警可向消防、社区、物业多级推送、可对电梯智能生成管理报表。对于社区管理者，具备物业通知公告审核下发的能力、具备对物业人员管理的能力。</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1.7</w:t>
      </w:r>
      <w:bookmarkStart w:id="35" w:name="_Toc3052"/>
      <w:r/>
      <w:bookmarkStart w:id="36" w:name="_Toc29910"/>
      <w:r/>
      <w:bookmarkStart w:id="37" w:name="_Toc19272"/>
      <w:r/>
      <w:bookmarkStart w:id="38" w:name="_Toc16686"/>
      <w:r/>
      <w:bookmarkStart w:id="39" w:name="_Toc5967"/>
      <w:r/>
      <w:bookmarkStart w:id="40" w:name="_Toc16564"/>
      <w:r/>
      <w:bookmarkStart w:id="41" w:name="_Toc11592"/>
      <w:r/>
      <w:bookmarkStart w:id="42" w:name="_Toc22872"/>
      <w:r/>
      <w:bookmarkStart w:id="43" w:name="_Toc28839"/>
      <w:r/>
      <w:bookmarkStart w:id="44" w:name="_Toc20062"/>
      <w:r/>
      <w:bookmarkStart w:id="45" w:name="_Toc11606"/>
      <w:r/>
      <w:bookmarkStart w:id="46" w:name="_Toc15451"/>
      <w:r>
        <w:rPr>
          <w:rFonts w:hint="eastAsia" w:ascii="仿宋" w:hAnsi="仿宋" w:eastAsia="仿宋" w:cs="仿宋"/>
          <w:sz w:val="24"/>
          <w:szCs w:val="24"/>
        </w:rPr>
        <w:t xml:space="preserve">性能需求</w:t>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平台至少支持4千台电梯设备的大数据接入的性能要求，根据海陵区电梯增长趋势及平台未来的升级拓展，后期需能满足1万台电梯的大数据接入性能要求。</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平台需满足最多4000个终端同时在线的需要。</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其它应按行业标准和规范执行。</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具备良好的可扩展性，在业务量增加时，能够向外扩展，以充分利用硬件系统的资源，满足业务不断发展的需求。应支持负载均衡和故障转移技术，保障业务不间断运行。能够将负载分布到多个应用服务器上；采用多线程的工作模式，实现线程池的自动调度功能。</w:t>
      </w:r>
      <w:bookmarkStart w:id="47" w:name="_Toc2247"/>
      <w:r/>
      <w:bookmarkStart w:id="48" w:name="_Toc6282"/>
      <w:r/>
      <w:bookmarkStart w:id="49" w:name="_Toc8059"/>
      <w:r/>
      <w:bookmarkStart w:id="50" w:name="_Toc28716"/>
      <w:r/>
      <w:bookmarkStart w:id="51" w:name="_Toc9110"/>
      <w:r/>
      <w:bookmarkStart w:id="52" w:name="_Toc2085"/>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1.8数据中心资源需求</w:t>
      </w:r>
      <w:bookmarkEnd w:id="47"/>
      <w:r/>
      <w:bookmarkEnd w:id="48"/>
      <w:r/>
      <w:bookmarkEnd w:id="49"/>
      <w:r/>
      <w:bookmarkEnd w:id="50"/>
      <w:r/>
      <w:bookmarkEnd w:id="51"/>
      <w:r/>
      <w:bookmarkEnd w:id="52"/>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期项目应充分考虑系统的运行流畅性和数据的安全保密性，应用系统、存储系统集中部署，充分利用泰州市大数据政务云平台资源。平台资源包含应用系统、存储系统、安全系统、云平台系统软件、网络资源等方面内容。</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主机存储系统方面，本项目需要新增WEB服务器、数据库服务器和存储阵列等。</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系统软件方面，本项目需要建设应用系统运行环境需要的操作系统、数据库软件和PAAS能力软件等。</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1.9</w:t>
      </w:r>
      <w:bookmarkStart w:id="53" w:name="_Toc119150884"/>
      <w:r/>
      <w:bookmarkStart w:id="54" w:name="_Toc16997"/>
      <w:r/>
      <w:bookmarkStart w:id="55" w:name="_Toc15765"/>
      <w:r>
        <w:rPr>
          <w:rFonts w:hint="eastAsia" w:ascii="仿宋" w:hAnsi="仿宋" w:eastAsia="仿宋" w:cs="仿宋"/>
          <w:sz w:val="24"/>
          <w:szCs w:val="24"/>
        </w:rPr>
        <w:t xml:space="preserve">服务器需求</w:t>
      </w:r>
      <w:bookmarkEnd w:id="53"/>
      <w:r/>
      <w:bookmarkEnd w:id="54"/>
      <w:r/>
      <w:bookmarkEnd w:id="55"/>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虚拟化技术是实现泰州市政务网云计算平台的基础。充分利用泰州市政务网云计算平台提供的服务器资源，不仅能实现应用快速部署、业务连续性保护、测试/开发自动化管理，还能实现资源共享，节约建设成本、提高服务响应速度、实现应用快速恢复。</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因此，本着资源整合与共享的目的，并结合本期项目平台对服务器资源提出的较高的要求，需要泰州市政务云平台提供相应的服务器资源以满足应用部署的需求。</w:t>
      </w:r>
      <w:r/>
    </w:p>
    <w:p>
      <w:pPr>
        <w:ind w:firstLine="480"/>
        <w:jc w:val="left"/>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本项目结合业务特征及政务网云平台的分区安全策略，主要有以下服务器建设需求</w:t>
      </w:r>
      <w:r>
        <w:rPr>
          <w:rFonts w:hint="eastAsia" w:ascii="仿宋" w:hAnsi="仿宋" w:eastAsia="仿宋" w:cs="仿宋"/>
          <w:b/>
          <w:bCs/>
          <w:sz w:val="24"/>
          <w:szCs w:val="24"/>
        </w:rPr>
        <w:t xml:space="preserve">（以实际中标单位方案为准）</w:t>
      </w:r>
      <w:r/>
    </w:p>
    <w:tbl>
      <w:tblPr>
        <w:tblStyle w:val="734"/>
        <w:tblW w:w="5448"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57" w:type="dxa"/>
          <w:top w:w="0" w:type="dxa"/>
          <w:right w:w="57" w:type="dxa"/>
          <w:bottom w:w="0" w:type="dxa"/>
        </w:tblCellMar>
        <w:tblLook w:val="04A0" w:firstRow="1" w:lastRow="0" w:firstColumn="1" w:lastColumn="0" w:noHBand="0" w:noVBand="1"/>
      </w:tblPr>
      <w:tblGrid>
        <w:gridCol w:w="724"/>
        <w:gridCol w:w="1467"/>
        <w:gridCol w:w="1326"/>
        <w:gridCol w:w="2076"/>
        <w:gridCol w:w="2435"/>
        <w:gridCol w:w="651"/>
        <w:gridCol w:w="737"/>
      </w:tblGrid>
      <w:tr>
        <w:trPr>
          <w:trHeight w:val="764"/>
          <w:tblHeader/>
        </w:trPr>
        <w:tc>
          <w:tcPr>
            <w:shd w:val="clear" w:color="auto" w:fill="ffffff" w:themeFill="background1"/>
            <w:tcW w:w="385" w:type="pct"/>
            <w:vAlign w:val="center"/>
            <w:textDirection w:val="lrTb"/>
            <w:noWrap w:val="false"/>
          </w:tcPr>
          <w:p>
            <w:pPr>
              <w:jc w:val="center"/>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shd w:val="clear" w:color="auto" w:fill="ffffff" w:themeFill="background1"/>
            <w:tcW w:w="779" w:type="pct"/>
            <w:vAlign w:val="center"/>
            <w:textDirection w:val="lrTb"/>
            <w:noWrap w:val="false"/>
          </w:tcPr>
          <w:p>
            <w:pPr>
              <w:jc w:val="center"/>
              <w:widowControl/>
              <w:rPr>
                <w:rFonts w:hint="eastAsia" w:ascii="仿宋" w:hAnsi="仿宋" w:eastAsia="仿宋" w:cs="仿宋"/>
                <w:b/>
                <w:bCs/>
                <w:szCs w:val="21"/>
              </w:rPr>
            </w:pPr>
            <w:r>
              <w:rPr>
                <w:rFonts w:hint="eastAsia" w:ascii="仿宋" w:hAnsi="仿宋" w:eastAsia="仿宋" w:cs="仿宋"/>
                <w:b/>
                <w:bCs/>
                <w:szCs w:val="21"/>
              </w:rPr>
              <w:t xml:space="preserve">云平台类型</w:t>
            </w:r>
            <w:r/>
          </w:p>
        </w:tc>
        <w:tc>
          <w:tcPr>
            <w:shd w:val="clear" w:color="auto" w:fill="ffffff" w:themeFill="background1"/>
            <w:tcW w:w="704" w:type="pct"/>
            <w:vAlign w:val="center"/>
            <w:textDirection w:val="lrTb"/>
            <w:noWrap w:val="false"/>
          </w:tcPr>
          <w:p>
            <w:pPr>
              <w:jc w:val="center"/>
              <w:widowControl/>
              <w:rPr>
                <w:rFonts w:hint="eastAsia" w:ascii="仿宋" w:hAnsi="仿宋" w:eastAsia="仿宋" w:cs="仿宋"/>
                <w:b/>
                <w:bCs/>
                <w:szCs w:val="21"/>
              </w:rPr>
            </w:pPr>
            <w:r>
              <w:rPr>
                <w:rFonts w:hint="eastAsia" w:ascii="仿宋" w:hAnsi="仿宋" w:eastAsia="仿宋" w:cs="仿宋"/>
                <w:b/>
                <w:bCs/>
                <w:szCs w:val="21"/>
              </w:rPr>
              <w:t xml:space="preserve">设备类型</w:t>
            </w:r>
            <w:r/>
          </w:p>
        </w:tc>
        <w:tc>
          <w:tcPr>
            <w:shd w:val="clear" w:color="auto" w:fill="ffffff" w:themeFill="background1"/>
            <w:tcW w:w="1102" w:type="pct"/>
            <w:vAlign w:val="center"/>
            <w:textDirection w:val="lrTb"/>
            <w:noWrap w:val="false"/>
          </w:tcPr>
          <w:p>
            <w:pPr>
              <w:jc w:val="center"/>
              <w:widowControl/>
              <w:rPr>
                <w:rFonts w:hint="eastAsia" w:ascii="仿宋" w:hAnsi="仿宋" w:eastAsia="仿宋" w:cs="仿宋"/>
                <w:b/>
                <w:bCs/>
                <w:szCs w:val="21"/>
              </w:rPr>
            </w:pPr>
            <w:r>
              <w:rPr>
                <w:rFonts w:hint="eastAsia" w:ascii="仿宋" w:hAnsi="仿宋" w:eastAsia="仿宋" w:cs="仿宋"/>
                <w:b/>
                <w:bCs/>
                <w:szCs w:val="21"/>
              </w:rPr>
              <w:t xml:space="preserve">项目名称</w:t>
            </w:r>
            <w:r/>
          </w:p>
        </w:tc>
        <w:tc>
          <w:tcPr>
            <w:shd w:val="clear" w:color="auto" w:fill="ffffff" w:themeFill="background1"/>
            <w:tcW w:w="1293" w:type="pct"/>
            <w:vAlign w:val="center"/>
            <w:textDirection w:val="lrTb"/>
            <w:noWrap w:val="false"/>
          </w:tcPr>
          <w:p>
            <w:pPr>
              <w:jc w:val="center"/>
              <w:widowControl/>
              <w:rPr>
                <w:rFonts w:hint="eastAsia" w:ascii="仿宋" w:hAnsi="仿宋" w:eastAsia="仿宋" w:cs="仿宋"/>
                <w:b/>
                <w:bCs/>
                <w:szCs w:val="21"/>
              </w:rPr>
            </w:pPr>
            <w:r>
              <w:rPr>
                <w:rFonts w:hint="eastAsia" w:ascii="仿宋" w:hAnsi="仿宋" w:eastAsia="仿宋" w:cs="仿宋"/>
                <w:b/>
                <w:bCs/>
                <w:szCs w:val="21"/>
              </w:rPr>
              <w:t xml:space="preserve">关键参数及说明</w:t>
            </w:r>
            <w:r/>
          </w:p>
        </w:tc>
        <w:tc>
          <w:tcPr>
            <w:shd w:val="clear" w:color="auto" w:fill="ffffff" w:themeFill="background1"/>
            <w:tcW w:w="346" w:type="pct"/>
            <w:vAlign w:val="center"/>
            <w:textDirection w:val="lrTb"/>
            <w:noWrap w:val="false"/>
          </w:tcPr>
          <w:p>
            <w:pPr>
              <w:jc w:val="center"/>
              <w:widowControl/>
              <w:rPr>
                <w:rFonts w:hint="eastAsia" w:ascii="仿宋" w:hAnsi="仿宋" w:eastAsia="仿宋" w:cs="仿宋"/>
                <w:b/>
                <w:bCs/>
                <w:szCs w:val="21"/>
              </w:rPr>
            </w:pPr>
            <w:r>
              <w:rPr>
                <w:rFonts w:hint="eastAsia" w:ascii="仿宋" w:hAnsi="仿宋" w:eastAsia="仿宋" w:cs="仿宋"/>
                <w:b/>
                <w:bCs/>
                <w:szCs w:val="21"/>
              </w:rPr>
              <w:t xml:space="preserve">单位</w:t>
            </w:r>
            <w:r/>
          </w:p>
        </w:tc>
        <w:tc>
          <w:tcPr>
            <w:shd w:val="clear" w:color="auto" w:fill="ffffff" w:themeFill="background1"/>
            <w:tcW w:w="387" w:type="pct"/>
            <w:vAlign w:val="center"/>
            <w:textDirection w:val="lrTb"/>
            <w:noWrap w:val="false"/>
          </w:tcPr>
          <w:p>
            <w:pPr>
              <w:jc w:val="center"/>
              <w:widowControl/>
              <w:rPr>
                <w:rFonts w:hint="eastAsia" w:ascii="仿宋" w:hAnsi="仿宋" w:eastAsia="仿宋" w:cs="仿宋"/>
                <w:b/>
                <w:bCs/>
                <w:szCs w:val="21"/>
              </w:rPr>
            </w:pPr>
            <w:r>
              <w:rPr>
                <w:rFonts w:hint="eastAsia" w:ascii="仿宋" w:hAnsi="仿宋" w:eastAsia="仿宋" w:cs="仿宋"/>
                <w:b/>
                <w:bCs/>
                <w:szCs w:val="21"/>
              </w:rPr>
              <w:t xml:space="preserve">数量</w:t>
            </w:r>
            <w:r/>
          </w:p>
        </w:tc>
      </w:tr>
      <w:tr>
        <w:trPr>
          <w:trHeight w:val="522"/>
        </w:trPr>
        <w:tc>
          <w:tcPr>
            <w:gridSpan w:val="7"/>
            <w:shd w:val="clear" w:color="auto" w:fill="ffffff" w:themeFill="background1"/>
            <w:tcW w:w="5000"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b/>
                <w:bCs/>
                <w:szCs w:val="21"/>
              </w:rPr>
              <w:t xml:space="preserve">应用服务器</w:t>
            </w:r>
            <w:r/>
          </w:p>
        </w:tc>
      </w:tr>
      <w:tr>
        <w:trPr>
          <w:trHeight w:val="547"/>
        </w:trPr>
        <w:tc>
          <w:tcPr>
            <w:shd w:val="clear" w:color="auto" w:fill="ffffff" w:themeFill="background1"/>
            <w:tcW w:w="385"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w:t>
            </w:r>
            <w:r/>
          </w:p>
        </w:tc>
        <w:tc>
          <w:tcPr>
            <w:shd w:val="clear" w:color="auto" w:fill="ffffff" w:themeFill="background1"/>
            <w:tcW w:w="779"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政务外网</w:t>
            </w:r>
            <w:r/>
          </w:p>
        </w:tc>
        <w:tc>
          <w:tcPr>
            <w:shd w:val="clear" w:color="auto" w:fill="ffffff" w:themeFill="background1"/>
            <w:tcW w:w="704"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主机设备</w:t>
            </w:r>
            <w:r/>
          </w:p>
        </w:tc>
        <w:tc>
          <w:tcPr>
            <w:shd w:val="clear" w:color="auto" w:fill="ffffff" w:themeFill="background1"/>
            <w:tcW w:w="1102"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电梯物联网远程监测设备平台系统</w:t>
            </w:r>
            <w:r/>
          </w:p>
        </w:tc>
        <w:tc>
          <w:tcPr>
            <w:shd w:val="clear" w:color="auto" w:fill="ffffff" w:themeFill="background1"/>
            <w:tcW w:w="1293"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四核处理器 16G内存500GB硬盘</w:t>
            </w:r>
            <w:r/>
          </w:p>
        </w:tc>
        <w:tc>
          <w:tcPr>
            <w:shd w:val="clear" w:color="auto" w:fill="ffffff" w:themeFill="background1"/>
            <w:tcW w:w="346"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台</w:t>
            </w:r>
            <w:r/>
          </w:p>
        </w:tc>
        <w:tc>
          <w:tcPr>
            <w:shd w:val="clear" w:color="auto" w:fill="ffffff" w:themeFill="background1"/>
            <w:tcW w:w="387"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w:t>
            </w:r>
            <w:r/>
          </w:p>
        </w:tc>
      </w:tr>
      <w:tr>
        <w:trPr>
          <w:trHeight w:val="540"/>
        </w:trPr>
        <w:tc>
          <w:tcPr>
            <w:gridSpan w:val="7"/>
            <w:shd w:val="clear" w:color="auto" w:fill="ffffff" w:themeFill="background1"/>
            <w:tcW w:w="5000"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b/>
                <w:bCs/>
                <w:szCs w:val="21"/>
              </w:rPr>
              <w:t xml:space="preserve">数据库服务器</w:t>
            </w:r>
            <w:r/>
          </w:p>
        </w:tc>
      </w:tr>
      <w:tr>
        <w:trPr>
          <w:trHeight w:val="547"/>
        </w:trPr>
        <w:tc>
          <w:tcPr>
            <w:shd w:val="clear" w:color="auto" w:fill="ffffff" w:themeFill="background1"/>
            <w:tcW w:w="385"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w:t>
            </w:r>
            <w:r/>
          </w:p>
        </w:tc>
        <w:tc>
          <w:tcPr>
            <w:shd w:val="clear" w:color="auto" w:fill="ffffff" w:themeFill="background1"/>
            <w:tcW w:w="779"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政务外网</w:t>
            </w:r>
            <w:r/>
          </w:p>
        </w:tc>
        <w:tc>
          <w:tcPr>
            <w:shd w:val="clear" w:color="auto" w:fill="ffffff" w:themeFill="background1"/>
            <w:tcW w:w="704"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主机设备</w:t>
            </w:r>
            <w:r/>
          </w:p>
        </w:tc>
        <w:tc>
          <w:tcPr>
            <w:shd w:val="clear" w:color="auto" w:fill="ffffff" w:themeFill="background1"/>
            <w:tcW w:w="1102"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RDS</w:t>
            </w:r>
            <w:r/>
          </w:p>
        </w:tc>
        <w:tc>
          <w:tcPr>
            <w:shd w:val="clear" w:color="auto" w:fill="ffffff" w:themeFill="background1"/>
            <w:tcW w:w="1293" w:type="pct"/>
            <w:vAlign w:val="center"/>
            <w:textDirection w:val="lrTb"/>
            <w:noWrap/>
          </w:tcPr>
          <w:p>
            <w:pPr>
              <w:widowControl/>
              <w:rPr>
                <w:rFonts w:hint="eastAsia" w:ascii="仿宋" w:hAnsi="仿宋" w:eastAsia="仿宋" w:cs="仿宋"/>
                <w:szCs w:val="21"/>
              </w:rPr>
            </w:pPr>
            <w:r>
              <w:rPr>
                <w:rFonts w:hint="eastAsia" w:ascii="仿宋" w:hAnsi="仿宋" w:eastAsia="仿宋" w:cs="仿宋"/>
                <w:szCs w:val="21"/>
              </w:rPr>
              <w:t xml:space="preserve">八核处理器 32G内存1000GB硬盘</w:t>
            </w:r>
            <w:r/>
          </w:p>
        </w:tc>
        <w:tc>
          <w:tcPr>
            <w:shd w:val="clear" w:color="auto" w:fill="ffffff" w:themeFill="background1"/>
            <w:tcW w:w="346"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台</w:t>
            </w:r>
            <w:r/>
          </w:p>
        </w:tc>
        <w:tc>
          <w:tcPr>
            <w:shd w:val="clear" w:color="auto" w:fill="ffffff" w:themeFill="background1"/>
            <w:tcW w:w="387"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w:t>
            </w:r>
            <w:r/>
          </w:p>
        </w:tc>
      </w:tr>
      <w:tr>
        <w:trPr>
          <w:trHeight w:val="677"/>
        </w:trPr>
        <w:tc>
          <w:tcPr>
            <w:shd w:val="clear" w:color="auto" w:fill="ffffff" w:themeFill="background1"/>
            <w:tcW w:w="385"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2</w:t>
            </w:r>
            <w:r/>
          </w:p>
        </w:tc>
        <w:tc>
          <w:tcPr>
            <w:shd w:val="clear" w:color="auto" w:fill="ffffff" w:themeFill="background1"/>
            <w:tcW w:w="779"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政务外网</w:t>
            </w:r>
            <w:r/>
          </w:p>
        </w:tc>
        <w:tc>
          <w:tcPr>
            <w:shd w:val="clear" w:color="auto" w:fill="ffffff" w:themeFill="background1"/>
            <w:tcW w:w="704"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主机设备</w:t>
            </w:r>
            <w:r/>
          </w:p>
        </w:tc>
        <w:tc>
          <w:tcPr>
            <w:shd w:val="clear" w:color="auto" w:fill="ffffff" w:themeFill="background1"/>
            <w:tcW w:w="1102"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Redis集群</w:t>
            </w:r>
            <w:r/>
          </w:p>
        </w:tc>
        <w:tc>
          <w:tcPr>
            <w:shd w:val="clear" w:color="auto" w:fill="ffffff" w:themeFill="background1"/>
            <w:tcW w:w="1293"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四核处理器 16G内存500GB硬盘</w:t>
            </w:r>
            <w:r/>
          </w:p>
        </w:tc>
        <w:tc>
          <w:tcPr>
            <w:shd w:val="clear" w:color="auto" w:fill="ffffff" w:themeFill="background1"/>
            <w:tcW w:w="346"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台</w:t>
            </w:r>
            <w:r/>
          </w:p>
        </w:tc>
        <w:tc>
          <w:tcPr>
            <w:shd w:val="clear" w:color="auto" w:fill="ffffff" w:themeFill="background1"/>
            <w:tcW w:w="387"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w:t>
            </w:r>
            <w:r/>
          </w:p>
        </w:tc>
      </w:tr>
      <w:tr>
        <w:trPr>
          <w:trHeight w:val="576"/>
        </w:trPr>
        <w:tc>
          <w:tcPr>
            <w:gridSpan w:val="7"/>
            <w:shd w:val="clear" w:color="auto" w:fill="ffffff" w:themeFill="background1"/>
            <w:tcW w:w="5000"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b/>
                <w:bCs/>
                <w:szCs w:val="21"/>
              </w:rPr>
              <w:t xml:space="preserve">其他资源</w:t>
            </w:r>
            <w:r/>
          </w:p>
        </w:tc>
      </w:tr>
      <w:tr>
        <w:trPr>
          <w:trHeight w:val="556"/>
        </w:trPr>
        <w:tc>
          <w:tcPr>
            <w:shd w:val="clear" w:color="auto" w:fill="ffffff" w:themeFill="background1"/>
            <w:tcW w:w="385"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w:t>
            </w:r>
            <w:r/>
          </w:p>
        </w:tc>
        <w:tc>
          <w:tcPr>
            <w:shd w:val="clear" w:color="auto" w:fill="ffffff" w:themeFill="background1"/>
            <w:tcW w:w="779"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政务外网</w:t>
            </w:r>
            <w:r/>
          </w:p>
        </w:tc>
        <w:tc>
          <w:tcPr>
            <w:shd w:val="clear" w:color="auto" w:fill="ffffff" w:themeFill="background1"/>
            <w:tcW w:w="704"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主机设备</w:t>
            </w:r>
            <w:r/>
          </w:p>
        </w:tc>
        <w:tc>
          <w:tcPr>
            <w:shd w:val="clear" w:color="auto" w:fill="ffffff" w:themeFill="background1"/>
            <w:tcW w:w="1102"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数据中心存储</w:t>
            </w:r>
            <w:r/>
          </w:p>
        </w:tc>
        <w:tc>
          <w:tcPr>
            <w:shd w:val="clear" w:color="auto" w:fill="ffffff" w:themeFill="background1"/>
            <w:tcW w:w="1293"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四核处理器 8G内存8TB硬盘，国产操作系统</w:t>
            </w:r>
            <w:r/>
          </w:p>
        </w:tc>
        <w:tc>
          <w:tcPr>
            <w:shd w:val="clear" w:color="auto" w:fill="ffffff" w:themeFill="background1"/>
            <w:tcW w:w="346"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台</w:t>
            </w:r>
            <w:r/>
          </w:p>
        </w:tc>
        <w:tc>
          <w:tcPr>
            <w:shd w:val="clear" w:color="auto" w:fill="ffffff" w:themeFill="background1"/>
            <w:tcW w:w="387" w:type="pct"/>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w:t>
            </w:r>
            <w:r/>
          </w:p>
        </w:tc>
      </w:tr>
    </w:tbl>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1.10</w:t>
      </w:r>
      <w:bookmarkStart w:id="56" w:name="_Toc10061"/>
      <w:r/>
      <w:bookmarkStart w:id="57" w:name="_Toc25081"/>
      <w:r/>
      <w:bookmarkStart w:id="58" w:name="_Toc119150885"/>
      <w:r>
        <w:rPr>
          <w:rFonts w:hint="eastAsia" w:ascii="仿宋" w:hAnsi="仿宋" w:eastAsia="仿宋" w:cs="仿宋"/>
          <w:sz w:val="24"/>
          <w:szCs w:val="24"/>
        </w:rPr>
        <w:t xml:space="preserve">系统软件需求</w:t>
      </w:r>
      <w:bookmarkEnd w:id="56"/>
      <w:r/>
      <w:bookmarkEnd w:id="57"/>
      <w:r/>
      <w:bookmarkEnd w:id="58"/>
      <w:r>
        <w:rPr>
          <w:rFonts w:hint="eastAsia" w:ascii="仿宋" w:hAnsi="仿宋" w:eastAsia="仿宋" w:cs="仿宋"/>
          <w:b/>
          <w:bCs/>
          <w:sz w:val="24"/>
          <w:szCs w:val="24"/>
        </w:rPr>
        <w:t xml:space="preserve">（预测、以实际中标单位方案为准）</w:t>
      </w:r>
      <w:r/>
    </w:p>
    <w:tbl>
      <w:tblPr>
        <w:tblStyle w:val="734"/>
        <w:tblW w:w="48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1230"/>
        <w:gridCol w:w="3447"/>
        <w:gridCol w:w="1860"/>
        <w:gridCol w:w="1861"/>
      </w:tblGrid>
      <w:tr>
        <w:trPr>
          <w:jc w:val="center"/>
          <w:trHeight w:val="554"/>
          <w:tblHeader/>
        </w:trPr>
        <w:tc>
          <w:tcPr>
            <w:shd w:val="clear" w:color="auto" w:fill="ffffff" w:themeFill="background1"/>
            <w:tcW w:w="732" w:type="pct"/>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shd w:val="clear" w:color="auto" w:fill="ffffff" w:themeFill="background1"/>
            <w:tcW w:w="2052" w:type="pct"/>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rPr>
              <w:t xml:space="preserve">项目</w:t>
            </w:r>
            <w:r/>
          </w:p>
        </w:tc>
        <w:tc>
          <w:tcPr>
            <w:shd w:val="clear" w:color="auto" w:fill="ffffff" w:themeFill="background1"/>
            <w:tcW w:w="1107" w:type="pct"/>
            <w:vAlign w:val="center"/>
            <w:textDirection w:val="lrTb"/>
            <w:noWrap w:val="false"/>
          </w:tcPr>
          <w:p>
            <w:pPr>
              <w:jc w:val="center"/>
              <w:widowControl/>
              <w:rPr>
                <w:rFonts w:hint="eastAsia" w:ascii="仿宋" w:hAnsi="仿宋" w:eastAsia="仿宋" w:cs="仿宋"/>
                <w:b/>
                <w:bCs/>
                <w:szCs w:val="21"/>
              </w:rPr>
            </w:pPr>
            <w:r>
              <w:rPr>
                <w:rFonts w:hint="eastAsia" w:ascii="仿宋" w:hAnsi="仿宋" w:eastAsia="仿宋" w:cs="仿宋"/>
                <w:b/>
                <w:bCs/>
                <w:szCs w:val="21"/>
              </w:rPr>
              <w:t xml:space="preserve">单位</w:t>
            </w:r>
            <w:r/>
          </w:p>
        </w:tc>
        <w:tc>
          <w:tcPr>
            <w:shd w:val="clear" w:color="auto" w:fill="ffffff" w:themeFill="background1"/>
            <w:tcW w:w="1108" w:type="pct"/>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rPr>
              <w:t xml:space="preserve">数量</w:t>
            </w:r>
            <w:r/>
          </w:p>
        </w:tc>
      </w:tr>
      <w:tr>
        <w:trPr>
          <w:jc w:val="center"/>
          <w:trHeight w:val="554"/>
        </w:trPr>
        <w:tc>
          <w:tcPr>
            <w:shd w:val="clear" w:color="auto" w:fill="ffffff" w:themeFill="background1"/>
            <w:tcW w:w="732"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w:t>
            </w:r>
            <w:r/>
          </w:p>
        </w:tc>
        <w:tc>
          <w:tcPr>
            <w:shd w:val="clear" w:color="auto" w:fill="ffffff" w:themeFill="background1"/>
            <w:tcW w:w="2052"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国产操作系统</w:t>
            </w:r>
            <w:r/>
          </w:p>
        </w:tc>
        <w:tc>
          <w:tcPr>
            <w:shd w:val="clear" w:color="auto" w:fill="ffffff" w:themeFill="background1"/>
            <w:tcW w:w="1107"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套</w:t>
            </w:r>
            <w:r/>
          </w:p>
        </w:tc>
        <w:tc>
          <w:tcPr>
            <w:shd w:val="clear" w:color="auto" w:fill="ffffff" w:themeFill="background1"/>
            <w:tcW w:w="1108"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4</w:t>
            </w:r>
            <w:r/>
          </w:p>
        </w:tc>
      </w:tr>
      <w:tr>
        <w:trPr>
          <w:jc w:val="center"/>
          <w:trHeight w:val="554"/>
        </w:trPr>
        <w:tc>
          <w:tcPr>
            <w:shd w:val="clear" w:color="auto" w:fill="ffffff" w:themeFill="background1"/>
            <w:tcW w:w="732"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2</w:t>
            </w:r>
            <w:r/>
          </w:p>
        </w:tc>
        <w:tc>
          <w:tcPr>
            <w:shd w:val="clear" w:color="auto" w:fill="ffffff" w:themeFill="background1"/>
            <w:tcW w:w="2052"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国产数据库软件</w:t>
            </w:r>
            <w:r/>
          </w:p>
        </w:tc>
        <w:tc>
          <w:tcPr>
            <w:shd w:val="clear" w:color="auto" w:fill="ffffff" w:themeFill="background1"/>
            <w:tcW w:w="1107"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实例</w:t>
            </w:r>
            <w:r/>
          </w:p>
        </w:tc>
        <w:tc>
          <w:tcPr>
            <w:shd w:val="clear" w:color="auto" w:fill="ffffff" w:themeFill="background1"/>
            <w:tcW w:w="1108"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w:t>
            </w:r>
            <w:r/>
          </w:p>
        </w:tc>
      </w:tr>
      <w:tr>
        <w:trPr>
          <w:jc w:val="center"/>
          <w:trHeight w:val="591"/>
        </w:trPr>
        <w:tc>
          <w:tcPr>
            <w:shd w:val="clear" w:color="auto" w:fill="ffffff" w:themeFill="background1"/>
            <w:tcW w:w="732"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3</w:t>
            </w:r>
            <w:r/>
          </w:p>
        </w:tc>
        <w:tc>
          <w:tcPr>
            <w:shd w:val="clear" w:color="auto" w:fill="ffffff" w:themeFill="background1"/>
            <w:tcW w:w="2052"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国产中间件</w:t>
            </w:r>
            <w:r/>
          </w:p>
        </w:tc>
        <w:tc>
          <w:tcPr>
            <w:shd w:val="clear" w:color="auto" w:fill="ffffff" w:themeFill="background1"/>
            <w:tcW w:w="1107"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套</w:t>
            </w:r>
            <w:r/>
          </w:p>
        </w:tc>
        <w:tc>
          <w:tcPr>
            <w:shd w:val="clear" w:color="auto" w:fill="ffffff" w:themeFill="background1"/>
            <w:tcW w:w="1108"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w:t>
            </w:r>
            <w:r/>
          </w:p>
        </w:tc>
      </w:tr>
    </w:tbl>
    <w:p>
      <w:pPr>
        <w:pStyle w:val="928"/>
        <w:rPr>
          <w:rFonts w:hint="eastAsia" w:ascii="仿宋" w:hAnsi="仿宋" w:eastAsia="仿宋" w:cs="仿宋"/>
        </w:rPr>
      </w:pPr>
      <w:r>
        <w:rPr>
          <w:rFonts w:hint="eastAsia" w:ascii="仿宋" w:hAnsi="仿宋" w:eastAsia="仿宋" w:cs="仿宋"/>
        </w:rPr>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1.11存储需求</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本项目有大量的基础数据，包括：图片视频文件数据、业务记录数据、静态数据、动态数据等相关数据，具体数据存储规模和类型包括如下：</w:t>
      </w:r>
      <w:r/>
    </w:p>
    <w:p>
      <w:pPr>
        <w:pStyle w:val="92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1.11.1图片文件数据</w:t>
      </w:r>
      <w:r/>
    </w:p>
    <w:p>
      <w:pPr>
        <w:pStyle w:val="92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粗略测算数据总量，每年产生图片约200万张。按每张图片大小约为200k；每年约400G的图片数据量，4年存储量为1.6T。</w:t>
      </w:r>
      <w:r/>
    </w:p>
    <w:p>
      <w:pPr>
        <w:pStyle w:val="92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1.11.2.实时数据</w:t>
      </w:r>
      <w:r/>
    </w:p>
    <w:p>
      <w:pPr>
        <w:pStyle w:val="92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每台电梯每天的数据按100K计算，数据存储一年，4000台特种设备所需数据存储空间为4000×365天×100k≈0.14T。</w:t>
      </w:r>
      <w:r/>
    </w:p>
    <w:p>
      <w:pPr>
        <w:ind w:firstLine="241"/>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（二）电梯物联网系统建设：3446台电梯加装电梯物联网智能监测设备。</w:t>
      </w:r>
      <w:r/>
    </w:p>
    <w:p>
      <w:pPr>
        <w:pStyle w:val="92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w:t>
      </w:r>
      <w:bookmarkStart w:id="59" w:name="_Toc16836"/>
      <w:r>
        <w:rPr>
          <w:rFonts w:hint="eastAsia" w:ascii="仿宋" w:hAnsi="仿宋" w:eastAsia="仿宋" w:cs="仿宋"/>
          <w:sz w:val="24"/>
          <w:szCs w:val="24"/>
        </w:rPr>
        <w:t xml:space="preserve">设备参数</w:t>
      </w:r>
      <w:bookmarkEnd w:id="59"/>
      <w:r>
        <w:rPr>
          <w:rFonts w:hint="eastAsia" w:ascii="仿宋" w:hAnsi="仿宋" w:eastAsia="仿宋" w:cs="仿宋"/>
          <w:sz w:val="24"/>
          <w:szCs w:val="24"/>
        </w:rPr>
        <w:t xml:space="preserve">需求</w:t>
      </w:r>
      <w:r/>
    </w:p>
    <w:p>
      <w:pPr>
        <w:pStyle w:val="92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2.1.1音视频采集设备</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音视频采集设备通过GPU及本地AI算法，实时采集轿厢视频并对进入轿厢的人、物进行属性分析，实现对轿厢场景24小时的智能监督，保障乘梯人安全。</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支持电动车、液化气瓶、人数统计等多种目标检测跟踪识别。</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支持数据采集功能，支持电梯运维信息统计。</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支持显示楼层信息。</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内置内存卡插槽，支持不少于256 GB。</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符合IK08防暴设计。</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支持电瓶车进入电梯报警，检测到电瓶车进入轿厢后，可保持电梯门常开。</w:t>
      </w:r>
      <w:r/>
    </w:p>
    <w:p>
      <w:pPr>
        <w:ind w:firstLine="480"/>
        <w:spacing w:line="360" w:lineRule="auto"/>
        <w:rPr>
          <w:rFonts w:hint="eastAsia" w:ascii="仿宋" w:hAnsi="仿宋" w:eastAsia="仿宋" w:cs="仿宋"/>
          <w:sz w:val="24"/>
          <w:szCs w:val="24"/>
        </w:rPr>
      </w:pPr>
      <w:r/>
      <w:bookmarkStart w:id="60" w:name="_Toc20153"/>
      <w:r>
        <w:rPr>
          <w:rFonts w:hint="eastAsia" w:ascii="仿宋" w:hAnsi="仿宋" w:eastAsia="仿宋" w:cs="仿宋"/>
          <w:sz w:val="24"/>
          <w:szCs w:val="24"/>
        </w:rPr>
        <w:t xml:space="preserve">2.1.2传输设备</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200米电梯网桥</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自带电源指示灯、网口指示灯和信号强度指示灯</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支持不少于2路4百万像素摄像机支持IEEE 802.11b/g/n，带宽不低于300 Mbps</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接收端：1个网络接口，发送端：不少于2个网络接口</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支持频谱管理、故障自愈和无线抗干扰等功能</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2.1.3通信模块</w:t>
      </w:r>
      <w:r/>
    </w:p>
    <w:p>
      <w:pPr>
        <w:numPr>
          <w:ilvl w:val="0"/>
          <w:numId w:val="0"/>
        </w:num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通信模块安装在机房将传输设备上传的数据通过有线网络上传到云端。</w:t>
      </w:r>
      <w:bookmarkStart w:id="61" w:name="_Toc29741"/>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2.1.4视频存储卡</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内存不少于128G</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2.1.5信息发布屏</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18.5寸</w:t>
      </w:r>
      <w:r>
        <w:rPr>
          <w:rFonts w:hint="eastAsia" w:ascii="仿宋" w:hAnsi="仿宋" w:eastAsia="仿宋" w:cs="仿宋"/>
          <w:sz w:val="24"/>
          <w:szCs w:val="24"/>
        </w:rPr>
        <w:t xml:space="preserve">物联网信息发布屏</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不低于4核处理器，支持Wi-Fi</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屏体分辨率不低于1366*768</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亮度不低于200cd/m²</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对比度不低于800:1</w:t>
      </w:r>
      <w:bookmarkEnd w:id="60"/>
      <w:r/>
      <w:bookmarkEnd w:id="61"/>
      <w:r/>
      <w:r/>
    </w:p>
    <w:p>
      <w:pPr>
        <w:numPr>
          <w:ilvl w:val="0"/>
          <w:numId w:val="4"/>
        </w:numPr>
        <w:spacing w:line="360" w:lineRule="auto"/>
        <w:rPr>
          <w:rFonts w:hint="eastAsia" w:ascii="仿宋" w:hAnsi="仿宋" w:eastAsia="仿宋" w:cs="仿宋"/>
          <w:sz w:val="24"/>
          <w:szCs w:val="24"/>
        </w:rPr>
      </w:pPr>
      <w:r/>
      <w:bookmarkStart w:id="62" w:name="_Toc3581"/>
      <w:r/>
      <w:bookmarkStart w:id="63" w:name="_Toc18544"/>
      <w:r/>
      <w:bookmarkStart w:id="64" w:name="_Toc28954"/>
      <w:r/>
      <w:bookmarkStart w:id="65" w:name="_Toc17402"/>
      <w:r/>
      <w:bookmarkStart w:id="66" w:name="_Toc2487"/>
      <w:r>
        <w:rPr>
          <w:rFonts w:hint="eastAsia" w:ascii="仿宋" w:hAnsi="仿宋" w:eastAsia="仿宋" w:cs="仿宋"/>
          <w:sz w:val="24"/>
          <w:szCs w:val="24"/>
          <w:lang w:val="en-US" w:eastAsia="zh-CN"/>
        </w:rPr>
        <w:t xml:space="preserve">支持</w:t>
      </w:r>
      <w:r>
        <w:rPr>
          <w:rFonts w:hint="eastAsia" w:ascii="仿宋" w:hAnsi="仿宋" w:eastAsia="仿宋" w:cs="仿宋"/>
          <w:sz w:val="24"/>
          <w:szCs w:val="24"/>
        </w:rPr>
        <w:t xml:space="preserve">动态广告展示设置</w:t>
      </w:r>
      <w:r>
        <w:rPr>
          <w:rFonts w:hint="eastAsia" w:ascii="仿宋" w:hAnsi="仿宋" w:eastAsia="仿宋" w:cs="仿宋"/>
          <w:sz w:val="24"/>
          <w:szCs w:val="24"/>
          <w:lang w:val="en-US" w:eastAsia="zh-CN"/>
        </w:rPr>
        <w:t xml:space="preserve">和</w:t>
      </w:r>
      <w:r>
        <w:rPr>
          <w:rFonts w:hint="eastAsia" w:ascii="仿宋" w:hAnsi="仿宋" w:eastAsia="仿宋" w:cs="仿宋"/>
          <w:sz w:val="24"/>
          <w:szCs w:val="24"/>
        </w:rPr>
        <w:t xml:space="preserve">自动循环播放</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支持</w:t>
      </w:r>
      <w:r>
        <w:rPr>
          <w:rFonts w:hint="eastAsia" w:ascii="仿宋" w:hAnsi="仿宋" w:eastAsia="仿宋" w:cs="仿宋"/>
          <w:sz w:val="24"/>
          <w:szCs w:val="24"/>
        </w:rPr>
        <w:t xml:space="preserve">远程发布</w:t>
      </w:r>
      <w:r>
        <w:rPr>
          <w:rFonts w:hint="eastAsia" w:ascii="仿宋" w:hAnsi="仿宋" w:eastAsia="仿宋" w:cs="仿宋"/>
          <w:sz w:val="24"/>
          <w:szCs w:val="24"/>
          <w:lang w:val="en-US" w:eastAsia="zh-CN"/>
        </w:rPr>
        <w:t xml:space="preserve">和</w:t>
      </w:r>
      <w:r>
        <w:rPr>
          <w:rFonts w:hint="eastAsia" w:ascii="仿宋" w:hAnsi="仿宋" w:eastAsia="仿宋" w:cs="仿宋"/>
          <w:sz w:val="24"/>
          <w:szCs w:val="24"/>
        </w:rPr>
        <w:t xml:space="preserve">内容监控</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支持</w:t>
      </w:r>
      <w:r>
        <w:rPr>
          <w:rFonts w:hint="eastAsia" w:ascii="仿宋" w:hAnsi="仿宋" w:eastAsia="仿宋" w:cs="仿宋"/>
          <w:sz w:val="24"/>
          <w:szCs w:val="24"/>
        </w:rPr>
        <w:t xml:space="preserve">分时段定时开关机</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内置功放喇叭</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2.2实现功能</w:t>
      </w:r>
      <w:bookmarkEnd w:id="62"/>
      <w:r/>
      <w:bookmarkEnd w:id="63"/>
      <w:r/>
      <w:bookmarkEnd w:id="64"/>
      <w:r/>
      <w:bookmarkEnd w:id="65"/>
      <w:r/>
      <w:bookmarkEnd w:id="66"/>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电梯音视频采集设备的功能主要分为电梯实时事件检测、运行状态和运维统计信息。</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2.2.1实时事件检测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支持电梯的超速、长时间困人报警输入报警数据的检测和上报。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2.2.2运行状态检测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电梯支持上行、下行和停止状态数据的采集，支持电梯内是否有人，电梯内的人数、电梯运行速度、电梯当前楼层、楼层名称的采集和上传。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2.2.3运维统计信息</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支持电梯运行距离、启动次数、电动车、液化气瓶入梯次数、超速次数、运行层数、电梯运行时长、电梯静止时长、电梯折返次数的数据采集和上报。</w:t>
      </w:r>
      <w:r/>
    </w:p>
    <w:p>
      <w:pPr>
        <w:ind w:firstLine="480"/>
        <w:spacing w:line="360" w:lineRule="auto"/>
        <w:rPr>
          <w:rFonts w:hint="eastAsia" w:ascii="仿宋" w:hAnsi="仿宋" w:eastAsia="仿宋" w:cs="仿宋"/>
          <w:sz w:val="24"/>
          <w:szCs w:val="24"/>
        </w:rPr>
      </w:pPr>
      <w:r/>
      <w:bookmarkStart w:id="67" w:name="_Toc31965"/>
      <w:r/>
      <w:bookmarkStart w:id="68" w:name="_Toc21555"/>
      <w:r/>
      <w:bookmarkStart w:id="69" w:name="_Toc13991"/>
      <w:r/>
      <w:bookmarkStart w:id="70" w:name="_Toc15975"/>
      <w:r/>
      <w:bookmarkStart w:id="71" w:name="_Toc3094"/>
      <w:r>
        <w:rPr>
          <w:rFonts w:hint="eastAsia" w:ascii="仿宋" w:hAnsi="仿宋" w:eastAsia="仿宋" w:cs="仿宋"/>
          <w:sz w:val="24"/>
          <w:szCs w:val="24"/>
        </w:rPr>
        <w:t xml:space="preserve">2.3组网方案</w:t>
      </w:r>
      <w:bookmarkEnd w:id="67"/>
      <w:r/>
      <w:bookmarkEnd w:id="68"/>
      <w:r/>
      <w:bookmarkEnd w:id="69"/>
      <w:r/>
      <w:bookmarkEnd w:id="70"/>
      <w:r/>
      <w:bookmarkEnd w:id="71"/>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网络系统由无线网桥和通讯模块两类设备构成。其中无线网桥设备用来完成电梯井道内的数据传输，即将物联网传感所采集到的各类数据传输到机房；每部电梯通过VPN专网经由综合安全网关连入到海陵区大数据政务网的互联网区域，实现电梯物联网数据的整合接入，同时也保障了整个监管网络的安全性。</w:t>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（三）指挥中心建设：海陵区市场监督管理局指挥中心建设，包括机房、显示、扩声等系统搭建。</w:t>
      </w:r>
      <w:r/>
    </w:p>
    <w:p>
      <w:pPr>
        <w:jc w:val="center"/>
        <w:rPr>
          <w:rFonts w:hint="eastAsia" w:ascii="仿宋" w:hAnsi="仿宋" w:eastAsia="仿宋" w:cs="仿宋"/>
          <w:sz w:val="24"/>
          <w:szCs w:val="24"/>
        </w:rPr>
      </w:pPr>
      <w:r>
        <w:rPr>
          <w:rFonts w:hint="eastAsia" w:ascii="仿宋" w:hAnsi="仿宋" w:eastAsia="仿宋" w:cs="仿宋"/>
          <w:sz w:val="24"/>
          <w:szCs w:val="24"/>
        </w:rPr>
        <w:t xml:space="preserve">指挥中心平面效果图</w:t>
      </w:r>
      <w:r/>
    </w:p>
    <w:p>
      <w:pPr>
        <w:pStyle w:val="928"/>
        <w:jc w:val="center"/>
        <w:rPr>
          <w:rFonts w:hint="eastAsia" w:ascii="仿宋" w:hAnsi="仿宋" w:eastAsia="仿宋" w:cs="仿宋"/>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5167630" cy="3085465"/>
                <wp:effectExtent l="0" t="0" r="13970" b="635"/>
                <wp:docPr id="2" name="图片 4" descr="市场管理局会议系统平面图-模型(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市场管理局会议系统平面图-模型(1)_00"/>
                        <pic:cNvPicPr>
                          <a:picLocks noChangeAspect="1"/>
                        </pic:cNvPicPr>
                        <pic:nvPr/>
                      </pic:nvPicPr>
                      <pic:blipFill>
                        <a:blip r:embed="rId12"/>
                        <a:stretch/>
                      </pic:blipFill>
                      <pic:spPr bwMode="auto">
                        <a:xfrm>
                          <a:off x="0" y="0"/>
                          <a:ext cx="5175599" cy="30854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6.9pt;height:242.9pt;mso-wrap-distance-left:0.0pt;mso-wrap-distance-top:0.0pt;mso-wrap-distance-right:0.0pt;mso-wrap-distance-bottom:0.0pt;" stroked="false">
                <v:path textboxrect="0,0,0,0"/>
                <v:imagedata r:id="rId12" o:title=""/>
              </v:shape>
            </w:pict>
          </mc:Fallback>
        </mc:AlternateContent>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3.1 LED大屏显示系统</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对应的系统架构如下图所示：</w:t>
      </w:r>
      <w:r/>
    </w:p>
    <w:p>
      <w:pPr>
        <w:pStyle w:val="928"/>
        <w:jc w:val="center"/>
        <w:rPr>
          <w:rFonts w:hint="eastAsia"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4056380" cy="3627120"/>
                <wp:effectExtent l="0" t="0" r="12700" b="0"/>
                <wp:docPr id="3" name="图片 1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 descr="1"/>
                        <pic:cNvPicPr>
                          <a:picLocks noChangeAspect="1"/>
                        </pic:cNvPicPr>
                        <pic:nvPr/>
                      </pic:nvPicPr>
                      <pic:blipFill>
                        <a:blip r:embed="rId13"/>
                        <a:stretch/>
                      </pic:blipFill>
                      <pic:spPr bwMode="auto">
                        <a:xfrm>
                          <a:off x="0" y="0"/>
                          <a:ext cx="4059696" cy="3629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19.4pt;height:285.6pt;mso-wrap-distance-left:0.0pt;mso-wrap-distance-top:0.0pt;mso-wrap-distance-right:0.0pt;mso-wrap-distance-bottom:0.0pt;" stroked="f">
                <v:path textboxrect="0,0,0,0"/>
                <v:imagedata r:id="rId13" o:title=""/>
              </v:shape>
            </w:pict>
          </mc:Fallback>
        </mc:AlternateConten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本次建设的LED大屏显示系统的系统架构和关键组成部分分为LED大屏、视频处理器、LED配电柜、大屏管理软件和安防工作站等产品。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3.1.1 LED大屏</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建设一块4.16m*2.08m的LED大屏，用于展示智慧电梯应用平台产生的数据，实现数据的可视化展示与应用。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搭配高清视频处理器，配置不少于</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路2K分辨率的HDMI信号输入和</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路HDMI高清视频输出接口，满足日常高清画面的输出显示需求。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3.1.2视频处理器</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视频处理器可插入各类输出接口类型的增强型解码板，进行上墙显示，并可进行拼接、开窗、漫游等各类功能。也可插入各类信号输入板，可将电脑信号输入并切换上墙。</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视频处理器的关键技术参数如下：</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双电源冗余</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支持</w:t>
      </w:r>
      <w:r>
        <w:rPr>
          <w:rFonts w:hint="eastAsia" w:ascii="仿宋" w:hAnsi="仿宋" w:eastAsia="仿宋" w:cs="仿宋"/>
          <w:sz w:val="24"/>
          <w:szCs w:val="24"/>
        </w:rPr>
        <w:t xml:space="preserve">拓展双主控，支持风扇自动调温</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总槽位数不低于10个，部分槽位支持混插，混插槽位数不低于8个</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支持投屏上墙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3.1.2 LED配电柜</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LED配电柜的关键技术参数如下：</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输入电压：380V</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输出电压：220V</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额定功率：10KW</w:t>
      </w:r>
      <w:r/>
    </w:p>
    <w:p>
      <w:pPr>
        <w:pStyle w:val="928"/>
        <w:ind w:firstLine="480"/>
        <w:rPr>
          <w:rFonts w:hint="eastAsia" w:ascii="仿宋" w:hAnsi="仿宋" w:eastAsia="仿宋" w:cs="仿宋"/>
          <w:sz w:val="24"/>
          <w:szCs w:val="24"/>
        </w:rPr>
      </w:pPr>
      <w:r>
        <w:rPr>
          <w:rFonts w:hint="eastAsia" w:ascii="仿宋" w:hAnsi="仿宋" w:eastAsia="仿宋" w:cs="仿宋"/>
          <w:sz w:val="24"/>
          <w:szCs w:val="24"/>
        </w:rPr>
        <w:t xml:space="preserve">3.1.3大屏管理软件</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大屏管理软件的关键技术参数如下：</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支持窗口操作</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支持预览和回放上墙</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支持视图功能</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支持报警联动功能</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支持B/S和C/S，支持对屏幕、拼控设备、电脑、LED控制卡、配电柜等设备进行管理；支持浏览器、客户端、APP（鸿蒙、安卓）数据同步展示，都支持查看在离线场景的屏幕分布、场景画面和信号画面</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支持监控、拼控和电脑信号的管理查询；支持拼控信号设置分组，分组支持增删改查等操作。</w:t>
      </w:r>
      <w:r/>
    </w:p>
    <w:p>
      <w:pPr>
        <w:pStyle w:val="928"/>
        <w:ind w:firstLine="480"/>
        <w:rPr>
          <w:rFonts w:hint="eastAsia" w:ascii="仿宋" w:hAnsi="仿宋" w:eastAsia="仿宋" w:cs="仿宋"/>
          <w:sz w:val="24"/>
          <w:szCs w:val="24"/>
        </w:rPr>
      </w:pPr>
      <w:r>
        <w:rPr>
          <w:rFonts w:hint="eastAsia" w:ascii="仿宋" w:hAnsi="仿宋" w:eastAsia="仿宋" w:cs="仿宋"/>
          <w:sz w:val="24"/>
          <w:szCs w:val="24"/>
        </w:rPr>
        <w:t xml:space="preserve">3.1.4安防工作站</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安防工作站的关键技术参数如下：</w:t>
      </w:r>
      <w:r/>
    </w:p>
    <w:p>
      <w:pPr>
        <w:numPr>
          <w:ilvl w:val="0"/>
          <w:numId w:val="4"/>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CPU：不低于2.9GHz，6核心配置处理器；</w:t>
      </w:r>
      <w:r/>
    </w:p>
    <w:p>
      <w:pPr>
        <w:numPr>
          <w:ilvl w:val="0"/>
          <w:numId w:val="4"/>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内存：不少于16GB；</w:t>
      </w:r>
      <w:r/>
    </w:p>
    <w:p>
      <w:pPr>
        <w:numPr>
          <w:ilvl w:val="0"/>
          <w:numId w:val="4"/>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硬盘：不低于256GB SSD+1TB HDD；</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显示器：不低于27英寸；</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显卡：不低于2G独显；</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支持硬盘拆卸安装;</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支持不低于3600W像素解码播放，支持多显卡调度。</w:t>
      </w:r>
      <w:r/>
    </w:p>
    <w:p>
      <w:pPr>
        <w:numPr>
          <w:ilvl w:val="0"/>
          <w:numId w:val="4"/>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支持多窗口播放，支持分屏播放。</w:t>
      </w:r>
      <w:r/>
    </w:p>
    <w:p>
      <w:pPr>
        <w:pStyle w:val="928"/>
        <w:ind w:firstLine="480"/>
        <w:rPr>
          <w:rFonts w:hint="eastAsia" w:ascii="仿宋" w:hAnsi="仿宋" w:eastAsia="仿宋" w:cs="仿宋"/>
          <w:sz w:val="24"/>
          <w:szCs w:val="24"/>
        </w:rPr>
      </w:pPr>
      <w:r>
        <w:rPr>
          <w:rFonts w:hint="eastAsia" w:ascii="仿宋" w:hAnsi="仿宋" w:eastAsia="仿宋" w:cs="仿宋"/>
          <w:sz w:val="24"/>
          <w:szCs w:val="24"/>
        </w:rPr>
        <w:t xml:space="preserve">3.2音频扩声系统</w:t>
      </w:r>
      <w:r/>
    </w:p>
    <w:p>
      <w:pPr>
        <w:pStyle w:val="928"/>
        <w:ind w:firstLine="480"/>
        <w:rPr>
          <w:rFonts w:hint="eastAsia" w:ascii="仿宋" w:hAnsi="仿宋" w:eastAsia="仿宋" w:cs="仿宋"/>
          <w:sz w:val="24"/>
          <w:szCs w:val="24"/>
        </w:rPr>
      </w:pPr>
      <w:r>
        <w:rPr>
          <w:rFonts w:hint="eastAsia" w:ascii="仿宋" w:hAnsi="仿宋" w:eastAsia="仿宋" w:cs="仿宋"/>
          <w:sz w:val="24"/>
          <w:szCs w:val="24"/>
        </w:rPr>
        <w:t xml:space="preserve">配备2台专业会议音箱，结合四套一拖四的无线会议话筒，通过数字音频处理器、功率放大器和反馈抑制器，满足指挥中心的音频扩声需求。</w:t>
      </w:r>
      <w:r/>
    </w:p>
    <w:p>
      <w:pPr>
        <w:pStyle w:val="928"/>
        <w:rPr>
          <w:rFonts w:hint="eastAsia" w:ascii="仿宋" w:hAnsi="仿宋" w:eastAsia="仿宋" w:cs="仿宋"/>
          <w:sz w:val="24"/>
          <w:szCs w:val="24"/>
        </w:rPr>
      </w:pPr>
      <w:r>
        <w:rPr>
          <w:rFonts w:hint="eastAsia" w:ascii="仿宋" w:hAnsi="仿宋" w:eastAsia="仿宋" w:cs="仿宋"/>
          <w:sz w:val="24"/>
          <w:szCs w:val="24"/>
        </w:rPr>
        <w:t xml:space="preserve">音频扩声系统的系统组成如下图所示：</w:t>
      </w:r>
      <w:r/>
    </w:p>
    <w:p>
      <w:pPr>
        <w:pStyle w:val="928"/>
        <w:rPr>
          <w:rFonts w:hint="eastAsia" w:ascii="仿宋" w:hAnsi="仿宋" w:eastAsia="仿宋" w:cs="仿宋"/>
          <w:b/>
          <w:bCs/>
          <w:sz w:val="24"/>
          <w:szCs w:val="24"/>
        </w:rPr>
      </w:pPr>
      <w:r>
        <w:rPr>
          <w:rFonts w:hint="eastAsia" w:ascii="仿宋" w:hAnsi="仿宋" w:eastAsia="仿宋" w:cs="仿宋"/>
          <w:sz w:val="28"/>
          <w:szCs w:val="28"/>
        </w:rPr>
      </w:r>
      <w:r>
        <w:rPr>
          <w:rFonts w:hint="eastAsia" w:ascii="仿宋" w:hAnsi="仿宋" w:eastAsia="仿宋" w:cs="仿宋"/>
          <w:sz w:val="28"/>
          <w:szCs w:val="28"/>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3.6pt;height:119.4pt;mso-wrap-distance-left:0.0pt;mso-wrap-distance-top:0.0pt;mso-wrap-distance-right:0.0pt;mso-wrap-distance-bottom:0.0pt;" filled="f" stroked="f">
            <v:path textboxrect="0,0,0,0"/>
            <v:imagedata r:id="rId14" o:title=""/>
          </v:shape>
          <o:OLEObject DrawAspect="Content" r:id="rId15" ObjectID="_1525043" ProgID="Visio.Drawing.15" ShapeID="_x0000_i3" Type="Embed"/>
        </w:object>
      </w:r>
      <w:r/>
    </w:p>
    <w:p>
      <w:pPr>
        <w:pStyle w:val="928"/>
        <w:ind w:firstLine="480"/>
        <w:rPr>
          <w:rFonts w:hint="eastAsia" w:ascii="仿宋" w:hAnsi="仿宋" w:eastAsia="仿宋" w:cs="仿宋"/>
          <w:sz w:val="24"/>
          <w:szCs w:val="24"/>
        </w:rPr>
      </w:pPr>
      <w:r>
        <w:rPr>
          <w:rFonts w:hint="eastAsia" w:ascii="仿宋" w:hAnsi="仿宋" w:eastAsia="仿宋" w:cs="仿宋"/>
          <w:sz w:val="24"/>
          <w:szCs w:val="24"/>
        </w:rPr>
        <w:t xml:space="preserve">综合音响扩声系统的配置，结合指挥中心对音响扩声系统的使用需求，整个音响扩声系统设计实现以下使用功能：</w:t>
      </w:r>
      <w:r/>
    </w:p>
    <w:p>
      <w:pPr>
        <w:pStyle w:val="928"/>
        <w:rPr>
          <w:rFonts w:hint="eastAsia" w:ascii="仿宋" w:hAnsi="仿宋" w:eastAsia="仿宋" w:cs="仿宋"/>
          <w:sz w:val="24"/>
          <w:szCs w:val="24"/>
        </w:rPr>
      </w:pPr>
      <w:r>
        <w:rPr>
          <w:rFonts w:hint="eastAsia" w:ascii="仿宋" w:hAnsi="仿宋" w:eastAsia="仿宋" w:cs="仿宋"/>
          <w:sz w:val="24"/>
          <w:szCs w:val="24"/>
        </w:rPr>
        <w:t xml:space="preserve">3.2.1、采用数字音频处理器，设计多种工作模式，例如会议讨论模式，影音模式、节目模式、远程会议模式等，根据不同的需要快速调节话筒前级处理器，满足不同模式的音响扩音；</w:t>
      </w:r>
      <w:r/>
    </w:p>
    <w:p>
      <w:pPr>
        <w:pStyle w:val="928"/>
        <w:rPr>
          <w:rFonts w:hint="eastAsia" w:ascii="仿宋" w:hAnsi="仿宋" w:eastAsia="仿宋" w:cs="仿宋"/>
          <w:sz w:val="24"/>
          <w:szCs w:val="24"/>
        </w:rPr>
      </w:pPr>
      <w:r>
        <w:rPr>
          <w:rFonts w:hint="eastAsia" w:ascii="仿宋" w:hAnsi="仿宋" w:eastAsia="仿宋" w:cs="仿宋"/>
          <w:sz w:val="24"/>
          <w:szCs w:val="24"/>
        </w:rPr>
        <w:t xml:space="preserve">3.2.2、预置多组出厂会场效果和工作模式，现场调试可下载直接使用；</w:t>
      </w:r>
      <w:r/>
    </w:p>
    <w:p>
      <w:pPr>
        <w:pStyle w:val="928"/>
        <w:rPr>
          <w:rFonts w:hint="eastAsia" w:ascii="仿宋" w:hAnsi="仿宋" w:eastAsia="仿宋" w:cs="仿宋"/>
          <w:sz w:val="24"/>
          <w:szCs w:val="24"/>
        </w:rPr>
      </w:pPr>
      <w:r>
        <w:rPr>
          <w:rFonts w:hint="eastAsia" w:ascii="仿宋" w:hAnsi="仿宋" w:eastAsia="仿宋" w:cs="仿宋"/>
          <w:sz w:val="24"/>
          <w:szCs w:val="24"/>
        </w:rPr>
        <w:t xml:space="preserve">3.2.3、采用软件调试和设置，根据现场的环境、位置摆放、音箱摆放、会议的类型等进行预先设置和实时调节，系统可以与集中控制系统对接，通过集中控制系统进行管理；</w:t>
      </w:r>
      <w:r/>
    </w:p>
    <w:p>
      <w:pPr>
        <w:pStyle w:val="928"/>
        <w:rPr>
          <w:rFonts w:hint="eastAsia" w:ascii="仿宋" w:hAnsi="仿宋" w:eastAsia="仿宋" w:cs="仿宋"/>
          <w:sz w:val="24"/>
          <w:szCs w:val="24"/>
        </w:rPr>
      </w:pPr>
      <w:r>
        <w:rPr>
          <w:rFonts w:hint="eastAsia" w:ascii="仿宋" w:hAnsi="仿宋" w:eastAsia="仿宋" w:cs="仿宋"/>
          <w:sz w:val="24"/>
          <w:szCs w:val="24"/>
        </w:rPr>
        <w:t xml:space="preserve">3.2.4、根据会议类型设置压限效果，防止信号输出过大，带来过大的音频电流，烧坏音箱；</w:t>
      </w:r>
      <w:r/>
    </w:p>
    <w:p>
      <w:pPr>
        <w:pStyle w:val="928"/>
        <w:rPr>
          <w:rFonts w:hint="eastAsia" w:ascii="仿宋" w:hAnsi="仿宋" w:eastAsia="仿宋" w:cs="仿宋"/>
          <w:sz w:val="24"/>
          <w:szCs w:val="24"/>
        </w:rPr>
      </w:pPr>
      <w:r>
        <w:rPr>
          <w:rFonts w:hint="eastAsia" w:ascii="仿宋" w:hAnsi="仿宋" w:eastAsia="仿宋" w:cs="仿宋"/>
          <w:sz w:val="24"/>
          <w:szCs w:val="24"/>
        </w:rPr>
        <w:t xml:space="preserve">3.2.5、根据会议类型设置噪音门效果，滤波多余的噪音输入音响设备，产生噪音，影响音响扩声效果；</w:t>
      </w:r>
      <w:r/>
    </w:p>
    <w:p>
      <w:pPr>
        <w:pStyle w:val="928"/>
        <w:spacing w:line="360" w:lineRule="auto"/>
        <w:rPr>
          <w:rFonts w:hint="eastAsia" w:ascii="仿宋" w:hAnsi="仿宋" w:eastAsia="仿宋" w:cs="仿宋"/>
          <w:sz w:val="24"/>
          <w:szCs w:val="24"/>
        </w:rPr>
      </w:pPr>
      <w:r>
        <w:rPr>
          <w:rFonts w:hint="eastAsia" w:ascii="仿宋" w:hAnsi="仿宋" w:eastAsia="仿宋" w:cs="仿宋"/>
          <w:sz w:val="24"/>
          <w:szCs w:val="24"/>
        </w:rPr>
        <w:t xml:space="preserve">3.2.6、音箱采用一对一定阻传输方式，音箱与功放阻抗匹配，采用全频宽频音箱。</w:t>
      </w:r>
      <w:r/>
    </w:p>
    <w:p>
      <w:pPr>
        <w:pStyle w:val="928"/>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（四）采购清单</w:t>
      </w:r>
      <w:r/>
    </w:p>
    <w:p>
      <w:pPr>
        <w:pStyle w:val="928"/>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tbl>
      <w:tblPr>
        <w:tblStyle w:val="734"/>
        <w:tblW w:w="9118" w:type="dxa"/>
        <w:tblInd w:w="-260" w:type="dxa"/>
        <w:tblLayout w:type="fixed"/>
        <w:tblCellMar>
          <w:left w:w="108" w:type="dxa"/>
          <w:top w:w="0" w:type="dxa"/>
          <w:right w:w="108" w:type="dxa"/>
          <w:bottom w:w="0" w:type="dxa"/>
        </w:tblCellMar>
        <w:tblLook w:val="04A0" w:firstRow="1" w:lastRow="0" w:firstColumn="1" w:lastColumn="0" w:noHBand="0" w:noVBand="1"/>
      </w:tblPr>
      <w:tblGrid>
        <w:gridCol w:w="707"/>
        <w:gridCol w:w="1190"/>
        <w:gridCol w:w="1164"/>
        <w:gridCol w:w="1217"/>
        <w:gridCol w:w="2936"/>
        <w:gridCol w:w="947"/>
        <w:gridCol w:w="957"/>
      </w:tblGrid>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模块名称</w:t>
            </w:r>
            <w:r/>
          </w:p>
        </w:tc>
        <w:tc>
          <w:tcPr>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spacing w:line="360" w:lineRule="auto"/>
              <w:widowControl/>
              <w:rPr>
                <w:rFonts w:hint="eastAsia" w:ascii="仿宋" w:hAnsi="仿宋" w:eastAsia="仿宋" w:cs="仿宋"/>
                <w:b/>
                <w:bCs/>
                <w:color w:val="000000"/>
                <w:sz w:val="24"/>
                <w:szCs w:val="24"/>
                <w:lang w:bidi="ar"/>
              </w:rPr>
            </w:pPr>
            <w:r>
              <w:rPr>
                <w:rFonts w:hint="eastAsia" w:ascii="仿宋" w:hAnsi="仿宋" w:eastAsia="仿宋" w:cs="仿宋"/>
                <w:b/>
                <w:bCs/>
                <w:color w:val="000000"/>
                <w:szCs w:val="21"/>
                <w:lang w:bidi="ar"/>
              </w:rPr>
              <w:t xml:space="preserve">具体功能</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建设内容</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center"/>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单位</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电梯物联网系统</w:t>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智慧电梯数据采集</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智慧电梯传感系统</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电梯参数配置:电梯编号、电梯楼层、轿厢门数量、电梯额定速度等参数可配置。</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电梯运行状态采集:采集电梯当前状态、运行方向、当前楼层、门开关是否有人及电梯故障信息。</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支持多个电梯状态传感器接入，门传感器、平层传感器、人体红外传感器等。 </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内置气压和加速度传感器，减少平层传感器使用和实现电梯运行速度检测。</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支持一键报警</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支持多种电梯运行状态采集，速度、方向、楼层、门状态、是否有人、是否停电等。</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支持多种电梯故障采集，并可将故障报警上传到海陵区智慧电梯管理平台。</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故障报警:电梯编号、故障类型、故障发生时间、电梯所在区域等实时上传到海陵区智慧电梯管理平台，并联动平台报警。</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故障数据本地及远程存储:可持续保存运行故障数据。</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视频监控:可实时采集轿厢内视频信息。</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本地视频存储:可存储最近7天内电梯视频数据。</w:t>
            </w:r>
            <w:r/>
          </w:p>
          <w:p>
            <w:pPr>
              <w:jc w:val="left"/>
              <w:rPr>
                <w:rFonts w:hint="eastAsia" w:ascii="仿宋" w:hAnsi="仿宋" w:eastAsia="仿宋" w:cs="仿宋"/>
                <w:color w:val="000000"/>
                <w:sz w:val="18"/>
                <w:szCs w:val="18"/>
                <w:lang w:eastAsia="zh-CN"/>
              </w:rPr>
            </w:pPr>
            <w:r>
              <w:rPr>
                <w:rFonts w:hint="eastAsia" w:ascii="仿宋" w:hAnsi="仿宋" w:eastAsia="仿宋" w:cs="仿宋"/>
                <w:color w:val="000000"/>
                <w:sz w:val="18"/>
                <w:szCs w:val="18"/>
              </w:rPr>
              <w:t xml:space="preserve">远程视频存储:支持以太网、无线网方式接入NVR。</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电梯故障录像:电梯发生故障时，本地自动保存录像视频。</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语音对讲:支持远程语音双向对讲。</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困人安抚:支持远程音视频安抚。</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信息发布功能:支持外接多媒体显示屏。</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网络传输:支持以太网方式与云服务器通信。</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电梯实时状态:可通过云平台远程实时查看电梯运行状态、故障信息、音视频等。</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历史数据:云平台可永久存储电梯编号、报警时间、故障类型、接警时间、维保人员、故障原因、维保完成时间等数据。</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电梯安全网关在线状态：智慧电梯平台能够实时显示电梯安全网关在线状态，包括在线、离线。后备电源:保证停电后正常工作不少于2小时。电梯故障:能够采集以下多种故障:非平层停梯、冲顶、蹲底、运行中开门、超速、长时间困人等。（需提供国家电梯质量检验检测中心检验检测报告扫描件并加盖投标单位公章）</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信息发布系统</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18.5寸信息发布屏</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lang w:val="en-US" w:eastAsia="zh-CN"/>
              </w:rPr>
              <w:t xml:space="preserve">18.5寸</w:t>
            </w:r>
            <w:r>
              <w:rPr>
                <w:rFonts w:hint="eastAsia" w:ascii="仿宋" w:hAnsi="仿宋" w:eastAsia="仿宋" w:cs="仿宋"/>
                <w:color w:val="000000"/>
                <w:sz w:val="18"/>
                <w:szCs w:val="18"/>
              </w:rPr>
              <w:t xml:space="preserve">物联网信息发布屏</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不低于4核处理器，支持Wi-Fi</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屏体分辨率不低于1366*768</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亮度不低于200cd/m²</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对比度不低于800:1</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lang w:val="en-US" w:eastAsia="zh-CN"/>
              </w:rPr>
              <w:t xml:space="preserve">支持</w:t>
            </w:r>
            <w:r>
              <w:rPr>
                <w:rFonts w:hint="eastAsia" w:ascii="仿宋" w:hAnsi="仿宋" w:eastAsia="仿宋" w:cs="仿宋"/>
                <w:color w:val="000000"/>
                <w:sz w:val="18"/>
                <w:szCs w:val="18"/>
              </w:rPr>
              <w:t xml:space="preserve">动态广告展示设置</w:t>
            </w:r>
            <w:r>
              <w:rPr>
                <w:rFonts w:hint="eastAsia" w:ascii="仿宋" w:hAnsi="仿宋" w:eastAsia="仿宋" w:cs="仿宋"/>
                <w:color w:val="000000"/>
                <w:sz w:val="18"/>
                <w:szCs w:val="18"/>
                <w:lang w:val="en-US" w:eastAsia="zh-CN"/>
              </w:rPr>
              <w:t xml:space="preserve">和</w:t>
            </w:r>
            <w:r>
              <w:rPr>
                <w:rFonts w:hint="eastAsia" w:ascii="仿宋" w:hAnsi="仿宋" w:eastAsia="仿宋" w:cs="仿宋"/>
                <w:color w:val="000000"/>
                <w:sz w:val="18"/>
                <w:szCs w:val="18"/>
              </w:rPr>
              <w:t xml:space="preserve">自动循环播放</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lang w:val="en-US" w:eastAsia="zh-CN"/>
              </w:rPr>
              <w:t xml:space="preserve">支持</w:t>
            </w:r>
            <w:r>
              <w:rPr>
                <w:rFonts w:hint="eastAsia" w:ascii="仿宋" w:hAnsi="仿宋" w:eastAsia="仿宋" w:cs="仿宋"/>
                <w:color w:val="000000"/>
                <w:sz w:val="18"/>
                <w:szCs w:val="18"/>
              </w:rPr>
              <w:t xml:space="preserve">远程发布</w:t>
            </w:r>
            <w:r>
              <w:rPr>
                <w:rFonts w:hint="eastAsia" w:ascii="仿宋" w:hAnsi="仿宋" w:eastAsia="仿宋" w:cs="仿宋"/>
                <w:color w:val="000000"/>
                <w:sz w:val="18"/>
                <w:szCs w:val="18"/>
                <w:lang w:val="en-US" w:eastAsia="zh-CN"/>
              </w:rPr>
              <w:t xml:space="preserve">和</w:t>
            </w:r>
            <w:r>
              <w:rPr>
                <w:rFonts w:hint="eastAsia" w:ascii="仿宋" w:hAnsi="仿宋" w:eastAsia="仿宋" w:cs="仿宋"/>
                <w:color w:val="000000"/>
                <w:sz w:val="18"/>
                <w:szCs w:val="18"/>
              </w:rPr>
              <w:t xml:space="preserve">内容监控</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lang w:val="en-US" w:eastAsia="zh-CN"/>
              </w:rPr>
              <w:t xml:space="preserve">支持</w:t>
            </w:r>
            <w:r>
              <w:rPr>
                <w:rFonts w:hint="eastAsia" w:ascii="仿宋" w:hAnsi="仿宋" w:eastAsia="仿宋" w:cs="仿宋"/>
                <w:color w:val="000000"/>
                <w:sz w:val="18"/>
                <w:szCs w:val="18"/>
              </w:rPr>
              <w:t xml:space="preserve">分时段定时开关机</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内置功放喇叭</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支持横屏竖屏壁挂</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电梯安全监控系统</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highlight w:val="none"/>
              </w:rPr>
              <w:t xml:space="preserve">电梯摄像机</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电梯半球摄像机不低于200万像素</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支持数据采集功能，支持电梯运维信息统计，支持显示楼层信息</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支持报警输入和报警输出</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内置内存卡插槽，支持不少于256 GB</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支持双向语音对讲</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符合IK08防暴设计</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★内置GPU芯片、补光灯、闪光灯、温湿度传感器和楼层传感器。支持视频遮挡检测，支持给出报警提示并可联动声音或震动报警。（需提供公安部检验检测报告扫描件并加盖投标单位公章）</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★支持声光报警，支持自定义算法，可开始/停止算法，支持人数统计，支持多边形人数检测区域，支持电梯运行状态检测。（需提供公安部检验检测报告扫描件并加盖投标单位公章）</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★支持电瓶车进入电梯报警，检测到电瓶车进入轿厢后，可保持电梯门常开。（需提供国家电梯质量检验检测中心检验检测报告扫描件并加盖投标单位公章）</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3446</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电源适配器</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电源适配器</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电梯摄像机配套电源适配器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3446</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网桥</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电梯网桥</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200米电梯网桥</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自带电源指示灯、网口指示灯和信号强度指示灯</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支持不少于2路4百万像素摄像机支持IEEE 802.11b/g/n，带宽不低于300 Mbps</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接收端：1个网络接口，发送端：不少于2个网络接口</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支持频谱管理、故障自愈和无线抗干扰等功能</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3446</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内存卡</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视频内存卡</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128G内存卡，需适配电梯摄像机</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3446</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shd w:val="clear" w:color="auto" w:fill="auto"/>
            <w:tcBorders>
              <w:top w:val="single" w:color="000000" w:sz="4" w:space="0"/>
              <w:left w:val="single" w:color="000000" w:sz="4" w:space="0"/>
              <w:right w:val="single" w:color="000000" w:sz="4" w:space="0"/>
            </w:tcBorders>
            <w:tcW w:w="1190" w:type="dxa"/>
            <w:vAlign w:val="center"/>
            <w:vMerge w:val="restart"/>
            <w:textDirection w:val="lrTb"/>
            <w:noWrap w:val="false"/>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Cs w:val="21"/>
                <w:lang w:bidi="ar"/>
              </w:rPr>
              <w:t xml:space="preserve">海陵区智慧电梯管理平台</w:t>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电梯数据中心</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电梯数据中心</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支持电梯信息查询、导出功能，包括电梯基础信息、使用单位、维保单位、制造单位、检验检测和技术参数等信息。</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支持电梯历史维保记录查询，根据电梯识别码、注册代码、设备代码等字段进行查询，展示该电梯历史维保记录，可以查看针对维保工作的操作业务确认签字及各维保项目的结果记录，同时查看现场维保照片。</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支持电梯应急处置信息查询，包括报警来源、事件类型、接警时间、派遣对象、到场时间、处置完成时间、被困人数、故障原因等。</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支持电梯数据更新记录查询，记录数据更新时间、数据来源等，支持查看详细更新字段的新值和原值。</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支持电梯监督检查记录查询，记录任务编号、任务名称、任务类型、检查单位、开始时间、结束时间、已完成电梯数量、创建人、创建人所在单位、创建时间。</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c>
          <w:tcPr>
            <w:shd w:val="clear" w:color="auto" w:fill="auto"/>
            <w:tcBorders>
              <w:left w:val="single" w:color="000000" w:sz="4" w:space="0"/>
              <w:right w:val="single" w:color="000000" w:sz="4" w:space="0"/>
            </w:tcBorders>
            <w:tcW w:w="1190" w:type="dxa"/>
            <w:vAlign w:val="center"/>
            <w:vMerge w:val="continue"/>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使用单位管理平台</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使用单位管理</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按照单位名称、单位代码、电梯所在区域和电梯状态进行使用单位的筛选。使用单位的展示字段包含：单位名称、单位信用代码、电梯所在区域、使用单位联系人、联系人电话。点击具体电梯后能跳转到电梯详情界面。</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w:t>
            </w:r>
            <w:r/>
          </w:p>
        </w:tc>
        <w:tc>
          <w:tcPr>
            <w:shd w:val="clear" w:color="auto" w:fill="auto"/>
            <w:tcBorders>
              <w:left w:val="single" w:color="000000" w:sz="4" w:space="0"/>
              <w:right w:val="single" w:color="000000" w:sz="4" w:space="0"/>
            </w:tcBorders>
            <w:tcW w:w="1190" w:type="dxa"/>
            <w:vAlign w:val="center"/>
            <w:vMerge w:val="continue"/>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right w:val="single" w:color="000000" w:sz="4" w:space="0"/>
            </w:tcBorders>
            <w:tcW w:w="1164" w:type="dxa"/>
            <w:vAlign w:val="center"/>
            <w:vMerge w:val="restart"/>
            <w:textDirection w:val="lrTb"/>
            <w:noWrap/>
          </w:tcPr>
          <w:p>
            <w:pPr>
              <w:jc w:val="left"/>
              <w:spacing w:line="32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智能监测平台</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智能设备监测</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基本情况：提供物联网设备总量统计、原厂和第三方接入数量统计、在线情况统计、不同区域设备接入情况统计等；</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设备清单：展示电梯信息、物联网厂家信息、在线情况、接入时间等；</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实时数据：支持单梯物联网数据查询，包括轿厢运行状态、轿厢运行方向、轿厢剧烈震动、运行速度、电梯当前楼层、智能设备状态、平层状态、轿厢内是否有人、设备累计运行次数、设备累计运行时间、数据采集时间；</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故障告警：展示最近十起告警记录。记录字段有：故障时间、故障类型、故障处理状态。</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10</w:t>
            </w:r>
            <w:r/>
          </w:p>
        </w:tc>
        <w:tc>
          <w:tcPr>
            <w:shd w:val="clear" w:color="auto" w:fill="auto"/>
            <w:tcBorders>
              <w:left w:val="single" w:color="000000" w:sz="4" w:space="0"/>
              <w:right w:val="single" w:color="000000" w:sz="4" w:space="0"/>
            </w:tcBorders>
            <w:tcW w:w="1190" w:type="dxa"/>
            <w:vAlign w:val="center"/>
            <w:vMerge w:val="continue"/>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left w:val="single" w:color="000000" w:sz="4" w:space="0"/>
              <w:right w:val="single" w:color="000000" w:sz="4" w:space="0"/>
            </w:tcBorders>
            <w:tcW w:w="1164" w:type="dxa"/>
            <w:vAlign w:val="center"/>
            <w:vMerge w:val="continue"/>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历史故障情况</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平台可以通过注册代码、所属街道、使用单位、维保单位、故障类型、故障开始时间、故障结束时间、故障处理状态来进行告警详情的查询。其中故障类型至少要包括：困人、电瓶车入梯、电瓶车梯控、遮挡门、反复开关门。</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w:t>
            </w:r>
            <w:r/>
          </w:p>
        </w:tc>
        <w:tc>
          <w:tcPr>
            <w:shd w:val="clear" w:color="auto" w:fill="auto"/>
            <w:tcBorders>
              <w:left w:val="single" w:color="000000" w:sz="4" w:space="0"/>
              <w:right w:val="single" w:color="000000" w:sz="4" w:space="0"/>
            </w:tcBorders>
            <w:tcW w:w="1190" w:type="dxa"/>
            <w:vAlign w:val="center"/>
            <w:vMerge w:val="continue"/>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left w:val="single" w:color="000000" w:sz="4" w:space="0"/>
              <w:bottom w:val="single" w:color="000000" w:sz="4" w:space="0"/>
              <w:right w:val="single" w:color="000000" w:sz="4" w:space="0"/>
            </w:tcBorders>
            <w:tcW w:w="1164" w:type="dxa"/>
            <w:vAlign w:val="center"/>
            <w:vMerge w:val="continue"/>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电梯故障统计分析</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能按照年度、季度、月度对电梯故障数据进行统计分析：包括维保单位所维保电梯发生困人和非困人情况；不同电梯品牌的困人和非困人情况；不同场所类型的困人和非困人情况；能够按照近30天对维保单位所维保电梯的故障趋势，电梯品牌的故障趋势做展示。</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c>
          <w:tcPr>
            <w:shd w:val="clear" w:color="auto" w:fill="auto"/>
            <w:tcBorders>
              <w:left w:val="single" w:color="000000" w:sz="4" w:space="0"/>
              <w:right w:val="single" w:color="000000" w:sz="4" w:space="0"/>
            </w:tcBorders>
            <w:tcW w:w="1190" w:type="dxa"/>
            <w:vAlign w:val="center"/>
            <w:vMerge w:val="continue"/>
            <w:textDirection w:val="lrTb"/>
            <w:noWrap w:val="false"/>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right w:val="single" w:color="000000" w:sz="4" w:space="0"/>
            </w:tcBorders>
            <w:tcW w:w="1164" w:type="dxa"/>
            <w:vAlign w:val="center"/>
            <w:vMerge w:val="restart"/>
            <w:textDirection w:val="lrTb"/>
            <w:noWrap/>
          </w:tcPr>
          <w:p>
            <w:pPr>
              <w:jc w:val="left"/>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Cs w:val="21"/>
                <w:lang w:bidi="ar"/>
              </w:rPr>
              <w:t xml:space="preserve">智慧决策数据驾驶舱</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 w:val="24"/>
                <w:szCs w:val="24"/>
              </w:rPr>
            </w:pPr>
            <w:r>
              <w:rPr>
                <w:rFonts w:hint="eastAsia" w:ascii="仿宋" w:hAnsi="仿宋" w:eastAsia="仿宋" w:cs="仿宋"/>
                <w:color w:val="000000"/>
                <w:szCs w:val="21"/>
              </w:rPr>
              <w:t xml:space="preserve">GIS电梯电子地图</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根据海陵区电梯位置信息展示地理位置分布。GIS地图需要支持缩放，电梯点位根据缩放显示点集合跟详细落点，可以联动区域选择，自动展示选中区域的信息。点击地图撒点，可进入电梯仿真3D模型界面。</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13</w:t>
            </w:r>
            <w:r/>
          </w:p>
        </w:tc>
        <w:tc>
          <w:tcPr>
            <w:shd w:val="clear" w:color="auto" w:fill="auto"/>
            <w:tcBorders>
              <w:left w:val="single" w:color="000000" w:sz="4" w:space="0"/>
              <w:right w:val="single" w:color="000000" w:sz="4" w:space="0"/>
            </w:tcBorders>
            <w:tcW w:w="1190" w:type="dxa"/>
            <w:vAlign w:val="center"/>
            <w:vMerge w:val="continue"/>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left w:val="single" w:color="000000" w:sz="4" w:space="0"/>
              <w:right w:val="single" w:color="000000" w:sz="4" w:space="0"/>
            </w:tcBorders>
            <w:tcW w:w="1164" w:type="dxa"/>
            <w:vAlign w:val="center"/>
            <w:vMerge w:val="continue"/>
            <w:textDirection w:val="lrTb"/>
            <w:noWrap/>
          </w:tcPr>
          <w:p>
            <w:pPr>
              <w:jc w:val="left"/>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 w:val="24"/>
                <w:szCs w:val="24"/>
              </w:rPr>
            </w:pPr>
            <w:r>
              <w:rPr>
                <w:rFonts w:hint="eastAsia" w:ascii="仿宋" w:hAnsi="仿宋" w:eastAsia="仿宋" w:cs="仿宋"/>
                <w:color w:val="000000"/>
                <w:szCs w:val="21"/>
              </w:rPr>
              <w:t xml:space="preserve">地图点位筛选</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可对展示地图点位进行所属区域、场所类型、电梯年限、使用类型等情况检索，支持多重筛选。</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14</w:t>
            </w:r>
            <w:r/>
          </w:p>
        </w:tc>
        <w:tc>
          <w:tcPr>
            <w:shd w:val="clear" w:color="auto" w:fill="auto"/>
            <w:tcBorders>
              <w:left w:val="single" w:color="000000" w:sz="4" w:space="0"/>
              <w:right w:val="single" w:color="000000" w:sz="4" w:space="0"/>
            </w:tcBorders>
            <w:tcW w:w="1190" w:type="dxa"/>
            <w:vAlign w:val="center"/>
            <w:vMerge w:val="continue"/>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left w:val="single" w:color="000000" w:sz="4" w:space="0"/>
              <w:right w:val="single" w:color="000000" w:sz="4" w:space="0"/>
            </w:tcBorders>
            <w:tcW w:w="1164" w:type="dxa"/>
            <w:vAlign w:val="center"/>
            <w:vMerge w:val="continue"/>
            <w:textDirection w:val="lrTb"/>
            <w:noWrap/>
          </w:tcPr>
          <w:p>
            <w:pPr>
              <w:jc w:val="left"/>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 w:val="24"/>
                <w:szCs w:val="24"/>
              </w:rPr>
            </w:pPr>
            <w:r>
              <w:rPr>
                <w:rFonts w:hint="eastAsia" w:ascii="仿宋" w:hAnsi="仿宋" w:eastAsia="仿宋" w:cs="仿宋"/>
                <w:color w:val="000000"/>
                <w:szCs w:val="21"/>
              </w:rPr>
              <w:t xml:space="preserve">关键数据展示</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根据海陵区电梯项目实际情况，展示当前所选电梯数量、当日处置数、当日解救人数、当日困人救援数、当日已维保数、当日待维保数等信息。</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15</w:t>
            </w:r>
            <w:r/>
          </w:p>
        </w:tc>
        <w:tc>
          <w:tcPr>
            <w:shd w:val="clear" w:color="auto" w:fill="auto"/>
            <w:tcBorders>
              <w:left w:val="single" w:color="000000" w:sz="4" w:space="0"/>
              <w:right w:val="single" w:color="000000" w:sz="4" w:space="0"/>
            </w:tcBorders>
            <w:tcW w:w="1190" w:type="dxa"/>
            <w:vAlign w:val="center"/>
            <w:vMerge w:val="continue"/>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left w:val="single" w:color="000000" w:sz="4" w:space="0"/>
              <w:right w:val="single" w:color="000000" w:sz="4" w:space="0"/>
            </w:tcBorders>
            <w:tcW w:w="1164" w:type="dxa"/>
            <w:vAlign w:val="center"/>
            <w:vMerge w:val="continue"/>
            <w:textDirection w:val="lrTb"/>
            <w:noWrap/>
          </w:tcPr>
          <w:p>
            <w:pPr>
              <w:jc w:val="left"/>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 w:val="24"/>
                <w:szCs w:val="24"/>
              </w:rPr>
            </w:pPr>
            <w:r>
              <w:rPr>
                <w:rFonts w:hint="eastAsia" w:ascii="仿宋" w:hAnsi="仿宋" w:eastAsia="仿宋" w:cs="仿宋"/>
                <w:color w:val="000000"/>
                <w:szCs w:val="21"/>
              </w:rPr>
              <w:t xml:space="preserve">关键告警动态展示</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地图展示困人、电瓶车梯控告警，告警以动态撒点呈现，点击撒点可查看详细告警信息，包括告警地点、告警时间、注册代码、告警状态、维保单位、使用单位及告警视频等信息。</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c>
          <w:tcPr>
            <w:shd w:val="clear" w:color="auto" w:fill="auto"/>
            <w:tcBorders>
              <w:left w:val="single" w:color="000000" w:sz="4" w:space="0"/>
              <w:right w:val="single" w:color="000000" w:sz="4" w:space="0"/>
            </w:tcBorders>
            <w:tcW w:w="1190" w:type="dxa"/>
            <w:vAlign w:val="center"/>
            <w:vMerge w:val="continue"/>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left w:val="single" w:color="000000" w:sz="4" w:space="0"/>
              <w:right w:val="single" w:color="000000" w:sz="4" w:space="0"/>
            </w:tcBorders>
            <w:tcW w:w="1164" w:type="dxa"/>
            <w:vAlign w:val="center"/>
            <w:vMerge w:val="continue"/>
            <w:textDirection w:val="lrTb"/>
            <w:noWrap/>
          </w:tcPr>
          <w:p>
            <w:pPr>
              <w:jc w:val="left"/>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 w:val="24"/>
                <w:szCs w:val="24"/>
              </w:rPr>
            </w:pPr>
            <w:r>
              <w:rPr>
                <w:rFonts w:hint="eastAsia" w:ascii="仿宋" w:hAnsi="仿宋" w:eastAsia="仿宋" w:cs="仿宋"/>
                <w:color w:val="000000"/>
                <w:szCs w:val="21"/>
              </w:rPr>
              <w:t xml:space="preserve">覆盖情况</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展示海陵区电梯项目覆盖情况，包括电梯总量、维保单位数量、使用单位数量等信息。</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17</w:t>
            </w:r>
            <w:r/>
          </w:p>
        </w:tc>
        <w:tc>
          <w:tcPr>
            <w:shd w:val="clear" w:color="auto" w:fill="auto"/>
            <w:tcBorders>
              <w:left w:val="single" w:color="000000" w:sz="4" w:space="0"/>
              <w:right w:val="single" w:color="000000" w:sz="4" w:space="0"/>
            </w:tcBorders>
            <w:tcW w:w="1190" w:type="dxa"/>
            <w:vAlign w:val="center"/>
            <w:vMerge w:val="continue"/>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left w:val="single" w:color="000000" w:sz="4" w:space="0"/>
              <w:right w:val="single" w:color="000000" w:sz="4" w:space="0"/>
            </w:tcBorders>
            <w:tcW w:w="1164" w:type="dxa"/>
            <w:vAlign w:val="center"/>
            <w:vMerge w:val="continue"/>
            <w:textDirection w:val="lrTb"/>
            <w:noWrap/>
          </w:tcPr>
          <w:p>
            <w:pPr>
              <w:jc w:val="left"/>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 w:val="24"/>
                <w:szCs w:val="24"/>
              </w:rPr>
            </w:pPr>
            <w:r>
              <w:rPr>
                <w:rFonts w:hint="eastAsia" w:ascii="仿宋" w:hAnsi="仿宋" w:eastAsia="仿宋" w:cs="仿宋"/>
                <w:color w:val="000000"/>
                <w:szCs w:val="21"/>
              </w:rPr>
              <w:t xml:space="preserve">趋势分布</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展示海陵区电梯项目的趋势分布，包括：增长趋势：电梯数量（台）逐年变化趋势图，鼠标悬停趋势图数据标签之上可显示当年数据；梯龄分布：梯龄分布图，鼠标悬停分布图之上可显示该区间电梯数量（台），梯龄区间分布可自定义；</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区域分布：电梯所在区域分布图，鼠标悬停各镇街（社区）之上可显示该区域电梯数量（台），区域分布：城东街道、城南街道、城西街道、城北街道、城中街道、京泰路街道、红旗街道、九龙镇、苏陈镇、罡杨镇、华港镇；场所分布：电梯场所分布图，场所分布：住宅、其他等。</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18</w:t>
            </w:r>
            <w:r/>
          </w:p>
        </w:tc>
        <w:tc>
          <w:tcPr>
            <w:shd w:val="clear" w:color="auto" w:fill="auto"/>
            <w:tcBorders>
              <w:left w:val="single" w:color="000000" w:sz="4" w:space="0"/>
              <w:right w:val="single" w:color="000000" w:sz="4" w:space="0"/>
            </w:tcBorders>
            <w:tcW w:w="1190" w:type="dxa"/>
            <w:vAlign w:val="center"/>
            <w:vMerge w:val="continue"/>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left w:val="single" w:color="000000" w:sz="4" w:space="0"/>
              <w:right w:val="single" w:color="000000" w:sz="4" w:space="0"/>
            </w:tcBorders>
            <w:tcW w:w="1164" w:type="dxa"/>
            <w:vAlign w:val="center"/>
            <w:vMerge w:val="continue"/>
            <w:textDirection w:val="lrTb"/>
            <w:noWrap/>
          </w:tcPr>
          <w:p>
            <w:pPr>
              <w:jc w:val="left"/>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 w:val="24"/>
                <w:szCs w:val="24"/>
              </w:rPr>
            </w:pPr>
            <w:r>
              <w:rPr>
                <w:rFonts w:hint="eastAsia" w:ascii="仿宋" w:hAnsi="仿宋" w:eastAsia="仿宋" w:cs="仿宋"/>
                <w:color w:val="000000"/>
                <w:szCs w:val="21"/>
              </w:rPr>
              <w:t xml:space="preserve">智慧电梯</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展示海陵区电梯项目智慧电梯相关信息，包括：海陵区智慧电梯数量（台），鼠标点击后电子地图显示智慧电梯撒点分布、智慧电梯在线率；累计监测的告警总数、新增告警图（每月新增告警总数，鼠标悬停可显示当月新增告警数）。</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w:t>
            </w:r>
            <w:r/>
          </w:p>
        </w:tc>
        <w:tc>
          <w:tcPr>
            <w:shd w:val="clear" w:color="auto" w:fill="auto"/>
            <w:tcBorders>
              <w:left w:val="single" w:color="000000" w:sz="4" w:space="0"/>
              <w:right w:val="single" w:color="000000" w:sz="4" w:space="0"/>
            </w:tcBorders>
            <w:tcW w:w="1190" w:type="dxa"/>
            <w:vAlign w:val="center"/>
            <w:vMerge w:val="continue"/>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left w:val="single" w:color="000000" w:sz="4" w:space="0"/>
              <w:right w:val="single" w:color="000000" w:sz="4" w:space="0"/>
            </w:tcBorders>
            <w:tcW w:w="1164" w:type="dxa"/>
            <w:vAlign w:val="center"/>
            <w:vMerge w:val="continue"/>
            <w:textDirection w:val="lrTb"/>
            <w:noWrap/>
          </w:tcPr>
          <w:p>
            <w:pPr>
              <w:jc w:val="left"/>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 w:val="24"/>
                <w:szCs w:val="24"/>
              </w:rPr>
            </w:pPr>
            <w:r>
              <w:rPr>
                <w:rFonts w:hint="eastAsia" w:ascii="仿宋" w:hAnsi="仿宋" w:eastAsia="仿宋" w:cs="仿宋"/>
                <w:color w:val="000000"/>
                <w:szCs w:val="21"/>
              </w:rPr>
              <w:t xml:space="preserve">物联网救援</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展示海陵区电梯物联网救援相关信息，包括：通过电梯物联网救援的总人数、电梯物联网救援的累计响应时间、电梯物联网救援的累计救援次数、物联网解救人数图（每月电梯物联网解救人数，鼠标悬停可显示当月解救人数）。</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20</w:t>
            </w:r>
            <w:r/>
          </w:p>
        </w:tc>
        <w:tc>
          <w:tcPr>
            <w:shd w:val="clear" w:color="auto" w:fill="auto"/>
            <w:tcBorders>
              <w:left w:val="single" w:color="000000" w:sz="4" w:space="0"/>
              <w:right w:val="single" w:color="000000" w:sz="4" w:space="0"/>
            </w:tcBorders>
            <w:tcW w:w="1190" w:type="dxa"/>
            <w:vAlign w:val="center"/>
            <w:vMerge w:val="continue"/>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left w:val="single" w:color="000000" w:sz="4" w:space="0"/>
              <w:right w:val="single" w:color="000000" w:sz="4" w:space="0"/>
            </w:tcBorders>
            <w:tcW w:w="1164" w:type="dxa"/>
            <w:vAlign w:val="center"/>
            <w:vMerge w:val="continue"/>
            <w:textDirection w:val="lrTb"/>
            <w:noWrap/>
          </w:tcPr>
          <w:p>
            <w:pPr>
              <w:jc w:val="left"/>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电梯无纸化维保</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展示海陵区电梯无纸化维保的相关信息，包括参加无纸化维保的智慧电梯数量、智慧电梯维保的平均维护时长、无纸化维保率（通过无纸化维保进行电梯维护保养的电梯数量占总维保电梯数量的比例）。</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21</w:t>
            </w:r>
            <w:r/>
          </w:p>
        </w:tc>
        <w:tc>
          <w:tcPr>
            <w:shd w:val="clear" w:color="auto" w:fill="auto"/>
            <w:tcBorders>
              <w:left w:val="single" w:color="000000" w:sz="4" w:space="0"/>
              <w:bottom w:val="single" w:color="000000" w:sz="4" w:space="0"/>
              <w:right w:val="single" w:color="000000" w:sz="4" w:space="0"/>
            </w:tcBorders>
            <w:tcW w:w="1190" w:type="dxa"/>
            <w:vAlign w:val="center"/>
            <w:vMerge w:val="continue"/>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left w:val="single" w:color="000000" w:sz="4" w:space="0"/>
              <w:bottom w:val="single" w:color="000000" w:sz="4" w:space="0"/>
              <w:right w:val="single" w:color="000000" w:sz="4" w:space="0"/>
            </w:tcBorders>
            <w:tcW w:w="1164" w:type="dxa"/>
            <w:vAlign w:val="center"/>
            <w:vMerge w:val="continue"/>
            <w:textDirection w:val="lrTb"/>
            <w:noWrap/>
          </w:tcPr>
          <w:p>
            <w:pPr>
              <w:jc w:val="left"/>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实时告警动态展示</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展示海陵区电梯物联网项目的实时告警，以滚动信息的形式呈现，鼠标点击查看更多，电子地图呈现告警撒点，撒点以动态形式呈现。鼠标点击撒点可查看告警的详细信息，包括告警名称、告警地点、告警时间、注册代码、告警状态、维保单位、使用单位及告警视频等信息。</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Cs w:val="21"/>
                <w:lang w:bidi="ar"/>
              </w:rPr>
              <w:t xml:space="preserve">物业电梯管理平台及APP应用软件（需兼容安卓、鸿蒙系统）</w:t>
            </w:r>
            <w:r/>
          </w:p>
        </w:tc>
        <w:tc>
          <w:tcPr>
            <w:shd w:val="clear" w:color="auto" w:fill="ffffff"/>
            <w:tcBorders>
              <w:top w:val="single" w:color="000000" w:sz="4" w:space="0"/>
              <w:left w:val="single" w:color="000000" w:sz="4" w:space="0"/>
              <w:right w:val="single" w:color="000000" w:sz="4" w:space="0"/>
            </w:tcBorders>
            <w:tcW w:w="1164" w:type="dxa"/>
            <w:vAlign w:val="center"/>
            <w:vMerge w:val="restart"/>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Cs w:val="21"/>
                <w:lang w:bidi="ar"/>
              </w:rPr>
              <w:t xml:space="preserve">物业电梯管理平台</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电梯监控</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（1）电梯健康分：通过对电梯历史故障、运行情况、维保情况等维度，进行综合分析后得出的电梯健康建议分值。</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（2）运行数据：针对电梯运行状态、电梯门状态、轿厢人体感应、等运行数据进行实时监控。</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left w:val="single" w:color="000000" w:sz="4" w:space="0"/>
              <w:right w:val="single" w:color="000000" w:sz="4" w:space="0"/>
            </w:tcBorders>
            <w:tcW w:w="1164" w:type="dxa"/>
            <w:vAlign w:val="center"/>
            <w:vMerge w:val="continue"/>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电梯工单</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（1）救援工单：可通过电梯所属小区、电梯名称、救援进度等条件，精准查询相关救援工单。点击后能查看工单详情：电梯救援进度、节点时间、故障视频、实时路径等信息，快速了解救援处置的完成情况。</w:t>
            </w:r>
            <w:r/>
          </w:p>
          <w:p>
            <w:pPr>
              <w:jc w:val="lef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维保工单：可通过电梯所属小区、电梯名称、救援进度等条件，精准查询已完成和待完成的维保工单。可查看每个维保工单的具体完成时间、维保人员、维保项目、项目检查情况，以及维保图片及视频内容等。</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left w:val="single" w:color="000000" w:sz="4" w:space="0"/>
              <w:bottom w:val="single" w:color="000000" w:sz="4" w:space="0"/>
              <w:right w:val="single" w:color="000000" w:sz="4" w:space="0"/>
            </w:tcBorders>
            <w:tcW w:w="1164" w:type="dxa"/>
            <w:vAlign w:val="center"/>
            <w:vMerge w:val="continue"/>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告警管理</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1）告警记录：可通过电梯所属小区、电梯名称、故障类型、注册代码、故障触发时间等条件，精准查询所有触发的故障数据。支持对触发的故障执行故障发生视频的查看及下载等操作，同时也可实时观看故障触发电梯的实时监控。</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2）告警统计：可自定义针对各类故障类型进行周期内的发生情况统计，支持不少于一个月的故障发生周期的统计，同时还可以查看每天每个故障的发生情况及导出功能。可自定义故障类型，针对触发高频的电梯进行统计，具备查看每台高频触发电梯的每个故障发生情况及导出功能。</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right w:val="single" w:color="000000" w:sz="4" w:space="0"/>
            </w:tcBorders>
            <w:tcW w:w="707" w:type="dxa"/>
            <w:vAlign w:val="center"/>
            <w:vMerge w:val="restart"/>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right w:val="single" w:color="000000" w:sz="4" w:space="0"/>
            </w:tcBorders>
            <w:tcW w:w="1164" w:type="dxa"/>
            <w:vAlign w:val="center"/>
            <w:vMerge w:val="restart"/>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Cs w:val="21"/>
                <w:lang w:bidi="ar"/>
              </w:rPr>
              <w:t xml:space="preserve">物业电梯管理APP应用软件</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智慧救援</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（1）告警通知：根据推送设置的情况，用户可收到：1.APP提醒；2.短信提醒；3.电话提醒；4.微信提醒等。</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（2）可视对讲：在电梯发生困人事件时，用户可以在APP上与被困人员进行可视对讲。即：被困人员可以在信息发布屏上看到用户画面，用户可看到轿厢画面（即摄像头监控画面）。</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left w:val="single" w:color="000000" w:sz="4" w:space="0"/>
              <w:right w:val="single" w:color="000000" w:sz="4" w:space="0"/>
            </w:tcBorders>
            <w:tcW w:w="707" w:type="dxa"/>
            <w:vAlign w:val="center"/>
            <w:vMerge w:val="continue"/>
            <w:textDirection w:val="lrTb"/>
            <w:noWrap/>
          </w:tcPr>
          <w:p>
            <w:pPr>
              <w:jc w:val="center"/>
              <w:spacing w:line="320" w:lineRule="exac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left w:val="single" w:color="000000" w:sz="4" w:space="0"/>
              <w:right w:val="single" w:color="000000" w:sz="4" w:space="0"/>
            </w:tcBorders>
            <w:tcW w:w="1164" w:type="dxa"/>
            <w:vAlign w:val="center"/>
            <w:vMerge w:val="continue"/>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维保监督</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（1）维保记录查询：可通过筛选查看特定电梯的维保记录、未来维保计划及过去每次维保的详细维保内容。</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（2）维保工单审批：可线上签字，审批维保工单。</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left w:val="single" w:color="000000" w:sz="4" w:space="0"/>
              <w:bottom w:val="single" w:color="000000" w:sz="4" w:space="0"/>
              <w:right w:val="single" w:color="000000" w:sz="4" w:space="0"/>
            </w:tcBorders>
            <w:tcW w:w="707" w:type="dxa"/>
            <w:vAlign w:val="center"/>
            <w:vMerge w:val="continue"/>
            <w:textDirection w:val="lrTb"/>
            <w:noWrap/>
          </w:tcPr>
          <w:p>
            <w:pPr>
              <w:jc w:val="center"/>
              <w:spacing w:line="320" w:lineRule="exac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left w:val="single" w:color="000000" w:sz="4" w:space="0"/>
              <w:right w:val="single" w:color="000000" w:sz="4" w:space="0"/>
            </w:tcBorders>
            <w:tcW w:w="1164" w:type="dxa"/>
            <w:vAlign w:val="center"/>
            <w:vMerge w:val="continue"/>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统计分析</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（1）统计分析查看：可查看辖区电梯的告警统计情况（按日、周、月）和运行统计情况（按日、周、月）</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（2）自定义报表生成：自动生成周报、月报、季报、年报。用户也可自定义报告生成多小区报告。</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left w:val="single" w:color="000000" w:sz="4" w:space="0"/>
              <w:bottom w:val="single" w:color="000000" w:sz="4" w:space="0"/>
              <w:right w:val="single" w:color="000000" w:sz="4" w:space="0"/>
            </w:tcBorders>
            <w:tcW w:w="1164" w:type="dxa"/>
            <w:vAlign w:val="center"/>
            <w:vMerge w:val="continue"/>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梯控管理</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（1）电动车阻车告警查看：可查看某一个电梯的电动车阻车告警及告警发生时的视频记录。</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（2）电动车阻车告警统计：可按周期、按电梯统计最近电动车阻车发生的情况。</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27</w:t>
            </w:r>
            <w:r/>
          </w:p>
        </w:tc>
        <w:tc>
          <w:tcPr>
            <w:shd w:val="clear" w:color="auto" w:fill="auto"/>
            <w:tcBorders>
              <w:top w:val="single" w:color="000000" w:sz="4" w:space="0"/>
              <w:left w:val="single" w:color="000000" w:sz="4" w:space="0"/>
              <w:bottom w:val="none" w:color="000000" w:sz="4" w:space="0"/>
              <w:right w:val="single" w:color="000000" w:sz="4" w:space="0"/>
            </w:tcBorders>
            <w:tcW w:w="1190" w:type="dxa"/>
            <w:vAlign w:val="center"/>
            <w:vMerge w:val="restart"/>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指挥中心</w:t>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显示系统</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LED室内显示屏</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LED像素点间距＜1.9mm;像素密度≥280000点/㎡。</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显示尺寸不小于4.16m*2.08m</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色温4000K—9000K可调，水平、垂直视角不低于150°，亮度均匀性≥95%，色度均匀性±0.003Cx,Cy之内，刷新率不低于3840Hz。</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峰值功耗≤500W/㎡，平均功耗≤150W/㎡。</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★支持自动调整亮度，实现功耗减少不低于15%。（提供具有检测资质的第三方检测机构出具的检测报告扫描件并加盖投标单位公章）</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为保证产品生产质量，避免使用贴牌产品，提供设备实际生产过程视频。</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8.65</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28</w:t>
            </w:r>
            <w:r/>
          </w:p>
        </w:tc>
        <w:tc>
          <w:tcPr>
            <w:shd w:val="clear" w:color="auto" w:fill="auto"/>
            <w:tcBorders>
              <w:top w:val="single" w:color="000000" w:sz="4" w:space="0"/>
              <w:left w:val="single" w:color="000000" w:sz="4" w:space="0"/>
              <w:bottom w:val="non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落地支架</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LED室内落地支架</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全封闭防尘;</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支持弧形设计;</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前封板后开门，含侧封板、顶盖板</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材料：高强度钢板</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表面处理：静电喷塑 </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11.98</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w:t>
            </w:r>
            <w:r/>
          </w:p>
        </w:tc>
        <w:tc>
          <w:tcPr>
            <w:shd w:val="clear" w:color="auto" w:fill="auto"/>
            <w:tcBorders>
              <w:top w:val="single" w:color="000000" w:sz="4" w:space="0"/>
              <w:left w:val="single" w:color="000000" w:sz="4" w:space="0"/>
              <w:bottom w:val="non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视频处理器机箱</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视频处理器机箱</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标准机架式设计</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双电源冗余</w:t>
            </w:r>
            <w:r>
              <w:rPr>
                <w:rFonts w:hint="eastAsia" w:ascii="仿宋" w:hAnsi="仿宋" w:eastAsia="仿宋" w:cs="仿宋"/>
                <w:color w:val="000000"/>
                <w:sz w:val="18"/>
                <w:szCs w:val="18"/>
                <w:lang w:eastAsia="zh-CN"/>
              </w:rPr>
              <w:t xml:space="preserve">，</w:t>
            </w:r>
            <w:r>
              <w:rPr>
                <w:rFonts w:hint="eastAsia" w:ascii="仿宋" w:hAnsi="仿宋" w:eastAsia="仿宋" w:cs="仿宋"/>
                <w:color w:val="000000"/>
                <w:sz w:val="18"/>
                <w:szCs w:val="18"/>
                <w:lang w:val="en-US" w:eastAsia="zh-CN"/>
              </w:rPr>
              <w:t xml:space="preserve">支持</w:t>
            </w:r>
            <w:r>
              <w:rPr>
                <w:rFonts w:hint="eastAsia" w:ascii="仿宋" w:hAnsi="仿宋" w:eastAsia="仿宋" w:cs="仿宋"/>
                <w:color w:val="000000"/>
                <w:sz w:val="18"/>
                <w:szCs w:val="18"/>
              </w:rPr>
              <w:t xml:space="preserve">拓展双主控，支持风扇自动调温</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支持业务板卡热插拔</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总槽位数不低于10个，部分槽位支持混插，混插槽位数不低于8个</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★符合GB/T 28181-2022要求。支持将电脑桌面投屏显示，帧率不低于30fps；支持不少于6个4K信号同时投屏显示；支持在大屏进行不少于6画面分割显示；支持对电脑桌面的自定义区域投屏显示。支持对不少于14路输入视频拼接，支持不低于16K分辨率的视频投屏显示。支持音视和视频绑定或解绑；支持在机器界面切换音频输入和输出绑定关系；支持快速清除音频输入和输出绑定关系（需提供公安部检验检测报告扫描件并加盖投标单位公章）</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支持不少于36个音频输入、60个音频输出。支持对画面进行移动、放大和缩小等操作。</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★每张解码卡支持不低于4路分辨率为1920*1080@30图像输出；解码卡支持创建不少于2个屏幕，整机支持创建不少于4个屏幕。支持条屏功能，支持自定义显示（需提供公安部检验检测报告扫描件并加盖投标单位公章）</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w:t>
            </w:r>
            <w:r/>
          </w:p>
        </w:tc>
        <w:tc>
          <w:tcPr>
            <w:shd w:val="clear" w:color="auto" w:fill="auto"/>
            <w:tcBorders>
              <w:top w:val="single" w:color="000000" w:sz="4" w:space="0"/>
              <w:left w:val="single" w:color="000000" w:sz="4" w:space="0"/>
              <w:bottom w:val="non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视频处理器输入板</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视频处理器输入板</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支持不低于4路2K HDMI信号输入;</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支持HDMI音频复合输入;</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视频输入接口数：不低于4个HDMI</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音频输入接口数：不低于4个</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音频输入接口类型：HDMI复合音频 </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31</w:t>
            </w:r>
            <w:r/>
          </w:p>
        </w:tc>
        <w:tc>
          <w:tcPr>
            <w:shd w:val="clear" w:color="auto" w:fill="auto"/>
            <w:tcBorders>
              <w:top w:val="single" w:color="000000" w:sz="4" w:space="0"/>
              <w:left w:val="single" w:color="000000" w:sz="4" w:space="0"/>
              <w:bottom w:val="non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视频处理器输出板</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视频处理器输出板</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不低于4路HDMI接口;</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支持HDMI音频复合输出;</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视频输出接口数：不低于4个HDMI</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视频输出分辨率： 1920*1080@60，支持LED屏幕，支持自定义分辨率输出，支持60Hz带载输出和200W分辨率 </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音频输出接口类型：HDMI复合音频 </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32</w:t>
            </w:r>
            <w:r/>
          </w:p>
        </w:tc>
        <w:tc>
          <w:tcPr>
            <w:shd w:val="clear" w:color="auto" w:fill="auto"/>
            <w:tcBorders>
              <w:top w:val="single" w:color="000000" w:sz="4" w:space="0"/>
              <w:left w:val="single" w:color="000000" w:sz="4" w:space="0"/>
              <w:bottom w:val="non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LED发送卡</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LED发送卡</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机身采用金属材质，支持标准机柜。</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输入不少于HDMI*1、USB*1、DEBUG*1、RS485*1、IR*1；输出不少于Audio*1,带载网口*5；按键：开关*1、功能按键*2。</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控制网口不少于2个，可用于设备控制或网络级联。支持对图像的亮度、色温和图像模式进行设置。</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★支持查看发送卡的屏幕位置、发送卡地址、序列号、带载分辨率、运行状态、版本、温度和内存使用率等信息。（需提供具有检测资质的第三方检测机构出具的检测报告扫描件并加盖投标单位公章）</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33</w:t>
            </w:r>
            <w:r/>
          </w:p>
        </w:tc>
        <w:tc>
          <w:tcPr>
            <w:shd w:val="clear" w:color="auto" w:fill="auto"/>
            <w:tcBorders>
              <w:top w:val="single" w:color="000000" w:sz="4" w:space="0"/>
              <w:left w:val="single" w:color="000000" w:sz="4" w:space="0"/>
              <w:bottom w:val="non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视频线</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HDMI铜线视频线</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端子镀金</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即插即用</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分辨率≥1080P</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34</w:t>
            </w:r>
            <w:r/>
          </w:p>
        </w:tc>
        <w:tc>
          <w:tcPr>
            <w:shd w:val="clear" w:color="auto" w:fill="auto"/>
            <w:tcBorders>
              <w:top w:val="single" w:color="000000" w:sz="4" w:space="0"/>
              <w:left w:val="single" w:color="000000" w:sz="4" w:space="0"/>
              <w:bottom w:val="non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配电柜</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LED配电柜</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输入电压：380V</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输出电压：220V</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额定功率：10KW</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35</w:t>
            </w:r>
            <w:r/>
          </w:p>
        </w:tc>
        <w:tc>
          <w:tcPr>
            <w:shd w:val="clear" w:color="auto" w:fill="auto"/>
            <w:tcBorders>
              <w:top w:val="single" w:color="000000" w:sz="4" w:space="0"/>
              <w:left w:val="single" w:color="000000" w:sz="4" w:space="0"/>
              <w:bottom w:val="non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管理软件</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大屏管理软件</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支持窗口操作</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支持预览和回放上墙</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支持视图功能</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支持报警联动功能</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B/S和C/S，支持对屏幕、拼控设备、电脑、LED控制卡、配电柜等设备进行管理；支持浏览器、客户端、APP（鸿蒙、安卓）数据同步展示，都支持查看在离线场景的屏幕分布、场景画面和信号画面；（需提供公安部检验检测报告扫描件并加盖投标单位公章）</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支持监控、拼控和电脑信号的管理查询；支持拼控信号设置分组，分组支持增删改查等操作。</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36</w:t>
            </w:r>
            <w:r/>
          </w:p>
        </w:tc>
        <w:tc>
          <w:tcPr>
            <w:shd w:val="clear" w:color="auto" w:fill="auto"/>
            <w:tcBorders>
              <w:top w:val="single" w:color="000000" w:sz="4" w:space="0"/>
              <w:left w:val="single" w:color="000000" w:sz="4" w:space="0"/>
              <w:bottom w:val="non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工作站</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安防工作站</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CPU：不低于2.9GHz，6核心配置处理器；</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内存：不低于16GB；</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硬盘：不少于256GB SSD +1TB HDD；</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显示器：不低于27英寸；</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显卡：不低于2G独显；</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支持硬盘拆卸安装;</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★支持不低于3600W像素解码播放，支持多显卡调度。（需提供具有检测资质的第三方检测机构出具的检测报告扫描件并加盖投标单位公章）</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支持多窗口播放，支持分屏播放。</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37</w:t>
            </w:r>
            <w:r/>
          </w:p>
        </w:tc>
        <w:tc>
          <w:tcPr>
            <w:shd w:val="clear" w:color="auto" w:fill="auto"/>
            <w:tcBorders>
              <w:top w:val="single" w:color="000000" w:sz="4" w:space="0"/>
              <w:left w:val="single" w:color="000000" w:sz="4" w:space="0"/>
              <w:bottom w:val="non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音箱</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专业音箱</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两分频会议音箱</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1个1.35寸高音，1个6.5寸低音喇叭和1个号角高音</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额定功率：80W</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额定阻抗：8Ω</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自带安装支架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38</w:t>
            </w:r>
            <w:r/>
          </w:p>
        </w:tc>
        <w:tc>
          <w:tcPr>
            <w:shd w:val="clear" w:color="auto" w:fill="auto"/>
            <w:tcBorders>
              <w:top w:val="single" w:color="000000" w:sz="4" w:space="0"/>
              <w:left w:val="single" w:color="000000" w:sz="4" w:space="0"/>
              <w:bottom w:val="non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会议话筒</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无线会议话筒（一拖四鹅颈）</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1.载波频率范围可调</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2.FM调频</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3.音频频率响应：80 Hz~15 kHz</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4.信噪比：≥65 dBA</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5.有效工作距离：30米</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接收机参数</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信道数目：2*100</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发射器参数</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1.换能原理：电容式</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2.指向性：心形</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3.供电：电池供电</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4.连续工作时间：不少于6小时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39</w:t>
            </w:r>
            <w:r/>
          </w:p>
        </w:tc>
        <w:tc>
          <w:tcPr>
            <w:shd w:val="clear" w:color="auto" w:fill="auto"/>
            <w:tcBorders>
              <w:top w:val="single" w:color="000000" w:sz="4" w:space="0"/>
              <w:left w:val="single" w:color="000000" w:sz="4" w:space="0"/>
              <w:bottom w:val="non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无线手持话筒</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无线手持话筒</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一拖二手持话筒</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支持一键自动扫频功能</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具有前置监听接口</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支持平衡和非平衡两种选择输出端口</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支持mic/line两种输出模式</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支持红外对频功能</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接收机支持设置锁屏功能</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配置液晶显示屏</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40</w:t>
            </w:r>
            <w:r/>
          </w:p>
        </w:tc>
        <w:tc>
          <w:tcPr>
            <w:shd w:val="clear" w:color="auto" w:fill="auto"/>
            <w:tcBorders>
              <w:top w:val="single" w:color="000000" w:sz="4" w:space="0"/>
              <w:left w:val="single" w:color="000000" w:sz="4" w:space="0"/>
              <w:bottom w:val="non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音频处理器</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数字音频处理器</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1.采样频率:48 kHz</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2.动态范围:108 dB</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3.支持接U盘录制和播放、升级4.配置显示屏</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41</w:t>
            </w:r>
            <w:r/>
          </w:p>
        </w:tc>
        <w:tc>
          <w:tcPr>
            <w:shd w:val="clear" w:color="auto" w:fill="auto"/>
            <w:tcBorders>
              <w:top w:val="single" w:color="000000" w:sz="4" w:space="0"/>
              <w:left w:val="single" w:color="000000" w:sz="4" w:space="0"/>
              <w:bottom w:val="non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功率放大器</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功率放大器</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1.额定功率：立体声：2*100 W/8 Ω；2*150 W/4 Ω；桥接：1*300W/8 Ω</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2.输入灵敏度可选</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3.输入阻抗：平衡20 kΩ，非平衡10 kΩ</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4.频率响应：20Hz-2 kHz</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5.信噪比(A计权)：≥96dB</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6.保护方式：过流保护、直流保护、短路保护等</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42</w:t>
            </w:r>
            <w:r/>
          </w:p>
        </w:tc>
        <w:tc>
          <w:tcPr>
            <w:shd w:val="clear" w:color="auto" w:fill="auto"/>
            <w:tcBorders>
              <w:top w:val="single" w:color="000000" w:sz="4" w:space="0"/>
              <w:left w:val="single" w:color="000000" w:sz="4" w:space="0"/>
              <w:bottom w:val="non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反馈抑制器</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反馈抑制器</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采用双DSP设计</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增益差≤1dB</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总谐波失真≤0.5 %</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信噪比≥ 105dB</w:t>
            </w:r>
            <w:r/>
          </w:p>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频率响应：80Hz</w:t>
            </w:r>
            <w:r>
              <w:rPr>
                <w:rFonts w:hint="eastAsia" w:ascii="仿宋" w:hAnsi="仿宋" w:eastAsia="仿宋" w:cs="仿宋"/>
                <w:color w:val="000000"/>
                <w:sz w:val="15"/>
                <w:szCs w:val="15"/>
              </w:rPr>
              <w:t xml:space="preserve">-</w:t>
            </w:r>
            <w:r>
              <w:rPr>
                <w:rFonts w:hint="eastAsia" w:ascii="仿宋" w:hAnsi="仿宋" w:eastAsia="仿宋" w:cs="仿宋"/>
                <w:color w:val="000000"/>
                <w:sz w:val="18"/>
                <w:szCs w:val="18"/>
              </w:rPr>
              <w:t xml:space="preserve">15kHz</w:t>
            </w:r>
            <w:r/>
          </w:p>
          <w:p>
            <w:pPr>
              <w:jc w:val="left"/>
              <w:rPr>
                <w:rFonts w:hint="eastAsia" w:ascii="仿宋" w:hAnsi="仿宋" w:eastAsia="仿宋" w:cs="仿宋"/>
              </w:rPr>
            </w:pPr>
            <w:r>
              <w:rPr>
                <w:rFonts w:hint="eastAsia" w:ascii="仿宋" w:hAnsi="仿宋" w:eastAsia="仿宋" w:cs="仿宋"/>
                <w:color w:val="000000"/>
                <w:sz w:val="18"/>
                <w:szCs w:val="18"/>
              </w:rPr>
              <w:t xml:space="preserve">串音≥80dB</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43</w:t>
            </w:r>
            <w:r/>
          </w:p>
        </w:tc>
        <w:tc>
          <w:tcPr>
            <w:shd w:val="clear" w:color="auto" w:fill="auto"/>
            <w:tcBorders>
              <w:top w:val="single" w:color="000000" w:sz="4" w:space="0"/>
              <w:left w:val="single" w:color="000000" w:sz="4" w:space="0"/>
              <w:bottom w:val="non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家具</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装修及办公家具</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投标人自行勘察，根据实际情况符合招标人需求，提供报价</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机房建设</w:t>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机房托管</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机房托管</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根据实际情况符合招标人需求，提供报价</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线路</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运营商线路</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运营商线路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3446</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条</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设备安装调试及服务费</w:t>
            </w:r>
            <w:r/>
          </w:p>
        </w:tc>
        <w:tc>
          <w:tcPr>
            <w:shd w:val="clear" w:color="auto" w:fill="ffffff"/>
            <w:tcBorders>
              <w:top w:val="single" w:color="000000" w:sz="4" w:space="0"/>
              <w:left w:val="single" w:color="000000" w:sz="4" w:space="0"/>
              <w:right w:val="single" w:color="000000" w:sz="4" w:space="0"/>
            </w:tcBorders>
            <w:tcW w:w="1164" w:type="dxa"/>
            <w:vAlign w:val="center"/>
            <w:vMerge w:val="restart"/>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综合施工维护</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安装费</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前端硬件所涉及的所有安装费用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3446</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left w:val="single" w:color="000000" w:sz="4" w:space="0"/>
              <w:right w:val="single" w:color="000000" w:sz="4" w:space="0"/>
            </w:tcBorders>
            <w:tcW w:w="1164"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前端维护费</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前端硬件所涉及的所有维护费用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Borders>
              <w:left w:val="single" w:color="000000" w:sz="4" w:space="0"/>
              <w:bottom w:val="single" w:color="000000" w:sz="4" w:space="0"/>
              <w:right w:val="single" w:color="000000" w:sz="4" w:space="0"/>
            </w:tcBorders>
            <w:tcW w:w="1164" w:type="dxa"/>
            <w:vAlign w:val="center"/>
            <w:vMerge w:val="continue"/>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left"/>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平台维护费</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平台维护费用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项</w:t>
            </w:r>
            <w:r/>
          </w:p>
        </w:tc>
      </w:tr>
    </w:tbl>
    <w:p>
      <w:pPr>
        <w:pStyle w:val="928"/>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28"/>
        <w:ind w:firstLine="480"/>
        <w:spacing w:line="360" w:lineRule="auto"/>
        <w:rPr>
          <w:rFonts w:hint="eastAsia" w:ascii="仿宋" w:hAnsi="仿宋" w:eastAsia="仿宋" w:cs="仿宋"/>
          <w:sz w:val="24"/>
          <w:szCs w:val="24"/>
        </w:rPr>
      </w:pPr>
      <w:r/>
      <w:bookmarkStart w:id="72" w:name="_Toc7175"/>
      <w:r>
        <w:rPr>
          <w:rFonts w:hint="eastAsia" w:ascii="仿宋" w:hAnsi="仿宋" w:eastAsia="仿宋" w:cs="仿宋"/>
          <w:sz w:val="24"/>
          <w:szCs w:val="24"/>
        </w:rPr>
        <w:t xml:space="preserve">六、</w:t>
      </w:r>
      <w:bookmarkEnd w:id="72"/>
      <w:r>
        <w:rPr>
          <w:rFonts w:hint="eastAsia" w:ascii="仿宋" w:hAnsi="仿宋" w:eastAsia="仿宋" w:cs="仿宋"/>
          <w:sz w:val="24"/>
          <w:szCs w:val="24"/>
        </w:rPr>
        <w:t xml:space="preserve">运行和维护保障</w:t>
      </w:r>
      <w:r/>
    </w:p>
    <w:p>
      <w:pPr>
        <w:ind w:firstLine="480"/>
        <w:spacing w:line="360" w:lineRule="auto"/>
        <w:rPr>
          <w:rFonts w:hint="eastAsia" w:ascii="仿宋" w:hAnsi="仿宋" w:eastAsia="仿宋" w:cs="仿宋"/>
          <w:sz w:val="24"/>
          <w:szCs w:val="24"/>
        </w:rPr>
      </w:pPr>
      <w:r/>
      <w:bookmarkStart w:id="73" w:name="_Toc46"/>
      <w:r/>
      <w:bookmarkStart w:id="74" w:name="_Toc19700"/>
      <w:r>
        <w:rPr>
          <w:rFonts w:hint="eastAsia" w:ascii="仿宋" w:hAnsi="仿宋" w:eastAsia="仿宋" w:cs="仿宋"/>
          <w:sz w:val="24"/>
          <w:szCs w:val="24"/>
        </w:rPr>
        <w:t xml:space="preserve">（一）硬件</w:t>
      </w:r>
      <w:bookmarkEnd w:id="73"/>
      <w:r/>
      <w:bookmarkEnd w:id="74"/>
      <w:r>
        <w:rPr>
          <w:rFonts w:hint="eastAsia" w:ascii="仿宋" w:hAnsi="仿宋" w:eastAsia="仿宋" w:cs="仿宋"/>
          <w:sz w:val="24"/>
          <w:szCs w:val="24"/>
        </w:rPr>
        <w:t xml:space="preserve">设备质保期</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本项目硬件设备包含2年质保期。2年质保期内，如果产品出现非人为损坏的性能故障，提供无偿的维修服务。2年质保期外，如果设备产生故障，可以进行报修，由采购人线上/现场核查，评估维修/更换成本。</w:t>
      </w:r>
      <w:r/>
    </w:p>
    <w:p>
      <w:pPr>
        <w:pStyle w:val="928"/>
        <w:ind w:firstLine="480"/>
        <w:rPr>
          <w:rFonts w:hint="eastAsia" w:ascii="仿宋" w:hAnsi="仿宋" w:eastAsia="仿宋" w:cs="仿宋"/>
          <w:sz w:val="24"/>
          <w:szCs w:val="24"/>
        </w:rPr>
      </w:pPr>
      <w:r>
        <w:rPr>
          <w:rFonts w:hint="eastAsia" w:ascii="仿宋" w:hAnsi="仿宋" w:eastAsia="仿宋" w:cs="仿宋"/>
          <w:sz w:val="24"/>
          <w:szCs w:val="24"/>
        </w:rPr>
        <w:t xml:space="preserve">（二）软件平台维护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1.系统监控：</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监控软件平台的性能指标，如响应时间、并发用户数、系统负载等。实时监控系统状态，包括服务器、数据库、网络等。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2.故障管理：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快速响应系统故障，进行故障诊断和修复。记录和分析故障，防止同类问题再次发生。</w:t>
      </w:r>
      <w:r/>
    </w:p>
    <w:p>
      <w:pPr>
        <w:numPr>
          <w:ilvl w:val="0"/>
          <w:numId w:val="5"/>
        </w:num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性能优化：定期对系统进行性能评估，识别瓶颈。优化系统配置，提升系统性能和响应速度。</w:t>
      </w:r>
      <w:r/>
    </w:p>
    <w:p>
      <w:pPr>
        <w:numPr>
          <w:ilvl w:val="0"/>
          <w:numId w:val="5"/>
        </w:num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版本更新和补丁管理：定期更新软件版本，引入新功能和改进。及时应用安全补丁，修复已知的安全漏洞。</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5.数据备份和恢复：制定数据备份计划，定期备份关键数据。准备数据恢复方案，以应对数据丢失或损坏的情况。</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6.安全管理：实施网络安全措施，如防火墙、入侵检测系统等。定期进行安全审计，评估系统安全状况。</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7.用户支持和服务：提供用户培训和技术支持，帮助用户解决使用中的问题。管理用户反馈，持续改进用户体验。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8.配置管理：维护系统配置信息，确保系统配置的正确性和一致性。跟踪配置变更，管理配置项的生命周期。</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（三）音视频采集设备维护内容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本项目音视频采集设备维护内容包括:</w:t>
      </w:r>
      <w:r/>
    </w:p>
    <w:p>
      <w:pPr>
        <w:ind w:firstLine="480"/>
        <w:spacing w:line="360" w:lineRule="auto"/>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 xml:space="preserve">1.安排指导现场查看离线情况，给予恢复供电、供网处理；</w:t>
      </w:r>
      <w:r/>
    </w:p>
    <w:p>
      <w:pPr>
        <w:ind w:firstLine="480"/>
        <w:spacing w:line="360" w:lineRule="auto"/>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 xml:space="preserve">2.安排指导现场确定异常故障情况，安装固定给予恢复到规范标准状态；</w:t>
      </w:r>
      <w:r/>
    </w:p>
    <w:p>
      <w:pPr>
        <w:ind w:firstLine="480"/>
        <w:spacing w:line="360" w:lineRule="auto"/>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 xml:space="preserve">3.安排指导现场更换故障部件，重新规范安装固定、调试绑定上线正常；</w:t>
      </w:r>
      <w:r/>
    </w:p>
    <w:p>
      <w:pPr>
        <w:ind w:firstLine="480"/>
        <w:spacing w:line="360" w:lineRule="auto"/>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 xml:space="preserve">4.针对产品设备部件，运维后台进行升级处理、配置维护下发处理等；</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zh-TW" w:eastAsia="zh-TW"/>
        </w:rPr>
        <w:t xml:space="preserve">5.异常产品部件安排返厂维修</w:t>
      </w:r>
      <w:r>
        <w:rPr>
          <w:rFonts w:hint="eastAsia" w:ascii="仿宋" w:hAnsi="仿宋" w:eastAsia="仿宋" w:cs="仿宋"/>
          <w:sz w:val="24"/>
          <w:szCs w:val="24"/>
          <w:lang w:val="zh-TW" w:eastAsia="zh-CN"/>
        </w:rPr>
        <w:t xml:space="preserve">。</w:t>
      </w:r>
      <w:r/>
    </w:p>
    <w:p>
      <w:pPr>
        <w:pStyle w:val="928"/>
        <w:ind w:firstLine="480"/>
        <w:rPr>
          <w:rFonts w:hint="eastAsia" w:ascii="仿宋" w:hAnsi="仿宋" w:eastAsia="仿宋" w:cs="仿宋"/>
          <w:sz w:val="24"/>
          <w:szCs w:val="24"/>
        </w:rPr>
      </w:pPr>
      <w:r>
        <w:rPr>
          <w:rFonts w:hint="eastAsia" w:ascii="仿宋" w:hAnsi="仿宋" w:eastAsia="仿宋" w:cs="仿宋"/>
          <w:sz w:val="24"/>
          <w:szCs w:val="24"/>
        </w:rPr>
        <w:t xml:space="preserve">七、付款方式</w:t>
      </w:r>
      <w:r/>
    </w:p>
    <w:p>
      <w:pPr>
        <w:pStyle w:val="928"/>
        <w:ind w:firstLine="480"/>
        <w:rPr>
          <w:rFonts w:hint="eastAsia" w:ascii="仿宋" w:hAnsi="仿宋" w:eastAsia="仿宋" w:cs="仿宋"/>
          <w:sz w:val="24"/>
          <w:szCs w:val="24"/>
        </w:rPr>
      </w:pPr>
      <w:r>
        <w:rPr>
          <w:rFonts w:hint="eastAsia" w:ascii="仿宋" w:hAnsi="仿宋" w:eastAsia="仿宋" w:cs="仿宋"/>
          <w:sz w:val="24"/>
        </w:rPr>
        <w:t xml:space="preserve">合同签订后，采购人在收到发票后30日内，支付合同金额的30%；系统最终验收合格后付至合同金额的80%；项目审计结算后付至审计金额的90%；质保两年后，付清审计金额余额。</w:t>
      </w:r>
      <w:r/>
    </w:p>
    <w:p>
      <w:pPr>
        <w:rPr>
          <w:rFonts w:hint="eastAsia" w:ascii="仿宋" w:hAnsi="仿宋" w:eastAsia="仿宋" w:cs="仿宋"/>
          <w:b/>
          <w:sz w:val="28"/>
          <w:szCs w:val="28"/>
        </w:rPr>
      </w:pPr>
      <w:r>
        <w:rPr>
          <w:rFonts w:hint="eastAsia" w:ascii="仿宋" w:hAnsi="仿宋" w:eastAsia="仿宋" w:cs="仿宋"/>
          <w:b/>
          <w:sz w:val="28"/>
          <w:szCs w:val="28"/>
        </w:rPr>
        <w:br w:type="page" w:clear="all"/>
      </w:r>
      <w:bookmarkEnd w:id="11"/>
      <w:r/>
      <w:bookmarkEnd w:id="12"/>
      <w:r/>
      <w:r/>
    </w:p>
    <w:p>
      <w:r/>
      <w:r/>
    </w:p>
    <w:p>
      <w:pPr>
        <w:jc w:val="center"/>
        <w:rPr>
          <w:b/>
          <w:bCs/>
          <w:sz w:val="36"/>
          <w:szCs w:val="36"/>
        </w:rPr>
      </w:pPr>
      <w:r>
        <w:rPr>
          <w:rFonts w:hint="eastAsia" w:ascii="黑体" w:hAnsi="华文中宋" w:eastAsia="黑体"/>
          <w:bCs/>
          <w:sz w:val="32"/>
          <w:szCs w:val="30"/>
        </w:rPr>
        <w:t xml:space="preserve">第四章 合同书（格式文本）</w:t>
      </w:r>
      <w:r/>
    </w:p>
    <w:p>
      <w:r/>
      <w:r/>
    </w:p>
    <w:p>
      <w:r/>
      <w:r/>
    </w:p>
    <w:p>
      <w:r/>
      <w:r/>
    </w:p>
    <w:p>
      <w:pPr>
        <w:rPr>
          <w:rFonts w:hint="eastAsia" w:ascii="仿宋" w:hAnsi="仿宋" w:eastAsia="仿宋" w:cs="仿宋"/>
        </w:rPr>
      </w:pPr>
      <w:r>
        <w:rPr>
          <w:rFonts w:hint="eastAsia" w:ascii="仿宋" w:hAnsi="仿宋" w:eastAsia="仿宋" w:cs="仿宋"/>
          <w:b/>
          <w:bCs/>
        </w:rPr>
        <w:t xml:space="preserve">双方依照招标文件及相关法律法规重新协商拟订</w:t>
      </w:r>
      <w:r/>
    </w:p>
    <w:p>
      <w:pPr>
        <w:jc w:val="left"/>
        <w:spacing w:line="400" w:lineRule="exact"/>
        <w:rPr>
          <w:rFonts w:ascii="宋体" w:hAnsi="宋体" w:cs="宋体"/>
          <w:szCs w:val="21"/>
        </w:rPr>
      </w:pPr>
      <w:r>
        <w:rPr>
          <w:rFonts w:hint="eastAsia" w:ascii="黑体" w:eastAsia="黑体"/>
          <w:bCs/>
          <w:sz w:val="24"/>
        </w:rPr>
        <w:br w:type="page" w:clear="all"/>
      </w:r>
      <w:r/>
    </w:p>
    <w:p>
      <w:pPr>
        <w:ind w:firstLine="420"/>
        <w:jc w:val="center"/>
        <w:spacing w:line="360" w:lineRule="auto"/>
        <w:rPr>
          <w:rFonts w:ascii="黑体" w:hAnsi="华文中宋" w:eastAsia="黑体"/>
          <w:bCs/>
          <w:sz w:val="32"/>
          <w:szCs w:val="32"/>
        </w:rPr>
      </w:pPr>
      <w:r>
        <w:rPr>
          <w:rFonts w:hint="eastAsia" w:ascii="黑体" w:hAnsi="华文中宋" w:eastAsia="黑体"/>
          <w:bCs/>
          <w:sz w:val="32"/>
          <w:szCs w:val="32"/>
        </w:rPr>
        <w:t xml:space="preserve">第五章 评分标准</w:t>
      </w:r>
      <w:r/>
    </w:p>
    <w:p>
      <w:pPr>
        <w:pStyle w:val="929"/>
        <w:ind w:firstLine="460"/>
        <w:spacing w:line="525" w:lineRule="exact"/>
        <w:tabs>
          <w:tab w:val="left" w:pos="875"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ab/>
      </w:r>
      <w:r>
        <w:rPr>
          <w:rFonts w:hint="eastAsia" w:ascii="仿宋" w:hAnsi="仿宋" w:eastAsia="仿宋" w:cs="仿宋"/>
          <w:color w:val="000000"/>
          <w:sz w:val="24"/>
          <w:szCs w:val="24"/>
        </w:rPr>
        <w:t xml:space="preserve">本次招标评标釆用为</w:t>
      </w:r>
      <w:r>
        <w:rPr>
          <w:rFonts w:hint="eastAsia" w:ascii="仿宋" w:hAnsi="仿宋" w:eastAsia="仿宋" w:cs="仿宋"/>
          <w:color w:val="000000"/>
          <w:sz w:val="24"/>
          <w:szCs w:val="24"/>
          <w:u w:val="single"/>
        </w:rPr>
        <w:t xml:space="preserve">综合评分法</w:t>
      </w:r>
      <w:r>
        <w:rPr>
          <w:rFonts w:hint="eastAsia" w:ascii="仿宋" w:hAnsi="仿宋" w:eastAsia="仿宋" w:cs="仿宋"/>
          <w:color w:val="000000"/>
          <w:sz w:val="24"/>
          <w:szCs w:val="24"/>
        </w:rPr>
        <w:t xml:space="preserve">。即在满足招标文件实质性要求前提下，按照招 标文件中规定的评分标准和各项因素进行综合评审后，以评标总得分最高的投标人作为中标候选供应商或中标供应商。</w:t>
      </w:r>
      <w:r/>
    </w:p>
    <w:p>
      <w:pPr>
        <w:pStyle w:val="929"/>
        <w:ind w:firstLine="460"/>
        <w:spacing w:after="80" w:line="525" w:lineRule="exact"/>
        <w:tabs>
          <w:tab w:val="left" w:pos="875" w:leader="none"/>
        </w:tabs>
        <w:rPr>
          <w:rFonts w:hint="eastAsia" w:ascii="仿宋" w:hAnsi="仿宋" w:eastAsia="仿宋" w:cs="仿宋"/>
          <w:sz w:val="24"/>
          <w:szCs w:val="24"/>
        </w:rPr>
      </w:pPr>
      <w:r/>
      <w:bookmarkStart w:id="75" w:name="bookmark322"/>
      <w:r>
        <w:rPr>
          <w:rFonts w:hint="eastAsia" w:ascii="仿宋" w:hAnsi="仿宋" w:eastAsia="仿宋" w:cs="仿宋"/>
          <w:color w:val="000000"/>
          <w:sz w:val="24"/>
          <w:szCs w:val="24"/>
        </w:rPr>
        <w:t xml:space="preserve">2</w:t>
      </w:r>
      <w:bookmarkEnd w:id="75"/>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ab/>
      </w:r>
      <w:r>
        <w:rPr>
          <w:rFonts w:hint="eastAsia" w:ascii="仿宋" w:hAnsi="仿宋" w:eastAsia="仿宋" w:cs="仿宋"/>
          <w:color w:val="000000"/>
          <w:sz w:val="24"/>
          <w:szCs w:val="24"/>
        </w:rPr>
        <w:t xml:space="preserve">评标时，评标委员会成员按照招标文件规定的评分标准，独立对每个投标人的投标文件进行评价、打分。价格标得分按法规规定的计算公式直接计算取得。技术、商务评审得分和价格标得分相加即为投标人的评标总得分。评分过程中釆用</w:t>
      </w:r>
      <w:r>
        <w:rPr>
          <w:rFonts w:hint="eastAsia" w:ascii="仿宋" w:hAnsi="仿宋" w:eastAsia="仿宋" w:cs="仿宋"/>
          <w:color w:val="000000"/>
          <w:sz w:val="24"/>
          <w:szCs w:val="24"/>
          <w:lang w:val="zh-CN" w:eastAsia="zh-CN" w:bidi="zh-CN"/>
        </w:rPr>
        <w:t xml:space="preserve">“四</w:t>
      </w:r>
      <w:r>
        <w:rPr>
          <w:rFonts w:hint="eastAsia" w:ascii="仿宋" w:hAnsi="仿宋" w:eastAsia="仿宋" w:cs="仿宋"/>
          <w:color w:val="000000"/>
          <w:sz w:val="24"/>
          <w:szCs w:val="24"/>
        </w:rPr>
        <w:t xml:space="preserve">舍五入</w:t>
      </w:r>
      <w:r>
        <w:rPr>
          <w:rFonts w:hint="eastAsia" w:ascii="仿宋" w:hAnsi="仿宋" w:eastAsia="仿宋" w:cs="仿宋"/>
          <w:color w:val="000000"/>
          <w:sz w:val="24"/>
          <w:szCs w:val="24"/>
          <w:lang w:val="zh-CN" w:eastAsia="zh-CN" w:bidi="zh-CN"/>
        </w:rPr>
        <w:t xml:space="preserve">”法，</w:t>
      </w:r>
      <w:r>
        <w:rPr>
          <w:rFonts w:hint="eastAsia" w:ascii="仿宋" w:hAnsi="仿宋" w:eastAsia="仿宋" w:cs="仿宋"/>
          <w:color w:val="000000"/>
          <w:sz w:val="24"/>
          <w:szCs w:val="24"/>
        </w:rPr>
        <w:t xml:space="preserve">并保留小数2位。</w:t>
      </w:r>
      <w:r/>
    </w:p>
    <w:p>
      <w:pPr>
        <w:pStyle w:val="929"/>
        <w:ind w:firstLine="460"/>
        <w:spacing w:after="120" w:line="420" w:lineRule="exact"/>
        <w:tabs>
          <w:tab w:val="left" w:pos="875" w:leader="none"/>
        </w:tabs>
        <w:rPr>
          <w:rFonts w:hint="eastAsia" w:ascii="仿宋" w:hAnsi="仿宋" w:eastAsia="仿宋" w:cs="仿宋"/>
          <w:sz w:val="24"/>
          <w:szCs w:val="24"/>
        </w:rPr>
      </w:pPr>
      <w:r/>
      <w:bookmarkStart w:id="76" w:name="bookmark323"/>
      <w:r>
        <w:rPr>
          <w:rFonts w:hint="eastAsia" w:ascii="仿宋" w:hAnsi="仿宋" w:eastAsia="仿宋" w:cs="仿宋"/>
          <w:color w:val="000000"/>
          <w:sz w:val="24"/>
          <w:szCs w:val="24"/>
        </w:rPr>
        <w:t xml:space="preserve">3</w:t>
      </w:r>
      <w:bookmarkEnd w:id="76"/>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ab/>
      </w:r>
      <w:r>
        <w:rPr>
          <w:rFonts w:hint="eastAsia" w:ascii="仿宋" w:hAnsi="仿宋" w:eastAsia="仿宋" w:cs="仿宋"/>
          <w:color w:val="000000"/>
          <w:sz w:val="24"/>
          <w:szCs w:val="24"/>
        </w:rPr>
        <w:t xml:space="preserve">如岀现评标总得分最高的投标人有两个或两个以上的</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以投标报价较低者优先作为中标候选人，如果投标报价也相同的，则由</w:t>
      </w:r>
      <w:r>
        <w:rPr>
          <w:rFonts w:hint="eastAsia" w:ascii="仿宋" w:hAnsi="仿宋" w:eastAsia="仿宋" w:cs="仿宋"/>
          <w:color w:val="000000"/>
          <w:sz w:val="24"/>
          <w:szCs w:val="24"/>
          <w:lang w:eastAsia="zh-CN"/>
        </w:rPr>
        <w:t xml:space="preserve">招标人</w:t>
      </w:r>
      <w:r>
        <w:rPr>
          <w:rFonts w:hint="eastAsia" w:ascii="仿宋" w:hAnsi="仿宋" w:eastAsia="仿宋" w:cs="仿宋"/>
          <w:color w:val="000000"/>
          <w:sz w:val="24"/>
          <w:szCs w:val="24"/>
        </w:rPr>
        <w:t xml:space="preserve">组织以抽签方式确定中标候选供应商或中标供应商。</w:t>
      </w:r>
      <w:r/>
    </w:p>
    <w:p>
      <w:pPr>
        <w:pStyle w:val="929"/>
        <w:ind w:firstLine="420"/>
        <w:spacing w:after="40" w:line="360" w:lineRule="auto"/>
        <w:tabs>
          <w:tab w:val="left" w:pos="875" w:leader="none"/>
        </w:tabs>
        <w:rPr>
          <w:rFonts w:hint="eastAsia" w:ascii="仿宋" w:hAnsi="仿宋" w:eastAsia="仿宋" w:cs="仿宋"/>
          <w:sz w:val="24"/>
          <w:szCs w:val="24"/>
        </w:rPr>
      </w:pPr>
      <w:r/>
      <w:bookmarkStart w:id="77" w:name="bookmark324"/>
      <w:r>
        <w:rPr>
          <w:rFonts w:hint="eastAsia" w:ascii="仿宋" w:hAnsi="仿宋" w:eastAsia="仿宋" w:cs="仿宋"/>
          <w:color w:val="000000"/>
          <w:sz w:val="24"/>
          <w:szCs w:val="24"/>
        </w:rPr>
        <w:t xml:space="preserve">4</w:t>
      </w:r>
      <w:bookmarkEnd w:id="77"/>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ab/>
      </w:r>
      <w:r>
        <w:rPr>
          <w:rFonts w:hint="eastAsia" w:ascii="仿宋" w:hAnsi="仿宋" w:eastAsia="仿宋" w:cs="仿宋"/>
          <w:color w:val="000000"/>
          <w:sz w:val="24"/>
          <w:szCs w:val="24"/>
        </w:rPr>
        <w:t xml:space="preserve">评分标准：</w:t>
      </w:r>
      <w:r/>
    </w:p>
    <w:p>
      <w:pPr>
        <w:pStyle w:val="929"/>
        <w:ind w:firstLine="540"/>
        <w:jc w:val="left"/>
        <w:spacing w:after="40" w:line="240" w:lineRule="auto"/>
        <w:tabs>
          <w:tab w:val="left" w:pos="1055" w:leader="none"/>
        </w:tabs>
        <w:rPr>
          <w:rFonts w:hint="eastAsia" w:ascii="仿宋" w:hAnsi="仿宋" w:eastAsia="仿宋" w:cs="仿宋"/>
          <w:sz w:val="24"/>
          <w:szCs w:val="24"/>
        </w:rPr>
      </w:pPr>
      <w:r/>
      <w:bookmarkStart w:id="78" w:name="bookmark325"/>
      <w:r>
        <w:rPr>
          <w:rFonts w:hint="eastAsia" w:ascii="仿宋" w:hAnsi="仿宋" w:eastAsia="仿宋" w:cs="仿宋"/>
          <w:color w:val="000000"/>
          <w:sz w:val="24"/>
          <w:szCs w:val="24"/>
        </w:rPr>
        <w:t xml:space="preserve">（</w:t>
      </w:r>
      <w:bookmarkEnd w:id="78"/>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tab/>
      </w:r>
      <w:r>
        <w:rPr>
          <w:rFonts w:hint="eastAsia" w:ascii="仿宋" w:hAnsi="仿宋" w:eastAsia="仿宋" w:cs="仿宋"/>
          <w:color w:val="000000"/>
          <w:sz w:val="24"/>
          <w:szCs w:val="24"/>
        </w:rPr>
        <w:t xml:space="preserve">评标釆用综合评分法。</w:t>
      </w:r>
      <w:r/>
    </w:p>
    <w:p>
      <w:pPr>
        <w:pStyle w:val="929"/>
        <w:ind w:firstLine="540"/>
        <w:jc w:val="left"/>
        <w:spacing w:after="120" w:line="240" w:lineRule="auto"/>
        <w:tabs>
          <w:tab w:val="left" w:pos="1055" w:leader="none"/>
        </w:tabs>
        <w:rPr>
          <w:rFonts w:hint="eastAsia" w:ascii="仿宋" w:hAnsi="仿宋" w:eastAsia="仿宋" w:cs="仿宋"/>
          <w:sz w:val="24"/>
          <w:szCs w:val="24"/>
        </w:rPr>
      </w:pPr>
      <w:r/>
      <w:bookmarkStart w:id="79" w:name="bookmark326"/>
      <w:r>
        <w:rPr>
          <w:rFonts w:hint="eastAsia" w:ascii="仿宋" w:hAnsi="仿宋" w:eastAsia="仿宋" w:cs="仿宋"/>
          <w:color w:val="000000"/>
          <w:sz w:val="24"/>
          <w:szCs w:val="24"/>
        </w:rPr>
        <w:t xml:space="preserve">（</w:t>
      </w:r>
      <w:bookmarkEnd w:id="79"/>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tab/>
      </w:r>
      <w:r>
        <w:rPr>
          <w:rFonts w:hint="eastAsia" w:ascii="仿宋" w:hAnsi="仿宋" w:eastAsia="仿宋" w:cs="仿宋"/>
          <w:color w:val="000000"/>
          <w:sz w:val="24"/>
          <w:szCs w:val="24"/>
        </w:rPr>
        <w:t xml:space="preserve">评标考虑的主要因素及其权值：</w:t>
      </w:r>
      <w:r/>
    </w:p>
    <w:p>
      <w:pPr>
        <w:pStyle w:val="929"/>
        <w:ind w:firstLine="420"/>
        <w:jc w:val="left"/>
        <w:spacing w:after="8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评委对投标文件的技术及商务响应情况进行评分。评分釆用量化方法。</w:t>
      </w:r>
      <w:r/>
    </w:p>
    <w:p>
      <w:pPr>
        <w:pStyle w:val="929"/>
        <w:ind w:firstLine="0"/>
        <w:jc w:val="left"/>
        <w:spacing w:line="525" w:lineRule="exact"/>
        <w:rPr>
          <w:rFonts w:hint="eastAsia" w:ascii="仿宋" w:hAnsi="仿宋" w:eastAsia="仿宋" w:cs="仿宋"/>
          <w:color w:val="2b0001"/>
          <w:sz w:val="24"/>
          <w:szCs w:val="24"/>
          <w:lang w:val="en-US" w:eastAsia="zh-CN"/>
        </w:rPr>
      </w:pPr>
      <w:r>
        <w:rPr>
          <w:rFonts w:hint="eastAsia" w:ascii="仿宋" w:hAnsi="仿宋" w:eastAsia="仿宋" w:cs="仿宋"/>
          <w:color w:val="2b0001"/>
          <w:sz w:val="24"/>
          <w:szCs w:val="24"/>
          <w:lang w:val="en-US" w:eastAsia="zh-CN"/>
        </w:rPr>
        <w:tab/>
      </w:r>
      <w:r>
        <w:rPr>
          <w:rFonts w:hint="eastAsia" w:ascii="仿宋" w:hAnsi="仿宋" w:eastAsia="仿宋" w:cs="仿宋"/>
          <w:color w:val="2b0001"/>
          <w:sz w:val="24"/>
          <w:szCs w:val="24"/>
          <w:lang w:val="en-US" w:eastAsia="zh-CN"/>
        </w:rPr>
        <w:t xml:space="preserve">5.价格扣除：</w:t>
      </w:r>
      <w:r/>
    </w:p>
    <w:p>
      <w:pPr>
        <w:pStyle w:val="929"/>
        <w:ind w:firstLine="240"/>
        <w:jc w:val="left"/>
        <w:spacing w:line="525" w:lineRule="exact"/>
        <w:rPr>
          <w:rFonts w:hint="eastAsia" w:ascii="仿宋" w:hAnsi="仿宋" w:eastAsia="仿宋" w:cs="仿宋"/>
          <w:color w:val="2b0001"/>
          <w:sz w:val="24"/>
          <w:szCs w:val="24"/>
          <w:lang w:val="en-US" w:eastAsia="zh-CN"/>
        </w:rPr>
      </w:pPr>
      <w:r>
        <w:rPr>
          <w:rFonts w:hint="eastAsia" w:ascii="仿宋" w:hAnsi="仿宋" w:eastAsia="仿宋" w:cs="仿宋"/>
          <w:color w:val="2b0001"/>
          <w:sz w:val="24"/>
          <w:szCs w:val="24"/>
          <w:lang w:val="en-US" w:eastAsia="zh-CN"/>
        </w:rPr>
        <w:t xml:space="preserve">（1）对小型和微型企业产品的价格给予10%的扣除。参加报价的中小企业，应当按照 《政府釆购促进中小企业发展管理办法》（财库（2020）46号）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技要求填写 和提供《企业声明函》的”，不得享受价格扣除。如果供应商违反承诺追究其相应法律责任。</w:t>
      </w:r>
      <w:r/>
    </w:p>
    <w:p>
      <w:pPr>
        <w:pStyle w:val="929"/>
        <w:ind w:firstLine="240"/>
        <w:jc w:val="left"/>
        <w:spacing w:line="525" w:lineRule="exact"/>
        <w:rPr>
          <w:rFonts w:hint="eastAsia" w:ascii="仿宋" w:hAnsi="仿宋" w:eastAsia="仿宋" w:cs="仿宋"/>
          <w:color w:val="2b0001"/>
          <w:sz w:val="24"/>
          <w:szCs w:val="24"/>
          <w:lang w:val="en-US" w:eastAsia="zh-CN"/>
        </w:rPr>
      </w:pPr>
      <w:r>
        <w:rPr>
          <w:rFonts w:hint="eastAsia" w:ascii="仿宋" w:hAnsi="仿宋" w:eastAsia="仿宋" w:cs="仿宋"/>
          <w:color w:val="2b0001"/>
          <w:sz w:val="24"/>
          <w:szCs w:val="24"/>
          <w:lang w:val="en-US" w:eastAsia="zh-CN"/>
        </w:rPr>
        <w:t xml:space="preserve">（2）根据《财政部司法部关于政府釆购支持监狱企业发展有关问题的通知》（财库（2014）68号）要求，监狱和戒毒企业视同小型、微型企业，享受与小型、微型企业产品价格同比例扣除的优惠政策，不重复享受政策。监狱和戒毒企业应当提供由省级以上监狱 管理局、戒毒管理局（含新疆生产建设兵团）岀具的属于监狱企业的证明文件。</w:t>
      </w:r>
      <w:r/>
    </w:p>
    <w:p>
      <w:pPr>
        <w:pStyle w:val="929"/>
        <w:ind w:firstLine="240"/>
        <w:jc w:val="left"/>
        <w:spacing w:line="525" w:lineRule="exact"/>
        <w:rPr>
          <w:rFonts w:hint="eastAsia" w:ascii="仿宋" w:hAnsi="仿宋" w:eastAsia="仿宋" w:cs="仿宋"/>
          <w:color w:val="2b0001"/>
          <w:sz w:val="24"/>
          <w:szCs w:val="24"/>
          <w:lang w:val="en-US" w:eastAsia="zh-CN"/>
        </w:rPr>
      </w:pPr>
      <w:r>
        <w:rPr>
          <w:rFonts w:hint="eastAsia" w:ascii="仿宋" w:hAnsi="仿宋" w:eastAsia="仿宋" w:cs="仿宋"/>
          <w:color w:val="2b0001"/>
          <w:sz w:val="24"/>
          <w:szCs w:val="24"/>
          <w:lang w:val="en-US" w:eastAsia="zh-CN"/>
        </w:rPr>
        <w:t xml:space="preserve">（3）根据《关于促进残疾人就业政府釆购政策的通知》（财库（2017）141号）要求,残疾人福利性单位视同小型、微型企业，享受与小型、微型企业产品价格同比例扣除的优 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pStyle w:val="929"/>
        <w:ind w:firstLine="240"/>
        <w:jc w:val="left"/>
        <w:spacing w:line="525" w:lineRule="exact"/>
        <w:rPr>
          <w:rFonts w:hint="eastAsia" w:ascii="仿宋" w:hAnsi="仿宋" w:eastAsia="仿宋" w:cs="仿宋"/>
          <w:color w:val="2b0001"/>
          <w:sz w:val="24"/>
          <w:szCs w:val="24"/>
          <w:lang w:val="en-US" w:eastAsia="zh-CN"/>
        </w:rPr>
      </w:pPr>
      <w:r>
        <w:rPr>
          <w:rFonts w:hint="eastAsia" w:ascii="仿宋" w:hAnsi="仿宋" w:eastAsia="仿宋" w:cs="仿宋"/>
          <w:color w:val="2b0001"/>
          <w:sz w:val="24"/>
          <w:szCs w:val="24"/>
          <w:lang w:val="en-US" w:eastAsia="zh-CN"/>
        </w:rPr>
        <w:t xml:space="preserve">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rPr>
          <w:rFonts w:hint="eastAsia" w:ascii="仿宋" w:hAnsi="仿宋" w:eastAsia="仿宋" w:cs="仿宋"/>
          <w:szCs w:val="21"/>
        </w:rPr>
      </w:pPr>
      <w:r>
        <w:rPr>
          <w:rFonts w:hint="eastAsia" w:ascii="仿宋" w:hAnsi="仿宋" w:eastAsia="仿宋" w:cs="仿宋"/>
          <w:szCs w:val="21"/>
        </w:rPr>
      </w:r>
      <w:r/>
    </w:p>
    <w:tbl>
      <w:tblPr>
        <w:tblStyle w:val="734"/>
        <w:tblW w:w="9248" w:type="dxa"/>
        <w:tblInd w:w="93" w:type="dxa"/>
        <w:tblLayout w:type="fixed"/>
        <w:tblCellMar>
          <w:left w:w="108" w:type="dxa"/>
          <w:top w:w="0" w:type="dxa"/>
          <w:right w:w="108" w:type="dxa"/>
          <w:bottom w:w="0" w:type="dxa"/>
        </w:tblCellMar>
        <w:tblLook w:val="04A0" w:firstRow="1" w:lastRow="0" w:firstColumn="1" w:lastColumn="0" w:noHBand="0" w:noVBand="1"/>
      </w:tblPr>
      <w:tblGrid>
        <w:gridCol w:w="881"/>
        <w:gridCol w:w="999"/>
        <w:gridCol w:w="676"/>
        <w:gridCol w:w="6692"/>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lang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lang w:bidi="ar"/>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692" w:type="dxa"/>
            <w:vAlign w:val="center"/>
            <w:textDirection w:val="lrTb"/>
            <w:noWrap w:val="false"/>
          </w:tcPr>
          <w:p>
            <w:pPr>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lang w:bidi="ar"/>
              </w:rPr>
              <w:t xml:space="preserve">评分标准</w:t>
            </w:r>
            <w:r/>
          </w:p>
        </w:tc>
      </w:tr>
      <w:tr>
        <w:trPr>
          <w:trHeight w:val="1056"/>
        </w:trPr>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报价部分（15分）</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92"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按满足招标文件要求且有效投标价格最低的投标报价作为评审基准价，其价格分为满分；其他投标人的价格分按以下公式计算：投标报价得分=（评审基准价/投标报价）×15分。</w:t>
            </w:r>
            <w:r/>
          </w:p>
        </w:tc>
      </w:tr>
      <w:tr>
        <w:trPr>
          <w:trHeight w:val="2280"/>
        </w:trPr>
        <w:tc>
          <w:tcPr>
            <w:shd w:val="clear" w:color="auto" w:fill="auto"/>
            <w:tcBorders>
              <w:top w:val="single" w:color="000000" w:sz="4" w:space="0"/>
              <w:left w:val="single" w:color="000000" w:sz="4" w:space="0"/>
              <w:right w:val="single" w:color="000000" w:sz="4" w:space="0"/>
            </w:tcBorders>
            <w:tcW w:w="881" w:type="dxa"/>
            <w:vAlign w:val="center"/>
            <w:vMerge w:val="restart"/>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商务部分（36分）</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投标人资质能力</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92" w:type="dxa"/>
            <w:vAlign w:val="center"/>
            <w:textDirection w:val="lrTb"/>
            <w:noWrap w:val="false"/>
          </w:tcPr>
          <w:p>
            <w:pPr>
              <w:jc w:val="left"/>
              <w:spacing w:line="360" w:lineRule="auto"/>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1.投标人通过ISO9001质量管理体系认证、ISO27001信息安全管理体系认证、ISO14001环境管理体系认证、ISO20000IT服务管理体系认证证书、ISO45001职业健康安全管理体系认证的，有一个得0.4分，本项最多得2分；</w:t>
            </w:r>
            <w:r/>
          </w:p>
          <w:p>
            <w:pPr>
              <w:jc w:val="left"/>
              <w:spacing w:line="360" w:lineRule="auto"/>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2.投标人具备较强的信息系统建设和服务能力，获得信息系统建设和服务能力等级证书（CS3）以上证书的得2分；</w:t>
            </w:r>
            <w:r/>
          </w:p>
          <w:p>
            <w:pPr>
              <w:jc w:val="left"/>
              <w:spacing w:line="360" w:lineRule="auto"/>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3.投标人具有安防工程企业设计施工维护能力评价一级的得2分，二级的得1分，三级的得0.5分。</w:t>
            </w:r>
            <w:r/>
          </w:p>
          <w:p>
            <w:pPr>
              <w:jc w:val="left"/>
              <w:spacing w:line="360" w:lineRule="auto"/>
              <w:widowControl/>
              <w:rPr>
                <w:rFonts w:hint="eastAsia" w:ascii="仿宋" w:hAnsi="仿宋" w:eastAsia="仿宋" w:cs="仿宋"/>
                <w:color w:val="000000"/>
                <w:szCs w:val="21"/>
              </w:rPr>
            </w:pPr>
            <w:r>
              <w:rPr>
                <w:rStyle w:val="924"/>
                <w:rFonts w:hint="eastAsia" w:ascii="仿宋" w:hAnsi="仿宋" w:eastAsia="仿宋" w:cs="仿宋"/>
                <w:sz w:val="21"/>
                <w:szCs w:val="21"/>
                <w:lang w:bidi="ar"/>
              </w:rPr>
              <w:t xml:space="preserve">备注：以上1-3三条提供相关证书扫描件。</w:t>
            </w:r>
            <w:r/>
          </w:p>
        </w:tc>
      </w:tr>
      <w:tr>
        <w:trPr>
          <w:trHeight w:val="3942"/>
        </w:trPr>
        <w:tc>
          <w:tcPr>
            <w:shd w:val="clear" w:color="auto" w:fill="auto"/>
            <w:tcBorders>
              <w:left w:val="single" w:color="000000" w:sz="4" w:space="0"/>
              <w:right w:val="single" w:color="000000" w:sz="4" w:space="0"/>
            </w:tcBorders>
            <w:tcW w:w="881" w:type="dxa"/>
            <w:vAlign w:val="center"/>
            <w:vMerge w:val="continue"/>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项目实施人员能力</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92" w:type="dxa"/>
            <w:vAlign w:val="center"/>
            <w:textDirection w:val="lrTb"/>
            <w:noWrap w:val="false"/>
          </w:tcPr>
          <w:p>
            <w:pPr>
              <w:jc w:val="left"/>
              <w:spacing w:line="360" w:lineRule="auto"/>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1.项目负责人（4分）：项目负责人具有机电工程专业二级建造师证书的得1分，具有机电工程专业一级建造师证书的得2分；项目负责人同时具有高级工程师、信息系统项目管理师的有1个得1分。本项最多得4分。</w:t>
            </w:r>
            <w:r/>
          </w:p>
          <w:p>
            <w:pPr>
              <w:jc w:val="left"/>
              <w:spacing w:line="360" w:lineRule="auto"/>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2.项目技术负责人（3分）：项目技术负责人具有系统分析师证书的得2分，同时具有信息系统项目管理师证书、中级及以上网络工程师证书的有1个得0.5分，本项最多得3分。</w:t>
            </w:r>
            <w:r/>
          </w:p>
          <w:p>
            <w:pPr>
              <w:jc w:val="left"/>
              <w:spacing w:line="360" w:lineRule="auto"/>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3.项目组其他成员（3分）：项目组其他成员具有弱电系统高级工程师证书、安防系统高级工程师证书、网络与信息安全应急人员认证证书、ITSS服务应用经理证书、高级IT运维工程师证书、高级智能化系统工程师有1个得0.5分，本项最多得3分。同一个人员具有以上多种证书的只计算其中一种，同一个人员不重复得分。</w:t>
            </w:r>
            <w:r/>
          </w:p>
          <w:p>
            <w:pPr>
              <w:jc w:val="left"/>
              <w:spacing w:line="360" w:lineRule="auto"/>
              <w:widowControl/>
              <w:rPr>
                <w:rFonts w:hint="eastAsia" w:ascii="仿宋" w:hAnsi="仿宋" w:eastAsia="仿宋" w:cs="仿宋"/>
                <w:color w:val="000000"/>
                <w:szCs w:val="21"/>
              </w:rPr>
            </w:pPr>
            <w:r>
              <w:rPr>
                <w:rFonts w:hint="eastAsia" w:ascii="仿宋" w:hAnsi="仿宋" w:eastAsia="仿宋" w:cs="仿宋"/>
                <w:b/>
                <w:bCs/>
                <w:color w:val="000000" w:themeColor="text1"/>
                <w:szCs w:val="21"/>
                <w:lang w:bidi="ar"/>
                <w14:textFill>
                  <w14:solidFill>
                    <w14:schemeClr w14:val="tx1"/>
                  </w14:solidFill>
                </w14:textFill>
              </w:rPr>
              <w:t xml:space="preserve">备注：项目负责人、技术负责人、项目组其他成员不得同时兼任。项目组所有人员必须为投标人正式员工</w:t>
            </w:r>
            <w:r>
              <w:rPr>
                <w:rFonts w:hint="eastAsia" w:ascii="仿宋" w:hAnsi="仿宋" w:eastAsia="仿宋" w:cs="仿宋"/>
                <w:b/>
                <w:bCs/>
                <w:color w:val="000000"/>
                <w:szCs w:val="21"/>
                <w:lang w:bidi="ar"/>
              </w:rPr>
              <w:t xml:space="preserve">，需提供相关证书扫描件及投标人为其缴纳的投标截止时间前6个月内连续3个月的社保证明材料扫描件。</w:t>
            </w:r>
            <w:r/>
          </w:p>
        </w:tc>
      </w:tr>
      <w:tr>
        <w:trPr>
          <w:trHeight w:val="1917"/>
        </w:trPr>
        <w:tc>
          <w:tcPr>
            <w:shd w:val="clear" w:color="auto" w:fill="auto"/>
            <w:tcBorders>
              <w:left w:val="single" w:color="000000" w:sz="4" w:space="0"/>
              <w:right w:val="single" w:color="000000" w:sz="4" w:space="0"/>
            </w:tcBorders>
            <w:tcW w:w="881" w:type="dxa"/>
            <w:vAlign w:val="center"/>
            <w:vMerge w:val="continue"/>
            <w:textDirection w:val="lrTb"/>
            <w:noWrap w:val="false"/>
          </w:tcPr>
          <w:p>
            <w:pPr>
              <w:jc w:val="center"/>
              <w:spacing w:line="24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投标人业绩</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92" w:type="dxa"/>
            <w:vAlign w:val="center"/>
            <w:textDirection w:val="lrTb"/>
            <w:noWrap w:val="false"/>
          </w:tcPr>
          <w:p>
            <w:pPr>
              <w:jc w:val="left"/>
              <w:spacing w:line="360" w:lineRule="auto"/>
              <w:widowControl/>
              <w:rPr>
                <w:rFonts w:hint="eastAsia" w:ascii="仿宋" w:hAnsi="仿宋" w:eastAsia="仿宋" w:cs="仿宋"/>
                <w:color w:val="000000" w:themeColor="text1"/>
                <w:szCs w:val="21"/>
                <w:lang w:bidi="ar"/>
                <w14:textFill>
                  <w14:solidFill>
                    <w14:schemeClr w14:val="tx1"/>
                  </w14:solidFill>
                </w14:textFill>
              </w:rPr>
            </w:pPr>
            <w:r>
              <w:rPr>
                <w:rFonts w:hint="eastAsia" w:ascii="仿宋" w:hAnsi="仿宋" w:eastAsia="仿宋" w:cs="仿宋"/>
                <w:color w:val="000000" w:themeColor="text1"/>
                <w:szCs w:val="21"/>
                <w:lang w:bidi="ar"/>
                <w14:textFill>
                  <w14:solidFill>
                    <w14:schemeClr w14:val="tx1"/>
                  </w14:solidFill>
                </w14:textFill>
              </w:rPr>
              <w:t xml:space="preserve">投标人提供2021年1月1日（以合同签订日期为准）以来承建的类似特种设备或电梯安全管理成功案例的有一个得0.5分，本项目最高得2分。</w:t>
            </w:r>
            <w:r/>
          </w:p>
          <w:p>
            <w:pPr>
              <w:jc w:val="left"/>
              <w:spacing w:line="360" w:lineRule="auto"/>
              <w:widowControl/>
              <w:rPr>
                <w:rFonts w:hint="eastAsia" w:ascii="仿宋" w:hAnsi="仿宋" w:eastAsia="仿宋" w:cs="仿宋"/>
                <w:color w:val="000000"/>
                <w:szCs w:val="21"/>
              </w:rPr>
            </w:pPr>
            <w:r>
              <w:rPr>
                <w:rFonts w:hint="eastAsia" w:ascii="仿宋" w:hAnsi="仿宋" w:eastAsia="仿宋" w:cs="仿宋"/>
                <w:b/>
                <w:bCs/>
                <w:color w:val="000000" w:themeColor="text1"/>
                <w:szCs w:val="21"/>
                <w:lang w:bidi="ar"/>
                <w14:textFill>
                  <w14:solidFill>
                    <w14:schemeClr w14:val="tx1"/>
                  </w14:solidFill>
                </w14:textFill>
              </w:rPr>
              <w:t xml:space="preserve">注：每个业绩提供中标通知书（直接发包项目如没有中标通知书，须提供发包人出具的加盖建设单位公章的直接发包证明）、合同、验收材料扫描件，否则不得分。</w:t>
            </w:r>
            <w:r/>
          </w:p>
        </w:tc>
      </w:tr>
      <w:tr>
        <w:trPr>
          <w:trHeight w:val="2502"/>
        </w:trPr>
        <w:tc>
          <w:tcPr>
            <w:shd w:val="clear" w:color="auto" w:fill="auto"/>
            <w:tcBorders>
              <w:left w:val="single" w:color="000000" w:sz="4" w:space="0"/>
              <w:right w:val="single" w:color="000000" w:sz="4" w:space="0"/>
            </w:tcBorders>
            <w:tcW w:w="881" w:type="dxa"/>
            <w:vAlign w:val="center"/>
            <w:vMerge w:val="continue"/>
            <w:textDirection w:val="lrTb"/>
            <w:noWrap w:val="false"/>
          </w:tcPr>
          <w:p>
            <w:pPr>
              <w:jc w:val="center"/>
              <w:spacing w:line="24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投标人运维能力</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92" w:type="dxa"/>
            <w:vAlign w:val="center"/>
            <w:textDirection w:val="lrTb"/>
            <w:noWrap w:val="false"/>
          </w:tcPr>
          <w:p>
            <w:pPr>
              <w:jc w:val="left"/>
              <w:spacing w:line="360" w:lineRule="auto"/>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1.投标人通过ITSS信息技术服务运行维护标准符合性认证，并达到成熟度等级二级及以上的得2分；</w:t>
            </w:r>
            <w:r/>
          </w:p>
          <w:p>
            <w:pPr>
              <w:jc w:val="left"/>
              <w:spacing w:line="360" w:lineRule="auto"/>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2.投标人具备CCRC信息系统安全运维服务资质证书(三级及以上)的得2分；</w:t>
            </w:r>
            <w:r/>
          </w:p>
          <w:p>
            <w:pPr>
              <w:jc w:val="left"/>
              <w:spacing w:line="360" w:lineRule="auto"/>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3.投标人具备CCRC软件安全开发服务资质证书(三级及以上)的得2分；</w:t>
            </w:r>
            <w:r/>
          </w:p>
          <w:p>
            <w:pPr>
              <w:jc w:val="left"/>
              <w:spacing w:line="360" w:lineRule="auto"/>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4.投标人具备CCRC信息系统安全集成服务资质证书(三级及以上)的得2分；</w:t>
            </w:r>
            <w:r/>
          </w:p>
          <w:p>
            <w:pPr>
              <w:jc w:val="left"/>
              <w:spacing w:line="360" w:lineRule="auto"/>
              <w:widowControl/>
              <w:rPr>
                <w:rFonts w:hint="eastAsia" w:ascii="仿宋" w:hAnsi="仿宋" w:eastAsia="仿宋" w:cs="仿宋"/>
                <w:color w:val="000000"/>
                <w:szCs w:val="21"/>
              </w:rPr>
            </w:pPr>
            <w:r>
              <w:rPr>
                <w:rStyle w:val="924"/>
                <w:rFonts w:hint="eastAsia" w:ascii="仿宋" w:hAnsi="仿宋" w:eastAsia="仿宋" w:cs="仿宋"/>
                <w:sz w:val="21"/>
                <w:szCs w:val="21"/>
                <w:lang w:bidi="ar"/>
              </w:rPr>
              <w:t xml:space="preserve">备注：以上1-4条提供相关证书扫描件。</w:t>
            </w:r>
            <w:r/>
          </w:p>
        </w:tc>
      </w:tr>
      <w:tr>
        <w:trPr>
          <w:trHeight w:val="3730"/>
        </w:trPr>
        <w:tc>
          <w:tcPr>
            <w:shd w:val="clear" w:color="auto" w:fill="auto"/>
            <w:tcBorders>
              <w:left w:val="single" w:color="000000" w:sz="4" w:space="0"/>
              <w:bottom w:val="single" w:color="000000" w:sz="4" w:space="0"/>
              <w:right w:val="single" w:color="000000" w:sz="4" w:space="0"/>
            </w:tcBorders>
            <w:tcW w:w="881" w:type="dxa"/>
            <w:vAlign w:val="center"/>
            <w:vMerge w:val="continue"/>
            <w:textDirection w:val="lrTb"/>
            <w:noWrap w:val="false"/>
          </w:tcPr>
          <w:p>
            <w:pPr>
              <w:jc w:val="center"/>
              <w:spacing w:line="24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投标人综合实力</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92" w:type="dxa"/>
            <w:vAlign w:val="center"/>
            <w:textDirection w:val="lrTb"/>
            <w:noWrap w:val="false"/>
          </w:tcPr>
          <w:p>
            <w:pPr>
              <w:jc w:val="left"/>
              <w:spacing w:line="360" w:lineRule="auto"/>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投标人所投智慧电梯管理系统相关厂商需具备以下要求：</w:t>
            </w:r>
            <w:r/>
          </w:p>
          <w:p>
            <w:pPr>
              <w:jc w:val="left"/>
              <w:spacing w:line="360" w:lineRule="auto"/>
              <w:widowControl/>
              <w:rPr>
                <w:rFonts w:hint="eastAsia" w:ascii="仿宋" w:hAnsi="仿宋" w:eastAsia="仿宋" w:cs="仿宋"/>
                <w:color w:val="000000" w:themeColor="text1"/>
                <w:szCs w:val="21"/>
                <w:lang w:bidi="ar"/>
                <w14:textFill>
                  <w14:solidFill>
                    <w14:schemeClr w14:val="tx1"/>
                  </w14:solidFill>
                </w14:textFill>
              </w:rPr>
            </w:pPr>
            <w:r>
              <w:rPr>
                <w:rFonts w:hint="eastAsia" w:ascii="仿宋" w:hAnsi="仿宋" w:eastAsia="仿宋" w:cs="仿宋"/>
                <w:color w:val="000000"/>
                <w:szCs w:val="21"/>
                <w:lang w:bidi="ar"/>
              </w:rPr>
              <w:t xml:space="preserve">1.所投产品厂商具有大数据应用系统、电梯智能安全管理系统、电梯应急处置综合服务系统、人工智能综合服务系统、电梯运行故障分析及预警等类似相关软件著作权，提供相关的计算机软件著作权登记证书，每提供1项得1分，共计5分，不提供不得分。</w:t>
            </w:r>
            <w:r>
              <w:rPr>
                <w:rFonts w:hint="eastAsia" w:ascii="仿宋" w:hAnsi="仿宋" w:eastAsia="仿宋" w:cs="仿宋"/>
                <w:b/>
                <w:bCs/>
                <w:color w:val="000000" w:themeColor="text1"/>
                <w:szCs w:val="21"/>
                <w:lang w:bidi="ar"/>
                <w14:textFill>
                  <w14:solidFill>
                    <w14:schemeClr w14:val="tx1"/>
                  </w14:solidFill>
                </w14:textFill>
              </w:rPr>
              <w:t xml:space="preserve">如投标文件中提供的著作权名称表述与招标文件描述的关键字样不一致，而该投标文件中能证明投标人拥有的软件著作权具有相同或相似功能和效果，且评标委员会认可的，视同符合要求。</w:t>
            </w:r>
            <w:r/>
          </w:p>
          <w:p>
            <w:pPr>
              <w:jc w:val="left"/>
              <w:spacing w:line="360" w:lineRule="auto"/>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2.所投产品厂商具有数据传输相关通信的技术能力</w:t>
            </w:r>
            <w:r>
              <w:rPr>
                <w:rFonts w:hint="eastAsia" w:ascii="仿宋" w:hAnsi="仿宋" w:eastAsia="仿宋" w:cs="仿宋"/>
                <w:szCs w:val="21"/>
                <w:lang w:bidi="ar"/>
              </w:rPr>
              <w:t xml:space="preserve">，提供相关合法机构出具的证明或证书，得1分，不提供不得分。</w:t>
            </w:r>
            <w:r/>
          </w:p>
          <w:p>
            <w:pPr>
              <w:jc w:val="left"/>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3.所投产品厂商具有电梯困人自动检测技术能力，提供相关合法机构出具的证明或证书，得2分，不提供不得分。</w:t>
            </w:r>
            <w:r/>
          </w:p>
          <w:p>
            <w:pPr>
              <w:jc w:val="left"/>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4.所投产品厂商具有电梯故障识别技术能力，提供相关合法机构出具的证明或证书，得2分，不提供不得分。</w:t>
            </w:r>
            <w:r/>
          </w:p>
          <w:p>
            <w:pPr>
              <w:jc w:val="left"/>
              <w:spacing w:line="360" w:lineRule="auto"/>
              <w:widowControl/>
              <w:rPr>
                <w:rFonts w:hint="eastAsia" w:ascii="仿宋" w:hAnsi="仿宋" w:eastAsia="仿宋" w:cs="仿宋"/>
                <w:color w:val="000000"/>
                <w:szCs w:val="21"/>
              </w:rPr>
            </w:pPr>
            <w:r>
              <w:rPr>
                <w:rStyle w:val="924"/>
                <w:rFonts w:hint="eastAsia" w:ascii="仿宋" w:hAnsi="仿宋" w:eastAsia="仿宋" w:cs="仿宋"/>
                <w:color w:val="auto"/>
                <w:sz w:val="21"/>
                <w:szCs w:val="21"/>
                <w:lang w:bidi="ar"/>
              </w:rPr>
              <w:t xml:space="preserve">备注：须提供相关证明或证书扫描件。</w:t>
            </w:r>
            <w:r/>
          </w:p>
        </w:tc>
      </w:tr>
      <w:tr>
        <w:trPr>
          <w:trHeight w:val="4255"/>
        </w:trPr>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技术部分（49分）</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硬件技术指标</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360" w:lineRule="auto"/>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92" w:type="dxa"/>
            <w:vAlign w:val="center"/>
            <w:textDirection w:val="lrTb"/>
            <w:noWrap w:val="false"/>
          </w:tcPr>
          <w:p>
            <w:pPr>
              <w:jc w:val="left"/>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投标人须针对招标文件中采购清单所有技术标准和要求进行逐条响应，在“技术标准响应偏离表”中如实详细填列所投产品的参数，具体评审如下：</w:t>
            </w:r>
            <w:r/>
          </w:p>
          <w:p>
            <w:pPr>
              <w:jc w:val="left"/>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1.招标文件“技术要求”中带“</w:t>
            </w:r>
            <w:r>
              <w:rPr>
                <w:rFonts w:hint="eastAsia" w:ascii="仿宋" w:hAnsi="仿宋" w:eastAsia="仿宋" w:cs="仿宋"/>
                <w:color w:val="000000"/>
                <w:szCs w:val="21"/>
              </w:rPr>
              <w:t xml:space="preserve">★</w:t>
            </w:r>
            <w:r>
              <w:rPr>
                <w:rFonts w:hint="eastAsia" w:ascii="仿宋" w:hAnsi="仿宋" w:eastAsia="仿宋" w:cs="仿宋"/>
                <w:szCs w:val="21"/>
                <w:lang w:bidi="ar"/>
              </w:rPr>
              <w:t xml:space="preserve">”的参数为重要参数，所投产品参数需完全响应招标文件要求，如有一处出现负偏离的，有一项扣1分，扣完为止。</w:t>
            </w:r>
            <w:r/>
          </w:p>
          <w:p>
            <w:pPr>
              <w:jc w:val="left"/>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2.招标文件“技术要求”中未带“</w:t>
            </w:r>
            <w:r>
              <w:rPr>
                <w:rFonts w:hint="eastAsia" w:ascii="仿宋" w:hAnsi="仿宋" w:eastAsia="仿宋" w:cs="仿宋"/>
                <w:color w:val="000000"/>
                <w:szCs w:val="21"/>
              </w:rPr>
              <w:t xml:space="preserve">★</w:t>
            </w:r>
            <w:r>
              <w:rPr>
                <w:rFonts w:hint="eastAsia" w:ascii="仿宋" w:hAnsi="仿宋" w:eastAsia="仿宋" w:cs="仿宋"/>
                <w:szCs w:val="21"/>
                <w:lang w:bidi="ar"/>
              </w:rPr>
              <w:t xml:space="preserve">”的参数，如有一处出现负偏离的，有一项扣0.5分，扣完为止。</w:t>
            </w:r>
            <w:r/>
          </w:p>
          <w:p>
            <w:pPr>
              <w:jc w:val="left"/>
              <w:spacing w:line="360" w:lineRule="auto"/>
              <w:widowControl/>
              <w:rPr>
                <w:rStyle w:val="924"/>
                <w:rFonts w:hint="eastAsia" w:ascii="仿宋" w:hAnsi="仿宋" w:eastAsia="仿宋" w:cs="仿宋"/>
                <w:sz w:val="21"/>
                <w:szCs w:val="21"/>
                <w:lang w:bidi="ar"/>
              </w:rPr>
            </w:pPr>
            <w:r>
              <w:rPr>
                <w:rFonts w:hint="eastAsia" w:ascii="仿宋" w:hAnsi="仿宋" w:eastAsia="仿宋" w:cs="仿宋"/>
                <w:b/>
                <w:bCs/>
                <w:szCs w:val="21"/>
                <w:lang w:bidi="ar"/>
              </w:rPr>
              <w:t xml:space="preserve">备注：技术参数要求提供相关证明材料的，均需提供原件或设备厂家提供的扫描件，如未附有效证明材料或者所附的证明材料由评标委员会认为不能佐证技术指标的有效性的，则认定为负偏离。</w:t>
            </w:r>
            <w:r/>
          </w:p>
        </w:tc>
      </w:tr>
      <w:tr>
        <w:trPr>
          <w:trHeight w:val="9571"/>
        </w:trPr>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技术部分（49分）</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系统视频演示</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92" w:type="dxa"/>
            <w:vAlign w:val="center"/>
            <w:textDirection w:val="lrTb"/>
            <w:noWrap w:val="false"/>
          </w:tcPr>
          <w:p>
            <w:pPr>
              <w:jc w:val="lef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1.电梯3D建模页面演示（3分）</w:t>
            </w:r>
            <w:r/>
          </w:p>
          <w:p>
            <w:pPr>
              <w:jc w:val="lef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（1）3D建模显示电梯开关门情况。当电梯开门时3D建模电梯开门，电梯关门是3D建模电梯关门；满足上述要求得1分，否则不得分。</w:t>
            </w:r>
            <w:r/>
          </w:p>
          <w:p>
            <w:pPr>
              <w:jc w:val="lef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（2）3D建模显示电梯平层状态；满足上述要求得1分，否则不得分。</w:t>
            </w:r>
            <w:r/>
          </w:p>
          <w:p>
            <w:pPr>
              <w:jc w:val="lef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（3）展示电梯运行振动曲线；满足上述要求得0.5分，否则不得分。</w:t>
            </w:r>
            <w:r/>
          </w:p>
          <w:p>
            <w:pPr>
              <w:jc w:val="lef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（4）展示电梯运行速度曲线。满足上述要求得0.5分，否则不得分。</w:t>
            </w:r>
            <w:r/>
          </w:p>
          <w:p>
            <w:pPr>
              <w:jc w:val="lef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2.电动车管控系统演示（5分）</w:t>
            </w:r>
            <w:r/>
          </w:p>
          <w:p>
            <w:pPr>
              <w:jc w:val="lef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（1）电梯概况演示：展示区域电梯总量、智慧电梯总量、安装梯阻台量、智慧电梯在线率情况、用曲线图展示近6个月智慧电梯及梯阻安装趋势；满足上述要求得1分，否则不得分。</w:t>
            </w:r>
            <w:r/>
          </w:p>
          <w:p>
            <w:pPr>
              <w:jc w:val="lef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（2）梯阻成效分析演示：展示梯阻数量上月环比数据、梯阻数量上周环比数据、可用图形展示近15日梯阻告警统计数据；满足上述要求得1分，否则不得分。</w:t>
            </w:r>
            <w:r/>
          </w:p>
          <w:p>
            <w:pPr>
              <w:jc w:val="lef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（3）梯阻覆盖情况演示：展示智慧电梯覆盖率、梯阻覆盖率、可用图形展示梯阻场所类型分布等；满足上述要求得1分，否则不得分。</w:t>
            </w:r>
            <w:r/>
          </w:p>
          <w:p>
            <w:pPr>
              <w:jc w:val="lef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4）物联网告警统计演示：展示累计物联网告警统计、当月物联网告警统计、当日物联网告警统计；满足上述要求得0.5分，否则不得分。累计告警分布可展示电瓶车梯控告警次数、电瓶车入梯告警次数、液化气瓶入梯告警次数；满足上述要求得0.5分，否则不得分。</w:t>
            </w:r>
            <w:r/>
          </w:p>
          <w:p>
            <w:pPr>
              <w:jc w:val="lef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（5）电瓶车入梯报警流程演示：告警发生、语音劝阻及告警解除全过程展示，并支持查看告警视频；满足上述要求得1分，否则不得分。</w:t>
            </w:r>
            <w:r/>
          </w:p>
          <w:p>
            <w:pPr>
              <w:jc w:val="lef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3、电梯预警命中的过程演示（2分）</w:t>
            </w:r>
            <w:r/>
          </w:p>
          <w:p>
            <w:pPr>
              <w:jc w:val="lef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（1）平台查询展示城市电梯风险预警信息，包含预警状态、预计时间等；满足上述要求得1分，否则不得分。</w:t>
            </w:r>
            <w:r/>
          </w:p>
          <w:p>
            <w:pPr>
              <w:jc w:val="lef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搜索选取电梯预警命中状态的电梯预警进行风险预警详情展示，展示预警日期、预警时间、命中日期、命中时间、命中类型，并支持查看预警命中发生时间段的录像便于对预警进行人工复核；满足上述要求得1分，否则不得分。</w:t>
            </w:r>
            <w:r/>
          </w:p>
          <w:p>
            <w:pPr>
              <w:jc w:val="left"/>
              <w:widowControl/>
              <w:rPr>
                <w:rFonts w:hint="eastAsia" w:ascii="仿宋" w:hAnsi="仿宋" w:eastAsia="仿宋" w:cs="仿宋"/>
                <w:color w:val="000000"/>
                <w:szCs w:val="21"/>
              </w:rPr>
            </w:pPr>
            <w:r>
              <w:rPr>
                <w:rStyle w:val="924"/>
                <w:rFonts w:hint="eastAsia" w:ascii="仿宋" w:hAnsi="仿宋" w:eastAsia="仿宋" w:cs="仿宋"/>
                <w:sz w:val="21"/>
                <w:szCs w:val="21"/>
                <w:lang w:bidi="ar"/>
              </w:rPr>
              <w:t xml:space="preserve">备注：投标人必须使用真实的软件环境演示，且自行上传至苏采云平台内（每个视频不超过50MB，数量不限）</w:t>
            </w:r>
            <w:r/>
          </w:p>
        </w:tc>
      </w:tr>
      <w:tr>
        <w:trPr>
          <w:trHeight w:val="3322"/>
        </w:trPr>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项目建设方案</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tabs>
                <w:tab w:val="center" w:pos="349" w:leader="none"/>
                <w:tab w:val="left" w:pos="492" w:leader="none"/>
              </w:tabs>
              <w:rPr>
                <w:rFonts w:hint="eastAsia" w:ascii="仿宋" w:hAnsi="仿宋" w:eastAsia="仿宋" w:cs="仿宋"/>
                <w:color w:val="000000"/>
                <w:szCs w:val="21"/>
              </w:rPr>
            </w:pPr>
            <w:r>
              <w:rPr>
                <w:rFonts w:hint="eastAsia" w:ascii="仿宋" w:hAnsi="仿宋" w:eastAsia="仿宋" w:cs="仿宋"/>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92"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投标人应编写详细、深化的建设方案。投标人应采用成熟、稳定的技术方</w:t>
            </w:r>
            <w:r>
              <w:rPr>
                <w:rFonts w:hint="eastAsia" w:ascii="仿宋" w:hAnsi="仿宋" w:eastAsia="仿宋" w:cs="仿宋"/>
                <w:color w:val="000000"/>
                <w:szCs w:val="21"/>
                <w:lang w:bidi="ar"/>
              </w:rPr>
              <w:t xml:space="preserve">式对本项目建设内容及各子系统进行深化设计。建设方案包括建设目标、建设原则、建设内容、建设周期、需求分析、总体架构、实现功能、智慧电梯管理平台，详细阐述体系框架、功能设计、实现思路和关键技术，评审专家根据上述8项建设内容科学性、可行性等维度进行评审，方案描述详细科学、贴合实际要求，完全满足采购需求的，每项得1.5分；方案思路完整、内容基本详实，基本满足采购需求的，每项得1分；内容不完善、可行性不强，但经过优化可实现采购需求的，每项得0.5分；没有内容或其情况完全不满足采购文件需求的不得分。本项最高得分12分。</w:t>
            </w:r>
            <w:r/>
          </w:p>
        </w:tc>
      </w:tr>
      <w:tr>
        <w:trPr>
          <w:trHeight w:val="1194"/>
        </w:trPr>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项目组织实施方案</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92"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投标人应编写详细、深化的实施方案。投标人对施工进度计划、安全文明施工、环境保护、设备成品保护等措施的描述，为完成所定措施科学、合理、规范、高效，内容描述详细的，评审专家根据科学性、可行性等维度进行评审，上述方案描述详细科学、贴合实际要求，完全满足采购需求的，得7分；方案思路完整、内容基本详实，基本满足采购需求的，得5分；内容不完善、可行性不强，但经过优化可实现采购需求的，得3分；没有内容或其情况完全不满足采购文件需求的不得分。本项最高得分7分。</w:t>
            </w:r>
            <w:r/>
          </w:p>
        </w:tc>
      </w:tr>
      <w:tr>
        <w:trPr>
          <w:trHeight w:val="1252"/>
        </w:trPr>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项目培训方案</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92"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根据投标人的免费培训服务要求所做的具体培训方案横向比较后酌情给分，优得3分，良得2分，一般得1分，不提供不得分。</w:t>
            </w:r>
            <w:r/>
          </w:p>
        </w:tc>
      </w:tr>
      <w:tr>
        <w:trPr>
          <w:trHeight w:val="1301"/>
        </w:trPr>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92" w:type="dxa"/>
            <w:vAlign w:val="center"/>
            <w:textDirection w:val="lrTb"/>
            <w:noWrap w:val="false"/>
          </w:tcPr>
          <w:p>
            <w:pPr>
              <w:jc w:val="lef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根据投标单位提供的售后服务方案和日常保障维护方案：</w:t>
            </w:r>
            <w:r/>
          </w:p>
          <w:p>
            <w:pPr>
              <w:jc w:val="lef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1、承诺中标后提供驻场服务，安排2名运维工程师，得3分；安排1名运维工程师，得1.5分；不提供不得分。</w:t>
            </w:r>
            <w:r/>
          </w:p>
          <w:p>
            <w:pPr>
              <w:jc w:val="lef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2、对售后服务方案和日常保障维护方案合理性、科学性、故障响应时间等情况横向比较后酌情给分，优得4分，良得2分，一般得1分，其他不得分。</w:t>
            </w:r>
            <w:r/>
          </w:p>
        </w:tc>
      </w:tr>
    </w:tbl>
    <w:p>
      <w:pPr>
        <w:ind w:firstLine="402"/>
        <w:spacing w:line="360" w:lineRule="auto"/>
        <w:rPr>
          <w:rFonts w:hint="eastAsia" w:ascii="仿宋" w:hAnsi="仿宋" w:eastAsia="仿宋" w:cs="仿宋"/>
          <w:b/>
          <w:bCs/>
          <w:sz w:val="20"/>
          <w:szCs w:val="21"/>
        </w:rPr>
      </w:pPr>
      <w:r>
        <w:rPr>
          <w:rFonts w:hint="eastAsia" w:ascii="仿宋" w:hAnsi="仿宋" w:eastAsia="仿宋" w:cs="仿宋"/>
          <w:b/>
          <w:bCs/>
          <w:sz w:val="20"/>
          <w:szCs w:val="21"/>
        </w:rPr>
        <w:t xml:space="preserve">说明：1.以上评分标准中评分的每一条，各投标单位均应提供相关的资料。中标单位以上证书、业绩等原件在3个工作日内交招标人核查。若不能按时提供或提供虚假材料的，招标人有权取消其中标资格。</w:t>
      </w:r>
      <w:r/>
    </w:p>
    <w:p>
      <w:pPr>
        <w:ind w:firstLine="1004"/>
        <w:spacing w:line="360" w:lineRule="auto"/>
        <w:rPr>
          <w:rFonts w:hint="eastAsia" w:ascii="仿宋" w:hAnsi="仿宋" w:eastAsia="仿宋" w:cs="仿宋"/>
          <w:b/>
          <w:bCs/>
          <w:sz w:val="20"/>
          <w:szCs w:val="21"/>
        </w:rPr>
      </w:pPr>
      <w:r>
        <w:rPr>
          <w:rFonts w:hint="eastAsia" w:ascii="仿宋" w:hAnsi="仿宋" w:eastAsia="仿宋" w:cs="仿宋"/>
          <w:b/>
          <w:bCs/>
          <w:sz w:val="20"/>
          <w:szCs w:val="21"/>
        </w:rPr>
        <w:t xml:space="preserve">2.方案得分以评委对各投标人独立打分后的平均分为最终得分，计算结果保留2位小数，小数点后第三位四舍五入。</w:t>
      </w:r>
      <w:r/>
    </w:p>
    <w:p>
      <w:pPr>
        <w:pStyle w:val="929"/>
        <w:ind w:firstLine="460"/>
        <w:spacing w:line="525" w:lineRule="exact"/>
        <w:tabs>
          <w:tab w:val="left" w:pos="875" w:leader="none"/>
        </w:tabs>
        <w:rPr>
          <w:rFonts w:hint="eastAsia" w:ascii="仿宋" w:hAnsi="仿宋" w:eastAsia="仿宋" w:cs="仿宋"/>
          <w:color w:val="2b0001"/>
          <w:sz w:val="24"/>
          <w:szCs w:val="24"/>
          <w:lang w:val="en-US" w:eastAsia="zh-CN"/>
        </w:rPr>
      </w:pPr>
      <w:r>
        <w:rPr>
          <w:rFonts w:hint="eastAsia" w:ascii="仿宋" w:hAnsi="仿宋" w:eastAsia="仿宋" w:cs="仿宋"/>
          <w:color w:val="2b0001"/>
          <w:sz w:val="24"/>
          <w:szCs w:val="24"/>
          <w:lang w:val="en-US" w:eastAsia="zh-CN"/>
        </w:rPr>
        <w:t xml:space="preserve">7.推荐中标候选人</w:t>
      </w:r>
      <w:r/>
    </w:p>
    <w:p>
      <w:pPr>
        <w:pStyle w:val="929"/>
        <w:ind w:firstLine="460"/>
        <w:spacing w:line="525" w:lineRule="exact"/>
        <w:tabs>
          <w:tab w:val="left" w:pos="875"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汇总上述各项分值（保留两位小数,小数点后第三位四舍五入），按总得分由高到低的顺序排列，综合得分最高的为中标候选人。排名第一的投标人放弃中标，或因其他情形不具备中标条件的，釆购人可依次确定排名在前的其他投标人为中标候选人，也可依法重新组织釆购。</w:t>
      </w:r>
      <w:r/>
    </w:p>
    <w:p>
      <w:pPr>
        <w:rPr>
          <w:rFonts w:hint="eastAsia" w:ascii="仿宋" w:hAnsi="仿宋" w:eastAsia="仿宋" w:cs="仿宋"/>
          <w:szCs w:val="21"/>
        </w:rPr>
      </w:pPr>
      <w:r>
        <w:rPr>
          <w:rFonts w:hint="eastAsia" w:ascii="仿宋" w:hAnsi="仿宋" w:eastAsia="仿宋" w:cs="仿宋"/>
          <w:szCs w:val="21"/>
        </w:rPr>
        <w:br w:type="page" w:clear="all"/>
      </w:r>
      <w:r/>
    </w:p>
    <w:p>
      <w:pPr>
        <w:pStyle w:val="735"/>
        <w:rPr>
          <w:rFonts w:hint="eastAsia" w:ascii="仿宋" w:hAnsi="仿宋" w:eastAsia="仿宋" w:cs="仿宋"/>
        </w:rPr>
      </w:pPr>
      <w:r>
        <w:rPr>
          <w:rFonts w:hint="eastAsia" w:ascii="仿宋" w:hAnsi="仿宋" w:eastAsia="仿宋" w:cs="仿宋"/>
        </w:rPr>
      </w:r>
      <w:r/>
    </w:p>
    <w:p>
      <w:pPr>
        <w:ind w:firstLine="420"/>
        <w:jc w:val="center"/>
        <w:spacing w:line="360" w:lineRule="auto"/>
        <w:rPr>
          <w:rFonts w:ascii="黑体" w:hAnsi="华文中宋" w:eastAsia="黑体"/>
          <w:bCs/>
          <w:sz w:val="32"/>
          <w:szCs w:val="30"/>
        </w:rPr>
      </w:pPr>
      <w:r>
        <w:rPr>
          <w:rFonts w:hint="eastAsia" w:ascii="黑体" w:hAnsi="华文中宋" w:eastAsia="黑体"/>
          <w:bCs/>
          <w:sz w:val="32"/>
          <w:szCs w:val="30"/>
        </w:rPr>
        <w:t xml:space="preserve">第六章 投标文件格式</w:t>
      </w:r>
      <w:r/>
    </w:p>
    <w:p>
      <w:pPr>
        <w:pStyle w:val="930"/>
        <w:ind w:firstLine="513"/>
        <w:spacing w:line="360" w:lineRule="auto"/>
        <w:rPr>
          <w:rFonts w:hint="eastAsia" w:ascii="仿宋" w:hAnsi="仿宋" w:eastAsia="仿宋" w:cs="仿宋"/>
          <w:color w:val="000000"/>
        </w:rPr>
      </w:pPr>
      <w:r>
        <w:rPr>
          <w:rFonts w:hint="eastAsia" w:ascii="仿宋" w:hAnsi="仿宋" w:eastAsia="仿宋" w:cs="仿宋"/>
          <w:color w:val="000000"/>
        </w:rPr>
        <w:t xml:space="preserve">说明：对本章所有的投标书格式 ，投标方可根据自身情况进行补充和修改，但补充和修改不得造成与本格式内容有实质性的违背。</w:t>
      </w:r>
      <w:r/>
    </w:p>
    <w:p>
      <w:pPr>
        <w:rPr>
          <w:rFonts w:ascii="黑体" w:eastAsia="黑体"/>
          <w:bCs/>
          <w:sz w:val="32"/>
        </w:rPr>
      </w:pPr>
      <w:r>
        <w:rPr>
          <w:rFonts w:hint="eastAsia" w:ascii="黑体" w:eastAsia="黑体"/>
          <w:bCs/>
          <w:sz w:val="32"/>
        </w:rPr>
        <w:br w:type="page" w:clear="all"/>
      </w:r>
      <w:r/>
    </w:p>
    <w:p>
      <w:pPr>
        <w:pStyle w:val="766"/>
      </w:pPr>
      <w:r/>
      <w:r/>
    </w:p>
    <w:p>
      <w:pPr>
        <w:jc w:val="center"/>
        <w:rPr>
          <w:rFonts w:ascii="黑体" w:eastAsia="黑体"/>
          <w:bCs/>
          <w:sz w:val="32"/>
        </w:rPr>
      </w:pPr>
      <w:r>
        <w:rPr>
          <w:rFonts w:ascii="黑体" w:eastAsia="黑体"/>
          <w:bCs/>
          <w:sz w:val="32"/>
        </w:rPr>
      </w:r>
      <w:r/>
    </w:p>
    <w:p>
      <w:pPr>
        <w:jc w:val="center"/>
        <w:rPr>
          <w:rFonts w:ascii="黑体" w:eastAsia="黑体"/>
          <w:bCs/>
          <w:sz w:val="52"/>
          <w:szCs w:val="52"/>
        </w:rPr>
      </w:pPr>
      <w:r/>
      <w:bookmarkStart w:id="80" w:name="_Toc13296_WPSOffice_Level1"/>
      <w:r/>
      <w:bookmarkEnd w:id="80"/>
      <w:r>
        <w:rPr>
          <w:rFonts w:hint="eastAsia" w:ascii="黑体" w:eastAsia="黑体"/>
          <w:bCs/>
          <w:sz w:val="52"/>
          <w:szCs w:val="52"/>
        </w:rPr>
        <w:t xml:space="preserve">投</w:t>
      </w:r>
      <w:r/>
    </w:p>
    <w:p>
      <w:pPr>
        <w:jc w:val="center"/>
        <w:rPr>
          <w:rFonts w:ascii="黑体" w:eastAsia="黑体"/>
          <w:bCs/>
          <w:sz w:val="72"/>
        </w:rPr>
      </w:pPr>
      <w:r>
        <w:rPr>
          <w:rFonts w:ascii="黑体" w:eastAsia="黑体"/>
          <w:bCs/>
          <w:sz w:val="72"/>
        </w:rPr>
      </w:r>
      <w:r/>
    </w:p>
    <w:p>
      <w:pPr>
        <w:jc w:val="center"/>
        <w:rPr>
          <w:rFonts w:ascii="黑体" w:eastAsia="黑体"/>
          <w:bCs/>
          <w:sz w:val="52"/>
          <w:szCs w:val="52"/>
        </w:rPr>
      </w:pPr>
      <w:r/>
      <w:bookmarkStart w:id="81" w:name="_Toc677_WPSOffice_Level1"/>
      <w:r/>
      <w:bookmarkEnd w:id="81"/>
      <w:r>
        <w:rPr>
          <w:rFonts w:hint="eastAsia" w:ascii="黑体" w:eastAsia="黑体"/>
          <w:bCs/>
          <w:sz w:val="52"/>
          <w:szCs w:val="52"/>
        </w:rPr>
        <w:t xml:space="preserve">标</w:t>
      </w:r>
      <w:r/>
    </w:p>
    <w:p>
      <w:pPr>
        <w:jc w:val="center"/>
        <w:rPr>
          <w:rFonts w:ascii="黑体" w:eastAsia="黑体"/>
          <w:bCs/>
          <w:sz w:val="72"/>
        </w:rPr>
      </w:pPr>
      <w:r>
        <w:rPr>
          <w:rFonts w:ascii="黑体" w:eastAsia="黑体"/>
          <w:bCs/>
          <w:sz w:val="72"/>
        </w:rPr>
      </w:r>
      <w:r/>
    </w:p>
    <w:p>
      <w:pPr>
        <w:jc w:val="center"/>
        <w:rPr>
          <w:rFonts w:ascii="黑体" w:eastAsia="黑体"/>
          <w:bCs/>
          <w:sz w:val="52"/>
          <w:szCs w:val="52"/>
        </w:rPr>
      </w:pPr>
      <w:r/>
      <w:bookmarkStart w:id="82" w:name="_Toc2949_WPSOffice_Level1"/>
      <w:r/>
      <w:bookmarkEnd w:id="82"/>
      <w:r>
        <w:rPr>
          <w:rFonts w:hint="eastAsia" w:ascii="黑体" w:eastAsia="黑体"/>
          <w:bCs/>
          <w:sz w:val="52"/>
          <w:szCs w:val="52"/>
        </w:rPr>
        <w:t xml:space="preserve">文</w:t>
      </w:r>
      <w:r/>
    </w:p>
    <w:p>
      <w:pPr>
        <w:jc w:val="center"/>
        <w:rPr>
          <w:rFonts w:ascii="黑体" w:eastAsia="黑体"/>
          <w:bCs/>
          <w:sz w:val="52"/>
          <w:szCs w:val="52"/>
        </w:rPr>
      </w:pPr>
      <w:r>
        <w:rPr>
          <w:rFonts w:ascii="黑体" w:eastAsia="黑体"/>
          <w:bCs/>
          <w:sz w:val="52"/>
          <w:szCs w:val="52"/>
        </w:rPr>
      </w:r>
      <w:r/>
    </w:p>
    <w:p>
      <w:pPr>
        <w:jc w:val="center"/>
        <w:rPr>
          <w:rFonts w:ascii="黑体" w:eastAsia="黑体"/>
          <w:bCs/>
          <w:sz w:val="52"/>
          <w:szCs w:val="52"/>
        </w:rPr>
      </w:pPr>
      <w:r/>
      <w:bookmarkStart w:id="83" w:name="_Toc31964_WPSOffice_Level1"/>
      <w:r/>
      <w:bookmarkEnd w:id="83"/>
      <w:r>
        <w:rPr>
          <w:rFonts w:hint="eastAsia" w:ascii="黑体" w:eastAsia="黑体"/>
          <w:bCs/>
          <w:sz w:val="52"/>
          <w:szCs w:val="52"/>
        </w:rPr>
        <w:t xml:space="preserve">件</w:t>
      </w:r>
      <w:r/>
    </w:p>
    <w:p>
      <w:pPr>
        <w:jc w:val="center"/>
        <w:rPr>
          <w:rFonts w:ascii="楷体_GB2312" w:eastAsia="楷体_GB2312"/>
          <w:bCs/>
          <w:sz w:val="72"/>
        </w:rPr>
      </w:pPr>
      <w:r>
        <w:rPr>
          <w:rFonts w:ascii="楷体_GB2312" w:eastAsia="楷体_GB2312"/>
          <w:bCs/>
          <w:sz w:val="72"/>
        </w:rPr>
      </w:r>
      <w:r/>
    </w:p>
    <w:p>
      <w:pPr>
        <w:jc w:val="center"/>
        <w:rPr>
          <w:rFonts w:ascii="楷体_GB2312" w:eastAsia="楷体_GB2312"/>
          <w:bCs/>
          <w:sz w:val="28"/>
        </w:rPr>
      </w:pPr>
      <w:r>
        <w:rPr>
          <w:rFonts w:ascii="楷体_GB2312" w:eastAsia="楷体_GB2312"/>
          <w:bCs/>
          <w:sz w:val="28"/>
        </w:rPr>
      </w:r>
      <w:r/>
    </w:p>
    <w:p>
      <w:pPr>
        <w:jc w:val="left"/>
        <w:rPr>
          <w:rFonts w:ascii="黑体" w:eastAsia="黑体"/>
          <w:bCs/>
          <w:sz w:val="28"/>
          <w:szCs w:val="28"/>
        </w:rPr>
      </w:pPr>
      <w:r/>
      <w:bookmarkStart w:id="84" w:name="_Toc1060_WPSOffice_Level1"/>
      <w:r/>
      <w:bookmarkEnd w:id="84"/>
      <w:r>
        <w:rPr>
          <w:rFonts w:hint="eastAsia" w:ascii="黑体" w:eastAsia="黑体"/>
          <w:bCs/>
          <w:sz w:val="28"/>
          <w:szCs w:val="28"/>
        </w:rPr>
        <w:t xml:space="preserve">项目编号：</w:t>
      </w:r>
      <w:r/>
    </w:p>
    <w:p>
      <w:pPr>
        <w:jc w:val="left"/>
        <w:rPr>
          <w:rFonts w:ascii="黑体" w:eastAsia="黑体"/>
          <w:bCs/>
          <w:sz w:val="28"/>
          <w:szCs w:val="28"/>
        </w:rPr>
      </w:pPr>
      <w:r/>
      <w:bookmarkStart w:id="85" w:name="_Toc7891_WPSOffice_Level1"/>
      <w:r/>
      <w:bookmarkEnd w:id="85"/>
      <w:r>
        <w:rPr>
          <w:rFonts w:hint="eastAsia" w:ascii="黑体" w:eastAsia="黑体"/>
          <w:bCs/>
          <w:sz w:val="28"/>
          <w:szCs w:val="28"/>
        </w:rPr>
        <w:t xml:space="preserve">项目名称：</w:t>
      </w:r>
      <w:r/>
    </w:p>
    <w:p>
      <w:pPr>
        <w:jc w:val="left"/>
        <w:rPr>
          <w:rFonts w:ascii="黑体" w:eastAsia="黑体"/>
          <w:bCs/>
          <w:sz w:val="28"/>
          <w:szCs w:val="28"/>
        </w:rPr>
      </w:pPr>
      <w:r/>
      <w:bookmarkStart w:id="86" w:name="_Toc13794_WPSOffice_Level1"/>
      <w:r/>
      <w:bookmarkEnd w:id="86"/>
      <w:r>
        <w:rPr>
          <w:rFonts w:hint="eastAsia" w:ascii="黑体" w:eastAsia="黑体"/>
          <w:bCs/>
          <w:sz w:val="28"/>
          <w:szCs w:val="28"/>
        </w:rPr>
        <w:t xml:space="preserve">投标人：</w:t>
      </w:r>
      <w:r/>
    </w:p>
    <w:p>
      <w:pPr>
        <w:jc w:val="center"/>
        <w:rPr>
          <w:rFonts w:ascii="黑体" w:eastAsia="黑体"/>
          <w:bCs/>
          <w:sz w:val="32"/>
        </w:rPr>
      </w:pPr>
      <w:r>
        <w:rPr>
          <w:rFonts w:ascii="黑体" w:eastAsia="黑体"/>
          <w:bCs/>
          <w:sz w:val="32"/>
        </w:rPr>
      </w:r>
      <w:r/>
    </w:p>
    <w:p>
      <w:pPr>
        <w:jc w:val="center"/>
        <w:rPr>
          <w:rFonts w:ascii="黑体" w:eastAsia="黑体"/>
          <w:bCs/>
          <w:sz w:val="36"/>
          <w:szCs w:val="36"/>
        </w:rPr>
      </w:pPr>
      <w:r/>
      <w:bookmarkStart w:id="87" w:name="_Toc4431_WPSOffice_Level1"/>
      <w:r/>
      <w:bookmarkEnd w:id="87"/>
      <w:r>
        <w:rPr>
          <w:rFonts w:hint="eastAsia" w:ascii="黑体" w:eastAsia="黑体"/>
          <w:bCs/>
          <w:sz w:val="36"/>
          <w:szCs w:val="36"/>
        </w:rPr>
        <w:t xml:space="preserve">20  年  月  日</w:t>
      </w:r>
      <w:r/>
    </w:p>
    <w:p>
      <w:pPr>
        <w:jc w:val="center"/>
        <w:rPr>
          <w:rFonts w:ascii="黑体" w:hAnsi="宋体" w:eastAsia="黑体"/>
          <w:bCs/>
          <w:sz w:val="24"/>
        </w:rPr>
        <w:outlineLvl w:val="0"/>
      </w:pPr>
      <w:r>
        <w:br w:type="page" w:clear="all"/>
      </w:r>
      <w:r/>
    </w:p>
    <w:p>
      <w:pPr>
        <w:pStyle w:val="931"/>
        <w:jc w:val="center"/>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开标一览表</w:t>
      </w:r>
      <w:r/>
    </w:p>
    <w:p>
      <w:pPr>
        <w:pStyle w:val="935"/>
        <w:rPr>
          <w:rFonts w:hint="eastAsia" w:ascii="仿宋" w:hAnsi="仿宋" w:eastAsia="仿宋" w:cs="仿宋"/>
          <w:color w:val="000000"/>
          <w:sz w:val="27"/>
          <w:szCs w:val="27"/>
        </w:rPr>
      </w:pPr>
      <w:r>
        <w:rPr>
          <w:rFonts w:hint="eastAsia" w:ascii="仿宋" w:hAnsi="仿宋" w:eastAsia="仿宋" w:cs="仿宋"/>
          <w:color w:val="000000"/>
          <w:sz w:val="27"/>
          <w:szCs w:val="27"/>
        </w:rPr>
        <w:t xml:space="preserve">项目编号：</w:t>
      </w:r>
      <w:r/>
    </w:p>
    <w:p>
      <w:pPr>
        <w:pStyle w:val="935"/>
        <w:rPr>
          <w:rFonts w:hint="eastAsia" w:ascii="仿宋" w:hAnsi="仿宋" w:eastAsia="仿宋" w:cs="仿宋"/>
          <w:color w:val="000000"/>
          <w:sz w:val="27"/>
          <w:szCs w:val="27"/>
        </w:rPr>
      </w:pPr>
      <w:r>
        <w:rPr>
          <w:rFonts w:hint="eastAsia" w:ascii="仿宋" w:hAnsi="仿宋" w:eastAsia="仿宋" w:cs="仿宋"/>
          <w:color w:val="000000"/>
          <w:sz w:val="27"/>
          <w:szCs w:val="27"/>
        </w:rPr>
        <w:t xml:space="preserve">货币单位：人民币元</w:t>
      </w:r>
      <w:r/>
    </w:p>
    <w:tbl>
      <w:tblPr>
        <w:tblStyle w:val="734"/>
        <w:tblW w:w="889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935"/>
              <w:rPr>
                <w:rFonts w:hint="eastAsia" w:ascii="仿宋" w:hAnsi="仿宋" w:eastAsia="仿宋" w:cs="仿宋"/>
              </w:rPr>
            </w:pPr>
            <w:r>
              <w:rPr>
                <w:rFonts w:hint="eastAsia" w:ascii="仿宋" w:hAnsi="仿宋" w:eastAsia="仿宋" w:cs="仿宋"/>
                <w:color w:val="000000"/>
                <w:sz w:val="27"/>
                <w:szCs w:val="27"/>
              </w:rPr>
              <w:t xml:space="preserve">项目名称</w:t>
            </w:r>
            <w:r/>
          </w:p>
        </w:tc>
        <w:tc>
          <w:tcPr>
            <w:tcW w:w="2700" w:type="dxa"/>
            <w:vAlign w:val="center"/>
            <w:textDirection w:val="lrTb"/>
            <w:noWrap w:val="false"/>
          </w:tcPr>
          <w:p>
            <w:pPr>
              <w:pStyle w:val="935"/>
              <w:rPr>
                <w:rFonts w:hint="eastAsia" w:ascii="仿宋" w:hAnsi="仿宋" w:eastAsia="仿宋" w:cs="仿宋"/>
              </w:rPr>
            </w:pPr>
            <w:r>
              <w:rPr>
                <w:rFonts w:hint="eastAsia" w:ascii="仿宋" w:hAnsi="仿宋" w:eastAsia="仿宋" w:cs="仿宋"/>
                <w:color w:val="000000"/>
                <w:sz w:val="27"/>
                <w:szCs w:val="27"/>
              </w:rPr>
              <w:t xml:space="preserve">项目内容</w:t>
            </w:r>
            <w:r/>
          </w:p>
        </w:tc>
        <w:tc>
          <w:tcPr>
            <w:tcW w:w="3927" w:type="dxa"/>
            <w:vAlign w:val="center"/>
            <w:textDirection w:val="lrTb"/>
            <w:noWrap w:val="false"/>
          </w:tcPr>
          <w:p>
            <w:pPr>
              <w:pStyle w:val="935"/>
              <w:rPr>
                <w:rFonts w:hint="eastAsia" w:ascii="仿宋" w:hAnsi="仿宋" w:eastAsia="仿宋" w:cs="仿宋"/>
              </w:rPr>
            </w:pPr>
            <w:r>
              <w:rPr>
                <w:rFonts w:hint="eastAsia" w:ascii="仿宋" w:hAnsi="仿宋" w:eastAsia="仿宋" w:cs="仿宋"/>
                <w:color w:val="000000"/>
                <w:sz w:val="27"/>
                <w:szCs w:val="27"/>
              </w:rPr>
              <w:t xml:space="preserve">总价（小写）</w:t>
            </w:r>
            <w:r/>
          </w:p>
        </w:tc>
      </w:tr>
      <w:tr>
        <w:trPr/>
        <w:tc>
          <w:tcPr>
            <w:tcW w:w="2270" w:type="dxa"/>
            <w:vAlign w:val="center"/>
            <w:textDirection w:val="lrTb"/>
            <w:noWrap w:val="false"/>
          </w:tcPr>
          <w:p>
            <w:pPr>
              <w:pStyle w:val="935"/>
              <w:rPr>
                <w:rFonts w:hint="eastAsia" w:ascii="仿宋" w:hAnsi="仿宋" w:eastAsia="仿宋" w:cs="仿宋"/>
              </w:rPr>
            </w:pPr>
            <w:r>
              <w:rPr>
                <w:rFonts w:hint="eastAsia" w:ascii="仿宋" w:hAnsi="仿宋" w:eastAsia="仿宋" w:cs="仿宋"/>
                <w:color w:val="000000"/>
                <w:sz w:val="27"/>
                <w:szCs w:val="27"/>
                <w:shd w:val="clear" w:color="auto" w:fill="ffffff"/>
              </w:rPr>
              <w:t xml:space="preserve">项目名称</w:t>
            </w:r>
            <w:r/>
          </w:p>
        </w:tc>
        <w:tc>
          <w:tcPr>
            <w:tcW w:w="2700" w:type="dxa"/>
            <w:vAlign w:val="center"/>
            <w:textDirection w:val="lrTb"/>
            <w:noWrap w:val="false"/>
          </w:tcPr>
          <w:p>
            <w:pPr>
              <w:pStyle w:val="935"/>
              <w:rPr>
                <w:rFonts w:hint="eastAsia" w:ascii="仿宋" w:hAnsi="仿宋" w:eastAsia="仿宋" w:cs="仿宋"/>
              </w:rPr>
            </w:pPr>
            <w:r>
              <w:rPr>
                <w:rFonts w:hint="eastAsia" w:ascii="仿宋" w:hAnsi="仿宋" w:eastAsia="仿宋" w:cs="仿宋"/>
                <w:color w:val="000000"/>
                <w:sz w:val="27"/>
                <w:szCs w:val="27"/>
              </w:rPr>
              <w:t xml:space="preserve">详见投标文件</w:t>
            </w:r>
            <w:r/>
          </w:p>
        </w:tc>
        <w:tc>
          <w:tcPr>
            <w:tcW w:w="3927" w:type="dxa"/>
            <w:vAlign w:val="center"/>
            <w:textDirection w:val="lrTb"/>
            <w:noWrap w:val="false"/>
          </w:tcPr>
          <w:p>
            <w:pPr>
              <w:pStyle w:val="935"/>
              <w:ind w:firstLine="2160"/>
              <w:rPr>
                <w:rFonts w:hint="eastAsia" w:ascii="仿宋" w:hAnsi="仿宋" w:eastAsia="仿宋" w:cs="仿宋"/>
              </w:rPr>
            </w:pPr>
            <w:r>
              <w:rPr>
                <w:rFonts w:hint="eastAsia" w:ascii="仿宋" w:hAnsi="仿宋" w:eastAsia="仿宋" w:cs="仿宋"/>
                <w:color w:val="000000"/>
                <w:sz w:val="27"/>
                <w:szCs w:val="27"/>
              </w:rPr>
              <w:t xml:space="preserve">元</w:t>
            </w:r>
            <w:r/>
          </w:p>
        </w:tc>
      </w:tr>
      <w:tr>
        <w:trPr/>
        <w:tc>
          <w:tcPr>
            <w:tcW w:w="2270" w:type="dxa"/>
            <w:vAlign w:val="center"/>
            <w:textDirection w:val="lrTb"/>
            <w:noWrap w:val="false"/>
          </w:tcPr>
          <w:p>
            <w:pPr>
              <w:pStyle w:val="935"/>
              <w:rPr>
                <w:rFonts w:hint="eastAsia" w:ascii="仿宋" w:hAnsi="仿宋" w:eastAsia="仿宋" w:cs="仿宋"/>
              </w:rPr>
            </w:pPr>
            <w:r>
              <w:rPr>
                <w:rFonts w:hint="eastAsia" w:ascii="仿宋" w:hAnsi="仿宋" w:eastAsia="仿宋" w:cs="仿宋"/>
                <w:color w:val="000000"/>
                <w:sz w:val="27"/>
                <w:szCs w:val="27"/>
              </w:rPr>
              <w:t xml:space="preserve">总价（大写）</w:t>
            </w:r>
            <w:r/>
          </w:p>
        </w:tc>
        <w:tc>
          <w:tcPr>
            <w:gridSpan w:val="2"/>
            <w:tcW w:w="6627" w:type="dxa"/>
            <w:vAlign w:val="center"/>
            <w:textDirection w:val="lrTb"/>
            <w:noWrap w:val="false"/>
          </w:tcPr>
          <w:p>
            <w:pPr>
              <w:pStyle w:val="935"/>
              <w:rPr>
                <w:rFonts w:hint="eastAsia" w:ascii="仿宋" w:hAnsi="仿宋" w:eastAsia="仿宋" w:cs="仿宋"/>
              </w:rPr>
            </w:pPr>
            <w:r>
              <w:rPr>
                <w:rFonts w:hint="eastAsia" w:ascii="仿宋" w:hAnsi="仿宋" w:eastAsia="仿宋" w:cs="仿宋"/>
                <w:color w:val="000000"/>
                <w:sz w:val="27"/>
                <w:szCs w:val="27"/>
              </w:rPr>
              <w:t xml:space="preserve">金额大写</w:t>
            </w:r>
            <w:r/>
          </w:p>
        </w:tc>
      </w:tr>
    </w:tbl>
    <w:p>
      <w:pPr>
        <w:pStyle w:val="935"/>
        <w:rPr>
          <w:rFonts w:hint="eastAsia" w:ascii="仿宋" w:hAnsi="仿宋" w:eastAsia="仿宋" w:cs="仿宋"/>
          <w:color w:val="000000"/>
          <w:sz w:val="27"/>
          <w:szCs w:val="27"/>
        </w:rPr>
      </w:pPr>
      <w:r>
        <w:rPr>
          <w:rFonts w:hint="eastAsia" w:ascii="仿宋" w:hAnsi="仿宋" w:eastAsia="仿宋" w:cs="仿宋"/>
          <w:color w:val="000000"/>
          <w:sz w:val="27"/>
          <w:szCs w:val="27"/>
        </w:rPr>
      </w:r>
      <w:r/>
    </w:p>
    <w:p>
      <w:pPr>
        <w:pStyle w:val="935"/>
        <w:rPr>
          <w:rFonts w:hint="eastAsia" w:ascii="仿宋" w:hAnsi="仿宋" w:eastAsia="仿宋" w:cs="仿宋"/>
          <w:color w:val="000000"/>
          <w:sz w:val="27"/>
          <w:szCs w:val="27"/>
        </w:rPr>
      </w:pPr>
      <w:r>
        <w:rPr>
          <w:rFonts w:hint="eastAsia" w:ascii="仿宋" w:hAnsi="仿宋" w:eastAsia="仿宋" w:cs="仿宋"/>
          <w:color w:val="000000"/>
          <w:sz w:val="27"/>
          <w:szCs w:val="27"/>
        </w:rPr>
      </w:r>
      <w:r/>
    </w:p>
    <w:p>
      <w:pPr>
        <w:pStyle w:val="935"/>
        <w:rPr>
          <w:rFonts w:hint="eastAsia" w:ascii="仿宋" w:hAnsi="仿宋" w:eastAsia="仿宋" w:cs="仿宋"/>
          <w:color w:val="000000"/>
          <w:sz w:val="27"/>
          <w:szCs w:val="27"/>
        </w:rPr>
      </w:pPr>
      <w:r>
        <w:rPr>
          <w:rFonts w:hint="eastAsia" w:ascii="仿宋" w:hAnsi="仿宋" w:eastAsia="仿宋" w:cs="仿宋"/>
          <w:color w:val="000000"/>
          <w:sz w:val="27"/>
          <w:szCs w:val="27"/>
        </w:rPr>
      </w:r>
      <w:r/>
    </w:p>
    <w:p>
      <w:pPr>
        <w:pStyle w:val="935"/>
        <w:rPr>
          <w:rFonts w:hint="eastAsia" w:ascii="仿宋" w:hAnsi="仿宋" w:eastAsia="仿宋" w:cs="仿宋"/>
          <w:color w:val="000000"/>
          <w:sz w:val="27"/>
          <w:szCs w:val="27"/>
        </w:rPr>
      </w:pPr>
      <w:r>
        <w:rPr>
          <w:rFonts w:hint="eastAsia" w:ascii="仿宋" w:hAnsi="仿宋" w:eastAsia="仿宋" w:cs="仿宋"/>
          <w:color w:val="000000"/>
          <w:sz w:val="27"/>
          <w:szCs w:val="27"/>
        </w:rPr>
        <w:t xml:space="preserve">投标人公章：（电子签章）</w:t>
      </w:r>
      <w:r/>
    </w:p>
    <w:p>
      <w:pPr>
        <w:rPr>
          <w:rFonts w:ascii="Segoe UI" w:hAnsi="Segoe UI" w:eastAsia="Segoe UI"/>
          <w:color w:val="000000"/>
          <w:sz w:val="27"/>
          <w:szCs w:val="27"/>
        </w:rPr>
      </w:pPr>
      <w:r>
        <w:rPr>
          <w:rFonts w:ascii="Segoe UI" w:hAnsi="Segoe UI" w:eastAsia="Segoe UI"/>
          <w:color w:val="000000"/>
          <w:sz w:val="27"/>
          <w:szCs w:val="27"/>
        </w:rPr>
        <w:br w:type="page" w:clear="all"/>
      </w:r>
      <w:r/>
    </w:p>
    <w:p>
      <w:pPr>
        <w:pStyle w:val="931"/>
        <w:jc w:val="center"/>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投标分项报价表</w:t>
      </w:r>
      <w:r/>
    </w:p>
    <w:tbl>
      <w:tblPr>
        <w:tblStyle w:val="734"/>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827"/>
        <w:gridCol w:w="1245"/>
        <w:gridCol w:w="1215"/>
        <w:gridCol w:w="1203"/>
        <w:gridCol w:w="1407"/>
        <w:gridCol w:w="1208"/>
      </w:tblGrid>
      <w:tr>
        <w:trPr>
          <w:cantSplit/>
          <w:trHeight w:val="544"/>
        </w:trPr>
        <w:tc>
          <w:tcPr>
            <w:tcW w:w="948" w:type="dxa"/>
            <w:vAlign w:val="center"/>
            <w:vMerge w:val="restart"/>
            <w:textDirection w:val="lrTb"/>
            <w:noWrap w:val="false"/>
          </w:tcPr>
          <w:p>
            <w:pPr>
              <w:jc w:val="center"/>
              <w:rPr>
                <w:rFonts w:hint="eastAsia" w:ascii="仿宋" w:hAnsi="仿宋" w:eastAsia="仿宋" w:cs="仿宋"/>
                <w:szCs w:val="24"/>
              </w:rPr>
            </w:pPr>
            <w:r>
              <w:rPr>
                <w:rFonts w:hint="eastAsia" w:ascii="仿宋" w:hAnsi="仿宋" w:eastAsia="仿宋" w:cs="仿宋"/>
                <w:szCs w:val="24"/>
              </w:rPr>
              <w:t xml:space="preserve">序号</w:t>
            </w:r>
            <w:r/>
          </w:p>
        </w:tc>
        <w:tc>
          <w:tcPr>
            <w:tcW w:w="1827"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t xml:space="preserve">1</w:t>
            </w:r>
            <w:r/>
          </w:p>
        </w:tc>
        <w:tc>
          <w:tcPr>
            <w:tcW w:w="1245" w:type="dxa"/>
            <w:vAlign w:val="center"/>
            <w:textDirection w:val="lrTb"/>
            <w:noWrap w:val="false"/>
          </w:tcPr>
          <w:p>
            <w:pPr>
              <w:ind w:firstLine="480"/>
              <w:rPr>
                <w:rFonts w:hint="eastAsia" w:ascii="仿宋" w:hAnsi="仿宋" w:eastAsia="仿宋" w:cs="仿宋"/>
                <w:szCs w:val="24"/>
              </w:rPr>
            </w:pPr>
            <w:r>
              <w:rPr>
                <w:rFonts w:hint="eastAsia" w:ascii="仿宋" w:hAnsi="仿宋" w:eastAsia="仿宋" w:cs="仿宋"/>
                <w:szCs w:val="24"/>
              </w:rPr>
              <w:t xml:space="preserve">2</w:t>
            </w:r>
            <w:r/>
          </w:p>
        </w:tc>
        <w:tc>
          <w:tcPr>
            <w:tcW w:w="1215" w:type="dxa"/>
            <w:vAlign w:val="center"/>
            <w:textDirection w:val="lrTb"/>
            <w:noWrap w:val="false"/>
          </w:tcPr>
          <w:p>
            <w:pPr>
              <w:ind w:firstLine="480"/>
              <w:rPr>
                <w:rFonts w:hint="eastAsia" w:ascii="仿宋" w:hAnsi="仿宋" w:eastAsia="仿宋" w:cs="仿宋"/>
                <w:szCs w:val="24"/>
              </w:rPr>
            </w:pPr>
            <w:r>
              <w:rPr>
                <w:rFonts w:hint="eastAsia" w:ascii="仿宋" w:hAnsi="仿宋" w:eastAsia="仿宋" w:cs="仿宋"/>
                <w:szCs w:val="24"/>
              </w:rPr>
              <w:t xml:space="preserve">3</w:t>
            </w:r>
            <w:r/>
          </w:p>
        </w:tc>
        <w:tc>
          <w:tcPr>
            <w:tcW w:w="1203"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t xml:space="preserve">4</w:t>
            </w:r>
            <w:r/>
          </w:p>
        </w:tc>
        <w:tc>
          <w:tcPr>
            <w:tcW w:w="1407"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t xml:space="preserve">5</w:t>
            </w:r>
            <w:r/>
          </w:p>
        </w:tc>
        <w:tc>
          <w:tcPr>
            <w:tcW w:w="1208"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t xml:space="preserve">6</w:t>
            </w:r>
            <w:r/>
          </w:p>
        </w:tc>
      </w:tr>
      <w:tr>
        <w:trPr>
          <w:cantSplit/>
          <w:trHeight w:val="587"/>
        </w:trPr>
        <w:tc>
          <w:tcPr>
            <w:tcW w:w="948" w:type="dxa"/>
            <w:vAlign w:val="center"/>
            <w:vMerge w:val="continue"/>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827" w:type="dxa"/>
            <w:vAlign w:val="center"/>
            <w:textDirection w:val="lrTb"/>
            <w:noWrap w:val="false"/>
          </w:tcPr>
          <w:p>
            <w:pPr>
              <w:jc w:val="center"/>
              <w:rPr>
                <w:rFonts w:hint="eastAsia" w:ascii="仿宋" w:hAnsi="仿宋" w:eastAsia="仿宋" w:cs="仿宋"/>
                <w:szCs w:val="24"/>
              </w:rPr>
            </w:pPr>
            <w:r>
              <w:rPr>
                <w:rFonts w:hint="eastAsia" w:ascii="仿宋" w:hAnsi="仿宋" w:eastAsia="仿宋" w:cs="仿宋"/>
                <w:szCs w:val="24"/>
              </w:rPr>
              <w:t xml:space="preserve">分项服务名称</w:t>
            </w:r>
            <w:r/>
          </w:p>
        </w:tc>
        <w:tc>
          <w:tcPr>
            <w:tcW w:w="1245" w:type="dxa"/>
            <w:vAlign w:val="center"/>
            <w:textDirection w:val="lrTb"/>
            <w:noWrap w:val="false"/>
          </w:tcPr>
          <w:p>
            <w:pPr>
              <w:jc w:val="center"/>
              <w:rPr>
                <w:rFonts w:hint="eastAsia" w:ascii="仿宋" w:hAnsi="仿宋" w:eastAsia="仿宋" w:cs="仿宋"/>
                <w:szCs w:val="24"/>
              </w:rPr>
            </w:pPr>
            <w:r>
              <w:rPr>
                <w:rFonts w:hint="eastAsia" w:ascii="仿宋" w:hAnsi="仿宋" w:eastAsia="仿宋" w:cs="仿宋"/>
                <w:szCs w:val="24"/>
              </w:rPr>
              <w:t xml:space="preserve">分项单位</w:t>
            </w:r>
            <w:r/>
          </w:p>
        </w:tc>
        <w:tc>
          <w:tcPr>
            <w:tcW w:w="1215" w:type="dxa"/>
            <w:vAlign w:val="center"/>
            <w:textDirection w:val="lrTb"/>
            <w:noWrap w:val="false"/>
          </w:tcPr>
          <w:p>
            <w:pPr>
              <w:jc w:val="center"/>
              <w:rPr>
                <w:rFonts w:hint="eastAsia" w:ascii="仿宋" w:hAnsi="仿宋" w:eastAsia="仿宋" w:cs="仿宋"/>
                <w:szCs w:val="24"/>
              </w:rPr>
            </w:pPr>
            <w:r>
              <w:rPr>
                <w:rFonts w:hint="eastAsia" w:ascii="仿宋" w:hAnsi="仿宋" w:eastAsia="仿宋" w:cs="仿宋"/>
                <w:szCs w:val="24"/>
              </w:rPr>
              <w:t xml:space="preserve">数量</w:t>
            </w:r>
            <w:r/>
          </w:p>
        </w:tc>
        <w:tc>
          <w:tcPr>
            <w:tcW w:w="1203" w:type="dxa"/>
            <w:vAlign w:val="center"/>
            <w:textDirection w:val="lrTb"/>
            <w:noWrap w:val="false"/>
          </w:tcPr>
          <w:p>
            <w:pPr>
              <w:jc w:val="center"/>
              <w:rPr>
                <w:rFonts w:hint="eastAsia" w:ascii="仿宋" w:hAnsi="仿宋" w:eastAsia="仿宋" w:cs="仿宋"/>
                <w:szCs w:val="24"/>
              </w:rPr>
            </w:pPr>
            <w:r>
              <w:rPr>
                <w:rFonts w:hint="eastAsia" w:ascii="仿宋" w:hAnsi="仿宋" w:eastAsia="仿宋" w:cs="仿宋"/>
                <w:szCs w:val="24"/>
              </w:rPr>
              <w:t xml:space="preserve">分项单价</w:t>
            </w:r>
            <w:r/>
          </w:p>
        </w:tc>
        <w:tc>
          <w:tcPr>
            <w:tcW w:w="1407" w:type="dxa"/>
            <w:vAlign w:val="center"/>
            <w:textDirection w:val="lrTb"/>
            <w:noWrap w:val="false"/>
          </w:tcPr>
          <w:p>
            <w:pPr>
              <w:jc w:val="center"/>
              <w:rPr>
                <w:rFonts w:hint="eastAsia" w:ascii="仿宋" w:hAnsi="仿宋" w:eastAsia="仿宋" w:cs="仿宋"/>
                <w:szCs w:val="24"/>
              </w:rPr>
            </w:pPr>
            <w:r>
              <w:rPr>
                <w:rFonts w:hint="eastAsia" w:ascii="仿宋" w:hAnsi="仿宋" w:eastAsia="仿宋" w:cs="仿宋"/>
                <w:szCs w:val="24"/>
              </w:rPr>
              <w:t xml:space="preserve">分项总价</w:t>
            </w:r>
            <w:r/>
          </w:p>
        </w:tc>
        <w:tc>
          <w:tcPr>
            <w:tcW w:w="1208" w:type="dxa"/>
            <w:vAlign w:val="center"/>
            <w:textDirection w:val="lrTb"/>
            <w:noWrap w:val="false"/>
          </w:tcPr>
          <w:p>
            <w:pPr>
              <w:jc w:val="center"/>
              <w:rPr>
                <w:rFonts w:hint="eastAsia" w:ascii="仿宋" w:hAnsi="仿宋" w:eastAsia="仿宋" w:cs="仿宋"/>
                <w:szCs w:val="24"/>
              </w:rPr>
            </w:pPr>
            <w:r>
              <w:rPr>
                <w:rFonts w:hint="eastAsia" w:ascii="仿宋" w:hAnsi="仿宋" w:eastAsia="仿宋" w:cs="仿宋"/>
                <w:szCs w:val="24"/>
              </w:rPr>
              <w:t xml:space="preserve">备注</w:t>
            </w:r>
            <w:r/>
          </w:p>
        </w:tc>
      </w:tr>
      <w:tr>
        <w:trPr>
          <w:cantSplit/>
          <w:trHeight w:val="654"/>
        </w:trPr>
        <w:tc>
          <w:tcPr>
            <w:tcW w:w="948"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t xml:space="preserve">1</w:t>
            </w:r>
            <w:r/>
          </w:p>
        </w:tc>
        <w:tc>
          <w:tcPr>
            <w:tcW w:w="1827"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245"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215"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203"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407"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208"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r>
      <w:tr>
        <w:trPr>
          <w:cantSplit/>
          <w:trHeight w:val="654"/>
        </w:trPr>
        <w:tc>
          <w:tcPr>
            <w:tcW w:w="948"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t xml:space="preserve">2</w:t>
            </w:r>
            <w:r/>
          </w:p>
        </w:tc>
        <w:tc>
          <w:tcPr>
            <w:tcW w:w="1827"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245"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215"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203"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407"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208"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r>
      <w:tr>
        <w:trPr>
          <w:cantSplit/>
          <w:trHeight w:val="654"/>
        </w:trPr>
        <w:tc>
          <w:tcPr>
            <w:tcW w:w="948"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t xml:space="preserve">3</w:t>
            </w:r>
            <w:r/>
          </w:p>
        </w:tc>
        <w:tc>
          <w:tcPr>
            <w:tcW w:w="1827"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245"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215"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203"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407"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208"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r>
      <w:tr>
        <w:trPr>
          <w:cantSplit/>
          <w:trHeight w:val="654"/>
        </w:trPr>
        <w:tc>
          <w:tcPr>
            <w:tcW w:w="948"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t xml:space="preserve">……</w:t>
            </w:r>
            <w:r/>
          </w:p>
        </w:tc>
        <w:tc>
          <w:tcPr>
            <w:tcW w:w="1827"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t xml:space="preserve">……</w:t>
            </w:r>
            <w:r/>
          </w:p>
        </w:tc>
        <w:tc>
          <w:tcPr>
            <w:tcW w:w="1245"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215"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203"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407"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c>
          <w:tcPr>
            <w:tcW w:w="1208"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r>
      <w:tr>
        <w:trPr>
          <w:cantSplit/>
          <w:trHeight w:val="487"/>
        </w:trPr>
        <w:tc>
          <w:tcPr>
            <w:gridSpan w:val="6"/>
            <w:tcW w:w="7845" w:type="dxa"/>
            <w:vAlign w:val="center"/>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t xml:space="preserve">投标总报价（人民币：元）</w:t>
            </w:r>
            <w:r/>
          </w:p>
        </w:tc>
        <w:tc>
          <w:tcPr>
            <w:tcW w:w="1208" w:type="dxa"/>
            <w:textDirection w:val="lrTb"/>
            <w:noWrap w:val="false"/>
          </w:tcPr>
          <w:p>
            <w:pPr>
              <w:ind w:firstLine="480"/>
              <w:jc w:val="center"/>
              <w:rPr>
                <w:rFonts w:hint="eastAsia" w:ascii="仿宋" w:hAnsi="仿宋" w:eastAsia="仿宋" w:cs="仿宋"/>
                <w:szCs w:val="24"/>
              </w:rPr>
            </w:pPr>
            <w:r>
              <w:rPr>
                <w:rFonts w:hint="eastAsia" w:ascii="仿宋" w:hAnsi="仿宋" w:eastAsia="仿宋" w:cs="仿宋"/>
                <w:szCs w:val="24"/>
              </w:rPr>
            </w:r>
            <w:r/>
          </w:p>
        </w:tc>
      </w:tr>
    </w:tbl>
    <w:p>
      <w:pPr>
        <w:ind w:firstLine="482"/>
        <w:spacing w:line="480" w:lineRule="exact"/>
        <w:rPr>
          <w:rFonts w:hint="eastAsia" w:ascii="仿宋" w:hAnsi="仿宋" w:eastAsia="仿宋" w:cs="仿宋"/>
          <w:szCs w:val="24"/>
        </w:rPr>
      </w:pPr>
      <w:r>
        <w:rPr>
          <w:rFonts w:hint="eastAsia" w:ascii="仿宋" w:hAnsi="仿宋" w:eastAsia="仿宋" w:cs="仿宋"/>
          <w:szCs w:val="24"/>
        </w:rPr>
        <w:t xml:space="preserve">备注： 投标人的报价应包括采购人需求的服务（包含与服务相关的产品）价格、质量保证费用、培训费用及售后服务费用，项目在指定地点、环境交付、安装、调试、验收所需费用和所有相关税金费用及为完成整个项目所产生的其它所有费用。表格可自行添加。</w:t>
      </w:r>
      <w:r/>
    </w:p>
    <w:p>
      <w:pPr>
        <w:pStyle w:val="935"/>
        <w:rPr>
          <w:rFonts w:hint="eastAsia" w:ascii="仿宋" w:hAnsi="仿宋" w:eastAsia="仿宋" w:cs="仿宋"/>
          <w:color w:val="000000"/>
          <w:sz w:val="27"/>
          <w:szCs w:val="27"/>
        </w:rPr>
      </w:pPr>
      <w:r>
        <w:rPr>
          <w:rFonts w:hint="eastAsia" w:ascii="仿宋" w:hAnsi="仿宋" w:eastAsia="仿宋" w:cs="仿宋"/>
          <w:color w:val="000000"/>
          <w:sz w:val="27"/>
          <w:szCs w:val="27"/>
        </w:rPr>
      </w:r>
      <w:r/>
    </w:p>
    <w:p>
      <w:pPr>
        <w:pStyle w:val="935"/>
        <w:rPr>
          <w:rFonts w:hint="eastAsia" w:ascii="仿宋" w:hAnsi="仿宋" w:eastAsia="仿宋" w:cs="仿宋"/>
          <w:color w:val="000000"/>
          <w:sz w:val="27"/>
          <w:szCs w:val="27"/>
        </w:rPr>
      </w:pPr>
      <w:r>
        <w:rPr>
          <w:rFonts w:hint="eastAsia" w:ascii="仿宋" w:hAnsi="仿宋" w:eastAsia="仿宋" w:cs="仿宋"/>
          <w:color w:val="000000"/>
          <w:sz w:val="27"/>
          <w:szCs w:val="27"/>
        </w:rPr>
      </w:r>
      <w:r/>
    </w:p>
    <w:p>
      <w:pPr>
        <w:pStyle w:val="935"/>
        <w:ind w:firstLine="4860"/>
        <w:rPr>
          <w:rFonts w:hint="eastAsia" w:ascii="仿宋" w:hAnsi="仿宋" w:eastAsia="仿宋" w:cs="仿宋"/>
          <w:color w:val="000000"/>
          <w:sz w:val="27"/>
          <w:szCs w:val="27"/>
        </w:rPr>
      </w:pPr>
      <w:r>
        <w:rPr>
          <w:rFonts w:hint="eastAsia" w:ascii="仿宋" w:hAnsi="仿宋" w:eastAsia="仿宋" w:cs="仿宋"/>
          <w:color w:val="000000"/>
          <w:sz w:val="27"/>
          <w:szCs w:val="27"/>
        </w:rPr>
        <w:t xml:space="preserve">投标人公章：（电子签章）</w:t>
      </w:r>
      <w:r/>
    </w:p>
    <w:p>
      <w:pPr>
        <w:rPr>
          <w:rFonts w:ascii="黑体" w:hAnsi="宋体" w:eastAsia="黑体"/>
          <w:bCs/>
          <w:sz w:val="24"/>
        </w:rPr>
      </w:pPr>
      <w:r>
        <w:rPr>
          <w:rFonts w:hint="eastAsia" w:ascii="黑体" w:hAnsi="宋体" w:eastAsia="黑体"/>
          <w:bCs/>
          <w:sz w:val="24"/>
        </w:rPr>
        <w:br w:type="page" w:clear="all"/>
      </w:r>
      <w:r/>
    </w:p>
    <w:p>
      <w:pPr>
        <w:pStyle w:val="931"/>
        <w:jc w:val="center"/>
        <w:rPr>
          <w:rFonts w:hint="eastAsia" w:ascii="仿宋" w:hAnsi="仿宋" w:eastAsia="仿宋" w:cs="仿宋"/>
          <w:b/>
          <w:color w:val="000000"/>
          <w:sz w:val="24"/>
          <w:szCs w:val="24"/>
        </w:rPr>
      </w:pPr>
      <w:r>
        <w:rPr>
          <w:rFonts w:hint="eastAsia" w:ascii="仿宋" w:hAnsi="仿宋" w:eastAsia="仿宋" w:cs="仿宋"/>
          <w:b/>
          <w:color w:val="000000"/>
          <w:sz w:val="32"/>
          <w:szCs w:val="24"/>
        </w:rPr>
        <w:t xml:space="preserve">投 标 函</w:t>
      </w:r>
      <w:r/>
    </w:p>
    <w:p>
      <w:pPr>
        <w:pStyle w:val="931"/>
        <w:ind w:left="480"/>
        <w:rPr>
          <w:rFonts w:ascii="宋体" w:hAnsi="宋体" w:eastAsia="宋体"/>
          <w:color w:val="000000"/>
          <w:sz w:val="24"/>
          <w:szCs w:val="24"/>
        </w:rPr>
      </w:pPr>
      <w:r>
        <w:rPr>
          <w:rFonts w:ascii="宋体" w:hAnsi="宋体" w:eastAsia="宋体"/>
          <w:color w:val="000000"/>
          <w:sz w:val="24"/>
          <w:szCs w:val="24"/>
        </w:rPr>
      </w:r>
      <w:r/>
    </w:p>
    <w:p>
      <w:pPr>
        <w:pStyle w:val="936"/>
        <w:ind w:left="0"/>
        <w:spacing w:after="0" w:line="400" w:lineRule="exact"/>
        <w:rPr>
          <w:rFonts w:hint="eastAsia" w:ascii="仿宋" w:hAnsi="仿宋" w:eastAsia="仿宋" w:cs="仿宋"/>
          <w:bCs/>
          <w:iCs/>
          <w:color w:val="000000"/>
          <w:sz w:val="24"/>
          <w:szCs w:val="24"/>
        </w:rPr>
      </w:pPr>
      <w:r>
        <w:rPr>
          <w:rFonts w:hint="eastAsia" w:ascii="仿宋" w:hAnsi="仿宋" w:eastAsia="仿宋" w:cs="仿宋"/>
          <w:bCs/>
          <w:iCs/>
          <w:color w:val="000000"/>
          <w:sz w:val="24"/>
          <w:szCs w:val="24"/>
          <w:u w:val="single"/>
        </w:rPr>
        <w:t xml:space="preserve">       （采购人）</w:t>
      </w:r>
      <w:r>
        <w:rPr>
          <w:rFonts w:hint="eastAsia" w:ascii="仿宋" w:hAnsi="仿宋" w:eastAsia="仿宋" w:cs="仿宋"/>
          <w:bCs/>
          <w:iCs/>
          <w:color w:val="000000"/>
          <w:sz w:val="24"/>
          <w:szCs w:val="24"/>
        </w:rPr>
        <w:t xml:space="preserve">：</w:t>
      </w:r>
      <w:r/>
    </w:p>
    <w:p>
      <w:pPr>
        <w:pStyle w:val="936"/>
        <w:ind w:left="0" w:firstLine="600"/>
        <w:spacing w:after="0" w:line="360" w:lineRule="auto"/>
        <w:rPr>
          <w:rFonts w:hint="eastAsia" w:ascii="仿宋" w:hAnsi="仿宋" w:eastAsia="仿宋" w:cs="仿宋"/>
          <w:bCs/>
          <w:color w:val="000000"/>
          <w:sz w:val="24"/>
          <w:szCs w:val="24"/>
        </w:rPr>
      </w:pPr>
      <w:r>
        <w:rPr>
          <w:rFonts w:hint="eastAsia" w:ascii="仿宋" w:hAnsi="仿宋" w:eastAsia="仿宋" w:cs="仿宋"/>
          <w:bCs/>
          <w:iCs/>
          <w:color w:val="000000"/>
          <w:sz w:val="24"/>
          <w:szCs w:val="24"/>
        </w:rPr>
        <w:t xml:space="preserve">我方全面研究了 </w:t>
      </w:r>
      <w:r>
        <w:rPr>
          <w:rFonts w:hint="eastAsia" w:ascii="仿宋" w:hAnsi="仿宋" w:eastAsia="仿宋" w:cs="仿宋"/>
          <w:b/>
          <w:bCs/>
          <w:iCs/>
          <w:color w:val="000000"/>
          <w:sz w:val="24"/>
          <w:szCs w:val="24"/>
          <w:u w:val="single"/>
        </w:rPr>
        <w:t xml:space="preserve">              （项目编号）</w:t>
      </w:r>
      <w:r>
        <w:rPr>
          <w:rFonts w:hint="eastAsia" w:ascii="仿宋" w:hAnsi="仿宋" w:eastAsia="仿宋" w:cs="仿宋"/>
          <w:bCs/>
          <w:color w:val="000000"/>
          <w:sz w:val="24"/>
          <w:szCs w:val="24"/>
        </w:rPr>
        <w:t xml:space="preserve">项目招标文件，决定参加贵单位组织的本项目投标。</w:t>
      </w:r>
      <w:r/>
    </w:p>
    <w:p>
      <w:pPr>
        <w:pStyle w:val="936"/>
        <w:ind w:left="0" w:firstLine="600"/>
        <w:spacing w:after="0"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1、我方自愿按照招标文件规定的各项要求向采购人提供所需服务。</w:t>
      </w:r>
      <w:r/>
    </w:p>
    <w:p>
      <w:pPr>
        <w:pStyle w:val="936"/>
        <w:ind w:left="0" w:firstLine="600"/>
        <w:spacing w:after="0" w:line="360" w:lineRule="auto"/>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2、一旦我方中标，</w:t>
      </w:r>
      <w:r>
        <w:rPr>
          <w:rFonts w:hint="eastAsia" w:ascii="仿宋" w:hAnsi="仿宋" w:eastAsia="仿宋" w:cs="仿宋"/>
          <w:color w:val="000000"/>
          <w:sz w:val="24"/>
          <w:szCs w:val="24"/>
        </w:rPr>
        <w:t xml:space="preserve">我们将严格履行招标文件中规定的每一项要求，按期、按质、按量履行合同的义务。</w:t>
      </w:r>
      <w:r/>
    </w:p>
    <w:p>
      <w:pPr>
        <w:pStyle w:val="937"/>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3．我们已详细审查全部招标文件，包括更正文件(如有)，对招标文件及更正公告(如有)无任何异议。我们完全理解并同意放弃对这方面有不明及误解的权力。</w:t>
      </w:r>
      <w:r/>
    </w:p>
    <w:p>
      <w:pPr>
        <w:pStyle w:val="937"/>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4、我们同意按招标文件中的规定，本投标书的有效期限为自投标截止之日起</w:t>
      </w:r>
      <w:r>
        <w:rPr>
          <w:rFonts w:hint="eastAsia" w:ascii="仿宋" w:hAnsi="仿宋" w:eastAsia="仿宋" w:cs="仿宋"/>
          <w:color w:val="000000"/>
          <w:sz w:val="24"/>
          <w:szCs w:val="24"/>
          <w:u w:val="single"/>
        </w:rPr>
        <w:t xml:space="preserve">60 </w:t>
      </w:r>
      <w:r>
        <w:rPr>
          <w:rFonts w:hint="eastAsia" w:ascii="仿宋" w:hAnsi="仿宋" w:eastAsia="仿宋" w:cs="仿宋"/>
          <w:color w:val="000000"/>
          <w:sz w:val="24"/>
          <w:szCs w:val="24"/>
        </w:rPr>
        <w:t xml:space="preserve">天。</w:t>
      </w:r>
      <w:r/>
    </w:p>
    <w:p>
      <w:pPr>
        <w:pStyle w:val="937"/>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5、我们愿意提供招标采购单位在招标文件中要求的所有资料。</w:t>
      </w:r>
      <w:r/>
    </w:p>
    <w:p>
      <w:pPr>
        <w:pStyle w:val="937"/>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6、我们愿意遵守招标公告及招标文件中所列的收费标准。</w:t>
      </w:r>
      <w:r/>
    </w:p>
    <w:p>
      <w:pPr>
        <w:pStyle w:val="937"/>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7、我们愿意按招标文件的规定交纳投标保证金，并同意遵守招标文件中投标保证金的有关规定。</w:t>
      </w:r>
      <w:r/>
    </w:p>
    <w:p>
      <w:pPr>
        <w:pStyle w:val="937"/>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8、我们承诺该项投标在开标后的全过程中保持有效，不作任何更改和变动。</w:t>
      </w:r>
      <w:r/>
    </w:p>
    <w:p>
      <w:pPr>
        <w:pStyle w:val="936"/>
        <w:ind w:left="0" w:firstLine="600"/>
        <w:spacing w:after="0"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9、我方愿意提供贵单位可能另外要求的，与投标有关的文件资料，并保证我方已提供和将要提供的文件资料是真实、准确的。</w:t>
      </w:r>
      <w:r/>
    </w:p>
    <w:p>
      <w:pPr>
        <w:pStyle w:val="936"/>
        <w:ind w:left="0" w:firstLine="600"/>
        <w:spacing w:after="0"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936"/>
        <w:ind w:left="0" w:firstLine="600"/>
        <w:jc w:val="right"/>
        <w:spacing w:after="0"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投标人名称：</w:t>
      </w:r>
      <w:r>
        <w:rPr>
          <w:rFonts w:hint="eastAsia" w:ascii="仿宋" w:hAnsi="仿宋" w:eastAsia="仿宋" w:cs="仿宋"/>
          <w:bCs/>
          <w:sz w:val="24"/>
          <w:szCs w:val="24"/>
        </w:rPr>
        <w:t xml:space="preserve">（</w:t>
      </w:r>
      <w:r>
        <w:rPr>
          <w:rFonts w:hint="eastAsia" w:ascii="仿宋" w:hAnsi="仿宋" w:eastAsia="仿宋" w:cs="仿宋"/>
          <w:sz w:val="24"/>
          <w:szCs w:val="24"/>
        </w:rPr>
        <w:t xml:space="preserve">加盖CA电子公章）</w:t>
      </w:r>
      <w:r/>
    </w:p>
    <w:p>
      <w:pPr>
        <w:pStyle w:val="936"/>
        <w:ind w:left="0" w:firstLine="600"/>
        <w:jc w:val="right"/>
        <w:spacing w:after="0"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法定代表人或</w:t>
      </w:r>
      <w:r>
        <w:rPr>
          <w:rFonts w:hint="eastAsia" w:ascii="仿宋" w:hAnsi="仿宋" w:eastAsia="仿宋" w:cs="仿宋"/>
          <w:color w:val="000000"/>
          <w:sz w:val="24"/>
          <w:szCs w:val="24"/>
        </w:rPr>
        <w:t xml:space="preserve">委托</w:t>
      </w:r>
      <w:r>
        <w:rPr>
          <w:rFonts w:hint="eastAsia" w:ascii="仿宋" w:hAnsi="仿宋" w:eastAsia="仿宋" w:cs="仿宋"/>
          <w:bCs/>
          <w:color w:val="000000"/>
          <w:sz w:val="24"/>
          <w:szCs w:val="24"/>
        </w:rPr>
        <w:t xml:space="preserve">代理人（签字或盖章）：</w:t>
      </w:r>
      <w:r/>
    </w:p>
    <w:p>
      <w:pPr>
        <w:pStyle w:val="936"/>
        <w:ind w:left="0" w:firstLine="600"/>
        <w:jc w:val="center"/>
        <w:spacing w:after="0"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地址：</w:t>
      </w:r>
      <w:r/>
    </w:p>
    <w:p>
      <w:pPr>
        <w:pStyle w:val="936"/>
        <w:ind w:left="0" w:firstLine="600"/>
        <w:jc w:val="center"/>
        <w:spacing w:after="0"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邮政编码：</w:t>
      </w:r>
      <w:r/>
    </w:p>
    <w:p>
      <w:pPr>
        <w:pStyle w:val="936"/>
        <w:ind w:left="0" w:firstLine="600"/>
        <w:jc w:val="center"/>
        <w:spacing w:after="0"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联系电话：</w:t>
      </w:r>
      <w:r/>
    </w:p>
    <w:p>
      <w:pPr>
        <w:pStyle w:val="936"/>
        <w:ind w:left="0" w:firstLine="600"/>
        <w:jc w:val="center"/>
        <w:spacing w:after="0"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日    期：</w:t>
      </w:r>
      <w:r/>
    </w:p>
    <w:p>
      <w:pPr>
        <w:rPr>
          <w:rFonts w:hint="eastAsia" w:ascii="仿宋" w:hAnsi="仿宋" w:eastAsia="仿宋" w:cs="仿宋"/>
          <w:bCs/>
          <w:sz w:val="24"/>
        </w:rPr>
      </w:pPr>
      <w:r>
        <w:rPr>
          <w:rFonts w:hint="eastAsia" w:ascii="仿宋" w:hAnsi="仿宋" w:eastAsia="仿宋" w:cs="仿宋"/>
          <w:bCs/>
          <w:sz w:val="24"/>
        </w:rPr>
        <w:br w:type="page" w:clear="all"/>
      </w:r>
      <w:r/>
    </w:p>
    <w:p>
      <w:pPr>
        <w:pStyle w:val="931"/>
        <w:jc w:val="center"/>
        <w:rPr>
          <w:rFonts w:hint="eastAsia" w:ascii="仿宋" w:hAnsi="仿宋" w:eastAsia="仿宋" w:cs="仿宋"/>
          <w:b/>
          <w:color w:val="000000"/>
          <w:sz w:val="32"/>
          <w:szCs w:val="24"/>
        </w:rPr>
      </w:pPr>
      <w:r/>
      <w:bookmarkStart w:id="88" w:name="报价方关于资格的声明函（格式）"/>
      <w:r/>
      <w:bookmarkEnd w:id="88"/>
      <w:r>
        <w:rPr>
          <w:rFonts w:hint="eastAsia" w:ascii="仿宋" w:hAnsi="仿宋" w:eastAsia="仿宋" w:cs="仿宋"/>
          <w:b/>
          <w:color w:val="000000"/>
          <w:sz w:val="32"/>
          <w:szCs w:val="24"/>
        </w:rPr>
        <w:t xml:space="preserve">关于资格的声明函</w:t>
      </w:r>
      <w:r/>
    </w:p>
    <w:p>
      <w:pPr>
        <w:pStyle w:val="936"/>
        <w:ind w:left="0"/>
        <w:spacing w:after="0" w:line="360" w:lineRule="auto"/>
        <w:rPr>
          <w:rFonts w:hint="eastAsia" w:ascii="仿宋" w:hAnsi="仿宋" w:eastAsia="仿宋" w:cs="仿宋"/>
          <w:bCs/>
          <w:iCs/>
          <w:color w:val="000000"/>
          <w:sz w:val="24"/>
          <w:szCs w:val="24"/>
        </w:rPr>
      </w:pPr>
      <w:r>
        <w:rPr>
          <w:rFonts w:hint="eastAsia" w:ascii="仿宋" w:hAnsi="仿宋" w:eastAsia="仿宋" w:cs="仿宋"/>
          <w:bCs/>
          <w:iCs/>
          <w:color w:val="000000"/>
          <w:sz w:val="24"/>
          <w:szCs w:val="24"/>
          <w:u w:val="single"/>
        </w:rPr>
        <w:t xml:space="preserve">       （采购人）</w:t>
      </w:r>
      <w:r>
        <w:rPr>
          <w:rFonts w:hint="eastAsia" w:ascii="仿宋" w:hAnsi="仿宋" w:eastAsia="仿宋" w:cs="仿宋"/>
          <w:bCs/>
          <w:iCs/>
          <w:color w:val="000000"/>
          <w:sz w:val="24"/>
          <w:szCs w:val="24"/>
        </w:rPr>
        <w:t xml:space="preserve">：</w:t>
      </w:r>
      <w:r/>
    </w:p>
    <w:p>
      <w:pPr>
        <w:ind w:firstLine="720"/>
        <w:spacing w:line="360" w:lineRule="auto"/>
        <w:rPr>
          <w:rFonts w:hint="eastAsia" w:ascii="仿宋" w:hAnsi="仿宋" w:eastAsia="仿宋" w:cs="仿宋"/>
          <w:bCs/>
          <w:sz w:val="24"/>
        </w:rPr>
      </w:pPr>
      <w:r>
        <w:rPr>
          <w:rFonts w:hint="eastAsia" w:ascii="仿宋" w:hAnsi="仿宋" w:eastAsia="仿宋" w:cs="仿宋"/>
          <w:bCs/>
          <w:sz w:val="24"/>
        </w:rPr>
        <w:t xml:space="preserve">我公司（单位）参加本次项目（</w:t>
      </w:r>
      <w:r>
        <w:rPr>
          <w:rFonts w:hint="eastAsia" w:ascii="仿宋" w:hAnsi="仿宋" w:eastAsia="仿宋" w:cs="仿宋"/>
          <w:bCs/>
          <w:sz w:val="24"/>
          <w:u w:val="single"/>
        </w:rPr>
        <w:t xml:space="preserve"> 项目名称：       项目编号：            </w:t>
      </w:r>
      <w:r>
        <w:rPr>
          <w:rFonts w:hint="eastAsia" w:ascii="仿宋" w:hAnsi="仿宋" w:eastAsia="仿宋" w:cs="仿宋"/>
          <w:bCs/>
          <w:sz w:val="24"/>
        </w:rPr>
        <w:t xml:space="preserve">）政府采购活动前三年内，在经营活动中没有重大违法记录，    我公司（单位）愿针对本次（</w:t>
      </w:r>
      <w:r>
        <w:rPr>
          <w:rFonts w:hint="eastAsia" w:ascii="仿宋" w:hAnsi="仿宋" w:eastAsia="仿宋" w:cs="仿宋"/>
          <w:bCs/>
          <w:sz w:val="24"/>
          <w:u w:val="single"/>
        </w:rPr>
        <w:t xml:space="preserve"> 项目名称：         项目编号：            </w:t>
      </w:r>
      <w:r>
        <w:rPr>
          <w:rFonts w:hint="eastAsia" w:ascii="仿宋" w:hAnsi="仿宋" w:eastAsia="仿宋" w:cs="仿宋"/>
          <w:bCs/>
          <w:sz w:val="24"/>
        </w:rPr>
        <w:t xml:space="preserve">）进行投标，投标文件中所有关于投标资格的文件、证明、陈述均是真实的、准确的。若有违背，我公司（单位）愿意承担由此而产生的一切后果。</w:t>
      </w:r>
      <w:r/>
    </w:p>
    <w:p>
      <w:pPr>
        <w:jc w:val="left"/>
        <w:spacing w:line="360" w:lineRule="auto"/>
        <w:rPr>
          <w:rFonts w:hint="eastAsia" w:ascii="仿宋" w:hAnsi="仿宋" w:eastAsia="仿宋" w:cs="仿宋"/>
          <w:bCs/>
          <w:sz w:val="24"/>
        </w:rPr>
      </w:pPr>
      <w:r>
        <w:rPr>
          <w:rFonts w:hint="eastAsia" w:ascii="仿宋" w:hAnsi="仿宋" w:eastAsia="仿宋" w:cs="仿宋"/>
          <w:bCs/>
          <w:sz w:val="24"/>
        </w:rPr>
      </w:r>
      <w:r/>
    </w:p>
    <w:p>
      <w:pPr>
        <w:jc w:val="right"/>
        <w:spacing w:line="360" w:lineRule="auto"/>
        <w:rPr>
          <w:rFonts w:hint="eastAsia" w:ascii="仿宋" w:hAnsi="仿宋" w:eastAsia="仿宋" w:cs="仿宋"/>
          <w:bCs/>
          <w:sz w:val="24"/>
        </w:rPr>
      </w:pPr>
      <w:r>
        <w:rPr>
          <w:rFonts w:hint="eastAsia" w:ascii="仿宋" w:hAnsi="仿宋" w:eastAsia="仿宋" w:cs="仿宋"/>
          <w:bCs/>
          <w:sz w:val="24"/>
        </w:rPr>
        <w:t xml:space="preserve">投标人名称（</w:t>
      </w:r>
      <w:r>
        <w:rPr>
          <w:rFonts w:hint="eastAsia" w:ascii="仿宋" w:hAnsi="仿宋" w:eastAsia="仿宋" w:cs="仿宋"/>
          <w:sz w:val="24"/>
        </w:rPr>
        <w:t xml:space="preserve">加盖CA电子公章</w:t>
      </w:r>
      <w:r>
        <w:rPr>
          <w:rFonts w:hint="eastAsia" w:ascii="仿宋" w:hAnsi="仿宋" w:eastAsia="仿宋" w:cs="仿宋"/>
          <w:bCs/>
          <w:sz w:val="24"/>
        </w:rPr>
        <w:t xml:space="preserve">）：</w:t>
      </w:r>
      <w:r/>
    </w:p>
    <w:p>
      <w:pPr>
        <w:jc w:val="right"/>
        <w:spacing w:line="360" w:lineRule="auto"/>
        <w:rPr>
          <w:rFonts w:hint="eastAsia" w:ascii="仿宋" w:hAnsi="仿宋" w:eastAsia="仿宋" w:cs="仿宋"/>
          <w:bCs/>
          <w:sz w:val="24"/>
        </w:rPr>
      </w:pPr>
      <w:r>
        <w:rPr>
          <w:rFonts w:hint="eastAsia" w:ascii="仿宋" w:hAnsi="仿宋" w:eastAsia="仿宋" w:cs="仿宋"/>
          <w:bCs/>
          <w:sz w:val="24"/>
        </w:rPr>
        <w:t xml:space="preserve">法定代表人或法定代表人授权代表（签字或盖章）：</w:t>
      </w:r>
      <w:r/>
    </w:p>
    <w:p>
      <w:pPr>
        <w:jc w:val="right"/>
        <w:spacing w:line="360" w:lineRule="auto"/>
        <w:rPr>
          <w:rFonts w:hint="eastAsia" w:ascii="仿宋" w:hAnsi="仿宋" w:eastAsia="仿宋" w:cs="仿宋"/>
          <w:bCs/>
          <w:sz w:val="24"/>
        </w:rPr>
      </w:pPr>
      <w:r>
        <w:rPr>
          <w:rFonts w:hint="eastAsia" w:ascii="仿宋" w:hAnsi="仿宋" w:eastAsia="仿宋" w:cs="仿宋"/>
          <w:bCs/>
          <w:sz w:val="24"/>
        </w:rPr>
        <w:t xml:space="preserve">                          日期：</w:t>
      </w:r>
      <w:r/>
    </w:p>
    <w:p>
      <w:pPr>
        <w:ind w:firstLine="480"/>
        <w:jc w:val="center"/>
        <w:rPr>
          <w:rFonts w:hint="eastAsia" w:ascii="仿宋" w:hAnsi="仿宋" w:eastAsia="仿宋" w:cs="仿宋"/>
          <w:bCs/>
          <w:sz w:val="24"/>
        </w:rPr>
        <w:outlineLvl w:val="0"/>
      </w:pPr>
      <w:r>
        <w:rPr>
          <w:rFonts w:hint="eastAsia" w:ascii="仿宋" w:hAnsi="仿宋" w:eastAsia="仿宋" w:cs="仿宋"/>
          <w:bCs/>
          <w:sz w:val="24"/>
        </w:rPr>
      </w:r>
      <w:r/>
    </w:p>
    <w:p>
      <w:pPr>
        <w:ind w:firstLine="480"/>
        <w:jc w:val="center"/>
        <w:rPr>
          <w:rFonts w:hint="eastAsia" w:ascii="仿宋" w:hAnsi="仿宋" w:eastAsia="仿宋" w:cs="仿宋"/>
          <w:bCs/>
          <w:sz w:val="24"/>
        </w:rPr>
        <w:outlineLvl w:val="0"/>
      </w:pPr>
      <w:r>
        <w:rPr>
          <w:rFonts w:hint="eastAsia" w:ascii="仿宋" w:hAnsi="仿宋" w:eastAsia="仿宋" w:cs="仿宋"/>
          <w:bCs/>
          <w:sz w:val="24"/>
        </w:rPr>
      </w:r>
      <w:r/>
    </w:p>
    <w:p>
      <w:pPr>
        <w:ind w:firstLine="480"/>
        <w:jc w:val="center"/>
        <w:rPr>
          <w:rFonts w:hint="eastAsia" w:ascii="仿宋" w:hAnsi="仿宋" w:eastAsia="仿宋" w:cs="仿宋"/>
          <w:bCs/>
          <w:sz w:val="24"/>
        </w:rPr>
        <w:outlineLvl w:val="0"/>
      </w:pPr>
      <w:r>
        <w:rPr>
          <w:rFonts w:hint="eastAsia" w:ascii="仿宋" w:hAnsi="仿宋" w:eastAsia="仿宋" w:cs="仿宋"/>
          <w:bCs/>
          <w:sz w:val="24"/>
        </w:rPr>
      </w:r>
      <w:r/>
    </w:p>
    <w:p>
      <w:pPr>
        <w:ind w:firstLine="480"/>
        <w:jc w:val="center"/>
        <w:rPr>
          <w:rFonts w:hint="eastAsia" w:ascii="仿宋" w:hAnsi="仿宋" w:eastAsia="仿宋" w:cs="仿宋"/>
          <w:bCs/>
          <w:sz w:val="24"/>
        </w:rPr>
        <w:outlineLvl w:val="0"/>
      </w:pPr>
      <w:r>
        <w:rPr>
          <w:rFonts w:hint="eastAsia" w:ascii="仿宋" w:hAnsi="仿宋" w:eastAsia="仿宋" w:cs="仿宋"/>
          <w:bCs/>
          <w:sz w:val="24"/>
        </w:rPr>
      </w:r>
      <w:r/>
    </w:p>
    <w:p>
      <w:pPr>
        <w:ind w:firstLine="480"/>
        <w:jc w:val="center"/>
        <w:rPr>
          <w:rFonts w:hint="eastAsia" w:ascii="仿宋" w:hAnsi="仿宋" w:eastAsia="仿宋" w:cs="仿宋"/>
          <w:bCs/>
          <w:sz w:val="24"/>
        </w:rPr>
        <w:outlineLvl w:val="0"/>
      </w:pPr>
      <w:r>
        <w:rPr>
          <w:rFonts w:hint="eastAsia" w:ascii="仿宋" w:hAnsi="仿宋" w:eastAsia="仿宋" w:cs="仿宋"/>
          <w:bCs/>
          <w:sz w:val="24"/>
        </w:rPr>
      </w:r>
      <w:r/>
    </w:p>
    <w:p>
      <w:pPr>
        <w:ind w:firstLine="480"/>
        <w:jc w:val="center"/>
        <w:rPr>
          <w:rFonts w:hint="eastAsia" w:ascii="仿宋" w:hAnsi="仿宋" w:eastAsia="仿宋" w:cs="仿宋"/>
          <w:bCs/>
          <w:sz w:val="24"/>
        </w:rPr>
        <w:outlineLvl w:val="0"/>
      </w:pPr>
      <w:r>
        <w:rPr>
          <w:rFonts w:hint="eastAsia" w:ascii="仿宋" w:hAnsi="仿宋" w:eastAsia="仿宋" w:cs="仿宋"/>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rPr>
          <w:rFonts w:ascii="黑体" w:hAnsi="宋体" w:eastAsia="黑体"/>
          <w:bCs/>
          <w:sz w:val="24"/>
        </w:rPr>
      </w:pPr>
      <w:r>
        <w:rPr>
          <w:rFonts w:hint="eastAsia" w:ascii="黑体" w:hAnsi="宋体" w:eastAsia="黑体"/>
          <w:bCs/>
          <w:sz w:val="24"/>
        </w:rPr>
        <w:br w:type="page" w:clear="all"/>
      </w:r>
      <w:r/>
    </w:p>
    <w:p>
      <w:pPr>
        <w:pStyle w:val="931"/>
        <w:jc w:val="center"/>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法定代表人授权委托书</w:t>
      </w:r>
      <w:r/>
    </w:p>
    <w:p>
      <w:pPr>
        <w:jc w:val="left"/>
        <w:spacing w:line="360" w:lineRule="auto"/>
        <w:rPr>
          <w:rFonts w:hint="eastAsia" w:ascii="仿宋" w:hAnsi="仿宋" w:eastAsia="仿宋" w:cs="仿宋"/>
          <w:bCs/>
          <w:sz w:val="36"/>
        </w:rPr>
      </w:pPr>
      <w:r>
        <w:rPr>
          <w:rFonts w:hint="eastAsia" w:ascii="仿宋" w:hAnsi="仿宋" w:eastAsia="仿宋" w:cs="仿宋"/>
          <w:bCs/>
          <w:sz w:val="36"/>
        </w:rPr>
      </w:r>
      <w:r/>
    </w:p>
    <w:p>
      <w:pPr>
        <w:pStyle w:val="936"/>
        <w:ind w:left="0"/>
        <w:spacing w:after="0" w:line="360" w:lineRule="auto"/>
        <w:rPr>
          <w:rFonts w:hint="eastAsia" w:ascii="仿宋" w:hAnsi="仿宋" w:eastAsia="仿宋" w:cs="仿宋"/>
          <w:bCs/>
          <w:iCs/>
          <w:color w:val="000000"/>
          <w:sz w:val="24"/>
          <w:szCs w:val="24"/>
        </w:rPr>
      </w:pPr>
      <w:r>
        <w:rPr>
          <w:rFonts w:hint="eastAsia" w:ascii="仿宋" w:hAnsi="仿宋" w:eastAsia="仿宋" w:cs="仿宋"/>
          <w:bCs/>
          <w:iCs/>
          <w:color w:val="000000"/>
          <w:sz w:val="24"/>
          <w:szCs w:val="24"/>
          <w:u w:val="single"/>
        </w:rPr>
        <w:t xml:space="preserve">       （采购人）</w:t>
      </w:r>
      <w:r>
        <w:rPr>
          <w:rFonts w:hint="eastAsia" w:ascii="仿宋" w:hAnsi="仿宋" w:eastAsia="仿宋" w:cs="仿宋"/>
          <w:bCs/>
          <w:iCs/>
          <w:color w:val="000000"/>
          <w:sz w:val="24"/>
          <w:szCs w:val="24"/>
        </w:rPr>
        <w:t xml:space="preserve">：</w:t>
      </w:r>
      <w:r/>
    </w:p>
    <w:p>
      <w:pPr>
        <w:ind w:firstLine="720"/>
        <w:jc w:val="left"/>
        <w:spacing w:line="360" w:lineRule="auto"/>
        <w:rPr>
          <w:rFonts w:hint="eastAsia" w:ascii="仿宋" w:hAnsi="仿宋" w:eastAsia="仿宋" w:cs="仿宋"/>
          <w:bCs/>
          <w:sz w:val="24"/>
          <w:szCs w:val="24"/>
        </w:rPr>
      </w:pP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系中华人民共和国合法公司（单位），特授权</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 代表我公司（单位）全权办理针对本项目（</w:t>
      </w:r>
      <w:r>
        <w:rPr>
          <w:rFonts w:hint="eastAsia" w:ascii="仿宋" w:hAnsi="仿宋" w:eastAsia="仿宋" w:cs="仿宋"/>
          <w:bCs/>
          <w:sz w:val="24"/>
          <w:szCs w:val="24"/>
          <w:u w:val="single"/>
        </w:rPr>
        <w:t xml:space="preserve"> 项目名称：                    项目编号：           </w:t>
      </w:r>
      <w:r>
        <w:rPr>
          <w:rFonts w:hint="eastAsia" w:ascii="仿宋" w:hAnsi="仿宋" w:eastAsia="仿宋" w:cs="仿宋"/>
          <w:bCs/>
          <w:sz w:val="24"/>
          <w:szCs w:val="24"/>
        </w:rPr>
        <w:t xml:space="preserve">）的投标、参与开标、评标、签约等具体工作，并签署全部有关的文件、协议及合同。</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我公司（单位）对被授权代表的签名负全部责任。</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在撤销授权的书面通知送达你处以前，本授权书一直有效，被授权代表签署的所有文件（在授权书有效期内签署的）不因授权的撤销而失效。</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被授权代表情况：</w:t>
      </w:r>
      <w:r/>
    </w:p>
    <w:p>
      <w:pPr>
        <w:ind w:firstLine="525"/>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姓名：         性别：              电话：</w:t>
      </w:r>
      <w:r/>
    </w:p>
    <w:p>
      <w:pPr>
        <w:ind w:firstLine="324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pStyle w:val="738"/>
        <w:ind w:firstLine="0"/>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324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  </w:t>
      </w:r>
      <w:r/>
    </w:p>
    <w:p>
      <w:pPr>
        <w:ind w:firstLine="324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 </w:t>
      </w:r>
      <w:r/>
    </w:p>
    <w:p>
      <w:pPr>
        <w:ind w:firstLine="324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          投标人名称（</w:t>
      </w:r>
      <w:r>
        <w:rPr>
          <w:rFonts w:hint="eastAsia" w:ascii="仿宋" w:hAnsi="仿宋" w:eastAsia="仿宋" w:cs="仿宋"/>
          <w:sz w:val="24"/>
          <w:szCs w:val="24"/>
        </w:rPr>
        <w:t xml:space="preserve">加盖CA电子公章</w:t>
      </w:r>
      <w:r>
        <w:rPr>
          <w:rFonts w:hint="eastAsia" w:ascii="仿宋" w:hAnsi="仿宋" w:eastAsia="仿宋" w:cs="仿宋"/>
          <w:bCs/>
          <w:sz w:val="24"/>
          <w:szCs w:val="24"/>
        </w:rPr>
        <w:t xml:space="preserve">）：</w:t>
      </w:r>
      <w:r/>
    </w:p>
    <w:p>
      <w:pPr>
        <w:ind w:firstLine="408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法定代表人（签字或盖章）：</w:t>
      </w:r>
      <w:r/>
    </w:p>
    <w:p>
      <w:pPr>
        <w:ind w:firstLine="480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日期：</w:t>
      </w:r>
      <w:r/>
    </w:p>
    <w:p>
      <w:pPr>
        <w:spacing w:line="580" w:lineRule="exact"/>
        <w:rPr>
          <w:rFonts w:hint="eastAsia" w:ascii="仿宋" w:hAnsi="仿宋" w:eastAsia="仿宋" w:cs="仿宋"/>
          <w:bCs/>
          <w:sz w:val="24"/>
        </w:rPr>
      </w:pPr>
      <w:r>
        <w:rPr>
          <w:rFonts w:hint="eastAsia" w:ascii="仿宋" w:hAnsi="仿宋" w:eastAsia="仿宋" w:cs="仿宋"/>
          <w:bCs/>
          <w:sz w:val="24"/>
        </w:rPr>
      </w:r>
      <w:r/>
    </w:p>
    <w:p>
      <w:pPr>
        <w:spacing w:line="580" w:lineRule="exact"/>
        <w:rPr>
          <w:rFonts w:hint="eastAsia" w:ascii="仿宋" w:hAnsi="仿宋" w:eastAsia="仿宋" w:cs="仿宋"/>
          <w:bCs/>
          <w:sz w:val="24"/>
        </w:rPr>
      </w:pPr>
      <w:r>
        <w:rPr>
          <w:rFonts w:hint="eastAsia" w:ascii="仿宋" w:hAnsi="仿宋" w:eastAsia="仿宋" w:cs="仿宋"/>
          <w:bCs/>
          <w:sz w:val="24"/>
        </w:rPr>
      </w:r>
      <w:r/>
    </w:p>
    <w:p>
      <w:pPr>
        <w:rPr>
          <w:rFonts w:hint="eastAsia" w:ascii="仿宋" w:hAnsi="仿宋" w:eastAsia="仿宋" w:cs="仿宋"/>
          <w:bCs/>
          <w:sz w:val="24"/>
        </w:rPr>
        <w:outlineLvl w:val="0"/>
      </w:pPr>
      <w:r>
        <w:rPr>
          <w:rFonts w:hint="eastAsia" w:ascii="仿宋" w:hAnsi="仿宋" w:eastAsia="仿宋" w:cs="仿宋"/>
          <w:bCs/>
          <w:sz w:val="24"/>
        </w:rPr>
      </w:r>
      <w:r/>
    </w:p>
    <w:p>
      <w:pPr>
        <w:rPr>
          <w:rFonts w:hint="eastAsia" w:ascii="仿宋" w:hAnsi="仿宋" w:eastAsia="仿宋" w:cs="仿宋"/>
          <w:bCs/>
          <w:sz w:val="24"/>
        </w:rPr>
        <w:outlineLvl w:val="0"/>
      </w:pPr>
      <w:r>
        <w:rPr>
          <w:rFonts w:hint="eastAsia" w:ascii="仿宋" w:hAnsi="仿宋" w:eastAsia="仿宋" w:cs="仿宋"/>
          <w:bCs/>
          <w:sz w:val="24"/>
        </w:rPr>
      </w:r>
      <w:r/>
    </w:p>
    <w:p>
      <w:pPr>
        <w:rPr>
          <w:rFonts w:hint="eastAsia" w:ascii="仿宋" w:hAnsi="仿宋" w:eastAsia="仿宋" w:cs="仿宋"/>
          <w:bCs/>
          <w:sz w:val="24"/>
        </w:rPr>
        <w:outlineLvl w:val="0"/>
      </w:pPr>
      <w:r>
        <w:rPr>
          <w:rFonts w:hint="eastAsia" w:ascii="仿宋" w:hAnsi="仿宋" w:eastAsia="仿宋" w:cs="仿宋"/>
          <w:bCs/>
          <w:sz w:val="24"/>
        </w:rPr>
      </w:r>
      <w:r/>
    </w:p>
    <w:p>
      <w:pPr>
        <w:rPr>
          <w:rFonts w:hint="eastAsia" w:ascii="仿宋" w:hAnsi="仿宋" w:eastAsia="仿宋" w:cs="仿宋"/>
          <w:bCs/>
          <w:sz w:val="24"/>
        </w:rPr>
        <w:outlineLvl w:val="0"/>
      </w:pPr>
      <w:r>
        <w:rPr>
          <w:rFonts w:hint="eastAsia" w:ascii="仿宋" w:hAnsi="仿宋" w:eastAsia="仿宋" w:cs="仿宋"/>
          <w:bCs/>
          <w:sz w:val="24"/>
        </w:rPr>
      </w:r>
      <w:r/>
    </w:p>
    <w:p>
      <w:pPr>
        <w:rPr>
          <w:rFonts w:hint="eastAsia" w:ascii="仿宋" w:hAnsi="仿宋" w:eastAsia="仿宋" w:cs="仿宋"/>
          <w:sz w:val="24"/>
          <w:szCs w:val="24"/>
        </w:rPr>
        <w:outlineLvl w:val="0"/>
      </w:pPr>
      <w:r>
        <w:rPr>
          <w:rFonts w:hint="eastAsia" w:ascii="仿宋" w:hAnsi="仿宋" w:eastAsia="仿宋" w:cs="仿宋"/>
          <w:sz w:val="24"/>
          <w:szCs w:val="24"/>
        </w:rPr>
      </w:r>
      <w:r/>
    </w:p>
    <w:p>
      <w:pPr>
        <w:rPr>
          <w:rFonts w:hint="eastAsia" w:ascii="仿宋" w:hAnsi="仿宋" w:eastAsia="仿宋" w:cs="仿宋"/>
          <w:sz w:val="24"/>
          <w:szCs w:val="24"/>
        </w:rPr>
        <w:outlineLvl w:val="0"/>
      </w:pPr>
      <w:r>
        <w:rPr>
          <w:rFonts w:hint="eastAsia" w:ascii="仿宋" w:hAnsi="仿宋" w:eastAsia="仿宋" w:cs="仿宋"/>
          <w:sz w:val="24"/>
          <w:szCs w:val="24"/>
        </w:rPr>
      </w:r>
      <w:r/>
    </w:p>
    <w:p>
      <w:pPr>
        <w:rPr>
          <w:rFonts w:hint="eastAsia" w:ascii="仿宋" w:hAnsi="仿宋" w:eastAsia="仿宋" w:cs="仿宋"/>
          <w:sz w:val="24"/>
          <w:szCs w:val="24"/>
        </w:rPr>
        <w:outlineLvl w:val="0"/>
      </w:pPr>
      <w:r>
        <w:rPr>
          <w:rFonts w:hint="eastAsia" w:ascii="仿宋" w:hAnsi="仿宋" w:eastAsia="仿宋" w:cs="仿宋"/>
          <w:sz w:val="24"/>
          <w:szCs w:val="24"/>
        </w:rPr>
      </w:r>
      <w:r/>
    </w:p>
    <w:p>
      <w:pPr>
        <w:rPr>
          <w:rFonts w:hint="eastAsia" w:ascii="仿宋" w:hAnsi="仿宋" w:eastAsia="仿宋" w:cs="仿宋"/>
          <w:bCs/>
          <w:sz w:val="24"/>
        </w:rPr>
        <w:outlineLvl w:val="0"/>
      </w:pPr>
      <w:r>
        <w:rPr>
          <w:rFonts w:hint="eastAsia" w:ascii="仿宋" w:hAnsi="仿宋" w:eastAsia="仿宋" w:cs="仿宋"/>
          <w:bCs/>
          <w:sz w:val="24"/>
        </w:rPr>
      </w:r>
      <w:r/>
    </w:p>
    <w:p>
      <w:pPr>
        <w:rPr>
          <w:rFonts w:ascii="黑体" w:hAnsi="宋体" w:eastAsia="黑体"/>
          <w:bCs/>
          <w:sz w:val="24"/>
        </w:rPr>
      </w:pPr>
      <w:r>
        <w:rPr>
          <w:rFonts w:hint="eastAsia" w:ascii="黑体" w:hAnsi="宋体" w:eastAsia="黑体"/>
          <w:bCs/>
          <w:sz w:val="24"/>
        </w:rPr>
        <w:br w:type="page" w:clear="all"/>
      </w:r>
      <w:r/>
    </w:p>
    <w:p>
      <w:pPr>
        <w:pStyle w:val="931"/>
        <w:jc w:val="center"/>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中小企业声明函</w:t>
      </w:r>
      <w:r/>
    </w:p>
    <w:p>
      <w:pPr>
        <w:jc w:val="center"/>
        <w:rPr>
          <w:rFonts w:hint="eastAsia" w:ascii="仿宋" w:hAnsi="仿宋" w:eastAsia="仿宋" w:cs="仿宋"/>
        </w:rPr>
      </w:pPr>
      <w:r>
        <w:rPr>
          <w:rFonts w:hint="eastAsia" w:ascii="仿宋" w:hAnsi="仿宋" w:eastAsia="仿宋" w:cs="仿宋"/>
        </w:rPr>
      </w:r>
      <w:r/>
    </w:p>
    <w:p>
      <w:pPr>
        <w:pStyle w:val="742"/>
        <w:ind w:right="415" w:firstLine="640"/>
        <w:jc w:val="both"/>
        <w:rPr>
          <w:rFonts w:hint="eastAsia" w:ascii="仿宋" w:hAnsi="仿宋" w:eastAsia="仿宋" w:cs="仿宋"/>
        </w:rPr>
      </w:pPr>
      <w:r>
        <w:rPr>
          <w:rFonts w:hint="eastAsia" w:ascii="仿宋" w:hAnsi="仿宋" w:eastAsia="仿宋" w:cs="仿宋"/>
          <w:spacing w:val="-2"/>
        </w:rPr>
        <w:t xml:space="preserve">本公司</w:t>
      </w:r>
      <w:r>
        <w:rPr>
          <w:rFonts w:hint="eastAsia" w:ascii="仿宋" w:hAnsi="仿宋" w:eastAsia="仿宋" w:cs="仿宋"/>
        </w:rPr>
        <w:t xml:space="preserve">（联合体</w:t>
      </w:r>
      <w:r>
        <w:rPr>
          <w:rFonts w:hint="eastAsia" w:ascii="仿宋" w:hAnsi="仿宋" w:eastAsia="仿宋" w:cs="仿宋"/>
          <w:spacing w:val="-5"/>
        </w:rPr>
        <w:t xml:space="preserve">）</w:t>
      </w:r>
      <w:r>
        <w:rPr>
          <w:rFonts w:hint="eastAsia" w:ascii="仿宋" w:hAnsi="仿宋" w:eastAsia="仿宋" w:cs="仿宋"/>
          <w:spacing w:val="-2"/>
        </w:rPr>
        <w:t xml:space="preserve">郑重声明，根据《政府采购促进中小</w:t>
      </w:r>
      <w:r>
        <w:rPr>
          <w:rFonts w:hint="eastAsia" w:ascii="仿宋" w:hAnsi="仿宋" w:eastAsia="仿宋" w:cs="仿宋"/>
          <w:spacing w:val="-18"/>
        </w:rPr>
        <w:t xml:space="preserve">企业发展管理办法》</w:t>
      </w:r>
      <w:r>
        <w:rPr>
          <w:rFonts w:hint="eastAsia" w:ascii="仿宋" w:hAnsi="仿宋" w:eastAsia="仿宋" w:cs="仿宋"/>
        </w:rPr>
        <w:t xml:space="preserve">（</w:t>
      </w:r>
      <w:r>
        <w:rPr>
          <w:rFonts w:hint="eastAsia" w:ascii="仿宋" w:hAnsi="仿宋" w:eastAsia="仿宋" w:cs="仿宋"/>
          <w:spacing w:val="5"/>
        </w:rPr>
        <w:t xml:space="preserve">财库</w:t>
      </w:r>
      <w:r>
        <w:rPr>
          <w:rFonts w:hint="eastAsia" w:ascii="仿宋" w:hAnsi="仿宋" w:eastAsia="仿宋" w:cs="仿宋"/>
        </w:rPr>
        <w:t xml:space="preserve">﹝2020﹞46</w:t>
      </w:r>
      <w:r>
        <w:rPr>
          <w:rFonts w:hint="eastAsia" w:ascii="仿宋" w:hAnsi="仿宋" w:eastAsia="仿宋" w:cs="仿宋"/>
          <w:spacing w:val="-38"/>
        </w:rPr>
        <w:t xml:space="preserve"> 号</w:t>
      </w:r>
      <w:r>
        <w:rPr>
          <w:rFonts w:hint="eastAsia" w:ascii="仿宋" w:hAnsi="仿宋" w:eastAsia="仿宋" w:cs="仿宋"/>
          <w:spacing w:val="5"/>
        </w:rPr>
        <w:t xml:space="preserve">）</w:t>
      </w:r>
      <w:r>
        <w:rPr>
          <w:rFonts w:hint="eastAsia" w:ascii="仿宋" w:hAnsi="仿宋" w:eastAsia="仿宋" w:cs="仿宋"/>
        </w:rPr>
        <w:t xml:space="preserve">的规定，本公司（联合体）</w:t>
      </w:r>
      <w:r>
        <w:rPr>
          <w:rFonts w:hint="eastAsia" w:ascii="仿宋" w:hAnsi="仿宋" w:eastAsia="仿宋" w:cs="仿宋"/>
          <w:spacing w:val="-8"/>
        </w:rPr>
        <w:t xml:space="preserve">参加</w:t>
      </w:r>
      <w:r>
        <w:rPr>
          <w:rFonts w:hint="eastAsia" w:ascii="仿宋" w:hAnsi="仿宋" w:eastAsia="仿宋" w:cs="仿宋"/>
          <w:spacing w:val="-8"/>
          <w:u w:val="single"/>
        </w:rPr>
        <w:t xml:space="preserve">         </w:t>
      </w:r>
      <w:r>
        <w:rPr>
          <w:rFonts w:hint="eastAsia" w:ascii="仿宋" w:hAnsi="仿宋" w:eastAsia="仿宋" w:cs="仿宋"/>
          <w:spacing w:val="-8"/>
        </w:rPr>
        <w:t xml:space="preserve">（采购单位名称）的</w:t>
      </w:r>
      <w:r>
        <w:rPr>
          <w:rFonts w:hint="eastAsia" w:ascii="仿宋" w:hAnsi="仿宋" w:eastAsia="仿宋" w:cs="仿宋"/>
          <w:spacing w:val="-8"/>
          <w:u w:val="single"/>
        </w:rPr>
        <w:t xml:space="preserve">                   </w:t>
      </w:r>
      <w:r>
        <w:rPr>
          <w:rFonts w:hint="eastAsia" w:ascii="仿宋" w:hAnsi="仿宋" w:eastAsia="仿宋" w:cs="仿宋"/>
          <w:spacing w:val="-8"/>
        </w:rPr>
        <w:t xml:space="preserve">（项目名称）采购活动</w:t>
      </w:r>
      <w:r>
        <w:rPr>
          <w:rFonts w:hint="eastAsia" w:ascii="仿宋" w:hAnsi="仿宋" w:eastAsia="仿宋" w:cs="仿宋"/>
          <w:spacing w:val="-1"/>
        </w:rPr>
        <w:t xml:space="preserve">，</w:t>
      </w:r>
      <w:r>
        <w:rPr>
          <w:rFonts w:hint="eastAsia" w:ascii="仿宋" w:hAnsi="仿宋" w:eastAsia="仿宋" w:cs="仿宋"/>
          <w:spacing w:val="-3"/>
        </w:rPr>
        <w:t xml:space="preserve">服务</w:t>
      </w:r>
      <w:r>
        <w:rPr>
          <w:rFonts w:hint="eastAsia" w:ascii="仿宋" w:hAnsi="仿宋" w:eastAsia="仿宋" w:cs="仿宋"/>
          <w:spacing w:val="5"/>
        </w:rPr>
        <w:t xml:space="preserve">全部由符合政策要求的中小企业承接。</w:t>
      </w:r>
      <w:r>
        <w:rPr>
          <w:rFonts w:hint="eastAsia" w:ascii="仿宋" w:hAnsi="仿宋" w:eastAsia="仿宋" w:cs="仿宋"/>
          <w:spacing w:val="6"/>
        </w:rPr>
        <w:t xml:space="preserve">相关企业</w:t>
      </w:r>
      <w:r>
        <w:rPr>
          <w:rFonts w:hint="eastAsia" w:ascii="仿宋" w:hAnsi="仿宋" w:eastAsia="仿宋" w:cs="仿宋"/>
          <w:spacing w:val="7"/>
        </w:rPr>
        <w:t xml:space="preserve">（</w:t>
      </w:r>
      <w:r>
        <w:rPr>
          <w:rFonts w:hint="eastAsia" w:ascii="仿宋" w:hAnsi="仿宋" w:eastAsia="仿宋" w:cs="仿宋"/>
          <w:spacing w:val="4"/>
        </w:rPr>
        <w:t xml:space="preserve">含联合</w:t>
      </w:r>
      <w:r>
        <w:rPr>
          <w:rFonts w:hint="eastAsia" w:ascii="仿宋" w:hAnsi="仿宋" w:eastAsia="仿宋" w:cs="仿宋"/>
        </w:rPr>
        <w:t xml:space="preserve">体中的中小企业、签订分包意向协议的中小企业</w:t>
      </w:r>
      <w:r>
        <w:rPr>
          <w:rFonts w:hint="eastAsia" w:ascii="仿宋" w:hAnsi="仿宋" w:eastAsia="仿宋" w:cs="仿宋"/>
          <w:spacing w:val="-7"/>
        </w:rPr>
        <w:t xml:space="preserve">）</w:t>
      </w:r>
      <w:r>
        <w:rPr>
          <w:rFonts w:hint="eastAsia" w:ascii="仿宋" w:hAnsi="仿宋" w:eastAsia="仿宋" w:cs="仿宋"/>
        </w:rPr>
        <w:t xml:space="preserve">的具体情况如下：</w:t>
      </w:r>
      <w:r/>
    </w:p>
    <w:p>
      <w:pPr>
        <w:pStyle w:val="742"/>
        <w:ind w:right="417" w:firstLine="468"/>
        <w:jc w:val="both"/>
        <w:spacing w:before="108"/>
        <w:rPr>
          <w:rFonts w:hint="eastAsia" w:ascii="仿宋" w:hAnsi="仿宋" w:eastAsia="仿宋" w:cs="仿宋"/>
          <w:spacing w:val="-3"/>
          <w:u w:val="single"/>
        </w:rPr>
      </w:pPr>
      <w:r>
        <w:rPr>
          <w:rFonts w:hint="eastAsia" w:ascii="仿宋" w:hAnsi="仿宋" w:eastAsia="仿宋" w:cs="仿宋"/>
          <w:spacing w:val="-3"/>
          <w:u w:val="single"/>
        </w:rPr>
        <w:t xml:space="preserve">                 （项目名称）</w:t>
      </w:r>
      <w:r>
        <w:rPr>
          <w:rFonts w:hint="eastAsia" w:ascii="仿宋" w:hAnsi="仿宋" w:eastAsia="仿宋" w:cs="仿宋"/>
          <w:spacing w:val="-3"/>
        </w:rPr>
        <w:t xml:space="preserve">，属于</w:t>
      </w:r>
      <w:r>
        <w:rPr>
          <w:rFonts w:hint="eastAsia" w:ascii="仿宋" w:hAnsi="仿宋" w:eastAsia="仿宋" w:cs="仿宋"/>
          <w:spacing w:val="-3"/>
          <w:u w:val="single"/>
        </w:rPr>
        <w:t xml:space="preserve"> 其他未列明行业 </w:t>
      </w:r>
      <w:r>
        <w:rPr>
          <w:rFonts w:hint="eastAsia" w:ascii="仿宋" w:hAnsi="仿宋" w:eastAsia="仿宋" w:cs="仿宋"/>
          <w:spacing w:val="-3"/>
        </w:rPr>
        <w:t xml:space="preserve">（采购文件中明确的所属行业）；承建（承接）企业为</w:t>
      </w:r>
      <w:r>
        <w:rPr>
          <w:rFonts w:hint="eastAsia" w:ascii="仿宋" w:hAnsi="仿宋" w:eastAsia="仿宋" w:cs="仿宋"/>
          <w:spacing w:val="-3"/>
          <w:u w:val="single"/>
        </w:rPr>
        <w:t xml:space="preserve">             </w:t>
      </w:r>
      <w:r>
        <w:rPr>
          <w:rFonts w:hint="eastAsia" w:ascii="仿宋" w:hAnsi="仿宋" w:eastAsia="仿宋" w:cs="仿宋"/>
          <w:spacing w:val="-3"/>
        </w:rPr>
        <w:t xml:space="preserve">（企业名称），从业人员</w:t>
      </w:r>
      <w:r>
        <w:rPr>
          <w:rFonts w:hint="eastAsia" w:ascii="仿宋" w:hAnsi="仿宋" w:eastAsia="仿宋" w:cs="仿宋"/>
          <w:spacing w:val="-3"/>
          <w:u w:val="single"/>
        </w:rPr>
        <w:t xml:space="preserve">        </w:t>
      </w:r>
      <w:r>
        <w:rPr>
          <w:rFonts w:hint="eastAsia" w:ascii="仿宋" w:hAnsi="仿宋" w:eastAsia="仿宋" w:cs="仿宋"/>
          <w:spacing w:val="-3"/>
        </w:rPr>
        <w:t xml:space="preserve">人，营业收入为</w:t>
      </w:r>
      <w:r>
        <w:rPr>
          <w:rFonts w:hint="eastAsia" w:ascii="仿宋" w:hAnsi="仿宋" w:eastAsia="仿宋" w:cs="仿宋"/>
          <w:spacing w:val="-3"/>
          <w:u w:val="single"/>
        </w:rPr>
        <w:t xml:space="preserve">           </w:t>
      </w:r>
      <w:r>
        <w:rPr>
          <w:rFonts w:hint="eastAsia" w:ascii="仿宋" w:hAnsi="仿宋" w:eastAsia="仿宋" w:cs="仿宋"/>
          <w:spacing w:val="-3"/>
        </w:rPr>
        <w:t xml:space="preserve">万元，资产总额为</w:t>
      </w:r>
      <w:r>
        <w:rPr>
          <w:rFonts w:hint="eastAsia" w:ascii="仿宋" w:hAnsi="仿宋" w:eastAsia="仿宋" w:cs="仿宋"/>
          <w:spacing w:val="-3"/>
          <w:u w:val="single"/>
        </w:rPr>
        <w:t xml:space="preserve">           </w:t>
      </w:r>
      <w:r>
        <w:rPr>
          <w:rFonts w:hint="eastAsia" w:ascii="仿宋" w:hAnsi="仿宋" w:eastAsia="仿宋" w:cs="仿宋"/>
          <w:spacing w:val="-3"/>
        </w:rPr>
        <w:t xml:space="preserve">万元，属于</w:t>
      </w:r>
      <w:r>
        <w:rPr>
          <w:rFonts w:hint="eastAsia" w:ascii="仿宋" w:hAnsi="仿宋" w:eastAsia="仿宋" w:cs="仿宋"/>
          <w:spacing w:val="-3"/>
          <w:u w:val="single"/>
        </w:rPr>
        <w:t xml:space="preserve">       </w:t>
      </w:r>
      <w:r>
        <w:rPr>
          <w:rFonts w:hint="eastAsia" w:ascii="仿宋" w:hAnsi="仿宋" w:eastAsia="仿宋" w:cs="仿宋"/>
          <w:spacing w:val="-3"/>
        </w:rPr>
        <w:t xml:space="preserve">（中型企业、小型企业、微型企业）。</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 以上企业，不属于大企业的分支机构，不存在控股股东为大企业的情形，也不存在与大企业的法定代表人为同一人的情形。 </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本企业对上述声明内容的真实性负责。如有虚假，将依法承担相应责任。</w:t>
      </w:r>
      <w:r/>
    </w:p>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ind w:firstLine="480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企业名称</w:t>
      </w:r>
      <w:r>
        <w:rPr>
          <w:rFonts w:hint="eastAsia" w:ascii="仿宋" w:hAnsi="仿宋" w:eastAsia="仿宋" w:cs="仿宋"/>
          <w:sz w:val="24"/>
          <w:szCs w:val="24"/>
        </w:rPr>
        <w:t xml:space="preserve">（加盖CA电子公章）</w:t>
      </w:r>
      <w:r>
        <w:rPr>
          <w:rFonts w:hint="eastAsia" w:ascii="仿宋" w:hAnsi="仿宋" w:eastAsia="仿宋" w:cs="仿宋"/>
          <w:bCs/>
          <w:sz w:val="24"/>
          <w:szCs w:val="24"/>
        </w:rPr>
        <w:t xml:space="preserve">：</w:t>
      </w:r>
      <w:r/>
    </w:p>
    <w:p>
      <w:pPr>
        <w:ind w:firstLine="480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日   期：</w:t>
      </w:r>
      <w:r/>
    </w:p>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备注：1.参照《关于印发中小企业划型标准规定的通知》（工信部联企业【2011】300号）文件，本项目所属行业为</w:t>
      </w:r>
      <w:r>
        <w:rPr>
          <w:rFonts w:hint="eastAsia" w:ascii="仿宋" w:hAnsi="仿宋" w:eastAsia="仿宋" w:cs="仿宋"/>
          <w:sz w:val="24"/>
          <w:szCs w:val="24"/>
          <w:u w:val="single"/>
        </w:rPr>
        <w:t xml:space="preserve">其他未列明行业</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2.请如实填写属于中型企业或小型企业或微型企业。</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3.从业人员、营业收入、资产总额填报上一年度数据，无上一年度数据的新成立企业可不填报。</w:t>
      </w:r>
      <w:r/>
    </w:p>
    <w:p>
      <w:pPr>
        <w:pStyle w:val="766"/>
        <w:ind w:firstLine="480"/>
        <w:rPr>
          <w:rFonts w:hint="eastAsia" w:ascii="仿宋" w:hAnsi="仿宋" w:eastAsia="仿宋" w:cs="仿宋"/>
          <w:sz w:val="24"/>
          <w:szCs w:val="24"/>
        </w:rPr>
      </w:pPr>
      <w:r>
        <w:rPr>
          <w:rFonts w:hint="eastAsia" w:ascii="仿宋" w:hAnsi="仿宋" w:eastAsia="仿宋" w:cs="仿宋"/>
          <w:sz w:val="24"/>
          <w:szCs w:val="24"/>
        </w:rPr>
        <w:t xml:space="preserve">4.投标人如不提供此声明函，价格将不做相应扣除。</w:t>
      </w:r>
      <w:r/>
    </w:p>
    <w:p>
      <w:pPr>
        <w:ind w:firstLine="480"/>
        <w:jc w:val="center"/>
        <w:spacing w:line="580" w:lineRule="exact"/>
        <w:rPr>
          <w:rFonts w:hint="eastAsia" w:ascii="仿宋" w:hAnsi="仿宋" w:eastAsia="仿宋" w:cs="仿宋"/>
          <w:bCs/>
          <w:sz w:val="24"/>
        </w:rPr>
        <w:outlineLvl w:val="0"/>
      </w:pPr>
      <w:r>
        <w:rPr>
          <w:rFonts w:hint="eastAsia" w:ascii="仿宋" w:hAnsi="仿宋" w:eastAsia="仿宋" w:cs="仿宋"/>
          <w:bCs/>
          <w:sz w:val="24"/>
        </w:rPr>
      </w:r>
      <w:r/>
    </w:p>
    <w:p>
      <w:pPr>
        <w:spacing w:line="580" w:lineRule="exact"/>
        <w:rPr>
          <w:rFonts w:hint="eastAsia" w:ascii="仿宋" w:hAnsi="仿宋" w:eastAsia="仿宋" w:cs="仿宋"/>
          <w:bCs/>
          <w:sz w:val="24"/>
        </w:rPr>
        <w:outlineLvl w:val="0"/>
      </w:pPr>
      <w:r>
        <w:rPr>
          <w:rFonts w:hint="eastAsia" w:ascii="仿宋" w:hAnsi="仿宋" w:eastAsia="仿宋" w:cs="仿宋"/>
          <w:bCs/>
          <w:sz w:val="24"/>
        </w:rPr>
      </w:r>
      <w:r/>
    </w:p>
    <w:p>
      <w:pPr>
        <w:spacing w:line="580" w:lineRule="exact"/>
        <w:rPr>
          <w:rFonts w:hint="eastAsia" w:ascii="仿宋" w:hAnsi="仿宋" w:eastAsia="仿宋" w:cs="仿宋"/>
          <w:sz w:val="24"/>
          <w:szCs w:val="24"/>
        </w:rPr>
        <w:outlineLvl w:val="0"/>
      </w:pPr>
      <w:r>
        <w:rPr>
          <w:rFonts w:hint="eastAsia" w:ascii="仿宋" w:hAnsi="仿宋" w:eastAsia="仿宋" w:cs="仿宋"/>
          <w:sz w:val="24"/>
          <w:szCs w:val="24"/>
        </w:rPr>
      </w:r>
      <w:r/>
    </w:p>
    <w:p>
      <w:pPr>
        <w:spacing w:line="580" w:lineRule="exact"/>
        <w:rPr>
          <w:rFonts w:hint="eastAsia" w:ascii="仿宋" w:hAnsi="仿宋" w:eastAsia="仿宋" w:cs="仿宋"/>
          <w:sz w:val="24"/>
          <w:szCs w:val="24"/>
        </w:rPr>
        <w:outlineLvl w:val="0"/>
      </w:pPr>
      <w:r>
        <w:rPr>
          <w:rFonts w:hint="eastAsia" w:ascii="仿宋" w:hAnsi="仿宋" w:eastAsia="仿宋" w:cs="仿宋"/>
          <w:sz w:val="24"/>
          <w:szCs w:val="24"/>
        </w:rPr>
      </w:r>
      <w:r/>
    </w:p>
    <w:p>
      <w:pPr>
        <w:rPr>
          <w:rFonts w:ascii="宋体" w:hAnsi="宋体"/>
          <w:b/>
          <w:color w:val="000000"/>
          <w:sz w:val="32"/>
          <w:szCs w:val="24"/>
        </w:rPr>
      </w:pPr>
      <w:r>
        <w:rPr>
          <w:rFonts w:hint="eastAsia" w:ascii="宋体" w:hAnsi="宋体"/>
          <w:b/>
          <w:color w:val="000000"/>
          <w:sz w:val="32"/>
          <w:szCs w:val="24"/>
        </w:rPr>
        <w:br w:type="page" w:clear="all"/>
      </w:r>
      <w:r/>
    </w:p>
    <w:p>
      <w:pPr>
        <w:pStyle w:val="931"/>
        <w:jc w:val="center"/>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残疾人福利性单位声明函</w:t>
      </w:r>
      <w:r/>
    </w:p>
    <w:p>
      <w:pPr>
        <w:ind w:firstLine="560"/>
        <w:jc w:val="left"/>
        <w:spacing w:line="588" w:lineRule="exact"/>
        <w:rPr>
          <w:rFonts w:hint="eastAsia" w:ascii="仿宋" w:hAnsi="仿宋" w:eastAsia="仿宋" w:cs="仿宋"/>
          <w:bCs/>
          <w:sz w:val="28"/>
          <w:szCs w:val="28"/>
        </w:rPr>
      </w:pPr>
      <w:r>
        <w:rPr>
          <w:rFonts w:hint="eastAsia" w:ascii="仿宋" w:hAnsi="仿宋" w:eastAsia="仿宋" w:cs="仿宋"/>
          <w:bCs/>
          <w:sz w:val="28"/>
          <w:szCs w:val="28"/>
        </w:rPr>
      </w:r>
      <w:r/>
    </w:p>
    <w:p>
      <w:pPr>
        <w:ind w:firstLine="480"/>
        <w:jc w:val="left"/>
        <w:spacing w:line="588" w:lineRule="exact"/>
        <w:rPr>
          <w:rFonts w:hint="eastAsia"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 141号）的规定，本单位</w:t>
      </w:r>
      <w:r>
        <w:rPr>
          <w:rFonts w:hint="eastAsia" w:ascii="仿宋" w:hAnsi="仿宋" w:eastAsia="仿宋" w:cs="仿宋"/>
          <w:sz w:val="24"/>
          <w:szCs w:val="24"/>
          <w:u w:val="single"/>
        </w:rPr>
        <w:t xml:space="preserve">是/否</w:t>
      </w:r>
      <w:r>
        <w:rPr>
          <w:rFonts w:hint="eastAsia" w:ascii="仿宋" w:hAnsi="仿宋" w:eastAsia="仿宋" w:cs="仿宋"/>
          <w:sz w:val="24"/>
          <w:szCs w:val="24"/>
        </w:rPr>
        <w:t xml:space="preserve">为符合条件的残疾人福利性单位，且本单位参加_</w:t>
      </w:r>
      <w:r>
        <w:rPr>
          <w:rFonts w:hint="eastAsia" w:ascii="仿宋" w:hAnsi="仿宋" w:eastAsia="仿宋" w:cs="仿宋"/>
          <w:sz w:val="24"/>
          <w:szCs w:val="24"/>
          <w:u w:val="single"/>
        </w:rPr>
        <w:t xml:space="preserve">[采购人单位名称]</w:t>
      </w:r>
      <w:r>
        <w:rPr>
          <w:rFonts w:hint="eastAsia" w:ascii="仿宋" w:hAnsi="仿宋" w:eastAsia="仿宋" w:cs="仿宋"/>
          <w:sz w:val="24"/>
          <w:szCs w:val="24"/>
        </w:rPr>
        <w:t xml:space="preserve">__单位的采购文件编号为_</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_的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588" w:lineRule="exact"/>
        <w:rPr>
          <w:rFonts w:hint="eastAsia"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480"/>
        <w:jc w:val="left"/>
        <w:spacing w:line="588"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588" w:lineRule="exact"/>
        <w:rPr>
          <w:rFonts w:hint="eastAsia" w:ascii="仿宋" w:hAnsi="仿宋" w:eastAsia="仿宋" w:cs="仿宋"/>
          <w:sz w:val="24"/>
          <w:szCs w:val="24"/>
        </w:rPr>
      </w:pPr>
      <w:r>
        <w:rPr>
          <w:rFonts w:hint="eastAsia" w:ascii="仿宋" w:hAnsi="仿宋" w:eastAsia="仿宋" w:cs="仿宋"/>
          <w:sz w:val="24"/>
          <w:szCs w:val="24"/>
        </w:rPr>
        <w:t xml:space="preserve">（备注：1.投标人如不提供此声明函，价格将不作相应扣除。2.中标单位为残疾人福利性单位的，此声明函将随中标结果同时公告，接受社会监督。）</w:t>
      </w:r>
      <w:r/>
    </w:p>
    <w:p>
      <w:pPr>
        <w:ind w:firstLine="504"/>
        <w:jc w:val="center"/>
        <w:spacing w:line="588" w:lineRule="exact"/>
        <w:rPr>
          <w:rFonts w:hint="eastAsia" w:ascii="仿宋" w:hAnsi="仿宋" w:eastAsia="仿宋" w:cs="仿宋"/>
          <w:spacing w:val="6"/>
          <w:sz w:val="24"/>
          <w:szCs w:val="24"/>
        </w:rPr>
      </w:pPr>
      <w:r>
        <w:rPr>
          <w:rFonts w:hint="eastAsia" w:ascii="仿宋" w:hAnsi="仿宋" w:eastAsia="仿宋" w:cs="仿宋"/>
          <w:spacing w:val="6"/>
          <w:sz w:val="24"/>
          <w:szCs w:val="24"/>
        </w:rPr>
      </w:r>
      <w:r/>
    </w:p>
    <w:p>
      <w:pPr>
        <w:ind w:right="1560" w:firstLine="480"/>
        <w:jc w:val="right"/>
        <w:spacing w:line="588" w:lineRule="exact"/>
        <w:tabs>
          <w:tab w:val="left" w:pos="4860" w:leader="none"/>
        </w:tabs>
        <w:rPr>
          <w:rFonts w:hint="eastAsia" w:ascii="仿宋" w:hAnsi="仿宋" w:eastAsia="仿宋" w:cs="仿宋"/>
          <w:sz w:val="24"/>
          <w:szCs w:val="24"/>
        </w:rPr>
      </w:pPr>
      <w:r>
        <w:rPr>
          <w:rFonts w:hint="eastAsia" w:ascii="仿宋" w:hAnsi="仿宋" w:eastAsia="仿宋" w:cs="仿宋"/>
          <w:sz w:val="24"/>
          <w:szCs w:val="24"/>
        </w:rPr>
        <w:t xml:space="preserve">投标人名称（加盖CA电子公章）：</w:t>
      </w:r>
      <w:r/>
    </w:p>
    <w:p>
      <w:pPr>
        <w:ind w:right="1560" w:firstLine="480"/>
        <w:jc w:val="right"/>
        <w:spacing w:line="588" w:lineRule="exact"/>
        <w:tabs>
          <w:tab w:val="left" w:pos="4860" w:leader="none"/>
        </w:tabs>
        <w:rPr>
          <w:rFonts w:hint="eastAsia" w:ascii="仿宋" w:hAnsi="仿宋" w:eastAsia="仿宋" w:cs="仿宋"/>
          <w:sz w:val="24"/>
          <w:szCs w:val="24"/>
        </w:rPr>
      </w:pPr>
      <w:r>
        <w:rPr>
          <w:rFonts w:hint="eastAsia" w:ascii="仿宋" w:hAnsi="仿宋" w:eastAsia="仿宋" w:cs="仿宋"/>
          <w:sz w:val="24"/>
          <w:szCs w:val="24"/>
        </w:rPr>
        <w:t xml:space="preserve">日  期：</w:t>
      </w:r>
      <w:r/>
    </w:p>
    <w:p>
      <w:pPr>
        <w:rPr>
          <w:rFonts w:hint="eastAsia" w:ascii="仿宋" w:hAnsi="仿宋" w:eastAsia="仿宋" w:cs="仿宋"/>
          <w:sz w:val="24"/>
          <w:szCs w:val="24"/>
        </w:rPr>
      </w:pPr>
      <w:r>
        <w:rPr>
          <w:rFonts w:hint="eastAsia" w:ascii="仿宋" w:hAnsi="仿宋" w:eastAsia="仿宋" w:cs="仿宋"/>
          <w:sz w:val="24"/>
          <w:szCs w:val="24"/>
        </w:rPr>
        <w:br w:type="page" w:clear="all"/>
      </w:r>
      <w:r/>
    </w:p>
    <w:p>
      <w:pPr>
        <w:pStyle w:val="931"/>
        <w:jc w:val="center"/>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监狱企业证明文件</w:t>
      </w:r>
      <w:r/>
    </w:p>
    <w:p>
      <w:pPr>
        <w:ind w:firstLine="630"/>
        <w:jc w:val="left"/>
        <w:spacing w:line="480" w:lineRule="auto"/>
        <w:rPr>
          <w:rFonts w:hint="eastAsia" w:ascii="仿宋" w:hAnsi="仿宋" w:eastAsia="仿宋" w:cs="仿宋"/>
          <w:szCs w:val="21"/>
        </w:rPr>
      </w:pPr>
      <w:r>
        <w:rPr>
          <w:rFonts w:hint="eastAsia" w:ascii="仿宋" w:hAnsi="仿宋" w:eastAsia="仿宋" w:cs="仿宋"/>
          <w:szCs w:val="21"/>
        </w:rPr>
      </w:r>
      <w:r/>
    </w:p>
    <w:p>
      <w:pPr>
        <w:ind w:firstLine="630"/>
        <w:jc w:val="left"/>
        <w:spacing w:line="480" w:lineRule="auto"/>
        <w:rPr>
          <w:rFonts w:hint="eastAsia" w:ascii="仿宋" w:hAnsi="仿宋" w:eastAsia="仿宋" w:cs="仿宋"/>
          <w:bCs/>
          <w:szCs w:val="21"/>
        </w:rPr>
      </w:pPr>
      <w:r>
        <w:rPr>
          <w:rFonts w:hint="eastAsia" w:ascii="仿宋" w:hAnsi="仿宋" w:eastAsia="仿宋" w:cs="仿宋"/>
          <w:szCs w:val="21"/>
        </w:rPr>
        <w:t xml:space="preserve">监狱企业参加政府采购活动时，需提供由省级以上监狱管理局、戒毒管理局(含新疆生产建设兵团)出具的属于监狱企业的证明文件复印件并加盖申请人公章。</w:t>
      </w:r>
      <w:r/>
    </w:p>
    <w:p>
      <w:pPr>
        <w:ind w:firstLine="210"/>
        <w:jc w:val="left"/>
        <w:spacing w:line="480" w:lineRule="auto"/>
        <w:rPr>
          <w:rFonts w:hint="eastAsia" w:ascii="仿宋" w:hAnsi="仿宋" w:eastAsia="仿宋" w:cs="仿宋"/>
          <w:szCs w:val="21"/>
        </w:rPr>
      </w:pPr>
      <w:r>
        <w:rPr>
          <w:rFonts w:hint="eastAsia" w:ascii="仿宋" w:hAnsi="仿宋" w:eastAsia="仿宋" w:cs="仿宋"/>
          <w:szCs w:val="21"/>
        </w:rPr>
      </w:r>
      <w:r/>
    </w:p>
    <w:p>
      <w:pPr>
        <w:ind w:firstLine="210"/>
        <w:jc w:val="left"/>
        <w:spacing w:line="480" w:lineRule="auto"/>
        <w:rPr>
          <w:rFonts w:hint="eastAsia" w:ascii="仿宋" w:hAnsi="仿宋" w:eastAsia="仿宋" w:cs="仿宋"/>
          <w:szCs w:val="21"/>
        </w:rPr>
      </w:pPr>
      <w:r>
        <w:rPr>
          <w:rFonts w:hint="eastAsia" w:ascii="仿宋" w:hAnsi="仿宋" w:eastAsia="仿宋" w:cs="仿宋"/>
          <w:szCs w:val="21"/>
        </w:rPr>
      </w:r>
      <w:r/>
    </w:p>
    <w:p>
      <w:pPr>
        <w:ind w:firstLine="210"/>
        <w:jc w:val="left"/>
        <w:spacing w:line="480" w:lineRule="auto"/>
        <w:rPr>
          <w:rFonts w:hint="eastAsia" w:ascii="仿宋" w:hAnsi="仿宋" w:eastAsia="仿宋" w:cs="仿宋"/>
          <w:szCs w:val="21"/>
        </w:rPr>
      </w:pPr>
      <w:r>
        <w:rPr>
          <w:rFonts w:hint="eastAsia" w:ascii="仿宋" w:hAnsi="仿宋" w:eastAsia="仿宋" w:cs="仿宋"/>
          <w:szCs w:val="21"/>
        </w:rPr>
      </w:r>
      <w:r/>
    </w:p>
    <w:p>
      <w:pPr>
        <w:ind w:firstLine="210"/>
        <w:jc w:val="left"/>
        <w:spacing w:line="480" w:lineRule="auto"/>
        <w:rPr>
          <w:rFonts w:hint="eastAsia" w:ascii="仿宋" w:hAnsi="仿宋" w:eastAsia="仿宋" w:cs="仿宋"/>
          <w:szCs w:val="21"/>
        </w:rPr>
      </w:pPr>
      <w:r>
        <w:rPr>
          <w:rFonts w:hint="eastAsia" w:ascii="仿宋" w:hAnsi="仿宋" w:eastAsia="仿宋" w:cs="仿宋"/>
          <w:szCs w:val="21"/>
        </w:rPr>
      </w:r>
      <w:r/>
    </w:p>
    <w:p>
      <w:pPr>
        <w:ind w:firstLine="210"/>
        <w:jc w:val="left"/>
        <w:spacing w:line="480" w:lineRule="auto"/>
        <w:rPr>
          <w:rFonts w:hint="eastAsia" w:ascii="仿宋" w:hAnsi="仿宋" w:eastAsia="仿宋" w:cs="仿宋"/>
          <w:szCs w:val="21"/>
        </w:rPr>
      </w:pPr>
      <w:r>
        <w:rPr>
          <w:rFonts w:hint="eastAsia" w:ascii="仿宋" w:hAnsi="仿宋" w:eastAsia="仿宋" w:cs="仿宋"/>
          <w:szCs w:val="21"/>
        </w:rPr>
      </w:r>
      <w:r/>
    </w:p>
    <w:p>
      <w:pPr>
        <w:ind w:firstLine="210"/>
        <w:jc w:val="left"/>
        <w:spacing w:line="480" w:lineRule="auto"/>
        <w:rPr>
          <w:rFonts w:hint="eastAsia" w:ascii="仿宋" w:hAnsi="仿宋" w:eastAsia="仿宋" w:cs="仿宋"/>
          <w:szCs w:val="21"/>
        </w:rPr>
      </w:pPr>
      <w:r>
        <w:rPr>
          <w:rFonts w:hint="eastAsia" w:ascii="仿宋" w:hAnsi="仿宋" w:eastAsia="仿宋" w:cs="仿宋"/>
          <w:szCs w:val="21"/>
        </w:rPr>
      </w:r>
      <w:r/>
    </w:p>
    <w:p>
      <w:pPr>
        <w:ind w:firstLine="210"/>
        <w:jc w:val="left"/>
        <w:spacing w:line="480" w:lineRule="auto"/>
        <w:rPr>
          <w:rFonts w:hint="eastAsia" w:ascii="仿宋" w:hAnsi="仿宋" w:eastAsia="仿宋" w:cs="仿宋"/>
          <w:szCs w:val="21"/>
        </w:rPr>
      </w:pPr>
      <w:r>
        <w:rPr>
          <w:rFonts w:hint="eastAsia" w:ascii="仿宋" w:hAnsi="仿宋" w:eastAsia="仿宋" w:cs="仿宋"/>
          <w:szCs w:val="21"/>
        </w:rPr>
      </w:r>
      <w:r/>
    </w:p>
    <w:p>
      <w:pPr>
        <w:ind w:firstLine="210"/>
        <w:jc w:val="left"/>
        <w:spacing w:line="480" w:lineRule="auto"/>
        <w:rPr>
          <w:rFonts w:hint="eastAsia" w:ascii="仿宋" w:hAnsi="仿宋" w:eastAsia="仿宋" w:cs="仿宋"/>
          <w:szCs w:val="21"/>
        </w:rPr>
      </w:pPr>
      <w:r>
        <w:rPr>
          <w:rFonts w:hint="eastAsia" w:ascii="仿宋" w:hAnsi="仿宋" w:eastAsia="仿宋" w:cs="仿宋"/>
          <w:szCs w:val="21"/>
        </w:rPr>
      </w:r>
      <w:r/>
    </w:p>
    <w:p>
      <w:pPr>
        <w:ind w:firstLine="210"/>
        <w:jc w:val="left"/>
        <w:spacing w:line="480" w:lineRule="auto"/>
        <w:rPr>
          <w:rFonts w:hint="eastAsia" w:ascii="仿宋" w:hAnsi="仿宋" w:eastAsia="仿宋" w:cs="仿宋"/>
          <w:szCs w:val="21"/>
        </w:rPr>
      </w:pPr>
      <w:r>
        <w:rPr>
          <w:rFonts w:hint="eastAsia" w:ascii="仿宋" w:hAnsi="仿宋" w:eastAsia="仿宋" w:cs="仿宋"/>
          <w:szCs w:val="21"/>
        </w:rPr>
        <w:t xml:space="preserve">备注：监狱企业标准请参照《关于政府采购支持监狱企业发展有关问题的通知》（财库〔2014〕68号）。</w:t>
      </w:r>
      <w:r/>
    </w:p>
    <w:p>
      <w:pPr>
        <w:pStyle w:val="735"/>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left"/>
        <w:rPr>
          <w:rFonts w:hint="eastAsia" w:ascii="仿宋" w:hAnsi="仿宋" w:eastAsia="仿宋" w:cs="仿宋"/>
          <w:bCs/>
          <w:sz w:val="24"/>
        </w:rPr>
        <w:outlineLvl w:val="0"/>
      </w:pPr>
      <w:r>
        <w:rPr>
          <w:rFonts w:hint="eastAsia" w:ascii="仿宋" w:hAnsi="仿宋" w:eastAsia="仿宋" w:cs="仿宋"/>
          <w:bCs/>
          <w:sz w:val="24"/>
        </w:rPr>
        <w:br w:type="page" w:clear="all"/>
      </w:r>
      <w:r/>
    </w:p>
    <w:p>
      <w:pPr>
        <w:pStyle w:val="931"/>
        <w:jc w:val="center"/>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承诺书</w:t>
      </w:r>
      <w:r/>
    </w:p>
    <w:p>
      <w:pPr>
        <w:jc w:val="center"/>
        <w:rPr>
          <w:rFonts w:hint="eastAsia" w:ascii="仿宋" w:hAnsi="仿宋" w:eastAsia="仿宋" w:cs="仿宋"/>
          <w:bCs/>
          <w:sz w:val="28"/>
          <w:szCs w:val="28"/>
        </w:rPr>
      </w:pPr>
      <w:r>
        <w:rPr>
          <w:rFonts w:hint="eastAsia" w:ascii="仿宋" w:hAnsi="仿宋" w:eastAsia="仿宋" w:cs="仿宋"/>
          <w:bCs/>
          <w:sz w:val="28"/>
          <w:szCs w:val="28"/>
        </w:rPr>
      </w:r>
      <w:r/>
    </w:p>
    <w:p>
      <w:pPr>
        <w:spacing w:line="48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（投标人名称）在此承诺：</w:t>
      </w:r>
      <w:r/>
    </w:p>
    <w:p>
      <w:pPr>
        <w:ind w:firstLine="480"/>
        <w:jc w:val="left"/>
        <w:spacing w:line="480" w:lineRule="auto"/>
        <w:rPr>
          <w:rFonts w:hint="eastAsia" w:ascii="仿宋" w:hAnsi="仿宋" w:eastAsia="仿宋" w:cs="仿宋"/>
          <w:bCs/>
          <w:sz w:val="24"/>
          <w:szCs w:val="24"/>
        </w:rPr>
      </w:pPr>
      <w:r>
        <w:rPr>
          <w:rFonts w:hint="eastAsia" w:ascii="仿宋" w:hAnsi="仿宋" w:eastAsia="仿宋" w:cs="仿宋"/>
          <w:sz w:val="24"/>
          <w:szCs w:val="24"/>
        </w:rPr>
        <w:t xml:space="preserve">1．本公司（单位）同意并响应本项目（项目编号：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采购文件的所有内容；</w:t>
      </w:r>
      <w:r/>
    </w:p>
    <w:p>
      <w:pPr>
        <w:ind w:firstLine="480"/>
        <w:jc w:val="left"/>
        <w:spacing w:line="480" w:lineRule="auto"/>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sz w:val="24"/>
          <w:szCs w:val="24"/>
        </w:rPr>
        <w:t xml:space="preserve">本公司（单位）</w:t>
      </w:r>
      <w:r>
        <w:rPr>
          <w:rFonts w:hint="eastAsia" w:ascii="仿宋" w:hAnsi="仿宋" w:eastAsia="仿宋" w:cs="仿宋"/>
          <w:bCs/>
          <w:sz w:val="24"/>
          <w:szCs w:val="24"/>
        </w:rPr>
        <w:t xml:space="preserve">具备履行合同所必需的设备和专业技术能力；</w:t>
      </w:r>
      <w:r/>
    </w:p>
    <w:p>
      <w:pPr>
        <w:ind w:firstLine="480"/>
        <w:jc w:val="left"/>
        <w:spacing w:line="480" w:lineRule="auto"/>
        <w:rPr>
          <w:rFonts w:hint="eastAsia" w:ascii="仿宋" w:hAnsi="仿宋" w:eastAsia="仿宋" w:cs="仿宋"/>
          <w:b/>
          <w:bCs/>
          <w:sz w:val="24"/>
          <w:szCs w:val="24"/>
        </w:rPr>
      </w:pPr>
      <w:r>
        <w:rPr>
          <w:rFonts w:hint="eastAsia" w:ascii="仿宋" w:hAnsi="仿宋" w:eastAsia="仿宋" w:cs="仿宋"/>
          <w:bCs/>
          <w:sz w:val="24"/>
          <w:szCs w:val="24"/>
        </w:rPr>
        <w:t xml:space="preserve">3.</w:t>
      </w:r>
      <w:r>
        <w:rPr>
          <w:rFonts w:hint="eastAsia" w:ascii="仿宋" w:hAnsi="仿宋" w:eastAsia="仿宋" w:cs="仿宋"/>
          <w:sz w:val="24"/>
          <w:szCs w:val="24"/>
        </w:rPr>
        <w:t xml:space="preserve">本公司未被“</w:t>
      </w:r>
      <w:r>
        <w:rPr>
          <w:rFonts w:hint="eastAsia" w:ascii="仿宋" w:hAnsi="仿宋" w:eastAsia="仿宋" w:cs="仿宋"/>
          <w:bCs/>
          <w:sz w:val="24"/>
          <w:szCs w:val="24"/>
        </w:rPr>
        <w:t xml:space="preserve">信用中国</w:t>
      </w:r>
      <w:r>
        <w:rPr>
          <w:rFonts w:hint="eastAsia" w:ascii="仿宋" w:hAnsi="仿宋" w:eastAsia="仿宋" w:cs="仿宋"/>
          <w:sz w:val="24"/>
          <w:szCs w:val="24"/>
        </w:rPr>
        <w:t xml:space="preserve">”</w:t>
      </w:r>
      <w:r>
        <w:rPr>
          <w:rFonts w:hint="eastAsia" w:ascii="仿宋" w:hAnsi="仿宋" w:eastAsia="仿宋" w:cs="仿宋"/>
          <w:bCs/>
          <w:sz w:val="24"/>
          <w:szCs w:val="24"/>
        </w:rPr>
        <w:t xml:space="preserve">网站（</w:t>
      </w:r>
      <w:r>
        <w:rPr>
          <w:rFonts w:hint="eastAsia" w:ascii="仿宋" w:hAnsi="仿宋" w:eastAsia="仿宋" w:cs="仿宋"/>
        </w:rPr>
        <w:fldChar w:fldCharType="begin"/>
      </w:r>
      <w:r>
        <w:rPr>
          <w:rFonts w:hint="eastAsia" w:ascii="仿宋" w:hAnsi="仿宋" w:eastAsia="仿宋" w:cs="仿宋"/>
        </w:rPr>
        <w:instrText xml:space="preserve"> HYPERLINK "http://www.creditchina.gov.cn" </w:instrText>
      </w:r>
      <w:r>
        <w:rPr>
          <w:rFonts w:hint="eastAsia" w:ascii="仿宋" w:hAnsi="仿宋" w:eastAsia="仿宋" w:cs="仿宋"/>
        </w:rPr>
        <w:fldChar w:fldCharType="separate"/>
      </w:r>
      <w:r>
        <w:rPr>
          <w:rStyle w:val="764"/>
          <w:rFonts w:hint="eastAsia" w:ascii="仿宋" w:hAnsi="仿宋" w:eastAsia="仿宋" w:cs="仿宋"/>
          <w:bCs/>
          <w:sz w:val="24"/>
          <w:szCs w:val="24"/>
        </w:rPr>
        <w:t xml:space="preserve">www.creditchina.gov.cn</w:t>
      </w:r>
      <w:r>
        <w:rPr>
          <w:rStyle w:val="764"/>
          <w:rFonts w:hint="eastAsia" w:ascii="仿宋" w:hAnsi="仿宋" w:eastAsia="仿宋" w:cs="仿宋"/>
          <w:bCs/>
          <w:sz w:val="24"/>
          <w:szCs w:val="24"/>
        </w:rPr>
        <w:fldChar w:fldCharType="end"/>
      </w:r>
      <w:r>
        <w:rPr>
          <w:rFonts w:hint="eastAsia" w:ascii="仿宋" w:hAnsi="仿宋" w:eastAsia="仿宋" w:cs="仿宋"/>
          <w:bCs/>
          <w:sz w:val="24"/>
          <w:szCs w:val="24"/>
        </w:rPr>
        <w:t xml:space="preserve">）</w:t>
      </w:r>
      <w:r>
        <w:rPr>
          <w:rFonts w:hint="eastAsia" w:ascii="仿宋" w:hAnsi="仿宋" w:eastAsia="仿宋" w:cs="仿宋"/>
          <w:sz w:val="24"/>
          <w:szCs w:val="24"/>
        </w:rPr>
        <w:t xml:space="preserve">列入失信被执行人、重大税收违法失信主体、政府采购严重违法失信行为记录名单。</w:t>
      </w:r>
      <w:r/>
    </w:p>
    <w:p>
      <w:pPr>
        <w:ind w:firstLine="480"/>
        <w:jc w:val="left"/>
        <w:spacing w:line="480" w:lineRule="auto"/>
        <w:rPr>
          <w:rFonts w:hint="eastAsia" w:ascii="仿宋" w:hAnsi="仿宋" w:eastAsia="仿宋" w:cs="仿宋"/>
          <w:bCs/>
          <w:sz w:val="24"/>
          <w:szCs w:val="24"/>
        </w:rPr>
      </w:pPr>
      <w:r>
        <w:rPr>
          <w:rFonts w:hint="eastAsia" w:ascii="仿宋" w:hAnsi="仿宋" w:eastAsia="仿宋" w:cs="仿宋"/>
          <w:bCs/>
          <w:sz w:val="24"/>
          <w:szCs w:val="24"/>
        </w:rPr>
        <w:t xml:space="preserve">如违背上述承诺，本公司</w:t>
      </w:r>
      <w:r>
        <w:rPr>
          <w:rFonts w:hint="eastAsia" w:ascii="仿宋" w:hAnsi="仿宋" w:eastAsia="仿宋" w:cs="仿宋"/>
          <w:sz w:val="24"/>
          <w:szCs w:val="24"/>
        </w:rPr>
        <w:t xml:space="preserve">（单位）</w:t>
      </w:r>
      <w:r>
        <w:rPr>
          <w:rFonts w:hint="eastAsia" w:ascii="仿宋" w:hAnsi="仿宋" w:eastAsia="仿宋" w:cs="仿宋"/>
          <w:bCs/>
          <w:sz w:val="24"/>
          <w:szCs w:val="24"/>
        </w:rPr>
        <w:t xml:space="preserve">将承担一切法律责任。</w:t>
      </w:r>
      <w:r/>
    </w:p>
    <w:p>
      <w:pPr>
        <w:jc w:val="center"/>
        <w:spacing w:line="480" w:lineRule="auto"/>
        <w:rPr>
          <w:rFonts w:hint="eastAsia" w:ascii="仿宋" w:hAnsi="仿宋" w:eastAsia="仿宋" w:cs="仿宋"/>
          <w:sz w:val="24"/>
          <w:szCs w:val="24"/>
        </w:rPr>
      </w:pPr>
      <w:r>
        <w:rPr>
          <w:rFonts w:hint="eastAsia" w:ascii="仿宋" w:hAnsi="仿宋" w:eastAsia="仿宋" w:cs="仿宋"/>
          <w:sz w:val="24"/>
          <w:szCs w:val="24"/>
        </w:rPr>
      </w:r>
      <w:r/>
    </w:p>
    <w:p>
      <w:pPr>
        <w:ind w:firstLine="5400"/>
        <w:jc w:val="center"/>
        <w:spacing w:line="480" w:lineRule="auto"/>
        <w:rPr>
          <w:rFonts w:hint="eastAsia" w:ascii="仿宋" w:hAnsi="仿宋" w:eastAsia="仿宋" w:cs="仿宋"/>
          <w:bCs/>
          <w:sz w:val="24"/>
          <w:szCs w:val="24"/>
        </w:rPr>
      </w:pPr>
      <w:r>
        <w:rPr>
          <w:rFonts w:hint="eastAsia" w:ascii="仿宋" w:hAnsi="仿宋" w:eastAsia="仿宋" w:cs="仿宋"/>
          <w:bCs/>
          <w:sz w:val="24"/>
          <w:szCs w:val="24"/>
        </w:rPr>
      </w:r>
      <w:r/>
    </w:p>
    <w:p>
      <w:pPr>
        <w:ind w:firstLine="3720"/>
        <w:jc w:val="center"/>
        <w:spacing w:line="480" w:lineRule="auto"/>
        <w:rPr>
          <w:rFonts w:hint="eastAsia" w:ascii="仿宋" w:hAnsi="仿宋" w:eastAsia="仿宋" w:cs="仿宋"/>
          <w:bCs/>
          <w:sz w:val="24"/>
          <w:szCs w:val="24"/>
        </w:rPr>
      </w:pPr>
      <w:r>
        <w:rPr>
          <w:rFonts w:hint="eastAsia" w:ascii="仿宋" w:hAnsi="仿宋" w:eastAsia="仿宋" w:cs="仿宋"/>
          <w:bCs/>
          <w:sz w:val="24"/>
          <w:szCs w:val="24"/>
        </w:rPr>
        <w:t xml:space="preserve">投标人（加盖CA电子公章）：</w:t>
      </w:r>
      <w:r/>
    </w:p>
    <w:p>
      <w:pPr>
        <w:ind w:firstLine="480"/>
        <w:jc w:val="center"/>
        <w:spacing w:line="480" w:lineRule="auto"/>
        <w:rPr>
          <w:rFonts w:hint="eastAsia" w:ascii="仿宋" w:hAnsi="仿宋" w:eastAsia="仿宋" w:cs="仿宋"/>
          <w:bCs/>
          <w:sz w:val="24"/>
          <w:szCs w:val="24"/>
        </w:rPr>
      </w:pPr>
      <w:r>
        <w:rPr>
          <w:rFonts w:hint="eastAsia" w:ascii="仿宋" w:hAnsi="仿宋" w:eastAsia="仿宋" w:cs="仿宋"/>
          <w:sz w:val="24"/>
          <w:szCs w:val="24"/>
        </w:rPr>
        <w:t xml:space="preserve">                法定代表人或法定代表人授权代表</w:t>
      </w:r>
      <w:r>
        <w:rPr>
          <w:rFonts w:hint="eastAsia" w:ascii="仿宋" w:hAnsi="仿宋" w:eastAsia="仿宋" w:cs="仿宋"/>
          <w:bCs/>
          <w:sz w:val="24"/>
          <w:szCs w:val="24"/>
        </w:rPr>
        <w:t xml:space="preserve">（签字或盖章）：</w:t>
      </w:r>
      <w:r/>
    </w:p>
    <w:p>
      <w:pPr>
        <w:ind w:firstLine="456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日  期：</w:t>
      </w:r>
      <w:r/>
    </w:p>
    <w:p>
      <w:pPr>
        <w:ind w:firstLine="480"/>
        <w:jc w:val="center"/>
        <w:spacing w:line="480" w:lineRule="auto"/>
        <w:rPr>
          <w:rFonts w:hint="eastAsia" w:ascii="仿宋" w:hAnsi="仿宋" w:eastAsia="仿宋" w:cs="仿宋"/>
          <w:bCs/>
          <w:sz w:val="24"/>
          <w:szCs w:val="24"/>
        </w:rPr>
      </w:pPr>
      <w:r>
        <w:rPr>
          <w:rFonts w:hint="eastAsia" w:ascii="仿宋" w:hAnsi="仿宋" w:eastAsia="仿宋" w:cs="仿宋"/>
          <w:bCs/>
          <w:sz w:val="24"/>
          <w:szCs w:val="24"/>
        </w:rPr>
      </w:r>
      <w:r/>
    </w:p>
    <w:p>
      <w:pPr>
        <w:jc w:val="center"/>
        <w:rPr>
          <w:rFonts w:hint="eastAsia" w:ascii="仿宋" w:hAnsi="仿宋" w:eastAsia="仿宋" w:cs="仿宋"/>
          <w:bCs/>
          <w:sz w:val="32"/>
        </w:rPr>
      </w:pPr>
      <w:r>
        <w:rPr>
          <w:rFonts w:hint="eastAsia" w:ascii="仿宋" w:hAnsi="仿宋" w:eastAsia="仿宋" w:cs="仿宋"/>
          <w:bCs/>
          <w:sz w:val="32"/>
        </w:rPr>
      </w:r>
      <w:r/>
    </w:p>
    <w:p>
      <w:pPr>
        <w:jc w:val="center"/>
        <w:rPr>
          <w:rFonts w:hint="eastAsia" w:ascii="仿宋" w:hAnsi="仿宋" w:eastAsia="仿宋" w:cs="仿宋"/>
          <w:bCs/>
          <w:sz w:val="32"/>
        </w:rPr>
      </w:pPr>
      <w:r>
        <w:rPr>
          <w:rFonts w:hint="eastAsia" w:ascii="仿宋" w:hAnsi="仿宋" w:eastAsia="仿宋" w:cs="仿宋"/>
          <w:bCs/>
          <w:sz w:val="32"/>
        </w:rPr>
      </w:r>
      <w:r/>
    </w:p>
    <w:p>
      <w:pPr>
        <w:jc w:val="center"/>
        <w:rPr>
          <w:rFonts w:hint="eastAsia" w:ascii="仿宋" w:hAnsi="仿宋" w:eastAsia="仿宋" w:cs="仿宋"/>
          <w:bCs/>
          <w:sz w:val="32"/>
        </w:rPr>
      </w:pPr>
      <w:r>
        <w:rPr>
          <w:rFonts w:hint="eastAsia" w:ascii="仿宋" w:hAnsi="仿宋" w:eastAsia="仿宋" w:cs="仿宋"/>
          <w:bCs/>
          <w:sz w:val="32"/>
        </w:rPr>
      </w:r>
      <w:r/>
    </w:p>
    <w:p>
      <w:pPr>
        <w:jc w:val="center"/>
        <w:rPr>
          <w:rFonts w:hint="eastAsia" w:ascii="仿宋" w:hAnsi="仿宋" w:eastAsia="仿宋" w:cs="仿宋"/>
          <w:bCs/>
          <w:sz w:val="32"/>
        </w:rPr>
      </w:pPr>
      <w:r>
        <w:rPr>
          <w:rFonts w:hint="eastAsia" w:ascii="仿宋" w:hAnsi="仿宋" w:eastAsia="仿宋" w:cs="仿宋"/>
          <w:bCs/>
          <w:sz w:val="32"/>
        </w:rPr>
      </w:r>
      <w:r/>
    </w:p>
    <w:p>
      <w:pPr>
        <w:jc w:val="center"/>
        <w:rPr>
          <w:rFonts w:hint="eastAsia" w:ascii="仿宋" w:hAnsi="仿宋" w:eastAsia="仿宋" w:cs="仿宋"/>
          <w:bCs/>
          <w:sz w:val="32"/>
        </w:rPr>
      </w:pPr>
      <w:r>
        <w:rPr>
          <w:rFonts w:hint="eastAsia" w:ascii="仿宋" w:hAnsi="仿宋" w:eastAsia="仿宋" w:cs="仿宋"/>
          <w:bCs/>
          <w:sz w:val="32"/>
        </w:rPr>
      </w:r>
      <w:r/>
    </w:p>
    <w:p>
      <w:pPr>
        <w:pStyle w:val="742"/>
        <w:rPr>
          <w:rFonts w:hint="eastAsia" w:ascii="仿宋" w:hAnsi="仿宋" w:eastAsia="仿宋" w:cs="仿宋"/>
        </w:rPr>
      </w:pPr>
      <w:r>
        <w:rPr>
          <w:rFonts w:hint="eastAsia" w:ascii="仿宋" w:hAnsi="仿宋" w:eastAsia="仿宋" w:cs="仿宋"/>
        </w:rPr>
      </w:r>
      <w:r/>
    </w:p>
    <w:p>
      <w:pPr>
        <w:pStyle w:val="742"/>
        <w:rPr>
          <w:rFonts w:hint="eastAsia" w:ascii="仿宋" w:hAnsi="仿宋" w:eastAsia="仿宋" w:cs="仿宋"/>
        </w:rPr>
      </w:pPr>
      <w:r>
        <w:rPr>
          <w:rFonts w:hint="eastAsia" w:ascii="仿宋" w:hAnsi="仿宋" w:eastAsia="仿宋" w:cs="仿宋"/>
        </w:rPr>
      </w:r>
      <w:r/>
    </w:p>
    <w:p>
      <w:pPr>
        <w:pStyle w:val="742"/>
        <w:rPr>
          <w:rFonts w:hint="eastAsia" w:ascii="仿宋" w:hAnsi="仿宋" w:eastAsia="仿宋" w:cs="仿宋"/>
        </w:rPr>
      </w:pPr>
      <w:r>
        <w:rPr>
          <w:rFonts w:hint="eastAsia" w:ascii="仿宋" w:hAnsi="仿宋" w:eastAsia="仿宋" w:cs="仿宋"/>
        </w:rPr>
      </w:r>
      <w:r/>
    </w:p>
    <w:p>
      <w:pPr>
        <w:pStyle w:val="742"/>
        <w:rPr>
          <w:rFonts w:hint="eastAsia" w:ascii="仿宋" w:hAnsi="仿宋" w:eastAsia="仿宋" w:cs="仿宋"/>
        </w:rPr>
      </w:pPr>
      <w:r>
        <w:rPr>
          <w:rFonts w:hint="eastAsia" w:ascii="仿宋" w:hAnsi="仿宋" w:eastAsia="仿宋" w:cs="仿宋"/>
        </w:rPr>
      </w:r>
      <w:r/>
    </w:p>
    <w:p>
      <w:pPr>
        <w:pStyle w:val="742"/>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br w:type="page" w:clear="all"/>
      </w:r>
      <w:r/>
    </w:p>
    <w:p>
      <w:pPr>
        <w:pStyle w:val="931"/>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color w:val="000000"/>
        </w:rPr>
      </w:pPr>
      <w:r>
        <w:rPr>
          <w:rFonts w:hint="eastAsia" w:ascii="仿宋" w:hAnsi="仿宋" w:eastAsia="仿宋" w:cs="仿宋"/>
          <w:b/>
          <w:color w:val="000000"/>
          <w:sz w:val="36"/>
          <w:szCs w:val="36"/>
        </w:rPr>
        <w:t xml:space="preserve">技术标准响应偏离表</w:t>
      </w:r>
      <w:r/>
    </w:p>
    <w:tbl>
      <w:tblPr>
        <w:tblStyle w:val="734"/>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931"/>
              <w:jc w:val="center"/>
              <w:spacing w:line="480" w:lineRule="exact"/>
              <w:rPr>
                <w:rFonts w:hint="eastAsia" w:ascii="仿宋" w:hAnsi="仿宋" w:eastAsia="仿宋" w:cs="仿宋"/>
                <w:sz w:val="21"/>
                <w:szCs w:val="21"/>
              </w:rPr>
            </w:pPr>
            <w:r>
              <w:rPr>
                <w:rFonts w:hint="eastAsia" w:ascii="仿宋" w:hAnsi="仿宋" w:eastAsia="仿宋" w:cs="仿宋"/>
                <w:sz w:val="21"/>
                <w:szCs w:val="21"/>
              </w:rPr>
              <w:t xml:space="preserve">名称</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31"/>
              <w:jc w:val="center"/>
              <w:spacing w:line="480" w:lineRule="exact"/>
              <w:rPr>
                <w:rFonts w:hint="eastAsia" w:ascii="仿宋" w:hAnsi="仿宋" w:eastAsia="仿宋" w:cs="仿宋"/>
                <w:sz w:val="21"/>
                <w:szCs w:val="21"/>
              </w:rPr>
            </w:pPr>
            <w:r>
              <w:rPr>
                <w:rFonts w:hint="eastAsia" w:ascii="仿宋" w:hAnsi="仿宋" w:eastAsia="仿宋" w:cs="仿宋"/>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pStyle w:val="931"/>
              <w:jc w:val="center"/>
              <w:spacing w:line="480" w:lineRule="exact"/>
              <w:rPr>
                <w:rFonts w:hint="eastAsia" w:ascii="仿宋" w:hAnsi="仿宋" w:eastAsia="仿宋" w:cs="仿宋"/>
                <w:sz w:val="21"/>
                <w:szCs w:val="21"/>
              </w:rPr>
            </w:pPr>
            <w:r>
              <w:rPr>
                <w:rFonts w:hint="eastAsia" w:ascii="仿宋" w:hAnsi="仿宋" w:eastAsia="仿宋" w:cs="仿宋"/>
                <w:sz w:val="21"/>
                <w:szCs w:val="21"/>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pStyle w:val="931"/>
              <w:jc w:val="center"/>
              <w:spacing w:line="480" w:lineRule="exact"/>
              <w:rPr>
                <w:rFonts w:hint="eastAsia" w:ascii="仿宋" w:hAnsi="仿宋" w:eastAsia="仿宋" w:cs="仿宋"/>
                <w:sz w:val="21"/>
                <w:szCs w:val="21"/>
              </w:rPr>
            </w:pPr>
            <w:r>
              <w:rPr>
                <w:rFonts w:hint="eastAsia" w:ascii="仿宋" w:hAnsi="仿宋" w:eastAsia="仿宋" w:cs="仿宋"/>
                <w:sz w:val="21"/>
                <w:szCs w:val="21"/>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pStyle w:val="931"/>
              <w:jc w:val="center"/>
              <w:spacing w:line="480" w:lineRule="exact"/>
              <w:rPr>
                <w:rFonts w:hint="eastAsia" w:ascii="仿宋" w:hAnsi="仿宋" w:eastAsia="仿宋" w:cs="仿宋"/>
                <w:sz w:val="21"/>
                <w:szCs w:val="21"/>
              </w:rPr>
            </w:pPr>
            <w:r>
              <w:rPr>
                <w:rFonts w:hint="eastAsia" w:ascii="仿宋" w:hAnsi="仿宋" w:eastAsia="仿宋" w:cs="仿宋"/>
                <w:sz w:val="21"/>
                <w:szCs w:val="21"/>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931"/>
              <w:jc w:val="center"/>
              <w:spacing w:line="36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31"/>
              <w:ind w:firstLine="420"/>
              <w:jc w:val="left"/>
              <w:spacing w:before="100" w:beforeAutospacing="1" w:line="24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pStyle w:val="931"/>
              <w:ind w:firstLine="420"/>
              <w:jc w:val="left"/>
              <w:spacing w:before="100" w:beforeAutospacing="1" w:line="24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pStyle w:val="931"/>
              <w:jc w:val="center"/>
              <w:spacing w:line="48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pStyle w:val="931"/>
              <w:jc w:val="center"/>
              <w:spacing w:line="48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931"/>
              <w:jc w:val="center"/>
              <w:spacing w:line="36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31"/>
              <w:ind w:firstLine="420"/>
              <w:jc w:val="left"/>
              <w:spacing w:before="100" w:beforeAutospacing="1" w:line="24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pStyle w:val="931"/>
              <w:ind w:firstLine="420"/>
              <w:jc w:val="left"/>
              <w:spacing w:before="100" w:beforeAutospacing="1" w:line="24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pStyle w:val="931"/>
              <w:jc w:val="center"/>
              <w:spacing w:line="48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pStyle w:val="931"/>
              <w:jc w:val="center"/>
              <w:spacing w:line="48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931"/>
              <w:jc w:val="center"/>
              <w:spacing w:line="36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31"/>
              <w:ind w:firstLine="520"/>
              <w:jc w:val="left"/>
              <w:spacing w:before="100" w:beforeAutospacing="1" w:line="24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pStyle w:val="931"/>
              <w:jc w:val="center"/>
              <w:spacing w:line="48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pStyle w:val="931"/>
              <w:jc w:val="center"/>
              <w:spacing w:line="48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pStyle w:val="931"/>
              <w:jc w:val="center"/>
              <w:spacing w:line="48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931"/>
              <w:jc w:val="center"/>
              <w:spacing w:line="36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31"/>
              <w:jc w:val="left"/>
              <w:spacing w:before="100" w:beforeAutospacing="1" w:line="24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pStyle w:val="931"/>
              <w:jc w:val="left"/>
              <w:spacing w:before="100" w:beforeAutospacing="1" w:line="24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pStyle w:val="931"/>
              <w:jc w:val="center"/>
              <w:spacing w:line="48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pStyle w:val="931"/>
              <w:jc w:val="center"/>
              <w:spacing w:line="48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931"/>
              <w:jc w:val="center"/>
              <w:spacing w:line="36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31"/>
              <w:jc w:val="left"/>
              <w:spacing w:before="100" w:beforeAutospacing="1" w:line="24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pStyle w:val="931"/>
              <w:jc w:val="left"/>
              <w:spacing w:before="100" w:beforeAutospacing="1" w:line="24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pStyle w:val="931"/>
              <w:jc w:val="center"/>
              <w:spacing w:line="48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pStyle w:val="931"/>
              <w:jc w:val="center"/>
              <w:spacing w:line="480" w:lineRule="exact"/>
              <w:rPr>
                <w:rFonts w:hint="eastAsia" w:ascii="仿宋" w:hAnsi="仿宋" w:eastAsia="仿宋" w:cs="仿宋"/>
                <w:sz w:val="21"/>
                <w:szCs w:val="21"/>
              </w:rPr>
            </w:pPr>
            <w:r>
              <w:rPr>
                <w:rFonts w:hint="eastAsia" w:ascii="仿宋" w:hAnsi="仿宋" w:eastAsia="仿宋" w:cs="仿宋"/>
                <w:sz w:val="21"/>
                <w:szCs w:val="21"/>
              </w:rPr>
            </w:r>
            <w:r/>
          </w:p>
        </w:tc>
      </w:tr>
    </w:tbl>
    <w:p>
      <w:pPr>
        <w:pStyle w:val="931"/>
        <w:spacing w:line="500" w:lineRule="exact"/>
        <w:rPr>
          <w:rFonts w:hint="eastAsia" w:ascii="仿宋" w:hAnsi="仿宋" w:eastAsia="仿宋" w:cs="仿宋"/>
          <w:b/>
          <w:bCs/>
          <w:sz w:val="24"/>
        </w:rPr>
      </w:pPr>
      <w:r>
        <w:rPr>
          <w:rFonts w:hint="eastAsia" w:ascii="仿宋" w:hAnsi="仿宋" w:eastAsia="仿宋" w:cs="仿宋"/>
          <w:b/>
          <w:color w:val="ff0000"/>
          <w:sz w:val="24"/>
          <w:lang w:val="zh-CN"/>
        </w:rPr>
        <w:t xml:space="preserve"> </w:t>
      </w:r>
      <w:r>
        <w:rPr>
          <w:rFonts w:hint="eastAsia" w:ascii="仿宋" w:hAnsi="仿宋" w:eastAsia="仿宋" w:cs="仿宋"/>
          <w:b/>
          <w:bCs/>
          <w:sz w:val="24"/>
        </w:rPr>
        <w:t xml:space="preserve">注：</w:t>
      </w:r>
      <w:r/>
    </w:p>
    <w:p>
      <w:pPr>
        <w:pStyle w:val="931"/>
        <w:ind w:firstLine="482"/>
        <w:jc w:val="left"/>
        <w:spacing w:line="360" w:lineRule="auto"/>
        <w:rPr>
          <w:rFonts w:hint="eastAsia" w:ascii="仿宋" w:hAnsi="仿宋" w:eastAsia="仿宋" w:cs="仿宋"/>
          <w:b/>
          <w:bCs/>
          <w:sz w:val="24"/>
        </w:rPr>
      </w:pPr>
      <w:r>
        <w:rPr>
          <w:rFonts w:hint="eastAsia" w:ascii="仿宋" w:hAnsi="仿宋" w:eastAsia="仿宋" w:cs="仿宋"/>
          <w:b/>
          <w:bCs/>
          <w:sz w:val="24"/>
        </w:rPr>
        <w:t xml:space="preserve">若无偏离，在“有无偏离”栏中填写“无”；若有偏离在“有无偏离”栏中填写“有” 并在“偏离内容及原因”栏中作出说明。</w:t>
      </w:r>
      <w:r/>
    </w:p>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jc w:val="left"/>
        <w:spacing w:line="360" w:lineRule="auto"/>
        <w:rPr>
          <w:rFonts w:hint="eastAsia" w:ascii="仿宋" w:hAnsi="仿宋" w:eastAsia="仿宋" w:cs="仿宋"/>
          <w:bCs/>
          <w:sz w:val="24"/>
          <w:szCs w:val="24"/>
        </w:rPr>
        <w:outlineLvl w:val="0"/>
      </w:pPr>
      <w:r>
        <w:rPr>
          <w:rFonts w:hint="eastAsia" w:ascii="仿宋" w:hAnsi="仿宋" w:eastAsia="仿宋" w:cs="仿宋"/>
          <w:bCs/>
          <w:sz w:val="24"/>
          <w:szCs w:val="24"/>
        </w:rPr>
        <w:t xml:space="preserve">注：（1）本表不得删除；</w:t>
      </w:r>
      <w:r/>
    </w:p>
    <w:p>
      <w:pPr>
        <w:ind w:firstLine="480"/>
        <w:jc w:val="left"/>
        <w:spacing w:line="360" w:lineRule="auto"/>
        <w:rPr>
          <w:rFonts w:hint="eastAsia" w:ascii="仿宋" w:hAnsi="仿宋" w:eastAsia="仿宋" w:cs="仿宋"/>
          <w:bCs/>
          <w:sz w:val="24"/>
          <w:szCs w:val="24"/>
        </w:rPr>
        <w:outlineLvl w:val="0"/>
      </w:pPr>
      <w:r>
        <w:rPr>
          <w:rFonts w:hint="eastAsia" w:ascii="仿宋" w:hAnsi="仿宋" w:eastAsia="仿宋" w:cs="仿宋"/>
          <w:bCs/>
          <w:sz w:val="24"/>
          <w:szCs w:val="24"/>
        </w:rPr>
        <w:t xml:space="preserve">（2）如无任何技术偏离，请于本表“偏离说明”中注明“无偏离”；</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（3）如有技术偏离项，请于本表中列明偏离内容，如需要可自行延长，其余无偏离内容不须赘述。</w:t>
      </w:r>
      <w:r/>
    </w:p>
    <w:p>
      <w:pPr>
        <w:pStyle w:val="735"/>
        <w:rPr>
          <w:rFonts w:hint="eastAsia" w:ascii="仿宋" w:hAnsi="仿宋" w:eastAsia="仿宋" w:cs="仿宋"/>
        </w:rPr>
      </w:pPr>
      <w:r>
        <w:rPr>
          <w:rFonts w:hint="eastAsia" w:ascii="仿宋" w:hAnsi="仿宋" w:eastAsia="仿宋" w:cs="仿宋"/>
        </w:rPr>
      </w:r>
      <w:r/>
    </w:p>
    <w:p>
      <w:pPr>
        <w:pStyle w:val="735"/>
        <w:rPr>
          <w:rFonts w:hint="eastAsia" w:ascii="仿宋" w:hAnsi="仿宋" w:eastAsia="仿宋" w:cs="仿宋"/>
        </w:rPr>
      </w:pPr>
      <w:r>
        <w:rPr>
          <w:rFonts w:hint="eastAsia" w:ascii="仿宋" w:hAnsi="仿宋" w:eastAsia="仿宋" w:cs="仿宋"/>
        </w:rPr>
      </w:r>
      <w:r/>
    </w:p>
    <w:p>
      <w:pPr>
        <w:ind w:firstLine="3720"/>
        <w:jc w:val="center"/>
        <w:spacing w:line="480" w:lineRule="auto"/>
        <w:rPr>
          <w:rFonts w:hint="eastAsia" w:ascii="仿宋" w:hAnsi="仿宋" w:eastAsia="仿宋" w:cs="仿宋"/>
          <w:bCs/>
          <w:sz w:val="24"/>
          <w:szCs w:val="24"/>
        </w:rPr>
      </w:pPr>
      <w:r>
        <w:rPr>
          <w:rFonts w:hint="eastAsia" w:ascii="仿宋" w:hAnsi="仿宋" w:eastAsia="仿宋" w:cs="仿宋"/>
          <w:bCs/>
          <w:sz w:val="24"/>
          <w:szCs w:val="24"/>
        </w:rPr>
        <w:t xml:space="preserve">投标人（加盖CA电子公章）：</w:t>
      </w:r>
      <w:r/>
    </w:p>
    <w:p>
      <w:pPr>
        <w:ind w:firstLine="480"/>
        <w:jc w:val="center"/>
        <w:spacing w:line="480" w:lineRule="auto"/>
        <w:rPr>
          <w:rFonts w:hint="eastAsia" w:ascii="仿宋" w:hAnsi="仿宋" w:eastAsia="仿宋" w:cs="仿宋"/>
          <w:bCs/>
          <w:sz w:val="24"/>
          <w:szCs w:val="24"/>
        </w:rPr>
      </w:pPr>
      <w:r>
        <w:rPr>
          <w:rFonts w:hint="eastAsia" w:ascii="仿宋" w:hAnsi="仿宋" w:eastAsia="仿宋" w:cs="仿宋"/>
          <w:sz w:val="24"/>
          <w:szCs w:val="24"/>
        </w:rPr>
        <w:t xml:space="preserve">                法定代表人或法定代表人授权代表</w:t>
      </w:r>
      <w:r>
        <w:rPr>
          <w:rFonts w:hint="eastAsia" w:ascii="仿宋" w:hAnsi="仿宋" w:eastAsia="仿宋" w:cs="仿宋"/>
          <w:bCs/>
          <w:sz w:val="24"/>
          <w:szCs w:val="24"/>
        </w:rPr>
        <w:t xml:space="preserve">（签字或盖章）：</w:t>
      </w:r>
      <w:r/>
    </w:p>
    <w:p>
      <w:pPr>
        <w:ind w:firstLine="456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日  期：</w:t>
      </w:r>
      <w:r/>
    </w:p>
    <w:p>
      <w:pPr>
        <w:pStyle w:val="735"/>
        <w:rPr>
          <w:rFonts w:hint="eastAsia" w:ascii="仿宋" w:hAnsi="仿宋" w:eastAsia="仿宋" w:cs="仿宋"/>
        </w:rPr>
      </w:pPr>
      <w:r>
        <w:rPr>
          <w:rFonts w:hint="eastAsia" w:ascii="仿宋" w:hAnsi="仿宋" w:eastAsia="仿宋" w:cs="仿宋"/>
        </w:rPr>
      </w:r>
      <w:r/>
    </w:p>
    <w:p>
      <w:pPr>
        <w:jc w:val="left"/>
        <w:widowControl/>
        <w:rPr>
          <w:rFonts w:hint="eastAsia" w:ascii="仿宋" w:hAnsi="仿宋" w:eastAsia="仿宋" w:cs="仿宋"/>
          <w:szCs w:val="24"/>
        </w:rPr>
      </w:pPr>
      <w:r>
        <w:rPr>
          <w:rFonts w:hint="eastAsia" w:ascii="仿宋" w:hAnsi="仿宋" w:eastAsia="仿宋" w:cs="仿宋"/>
        </w:rPr>
        <w:br w:type="page" w:clear="all"/>
      </w:r>
      <w:r/>
    </w:p>
    <w:p>
      <w:pPr>
        <w:pStyle w:val="931"/>
        <w:jc w:val="center"/>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联合体协议（参考格式）</w:t>
      </w:r>
      <w:r/>
    </w:p>
    <w:p>
      <w:pPr>
        <w:ind w:firstLine="480"/>
        <w:spacing w:line="560" w:lineRule="exact"/>
        <w:rPr>
          <w:rFonts w:hint="eastAsia" w:ascii="仿宋" w:hAnsi="仿宋" w:eastAsia="仿宋" w:cs="仿宋"/>
        </w:rPr>
      </w:pPr>
      <w:r>
        <w:rPr>
          <w:rFonts w:hint="eastAsia" w:ascii="仿宋" w:hAnsi="仿宋" w:eastAsia="仿宋" w:cs="仿宋"/>
        </w:rPr>
        <w:t xml:space="preserve">（联合体中各供应商全称）在此达成以下协议：</w:t>
      </w:r>
      <w:r/>
    </w:p>
    <w:p>
      <w:pPr>
        <w:ind w:firstLine="480"/>
        <w:spacing w:line="560" w:lineRule="exact"/>
        <w:rPr>
          <w:rFonts w:hint="eastAsia" w:ascii="仿宋" w:hAnsi="仿宋" w:eastAsia="仿宋" w:cs="仿宋"/>
        </w:rPr>
      </w:pPr>
      <w:r>
        <w:rPr>
          <w:rFonts w:hint="eastAsia" w:ascii="仿宋" w:hAnsi="仿宋" w:eastAsia="仿宋" w:cs="仿宋"/>
        </w:rPr>
        <w:t xml:space="preserve">1、我们</w:t>
      </w:r>
      <w:r>
        <w:rPr>
          <w:rFonts w:hint="eastAsia" w:ascii="仿宋" w:hAnsi="仿宋" w:eastAsia="仿宋" w:cs="仿宋"/>
          <w:u w:val="single"/>
        </w:rPr>
        <w:t xml:space="preserve"> （供应商1），（供应商2） ，……</w:t>
      </w:r>
      <w:r>
        <w:rPr>
          <w:rFonts w:hint="eastAsia" w:ascii="仿宋" w:hAnsi="仿宋" w:eastAsia="仿宋" w:cs="仿宋"/>
        </w:rPr>
        <w:t xml:space="preserve">自愿组成联合体，参加</w:t>
      </w:r>
      <w:r>
        <w:rPr>
          <w:rFonts w:hint="eastAsia" w:ascii="仿宋" w:hAnsi="仿宋" w:eastAsia="仿宋" w:cs="仿宋"/>
          <w:u w:val="single"/>
        </w:rPr>
        <w:t xml:space="preserve">    （采购人）     </w:t>
      </w:r>
      <w:r>
        <w:rPr>
          <w:rFonts w:hint="eastAsia" w:ascii="仿宋" w:hAnsi="仿宋" w:eastAsia="仿宋" w:cs="仿宋"/>
        </w:rPr>
        <w:t xml:space="preserve">组织的采购编号为</w:t>
      </w:r>
      <w:r>
        <w:rPr>
          <w:rFonts w:hint="eastAsia" w:ascii="仿宋" w:hAnsi="仿宋" w:eastAsia="仿宋" w:cs="仿宋"/>
          <w:u w:val="single"/>
        </w:rPr>
        <w:t xml:space="preserve">（编号全称），（项目全称）</w:t>
      </w:r>
      <w:r>
        <w:rPr>
          <w:rFonts w:hint="eastAsia" w:ascii="仿宋" w:hAnsi="仿宋" w:eastAsia="仿宋" w:cs="仿宋"/>
        </w:rPr>
        <w:t xml:space="preserve">项目的政府采购活动，我联合体指定</w:t>
      </w:r>
      <w:r>
        <w:rPr>
          <w:rFonts w:hint="eastAsia" w:ascii="仿宋" w:hAnsi="仿宋" w:eastAsia="仿宋" w:cs="仿宋"/>
          <w:u w:val="single"/>
        </w:rPr>
        <w:t xml:space="preserve">（供应商*）</w:t>
      </w:r>
      <w:r>
        <w:rPr>
          <w:rFonts w:hint="eastAsia" w:ascii="仿宋" w:hAnsi="仿宋" w:eastAsia="仿宋" w:cs="仿宋"/>
        </w:rPr>
        <w:t xml:space="preserve">为牵头单位（牵头单位必须为联合体成员）。</w:t>
      </w:r>
      <w:r/>
    </w:p>
    <w:p>
      <w:pPr>
        <w:ind w:firstLine="480"/>
        <w:spacing w:line="560" w:lineRule="exact"/>
        <w:rPr>
          <w:rFonts w:hint="eastAsia" w:ascii="仿宋" w:hAnsi="仿宋" w:eastAsia="仿宋" w:cs="仿宋"/>
        </w:rPr>
      </w:pPr>
      <w:r>
        <w:rPr>
          <w:rFonts w:hint="eastAsia" w:ascii="仿宋" w:hAnsi="仿宋" w:eastAsia="仿宋" w:cs="仿宋"/>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80"/>
        <w:spacing w:line="560" w:lineRule="exact"/>
        <w:rPr>
          <w:rFonts w:hint="eastAsia" w:ascii="仿宋" w:hAnsi="仿宋" w:eastAsia="仿宋" w:cs="仿宋"/>
        </w:rPr>
      </w:pPr>
      <w:r>
        <w:rPr>
          <w:rFonts w:hint="eastAsia" w:ascii="仿宋" w:hAnsi="仿宋" w:eastAsia="仿宋" w:cs="仿宋"/>
        </w:rPr>
        <w:t xml:space="preserve">3、其中</w:t>
      </w:r>
      <w:r>
        <w:rPr>
          <w:rFonts w:hint="eastAsia" w:ascii="仿宋" w:hAnsi="仿宋" w:eastAsia="仿宋" w:cs="仿宋"/>
          <w:u w:val="single"/>
        </w:rPr>
        <w:t xml:space="preserve">      </w:t>
      </w:r>
      <w:r>
        <w:rPr>
          <w:rFonts w:hint="eastAsia" w:ascii="仿宋" w:hAnsi="仿宋" w:eastAsia="仿宋" w:cs="仿宋"/>
        </w:rPr>
        <w:t xml:space="preserve">（小型、微型企业/残疾人福利性单位/监狱企业全称）为</w:t>
      </w:r>
      <w:r>
        <w:rPr>
          <w:rFonts w:hint="eastAsia" w:ascii="仿宋" w:hAnsi="仿宋" w:eastAsia="仿宋" w:cs="仿宋"/>
          <w:u w:val="single"/>
        </w:rPr>
        <w:t xml:space="preserve">    </w:t>
      </w:r>
      <w:r>
        <w:rPr>
          <w:rFonts w:hint="eastAsia" w:ascii="仿宋" w:hAnsi="仿宋" w:eastAsia="仿宋" w:cs="仿宋"/>
        </w:rPr>
        <w:t xml:space="preserve">（小型、微型企业/残疾人福利性单位/监狱企业）企业，且我们约定该公司/单位所承担的合同金额将占本项目合同总金额的</w:t>
      </w:r>
      <w:r>
        <w:rPr>
          <w:rFonts w:hint="eastAsia" w:ascii="仿宋" w:hAnsi="仿宋" w:eastAsia="仿宋" w:cs="仿宋"/>
          <w:u w:val="single"/>
        </w:rPr>
        <w:t xml:space="preserve">  </w:t>
      </w:r>
      <w:r>
        <w:rPr>
          <w:rFonts w:hint="eastAsia" w:ascii="仿宋" w:hAnsi="仿宋" w:eastAsia="仿宋" w:cs="仿宋"/>
        </w:rPr>
        <w:t xml:space="preserve"> %。</w:t>
      </w:r>
      <w:r/>
    </w:p>
    <w:p>
      <w:pPr>
        <w:ind w:firstLine="480"/>
        <w:spacing w:line="560" w:lineRule="exact"/>
        <w:rPr>
          <w:rFonts w:hint="eastAsia" w:ascii="仿宋" w:hAnsi="仿宋" w:eastAsia="仿宋" w:cs="仿宋"/>
        </w:rPr>
      </w:pPr>
      <w:r>
        <w:rPr>
          <w:rFonts w:hint="eastAsia" w:ascii="仿宋" w:hAnsi="仿宋" w:eastAsia="仿宋" w:cs="仿宋"/>
        </w:rPr>
      </w:r>
      <w:r/>
    </w:p>
    <w:p>
      <w:pPr>
        <w:ind w:firstLine="480"/>
        <w:spacing w:line="560" w:lineRule="exact"/>
        <w:rPr>
          <w:rFonts w:hint="eastAsia" w:ascii="仿宋" w:hAnsi="仿宋" w:eastAsia="仿宋" w:cs="仿宋"/>
        </w:rPr>
      </w:pPr>
      <w:r>
        <w:rPr>
          <w:rFonts w:hint="eastAsia" w:ascii="仿宋" w:hAnsi="仿宋" w:eastAsia="仿宋" w:cs="仿宋"/>
        </w:rPr>
        <w:t xml:space="preserve">                                          </w:t>
      </w:r>
      <w:r/>
    </w:p>
    <w:p>
      <w:pPr>
        <w:ind w:firstLine="480"/>
        <w:jc w:val="center"/>
        <w:spacing w:line="560" w:lineRule="exact"/>
        <w:rPr>
          <w:rFonts w:hint="eastAsia" w:ascii="仿宋" w:hAnsi="仿宋" w:eastAsia="仿宋" w:cs="仿宋"/>
        </w:rPr>
      </w:pPr>
      <w:r>
        <w:rPr>
          <w:rFonts w:hint="eastAsia" w:ascii="仿宋" w:hAnsi="仿宋" w:eastAsia="仿宋" w:cs="仿宋"/>
        </w:rPr>
        <w:t xml:space="preserve">联合体中各供应商全称（公章）：     </w:t>
      </w:r>
      <w:r/>
    </w:p>
    <w:p>
      <w:pPr>
        <w:ind w:firstLine="480"/>
        <w:spacing w:line="560" w:lineRule="exact"/>
        <w:rPr>
          <w:rFonts w:hint="eastAsia" w:ascii="仿宋" w:hAnsi="仿宋" w:eastAsia="仿宋" w:cs="仿宋"/>
        </w:rPr>
      </w:pPr>
      <w:r>
        <w:rPr>
          <w:rFonts w:hint="eastAsia" w:ascii="仿宋" w:hAnsi="仿宋" w:eastAsia="仿宋" w:cs="仿宋"/>
        </w:rPr>
        <w:t xml:space="preserve">                                        日期：</w:t>
      </w:r>
      <w:r/>
    </w:p>
    <w:p>
      <w:pPr>
        <w:pStyle w:val="755"/>
        <w:ind w:left="0" w:firstLine="0"/>
        <w:spacing w:line="400" w:lineRule="exact"/>
        <w:rPr>
          <w:rFonts w:hint="eastAsia" w:ascii="仿宋" w:hAnsi="仿宋" w:eastAsia="仿宋" w:cs="仿宋"/>
          <w:sz w:val="21"/>
          <w:szCs w:val="21"/>
        </w:rPr>
      </w:pPr>
      <w:r>
        <w:rPr>
          <w:rFonts w:hint="eastAsia" w:ascii="仿宋" w:hAnsi="仿宋" w:eastAsia="仿宋" w:cs="仿宋"/>
          <w:sz w:val="21"/>
          <w:szCs w:val="21"/>
        </w:rPr>
      </w:r>
      <w:r/>
    </w:p>
    <w:p>
      <w:pPr>
        <w:pStyle w:val="735"/>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735"/>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sectPr>
      <w:footerReference w:type="default" r:id="rId9"/>
      <w:footnotePr/>
      <w:endnotePr/>
      <w:type w:val="nextPage"/>
      <w:pgSz w:w="11906" w:h="16838" w:orient="portrait"/>
      <w:pgMar w:top="1440" w:right="1689" w:bottom="1440" w:left="1689"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Century Schoolbook">
    <w:panose1 w:val="02040604050505020304"/>
  </w:font>
  <w:font w:name="Wingdings">
    <w:panose1 w:val="05000000000000000000"/>
  </w:font>
  <w:font w:name="MS Gothic">
    <w:panose1 w:val="020B0609070205080204"/>
  </w:font>
  <w:font w:name="Courier New">
    <w:panose1 w:val="02070309020205020404"/>
  </w:font>
  <w:font w:name="黑体">
    <w:panose1 w:val="02010609060101010101"/>
  </w:font>
  <w:font w:name="华文中宋">
    <w:panose1 w:val="02010600040101010101"/>
  </w:font>
  <w:font w:name="仿宋_GB2312">
    <w:panose1 w:val="02010609060101010101"/>
  </w:font>
  <w:font w:name="Verdana">
    <w:panose1 w:val="020B0604030504040204"/>
  </w:font>
  <w:font w:name="楷体_GB2312">
    <w:panose1 w:val="020106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rPr>
        <w:rFonts w:ascii="Times New Roman" w:hAnsi="Times New Roman"/>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47501538"/>
                            <w:rPr/>
                          </w:sdtPr>
                          <w:sdtContent>
                            <w:p>
                              <w:pPr>
                                <w:pStyle w:val="748"/>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32</w:t>
                              </w:r>
                              <w:r>
                                <w:rPr>
                                  <w:rFonts w:ascii="Times New Roman" w:hAnsi="Times New Roman"/>
                                </w:rPr>
                                <w:fldChar w:fldCharType="end"/>
                              </w:r>
                              <w:r/>
                            </w:p>
                          </w:sdtContent>
                        </w:sdt>
                        <w:p>
                          <w:pPr>
                            <w:pStyle w:val="743"/>
                            <w:ind w:left="1470" w:right="147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47501538"/>
                      <w:rPr/>
                    </w:sdtPr>
                    <w:sdtContent>
                      <w:p>
                        <w:pPr>
                          <w:pStyle w:val="748"/>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32</w:t>
                        </w:r>
                        <w:r>
                          <w:rPr>
                            <w:rFonts w:ascii="Times New Roman" w:hAnsi="Times New Roman"/>
                          </w:rPr>
                          <w:fldChar w:fldCharType="end"/>
                        </w:r>
                        <w:r/>
                      </w:p>
                    </w:sdtContent>
                  </w:sdt>
                  <w:p>
                    <w:pPr>
                      <w:pStyle w:val="743"/>
                      <w:ind w:left="1470" w:right="147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17"/>
      <w:isLgl w:val="false"/>
      <w:suff w:val="tab"/>
      <w:lvlText w:val="%1．"/>
      <w:lvlJc w:val="left"/>
      <w:pPr>
        <w:ind w:left="480" w:hanging="480"/>
        <w:tabs>
          <w:tab w:val="left" w:pos="48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9">
    <w:name w:val="Heading 3 Char"/>
    <w:basedOn w:val="733"/>
    <w:link w:val="726"/>
    <w:uiPriority w:val="9"/>
    <w:rPr>
      <w:rFonts w:ascii="Arial" w:hAnsi="Arial" w:eastAsia="Arial" w:cs="Arial"/>
      <w:sz w:val="30"/>
      <w:szCs w:val="30"/>
    </w:rPr>
  </w:style>
  <w:style w:type="character" w:styleId="690">
    <w:name w:val="Heading 4 Char"/>
    <w:basedOn w:val="733"/>
    <w:link w:val="727"/>
    <w:uiPriority w:val="9"/>
    <w:rPr>
      <w:rFonts w:ascii="Arial" w:hAnsi="Arial" w:eastAsia="Arial" w:cs="Arial"/>
      <w:b/>
      <w:bCs/>
      <w:sz w:val="26"/>
      <w:szCs w:val="26"/>
    </w:rPr>
  </w:style>
  <w:style w:type="character" w:styleId="691">
    <w:name w:val="Heading 5 Char"/>
    <w:basedOn w:val="733"/>
    <w:link w:val="728"/>
    <w:uiPriority w:val="9"/>
    <w:rPr>
      <w:rFonts w:ascii="Arial" w:hAnsi="Arial" w:eastAsia="Arial" w:cs="Arial"/>
      <w:b/>
      <w:bCs/>
      <w:sz w:val="24"/>
      <w:szCs w:val="24"/>
    </w:rPr>
  </w:style>
  <w:style w:type="character" w:styleId="692">
    <w:name w:val="Heading 6 Char"/>
    <w:basedOn w:val="733"/>
    <w:link w:val="729"/>
    <w:uiPriority w:val="9"/>
    <w:rPr>
      <w:rFonts w:ascii="Arial" w:hAnsi="Arial" w:eastAsia="Arial" w:cs="Arial"/>
      <w:b/>
      <w:bCs/>
      <w:sz w:val="22"/>
      <w:szCs w:val="22"/>
    </w:rPr>
  </w:style>
  <w:style w:type="character" w:styleId="693">
    <w:name w:val="Heading 7 Char"/>
    <w:basedOn w:val="733"/>
    <w:link w:val="730"/>
    <w:uiPriority w:val="9"/>
    <w:rPr>
      <w:rFonts w:ascii="Arial" w:hAnsi="Arial" w:eastAsia="Arial" w:cs="Arial"/>
      <w:b/>
      <w:bCs/>
      <w:i/>
      <w:iCs/>
      <w:sz w:val="22"/>
      <w:szCs w:val="22"/>
    </w:rPr>
  </w:style>
  <w:style w:type="character" w:styleId="694">
    <w:name w:val="Heading 8 Char"/>
    <w:basedOn w:val="733"/>
    <w:link w:val="731"/>
    <w:uiPriority w:val="9"/>
    <w:rPr>
      <w:rFonts w:ascii="Arial" w:hAnsi="Arial" w:eastAsia="Arial" w:cs="Arial"/>
      <w:i/>
      <w:iCs/>
      <w:sz w:val="22"/>
      <w:szCs w:val="22"/>
    </w:rPr>
  </w:style>
  <w:style w:type="character" w:styleId="695">
    <w:name w:val="Heading 9 Char"/>
    <w:basedOn w:val="733"/>
    <w:link w:val="732"/>
    <w:uiPriority w:val="9"/>
    <w:rPr>
      <w:rFonts w:ascii="Arial" w:hAnsi="Arial" w:eastAsia="Arial" w:cs="Arial"/>
      <w:i/>
      <w:iCs/>
      <w:sz w:val="21"/>
      <w:szCs w:val="21"/>
    </w:rPr>
  </w:style>
  <w:style w:type="character" w:styleId="696">
    <w:name w:val="Title Char"/>
    <w:basedOn w:val="733"/>
    <w:link w:val="759"/>
    <w:uiPriority w:val="10"/>
    <w:rPr>
      <w:sz w:val="48"/>
      <w:szCs w:val="48"/>
    </w:rPr>
  </w:style>
  <w:style w:type="character" w:styleId="697">
    <w:name w:val="Subtitle Char"/>
    <w:basedOn w:val="733"/>
    <w:link w:val="752"/>
    <w:uiPriority w:val="11"/>
    <w:rPr>
      <w:sz w:val="24"/>
      <w:szCs w:val="24"/>
    </w:rPr>
  </w:style>
  <w:style w:type="character" w:styleId="698">
    <w:name w:val="Quote Char"/>
    <w:link w:val="780"/>
    <w:uiPriority w:val="29"/>
    <w:rPr>
      <w:i/>
    </w:rPr>
  </w:style>
  <w:style w:type="character" w:styleId="699">
    <w:name w:val="Intense Quote Char"/>
    <w:link w:val="782"/>
    <w:uiPriority w:val="30"/>
    <w:rPr>
      <w:i/>
    </w:rPr>
  </w:style>
  <w:style w:type="character" w:styleId="700">
    <w:name w:val="Header Char"/>
    <w:basedOn w:val="733"/>
    <w:link w:val="749"/>
    <w:uiPriority w:val="99"/>
  </w:style>
  <w:style w:type="table" w:styleId="701">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1">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4">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5">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9">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0">
    <w:name w:val="Footnote Text Char"/>
    <w:link w:val="753"/>
    <w:uiPriority w:val="99"/>
    <w:rPr>
      <w:sz w:val="18"/>
    </w:rPr>
  </w:style>
  <w:style w:type="character" w:styleId="721">
    <w:name w:val="Endnote Text Char"/>
    <w:link w:val="747"/>
    <w:uiPriority w:val="99"/>
    <w:rPr>
      <w:sz w:val="20"/>
    </w:rPr>
  </w:style>
  <w:style w:type="paragraph" w:styleId="722">
    <w:name w:val="TOC Heading"/>
    <w:uiPriority w:val="39"/>
    <w:unhideWhenUsed/>
  </w:style>
  <w:style w:type="paragraph" w:styleId="723" w:default="1">
    <w:name w:val="Normal"/>
    <w:next w:val="735"/>
    <w:uiPriority w:val="0"/>
    <w:qFormat/>
    <w:pPr>
      <w:jc w:val="both"/>
      <w:widowControl w:val="off"/>
    </w:pPr>
    <w:rPr>
      <w:rFonts w:ascii="Calibri" w:hAnsi="Calibri" w:eastAsia="宋体" w:cs="Times New Roman"/>
      <w:sz w:val="21"/>
      <w:szCs w:val="22"/>
      <w:lang w:val="en-US" w:eastAsia="zh-CN" w:bidi="ar-SA"/>
    </w:rPr>
  </w:style>
  <w:style w:type="paragraph" w:styleId="724">
    <w:name w:val="Heading 1"/>
    <w:basedOn w:val="723"/>
    <w:next w:val="723"/>
    <w:link w:val="925"/>
    <w:uiPriority w:val="9"/>
    <w:qFormat/>
    <w:pPr>
      <w:jc w:val="center"/>
      <w:keepNext/>
      <w:outlineLvl w:val="0"/>
    </w:pPr>
    <w:rPr>
      <w:rFonts w:ascii="楷体_GB2312" w:hAnsi="楷体_GB2312" w:cs="宋体"/>
      <w:b/>
      <w:sz w:val="32"/>
      <w:szCs w:val="24"/>
    </w:rPr>
  </w:style>
  <w:style w:type="paragraph" w:styleId="725">
    <w:name w:val="Heading 2"/>
    <w:basedOn w:val="723"/>
    <w:next w:val="723"/>
    <w:uiPriority w:val="0"/>
    <w:qFormat/>
    <w:pPr>
      <w:jc w:val="left"/>
      <w:keepLines/>
      <w:keepNext/>
      <w:spacing w:before="260" w:after="260" w:line="480" w:lineRule="auto"/>
      <w:outlineLvl w:val="1"/>
    </w:pPr>
    <w:rPr>
      <w:rFonts w:ascii="Arial" w:hAnsi="Arial"/>
      <w:b/>
      <w:bCs/>
      <w:sz w:val="28"/>
      <w:szCs w:val="32"/>
    </w:rPr>
  </w:style>
  <w:style w:type="paragraph" w:styleId="726">
    <w:name w:val="Heading 3"/>
    <w:basedOn w:val="723"/>
    <w:next w:val="723"/>
    <w:link w:val="770"/>
    <w:uiPriority w:val="9"/>
    <w:unhideWhenUsed/>
    <w:qFormat/>
    <w:pPr>
      <w:keepLines/>
      <w:keepNext/>
      <w:spacing w:before="320" w:after="200"/>
      <w:outlineLvl w:val="2"/>
    </w:pPr>
    <w:rPr>
      <w:rFonts w:ascii="Arial" w:hAnsi="Arial" w:cs="Arial"/>
      <w:sz w:val="28"/>
      <w:szCs w:val="30"/>
    </w:rPr>
  </w:style>
  <w:style w:type="paragraph" w:styleId="727">
    <w:name w:val="Heading 4"/>
    <w:basedOn w:val="726"/>
    <w:next w:val="723"/>
    <w:link w:val="771"/>
    <w:uiPriority w:val="9"/>
    <w:unhideWhenUsed/>
    <w:qFormat/>
    <w:pPr>
      <w:outlineLvl w:val="3"/>
    </w:pPr>
    <w:rPr>
      <w:rFonts w:eastAsia="Arial"/>
      <w:b/>
      <w:bCs/>
      <w:sz w:val="26"/>
      <w:szCs w:val="26"/>
    </w:rPr>
  </w:style>
  <w:style w:type="paragraph" w:styleId="728">
    <w:name w:val="Heading 5"/>
    <w:basedOn w:val="723"/>
    <w:next w:val="723"/>
    <w:link w:val="772"/>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23"/>
    <w:next w:val="723"/>
    <w:link w:val="773"/>
    <w:uiPriority w:val="9"/>
    <w:unhideWhenUsed/>
    <w:qFormat/>
    <w:pPr>
      <w:keepLines/>
      <w:keepNext/>
      <w:spacing w:before="320" w:after="200"/>
      <w:outlineLvl w:val="5"/>
    </w:pPr>
    <w:rPr>
      <w:rFonts w:ascii="Arial" w:hAnsi="Arial" w:eastAsia="Arial" w:cs="Arial"/>
      <w:b/>
      <w:bCs/>
      <w:sz w:val="22"/>
    </w:rPr>
  </w:style>
  <w:style w:type="paragraph" w:styleId="730">
    <w:name w:val="Heading 7"/>
    <w:basedOn w:val="723"/>
    <w:next w:val="723"/>
    <w:link w:val="774"/>
    <w:uiPriority w:val="9"/>
    <w:unhideWhenUsed/>
    <w:qFormat/>
    <w:pPr>
      <w:keepLines/>
      <w:keepNext/>
      <w:spacing w:before="320" w:after="200"/>
      <w:outlineLvl w:val="6"/>
    </w:pPr>
    <w:rPr>
      <w:rFonts w:ascii="Arial" w:hAnsi="Arial" w:eastAsia="Arial" w:cs="Arial"/>
      <w:b/>
      <w:bCs/>
      <w:i/>
      <w:iCs/>
      <w:sz w:val="22"/>
    </w:rPr>
  </w:style>
  <w:style w:type="paragraph" w:styleId="731">
    <w:name w:val="Heading 8"/>
    <w:basedOn w:val="723"/>
    <w:next w:val="723"/>
    <w:link w:val="775"/>
    <w:uiPriority w:val="9"/>
    <w:unhideWhenUsed/>
    <w:qFormat/>
    <w:pPr>
      <w:keepLines/>
      <w:keepNext/>
      <w:spacing w:before="320" w:after="200"/>
      <w:outlineLvl w:val="7"/>
    </w:pPr>
    <w:rPr>
      <w:rFonts w:ascii="Arial" w:hAnsi="Arial" w:eastAsia="Arial" w:cs="Arial"/>
      <w:i/>
      <w:iCs/>
      <w:sz w:val="22"/>
    </w:rPr>
  </w:style>
  <w:style w:type="paragraph" w:styleId="732">
    <w:name w:val="Heading 9"/>
    <w:basedOn w:val="723"/>
    <w:next w:val="723"/>
    <w:link w:val="776"/>
    <w:uiPriority w:val="9"/>
    <w:unhideWhenUsed/>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style>
  <w:style w:type="table" w:styleId="734" w:default="1">
    <w:name w:val="Normal Table"/>
    <w:uiPriority w:val="99"/>
    <w:semiHidden/>
    <w:unhideWhenUsed/>
    <w:tblPr>
      <w:tblCellMar>
        <w:left w:w="108" w:type="dxa"/>
        <w:top w:w="0" w:type="dxa"/>
        <w:right w:w="108" w:type="dxa"/>
        <w:bottom w:w="0" w:type="dxa"/>
      </w:tblCellMar>
    </w:tblPr>
  </w:style>
  <w:style w:type="paragraph" w:styleId="735">
    <w:name w:val="List Paragraph"/>
    <w:basedOn w:val="723"/>
    <w:uiPriority w:val="34"/>
    <w:qFormat/>
    <w:pPr>
      <w:ind w:firstLine="420"/>
    </w:pPr>
    <w:rPr>
      <w:szCs w:val="24"/>
    </w:rPr>
  </w:style>
  <w:style w:type="paragraph" w:styleId="736">
    <w:name w:val="toc 7"/>
    <w:basedOn w:val="723"/>
    <w:next w:val="723"/>
    <w:uiPriority w:val="39"/>
    <w:unhideWhenUsed/>
    <w:qFormat/>
    <w:pPr>
      <w:ind w:left="1701"/>
      <w:spacing w:after="57"/>
    </w:pPr>
  </w:style>
  <w:style w:type="paragraph" w:styleId="737">
    <w:name w:val="Note Heading"/>
    <w:basedOn w:val="723"/>
    <w:uiPriority w:val="0"/>
    <w:qFormat/>
    <w:rPr>
      <w:rFonts w:ascii="Verdana" w:hAnsi="Verdana"/>
      <w:szCs w:val="20"/>
    </w:rPr>
  </w:style>
  <w:style w:type="paragraph" w:styleId="738">
    <w:name w:val="Normal Indent"/>
    <w:basedOn w:val="723"/>
    <w:next w:val="739"/>
    <w:uiPriority w:val="0"/>
    <w:unhideWhenUsed/>
    <w:qFormat/>
    <w:pPr>
      <w:ind w:firstLine="420"/>
    </w:pPr>
    <w:rPr>
      <w:szCs w:val="21"/>
    </w:rPr>
  </w:style>
  <w:style w:type="paragraph" w:styleId="739">
    <w:name w:val="Plain Text"/>
    <w:basedOn w:val="723"/>
    <w:next w:val="738"/>
    <w:uiPriority w:val="0"/>
    <w:qFormat/>
    <w:pPr>
      <w:spacing w:line="360" w:lineRule="auto"/>
    </w:pPr>
    <w:rPr>
      <w:rFonts w:ascii="楷体_GB2312" w:hAnsi="Courier New" w:eastAsia="楷体_GB2312"/>
      <w:sz w:val="24"/>
      <w:szCs w:val="20"/>
    </w:rPr>
  </w:style>
  <w:style w:type="paragraph" w:styleId="740">
    <w:name w:val="Caption"/>
    <w:basedOn w:val="723"/>
    <w:next w:val="72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1">
    <w:name w:val="Body Text 3"/>
    <w:basedOn w:val="723"/>
    <w:uiPriority w:val="0"/>
    <w:qFormat/>
    <w:rPr>
      <w:sz w:val="16"/>
      <w:szCs w:val="16"/>
    </w:rPr>
  </w:style>
  <w:style w:type="paragraph" w:styleId="742">
    <w:name w:val="Body Text"/>
    <w:basedOn w:val="723"/>
    <w:link w:val="915"/>
    <w:uiPriority w:val="99"/>
    <w:qFormat/>
    <w:pPr>
      <w:jc w:val="left"/>
      <w:spacing w:line="360" w:lineRule="auto"/>
      <w:widowControl/>
    </w:pPr>
    <w:rPr>
      <w:sz w:val="24"/>
      <w:szCs w:val="24"/>
    </w:rPr>
  </w:style>
  <w:style w:type="paragraph" w:styleId="743">
    <w:name w:val="Block Text"/>
    <w:basedOn w:val="723"/>
    <w:next w:val="723"/>
    <w:uiPriority w:val="0"/>
    <w:unhideWhenUsed/>
    <w:qFormat/>
    <w:pPr>
      <w:ind w:left="1440" w:right="1440"/>
      <w:spacing w:after="120"/>
    </w:pPr>
  </w:style>
  <w:style w:type="paragraph" w:styleId="744">
    <w:name w:val="toc 5"/>
    <w:basedOn w:val="723"/>
    <w:next w:val="723"/>
    <w:uiPriority w:val="39"/>
    <w:unhideWhenUsed/>
    <w:qFormat/>
    <w:pPr>
      <w:ind w:left="1134"/>
      <w:spacing w:after="57"/>
    </w:pPr>
  </w:style>
  <w:style w:type="paragraph" w:styleId="745">
    <w:name w:val="toc 3"/>
    <w:basedOn w:val="723"/>
    <w:next w:val="723"/>
    <w:uiPriority w:val="39"/>
    <w:unhideWhenUsed/>
    <w:qFormat/>
    <w:pPr>
      <w:ind w:left="567"/>
      <w:spacing w:after="57"/>
    </w:pPr>
  </w:style>
  <w:style w:type="paragraph" w:styleId="746">
    <w:name w:val="toc 8"/>
    <w:basedOn w:val="723"/>
    <w:next w:val="723"/>
    <w:uiPriority w:val="39"/>
    <w:unhideWhenUsed/>
    <w:qFormat/>
    <w:pPr>
      <w:ind w:left="1984"/>
      <w:spacing w:after="57"/>
    </w:pPr>
  </w:style>
  <w:style w:type="paragraph" w:styleId="747">
    <w:name w:val="endnote text"/>
    <w:basedOn w:val="723"/>
    <w:link w:val="913"/>
    <w:uiPriority w:val="99"/>
    <w:semiHidden/>
    <w:unhideWhenUsed/>
    <w:qFormat/>
    <w:rPr>
      <w:sz w:val="20"/>
    </w:rPr>
  </w:style>
  <w:style w:type="paragraph" w:styleId="748">
    <w:name w:val="Footer"/>
    <w:basedOn w:val="723"/>
    <w:uiPriority w:val="0"/>
    <w:qFormat/>
    <w:pPr>
      <w:jc w:val="left"/>
      <w:tabs>
        <w:tab w:val="center" w:pos="4153" w:leader="none"/>
        <w:tab w:val="right" w:pos="8306" w:leader="none"/>
      </w:tabs>
    </w:pPr>
    <w:rPr>
      <w:sz w:val="18"/>
    </w:rPr>
  </w:style>
  <w:style w:type="paragraph" w:styleId="749">
    <w:name w:val="Header"/>
    <w:basedOn w:val="723"/>
    <w:link w:val="784"/>
    <w:uiPriority w:val="99"/>
    <w:unhideWhenUsed/>
    <w:qFormat/>
    <w:pPr>
      <w:tabs>
        <w:tab w:val="center" w:pos="7143" w:leader="none"/>
        <w:tab w:val="right" w:pos="14287" w:leader="none"/>
      </w:tabs>
    </w:pPr>
  </w:style>
  <w:style w:type="paragraph" w:styleId="750">
    <w:name w:val="toc 1"/>
    <w:basedOn w:val="723"/>
    <w:next w:val="723"/>
    <w:uiPriority w:val="39"/>
    <w:unhideWhenUsed/>
    <w:qFormat/>
    <w:pPr>
      <w:spacing w:after="57"/>
    </w:pPr>
  </w:style>
  <w:style w:type="paragraph" w:styleId="751">
    <w:name w:val="toc 4"/>
    <w:basedOn w:val="723"/>
    <w:next w:val="723"/>
    <w:uiPriority w:val="39"/>
    <w:unhideWhenUsed/>
    <w:qFormat/>
    <w:pPr>
      <w:ind w:left="850"/>
      <w:spacing w:after="57"/>
    </w:pPr>
  </w:style>
  <w:style w:type="paragraph" w:styleId="752">
    <w:name w:val="Subtitle"/>
    <w:basedOn w:val="723"/>
    <w:next w:val="723"/>
    <w:link w:val="779"/>
    <w:uiPriority w:val="11"/>
    <w:qFormat/>
    <w:pPr>
      <w:spacing w:before="200" w:after="200"/>
    </w:pPr>
    <w:rPr>
      <w:sz w:val="24"/>
      <w:szCs w:val="24"/>
    </w:rPr>
  </w:style>
  <w:style w:type="paragraph" w:styleId="753">
    <w:name w:val="footnote text"/>
    <w:basedOn w:val="723"/>
    <w:link w:val="912"/>
    <w:uiPriority w:val="99"/>
    <w:semiHidden/>
    <w:unhideWhenUsed/>
    <w:qFormat/>
    <w:pPr>
      <w:spacing w:after="40"/>
    </w:pPr>
    <w:rPr>
      <w:sz w:val="18"/>
    </w:rPr>
  </w:style>
  <w:style w:type="paragraph" w:styleId="754">
    <w:name w:val="toc 6"/>
    <w:basedOn w:val="723"/>
    <w:next w:val="723"/>
    <w:uiPriority w:val="39"/>
    <w:unhideWhenUsed/>
    <w:qFormat/>
    <w:pPr>
      <w:ind w:left="1417"/>
      <w:spacing w:after="57"/>
    </w:pPr>
  </w:style>
  <w:style w:type="paragraph" w:styleId="755">
    <w:name w:val="Body Text Indent 3"/>
    <w:basedOn w:val="723"/>
    <w:uiPriority w:val="0"/>
    <w:qFormat/>
    <w:pPr>
      <w:ind w:left="645" w:firstLine="645"/>
    </w:pPr>
    <w:rPr>
      <w:sz w:val="16"/>
      <w:szCs w:val="16"/>
    </w:rPr>
  </w:style>
  <w:style w:type="paragraph" w:styleId="756">
    <w:name w:val="table of figures"/>
    <w:basedOn w:val="723"/>
    <w:next w:val="723"/>
    <w:uiPriority w:val="99"/>
    <w:unhideWhenUsed/>
    <w:qFormat/>
  </w:style>
  <w:style w:type="paragraph" w:styleId="757">
    <w:name w:val="toc 2"/>
    <w:basedOn w:val="723"/>
    <w:next w:val="723"/>
    <w:uiPriority w:val="39"/>
    <w:unhideWhenUsed/>
    <w:qFormat/>
    <w:pPr>
      <w:ind w:left="283"/>
      <w:spacing w:after="57"/>
    </w:pPr>
  </w:style>
  <w:style w:type="paragraph" w:styleId="758">
    <w:name w:val="toc 9"/>
    <w:basedOn w:val="723"/>
    <w:next w:val="723"/>
    <w:uiPriority w:val="39"/>
    <w:unhideWhenUsed/>
    <w:qFormat/>
    <w:pPr>
      <w:ind w:left="2268"/>
      <w:spacing w:after="57"/>
    </w:pPr>
  </w:style>
  <w:style w:type="paragraph" w:styleId="759">
    <w:name w:val="Title"/>
    <w:basedOn w:val="723"/>
    <w:next w:val="723"/>
    <w:link w:val="778"/>
    <w:uiPriority w:val="10"/>
    <w:qFormat/>
    <w:pPr>
      <w:contextualSpacing/>
      <w:spacing w:before="300" w:after="200"/>
    </w:pPr>
    <w:rPr>
      <w:sz w:val="48"/>
      <w:szCs w:val="48"/>
    </w:rPr>
  </w:style>
  <w:style w:type="paragraph" w:styleId="760">
    <w:name w:val="Body Text First Indent"/>
    <w:basedOn w:val="742"/>
    <w:uiPriority w:val="0"/>
    <w:qFormat/>
    <w:pPr>
      <w:ind w:firstLine="420"/>
      <w:spacing w:after="120"/>
    </w:pPr>
    <w:rPr>
      <w:rFonts w:ascii="Times New Roman" w:hAnsi="Times New Roman"/>
      <w:sz w:val="21"/>
    </w:rPr>
  </w:style>
  <w:style w:type="table" w:styleId="761">
    <w:name w:val="Table Grid"/>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endnote reference"/>
    <w:basedOn w:val="733"/>
    <w:uiPriority w:val="99"/>
    <w:semiHidden/>
    <w:unhideWhenUsed/>
    <w:qFormat/>
    <w:rPr>
      <w:vertAlign w:val="superscript"/>
    </w:rPr>
  </w:style>
  <w:style w:type="character" w:styleId="763">
    <w:name w:val="HTML Typewriter"/>
    <w:uiPriority w:val="99"/>
    <w:unhideWhenUsed/>
    <w:qFormat/>
    <w:rPr>
      <w:rFonts w:hint="eastAsia" w:ascii="宋体" w:hAnsi="宋体" w:eastAsia="宋体" w:cs="宋体"/>
      <w:sz w:val="24"/>
      <w:szCs w:val="24"/>
    </w:rPr>
  </w:style>
  <w:style w:type="character" w:styleId="764">
    <w:name w:val="Hyperlink"/>
    <w:uiPriority w:val="99"/>
    <w:unhideWhenUsed/>
    <w:qFormat/>
    <w:rPr>
      <w:color w:val="0000ff"/>
      <w:u w:val="single"/>
    </w:rPr>
  </w:style>
  <w:style w:type="character" w:styleId="765">
    <w:name w:val="footnote reference"/>
    <w:basedOn w:val="733"/>
    <w:uiPriority w:val="99"/>
    <w:unhideWhenUsed/>
    <w:qFormat/>
    <w:rPr>
      <w:vertAlign w:val="superscript"/>
    </w:rPr>
  </w:style>
  <w:style w:type="paragraph" w:styleId="766" w:customStyle="1">
    <w:name w:val="首行缩进"/>
    <w:basedOn w:val="723"/>
    <w:uiPriority w:val="0"/>
    <w:qFormat/>
    <w:pPr>
      <w:ind w:firstLine="420"/>
      <w:spacing w:line="360" w:lineRule="auto"/>
    </w:pPr>
  </w:style>
  <w:style w:type="paragraph" w:styleId="767" w:customStyle="1">
    <w:name w:val="Default"/>
    <w:next w:val="723"/>
    <w:uiPriority w:val="0"/>
    <w:qFormat/>
    <w:pPr>
      <w:widowControl w:val="off"/>
    </w:pPr>
    <w:rPr>
      <w:rFonts w:ascii="宋体" w:hAnsi="Times New Roman" w:eastAsia="宋体" w:cs="宋体"/>
      <w:color w:val="000000"/>
      <w:sz w:val="24"/>
      <w:szCs w:val="24"/>
      <w:lang w:val="en-US" w:eastAsia="zh-CN" w:bidi="ar-SA"/>
    </w:rPr>
  </w:style>
  <w:style w:type="character" w:styleId="768" w:customStyle="1">
    <w:name w:val="Heading 1 Char"/>
    <w:basedOn w:val="733"/>
    <w:uiPriority w:val="9"/>
    <w:qFormat/>
    <w:rPr>
      <w:rFonts w:ascii="Arial" w:hAnsi="Arial" w:eastAsia="Arial" w:cs="Arial"/>
      <w:sz w:val="40"/>
      <w:szCs w:val="40"/>
    </w:rPr>
  </w:style>
  <w:style w:type="character" w:styleId="769" w:customStyle="1">
    <w:name w:val="Heading 2 Char"/>
    <w:basedOn w:val="733"/>
    <w:uiPriority w:val="9"/>
    <w:qFormat/>
    <w:rPr>
      <w:rFonts w:ascii="Arial" w:hAnsi="Arial" w:eastAsia="Arial" w:cs="Arial"/>
      <w:sz w:val="34"/>
    </w:rPr>
  </w:style>
  <w:style w:type="character" w:styleId="770" w:customStyle="1">
    <w:name w:val="标题 3 字符"/>
    <w:basedOn w:val="733"/>
    <w:link w:val="726"/>
    <w:uiPriority w:val="9"/>
    <w:qFormat/>
    <w:rPr>
      <w:rFonts w:ascii="Arial" w:hAnsi="Arial" w:eastAsia="宋体" w:cs="Arial"/>
      <w:sz w:val="28"/>
      <w:szCs w:val="30"/>
    </w:rPr>
  </w:style>
  <w:style w:type="character" w:styleId="771" w:customStyle="1">
    <w:name w:val="标题 4 字符"/>
    <w:basedOn w:val="733"/>
    <w:link w:val="727"/>
    <w:uiPriority w:val="9"/>
    <w:qFormat/>
    <w:rPr>
      <w:rFonts w:ascii="Arial" w:hAnsi="Arial" w:eastAsia="Arial" w:cs="Arial"/>
      <w:b/>
      <w:bCs/>
      <w:sz w:val="26"/>
      <w:szCs w:val="26"/>
    </w:rPr>
  </w:style>
  <w:style w:type="character" w:styleId="772" w:customStyle="1">
    <w:name w:val="标题 5 字符"/>
    <w:basedOn w:val="733"/>
    <w:link w:val="728"/>
    <w:uiPriority w:val="9"/>
    <w:qFormat/>
    <w:rPr>
      <w:rFonts w:ascii="Arial" w:hAnsi="Arial" w:eastAsia="Arial" w:cs="Arial"/>
      <w:b/>
      <w:bCs/>
      <w:sz w:val="24"/>
      <w:szCs w:val="24"/>
    </w:rPr>
  </w:style>
  <w:style w:type="character" w:styleId="773" w:customStyle="1">
    <w:name w:val="标题 6 字符"/>
    <w:basedOn w:val="733"/>
    <w:link w:val="729"/>
    <w:uiPriority w:val="9"/>
    <w:qFormat/>
    <w:rPr>
      <w:rFonts w:ascii="Arial" w:hAnsi="Arial" w:eastAsia="Arial" w:cs="Arial"/>
      <w:b/>
      <w:bCs/>
      <w:sz w:val="22"/>
      <w:szCs w:val="22"/>
    </w:rPr>
  </w:style>
  <w:style w:type="character" w:styleId="774" w:customStyle="1">
    <w:name w:val="标题 7 字符"/>
    <w:basedOn w:val="733"/>
    <w:link w:val="730"/>
    <w:uiPriority w:val="9"/>
    <w:qFormat/>
    <w:rPr>
      <w:rFonts w:ascii="Arial" w:hAnsi="Arial" w:eastAsia="Arial" w:cs="Arial"/>
      <w:b/>
      <w:bCs/>
      <w:i/>
      <w:iCs/>
      <w:sz w:val="22"/>
      <w:szCs w:val="22"/>
    </w:rPr>
  </w:style>
  <w:style w:type="character" w:styleId="775" w:customStyle="1">
    <w:name w:val="标题 8 字符"/>
    <w:basedOn w:val="733"/>
    <w:link w:val="731"/>
    <w:uiPriority w:val="9"/>
    <w:qFormat/>
    <w:rPr>
      <w:rFonts w:ascii="Arial" w:hAnsi="Arial" w:eastAsia="Arial" w:cs="Arial"/>
      <w:i/>
      <w:iCs/>
      <w:sz w:val="22"/>
      <w:szCs w:val="22"/>
    </w:rPr>
  </w:style>
  <w:style w:type="character" w:styleId="776" w:customStyle="1">
    <w:name w:val="标题 9 字符"/>
    <w:basedOn w:val="733"/>
    <w:link w:val="732"/>
    <w:uiPriority w:val="9"/>
    <w:qFormat/>
    <w:rPr>
      <w:rFonts w:ascii="Arial" w:hAnsi="Arial" w:eastAsia="Arial" w:cs="Arial"/>
      <w:i/>
      <w:iCs/>
      <w:sz w:val="21"/>
      <w:szCs w:val="21"/>
    </w:rPr>
  </w:style>
  <w:style w:type="paragraph" w:styleId="777">
    <w:name w:val="No Spacing"/>
    <w:uiPriority w:val="1"/>
    <w:qFormat/>
    <w:rPr>
      <w:rFonts w:asciiTheme="minorHAnsi" w:hAnsiTheme="minorHAnsi" w:eastAsiaTheme="minorEastAsia" w:cstheme="minorBidi"/>
      <w:lang w:val="en-US" w:eastAsia="zh-CN" w:bidi="ar-SA"/>
    </w:rPr>
  </w:style>
  <w:style w:type="character" w:styleId="778" w:customStyle="1">
    <w:name w:val="标题 字符"/>
    <w:basedOn w:val="733"/>
    <w:link w:val="759"/>
    <w:uiPriority w:val="10"/>
    <w:qFormat/>
    <w:rPr>
      <w:sz w:val="48"/>
      <w:szCs w:val="48"/>
    </w:rPr>
  </w:style>
  <w:style w:type="character" w:styleId="779" w:customStyle="1">
    <w:name w:val="副标题 字符"/>
    <w:basedOn w:val="733"/>
    <w:link w:val="752"/>
    <w:uiPriority w:val="11"/>
    <w:qFormat/>
    <w:rPr>
      <w:sz w:val="24"/>
      <w:szCs w:val="24"/>
    </w:rPr>
  </w:style>
  <w:style w:type="paragraph" w:styleId="780">
    <w:name w:val="Quote"/>
    <w:basedOn w:val="723"/>
    <w:next w:val="723"/>
    <w:link w:val="781"/>
    <w:uiPriority w:val="29"/>
    <w:qFormat/>
    <w:pPr>
      <w:ind w:left="720" w:right="720"/>
    </w:pPr>
    <w:rPr>
      <w:i/>
    </w:rPr>
  </w:style>
  <w:style w:type="character" w:styleId="781" w:customStyle="1">
    <w:name w:val="引用 字符"/>
    <w:link w:val="780"/>
    <w:uiPriority w:val="29"/>
    <w:qFormat/>
    <w:rPr>
      <w:i/>
    </w:rPr>
  </w:style>
  <w:style w:type="paragraph" w:styleId="782">
    <w:name w:val="Intense Quote"/>
    <w:basedOn w:val="723"/>
    <w:next w:val="723"/>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字符"/>
    <w:link w:val="782"/>
    <w:uiPriority w:val="30"/>
    <w:qFormat/>
    <w:rPr>
      <w:i/>
    </w:rPr>
  </w:style>
  <w:style w:type="character" w:styleId="784" w:customStyle="1">
    <w:name w:val="页眉 字符"/>
    <w:basedOn w:val="733"/>
    <w:link w:val="749"/>
    <w:uiPriority w:val="99"/>
    <w:qFormat/>
  </w:style>
  <w:style w:type="character" w:styleId="785" w:customStyle="1">
    <w:name w:val="Footer Char"/>
    <w:basedOn w:val="733"/>
    <w:uiPriority w:val="99"/>
    <w:qFormat/>
  </w:style>
  <w:style w:type="character" w:styleId="786" w:customStyle="1">
    <w:name w:val="Caption Char"/>
    <w:uiPriority w:val="99"/>
    <w:qFormat/>
  </w:style>
  <w:style w:type="table" w:styleId="787" w:customStyle="1">
    <w:name w:val="Table Grid Light"/>
    <w:basedOn w:val="7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8" w:customStyle="1">
    <w:name w:val="无格式表格 11"/>
    <w:basedOn w:val="7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basedOn w:val="7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basedOn w:val="7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73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73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73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73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73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73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0" w:customStyle="1">
    <w:name w:val="网格表 21"/>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73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73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73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73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73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73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7" w:customStyle="1">
    <w:name w:val="网格表 31"/>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73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73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73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73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73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73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734"/>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6" w:customStyle="1">
    <w:name w:val="Grid Table 4 - Accent 2"/>
    <w:basedOn w:val="734"/>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7" w:customStyle="1">
    <w:name w:val="Grid Table 4 - Accent 3"/>
    <w:basedOn w:val="734"/>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8" w:customStyle="1">
    <w:name w:val="Grid Table 4 - Accent 4"/>
    <w:basedOn w:val="734"/>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9" w:customStyle="1">
    <w:name w:val="Grid Table 4 - Accent 5"/>
    <w:basedOn w:val="734"/>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0" w:customStyle="1">
    <w:name w:val="Grid Table 4 - Accent 6"/>
    <w:basedOn w:val="734"/>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1" w:customStyle="1">
    <w:name w:val="网格表 5 深色1"/>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3" w:customStyle="1">
    <w:name w:val="Grid Table 5 Dark - Accent 2"/>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4" w:customStyle="1">
    <w:name w:val="Grid Table 5 Dark - Accent 3"/>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5" w:customStyle="1">
    <w:name w:val="Grid Table 5 Dark- Accent 4"/>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6" w:customStyle="1">
    <w:name w:val="Grid Table 5 Dark - Accent 5"/>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7" w:customStyle="1">
    <w:name w:val="Grid Table 5 Dark - Accent 6"/>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8" w:customStyle="1">
    <w:name w:val="网格表 6 彩色1"/>
    <w:basedOn w:val="7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basedOn w:val="734"/>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0" w:customStyle="1">
    <w:name w:val="Grid Table 6 Colorful - Accent 2"/>
    <w:basedOn w:val="73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1" w:customStyle="1">
    <w:name w:val="Grid Table 6 Colorful - Accent 3"/>
    <w:basedOn w:val="734"/>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32" w:customStyle="1">
    <w:name w:val="Grid Table 6 Colorful - Accent 4"/>
    <w:basedOn w:val="73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3" w:customStyle="1">
    <w:name w:val="Grid Table 6 Colorful - Accent 5"/>
    <w:basedOn w:val="734"/>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4" w:customStyle="1">
    <w:name w:val="Grid Table 6 Colorful - Accent 6"/>
    <w:basedOn w:val="734"/>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5" w:customStyle="1">
    <w:name w:val="网格表 7 彩色1"/>
    <w:basedOn w:val="7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734"/>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734"/>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734"/>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734"/>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734"/>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734"/>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2" w:customStyle="1">
    <w:name w:val="清单表 1 浅色1"/>
    <w:basedOn w:val="73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734"/>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734"/>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734"/>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734"/>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734"/>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734"/>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9" w:customStyle="1">
    <w:name w:val="清单表 21"/>
    <w:basedOn w:val="7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basedOn w:val="734"/>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1" w:customStyle="1">
    <w:name w:val="List Table 2 - Accent 2"/>
    <w:basedOn w:val="734"/>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2" w:customStyle="1">
    <w:name w:val="List Table 2 - Accent 3"/>
    <w:basedOn w:val="734"/>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3" w:customStyle="1">
    <w:name w:val="List Table 2 - Accent 4"/>
    <w:basedOn w:val="734"/>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4" w:customStyle="1">
    <w:name w:val="List Table 2 - Accent 5"/>
    <w:basedOn w:val="734"/>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5" w:customStyle="1">
    <w:name w:val="List Table 2 - Accent 6"/>
    <w:basedOn w:val="734"/>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6" w:customStyle="1">
    <w:name w:val="清单表 31"/>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734"/>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8" w:customStyle="1">
    <w:name w:val="List Table 3 - Accent 2"/>
    <w:basedOn w:val="73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734"/>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73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734"/>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734"/>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3" w:customStyle="1">
    <w:name w:val="清单表 41"/>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734"/>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5" w:customStyle="1">
    <w:name w:val="List Table 4 - Accent 2"/>
    <w:basedOn w:val="734"/>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6" w:customStyle="1">
    <w:name w:val="List Table 4 - Accent 3"/>
    <w:basedOn w:val="734"/>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7" w:customStyle="1">
    <w:name w:val="List Table 4 - Accent 4"/>
    <w:basedOn w:val="734"/>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8" w:customStyle="1">
    <w:name w:val="List Table 4 - Accent 5"/>
    <w:basedOn w:val="734"/>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9" w:customStyle="1">
    <w:name w:val="List Table 4 - Accent 6"/>
    <w:basedOn w:val="734"/>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0" w:customStyle="1">
    <w:name w:val="清单表 5 深色1"/>
    <w:basedOn w:val="7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basedOn w:val="734"/>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basedOn w:val="734"/>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basedOn w:val="734"/>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basedOn w:val="734"/>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basedOn w:val="734"/>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basedOn w:val="734"/>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清单表 6 彩色1"/>
    <w:basedOn w:val="73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basedOn w:val="734"/>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9" w:customStyle="1">
    <w:name w:val="List Table 6 Colorful - Accent 2"/>
    <w:basedOn w:val="734"/>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0" w:customStyle="1">
    <w:name w:val="List Table 6 Colorful - Accent 3"/>
    <w:basedOn w:val="734"/>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1" w:customStyle="1">
    <w:name w:val="List Table 6 Colorful - Accent 4"/>
    <w:basedOn w:val="734"/>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2" w:customStyle="1">
    <w:name w:val="List Table 6 Colorful - Accent 5"/>
    <w:basedOn w:val="734"/>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3" w:customStyle="1">
    <w:name w:val="List Table 6 Colorful - Accent 6"/>
    <w:basedOn w:val="734"/>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4" w:customStyle="1">
    <w:name w:val="清单表 7 彩色1"/>
    <w:basedOn w:val="73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734"/>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734"/>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734"/>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734"/>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734"/>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734"/>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3" w:customStyle="1">
    <w:name w:val="Lined - Accent 2"/>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4" w:customStyle="1">
    <w:name w:val="Lined - Accent 3"/>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5" w:customStyle="1">
    <w:name w:val="Lined - Accent 4"/>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6" w:customStyle="1">
    <w:name w:val="Lined - Accent 5"/>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7" w:customStyle="1">
    <w:name w:val="Lined - Accent 6"/>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8" w:customStyle="1">
    <w:name w:val="Bordered &amp; Lined - Accent"/>
    <w:basedOn w:val="73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basedOn w:val="734"/>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0" w:customStyle="1">
    <w:name w:val="Bordered &amp; Lined - Accent 2"/>
    <w:basedOn w:val="734"/>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1" w:customStyle="1">
    <w:name w:val="Bordered &amp; Lined - Accent 3"/>
    <w:basedOn w:val="734"/>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2" w:customStyle="1">
    <w:name w:val="Bordered &amp; Lined - Accent 4"/>
    <w:basedOn w:val="734"/>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3" w:customStyle="1">
    <w:name w:val="Bordered &amp; Lined - Accent 5"/>
    <w:basedOn w:val="734"/>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4" w:customStyle="1">
    <w:name w:val="Bordered &amp; Lined - Accent 6"/>
    <w:basedOn w:val="734"/>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5" w:customStyle="1">
    <w:name w:val="Bordered"/>
    <w:basedOn w:val="73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basedOn w:val="73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7" w:customStyle="1">
    <w:name w:val="Bordered - Accent 2"/>
    <w:basedOn w:val="73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8" w:customStyle="1">
    <w:name w:val="Bordered - Accent 3"/>
    <w:basedOn w:val="73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9" w:customStyle="1">
    <w:name w:val="Bordered - Accent 4"/>
    <w:basedOn w:val="73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0" w:customStyle="1">
    <w:name w:val="Bordered - Accent 5"/>
    <w:basedOn w:val="73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1" w:customStyle="1">
    <w:name w:val="Bordered - Accent 6"/>
    <w:basedOn w:val="73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2" w:customStyle="1">
    <w:name w:val="脚注文本 字符"/>
    <w:link w:val="753"/>
    <w:uiPriority w:val="99"/>
    <w:qFormat/>
    <w:rPr>
      <w:sz w:val="18"/>
    </w:rPr>
  </w:style>
  <w:style w:type="character" w:styleId="913" w:customStyle="1">
    <w:name w:val="尾注文本 字符"/>
    <w:link w:val="747"/>
    <w:uiPriority w:val="99"/>
    <w:qFormat/>
    <w:rPr>
      <w:sz w:val="20"/>
    </w:rPr>
  </w:style>
  <w:style w:type="paragraph" w:styleId="914" w:customStyle="1">
    <w:name w:val="TOC 标题1"/>
    <w:uiPriority w:val="39"/>
    <w:unhideWhenUsed/>
    <w:qFormat/>
    <w:rPr>
      <w:rFonts w:asciiTheme="minorHAnsi" w:hAnsiTheme="minorHAnsi" w:eastAsiaTheme="minorEastAsia" w:cstheme="minorBidi"/>
      <w:lang w:val="en-US" w:eastAsia="zh-CN" w:bidi="ar-SA"/>
    </w:rPr>
  </w:style>
  <w:style w:type="character" w:styleId="915" w:customStyle="1">
    <w:name w:val="正文文本 字符"/>
    <w:link w:val="742"/>
    <w:uiPriority w:val="99"/>
    <w:qFormat/>
    <w:rPr>
      <w:rFonts w:eastAsia="宋体"/>
      <w:sz w:val="24"/>
      <w:szCs w:val="24"/>
    </w:rPr>
  </w:style>
  <w:style w:type="paragraph" w:styleId="916" w:customStyle="1">
    <w:name w:val="普通正文"/>
    <w:basedOn w:val="723"/>
    <w:uiPriority w:val="0"/>
    <w:qFormat/>
    <w:pPr>
      <w:ind w:firstLine="480"/>
      <w:jc w:val="left"/>
      <w:spacing w:before="120" w:after="120" w:line="360" w:lineRule="auto"/>
    </w:pPr>
    <w:rPr>
      <w:rFonts w:ascii="Arial" w:hAnsi="Arial"/>
      <w:sz w:val="24"/>
      <w:szCs w:val="24"/>
    </w:rPr>
  </w:style>
  <w:style w:type="paragraph" w:styleId="917" w:customStyle="1">
    <w:name w:val="标题 31"/>
    <w:basedOn w:val="723"/>
    <w:uiPriority w:val="0"/>
    <w:qFormat/>
    <w:pPr>
      <w:numPr>
        <w:ilvl w:val="0"/>
        <w:numId w:val="1"/>
      </w:numPr>
      <w:jc w:val="center"/>
      <w:keepNext/>
      <w:spacing w:line="400" w:lineRule="exact"/>
      <w:outlineLvl w:val="2"/>
    </w:pPr>
    <w:rPr>
      <w:rFonts w:ascii="仿宋_GB2312" w:hAnsi="Times New Roman" w:eastAsia="仿宋_GB2312"/>
      <w:sz w:val="32"/>
      <w:szCs w:val="20"/>
    </w:rPr>
  </w:style>
  <w:style w:type="character" w:styleId="918" w:customStyle="1">
    <w:name w:val="font31"/>
    <w:basedOn w:val="733"/>
    <w:uiPriority w:val="0"/>
    <w:qFormat/>
    <w:rPr>
      <w:rFonts w:hint="eastAsia" w:ascii="宋体" w:hAnsi="宋体" w:eastAsia="宋体" w:cs="宋体"/>
      <w:color w:val="000000"/>
      <w:sz w:val="20"/>
      <w:szCs w:val="20"/>
      <w:u w:val="none"/>
    </w:rPr>
  </w:style>
  <w:style w:type="character" w:styleId="919" w:customStyle="1">
    <w:name w:val="font61"/>
    <w:basedOn w:val="733"/>
    <w:uiPriority w:val="0"/>
    <w:qFormat/>
    <w:rPr>
      <w:rFonts w:ascii="MS Gothic" w:hAnsi="MS Gothic" w:eastAsia="MS Gothic" w:cs="MS Gothic"/>
      <w:color w:val="000000"/>
      <w:sz w:val="20"/>
      <w:szCs w:val="20"/>
      <w:u w:val="none"/>
    </w:rPr>
  </w:style>
  <w:style w:type="character" w:styleId="920" w:customStyle="1">
    <w:name w:val="font71"/>
    <w:basedOn w:val="733"/>
    <w:uiPriority w:val="0"/>
    <w:qFormat/>
    <w:rPr>
      <w:rFonts w:ascii="Arial" w:hAnsi="Arial" w:cs="Arial"/>
      <w:color w:val="000000"/>
      <w:sz w:val="20"/>
      <w:szCs w:val="20"/>
      <w:u w:val="none"/>
    </w:rPr>
  </w:style>
  <w:style w:type="character" w:styleId="921" w:customStyle="1">
    <w:name w:val="font51"/>
    <w:basedOn w:val="733"/>
    <w:uiPriority w:val="0"/>
    <w:qFormat/>
    <w:rPr>
      <w:rFonts w:hint="default" w:ascii="Arial" w:hAnsi="Arial" w:cs="Arial"/>
      <w:color w:val="000000"/>
      <w:sz w:val="20"/>
      <w:szCs w:val="20"/>
      <w:u w:val="none"/>
    </w:rPr>
  </w:style>
  <w:style w:type="character" w:styleId="922" w:customStyle="1">
    <w:name w:val="font81"/>
    <w:basedOn w:val="733"/>
    <w:uiPriority w:val="0"/>
    <w:qFormat/>
    <w:rPr>
      <w:rFonts w:hint="eastAsia" w:ascii="宋体" w:hAnsi="宋体" w:eastAsia="宋体" w:cs="宋体"/>
      <w:color w:val="000000"/>
      <w:sz w:val="20"/>
      <w:szCs w:val="20"/>
      <w:u w:val="none"/>
    </w:rPr>
  </w:style>
  <w:style w:type="paragraph" w:styleId="923" w:customStyle="1">
    <w:name w:val="WPS Plain"/>
    <w:uiPriority w:val="0"/>
    <w:qFormat/>
    <w:rPr>
      <w:rFonts w:ascii="Times New Roman" w:hAnsi="Times New Roman" w:eastAsia="宋体" w:cs="Times New Roman"/>
      <w:lang w:val="en-US" w:eastAsia="zh-CN" w:bidi="ar-SA"/>
    </w:rPr>
  </w:style>
  <w:style w:type="character" w:styleId="924" w:customStyle="1">
    <w:name w:val="font01"/>
    <w:basedOn w:val="733"/>
    <w:uiPriority w:val="0"/>
    <w:qFormat/>
    <w:rPr>
      <w:rFonts w:hint="eastAsia" w:ascii="宋体" w:hAnsi="宋体" w:eastAsia="宋体" w:cs="宋体"/>
      <w:b/>
      <w:bCs/>
      <w:color w:val="000000"/>
      <w:sz w:val="20"/>
      <w:szCs w:val="20"/>
      <w:u w:val="none"/>
    </w:rPr>
  </w:style>
  <w:style w:type="character" w:styleId="925" w:customStyle="1">
    <w:name w:val="标题 1 字符"/>
    <w:link w:val="724"/>
    <w:uiPriority w:val="9"/>
    <w:qFormat/>
    <w:rPr>
      <w:rFonts w:ascii="楷体_GB2312" w:hAnsi="楷体_GB2312" w:eastAsia="宋体" w:cs="宋体"/>
      <w:b/>
      <w:sz w:val="32"/>
      <w:szCs w:val="24"/>
    </w:rPr>
  </w:style>
  <w:style w:type="paragraph" w:styleId="926" w:customStyle="1">
    <w:name w:val="正文1"/>
    <w:uiPriority w:val="0"/>
    <w:qFormat/>
    <w:rPr>
      <w:rFonts w:ascii="Times New Roman" w:hAnsi="Times New Roman" w:eastAsia="Times New Roman" w:cs="Times New Roman"/>
      <w:sz w:val="24"/>
      <w:szCs w:val="24"/>
      <w:lang w:val="en-US" w:eastAsia="zh-CN" w:bidi="ar-SA"/>
    </w:rPr>
  </w:style>
  <w:style w:type="paragraph" w:styleId="92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28" w:customStyle="1">
    <w:name w:val="正文."/>
    <w:uiPriority w:val="99"/>
    <w:qFormat/>
    <w:pPr>
      <w:spacing w:line="300" w:lineRule="auto"/>
    </w:pPr>
    <w:rPr>
      <w:rFonts w:ascii="Arial" w:hAnsi="Arial" w:eastAsia="宋体" w:cs="Arial"/>
      <w:szCs w:val="21"/>
      <w:lang w:val="en-US" w:eastAsia="zh-CN" w:bidi="ar-SA"/>
    </w:rPr>
  </w:style>
  <w:style w:type="paragraph" w:styleId="929" w:customStyle="1">
    <w:name w:val="Body text|1"/>
    <w:basedOn w:val="723"/>
    <w:uiPriority w:val="0"/>
    <w:qFormat/>
    <w:pPr>
      <w:ind w:firstLine="400"/>
      <w:spacing w:line="372" w:lineRule="auto"/>
    </w:pPr>
    <w:rPr>
      <w:rFonts w:ascii="宋体" w:hAnsi="宋体" w:cs="宋体"/>
      <w:sz w:val="28"/>
      <w:szCs w:val="28"/>
      <w:lang w:val="zh-TW" w:eastAsia="zh-TW" w:bidi="zh-TW"/>
    </w:rPr>
  </w:style>
  <w:style w:type="paragraph" w:styleId="930" w:customStyle="1">
    <w:name w:val="正文缩进1"/>
    <w:basedOn w:val="931"/>
    <w:uiPriority w:val="0"/>
    <w:qFormat/>
    <w:pPr>
      <w:ind w:firstLine="420"/>
      <w:jc w:val="left"/>
    </w:pPr>
    <w:rPr>
      <w:sz w:val="24"/>
    </w:rPr>
  </w:style>
  <w:style w:type="paragraph" w:styleId="931" w:customStyle="1">
    <w:name w:val="正文11"/>
    <w:next w:val="932"/>
    <w:link w:val="934"/>
    <w:uiPriority w:val="0"/>
    <w:qFormat/>
    <w:pPr>
      <w:jc w:val="both"/>
      <w:widowControl w:val="off"/>
    </w:pPr>
    <w:rPr>
      <w:rFonts w:ascii="Times New Roman" w:hAnsi="Times New Roman" w:eastAsia="楷体_GB2312" w:cs="Times New Roman"/>
      <w:sz w:val="26"/>
      <w:lang w:val="en-US" w:eastAsia="zh-CN" w:bidi="ar-SA"/>
    </w:rPr>
  </w:style>
  <w:style w:type="paragraph" w:styleId="932" w:customStyle="1">
    <w:name w:val="段"/>
    <w:next w:val="931"/>
    <w:uiPriority w:val="0"/>
    <w:qFormat/>
    <w:pPr>
      <w:ind w:firstLine="200"/>
      <w:jc w:val="both"/>
    </w:pPr>
    <w:rPr>
      <w:rFonts w:ascii="宋体" w:hAnsi="Times New Roman" w:eastAsia="宋体" w:cs="Times New Roman"/>
      <w:sz w:val="21"/>
      <w:szCs w:val="22"/>
      <w:lang w:val="en-US" w:eastAsia="zh-CN" w:bidi="ar-SA"/>
    </w:rPr>
  </w:style>
  <w:style w:type="paragraph" w:styleId="933" w:customStyle="1">
    <w:name w:val="标题 11"/>
    <w:basedOn w:val="931"/>
    <w:next w:val="931"/>
    <w:uiPriority w:val="0"/>
    <w:qFormat/>
    <w:pPr>
      <w:keepLines/>
      <w:keepNext/>
      <w:spacing w:before="340" w:after="330" w:line="578" w:lineRule="auto"/>
      <w:outlineLvl w:val="0"/>
    </w:pPr>
    <w:rPr>
      <w:b/>
      <w:sz w:val="44"/>
    </w:rPr>
  </w:style>
  <w:style w:type="character" w:styleId="934" w:customStyle="1">
    <w:name w:val="要点1"/>
    <w:link w:val="931"/>
    <w:uiPriority w:val="0"/>
    <w:qFormat/>
    <w:rPr>
      <w:rFonts w:ascii="Times New Roman" w:hAnsi="Times New Roman" w:eastAsia="楷体_GB2312" w:cs="Times New Roman"/>
      <w:sz w:val="26"/>
      <w:lang w:val="en-US" w:eastAsia="zh-CN" w:bidi="ar-SA"/>
    </w:rPr>
  </w:style>
  <w:style w:type="paragraph" w:styleId="935" w:customStyle="1">
    <w:name w:val="普通(网站)1"/>
    <w:basedOn w:val="931"/>
    <w:uiPriority w:val="0"/>
    <w:qFormat/>
    <w:pPr>
      <w:jc w:val="left"/>
      <w:spacing w:before="100" w:beforeAutospacing="1" w:after="100" w:afterAutospacing="1"/>
      <w:widowControl/>
    </w:pPr>
    <w:rPr>
      <w:rFonts w:ascii="宋体" w:hAnsi="宋体"/>
      <w:sz w:val="24"/>
    </w:rPr>
  </w:style>
  <w:style w:type="paragraph" w:styleId="936" w:customStyle="1">
    <w:name w:val="正文文本缩进 21"/>
    <w:basedOn w:val="931"/>
    <w:uiPriority w:val="0"/>
    <w:qFormat/>
    <w:pPr>
      <w:ind w:left="420"/>
      <w:spacing w:after="120" w:line="480" w:lineRule="auto"/>
    </w:pPr>
  </w:style>
  <w:style w:type="paragraph" w:styleId="937" w:customStyle="1">
    <w:name w:val="纯文本11"/>
    <w:basedOn w:val="931"/>
    <w:uiPriority w:val="0"/>
    <w:qFormat/>
    <w:rPr>
      <w:rFonts w:ascii="宋体" w:hAnsi="Courier New"/>
    </w:rPr>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jpg"/><Relationship Id="rId13" Type="http://schemas.openxmlformats.org/officeDocument/2006/relationships/image" Target="media/image2.png"/><Relationship Id="rId14" Type="http://schemas.openxmlformats.org/officeDocument/2006/relationships/image" Target="media/image3.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4A8B6A-6784-4626-9DD2-4EF5D8E882A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流年</dc:creator>
  <cp:lastModifiedBy>陈晓盼</cp:lastModifiedBy>
  <cp:revision>63</cp:revision>
  <dcterms:created xsi:type="dcterms:W3CDTF">2024-07-16T07:26:00Z</dcterms:created>
  <dcterms:modified xsi:type="dcterms:W3CDTF">2024-08-02T00:47:55Z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D9A6B15187214DB383500D0707E4C6CC_13</vt:lpwstr>
  </property>
</Properties>
</file>