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10"/>
        <w:spacing w:before="120" w:beforeAutospacing="0" w:after="120" w:afterAutospacing="0" w:line="360" w:lineRule="auto"/>
        <w:rPr>
          <w:highlight w:val="none"/>
        </w:rPr>
      </w:pPr>
      <w:r>
        <w:rPr>
          <w:highlight w:val="none"/>
        </w:rPr>
        <w:t> </w:t>
      </w:r>
    </w:p>
    <w:p w14:paraId="1CA9032C">
      <w:pPr>
        <w:pStyle w:val="10"/>
        <w:spacing w:before="120" w:beforeAutospacing="0" w:after="120" w:afterAutospacing="0" w:line="360" w:lineRule="auto"/>
        <w:rPr>
          <w:highlight w:val="none"/>
        </w:rPr>
      </w:pPr>
    </w:p>
    <w:p w14:paraId="4ACB3DA4">
      <w:pPr>
        <w:pStyle w:val="10"/>
        <w:spacing w:before="120" w:beforeAutospacing="0" w:after="120" w:afterAutospacing="0" w:line="360" w:lineRule="auto"/>
        <w:jc w:val="center"/>
        <w:rPr>
          <w:rFonts w:ascii="Arial" w:hAnsi="Arial" w:cs="Arial"/>
          <w:b/>
          <w:color w:val="000000"/>
          <w:sz w:val="84"/>
          <w:szCs w:val="84"/>
          <w:highlight w:val="none"/>
        </w:rPr>
      </w:pPr>
      <w:r>
        <w:rPr>
          <w:rFonts w:ascii="Arial" w:hAnsi="Arial" w:cs="Arial"/>
          <w:b/>
          <w:color w:val="000000"/>
          <w:sz w:val="84"/>
          <w:szCs w:val="84"/>
          <w:highlight w:val="none"/>
        </w:rPr>
        <w:t>招 标 文 件</w:t>
      </w:r>
    </w:p>
    <w:p w14:paraId="39AE4B4C">
      <w:pPr>
        <w:pStyle w:val="10"/>
        <w:spacing w:before="120" w:beforeAutospacing="0" w:after="120" w:afterAutospacing="0" w:line="360" w:lineRule="auto"/>
        <w:jc w:val="center"/>
        <w:rPr>
          <w:rFonts w:ascii="Arial" w:hAnsi="Arial" w:cs="Arial"/>
          <w:b/>
          <w:color w:val="000000"/>
          <w:sz w:val="84"/>
          <w:szCs w:val="84"/>
          <w:highlight w:val="none"/>
        </w:rPr>
      </w:pPr>
    </w:p>
    <w:p w14:paraId="5D74EA52">
      <w:pPr>
        <w:pStyle w:val="10"/>
        <w:spacing w:before="120" w:beforeAutospacing="0" w:after="120" w:afterAutospacing="0" w:line="360" w:lineRule="auto"/>
        <w:jc w:val="center"/>
        <w:rPr>
          <w:rFonts w:ascii="Arial" w:hAnsi="Arial" w:cs="Arial"/>
          <w:b/>
          <w:color w:val="000000"/>
          <w:sz w:val="84"/>
          <w:szCs w:val="84"/>
          <w:highlight w:val="none"/>
        </w:rPr>
      </w:pPr>
    </w:p>
    <w:p w14:paraId="568EA975">
      <w:pPr>
        <w:pStyle w:val="10"/>
        <w:spacing w:before="120" w:beforeAutospacing="0" w:after="120" w:afterAutospacing="0" w:line="360" w:lineRule="auto"/>
        <w:rPr>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rPr>
        <w:t>唐洋镇机关食堂食材、调料等物品采购项目</w:t>
      </w:r>
    </w:p>
    <w:p w14:paraId="2DE7B564">
      <w:pPr>
        <w:pStyle w:val="10"/>
        <w:spacing w:before="120" w:beforeAutospacing="0" w:after="120" w:afterAutospacing="0" w:line="360" w:lineRule="auto"/>
        <w:jc w:val="both"/>
        <w:rPr>
          <w:highlight w:val="none"/>
        </w:rPr>
      </w:pPr>
      <w:r>
        <w:rPr>
          <w:rFonts w:ascii="Arial" w:hAnsi="Arial" w:cs="Arial"/>
          <w:b/>
          <w:color w:val="000000"/>
          <w:sz w:val="32"/>
          <w:szCs w:val="32"/>
          <w:highlight w:val="none"/>
        </w:rPr>
        <w:t>项目编号：</w:t>
      </w:r>
      <w:r>
        <w:rPr>
          <w:rFonts w:hint="eastAsia" w:ascii="Times New Roman" w:hAnsi="Times New Roman"/>
          <w:b/>
          <w:color w:val="000000"/>
          <w:sz w:val="28"/>
          <w:szCs w:val="28"/>
          <w:highlight w:val="none"/>
        </w:rPr>
        <w:t>JSZC-320981-YCCZ-G2025-0003</w:t>
      </w:r>
      <w:r>
        <w:rPr>
          <w:rFonts w:hint="eastAsia" w:ascii="Times New Roman" w:hAnsi="Times New Roman"/>
          <w:b/>
          <w:color w:val="000000"/>
          <w:sz w:val="28"/>
          <w:szCs w:val="28"/>
          <w:highlight w:val="none"/>
          <w:lang w:val="en-US" w:eastAsia="zh-CN"/>
        </w:rPr>
        <w:t xml:space="preserve">   </w:t>
      </w:r>
    </w:p>
    <w:p w14:paraId="2926E52A">
      <w:pPr>
        <w:pStyle w:val="10"/>
        <w:spacing w:beforeAutospacing="0" w:afterAutospacing="0" w:line="360" w:lineRule="auto"/>
        <w:rPr>
          <w:highlight w:val="none"/>
        </w:rPr>
      </w:pPr>
      <w:r>
        <w:rPr>
          <w:highlight w:val="none"/>
        </w:rPr>
        <w:t> </w:t>
      </w:r>
    </w:p>
    <w:p w14:paraId="37D5E739">
      <w:pPr>
        <w:pStyle w:val="10"/>
        <w:spacing w:beforeAutospacing="0" w:afterAutospacing="0" w:line="360" w:lineRule="auto"/>
        <w:rPr>
          <w:highlight w:val="none"/>
        </w:rPr>
      </w:pPr>
      <w:r>
        <w:rPr>
          <w:highlight w:val="none"/>
        </w:rPr>
        <w:t> </w:t>
      </w:r>
    </w:p>
    <w:p w14:paraId="381EBCF8">
      <w:pPr>
        <w:pStyle w:val="10"/>
        <w:spacing w:beforeAutospacing="0" w:afterAutospacing="0" w:line="360" w:lineRule="auto"/>
        <w:rPr>
          <w:highlight w:val="none"/>
        </w:rPr>
      </w:pPr>
      <w:r>
        <w:rPr>
          <w:highlight w:val="none"/>
        </w:rPr>
        <w:t> </w:t>
      </w:r>
    </w:p>
    <w:p w14:paraId="4C180711">
      <w:pPr>
        <w:pStyle w:val="10"/>
        <w:spacing w:beforeAutospacing="0" w:afterAutospacing="0" w:line="360" w:lineRule="auto"/>
        <w:rPr>
          <w:highlight w:val="none"/>
        </w:rPr>
      </w:pPr>
      <w:r>
        <w:rPr>
          <w:highlight w:val="none"/>
        </w:rPr>
        <w:t> </w:t>
      </w:r>
    </w:p>
    <w:p w14:paraId="3260F04D">
      <w:pPr>
        <w:pStyle w:val="10"/>
        <w:spacing w:beforeAutospacing="0" w:afterAutospacing="0" w:line="360" w:lineRule="auto"/>
        <w:rPr>
          <w:highlight w:val="none"/>
        </w:rPr>
      </w:pPr>
      <w:r>
        <w:rPr>
          <w:highlight w:val="none"/>
        </w:rPr>
        <w:t> </w:t>
      </w:r>
    </w:p>
    <w:p w14:paraId="7B85D1C1">
      <w:pPr>
        <w:pStyle w:val="10"/>
        <w:spacing w:beforeAutospacing="0" w:afterAutospacing="0" w:line="360" w:lineRule="auto"/>
        <w:rPr>
          <w:highlight w:val="none"/>
        </w:rPr>
      </w:pPr>
      <w:r>
        <w:rPr>
          <w:highlight w:val="none"/>
        </w:rPr>
        <w:t> </w:t>
      </w:r>
    </w:p>
    <w:p w14:paraId="3DF7E29F">
      <w:pPr>
        <w:pStyle w:val="10"/>
        <w:spacing w:beforeAutospacing="0" w:afterAutospacing="0" w:line="360" w:lineRule="auto"/>
        <w:rPr>
          <w:highlight w:val="none"/>
        </w:rPr>
      </w:pPr>
      <w:r>
        <w:rPr>
          <w:highlight w:val="none"/>
        </w:rPr>
        <w:t> </w:t>
      </w:r>
    </w:p>
    <w:p w14:paraId="10505119">
      <w:pPr>
        <w:pStyle w:val="10"/>
        <w:spacing w:before="120" w:beforeAutospacing="0" w:after="120" w:afterAutospacing="0" w:line="360" w:lineRule="auto"/>
        <w:jc w:val="center"/>
        <w:rPr>
          <w:rFonts w:ascii="Arial" w:hAnsi="Arial" w:cs="Arial"/>
          <w:b/>
          <w:color w:val="000000"/>
          <w:sz w:val="32"/>
          <w:szCs w:val="32"/>
          <w:highlight w:val="none"/>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rPr>
        <w:t>东台市唐洋镇人民政府</w:t>
      </w:r>
    </w:p>
    <w:p w14:paraId="48DE62A8">
      <w:pPr>
        <w:pStyle w:val="10"/>
        <w:spacing w:before="120" w:beforeAutospacing="0" w:after="120" w:afterAutospacing="0" w:line="360" w:lineRule="auto"/>
        <w:jc w:val="center"/>
        <w:rPr>
          <w:highlight w:val="none"/>
        </w:rPr>
      </w:pPr>
      <w:r>
        <w:rPr>
          <w:rFonts w:hint="eastAsia" w:ascii="Arial" w:hAnsi="Arial" w:cs="Arial"/>
          <w:b/>
          <w:color w:val="000000"/>
          <w:sz w:val="32"/>
          <w:szCs w:val="32"/>
          <w:highlight w:val="none"/>
          <w:u w:val="single"/>
          <w:lang w:val="en-US" w:eastAsia="zh-CN"/>
        </w:rPr>
        <w:t>2025</w:t>
      </w:r>
      <w:r>
        <w:rPr>
          <w:rFonts w:ascii="Arial" w:hAnsi="Arial" w:cs="Arial"/>
          <w:b/>
          <w:color w:val="000000"/>
          <w:sz w:val="32"/>
          <w:szCs w:val="32"/>
          <w:highlight w:val="none"/>
        </w:rPr>
        <w:t>年</w:t>
      </w:r>
      <w:r>
        <w:rPr>
          <w:rFonts w:hint="eastAsia" w:ascii="Arial" w:hAnsi="Arial" w:cs="Arial"/>
          <w:b/>
          <w:color w:val="000000"/>
          <w:sz w:val="32"/>
          <w:szCs w:val="32"/>
          <w:highlight w:val="none"/>
          <w:u w:val="single"/>
          <w:lang w:val="en-US" w:eastAsia="zh-CN"/>
        </w:rPr>
        <w:t>3</w:t>
      </w:r>
      <w:r>
        <w:rPr>
          <w:rFonts w:ascii="Arial" w:hAnsi="Arial" w:cs="Arial"/>
          <w:b/>
          <w:color w:val="000000"/>
          <w:sz w:val="32"/>
          <w:szCs w:val="32"/>
          <w:highlight w:val="none"/>
        </w:rPr>
        <w:t>月</w:t>
      </w:r>
    </w:p>
    <w:p w14:paraId="1A1FF07E">
      <w:pPr>
        <w:pStyle w:val="10"/>
        <w:spacing w:before="120" w:beforeAutospacing="0" w:after="120" w:afterAutospacing="0" w:line="360" w:lineRule="auto"/>
        <w:rPr>
          <w:highlight w:val="none"/>
        </w:rPr>
      </w:pPr>
      <w:r>
        <w:rPr>
          <w:rFonts w:ascii="Arial" w:hAnsi="Arial" w:cs="Arial"/>
          <w:color w:val="000000"/>
          <w:highlight w:val="none"/>
        </w:rPr>
        <w:t xml:space="preserve">                        </w:t>
      </w:r>
    </w:p>
    <w:p w14:paraId="6D9B04D7">
      <w:pPr>
        <w:pStyle w:val="10"/>
        <w:spacing w:before="120" w:beforeAutospacing="0" w:after="120" w:afterAutospacing="0" w:line="360" w:lineRule="auto"/>
        <w:jc w:val="center"/>
        <w:rPr>
          <w:highlight w:val="none"/>
        </w:rPr>
      </w:pPr>
      <w:r>
        <w:rPr>
          <w:highlight w:val="none"/>
        </w:rPr>
        <w:t> </w:t>
      </w:r>
    </w:p>
    <w:p w14:paraId="1B0A0FCC">
      <w:pPr>
        <w:pStyle w:val="10"/>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0" w:name="_Toc16938516"/>
      <w:bookmarkStart w:id="1" w:name="_Toc523127445"/>
      <w:bookmarkStart w:id="2" w:name="_Toc20823272"/>
      <w:bookmarkStart w:id="3" w:name="_Toc513029200"/>
      <w:bookmarkStart w:id="4" w:name="_Toc120614210"/>
      <w:bookmarkStart w:id="5" w:name="_Toc479757206"/>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24BB874F">
      <w:pPr>
        <w:pStyle w:val="10"/>
        <w:spacing w:beforeAutospacing="0" w:afterAutospacing="0" w:line="480" w:lineRule="auto"/>
        <w:jc w:val="both"/>
        <w:rPr>
          <w:highlight w:val="none"/>
        </w:rPr>
      </w:pPr>
      <w:r>
        <w:rPr>
          <w:highlight w:val="none"/>
        </w:rPr>
        <w:t> </w:t>
      </w:r>
    </w:p>
    <w:p w14:paraId="0BE109DC">
      <w:pPr>
        <w:pStyle w:val="10"/>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7C522B2E">
      <w:pPr>
        <w:pStyle w:val="10"/>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4B510CDE">
      <w:pPr>
        <w:pStyle w:val="10"/>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eastAsia="zh-CN"/>
        </w:rPr>
        <w:t>条款</w:t>
      </w:r>
      <w:r>
        <w:rPr>
          <w:rFonts w:hint="eastAsia" w:ascii="黑体" w:hAnsi="宋体" w:eastAsia="黑体" w:cs="黑体"/>
          <w:color w:val="000000"/>
          <w:sz w:val="36"/>
          <w:szCs w:val="36"/>
          <w:highlight w:val="none"/>
        </w:rPr>
        <w:t>……………………………………</w:t>
      </w:r>
    </w:p>
    <w:p w14:paraId="35CAB5B5">
      <w:pPr>
        <w:pStyle w:val="10"/>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12FD980E">
      <w:pPr>
        <w:pStyle w:val="10"/>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15602893">
      <w:pPr>
        <w:pStyle w:val="10"/>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534DE13F">
      <w:pPr>
        <w:pStyle w:val="10"/>
        <w:spacing w:beforeAutospacing="0" w:afterAutospacing="0"/>
        <w:jc w:val="both"/>
        <w:rPr>
          <w:highlight w:val="none"/>
        </w:rPr>
      </w:pPr>
      <w:r>
        <w:rPr>
          <w:highlight w:val="none"/>
        </w:rPr>
        <w:t> </w:t>
      </w:r>
    </w:p>
    <w:p w14:paraId="5B3C47C5">
      <w:pPr>
        <w:pStyle w:val="10"/>
        <w:spacing w:beforeAutospacing="0" w:afterAutospacing="0"/>
        <w:jc w:val="both"/>
        <w:rPr>
          <w:highlight w:val="none"/>
        </w:rPr>
      </w:pPr>
      <w:r>
        <w:rPr>
          <w:highlight w:val="none"/>
        </w:rPr>
        <w:t> </w:t>
      </w:r>
    </w:p>
    <w:p w14:paraId="1026E6EC">
      <w:pPr>
        <w:pStyle w:val="10"/>
        <w:spacing w:beforeAutospacing="0" w:afterAutospacing="0"/>
        <w:jc w:val="both"/>
        <w:rPr>
          <w:highlight w:val="none"/>
        </w:rPr>
      </w:pPr>
      <w:r>
        <w:rPr>
          <w:highlight w:val="none"/>
        </w:rPr>
        <w:t> </w:t>
      </w:r>
    </w:p>
    <w:p w14:paraId="77EDD784">
      <w:pPr>
        <w:pStyle w:val="10"/>
        <w:spacing w:beforeAutospacing="0" w:afterAutospacing="0"/>
        <w:jc w:val="both"/>
        <w:rPr>
          <w:highlight w:val="none"/>
        </w:rPr>
      </w:pPr>
      <w:r>
        <w:rPr>
          <w:highlight w:val="none"/>
        </w:rPr>
        <w:t> </w:t>
      </w:r>
    </w:p>
    <w:p w14:paraId="0CEF2CA3">
      <w:pPr>
        <w:pStyle w:val="10"/>
        <w:spacing w:beforeAutospacing="0" w:afterAutospacing="0"/>
        <w:jc w:val="both"/>
        <w:rPr>
          <w:highlight w:val="none"/>
        </w:rPr>
      </w:pPr>
      <w:r>
        <w:rPr>
          <w:highlight w:val="none"/>
        </w:rPr>
        <w:t> </w:t>
      </w:r>
    </w:p>
    <w:p w14:paraId="199834B7">
      <w:pPr>
        <w:pStyle w:val="10"/>
        <w:spacing w:beforeAutospacing="0" w:afterAutospacing="0"/>
        <w:jc w:val="both"/>
        <w:rPr>
          <w:highlight w:val="none"/>
        </w:rPr>
      </w:pPr>
      <w:r>
        <w:rPr>
          <w:highlight w:val="none"/>
        </w:rPr>
        <w:t> </w:t>
      </w:r>
    </w:p>
    <w:p w14:paraId="5973B429">
      <w:pPr>
        <w:pStyle w:val="10"/>
        <w:spacing w:beforeAutospacing="0" w:afterAutospacing="0"/>
        <w:jc w:val="both"/>
        <w:rPr>
          <w:highlight w:val="none"/>
        </w:rPr>
      </w:pPr>
      <w:r>
        <w:rPr>
          <w:highlight w:val="none"/>
        </w:rPr>
        <w:t> </w:t>
      </w:r>
    </w:p>
    <w:p w14:paraId="002C7EB7">
      <w:pPr>
        <w:pStyle w:val="10"/>
        <w:spacing w:beforeAutospacing="0" w:afterAutospacing="0"/>
        <w:jc w:val="both"/>
        <w:rPr>
          <w:highlight w:val="none"/>
        </w:rPr>
      </w:pPr>
      <w:r>
        <w:rPr>
          <w:highlight w:val="none"/>
        </w:rPr>
        <w:t> </w:t>
      </w:r>
    </w:p>
    <w:p w14:paraId="4F9CAB0B">
      <w:pPr>
        <w:pStyle w:val="10"/>
        <w:spacing w:beforeAutospacing="0" w:afterAutospacing="0"/>
        <w:jc w:val="both"/>
        <w:rPr>
          <w:highlight w:val="none"/>
        </w:rPr>
      </w:pPr>
      <w:r>
        <w:rPr>
          <w:highlight w:val="none"/>
        </w:rPr>
        <w:t> </w:t>
      </w:r>
    </w:p>
    <w:p w14:paraId="2E059227">
      <w:pPr>
        <w:pStyle w:val="10"/>
        <w:spacing w:beforeAutospacing="0" w:afterAutospacing="0"/>
        <w:jc w:val="both"/>
        <w:rPr>
          <w:highlight w:val="none"/>
        </w:rPr>
      </w:pPr>
      <w:r>
        <w:rPr>
          <w:highlight w:val="none"/>
        </w:rPr>
        <w:t> </w:t>
      </w:r>
    </w:p>
    <w:p w14:paraId="377E3A45">
      <w:pPr>
        <w:pStyle w:val="10"/>
        <w:spacing w:beforeAutospacing="0" w:afterAutospacing="0"/>
        <w:jc w:val="both"/>
        <w:rPr>
          <w:highlight w:val="none"/>
        </w:rPr>
      </w:pPr>
      <w:r>
        <w:rPr>
          <w:highlight w:val="none"/>
        </w:rPr>
        <w:t> </w:t>
      </w:r>
    </w:p>
    <w:p w14:paraId="0902FF10">
      <w:pPr>
        <w:pStyle w:val="10"/>
        <w:spacing w:beforeAutospacing="0" w:afterAutospacing="0"/>
        <w:jc w:val="both"/>
        <w:rPr>
          <w:highlight w:val="none"/>
        </w:rPr>
      </w:pPr>
      <w:r>
        <w:rPr>
          <w:highlight w:val="none"/>
        </w:rPr>
        <w:t> </w:t>
      </w:r>
    </w:p>
    <w:p w14:paraId="6551063F">
      <w:pPr>
        <w:pStyle w:val="10"/>
        <w:spacing w:beforeAutospacing="0" w:afterAutospacing="0"/>
        <w:jc w:val="both"/>
        <w:rPr>
          <w:highlight w:val="none"/>
        </w:rPr>
      </w:pPr>
      <w:r>
        <w:rPr>
          <w:highlight w:val="none"/>
        </w:rPr>
        <w:t> </w:t>
      </w:r>
    </w:p>
    <w:p w14:paraId="191BFA28">
      <w:pPr>
        <w:pStyle w:val="10"/>
        <w:spacing w:beforeAutospacing="0" w:afterAutospacing="0"/>
        <w:jc w:val="both"/>
        <w:rPr>
          <w:highlight w:val="none"/>
        </w:rPr>
      </w:pPr>
      <w:r>
        <w:rPr>
          <w:highlight w:val="none"/>
        </w:rPr>
        <w:t> </w:t>
      </w:r>
    </w:p>
    <w:p w14:paraId="2C46ADC8">
      <w:pPr>
        <w:pStyle w:val="10"/>
        <w:spacing w:beforeAutospacing="0" w:afterAutospacing="0"/>
        <w:jc w:val="both"/>
        <w:rPr>
          <w:highlight w:val="none"/>
        </w:rPr>
      </w:pPr>
      <w:r>
        <w:rPr>
          <w:highlight w:val="none"/>
        </w:rPr>
        <w:t> </w:t>
      </w:r>
    </w:p>
    <w:p w14:paraId="2900AB90">
      <w:pPr>
        <w:pStyle w:val="10"/>
        <w:spacing w:beforeAutospacing="0" w:afterAutospacing="0"/>
        <w:jc w:val="both"/>
        <w:rPr>
          <w:highlight w:val="none"/>
        </w:rPr>
      </w:pPr>
      <w:r>
        <w:rPr>
          <w:highlight w:val="none"/>
        </w:rPr>
        <w:t> </w:t>
      </w:r>
    </w:p>
    <w:p w14:paraId="60DE5FF6">
      <w:pPr>
        <w:pStyle w:val="10"/>
        <w:spacing w:beforeAutospacing="0" w:afterAutospacing="0"/>
        <w:jc w:val="both"/>
        <w:rPr>
          <w:highlight w:val="none"/>
        </w:rPr>
      </w:pPr>
      <w:r>
        <w:rPr>
          <w:highlight w:val="none"/>
        </w:rPr>
        <w:t> </w:t>
      </w:r>
    </w:p>
    <w:p w14:paraId="4B476BA0">
      <w:pPr>
        <w:pStyle w:val="10"/>
        <w:spacing w:beforeAutospacing="0" w:afterAutospacing="0"/>
        <w:jc w:val="both"/>
        <w:rPr>
          <w:highlight w:val="none"/>
        </w:rPr>
      </w:pPr>
      <w:r>
        <w:rPr>
          <w:highlight w:val="none"/>
        </w:rPr>
        <w:t> </w:t>
      </w:r>
    </w:p>
    <w:p w14:paraId="66234C8E">
      <w:pPr>
        <w:pStyle w:val="10"/>
        <w:spacing w:beforeAutospacing="0" w:afterAutospacing="0"/>
        <w:jc w:val="both"/>
        <w:rPr>
          <w:highlight w:val="none"/>
        </w:rPr>
      </w:pPr>
      <w:r>
        <w:rPr>
          <w:highlight w:val="none"/>
        </w:rPr>
        <w:t> </w:t>
      </w:r>
    </w:p>
    <w:p w14:paraId="43F4AD00">
      <w:pPr>
        <w:pStyle w:val="10"/>
        <w:spacing w:beforeAutospacing="0" w:afterAutospacing="0"/>
        <w:jc w:val="both"/>
        <w:rPr>
          <w:highlight w:val="none"/>
        </w:rPr>
      </w:pPr>
      <w:r>
        <w:rPr>
          <w:highlight w:val="none"/>
        </w:rPr>
        <w:t> </w:t>
      </w:r>
    </w:p>
    <w:p w14:paraId="19406DE9">
      <w:pPr>
        <w:pStyle w:val="10"/>
        <w:spacing w:beforeAutospacing="0" w:afterAutospacing="0"/>
        <w:jc w:val="both"/>
        <w:rPr>
          <w:highlight w:val="none"/>
        </w:rPr>
      </w:pPr>
      <w:r>
        <w:rPr>
          <w:highlight w:val="none"/>
        </w:rPr>
        <w:t> </w:t>
      </w:r>
    </w:p>
    <w:p w14:paraId="7B213257">
      <w:pPr>
        <w:pStyle w:val="10"/>
        <w:spacing w:beforeAutospacing="0" w:afterAutospacing="0"/>
        <w:jc w:val="both"/>
        <w:rPr>
          <w:highlight w:val="none"/>
        </w:rPr>
      </w:pPr>
      <w:r>
        <w:rPr>
          <w:highlight w:val="none"/>
        </w:rPr>
        <w:t> </w:t>
      </w:r>
    </w:p>
    <w:p w14:paraId="272BCB71">
      <w:pPr>
        <w:pStyle w:val="10"/>
        <w:spacing w:beforeAutospacing="0" w:afterAutospacing="0"/>
        <w:jc w:val="both"/>
        <w:rPr>
          <w:highlight w:val="none"/>
        </w:rPr>
      </w:pPr>
      <w:r>
        <w:rPr>
          <w:highlight w:val="none"/>
        </w:rPr>
        <w:t> </w:t>
      </w:r>
    </w:p>
    <w:p w14:paraId="4D4CBD8E">
      <w:pPr>
        <w:pStyle w:val="10"/>
        <w:spacing w:beforeAutospacing="0" w:afterAutospacing="0"/>
        <w:jc w:val="both"/>
        <w:rPr>
          <w:highlight w:val="none"/>
        </w:rPr>
      </w:pPr>
      <w:r>
        <w:rPr>
          <w:highlight w:val="none"/>
        </w:rPr>
        <w:t> </w:t>
      </w:r>
    </w:p>
    <w:p w14:paraId="0DBBC786">
      <w:pPr>
        <w:pStyle w:val="10"/>
        <w:spacing w:beforeAutospacing="0" w:afterAutospacing="0"/>
        <w:jc w:val="both"/>
        <w:rPr>
          <w:highlight w:val="none"/>
        </w:rPr>
      </w:pPr>
      <w:r>
        <w:rPr>
          <w:highlight w:val="none"/>
        </w:rPr>
        <w:t> </w:t>
      </w:r>
    </w:p>
    <w:p w14:paraId="6BB3D440">
      <w:pPr>
        <w:pStyle w:val="10"/>
        <w:spacing w:beforeAutospacing="0" w:afterAutospacing="0"/>
        <w:jc w:val="both"/>
        <w:rPr>
          <w:highlight w:val="none"/>
        </w:rPr>
      </w:pPr>
      <w:r>
        <w:rPr>
          <w:highlight w:val="none"/>
        </w:rPr>
        <w:t> </w:t>
      </w:r>
    </w:p>
    <w:p w14:paraId="4DAB1D66">
      <w:pPr>
        <w:pStyle w:val="10"/>
        <w:spacing w:beforeAutospacing="0" w:afterAutospacing="0"/>
        <w:jc w:val="both"/>
        <w:rPr>
          <w:highlight w:val="none"/>
        </w:rPr>
      </w:pPr>
      <w:r>
        <w:rPr>
          <w:highlight w:val="none"/>
        </w:rPr>
        <w:t> </w:t>
      </w:r>
    </w:p>
    <w:p w14:paraId="4224810C">
      <w:pPr>
        <w:pStyle w:val="10"/>
        <w:spacing w:beforeAutospacing="0" w:afterAutospacing="0"/>
        <w:jc w:val="both"/>
        <w:rPr>
          <w:highlight w:val="none"/>
        </w:rPr>
      </w:pPr>
      <w:r>
        <w:rPr>
          <w:highlight w:val="none"/>
        </w:rPr>
        <w:t> </w:t>
      </w:r>
    </w:p>
    <w:p w14:paraId="5410DC49">
      <w:pPr>
        <w:pStyle w:val="10"/>
        <w:spacing w:beforeAutospacing="0" w:afterAutospacing="0"/>
        <w:jc w:val="both"/>
        <w:rPr>
          <w:highlight w:val="none"/>
        </w:rPr>
      </w:pPr>
      <w:r>
        <w:rPr>
          <w:highlight w:val="none"/>
        </w:rPr>
        <w:t> </w:t>
      </w:r>
    </w:p>
    <w:p w14:paraId="746F8DFD">
      <w:pPr>
        <w:pStyle w:val="10"/>
        <w:keepNext/>
        <w:spacing w:beforeAutospacing="0" w:afterAutospacing="0"/>
        <w:jc w:val="center"/>
        <w:rPr>
          <w:rFonts w:hint="default" w:eastAsia="黑体"/>
          <w:highlight w:val="none"/>
          <w:lang w:val="en-US" w:eastAsia="zh-CN"/>
        </w:rPr>
      </w:pPr>
      <w:bookmarkStart w:id="6" w:name="_Toc28359086"/>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179DC6FF">
      <w:pPr>
        <w:pStyle w:val="10"/>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6B0F6ADA">
      <w:pPr>
        <w:pStyle w:val="10"/>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唐洋镇机关食堂食材、调料等物品采购项目</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2025</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4</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17</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05033C3B">
      <w:pPr>
        <w:pStyle w:val="10"/>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7" w:name="_Toc38985263"/>
      <w:bookmarkStart w:id="8" w:name="_Toc35393790"/>
      <w:bookmarkStart w:id="9" w:name="_Toc28359002"/>
      <w:bookmarkStart w:id="10" w:name="_Toc28359079"/>
      <w:bookmarkStart w:id="11" w:name="_Toc35393621"/>
      <w:bookmarkStart w:id="12" w:name="_Hlk24379207"/>
      <w:r>
        <w:rPr>
          <w:rFonts w:hint="eastAsia" w:ascii="宋体" w:hAnsi="宋体" w:eastAsia="宋体" w:cs="宋体"/>
          <w:b/>
          <w:color w:val="000000"/>
          <w:sz w:val="24"/>
          <w:szCs w:val="24"/>
          <w:highlight w:val="none"/>
        </w:rPr>
        <w:t>一、项目基本情况</w:t>
      </w:r>
      <w:bookmarkEnd w:id="7"/>
      <w:bookmarkEnd w:id="8"/>
      <w:bookmarkEnd w:id="9"/>
      <w:bookmarkEnd w:id="10"/>
      <w:bookmarkEnd w:id="11"/>
      <w:bookmarkEnd w:id="12"/>
    </w:p>
    <w:p w14:paraId="39610826">
      <w:pPr>
        <w:pStyle w:val="10"/>
        <w:spacing w:beforeAutospacing="0" w:afterAutospacing="0"/>
        <w:ind w:firstLine="480"/>
        <w:jc w:val="both"/>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1.项目编号：JSZC-320981-YCCZ-G2025-0003</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4B58244C">
      <w:pPr>
        <w:pStyle w:val="10"/>
        <w:spacing w:beforeAutospacing="0" w:afterAutospacing="0"/>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2.项</w:t>
      </w:r>
      <w:r>
        <w:rPr>
          <w:rFonts w:hint="eastAsia" w:ascii="宋体" w:hAnsi="宋体" w:eastAsia="宋体" w:cs="宋体"/>
          <w:color w:val="000000"/>
          <w:sz w:val="24"/>
          <w:szCs w:val="24"/>
          <w:highlight w:val="none"/>
          <w:shd w:val="clear" w:color="auto" w:fill="auto"/>
        </w:rPr>
        <w:t>目名称：唐洋镇机关食堂食材、调料等物品采购项目</w:t>
      </w:r>
    </w:p>
    <w:p w14:paraId="73A52534">
      <w:pPr>
        <w:pStyle w:val="10"/>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01917ED8">
      <w:pPr>
        <w:pStyle w:val="10"/>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84万</w:t>
      </w:r>
      <w:r>
        <w:rPr>
          <w:rFonts w:hint="eastAsia" w:ascii="宋体" w:hAnsi="宋体" w:eastAsia="宋体" w:cs="宋体"/>
          <w:color w:val="000000"/>
          <w:sz w:val="24"/>
          <w:szCs w:val="24"/>
          <w:highlight w:val="none"/>
        </w:rPr>
        <w:t>元</w:t>
      </w:r>
    </w:p>
    <w:p w14:paraId="7C279CB3">
      <w:pPr>
        <w:pStyle w:val="10"/>
        <w:spacing w:beforeAutospacing="0" w:afterAutospacing="0"/>
        <w:ind w:firstLine="480"/>
        <w:jc w:val="both"/>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fill="FFFFFF"/>
          <w:lang w:val="en-US" w:eastAsia="zh-CN"/>
        </w:rPr>
        <w:t>5.</w:t>
      </w:r>
      <w:r>
        <w:rPr>
          <w:rFonts w:hint="eastAsia" w:ascii="宋体" w:hAnsi="宋体" w:eastAsia="宋体" w:cs="宋体"/>
          <w:i w:val="0"/>
          <w:iCs w:val="0"/>
          <w:caps w:val="0"/>
          <w:color w:val="333333"/>
          <w:spacing w:val="0"/>
          <w:sz w:val="24"/>
          <w:szCs w:val="24"/>
          <w:highlight w:val="none"/>
          <w:shd w:val="clear" w:fill="FFFFFF"/>
        </w:rPr>
        <w:t>最高限价（如有）：</w:t>
      </w:r>
      <w:r>
        <w:rPr>
          <w:rFonts w:hint="eastAsia" w:ascii="宋体" w:hAnsi="宋体" w:eastAsia="宋体" w:cs="宋体"/>
          <w:i w:val="0"/>
          <w:iCs w:val="0"/>
          <w:caps w:val="0"/>
          <w:color w:val="333333"/>
          <w:spacing w:val="0"/>
          <w:sz w:val="24"/>
          <w:szCs w:val="24"/>
          <w:highlight w:val="none"/>
          <w:shd w:val="clear" w:fill="FFFFFF"/>
          <w:lang w:val="en-US" w:eastAsia="zh-CN"/>
        </w:rPr>
        <w:t>5%≤优惠率≤100%</w:t>
      </w:r>
    </w:p>
    <w:p w14:paraId="5900C76D">
      <w:pPr>
        <w:pStyle w:val="10"/>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.采购需求（简介）：</w:t>
      </w:r>
      <w:r>
        <w:rPr>
          <w:rFonts w:hint="eastAsia" w:ascii="宋体" w:hAnsi="宋体" w:eastAsia="宋体" w:cs="宋体"/>
          <w:color w:val="000000"/>
          <w:sz w:val="24"/>
          <w:szCs w:val="24"/>
          <w:highlight w:val="none"/>
          <w:shd w:val="clear" w:color="auto" w:fill="auto"/>
          <w:lang w:val="en-US" w:eastAsia="zh-CN"/>
        </w:rPr>
        <w:t>共11个大类：粮油类；干货类；蔬菜类；禽蛋类；熟食类；水产品；调味品；豆制品、面食、点心类；瓜果类</w:t>
      </w:r>
      <w:r>
        <w:rPr>
          <w:rFonts w:hint="eastAsia" w:ascii="宋体" w:hAnsi="宋体" w:eastAsia="宋体" w:cs="宋体"/>
          <w:color w:val="000000"/>
          <w:sz w:val="24"/>
          <w:szCs w:val="24"/>
          <w:highlight w:val="none"/>
          <w:shd w:val="clear" w:color="auto" w:fill="auto"/>
        </w:rPr>
        <w:t>（详</w:t>
      </w:r>
      <w:r>
        <w:rPr>
          <w:rFonts w:hint="eastAsia" w:ascii="宋体" w:hAnsi="宋体" w:eastAsia="宋体" w:cs="宋体"/>
          <w:color w:val="000000"/>
          <w:sz w:val="24"/>
          <w:szCs w:val="24"/>
          <w:highlight w:val="none"/>
        </w:rPr>
        <w:t>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p>
    <w:p w14:paraId="26A20146">
      <w:pPr>
        <w:pStyle w:val="10"/>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一年。注：因投标文件制作软件中开标一览表中仅接收输入数字工期，各投标人可在投标文件制作软件中暂输入服务期365日历天。</w:t>
      </w:r>
    </w:p>
    <w:p w14:paraId="7025A5E0">
      <w:pPr>
        <w:pStyle w:val="10"/>
        <w:spacing w:beforeAutospacing="0" w:afterAutospacing="0" w:line="360" w:lineRule="auto"/>
        <w:ind w:firstLine="480"/>
        <w:jc w:val="both"/>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fill="FFFFFF"/>
          <w:lang w:val="en-US" w:eastAsia="zh-CN"/>
        </w:rPr>
        <w:t>8.</w:t>
      </w:r>
      <w:r>
        <w:rPr>
          <w:rFonts w:hint="eastAsia" w:ascii="宋体" w:hAnsi="宋体" w:eastAsia="宋体" w:cs="宋体"/>
          <w:i w:val="0"/>
          <w:iCs w:val="0"/>
          <w:caps w:val="0"/>
          <w:color w:val="333333"/>
          <w:spacing w:val="0"/>
          <w:sz w:val="24"/>
          <w:szCs w:val="24"/>
          <w:highlight w:val="none"/>
          <w:shd w:val="clear" w:fill="FFFFFF"/>
        </w:rPr>
        <w:t>本项目（</w:t>
      </w:r>
      <w:r>
        <w:rPr>
          <w:rFonts w:hint="eastAsia" w:ascii="宋体" w:hAnsi="宋体" w:eastAsia="宋体" w:cs="宋体"/>
          <w:i/>
          <w:iCs/>
          <w:caps w:val="0"/>
          <w:color w:val="333333"/>
          <w:spacing w:val="0"/>
          <w:sz w:val="24"/>
          <w:szCs w:val="24"/>
          <w:highlight w:val="none"/>
          <w:shd w:val="clear" w:fill="FFFFFF"/>
        </w:rPr>
        <w:t>是/否</w:t>
      </w:r>
      <w:r>
        <w:rPr>
          <w:rFonts w:hint="eastAsia" w:ascii="宋体" w:hAnsi="宋体" w:eastAsia="宋体" w:cs="宋体"/>
          <w:i w:val="0"/>
          <w:iCs w:val="0"/>
          <w:caps w:val="0"/>
          <w:color w:val="333333"/>
          <w:spacing w:val="0"/>
          <w:sz w:val="24"/>
          <w:szCs w:val="24"/>
          <w:highlight w:val="none"/>
          <w:shd w:val="clear" w:fill="FFFFFF"/>
        </w:rPr>
        <w:t>）接受联合体</w:t>
      </w:r>
      <w:r>
        <w:rPr>
          <w:rFonts w:hint="eastAsia" w:ascii="宋体" w:hAnsi="宋体" w:eastAsia="宋体" w:cs="宋体"/>
          <w:color w:val="000000"/>
          <w:sz w:val="24"/>
          <w:szCs w:val="24"/>
          <w:highlight w:val="none"/>
        </w:rPr>
        <w:t>参与</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否</w:t>
      </w:r>
    </w:p>
    <w:p w14:paraId="12CB8E2C">
      <w:pPr>
        <w:pStyle w:val="10"/>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13" w:name="_Toc28359080"/>
      <w:bookmarkStart w:id="14" w:name="_Toc38985264"/>
      <w:bookmarkStart w:id="15" w:name="_Toc35393791"/>
      <w:bookmarkStart w:id="16" w:name="_Toc35393622"/>
      <w:bookmarkStart w:id="17" w:name="_Toc28359003"/>
      <w:r>
        <w:rPr>
          <w:rFonts w:hint="eastAsia" w:ascii="宋体" w:hAnsi="宋体" w:eastAsia="宋体" w:cs="宋体"/>
          <w:b/>
          <w:color w:val="000000"/>
          <w:sz w:val="24"/>
          <w:szCs w:val="24"/>
          <w:highlight w:val="none"/>
        </w:rPr>
        <w:t>二、申请人的资格要求：</w:t>
      </w:r>
      <w:bookmarkEnd w:id="13"/>
      <w:bookmarkEnd w:id="14"/>
      <w:bookmarkEnd w:id="15"/>
      <w:bookmarkEnd w:id="16"/>
      <w:bookmarkEnd w:id="17"/>
    </w:p>
    <w:p w14:paraId="59C84FF1">
      <w:pPr>
        <w:pStyle w:val="10"/>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43076593">
      <w:pPr>
        <w:pStyle w:val="10"/>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44CA941E">
      <w:pPr>
        <w:pStyle w:val="10"/>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1.2上一年度的财务状况报表（成立不满一年无需提供）；</w:t>
      </w:r>
    </w:p>
    <w:p w14:paraId="27407C78">
      <w:pPr>
        <w:pStyle w:val="10"/>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17BD4C33">
      <w:pPr>
        <w:pStyle w:val="10"/>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10"/>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3C342D9">
      <w:pPr>
        <w:pStyle w:val="10"/>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5BFD7531">
      <w:pPr>
        <w:pStyle w:val="10"/>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pStyle w:val="10"/>
        <w:spacing w:beforeAutospacing="0" w:afterAutospacing="0" w:line="360" w:lineRule="auto"/>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w:t>
      </w:r>
      <w:r>
        <w:rPr>
          <w:rFonts w:hint="eastAsia" w:ascii="宋体" w:hAnsi="宋体" w:eastAsia="宋体" w:cs="宋体"/>
          <w:color w:val="000000"/>
          <w:sz w:val="24"/>
          <w:szCs w:val="24"/>
          <w:highlight w:val="none"/>
          <w:shd w:val="clear" w:color="auto" w:fill="auto"/>
        </w:rPr>
        <w:t>商，不得参加同一合同项下的政府采购活动。</w:t>
      </w:r>
    </w:p>
    <w:p w14:paraId="0DEDBFDE">
      <w:pPr>
        <w:pStyle w:val="10"/>
        <w:spacing w:beforeAutospacing="0" w:afterAutospacing="0"/>
        <w:ind w:firstLine="480"/>
        <w:jc w:val="both"/>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2</w:t>
      </w:r>
      <w:r>
        <w:rPr>
          <w:rFonts w:hint="eastAsia" w:ascii="宋体" w:hAnsi="宋体" w:eastAsia="宋体" w:cs="宋体"/>
          <w:color w:val="000000"/>
          <w:sz w:val="24"/>
          <w:szCs w:val="24"/>
          <w:highlight w:val="none"/>
          <w:shd w:val="clear" w:color="auto" w:fill="auto"/>
          <w:lang w:val="en-US" w:eastAsia="zh-CN"/>
        </w:rPr>
        <w:t>.</w:t>
      </w:r>
      <w:r>
        <w:rPr>
          <w:rFonts w:hint="eastAsia" w:ascii="宋体" w:hAnsi="宋体" w:eastAsia="宋体" w:cs="宋体"/>
          <w:color w:val="000000"/>
          <w:sz w:val="24"/>
          <w:szCs w:val="24"/>
          <w:highlight w:val="none"/>
          <w:shd w:val="clear" w:color="auto" w:fill="auto"/>
        </w:rPr>
        <w:t>落实政府采购政策需满足的资格要求：</w:t>
      </w:r>
      <w:r>
        <w:rPr>
          <w:rFonts w:hint="eastAsia" w:ascii="宋体" w:hAnsi="宋体" w:eastAsia="宋体" w:cs="宋体"/>
          <w:color w:val="000000"/>
          <w:sz w:val="24"/>
          <w:szCs w:val="24"/>
          <w:highlight w:val="none"/>
          <w:shd w:val="clear" w:color="auto" w:fill="auto"/>
          <w:lang w:val="en-US" w:eastAsia="zh-CN"/>
        </w:rPr>
        <w:t>本项目为专门面向中小微企业采购的项目,投标人必须为中小微型企业，不接受非中小微型企业参与本项目投标。因本项目专门面向中小微企业采购，故不再执行价格评审优惠的扶持政策。</w:t>
      </w:r>
    </w:p>
    <w:p w14:paraId="7D1106E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本项目的特定资格要求</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投标人具有</w:t>
      </w:r>
      <w:r>
        <w:rPr>
          <w:rFonts w:hint="eastAsia" w:ascii="宋体" w:hAnsi="宋体" w:eastAsia="宋体" w:cs="宋体"/>
          <w:i w:val="0"/>
          <w:iCs w:val="0"/>
          <w:caps w:val="0"/>
          <w:color w:val="333333"/>
          <w:spacing w:val="0"/>
          <w:sz w:val="24"/>
          <w:szCs w:val="24"/>
          <w:highlight w:val="none"/>
          <w:u w:val="single"/>
          <w:shd w:val="clear" w:color="auto" w:fill="auto"/>
          <w:lang w:eastAsia="zh-CN"/>
        </w:rPr>
        <w:t>国家行政主管部门</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核</w:t>
      </w:r>
      <w:r>
        <w:rPr>
          <w:rFonts w:hint="eastAsia" w:ascii="宋体" w:hAnsi="宋体" w:eastAsia="宋体" w:cs="宋体"/>
          <w:i w:val="0"/>
          <w:iCs w:val="0"/>
          <w:caps w:val="0"/>
          <w:color w:val="333333"/>
          <w:spacing w:val="0"/>
          <w:sz w:val="24"/>
          <w:szCs w:val="24"/>
          <w:highlight w:val="none"/>
          <w:u w:val="single"/>
          <w:shd w:val="clear" w:color="auto" w:fill="auto"/>
          <w:lang w:eastAsia="zh-CN"/>
        </w:rPr>
        <w:t>发且在有效期内的《食品经营许可证》或《食品生产许可证》或《食品经营许可备案电子证书》</w:t>
      </w:r>
      <w:r>
        <w:rPr>
          <w:rFonts w:hint="eastAsia" w:ascii="宋体" w:hAnsi="宋体" w:eastAsia="宋体" w:cs="宋体"/>
          <w:i w:val="0"/>
          <w:iCs w:val="0"/>
          <w:caps w:val="0"/>
          <w:color w:val="333333"/>
          <w:spacing w:val="0"/>
          <w:sz w:val="24"/>
          <w:szCs w:val="24"/>
          <w:highlight w:val="none"/>
          <w:u w:val="none"/>
          <w:shd w:val="clear" w:color="auto" w:fill="auto"/>
          <w:lang w:eastAsia="zh-CN"/>
        </w:rPr>
        <w:t>。</w:t>
      </w:r>
    </w:p>
    <w:p w14:paraId="32F0CB21">
      <w:pPr>
        <w:pStyle w:val="10"/>
        <w:keepNext/>
        <w:keepLines/>
        <w:spacing w:before="145" w:beforeAutospacing="0" w:after="145" w:afterAutospacing="0" w:line="360" w:lineRule="auto"/>
        <w:ind w:firstLine="498"/>
        <w:jc w:val="both"/>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三、获取招标文件</w:t>
      </w:r>
    </w:p>
    <w:p w14:paraId="1CD06B1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3" w:lineRule="atLeast"/>
        <w:ind w:left="0" w:right="0" w:firstLine="480" w:firstLineChars="200"/>
        <w:jc w:val="both"/>
        <w:textAlignment w:val="auto"/>
        <w:rPr>
          <w:rFonts w:hint="eastAsia" w:ascii="宋体" w:hAnsi="宋体" w:eastAsia="宋体" w:cs="宋体"/>
          <w:color w:val="000000"/>
          <w:sz w:val="24"/>
          <w:szCs w:val="24"/>
          <w:highlight w:val="none"/>
          <w:shd w:val="clear" w:color="auto" w:fill="auto"/>
        </w:rPr>
      </w:pPr>
      <w:bookmarkStart w:id="18" w:name="_Toc28359005"/>
      <w:bookmarkStart w:id="19" w:name="_Toc38985266"/>
      <w:bookmarkStart w:id="20" w:name="_Toc35393624"/>
      <w:bookmarkStart w:id="21" w:name="_Toc28359082"/>
      <w:bookmarkStart w:id="22" w:name="_Toc35393793"/>
      <w:r>
        <w:rPr>
          <w:rFonts w:hint="eastAsia" w:ascii="宋体" w:hAnsi="宋体" w:eastAsia="宋体" w:cs="宋体"/>
          <w:color w:val="000000"/>
          <w:sz w:val="24"/>
          <w:szCs w:val="24"/>
          <w:highlight w:val="none"/>
          <w:shd w:val="clear" w:color="auto" w:fill="auto"/>
        </w:rPr>
        <w:t>1.时间：</w:t>
      </w:r>
      <w:bookmarkEnd w:id="18"/>
      <w:bookmarkEnd w:id="19"/>
      <w:bookmarkEnd w:id="20"/>
      <w:bookmarkEnd w:id="21"/>
      <w:bookmarkEnd w:id="22"/>
      <w:r>
        <w:rPr>
          <w:rFonts w:hint="eastAsia" w:ascii="宋体" w:hAnsi="宋体" w:eastAsia="宋体" w:cs="宋体"/>
          <w:color w:val="000000"/>
          <w:sz w:val="24"/>
          <w:szCs w:val="24"/>
          <w:highlight w:val="none"/>
          <w:shd w:val="clear" w:color="auto" w:fill="auto"/>
        </w:rPr>
        <w:t>自招标文件公告发布之日起5个工作日 。</w:t>
      </w:r>
    </w:p>
    <w:p w14:paraId="3FE7E4A2">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1CD7F0E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3" w:lineRule="atLeast"/>
        <w:ind w:left="0" w:right="0"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p>
    <w:p w14:paraId="2707C1A2">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4.售价：0元</w:t>
      </w:r>
    </w:p>
    <w:p w14:paraId="4DEF1A23">
      <w:pPr>
        <w:pStyle w:val="10"/>
        <w:keepNext/>
        <w:keepLines/>
        <w:spacing w:before="145" w:beforeAutospacing="0" w:after="145" w:afterAutospacing="0" w:line="360" w:lineRule="auto"/>
        <w:ind w:firstLine="498"/>
        <w:jc w:val="both"/>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四、提交投标文件截止时间、开标时间和地点</w:t>
      </w:r>
    </w:p>
    <w:p w14:paraId="572AE98D">
      <w:pPr>
        <w:pStyle w:val="10"/>
        <w:keepNext/>
        <w:keepLines/>
        <w:spacing w:before="145" w:beforeAutospacing="0" w:after="145" w:afterAutospacing="0" w:line="360" w:lineRule="auto"/>
        <w:ind w:firstLine="498"/>
        <w:jc w:val="both"/>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2025</w:t>
      </w:r>
      <w:r>
        <w:rPr>
          <w:rFonts w:hint="eastAsia" w:ascii="宋体" w:hAnsi="宋体" w:eastAsia="宋体" w:cs="宋体"/>
          <w:i w:val="0"/>
          <w:iCs w:val="0"/>
          <w:caps w:val="0"/>
          <w:color w:val="333333"/>
          <w:spacing w:val="0"/>
          <w:sz w:val="24"/>
          <w:szCs w:val="24"/>
          <w:highlight w:val="none"/>
          <w:u w:val="single"/>
          <w:shd w:val="clear" w:color="auto" w:fill="auto"/>
        </w:rPr>
        <w:t>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4</w:t>
      </w:r>
      <w:r>
        <w:rPr>
          <w:rFonts w:hint="eastAsia" w:ascii="宋体" w:hAnsi="宋体" w:eastAsia="宋体" w:cs="宋体"/>
          <w:i w:val="0"/>
          <w:iCs w:val="0"/>
          <w:caps w:val="0"/>
          <w:color w:val="333333"/>
          <w:spacing w:val="0"/>
          <w:sz w:val="24"/>
          <w:szCs w:val="24"/>
          <w:highlight w:val="none"/>
          <w:u w:val="single"/>
          <w:shd w:val="clear" w:color="auto" w:fill="auto"/>
        </w:rPr>
        <w:t>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17</w:t>
      </w:r>
      <w:r>
        <w:rPr>
          <w:rFonts w:hint="eastAsia" w:ascii="宋体" w:hAnsi="宋体" w:eastAsia="宋体" w:cs="宋体"/>
          <w:i w:val="0"/>
          <w:iCs w:val="0"/>
          <w:caps w:val="0"/>
          <w:color w:val="333333"/>
          <w:spacing w:val="0"/>
          <w:sz w:val="24"/>
          <w:szCs w:val="24"/>
          <w:highlight w:val="none"/>
          <w:u w:val="single"/>
          <w:shd w:val="clear" w:color="auto" w:fill="auto"/>
        </w:rPr>
        <w:t>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9时00分</w:t>
      </w:r>
      <w:r>
        <w:rPr>
          <w:rFonts w:hint="eastAsia" w:ascii="宋体" w:hAnsi="宋体" w:eastAsia="宋体" w:cs="宋体"/>
          <w:color w:val="000000"/>
          <w:sz w:val="24"/>
          <w:szCs w:val="24"/>
          <w:highlight w:val="none"/>
          <w:shd w:val="clear" w:color="auto" w:fill="auto"/>
        </w:rPr>
        <w:t>（北京时间）</w:t>
      </w:r>
    </w:p>
    <w:p w14:paraId="077143D5">
      <w:pPr>
        <w:pStyle w:val="10"/>
        <w:spacing w:beforeAutospacing="0" w:afterAutospacing="0"/>
        <w:ind w:firstLine="480" w:firstLineChars="200"/>
        <w:jc w:val="both"/>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w:t>
      </w:r>
    </w:p>
    <w:p w14:paraId="4B81A46E">
      <w:pPr>
        <w:pStyle w:val="10"/>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3" w:name="_Toc38985267"/>
      <w:bookmarkStart w:id="24" w:name="_Toc28359084"/>
      <w:bookmarkStart w:id="25" w:name="_Toc35393794"/>
      <w:bookmarkStart w:id="26" w:name="_Toc28359007"/>
      <w:bookmarkStart w:id="27" w:name="_Toc35393625"/>
      <w:r>
        <w:rPr>
          <w:rFonts w:hint="eastAsia" w:ascii="宋体" w:hAnsi="宋体" w:eastAsia="宋体" w:cs="宋体"/>
          <w:b/>
          <w:color w:val="000000"/>
          <w:sz w:val="24"/>
          <w:szCs w:val="24"/>
          <w:highlight w:val="none"/>
        </w:rPr>
        <w:t>五、公告期限</w:t>
      </w:r>
      <w:bookmarkEnd w:id="23"/>
      <w:bookmarkEnd w:id="24"/>
      <w:bookmarkEnd w:id="25"/>
      <w:bookmarkEnd w:id="26"/>
      <w:bookmarkEnd w:id="27"/>
    </w:p>
    <w:p w14:paraId="7C612B2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28" w:name="_Toc35393795"/>
      <w:bookmarkStart w:id="29" w:name="_Toc35393626"/>
      <w:bookmarkStart w:id="30" w:name="_Toc38985268"/>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8"/>
      <w:bookmarkEnd w:id="29"/>
      <w:bookmarkEnd w:id="30"/>
    </w:p>
    <w:p w14:paraId="7A54455B">
      <w:pPr>
        <w:pStyle w:val="10"/>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788D013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31"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p>
    <w:p w14:paraId="636817E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p>
    <w:p w14:paraId="0F939AD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p>
    <w:p w14:paraId="70759E2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p>
    <w:p w14:paraId="170CF67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03109DF8">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6EE3D9D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p>
    <w:p w14:paraId="2FA944E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3.有关本次招标的事项若存在变动或修改，敬请及时关注盐城市政府采购中心在“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”、“江苏政府采购网”、“盐城市政府采购网”发布的更正公告。</w:t>
      </w:r>
    </w:p>
    <w:p w14:paraId="125CCBEF">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44A6E4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480" w:firstLineChars="200"/>
        <w:jc w:val="both"/>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31"/>
    </w:p>
    <w:p w14:paraId="3F38297B">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4EC9ACA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名 称：东台市唐洋镇人民政府  </w:t>
      </w:r>
    </w:p>
    <w:p w14:paraId="6AEEDB2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地址：东台市唐洋镇唐新东街19号  </w:t>
      </w:r>
    </w:p>
    <w:p w14:paraId="3FDCA07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联系人：张先生              </w:t>
      </w:r>
    </w:p>
    <w:p w14:paraId="060E616F">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联系方式：19851512918            </w:t>
      </w:r>
    </w:p>
    <w:p w14:paraId="0213576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4B6CC1F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称：盐城超卓工程咨询有限公司</w:t>
      </w:r>
    </w:p>
    <w:p w14:paraId="7B87FB2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址：东台市北海西路3号聚龙双苑7幢106室</w:t>
      </w:r>
    </w:p>
    <w:p w14:paraId="41F16E1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联系人：李女士                     </w:t>
      </w:r>
    </w:p>
    <w:p w14:paraId="0A6F4677">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32" w:name="_Toc28359087"/>
      <w:bookmarkStart w:id="33" w:name="_Toc28359010"/>
      <w:r>
        <w:rPr>
          <w:rFonts w:hint="eastAsia" w:ascii="宋体" w:hAnsi="宋体" w:eastAsia="宋体" w:cs="宋体"/>
          <w:i w:val="0"/>
          <w:iCs w:val="0"/>
          <w:caps w:val="0"/>
          <w:color w:val="333333"/>
          <w:spacing w:val="0"/>
          <w:sz w:val="24"/>
          <w:szCs w:val="24"/>
          <w:highlight w:val="none"/>
          <w:shd w:val="clear" w:fill="FFFFFF"/>
          <w:lang w:val="en-US" w:eastAsia="zh-CN"/>
        </w:rPr>
        <w:t>13641697101       </w:t>
      </w:r>
      <w:bookmarkEnd w:id="32"/>
      <w:bookmarkEnd w:id="33"/>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33DFE756">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34" w:name="_Toc28359021"/>
      <w:r>
        <w:rPr>
          <w:rFonts w:hint="eastAsia" w:ascii="宋体" w:hAnsi="宋体" w:eastAsia="宋体" w:cs="宋体"/>
          <w:i w:val="0"/>
          <w:iCs w:val="0"/>
          <w:caps w:val="0"/>
          <w:color w:val="333333"/>
          <w:spacing w:val="0"/>
          <w:sz w:val="24"/>
          <w:szCs w:val="24"/>
          <w:highlight w:val="none"/>
          <w:shd w:val="clear" w:fill="FFFFFF"/>
          <w:lang w:val="en-US" w:eastAsia="zh-CN"/>
        </w:rPr>
        <w:t>3.</w:t>
      </w:r>
      <w:bookmarkEnd w:id="34"/>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4F6DC57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项目联系人：张先生、李女士</w:t>
      </w:r>
    </w:p>
    <w:p w14:paraId="3067DD5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话：19851512918、13641697101 </w:t>
      </w:r>
    </w:p>
    <w:p w14:paraId="49AC74DB">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r>
      <w:bookmarkStart w:id="35" w:name="_Toc120614211"/>
    </w:p>
    <w:p w14:paraId="61EAED5C">
      <w:pPr>
        <w:pStyle w:val="10"/>
        <w:keepNext/>
        <w:keepLines/>
        <w:spacing w:before="260" w:beforeAutospacing="0" w:after="260" w:afterAutospacing="0" w:line="415"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35"/>
      <w:bookmarkStart w:id="36" w:name="_Toc16938518"/>
      <w:bookmarkStart w:id="37" w:name="_Toc20823274"/>
      <w:bookmarkStart w:id="38" w:name="_Toc513029202"/>
      <w:bookmarkStart w:id="39" w:name="_Toc120614213"/>
      <w:r>
        <w:rPr>
          <w:rFonts w:hint="eastAsia" w:ascii="黑体" w:hAnsi="宋体" w:eastAsia="黑体" w:cs="黑体"/>
          <w:b/>
          <w:color w:val="000000"/>
          <w:sz w:val="44"/>
          <w:szCs w:val="44"/>
          <w:highlight w:val="none"/>
        </w:rPr>
        <w:t>投标人须知</w:t>
      </w:r>
      <w:bookmarkEnd w:id="36"/>
      <w:bookmarkEnd w:id="37"/>
      <w:bookmarkEnd w:id="38"/>
      <w:bookmarkEnd w:id="39"/>
    </w:p>
    <w:p w14:paraId="62BC1E70">
      <w:pPr>
        <w:pStyle w:val="10"/>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0" w:name="_Toc513029203"/>
      <w:bookmarkStart w:id="41" w:name="_Toc16938519"/>
      <w:bookmarkStart w:id="42" w:name="_Toc20823275"/>
      <w:bookmarkStart w:id="43" w:name="_Toc120614214"/>
      <w:r>
        <w:rPr>
          <w:rFonts w:hint="eastAsia" w:ascii="宋体" w:hAnsi="宋体" w:eastAsia="宋体" w:cs="宋体"/>
          <w:b/>
          <w:color w:val="000000"/>
          <w:sz w:val="24"/>
          <w:szCs w:val="24"/>
          <w:highlight w:val="none"/>
        </w:rPr>
        <w:t>一、总则</w:t>
      </w:r>
      <w:bookmarkEnd w:id="40"/>
      <w:bookmarkEnd w:id="41"/>
      <w:bookmarkEnd w:id="42"/>
      <w:bookmarkEnd w:id="43"/>
    </w:p>
    <w:p w14:paraId="44FB9187">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44" w:name="_Toc20823276"/>
      <w:bookmarkStart w:id="45" w:name="_Toc458694821"/>
      <w:bookmarkStart w:id="46" w:name="_Toc513029204"/>
      <w:bookmarkStart w:id="47" w:name="_Toc16938520"/>
      <w:bookmarkStart w:id="48" w:name="_Hlt16619475"/>
      <w:r>
        <w:rPr>
          <w:rFonts w:hint="eastAsia" w:ascii="宋体" w:hAnsi="宋体" w:eastAsia="宋体" w:cs="宋体"/>
          <w:color w:val="000000"/>
          <w:sz w:val="24"/>
          <w:szCs w:val="24"/>
          <w:highlight w:val="none"/>
        </w:rPr>
        <w:t>1</w:t>
      </w:r>
      <w:bookmarkEnd w:id="44"/>
      <w:r>
        <w:rPr>
          <w:rFonts w:hint="eastAsia" w:ascii="宋体" w:hAnsi="宋体" w:eastAsia="宋体" w:cs="宋体"/>
          <w:color w:val="000000"/>
          <w:sz w:val="24"/>
          <w:szCs w:val="24"/>
          <w:highlight w:val="none"/>
        </w:rPr>
        <w:t>、招标方式</w:t>
      </w:r>
      <w:bookmarkEnd w:id="45"/>
      <w:bookmarkEnd w:id="46"/>
      <w:bookmarkEnd w:id="47"/>
    </w:p>
    <w:p w14:paraId="4D5B8CA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本次招标采取公开招标方式，本招标文件仅适用于招标公告中所述项目。</w:t>
      </w:r>
    </w:p>
    <w:p w14:paraId="42700208">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49" w:name="_Toc20823277"/>
      <w:bookmarkStart w:id="50" w:name="_Toc513029205"/>
      <w:bookmarkStart w:id="51" w:name="_Toc16938521"/>
      <w:r>
        <w:rPr>
          <w:rFonts w:hint="eastAsia" w:ascii="宋体" w:hAnsi="宋体" w:eastAsia="宋体" w:cs="宋体"/>
          <w:color w:val="000000"/>
          <w:sz w:val="24"/>
          <w:szCs w:val="24"/>
          <w:highlight w:val="none"/>
        </w:rPr>
        <w:t>2、合格的投标人</w:t>
      </w:r>
      <w:bookmarkEnd w:id="49"/>
      <w:bookmarkEnd w:id="50"/>
      <w:bookmarkEnd w:id="51"/>
    </w:p>
    <w:p w14:paraId="1555F18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20D83CF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满足本文件实质性要求和条件的规定。</w:t>
      </w:r>
    </w:p>
    <w:p w14:paraId="53A94765">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52" w:name="_Toc20823278"/>
      <w:bookmarkStart w:id="53" w:name="_Toc16938522"/>
      <w:bookmarkStart w:id="54" w:name="_Toc513029206"/>
      <w:r>
        <w:rPr>
          <w:rFonts w:hint="eastAsia" w:ascii="宋体" w:hAnsi="宋体" w:eastAsia="宋体" w:cs="宋体"/>
          <w:color w:val="000000"/>
          <w:sz w:val="24"/>
          <w:szCs w:val="24"/>
          <w:highlight w:val="none"/>
        </w:rPr>
        <w:t>3、适用法律</w:t>
      </w:r>
      <w:bookmarkEnd w:id="52"/>
      <w:bookmarkEnd w:id="53"/>
      <w:bookmarkEnd w:id="54"/>
    </w:p>
    <w:p w14:paraId="00F420D2">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 本次招标及由此产生的合同受中华人民共和国有关的法律法规制约和保护。</w:t>
      </w:r>
    </w:p>
    <w:p w14:paraId="40AEBF59">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55" w:name="_Toc513029207"/>
      <w:bookmarkStart w:id="56" w:name="_Toc462564067"/>
      <w:bookmarkStart w:id="57" w:name="_Toc20823279"/>
      <w:bookmarkStart w:id="58" w:name="_Toc16938523"/>
      <w:r>
        <w:rPr>
          <w:rFonts w:hint="eastAsia" w:ascii="宋体" w:hAnsi="宋体" w:eastAsia="宋体" w:cs="宋体"/>
          <w:color w:val="000000"/>
          <w:sz w:val="24"/>
          <w:szCs w:val="24"/>
          <w:highlight w:val="none"/>
        </w:rPr>
        <w:t>4、投标费用</w:t>
      </w:r>
      <w:bookmarkEnd w:id="55"/>
      <w:bookmarkEnd w:id="56"/>
      <w:bookmarkEnd w:id="57"/>
      <w:bookmarkEnd w:id="58"/>
    </w:p>
    <w:p w14:paraId="27AEA6D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在任何情况下均无义务和责任承担这些费用。</w:t>
      </w:r>
    </w:p>
    <w:p w14:paraId="4787C9A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4.2本次招标采购中心和采购人不收取标书工本费与中标服务费。</w:t>
      </w:r>
    </w:p>
    <w:p w14:paraId="2E3FB307">
      <w:pPr>
        <w:pStyle w:val="10"/>
        <w:keepNext/>
        <w:keepLines/>
        <w:pageBreakBefore w:val="0"/>
        <w:widowControl w:val="0"/>
        <w:kinsoku/>
        <w:wordWrap/>
        <w:overflowPunct/>
        <w:topLinePunct w:val="0"/>
        <w:autoSpaceDE/>
        <w:autoSpaceDN/>
        <w:bidi w:val="0"/>
        <w:adjustRightInd/>
        <w:snapToGrid/>
        <w:spacing w:beforeAutospacing="0" w:afterAutospacing="0" w:line="0" w:lineRule="atLeas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5F4AAD3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 投标人一旦参加本项目采购活动，即被认为接受了本招标文件的规定和约束。</w:t>
      </w:r>
    </w:p>
    <w:p w14:paraId="07B38712">
      <w:pPr>
        <w:pStyle w:val="10"/>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59" w:name="_Toc120614215"/>
      <w:bookmarkStart w:id="60" w:name="_Toc20823281"/>
      <w:bookmarkStart w:id="61" w:name="_Toc16938525"/>
      <w:bookmarkStart w:id="62" w:name="_Toc513029209"/>
      <w:r>
        <w:rPr>
          <w:rFonts w:hint="eastAsia" w:ascii="宋体" w:hAnsi="宋体" w:eastAsia="宋体" w:cs="宋体"/>
          <w:b/>
          <w:color w:val="000000"/>
          <w:sz w:val="24"/>
          <w:szCs w:val="24"/>
          <w:highlight w:val="none"/>
        </w:rPr>
        <w:t>二、招标文件</w:t>
      </w:r>
      <w:bookmarkEnd w:id="59"/>
      <w:bookmarkEnd w:id="60"/>
      <w:bookmarkEnd w:id="61"/>
      <w:bookmarkEnd w:id="62"/>
    </w:p>
    <w:p w14:paraId="2F83F8F5">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63" w:name="_Toc513029210"/>
      <w:bookmarkStart w:id="64" w:name="_Toc16938526"/>
      <w:bookmarkStart w:id="65" w:name="_Toc20823282"/>
      <w:r>
        <w:rPr>
          <w:rFonts w:hint="eastAsia" w:ascii="宋体" w:hAnsi="宋体" w:eastAsia="宋体" w:cs="宋体"/>
          <w:color w:val="000000"/>
          <w:sz w:val="24"/>
          <w:szCs w:val="24"/>
          <w:highlight w:val="none"/>
        </w:rPr>
        <w:t>6、招标文件构成</w:t>
      </w:r>
      <w:bookmarkEnd w:id="63"/>
      <w:bookmarkEnd w:id="64"/>
      <w:bookmarkEnd w:id="65"/>
    </w:p>
    <w:p w14:paraId="09D59A2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64B74B0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989F30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6605AC4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769C3F0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4607D885">
      <w:pPr>
        <w:pStyle w:val="1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740ADAA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6BE2BA9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联系解决。</w:t>
      </w:r>
    </w:p>
    <w:p w14:paraId="48D5BE9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66" w:name="_Toc16938527"/>
      <w:bookmarkStart w:id="67" w:name="_Toc20823283"/>
      <w:bookmarkStart w:id="68" w:name="_Toc462564070"/>
      <w:bookmarkStart w:id="69" w:name="_Toc513029211"/>
      <w:r>
        <w:rPr>
          <w:rFonts w:hint="eastAsia" w:ascii="宋体" w:hAnsi="宋体" w:eastAsia="宋体" w:cs="宋体"/>
          <w:color w:val="000000"/>
          <w:sz w:val="24"/>
          <w:szCs w:val="24"/>
          <w:highlight w:val="none"/>
        </w:rPr>
        <w:t>7、招标文件的澄清</w:t>
      </w:r>
      <w:bookmarkEnd w:id="66"/>
      <w:bookmarkEnd w:id="67"/>
      <w:bookmarkEnd w:id="68"/>
      <w:bookmarkEnd w:id="69"/>
    </w:p>
    <w:p w14:paraId="22F4087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w:t>
      </w:r>
    </w:p>
    <w:p w14:paraId="20CF7084">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70" w:name="_Toc462564071"/>
      <w:bookmarkStart w:id="71" w:name="_Toc513029212"/>
      <w:bookmarkStart w:id="72" w:name="_Toc16938528"/>
      <w:bookmarkStart w:id="73" w:name="_Toc20823284"/>
      <w:r>
        <w:rPr>
          <w:rFonts w:hint="eastAsia" w:ascii="宋体" w:hAnsi="宋体" w:eastAsia="宋体" w:cs="宋体"/>
          <w:color w:val="000000"/>
          <w:sz w:val="24"/>
          <w:szCs w:val="24"/>
          <w:highlight w:val="none"/>
        </w:rPr>
        <w:t>8、招标文件的修改</w:t>
      </w:r>
      <w:bookmarkEnd w:id="70"/>
      <w:bookmarkEnd w:id="71"/>
      <w:bookmarkEnd w:id="72"/>
      <w:bookmarkEnd w:id="73"/>
    </w:p>
    <w:p w14:paraId="62C809B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在投标截止时间前，采购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可以对招标文件进行修改。</w:t>
      </w:r>
    </w:p>
    <w:p w14:paraId="2459CDD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 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有权按照法定的要求推迟投标截止日期和开标日期。</w:t>
      </w:r>
    </w:p>
    <w:p w14:paraId="5385C31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 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color w:val="000000"/>
          <w:sz w:val="24"/>
          <w:szCs w:val="24"/>
          <w:highlight w:val="none"/>
        </w:rPr>
        <w:t>公布，补充文件将作为招标文件的组成部分，并对投标人具有约束力。</w:t>
      </w:r>
    </w:p>
    <w:p w14:paraId="2CDB0962">
      <w:pPr>
        <w:pStyle w:val="10"/>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firstLineChars="200"/>
        <w:jc w:val="both"/>
        <w:textAlignment w:val="auto"/>
        <w:rPr>
          <w:rFonts w:hint="eastAsia" w:ascii="宋体" w:hAnsi="宋体" w:eastAsia="宋体" w:cs="宋体"/>
          <w:sz w:val="24"/>
          <w:szCs w:val="24"/>
          <w:highlight w:val="none"/>
        </w:rPr>
      </w:pPr>
      <w:bookmarkStart w:id="74" w:name="_Toc16938529"/>
      <w:bookmarkStart w:id="75" w:name="_Toc120614216"/>
      <w:bookmarkStart w:id="76" w:name="_Toc513029213"/>
      <w:bookmarkStart w:id="77" w:name="_Toc20823285"/>
      <w:bookmarkStart w:id="78" w:name="_Toc462564072"/>
      <w:r>
        <w:rPr>
          <w:rFonts w:hint="eastAsia" w:ascii="宋体" w:hAnsi="宋体" w:eastAsia="宋体" w:cs="宋体"/>
          <w:b/>
          <w:color w:val="000000"/>
          <w:sz w:val="24"/>
          <w:szCs w:val="24"/>
          <w:highlight w:val="none"/>
        </w:rPr>
        <w:t>三、投标文件的编制</w:t>
      </w:r>
      <w:bookmarkEnd w:id="74"/>
      <w:bookmarkEnd w:id="75"/>
      <w:bookmarkEnd w:id="76"/>
      <w:bookmarkEnd w:id="77"/>
      <w:bookmarkEnd w:id="78"/>
    </w:p>
    <w:p w14:paraId="60E1EE2D">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79" w:name="_Toc20823286"/>
      <w:bookmarkStart w:id="80" w:name="_Toc513029214"/>
      <w:bookmarkStart w:id="81" w:name="_Toc462564073"/>
      <w:bookmarkStart w:id="82" w:name="_Toc16938530"/>
      <w:r>
        <w:rPr>
          <w:rFonts w:hint="eastAsia" w:ascii="宋体" w:hAnsi="宋体" w:eastAsia="宋体" w:cs="宋体"/>
          <w:color w:val="000000"/>
          <w:sz w:val="24"/>
          <w:szCs w:val="24"/>
          <w:highlight w:val="none"/>
        </w:rPr>
        <w:t>9、投标文件的语言及度量衡单位</w:t>
      </w:r>
      <w:bookmarkEnd w:id="79"/>
      <w:bookmarkEnd w:id="80"/>
      <w:bookmarkEnd w:id="81"/>
      <w:bookmarkEnd w:id="82"/>
    </w:p>
    <w:p w14:paraId="47E3879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 投标人提交的投标文件以及投标人与采购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7A824E7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除技术性能另有规定外，投标文件所使用的度量衡单位，均须采用国家法定计量单位。</w:t>
      </w:r>
    </w:p>
    <w:p w14:paraId="6A40A865">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83" w:name="_Toc16938531"/>
      <w:bookmarkStart w:id="84" w:name="_Toc462564074"/>
      <w:bookmarkStart w:id="85" w:name="_Toc20823287"/>
      <w:bookmarkStart w:id="86" w:name="_Toc513029215"/>
      <w:r>
        <w:rPr>
          <w:rFonts w:hint="eastAsia" w:ascii="宋体" w:hAnsi="宋体" w:eastAsia="宋体" w:cs="宋体"/>
          <w:color w:val="000000"/>
          <w:sz w:val="24"/>
          <w:szCs w:val="24"/>
          <w:highlight w:val="none"/>
        </w:rPr>
        <w:t>10、投标文件构成</w:t>
      </w:r>
      <w:bookmarkEnd w:id="83"/>
      <w:bookmarkEnd w:id="84"/>
      <w:bookmarkEnd w:id="85"/>
      <w:bookmarkEnd w:id="86"/>
    </w:p>
    <w:p w14:paraId="275DB53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7CF7A2E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发布的招标文件不一致，请以</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发布的招标文件为准。</w:t>
      </w:r>
    </w:p>
    <w:p w14:paraId="5BBD351A">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87" w:name="_Toc49090507"/>
      <w:bookmarkStart w:id="88" w:name="_Toc513029219"/>
      <w:bookmarkStart w:id="89" w:name="_Toc49090508"/>
      <w:bookmarkStart w:id="90" w:name="_Toc513029216"/>
      <w:bookmarkStart w:id="91" w:name="_Toc14577355"/>
      <w:bookmarkStart w:id="92" w:name="_Toc49090509"/>
      <w:bookmarkStart w:id="93" w:name="_Toc14577357"/>
      <w:bookmarkStart w:id="94" w:name="_Toc14577354"/>
      <w:bookmarkStart w:id="95" w:name="_Hlt26954838"/>
      <w:bookmarkStart w:id="96" w:name="_Hlt26668975"/>
      <w:bookmarkStart w:id="97" w:name="_Hlt26670360"/>
      <w:r>
        <w:rPr>
          <w:rFonts w:hint="eastAsia" w:ascii="宋体" w:hAnsi="宋体" w:eastAsia="宋体" w:cs="宋体"/>
          <w:color w:val="000000"/>
          <w:sz w:val="24"/>
          <w:szCs w:val="24"/>
          <w:highlight w:val="none"/>
        </w:rPr>
        <w:t>11、证明投标人及投标标的符合招标文件规定的文件</w:t>
      </w:r>
      <w:bookmarkEnd w:id="87"/>
      <w:bookmarkEnd w:id="88"/>
      <w:bookmarkEnd w:id="89"/>
      <w:bookmarkEnd w:id="90"/>
      <w:bookmarkEnd w:id="91"/>
      <w:bookmarkEnd w:id="92"/>
      <w:bookmarkEnd w:id="93"/>
      <w:bookmarkEnd w:id="94"/>
    </w:p>
    <w:p w14:paraId="0718222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11.1 投标人应按照招标文件要求提交证明文件，证明其及投标标的符合招标文件规定。</w:t>
      </w:r>
    </w:p>
    <w:p w14:paraId="5A9CFDC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240AFD51">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12、投标分项报价表</w:t>
      </w:r>
    </w:p>
    <w:p w14:paraId="16C7F70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 投标人应按照招标文件规定格式填报投标分项报价表。</w:t>
      </w:r>
    </w:p>
    <w:p w14:paraId="24BE96D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73ADED15">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98" w:name="_Hlt26670486"/>
      <w:bookmarkStart w:id="99" w:name="_Hlt26670482"/>
      <w:bookmarkStart w:id="100" w:name="_Hlt26954848"/>
      <w:bookmarkStart w:id="101" w:name="_Hlt26954846"/>
      <w:bookmarkStart w:id="102" w:name="_Hlt26954731"/>
      <w:r>
        <w:rPr>
          <w:rFonts w:hint="eastAsia" w:ascii="宋体" w:hAnsi="宋体" w:eastAsia="宋体" w:cs="宋体"/>
          <w:color w:val="000000"/>
          <w:sz w:val="24"/>
          <w:szCs w:val="24"/>
          <w:highlight w:val="none"/>
        </w:rPr>
        <w:t>13、技术要求响应及偏离表、商务要求响应及偏离表</w:t>
      </w:r>
    </w:p>
    <w:p w14:paraId="321FCB1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 投标人需对招标文件中的技术要求与商务要求逐项作出响应或偏离，并说明原因。</w:t>
      </w:r>
    </w:p>
    <w:p w14:paraId="7FDE64E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 投标人可在投标文件中提供认为需要的其他技术文件或说明。</w:t>
      </w:r>
    </w:p>
    <w:p w14:paraId="34DA4C08">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14、服务承诺、培训计划、人员安排及其他</w:t>
      </w:r>
    </w:p>
    <w:p w14:paraId="74ECEAD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 投标人需根据招标文件要求提供有关售后服务的管理制度，售后服务机构的分布情况，售后服务人员的数量、素质、技术水平及售后服务的反应能力等。</w:t>
      </w:r>
    </w:p>
    <w:p w14:paraId="1128F8E2">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 投标人需根据招标文件要求提供培训计划。</w:t>
      </w:r>
    </w:p>
    <w:p w14:paraId="6173709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14.3  投标人需根据招标文件要求提供所投标的的主要组成部分、功能设计、实现思路及关键技术等。</w:t>
      </w:r>
    </w:p>
    <w:p w14:paraId="5B2B6267">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03" w:name="_Toc14577359"/>
      <w:bookmarkStart w:id="104" w:name="_Toc49090510"/>
      <w:r>
        <w:rPr>
          <w:rFonts w:hint="eastAsia" w:ascii="宋体" w:hAnsi="宋体" w:eastAsia="宋体" w:cs="宋体"/>
          <w:color w:val="000000"/>
          <w:sz w:val="24"/>
          <w:szCs w:val="24"/>
          <w:highlight w:val="none"/>
        </w:rPr>
        <w:t>15、投标函和开标一览表</w:t>
      </w:r>
      <w:bookmarkEnd w:id="103"/>
      <w:bookmarkEnd w:id="104"/>
    </w:p>
    <w:p w14:paraId="3CB4F30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 投标人应按照招标文件中提供的格式完整、正确填写投标函、开标一览表。</w:t>
      </w:r>
    </w:p>
    <w:p w14:paraId="3C52A66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036159CB">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05" w:name="_Toc14577360"/>
      <w:bookmarkStart w:id="106" w:name="_Toc49090511"/>
      <w:r>
        <w:rPr>
          <w:rFonts w:hint="eastAsia" w:ascii="宋体" w:hAnsi="宋体" w:eastAsia="宋体" w:cs="宋体"/>
          <w:color w:val="000000"/>
          <w:sz w:val="24"/>
          <w:szCs w:val="24"/>
          <w:highlight w:val="none"/>
        </w:rPr>
        <w:t>16、投标有效期</w:t>
      </w:r>
      <w:bookmarkEnd w:id="105"/>
      <w:bookmarkEnd w:id="106"/>
    </w:p>
    <w:p w14:paraId="32AAB68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16.1投标有效期为采购中心规定的开标之日后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43AEABA6">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17、投标有效期的延长</w:t>
      </w:r>
    </w:p>
    <w:p w14:paraId="5858C67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4B10AB49">
      <w:pPr>
        <w:pStyle w:val="10"/>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firstLineChars="200"/>
        <w:jc w:val="both"/>
        <w:textAlignment w:val="auto"/>
        <w:rPr>
          <w:rFonts w:hint="eastAsia" w:ascii="宋体" w:hAnsi="宋体" w:eastAsia="宋体" w:cs="宋体"/>
          <w:sz w:val="24"/>
          <w:szCs w:val="24"/>
          <w:highlight w:val="none"/>
        </w:rPr>
      </w:pPr>
      <w:bookmarkStart w:id="107" w:name="_Toc120614217"/>
      <w:bookmarkStart w:id="108" w:name="_Toc513029224"/>
      <w:bookmarkStart w:id="109" w:name="_Toc20823296"/>
      <w:bookmarkStart w:id="110" w:name="_Toc16938540"/>
      <w:bookmarkStart w:id="111" w:name="_Hlt26954852"/>
      <w:bookmarkStart w:id="112" w:name="_Hlt26954739"/>
      <w:r>
        <w:rPr>
          <w:rFonts w:hint="eastAsia" w:ascii="宋体" w:hAnsi="宋体" w:eastAsia="宋体" w:cs="宋体"/>
          <w:b/>
          <w:color w:val="000000"/>
          <w:sz w:val="24"/>
          <w:szCs w:val="24"/>
          <w:highlight w:val="none"/>
        </w:rPr>
        <w:t>四、投标文件的递交</w:t>
      </w:r>
      <w:bookmarkEnd w:id="107"/>
      <w:bookmarkEnd w:id="108"/>
      <w:bookmarkEnd w:id="109"/>
      <w:bookmarkEnd w:id="110"/>
    </w:p>
    <w:p w14:paraId="462B5A82">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13" w:name="_Toc20823297"/>
      <w:bookmarkStart w:id="114" w:name="_Toc16938541"/>
      <w:bookmarkStart w:id="115" w:name="_Toc513029225"/>
      <w:bookmarkStart w:id="116" w:name="_Toc462564084"/>
      <w:r>
        <w:rPr>
          <w:rFonts w:hint="eastAsia" w:ascii="宋体" w:hAnsi="宋体" w:eastAsia="宋体" w:cs="宋体"/>
          <w:color w:val="000000"/>
          <w:sz w:val="24"/>
          <w:szCs w:val="24"/>
          <w:highlight w:val="none"/>
        </w:rPr>
        <w:t>18、电子投标文件</w:t>
      </w:r>
      <w:bookmarkEnd w:id="113"/>
      <w:bookmarkEnd w:id="114"/>
      <w:bookmarkEnd w:id="115"/>
      <w:bookmarkEnd w:id="116"/>
      <w:r>
        <w:rPr>
          <w:rFonts w:hint="eastAsia" w:ascii="宋体" w:hAnsi="宋体" w:eastAsia="宋体" w:cs="宋体"/>
          <w:color w:val="000000"/>
          <w:sz w:val="24"/>
          <w:szCs w:val="24"/>
          <w:highlight w:val="none"/>
        </w:rPr>
        <w:t>的递交</w:t>
      </w:r>
    </w:p>
    <w:p w14:paraId="71D0FF69">
      <w:pPr>
        <w:pStyle w:val="10"/>
        <w:pageBreakBefore w:val="0"/>
        <w:widowControl w:val="0"/>
        <w:kinsoku/>
        <w:wordWrap/>
        <w:overflowPunct/>
        <w:topLinePunct w:val="0"/>
        <w:autoSpaceDE/>
        <w:autoSpaceDN/>
        <w:bidi w:val="0"/>
        <w:adjustRightInd/>
        <w:snapToGrid/>
        <w:spacing w:beforeAutospacing="0" w:afterAutospacing="0"/>
        <w:ind w:left="525"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18.1投标人应当按照《操作手册》规定，在投标截止时间前制作并上传电子投标</w:t>
      </w:r>
    </w:p>
    <w:p w14:paraId="0DD88C77">
      <w:pPr>
        <w:pStyle w:val="1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文件。</w:t>
      </w:r>
      <w:bookmarkStart w:id="117" w:name="_Toc20823298"/>
      <w:bookmarkEnd w:id="117"/>
      <w:bookmarkStart w:id="118" w:name="_Toc16938542"/>
      <w:bookmarkEnd w:id="118"/>
      <w:bookmarkStart w:id="119" w:name="_Toc513029226"/>
    </w:p>
    <w:p w14:paraId="588F88B2">
      <w:pPr>
        <w:pStyle w:val="10"/>
        <w:keepNext/>
        <w:keepLines/>
        <w:pageBreakBefore w:val="0"/>
        <w:widowControl w:val="0"/>
        <w:kinsoku/>
        <w:wordWrap/>
        <w:overflowPunct/>
        <w:topLinePunct w:val="0"/>
        <w:autoSpaceDE/>
        <w:autoSpaceDN/>
        <w:bidi w:val="0"/>
        <w:adjustRightInd/>
        <w:snapToGrid/>
        <w:spacing w:before="280" w:beforeAutospacing="0" w:after="290" w:afterAutospacing="0" w:line="374"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19、投标截止日期</w:t>
      </w:r>
    </w:p>
    <w:p w14:paraId="6FB490A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19.1 投标人上传电子投标文件的时间不得迟于招标公告中规定的投标截止时间。</w:t>
      </w:r>
    </w:p>
    <w:p w14:paraId="6D4403A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投标人应充分考虑到网络环境、网络带宽等风险因素，如因投标人自身原因造成的电子投标文件上传不成功的按照本招标文件第二章第27.1.2条规定做无效投标处理。</w:t>
      </w:r>
    </w:p>
    <w:p w14:paraId="110EB610">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19.2 采购中心可以按照规定，通过修改招标文件酌情延长投标截止日期，在此情况下，投标人的所有权利和义务以及投标人受制的截止日期均应以延长后新的截止日期为准。</w:t>
      </w:r>
    </w:p>
    <w:p w14:paraId="7990164F">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20" w:name="_Toc513029227"/>
      <w:bookmarkStart w:id="121" w:name="_Toc20823299"/>
      <w:bookmarkStart w:id="122" w:name="_Toc16938543"/>
      <w:r>
        <w:rPr>
          <w:rFonts w:hint="eastAsia" w:ascii="宋体" w:hAnsi="宋体" w:eastAsia="宋体" w:cs="宋体"/>
          <w:color w:val="000000"/>
          <w:sz w:val="24"/>
          <w:szCs w:val="24"/>
          <w:highlight w:val="none"/>
        </w:rPr>
        <w:t>20、投标文件</w:t>
      </w:r>
      <w:bookmarkEnd w:id="120"/>
      <w:bookmarkEnd w:id="121"/>
      <w:bookmarkEnd w:id="122"/>
      <w:r>
        <w:rPr>
          <w:rFonts w:hint="eastAsia" w:ascii="宋体" w:hAnsi="宋体" w:eastAsia="宋体" w:cs="宋体"/>
          <w:color w:val="000000"/>
          <w:sz w:val="24"/>
          <w:szCs w:val="24"/>
          <w:highlight w:val="none"/>
        </w:rPr>
        <w:t>的拒收</w:t>
      </w:r>
    </w:p>
    <w:p w14:paraId="6254CB7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 采购中心拒绝接收在其规定的投标截止时间后上传的任何投标文件。</w:t>
      </w:r>
    </w:p>
    <w:p w14:paraId="53D3CA18">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23" w:name="_Toc20823300"/>
      <w:bookmarkStart w:id="124" w:name="_Toc513029228"/>
      <w:bookmarkStart w:id="125" w:name="_Toc16938544"/>
      <w:r>
        <w:rPr>
          <w:rFonts w:hint="eastAsia" w:ascii="宋体" w:hAnsi="宋体" w:eastAsia="宋体" w:cs="宋体"/>
          <w:color w:val="000000"/>
          <w:sz w:val="24"/>
          <w:szCs w:val="24"/>
          <w:highlight w:val="none"/>
        </w:rPr>
        <w:t>21、投标文件的撤回和修改</w:t>
      </w:r>
      <w:bookmarkEnd w:id="123"/>
      <w:bookmarkEnd w:id="124"/>
      <w:bookmarkEnd w:id="125"/>
    </w:p>
    <w:p w14:paraId="71BB8C9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 投标文件的撤回</w:t>
      </w:r>
    </w:p>
    <w:p w14:paraId="3D58AE5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21.1.1 电子投标文件的撤回</w:t>
      </w:r>
    </w:p>
    <w:p w14:paraId="6F98166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1679878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21.1.2 投标人撤回电子投标文件，则认为其不再参与本项目投标活动。</w:t>
      </w:r>
    </w:p>
    <w:p w14:paraId="2E4ED800">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 投标文件的修改</w:t>
      </w:r>
    </w:p>
    <w:p w14:paraId="3B657B6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21.2.1投标人可在投标截止时间前，对其电子投标文件进行修改，具体操作方法见《操作手册》。</w:t>
      </w:r>
    </w:p>
    <w:p w14:paraId="7B1A054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21.2.2 在投标截止时间之后，投标人不得对其电子投标文件作任何修改。</w:t>
      </w:r>
    </w:p>
    <w:p w14:paraId="1B11C30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21.3 在投标截止时间至招标文件中规定的投标有效期满之间的这段时间内，投标人不得撤回其投标。</w:t>
      </w:r>
    </w:p>
    <w:p w14:paraId="52B22ECF">
      <w:pPr>
        <w:pStyle w:val="10"/>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firstLineChars="200"/>
        <w:jc w:val="both"/>
        <w:textAlignment w:val="auto"/>
        <w:rPr>
          <w:rFonts w:hint="eastAsia" w:ascii="宋体" w:hAnsi="宋体" w:eastAsia="宋体" w:cs="宋体"/>
          <w:sz w:val="24"/>
          <w:szCs w:val="24"/>
          <w:highlight w:val="none"/>
        </w:rPr>
      </w:pPr>
      <w:bookmarkStart w:id="126" w:name="_Toc120614218"/>
      <w:bookmarkStart w:id="127" w:name="_Toc20823301"/>
      <w:bookmarkStart w:id="128" w:name="_Toc16938545"/>
      <w:bookmarkStart w:id="129" w:name="_Toc513029229"/>
      <w:r>
        <w:rPr>
          <w:rFonts w:hint="eastAsia" w:ascii="宋体" w:hAnsi="宋体" w:eastAsia="宋体" w:cs="宋体"/>
          <w:b/>
          <w:color w:val="000000"/>
          <w:sz w:val="24"/>
          <w:szCs w:val="24"/>
          <w:highlight w:val="none"/>
        </w:rPr>
        <w:t>五、开标与评标</w:t>
      </w:r>
      <w:bookmarkEnd w:id="126"/>
      <w:bookmarkEnd w:id="127"/>
      <w:bookmarkEnd w:id="128"/>
      <w:bookmarkEnd w:id="129"/>
    </w:p>
    <w:p w14:paraId="522446D7">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30" w:name="_Toc513029230"/>
      <w:bookmarkStart w:id="131" w:name="_Toc16938546"/>
      <w:bookmarkStart w:id="132" w:name="_Toc20823302"/>
      <w:r>
        <w:rPr>
          <w:rFonts w:hint="eastAsia" w:ascii="宋体" w:hAnsi="宋体" w:eastAsia="宋体" w:cs="宋体"/>
          <w:color w:val="000000"/>
          <w:sz w:val="24"/>
          <w:szCs w:val="24"/>
          <w:highlight w:val="none"/>
        </w:rPr>
        <w:t>22、开标</w:t>
      </w:r>
      <w:bookmarkEnd w:id="130"/>
      <w:bookmarkEnd w:id="131"/>
      <w:bookmarkEnd w:id="132"/>
    </w:p>
    <w:p w14:paraId="09B53F55">
      <w:pPr>
        <w:pStyle w:val="1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22.1 采购中心将在招标公告中规定的时间和地点组织公开开标。投标人应当按照《操作手册》规定，参加开标活动</w:t>
      </w:r>
      <w:r>
        <w:rPr>
          <w:rFonts w:hint="eastAsia" w:ascii="宋体" w:hAnsi="宋体" w:eastAsia="宋体" w:cs="宋体"/>
          <w:color w:val="auto"/>
          <w:sz w:val="24"/>
          <w:szCs w:val="24"/>
          <w:highlight w:val="none"/>
        </w:rPr>
        <w:t>和在苏采云系统规定的时间内对投标文件进行解密。</w:t>
      </w:r>
    </w:p>
    <w:p w14:paraId="6F1FA8C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22.2开标仪式由采购中心组织。苏采云系统将自动对项目进行开标，并宣布各投标人名称和投标价格。</w:t>
      </w:r>
    </w:p>
    <w:p w14:paraId="57469D8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37C541B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，视同认可开标结果。</w:t>
      </w:r>
    </w:p>
    <w:p w14:paraId="58E1EAF2">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33" w:name="_Toc513029231"/>
      <w:bookmarkStart w:id="134" w:name="_Toc16938547"/>
      <w:bookmarkStart w:id="135" w:name="_Toc20823303"/>
      <w:r>
        <w:rPr>
          <w:rFonts w:hint="eastAsia" w:ascii="宋体" w:hAnsi="宋体" w:eastAsia="宋体" w:cs="宋体"/>
          <w:color w:val="000000"/>
          <w:sz w:val="24"/>
          <w:szCs w:val="24"/>
          <w:highlight w:val="none"/>
        </w:rPr>
        <w:t>23、评标委员会</w:t>
      </w:r>
      <w:bookmarkEnd w:id="133"/>
      <w:bookmarkEnd w:id="134"/>
      <w:bookmarkEnd w:id="135"/>
    </w:p>
    <w:p w14:paraId="3A81DF07">
      <w:pPr>
        <w:pStyle w:val="10"/>
        <w:pageBreakBefore w:val="0"/>
        <w:widowControl w:val="0"/>
        <w:kinsoku/>
        <w:wordWrap/>
        <w:overflowPunct/>
        <w:topLinePunct w:val="0"/>
        <w:autoSpaceDE/>
        <w:autoSpaceDN/>
        <w:bidi w:val="0"/>
        <w:adjustRightInd/>
        <w:snapToGrid/>
        <w:spacing w:beforeAutospacing="0" w:afterAutospacing="0" w:line="0" w:lineRule="atLeas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23.1</w:t>
      </w:r>
      <w:r>
        <w:rPr>
          <w:rFonts w:hint="eastAsia" w:ascii="宋体" w:hAnsi="宋体" w:eastAsia="宋体" w:cs="宋体"/>
          <w:b/>
          <w:color w:val="000000"/>
          <w:sz w:val="24"/>
          <w:szCs w:val="24"/>
          <w:highlight w:val="none"/>
        </w:rPr>
        <w:t> </w:t>
      </w:r>
      <w:r>
        <w:rPr>
          <w:rFonts w:hint="eastAsia" w:ascii="宋体" w:hAnsi="宋体" w:eastAsia="宋体" w:cs="宋体"/>
          <w:color w:val="000000"/>
          <w:sz w:val="24"/>
          <w:szCs w:val="24"/>
          <w:highlight w:val="none"/>
        </w:rPr>
        <w:t>开标后，采购中心将立即组织评标委员会（以下简称评委会）进行评标。</w:t>
      </w:r>
    </w:p>
    <w:p w14:paraId="28485BD0">
      <w:pPr>
        <w:pStyle w:val="10"/>
        <w:pageBreakBefore w:val="0"/>
        <w:widowControl w:val="0"/>
        <w:kinsoku/>
        <w:wordWrap/>
        <w:overflowPunct/>
        <w:topLinePunct w:val="0"/>
        <w:autoSpaceDE/>
        <w:autoSpaceDN/>
        <w:bidi w:val="0"/>
        <w:adjustRightInd/>
        <w:snapToGrid/>
        <w:spacing w:beforeAutospacing="0" w:afterAutospacing="0" w:line="0" w:lineRule="atLeas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23.2 评委会由采购人代表和有关技术、经济等方面的专家组成，且人员构成符合政府采购有关规定。</w:t>
      </w:r>
    </w:p>
    <w:p w14:paraId="51E2D4E3">
      <w:pPr>
        <w:pStyle w:val="10"/>
        <w:pageBreakBefore w:val="0"/>
        <w:widowControl w:val="0"/>
        <w:kinsoku/>
        <w:wordWrap/>
        <w:overflowPunct/>
        <w:topLinePunct w:val="0"/>
        <w:autoSpaceDE/>
        <w:autoSpaceDN/>
        <w:bidi w:val="0"/>
        <w:adjustRightInd/>
        <w:snapToGrid/>
        <w:spacing w:beforeAutospacing="0" w:afterAutospacing="0" w:line="0" w:lineRule="atLeas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23.3评委会独立工作，负责评审所有投标文件并确定中标侯选人。</w:t>
      </w:r>
    </w:p>
    <w:p w14:paraId="2A3F73EE">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24．评标过程的保密与公正</w:t>
      </w:r>
    </w:p>
    <w:p w14:paraId="69AB217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24.1凡是与审查、澄清、评价和比较投标的有关资料以及授标建议等，采购人、评委、采购中心均不得向投标人或与评标无关的其他人员透露。</w:t>
      </w:r>
    </w:p>
    <w:p w14:paraId="4C3B448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24.2在评标过程中，投标人不得以任何行为影响评标过程，否则其投标文件将被作为无效投标文件。</w:t>
      </w:r>
    </w:p>
    <w:p w14:paraId="36CEA84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24.3 采购中心和评标委员会不向未中标的投标人解释未中标原因，也不公布评标过程中的相关</w:t>
      </w:r>
      <w:r>
        <w:rPr>
          <w:rFonts w:hint="eastAsia" w:ascii="宋体" w:hAnsi="宋体" w:eastAsia="宋体" w:cs="宋体"/>
          <w:color w:val="auto"/>
          <w:sz w:val="24"/>
          <w:szCs w:val="24"/>
          <w:highlight w:val="none"/>
        </w:rPr>
        <w:t>细节。</w:t>
      </w:r>
    </w:p>
    <w:p w14:paraId="6B88B0A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排序情况。</w:t>
      </w:r>
      <w:r>
        <w:rPr>
          <w:rFonts w:hint="eastAsia" w:ascii="宋体" w:hAnsi="宋体" w:eastAsia="宋体" w:cs="宋体"/>
          <w:color w:val="000000"/>
          <w:sz w:val="24"/>
          <w:szCs w:val="24"/>
          <w:highlight w:val="none"/>
          <w:shd w:val="clear" w:color="auto" w:fill="auto"/>
        </w:rPr>
        <w:t>（提醒：经</w:t>
      </w:r>
      <w:r>
        <w:rPr>
          <w:rFonts w:hint="eastAsia" w:ascii="宋体" w:hAnsi="宋体" w:eastAsia="宋体" w:cs="宋体"/>
          <w:color w:val="auto"/>
          <w:sz w:val="24"/>
          <w:szCs w:val="24"/>
          <w:highlight w:val="none"/>
          <w:shd w:val="clear" w:color="auto" w:fill="auto"/>
        </w:rPr>
        <w:t>办人在苏采云系统查询到中标结果公告后，再点击推送。招标文件定稿后该提醒删除）</w:t>
      </w:r>
    </w:p>
    <w:p w14:paraId="7A360E34">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36" w:name="_Toc513029232"/>
      <w:bookmarkStart w:id="137" w:name="_Toc16938548"/>
      <w:bookmarkStart w:id="138" w:name="_Toc20823304"/>
      <w:r>
        <w:rPr>
          <w:rFonts w:hint="eastAsia" w:ascii="宋体" w:hAnsi="宋体" w:eastAsia="宋体" w:cs="宋体"/>
          <w:color w:val="000000"/>
          <w:sz w:val="24"/>
          <w:szCs w:val="24"/>
          <w:highlight w:val="none"/>
        </w:rPr>
        <w:t>25．投标文件的澄清</w:t>
      </w:r>
      <w:bookmarkEnd w:id="136"/>
      <w:bookmarkEnd w:id="137"/>
      <w:bookmarkEnd w:id="138"/>
    </w:p>
    <w:p w14:paraId="518FE99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bookmarkStart w:id="139" w:name="_Toc16938549"/>
      <w:bookmarkStart w:id="140" w:name="_Toc513029233"/>
      <w:bookmarkStart w:id="141" w:name="_Toc20823305"/>
      <w:r>
        <w:rPr>
          <w:rFonts w:hint="eastAsia" w:ascii="宋体" w:hAnsi="宋体" w:eastAsia="宋体" w:cs="宋体"/>
          <w:color w:val="000000"/>
          <w:sz w:val="24"/>
          <w:szCs w:val="24"/>
          <w:highlight w:val="none"/>
        </w:rPr>
        <w:t>25.1评标期间，评委会对投标文件中含义不明确、同类问题表述不一致或者有明显文字和计算错误的内容 ，有权要求投标人作出必要的澄清、说明或者补正。</w:t>
      </w:r>
      <w:bookmarkEnd w:id="139"/>
      <w:bookmarkEnd w:id="140"/>
      <w:bookmarkEnd w:id="141"/>
    </w:p>
    <w:p w14:paraId="4251E80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6897B71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评标委员会并非对每个投标人都做澄清要求。</w:t>
      </w:r>
    </w:p>
    <w:p w14:paraId="4C8A077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25.3 接到评委会澄清、说明和补正要求的投标人如未按规定做出澄清、</w:t>
      </w:r>
      <w:r>
        <w:rPr>
          <w:rFonts w:hint="eastAsia" w:ascii="宋体" w:hAnsi="宋体" w:eastAsia="宋体" w:cs="宋体"/>
          <w:color w:val="000000"/>
          <w:sz w:val="24"/>
          <w:szCs w:val="24"/>
          <w:highlight w:val="none"/>
        </w:rPr>
        <w:t>说明和补正，其风险由投标人自行承担。</w:t>
      </w:r>
    </w:p>
    <w:p w14:paraId="1912575A">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26、对投标文件的初审</w:t>
      </w:r>
    </w:p>
    <w:p w14:paraId="50075BA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26.1投标文件初审分为资格审查和符合性审查。</w:t>
      </w:r>
    </w:p>
    <w:p w14:paraId="56905E9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26.1.1 资格审查：依据法律法规和招标文件的规定，由采购人对投标文件中的资格证明文件进行审查。资格审查的结论，采购人以书面形式向评委会进行反馈。</w:t>
      </w:r>
    </w:p>
    <w:p w14:paraId="45C4FFC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71BC36B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26.1.2 符合性审查：依据招标文件的规定，由评委会从投标文件的有效性、完整性和对招标文件的响应程度进行审查，以确定是否对招标文件的实质性要求作出响应。</w:t>
      </w:r>
    </w:p>
    <w:p w14:paraId="7AF371D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26.1.3 未通过资格审查或符合性审查的投标人，采购中心将</w:t>
      </w:r>
      <w:r>
        <w:rPr>
          <w:rFonts w:hint="eastAsia" w:ascii="宋体" w:hAnsi="宋体" w:eastAsia="宋体" w:cs="宋体"/>
          <w:color w:val="auto"/>
          <w:sz w:val="24"/>
          <w:szCs w:val="24"/>
          <w:highlight w:val="none"/>
        </w:rPr>
        <w:t>在苏采云系统中告知未通过资格审查或符合性审查的原因，评审结束后，采购中心将不再告知未通过资格审查或符合性审查的原因。</w:t>
      </w:r>
    </w:p>
    <w:p w14:paraId="2CBF45E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26.3如果投标文件实质上没有响应招标文件的要求，评委会将予以拒绝，投标人不得通过修改或撤销不合要求的偏离或保留而使其投标成为实质性响应的投标。</w:t>
      </w:r>
    </w:p>
    <w:p w14:paraId="251CC29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26.4评委会将对确定为实质性响应的投标进行进一步审核，看其是否有计算上或累加上的算术错误，修正错误的原则如下：</w:t>
      </w:r>
    </w:p>
    <w:p w14:paraId="6279A7D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3D05FD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0FF81280">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3C281CA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B33B4A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同时出现两种以上错误的，按照前款规定的顺序修正。</w:t>
      </w:r>
    </w:p>
    <w:p w14:paraId="376C0D64">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B1D8CB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bookmarkStart w:id="142" w:name="_Toc20823306"/>
      <w:bookmarkStart w:id="143" w:name="_Toc16938550"/>
      <w:bookmarkStart w:id="144" w:name="_Toc513029234"/>
      <w:r>
        <w:rPr>
          <w:rFonts w:hint="eastAsia" w:ascii="宋体" w:hAnsi="宋体" w:eastAsia="宋体" w:cs="宋体"/>
          <w:color w:val="000000"/>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456BE54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非单一产品采购项目，招标文件中将载明其中的核心产品。多家投标人提供的核心产品品牌相同的，按前两款规定处理。</w:t>
      </w:r>
    </w:p>
    <w:p w14:paraId="695D4A02">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26.7投标人在开、评标全过程中应保持通讯畅通，及时登录苏采云系统查阅、答复相关信息，并安排专人与采购中心及评标委员会联系。</w:t>
      </w:r>
    </w:p>
    <w:p w14:paraId="6258925A">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6F72D55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bookmarkStart w:id="145" w:name="_Toc513029235"/>
      <w:bookmarkStart w:id="146" w:name="_Toc16938551"/>
      <w:bookmarkStart w:id="147" w:name="_Toc20823307"/>
      <w:r>
        <w:rPr>
          <w:rFonts w:hint="eastAsia" w:ascii="宋体" w:hAnsi="宋体" w:eastAsia="宋体" w:cs="宋体"/>
          <w:color w:val="auto"/>
          <w:sz w:val="24"/>
          <w:szCs w:val="24"/>
          <w:highlight w:val="none"/>
        </w:rPr>
        <w:t>27.1无效投标条款</w:t>
      </w:r>
      <w:bookmarkEnd w:id="145"/>
      <w:bookmarkEnd w:id="146"/>
      <w:bookmarkEnd w:id="147"/>
    </w:p>
    <w:p w14:paraId="199C480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1EC94C00">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51A8645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27.1.3同一投标人提交两个（含两个）以上不同的投标报价的。</w:t>
      </w:r>
    </w:p>
    <w:p w14:paraId="50627D9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27.1.4投标人不具备招标文件中规定资格要求的。</w:t>
      </w:r>
    </w:p>
    <w:p w14:paraId="6818F182">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27.1.5投标人的报价超过了采购预算或最高限价的。</w:t>
      </w:r>
    </w:p>
    <w:p w14:paraId="3098655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27.1.6未通过符合性审查的。</w:t>
      </w:r>
    </w:p>
    <w:p w14:paraId="4CB47D8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347ECC0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27.1.9  投标文件含有采购人不能接受的附加条件的。</w:t>
      </w:r>
    </w:p>
    <w:p w14:paraId="7E07836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27.1.10评标委员会认为投标人的报价明显低</w:t>
      </w:r>
      <w:r>
        <w:rPr>
          <w:rFonts w:hint="eastAsia" w:ascii="宋体" w:hAnsi="宋体" w:eastAsia="宋体" w:cs="宋体"/>
          <w:color w:val="auto"/>
          <w:sz w:val="24"/>
          <w:szCs w:val="24"/>
          <w:highlight w:val="none"/>
        </w:rPr>
        <w:t>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9E548C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69A8EFF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007CE7C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27.2废标条款</w:t>
      </w:r>
    </w:p>
    <w:p w14:paraId="1C76D93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w:t>
      </w:r>
    </w:p>
    <w:p w14:paraId="624DEA7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27.2.2出现影响采购公正的违法、违规行为的。</w:t>
      </w:r>
    </w:p>
    <w:p w14:paraId="2E50E73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37387DC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604228E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因苏采云系统系统故障原因造成开标不成功的。</w:t>
      </w:r>
    </w:p>
    <w:p w14:paraId="2AFF2B5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4AAF87C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27.3.1如出现投标截止时间结束后参加投标的供应商或者</w:t>
      </w:r>
      <w:r>
        <w:rPr>
          <w:rFonts w:hint="eastAsia" w:ascii="宋体" w:hAnsi="宋体" w:eastAsia="宋体" w:cs="宋体"/>
          <w:color w:val="000000"/>
          <w:sz w:val="24"/>
          <w:szCs w:val="24"/>
          <w:highlight w:val="none"/>
        </w:rPr>
        <w:t>在评标期间对招标文件做出实质响应的供应商不足三家情况，按政府采购相关规定执行。</w:t>
      </w:r>
    </w:p>
    <w:p w14:paraId="13BE58D4">
      <w:pPr>
        <w:pStyle w:val="10"/>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firstLineChars="200"/>
        <w:jc w:val="both"/>
        <w:textAlignment w:val="auto"/>
        <w:rPr>
          <w:rFonts w:hint="eastAsia" w:ascii="宋体" w:hAnsi="宋体" w:eastAsia="宋体" w:cs="宋体"/>
          <w:sz w:val="24"/>
          <w:szCs w:val="24"/>
          <w:highlight w:val="none"/>
        </w:rPr>
      </w:pPr>
      <w:bookmarkStart w:id="148" w:name="_Toc120614219"/>
      <w:r>
        <w:rPr>
          <w:rFonts w:hint="eastAsia" w:ascii="宋体" w:hAnsi="宋体" w:eastAsia="宋体" w:cs="宋体"/>
          <w:b/>
          <w:color w:val="000000"/>
          <w:sz w:val="24"/>
          <w:szCs w:val="24"/>
          <w:highlight w:val="none"/>
        </w:rPr>
        <w:t>六、定标</w:t>
      </w:r>
      <w:bookmarkEnd w:id="148"/>
    </w:p>
    <w:p w14:paraId="6CF15D84">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49" w:name="_Toc20823310"/>
      <w:bookmarkStart w:id="150" w:name="_Toc16938554"/>
      <w:bookmarkStart w:id="151" w:name="_Toc513029238"/>
      <w:r>
        <w:rPr>
          <w:rFonts w:hint="eastAsia" w:ascii="宋体" w:hAnsi="宋体" w:eastAsia="宋体" w:cs="宋体"/>
          <w:color w:val="000000"/>
          <w:sz w:val="24"/>
          <w:szCs w:val="24"/>
          <w:highlight w:val="none"/>
        </w:rPr>
        <w:t>28、</w:t>
      </w:r>
      <w:bookmarkEnd w:id="149"/>
      <w:r>
        <w:rPr>
          <w:rFonts w:hint="eastAsia" w:ascii="宋体" w:hAnsi="宋体" w:eastAsia="宋体" w:cs="宋体"/>
          <w:color w:val="000000"/>
          <w:sz w:val="24"/>
          <w:szCs w:val="24"/>
          <w:highlight w:val="none"/>
        </w:rPr>
        <w:t>确定</w:t>
      </w:r>
      <w:bookmarkEnd w:id="150"/>
      <w:bookmarkEnd w:id="151"/>
      <w:r>
        <w:rPr>
          <w:rFonts w:hint="eastAsia" w:ascii="宋体" w:hAnsi="宋体" w:eastAsia="宋体" w:cs="宋体"/>
          <w:color w:val="000000"/>
          <w:sz w:val="24"/>
          <w:szCs w:val="24"/>
          <w:highlight w:val="none"/>
        </w:rPr>
        <w:t>中标单位</w:t>
      </w:r>
    </w:p>
    <w:p w14:paraId="5EB7BA6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p>
    <w:p w14:paraId="2BE6DD4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 采购人应根据评委会推荐的中标候选人确定中标人。</w:t>
      </w:r>
    </w:p>
    <w:p w14:paraId="3D004C7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 采购中心将在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发布中标公告，公告期限为1个工作日。</w:t>
      </w:r>
    </w:p>
    <w:p w14:paraId="386E0C9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  若有充分证据证明，中标人出现下列情况之一的，一经查实，将被取消中标资格：</w:t>
      </w:r>
    </w:p>
    <w:p w14:paraId="0BCD3E74">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28.4.1提供虚假材料谋取中标的。</w:t>
      </w:r>
    </w:p>
    <w:p w14:paraId="13E8AC6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28.4.2向采购人、采购中心行贿或者提供其他不正当利益的。</w:t>
      </w:r>
    </w:p>
    <w:p w14:paraId="734172C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28.4.3属于本文件规定的无效条件，但在评标过程中又未被评委会发现的。</w:t>
      </w:r>
    </w:p>
    <w:p w14:paraId="2D18E97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28.4.4与采购人或者其他供应商恶意串通的。</w:t>
      </w:r>
    </w:p>
    <w:p w14:paraId="6B4A574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28.4.5采取不正当手段诋毁、排挤其他供应商的。</w:t>
      </w:r>
    </w:p>
    <w:p w14:paraId="3FFAA27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bookmarkStart w:id="152" w:name="_Toc200451960"/>
      <w:r>
        <w:rPr>
          <w:rFonts w:hint="eastAsia" w:ascii="宋体" w:hAnsi="宋体" w:eastAsia="宋体" w:cs="宋体"/>
          <w:color w:val="000000"/>
          <w:sz w:val="24"/>
          <w:szCs w:val="24"/>
          <w:highlight w:val="none"/>
        </w:rPr>
        <w:t>28.5. 有下列情形之一的，视为投标人串通投标，投标无效：</w:t>
      </w:r>
      <w:bookmarkEnd w:id="152"/>
    </w:p>
    <w:p w14:paraId="17D0A97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28.5.1不同投标人的投标文件由同一单位或者个人编制；</w:t>
      </w:r>
    </w:p>
    <w:p w14:paraId="25879A9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28.5.2不同投标人委托同一单位或者个人办理投标事宜；</w:t>
      </w:r>
    </w:p>
    <w:p w14:paraId="35059A6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 不同投标人的投标文件载明的项目管理成员或者联系人员为同一人；</w:t>
      </w:r>
    </w:p>
    <w:p w14:paraId="16134A48">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28.5.4不同投标人的投标文件异常一致或者投标报价呈规律性差异；</w:t>
      </w:r>
    </w:p>
    <w:p w14:paraId="72D577B2">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29、质疑处理</w:t>
      </w:r>
    </w:p>
    <w:p w14:paraId="59C4C9E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w:t>
      </w:r>
    </w:p>
    <w:p w14:paraId="5664335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2C6A5E0C">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   29.2.2对采购过程提出质疑的，为各采购程序环节结束之日；</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   29.2.3对中标或者成交结果提出质疑的，为中标或者成交结果公告期限届满之日。</w:t>
      </w:r>
    </w:p>
    <w:p w14:paraId="1C1F729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5CF6537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29.4 供应</w:t>
      </w:r>
      <w:r>
        <w:rPr>
          <w:rFonts w:hint="eastAsia" w:ascii="宋体" w:hAnsi="宋体" w:eastAsia="宋体" w:cs="宋体"/>
          <w:color w:val="auto"/>
          <w:sz w:val="24"/>
          <w:szCs w:val="24"/>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提出，由采购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负责答复。</w:t>
      </w:r>
    </w:p>
    <w:p w14:paraId="296C6A6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采购人及采购中心只接收以纸质原件形式送达的质疑,采购人不接受未填写快递运单的快件。质疑接收部门为</w:t>
      </w:r>
      <w:r>
        <w:rPr>
          <w:rFonts w:hint="eastAsia" w:ascii="宋体" w:hAnsi="宋体" w:eastAsia="宋体" w:cs="宋体"/>
          <w:color w:val="auto"/>
          <w:sz w:val="24"/>
          <w:szCs w:val="24"/>
          <w:highlight w:val="none"/>
          <w:lang w:val="en-US" w:eastAsia="zh-CN"/>
        </w:rPr>
        <w:t>东台市唐洋镇人民政府</w:t>
      </w: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详见采购公告。</w:t>
      </w:r>
    </w:p>
    <w:p w14:paraId="071C5D74">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 以下情形的质疑不予受理</w:t>
      </w:r>
    </w:p>
    <w:p w14:paraId="7F914B5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5117AD5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29.5.2 超出政府采购法定期限的质疑。</w:t>
      </w:r>
    </w:p>
    <w:p w14:paraId="26178371">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276C3DD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29.5.4 未参加投标活动的供应商或在投标活动中自身权益未受到损害的供应商所提出的质疑。</w:t>
      </w:r>
    </w:p>
    <w:p w14:paraId="295142B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29.5.5供应商组成联合体参加投标，联合体中任何一方或多方未按要求签字、盖章、加盖公章的质疑。</w:t>
      </w:r>
    </w:p>
    <w:p w14:paraId="0E6878F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DF24AE6">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30、中标通知书</w:t>
      </w:r>
    </w:p>
    <w:p w14:paraId="4F0DFD4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w:t>
      </w:r>
      <w:r>
        <w:rPr>
          <w:rFonts w:hint="eastAsia" w:ascii="宋体" w:hAnsi="宋体" w:eastAsia="宋体" w:cs="宋体"/>
          <w:b/>
          <w:color w:val="000000"/>
          <w:sz w:val="24"/>
          <w:szCs w:val="24"/>
          <w:highlight w:val="none"/>
        </w:rPr>
        <w:t> </w:t>
      </w:r>
      <w:r>
        <w:rPr>
          <w:rFonts w:hint="eastAsia" w:ascii="宋体" w:hAnsi="宋体" w:eastAsia="宋体" w:cs="宋体"/>
          <w:color w:val="000000"/>
          <w:sz w:val="24"/>
          <w:szCs w:val="24"/>
          <w:highlight w:val="none"/>
        </w:rPr>
        <w:t>中标结果确定后，采购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将向中标人发出中标通知书。请中标人在中标结果公告届满之日起30日内,使用CA数字证书</w:t>
      </w:r>
      <w:r>
        <w:rPr>
          <w:rFonts w:hint="eastAsia" w:ascii="宋体" w:hAnsi="宋体" w:eastAsia="宋体" w:cs="宋体"/>
          <w:color w:val="auto"/>
          <w:sz w:val="24"/>
          <w:szCs w:val="24"/>
          <w:highlight w:val="none"/>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标人自行承担。</w:t>
      </w:r>
    </w:p>
    <w:p w14:paraId="4605D1C0">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5ED6DDAB">
      <w:pPr>
        <w:pStyle w:val="10"/>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firstLineChars="200"/>
        <w:jc w:val="both"/>
        <w:textAlignment w:val="auto"/>
        <w:rPr>
          <w:rFonts w:hint="eastAsia" w:ascii="宋体" w:hAnsi="宋体" w:eastAsia="宋体" w:cs="宋体"/>
          <w:sz w:val="24"/>
          <w:szCs w:val="24"/>
          <w:highlight w:val="none"/>
        </w:rPr>
      </w:pPr>
      <w:bookmarkStart w:id="153" w:name="_Toc513029236"/>
      <w:bookmarkStart w:id="154" w:name="_Toc120614220"/>
      <w:bookmarkStart w:id="155" w:name="_Toc20823308"/>
      <w:bookmarkStart w:id="156" w:name="_Toc16938552"/>
      <w:r>
        <w:rPr>
          <w:rFonts w:hint="eastAsia" w:ascii="宋体" w:hAnsi="宋体" w:eastAsia="宋体" w:cs="宋体"/>
          <w:b/>
          <w:color w:val="000000"/>
          <w:sz w:val="24"/>
          <w:szCs w:val="24"/>
          <w:highlight w:val="none"/>
        </w:rPr>
        <w:t>七、授予合同</w:t>
      </w:r>
      <w:bookmarkEnd w:id="153"/>
      <w:bookmarkEnd w:id="154"/>
      <w:bookmarkEnd w:id="155"/>
      <w:bookmarkEnd w:id="156"/>
    </w:p>
    <w:p w14:paraId="3FD53760">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bookmarkStart w:id="157" w:name="_Toc20823309"/>
      <w:bookmarkStart w:id="158" w:name="_Toc513029237"/>
      <w:bookmarkStart w:id="159" w:name="_Toc16938553"/>
      <w:r>
        <w:rPr>
          <w:rFonts w:hint="eastAsia" w:ascii="宋体" w:hAnsi="宋体" w:eastAsia="宋体" w:cs="宋体"/>
          <w:color w:val="000000"/>
          <w:sz w:val="24"/>
          <w:szCs w:val="24"/>
          <w:highlight w:val="none"/>
        </w:rPr>
        <w:t>31. 签订合同</w:t>
      </w:r>
      <w:bookmarkEnd w:id="157"/>
      <w:bookmarkEnd w:id="158"/>
      <w:bookmarkEnd w:id="159"/>
    </w:p>
    <w:p w14:paraId="3B519A32">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31.l中标人应当在中标通知书发出之日起三十日内，按照招标文件确定的事项与采购人签订政府采购合同。</w:t>
      </w:r>
    </w:p>
    <w:p w14:paraId="47C5C3E9">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31.2</w:t>
      </w:r>
      <w:r>
        <w:rPr>
          <w:rFonts w:hint="eastAsia" w:ascii="宋体" w:hAnsi="宋体" w:eastAsia="宋体" w:cs="宋体"/>
          <w:b/>
          <w:color w:val="000000"/>
          <w:sz w:val="24"/>
          <w:szCs w:val="24"/>
          <w:highlight w:val="none"/>
        </w:rPr>
        <w:t> </w:t>
      </w:r>
      <w:r>
        <w:rPr>
          <w:rFonts w:hint="eastAsia" w:ascii="宋体" w:hAnsi="宋体" w:eastAsia="宋体" w:cs="宋体"/>
          <w:color w:val="000000"/>
          <w:sz w:val="24"/>
          <w:szCs w:val="24"/>
          <w:highlight w:val="none"/>
        </w:rPr>
        <w:t>招标文件、中标人的投标文件及招标过程中有关澄清、承诺文件均应作为合同附件。</w:t>
      </w:r>
    </w:p>
    <w:p w14:paraId="60EA278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31.3 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购人损失的，中标人应承担相应赔偿责任。</w:t>
      </w:r>
    </w:p>
    <w:p w14:paraId="07FD506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（备注：项目经办人在发标前应与采购人商定是否允许中标人分包履行合同，确定后该备注删除）</w:t>
      </w:r>
    </w:p>
    <w:p w14:paraId="7A8BD332">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32、货物（包含与货物相关的服务）的追加</w:t>
      </w:r>
    </w:p>
    <w:p w14:paraId="779FCA9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10"/>
        <w:pageBreakBefore w:val="0"/>
        <w:widowControl w:val="0"/>
        <w:numPr>
          <w:ilvl w:val="0"/>
          <w:numId w:val="0"/>
        </w:numPr>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33.政府采购政策功能落实</w:t>
      </w:r>
    </w:p>
    <w:p w14:paraId="3EA2C724">
      <w:pPr>
        <w:pStyle w:val="10"/>
        <w:keepNext/>
        <w:keepLines/>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7831DEF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33.2进口产品</w:t>
      </w:r>
    </w:p>
    <w:p w14:paraId="5E25FDB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.3.1中小企业定义：</w:t>
      </w:r>
    </w:p>
    <w:p w14:paraId="4C9CBD8E">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6761BEF4">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31163D4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4DFC19B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EA95C77">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18C13D1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4D8F3DF">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C10A4F6">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3AB3B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25054FF3">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2B08B5C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20CB233D">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3B85C34B">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66321B5E">
      <w:pPr>
        <w:pStyle w:val="10"/>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3CD37815">
      <w:pPr>
        <w:pStyle w:val="10"/>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24130294">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33.4政府采购节能产品、环境标志产品</w:t>
      </w:r>
    </w:p>
    <w:p w14:paraId="56196F77">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3644E8D9">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3C828DB7">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2D9B3368">
      <w:pPr>
        <w:pBdr>
          <w:top w:val="none" w:color="000000" w:sz="0" w:space="0"/>
          <w:left w:val="none" w:color="000000" w:sz="0" w:space="0"/>
          <w:bottom w:val="none" w:color="000000" w:sz="0" w:space="0"/>
          <w:right w:val="none" w:color="000000" w:sz="0" w:space="0"/>
        </w:pBdr>
        <w:spacing w:before="0" w:after="0" w:line="85" w:lineRule="atLeast"/>
        <w:ind w:left="0" w:right="0" w:firstLine="478"/>
        <w:jc w:val="both"/>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57947BB5">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722A8D32">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33.8履约保证金政策</w:t>
      </w:r>
    </w:p>
    <w:p w14:paraId="40F02B3A">
      <w:pPr>
        <w:pStyle w:val="20"/>
        <w:spacing w:after="0" w:line="520" w:lineRule="exact"/>
        <w:ind w:left="0" w:firstLine="56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5EB031AC">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57E6C93D">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部门备案的第三方信用报告，且信用报告通过“信用盐城网”可查实），本项目履约保证金（是/否）</w:t>
      </w:r>
      <w:r>
        <w:rPr>
          <w:rFonts w:hint="eastAsia" w:ascii="宋体" w:hAnsi="宋体" w:eastAsia="宋体" w:cs="宋体"/>
          <w:color w:val="auto"/>
          <w:kern w:val="0"/>
          <w:sz w:val="24"/>
          <w:szCs w:val="24"/>
          <w:highlight w:val="none"/>
          <w:u w:val="single"/>
          <w:lang w:val="en-US" w:eastAsia="zh-CN" w:bidi="ar-SA"/>
        </w:rPr>
        <w:t xml:space="preserve"> 是 </w:t>
      </w:r>
      <w:r>
        <w:rPr>
          <w:rFonts w:hint="eastAsia" w:ascii="宋体" w:hAnsi="宋体" w:eastAsia="宋体" w:cs="宋体"/>
          <w:color w:val="auto"/>
          <w:kern w:val="0"/>
          <w:sz w:val="24"/>
          <w:szCs w:val="24"/>
          <w:highlight w:val="none"/>
          <w:lang w:val="en-US" w:eastAsia="zh-CN" w:bidi="ar-SA"/>
        </w:rPr>
        <w:t>免收履约保证金或降低履约保证金缴纳比例</w:t>
      </w:r>
      <w:r>
        <w:rPr>
          <w:rFonts w:hint="eastAsia" w:ascii="宋体" w:hAnsi="宋体" w:eastAsia="宋体" w:cs="宋体"/>
          <w:color w:val="auto"/>
          <w:kern w:val="0"/>
          <w:sz w:val="24"/>
          <w:szCs w:val="24"/>
          <w:highlight w:val="none"/>
          <w:u w:val="single"/>
          <w:lang w:val="en-US" w:eastAsia="zh-CN" w:bidi="ar-SA"/>
        </w:rPr>
        <w:t xml:space="preserve">  100% </w:t>
      </w:r>
      <w:r>
        <w:rPr>
          <w:rFonts w:hint="eastAsia" w:ascii="宋体" w:hAnsi="宋体" w:eastAsia="宋体" w:cs="宋体"/>
          <w:color w:val="auto"/>
          <w:kern w:val="0"/>
          <w:sz w:val="24"/>
          <w:szCs w:val="24"/>
          <w:highlight w:val="none"/>
          <w:lang w:val="en-US" w:eastAsia="zh-CN" w:bidi="ar-SA"/>
        </w:rPr>
        <w:t>。</w:t>
      </w:r>
    </w:p>
    <w:p w14:paraId="184C23EE">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23108FD2">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本项目落实预付款制度，预付款比例为</w:t>
      </w:r>
      <w:r>
        <w:rPr>
          <w:rFonts w:hint="eastAsia" w:ascii="宋体" w:hAnsi="宋体" w:eastAsia="宋体" w:cs="宋体"/>
          <w:color w:val="auto"/>
          <w:kern w:val="0"/>
          <w:sz w:val="24"/>
          <w:szCs w:val="24"/>
          <w:highlight w:val="none"/>
          <w:u w:val="single"/>
          <w:lang w:val="en-US" w:eastAsia="zh-CN" w:bidi="ar-SA"/>
        </w:rPr>
        <w:t>30%</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53289C7D">
      <w:pPr>
        <w:pStyle w:val="20"/>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33E3FFD4">
      <w:pPr>
        <w:pStyle w:val="10"/>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20F1951">
      <w:pPr>
        <w:pStyle w:val="10"/>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B97EB0F">
      <w:pPr>
        <w:pStyle w:val="10"/>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219D08">
      <w:pPr>
        <w:pStyle w:val="10"/>
        <w:spacing w:beforeAutospacing="0" w:afterAutospacing="0"/>
        <w:jc w:val="both"/>
        <w:rPr>
          <w:rFonts w:hint="eastAsia" w:ascii="宋体" w:hAnsi="宋体" w:eastAsia="宋体" w:cs="宋体"/>
          <w:sz w:val="24"/>
          <w:szCs w:val="24"/>
          <w:highlight w:val="none"/>
        </w:rPr>
      </w:pPr>
    </w:p>
    <w:p w14:paraId="5DD3B16F">
      <w:pPr>
        <w:pStyle w:val="10"/>
        <w:spacing w:beforeAutospacing="0" w:afterAutospacing="0"/>
        <w:jc w:val="both"/>
        <w:rPr>
          <w:rFonts w:hint="eastAsia" w:ascii="宋体" w:hAnsi="宋体" w:eastAsia="宋体" w:cs="宋体"/>
          <w:sz w:val="24"/>
          <w:szCs w:val="24"/>
          <w:highlight w:val="none"/>
        </w:rPr>
      </w:pPr>
    </w:p>
    <w:p w14:paraId="484F37B1">
      <w:pPr>
        <w:pStyle w:val="10"/>
        <w:spacing w:beforeAutospacing="0" w:afterAutospacing="0"/>
        <w:jc w:val="both"/>
        <w:rPr>
          <w:rFonts w:hint="eastAsia" w:ascii="宋体" w:hAnsi="宋体" w:eastAsia="宋体" w:cs="宋体"/>
          <w:sz w:val="24"/>
          <w:szCs w:val="24"/>
          <w:highlight w:val="none"/>
        </w:rPr>
      </w:pPr>
    </w:p>
    <w:p w14:paraId="33B8BA0B">
      <w:pPr>
        <w:pStyle w:val="10"/>
        <w:spacing w:beforeAutospacing="0" w:afterAutospacing="0"/>
        <w:jc w:val="both"/>
        <w:rPr>
          <w:highlight w:val="none"/>
        </w:rPr>
      </w:pPr>
    </w:p>
    <w:p w14:paraId="176D95B0">
      <w:pPr>
        <w:pStyle w:val="10"/>
        <w:spacing w:beforeAutospacing="0" w:afterAutospacing="0"/>
        <w:jc w:val="both"/>
        <w:rPr>
          <w:highlight w:val="none"/>
        </w:rPr>
      </w:pPr>
    </w:p>
    <w:p w14:paraId="2FC42BEF">
      <w:pPr>
        <w:pStyle w:val="10"/>
        <w:spacing w:beforeAutospacing="0" w:afterAutospacing="0"/>
        <w:jc w:val="both"/>
        <w:rPr>
          <w:highlight w:val="none"/>
        </w:rPr>
      </w:pPr>
    </w:p>
    <w:p w14:paraId="4F543183">
      <w:pPr>
        <w:pStyle w:val="10"/>
        <w:spacing w:beforeAutospacing="0" w:afterAutospacing="0"/>
        <w:jc w:val="both"/>
        <w:rPr>
          <w:highlight w:val="none"/>
        </w:rPr>
      </w:pPr>
    </w:p>
    <w:p w14:paraId="42A19CE3">
      <w:pPr>
        <w:pStyle w:val="10"/>
        <w:spacing w:beforeAutospacing="0" w:afterAutospacing="0"/>
        <w:jc w:val="both"/>
        <w:rPr>
          <w:highlight w:val="none"/>
        </w:rPr>
      </w:pPr>
    </w:p>
    <w:p w14:paraId="0A270C17">
      <w:pPr>
        <w:pStyle w:val="10"/>
        <w:spacing w:beforeAutospacing="0" w:afterAutospacing="0"/>
        <w:jc w:val="both"/>
        <w:rPr>
          <w:highlight w:val="none"/>
        </w:rPr>
      </w:pPr>
    </w:p>
    <w:p w14:paraId="327C4F4C">
      <w:pPr>
        <w:pStyle w:val="10"/>
        <w:spacing w:beforeAutospacing="0" w:afterAutospacing="0"/>
        <w:jc w:val="both"/>
        <w:rPr>
          <w:highlight w:val="none"/>
        </w:rPr>
      </w:pPr>
    </w:p>
    <w:p w14:paraId="6A32CD3F">
      <w:pPr>
        <w:pStyle w:val="10"/>
        <w:spacing w:beforeAutospacing="0" w:afterAutospacing="0"/>
        <w:jc w:val="both"/>
        <w:rPr>
          <w:highlight w:val="none"/>
        </w:rPr>
      </w:pPr>
    </w:p>
    <w:p w14:paraId="68256234">
      <w:pPr>
        <w:pStyle w:val="10"/>
        <w:spacing w:beforeAutospacing="0" w:afterAutospacing="0"/>
        <w:jc w:val="both"/>
        <w:rPr>
          <w:highlight w:val="none"/>
        </w:rPr>
      </w:pPr>
    </w:p>
    <w:p w14:paraId="6777BAC8">
      <w:pPr>
        <w:pStyle w:val="10"/>
        <w:spacing w:beforeAutospacing="0" w:afterAutospacing="0"/>
        <w:jc w:val="both"/>
        <w:rPr>
          <w:highlight w:val="none"/>
        </w:rPr>
      </w:pPr>
    </w:p>
    <w:p w14:paraId="4188DB8B">
      <w:pPr>
        <w:pStyle w:val="10"/>
        <w:spacing w:beforeAutospacing="0" w:afterAutospacing="0"/>
        <w:jc w:val="both"/>
        <w:rPr>
          <w:highlight w:val="none"/>
        </w:rPr>
      </w:pPr>
    </w:p>
    <w:p w14:paraId="4AF400F7">
      <w:pPr>
        <w:pStyle w:val="10"/>
        <w:spacing w:beforeAutospacing="0" w:afterAutospacing="0"/>
        <w:jc w:val="both"/>
        <w:rPr>
          <w:highlight w:val="none"/>
        </w:rPr>
      </w:pPr>
    </w:p>
    <w:p w14:paraId="47ACF9E1">
      <w:pPr>
        <w:pStyle w:val="10"/>
        <w:spacing w:beforeAutospacing="0" w:afterAutospacing="0"/>
        <w:jc w:val="both"/>
        <w:rPr>
          <w:highlight w:val="none"/>
        </w:rPr>
      </w:pPr>
    </w:p>
    <w:p w14:paraId="569BB122">
      <w:pPr>
        <w:pStyle w:val="10"/>
        <w:spacing w:beforeAutospacing="0" w:afterAutospacing="0"/>
        <w:jc w:val="both"/>
        <w:rPr>
          <w:highlight w:val="none"/>
        </w:rPr>
      </w:pPr>
    </w:p>
    <w:p w14:paraId="3443F633">
      <w:pPr>
        <w:pStyle w:val="10"/>
        <w:spacing w:beforeAutospacing="0" w:afterAutospacing="0"/>
        <w:jc w:val="both"/>
        <w:rPr>
          <w:highlight w:val="none"/>
        </w:rPr>
      </w:pPr>
    </w:p>
    <w:p w14:paraId="404ECDA7">
      <w:pPr>
        <w:pStyle w:val="10"/>
        <w:spacing w:beforeAutospacing="0" w:afterAutospacing="0"/>
        <w:jc w:val="both"/>
        <w:rPr>
          <w:highlight w:val="none"/>
        </w:rPr>
      </w:pPr>
    </w:p>
    <w:p w14:paraId="2E971CBA">
      <w:pPr>
        <w:pStyle w:val="10"/>
        <w:spacing w:beforeAutospacing="0" w:afterAutospacing="0"/>
        <w:jc w:val="both"/>
        <w:rPr>
          <w:highlight w:val="none"/>
        </w:rPr>
      </w:pPr>
    </w:p>
    <w:p w14:paraId="64AA39D8">
      <w:pPr>
        <w:pStyle w:val="10"/>
        <w:spacing w:beforeAutospacing="0" w:afterAutospacing="0"/>
        <w:jc w:val="both"/>
        <w:rPr>
          <w:highlight w:val="none"/>
        </w:rPr>
      </w:pPr>
    </w:p>
    <w:p w14:paraId="1CB16783">
      <w:pPr>
        <w:pStyle w:val="10"/>
        <w:spacing w:beforeAutospacing="0" w:afterAutospacing="0"/>
        <w:jc w:val="both"/>
        <w:rPr>
          <w:highlight w:val="none"/>
        </w:rPr>
      </w:pPr>
    </w:p>
    <w:p w14:paraId="6ABE3920">
      <w:pPr>
        <w:pStyle w:val="10"/>
        <w:spacing w:beforeAutospacing="0" w:afterAutospacing="0"/>
        <w:jc w:val="both"/>
        <w:rPr>
          <w:highlight w:val="none"/>
        </w:rPr>
      </w:pPr>
    </w:p>
    <w:p w14:paraId="4858680B">
      <w:pPr>
        <w:pStyle w:val="10"/>
        <w:spacing w:beforeAutospacing="0" w:afterAutospacing="0"/>
        <w:jc w:val="both"/>
        <w:rPr>
          <w:highlight w:val="none"/>
        </w:rPr>
      </w:pPr>
    </w:p>
    <w:p w14:paraId="26F0E8C7">
      <w:pPr>
        <w:pStyle w:val="10"/>
        <w:spacing w:beforeAutospacing="0" w:afterAutospacing="0"/>
        <w:jc w:val="both"/>
        <w:rPr>
          <w:highlight w:val="none"/>
        </w:rPr>
      </w:pPr>
    </w:p>
    <w:p w14:paraId="48C6CEF5">
      <w:pPr>
        <w:pStyle w:val="10"/>
        <w:spacing w:beforeAutospacing="0" w:afterAutospacing="0"/>
        <w:jc w:val="both"/>
        <w:rPr>
          <w:highlight w:val="none"/>
        </w:rPr>
      </w:pPr>
    </w:p>
    <w:p w14:paraId="070061C3">
      <w:pPr>
        <w:pStyle w:val="10"/>
        <w:spacing w:beforeAutospacing="0" w:afterAutospacing="0"/>
        <w:jc w:val="both"/>
        <w:rPr>
          <w:highlight w:val="none"/>
        </w:rPr>
      </w:pPr>
    </w:p>
    <w:p w14:paraId="3C4DFC44">
      <w:pPr>
        <w:pStyle w:val="10"/>
        <w:spacing w:beforeAutospacing="0" w:afterAutospacing="0"/>
        <w:jc w:val="both"/>
        <w:rPr>
          <w:highlight w:val="none"/>
        </w:rPr>
      </w:pPr>
    </w:p>
    <w:p w14:paraId="6146E2D1">
      <w:pPr>
        <w:pStyle w:val="10"/>
        <w:spacing w:beforeAutospacing="0" w:afterAutospacing="0"/>
        <w:jc w:val="both"/>
        <w:rPr>
          <w:highlight w:val="none"/>
        </w:rPr>
      </w:pPr>
    </w:p>
    <w:p w14:paraId="772C69F8">
      <w:pPr>
        <w:pStyle w:val="10"/>
        <w:spacing w:beforeAutospacing="0" w:afterAutospacing="0"/>
        <w:jc w:val="both"/>
        <w:rPr>
          <w:highlight w:val="none"/>
        </w:rPr>
      </w:pPr>
    </w:p>
    <w:p w14:paraId="63D1D81E">
      <w:pPr>
        <w:pStyle w:val="10"/>
        <w:spacing w:beforeAutospacing="0" w:afterAutospacing="0"/>
        <w:jc w:val="both"/>
        <w:rPr>
          <w:highlight w:val="none"/>
        </w:rPr>
      </w:pPr>
    </w:p>
    <w:p w14:paraId="48496D00">
      <w:pPr>
        <w:pStyle w:val="10"/>
        <w:spacing w:beforeAutospacing="0" w:afterAutospacing="0"/>
        <w:jc w:val="both"/>
        <w:rPr>
          <w:highlight w:val="none"/>
        </w:rPr>
      </w:pPr>
    </w:p>
    <w:p w14:paraId="32428794">
      <w:pPr>
        <w:pStyle w:val="10"/>
        <w:spacing w:beforeAutospacing="0" w:afterAutospacing="0"/>
        <w:jc w:val="both"/>
        <w:rPr>
          <w:highlight w:val="none"/>
        </w:rPr>
      </w:pPr>
    </w:p>
    <w:p w14:paraId="1EB1F8A6">
      <w:pPr>
        <w:pStyle w:val="10"/>
        <w:spacing w:beforeAutospacing="0" w:afterAutospacing="0"/>
        <w:jc w:val="both"/>
        <w:rPr>
          <w:highlight w:val="none"/>
        </w:rPr>
      </w:pPr>
    </w:p>
    <w:p w14:paraId="1EBA165D">
      <w:pPr>
        <w:pStyle w:val="10"/>
        <w:spacing w:beforeAutospacing="0" w:afterAutospacing="0"/>
        <w:jc w:val="both"/>
        <w:rPr>
          <w:highlight w:val="none"/>
        </w:rPr>
      </w:pPr>
    </w:p>
    <w:p w14:paraId="68B2849A">
      <w:pPr>
        <w:pStyle w:val="10"/>
        <w:spacing w:beforeAutospacing="0" w:afterAutospacing="0"/>
        <w:jc w:val="both"/>
        <w:rPr>
          <w:highlight w:val="none"/>
        </w:rPr>
      </w:pPr>
    </w:p>
    <w:p w14:paraId="4933F7EA">
      <w:pPr>
        <w:pStyle w:val="10"/>
        <w:spacing w:beforeAutospacing="0" w:afterAutospacing="0" w:line="0" w:lineRule="atLeast"/>
        <w:jc w:val="both"/>
        <w:rPr>
          <w:highlight w:val="none"/>
        </w:rPr>
      </w:pPr>
      <w:r>
        <w:rPr>
          <w:highlight w:val="none"/>
        </w:rPr>
        <w:t> </w:t>
      </w:r>
    </w:p>
    <w:p w14:paraId="4B5F750D">
      <w:pPr>
        <w:pStyle w:val="10"/>
        <w:spacing w:beforeAutospacing="0" w:afterAutospacing="0" w:line="0" w:lineRule="atLeast"/>
        <w:jc w:val="both"/>
        <w:rPr>
          <w:highlight w:val="none"/>
        </w:rPr>
      </w:pPr>
      <w:r>
        <w:rPr>
          <w:highlight w:val="none"/>
        </w:rPr>
        <w:t> </w:t>
      </w:r>
    </w:p>
    <w:p w14:paraId="31AFAA53">
      <w:pPr>
        <w:pStyle w:val="10"/>
        <w:spacing w:beforeAutospacing="0" w:afterAutospacing="0" w:line="0" w:lineRule="atLeast"/>
        <w:jc w:val="both"/>
        <w:rPr>
          <w:highlight w:val="none"/>
        </w:rPr>
      </w:pPr>
      <w:r>
        <w:rPr>
          <w:highlight w:val="none"/>
        </w:rPr>
        <w:t> </w:t>
      </w:r>
    </w:p>
    <w:p w14:paraId="7D0C094D">
      <w:pPr>
        <w:widowControl/>
        <w:spacing w:line="360" w:lineRule="auto"/>
        <w:jc w:val="center"/>
        <w:rPr>
          <w:rFonts w:ascii="宋体" w:hAnsi="宋体" w:cs="宋体"/>
          <w:b/>
          <w:sz w:val="48"/>
          <w:szCs w:val="44"/>
          <w:highlight w:val="none"/>
        </w:rPr>
      </w:pPr>
      <w:r>
        <w:rPr>
          <w:sz w:val="36"/>
          <w:szCs w:val="44"/>
          <w:highlight w:val="none"/>
        </w:rPr>
        <w:t> </w:t>
      </w:r>
      <w:bookmarkStart w:id="160" w:name="_Toc479757211"/>
      <w:bookmarkStart w:id="161" w:name="_Toc16938590"/>
      <w:bookmarkStart w:id="162" w:name="_Toc462564139"/>
      <w:bookmarkStart w:id="163" w:name="_Toc20823346"/>
      <w:bookmarkStart w:id="164" w:name="_Hlt16619350"/>
      <w:bookmarkStart w:id="165" w:name="_Toc120614244"/>
      <w:bookmarkStart w:id="166" w:name="_Hlt16619369"/>
      <w:r>
        <w:rPr>
          <w:rFonts w:hint="eastAsia" w:ascii="宋体" w:hAnsi="宋体" w:cs="宋体"/>
          <w:b/>
          <w:sz w:val="48"/>
          <w:szCs w:val="44"/>
          <w:highlight w:val="none"/>
        </w:rPr>
        <w:t>第三</w:t>
      </w:r>
      <w:r>
        <w:rPr>
          <w:rFonts w:hint="eastAsia" w:ascii="宋体" w:hAnsi="宋体" w:cs="宋体"/>
          <w:b/>
          <w:sz w:val="48"/>
          <w:szCs w:val="44"/>
          <w:highlight w:val="none"/>
          <w:lang w:eastAsia="zh-CN"/>
        </w:rPr>
        <w:t>章</w:t>
      </w:r>
      <w:r>
        <w:rPr>
          <w:rFonts w:hint="eastAsia" w:ascii="宋体" w:hAnsi="宋体" w:cs="宋体"/>
          <w:b/>
          <w:sz w:val="48"/>
          <w:szCs w:val="44"/>
          <w:highlight w:val="none"/>
        </w:rPr>
        <w:t xml:space="preserve">  合同条款</w:t>
      </w:r>
    </w:p>
    <w:p w14:paraId="7C62F2F4">
      <w:pPr>
        <w:rPr>
          <w:rFonts w:ascii="宋体" w:hAnsi="宋体" w:cs="宋体"/>
          <w:highlight w:val="none"/>
        </w:rPr>
      </w:pPr>
      <w:bookmarkStart w:id="167" w:name="EB6d2006462e294de090c16e672cecc3bd"/>
    </w:p>
    <w:bookmarkEnd w:id="167"/>
    <w:p w14:paraId="0F89D1C7">
      <w:pPr>
        <w:jc w:val="center"/>
        <w:rPr>
          <w:rFonts w:ascii="宋体" w:hAnsi="宋体" w:cs="宋体"/>
          <w:b/>
          <w:bCs/>
          <w:spacing w:val="-20"/>
          <w:sz w:val="48"/>
          <w:szCs w:val="48"/>
          <w:highlight w:val="none"/>
        </w:rPr>
      </w:pPr>
      <w:bookmarkStart w:id="168" w:name="_Toc3995"/>
    </w:p>
    <w:p w14:paraId="2728A11A">
      <w:pPr>
        <w:jc w:val="center"/>
        <w:rPr>
          <w:rFonts w:ascii="宋体" w:hAnsi="宋体" w:cs="宋体"/>
          <w:b/>
          <w:bCs/>
          <w:spacing w:val="-20"/>
          <w:sz w:val="48"/>
          <w:szCs w:val="48"/>
          <w:highlight w:val="none"/>
        </w:rPr>
      </w:pPr>
    </w:p>
    <w:p w14:paraId="61A63262">
      <w:pPr>
        <w:jc w:val="center"/>
        <w:rPr>
          <w:rFonts w:ascii="宋体" w:hAnsi="宋体" w:cs="宋体"/>
          <w:b/>
          <w:bCs/>
          <w:spacing w:val="-20"/>
          <w:sz w:val="48"/>
          <w:szCs w:val="48"/>
          <w:highlight w:val="none"/>
        </w:rPr>
      </w:pPr>
    </w:p>
    <w:p w14:paraId="5544CBCE">
      <w:pPr>
        <w:jc w:val="center"/>
        <w:rPr>
          <w:rFonts w:ascii="宋体" w:hAnsi="宋体" w:cs="宋体"/>
          <w:b/>
          <w:bCs/>
          <w:spacing w:val="-20"/>
          <w:sz w:val="48"/>
          <w:szCs w:val="48"/>
          <w:highlight w:val="none"/>
        </w:rPr>
      </w:pPr>
    </w:p>
    <w:p w14:paraId="6038FDA2">
      <w:pPr>
        <w:jc w:val="center"/>
        <w:rPr>
          <w:rFonts w:ascii="宋体" w:hAnsi="宋体" w:cs="宋体"/>
          <w:sz w:val="30"/>
          <w:highlight w:val="none"/>
        </w:rPr>
      </w:pPr>
    </w:p>
    <w:p w14:paraId="7023E608">
      <w:pPr>
        <w:jc w:val="center"/>
        <w:rPr>
          <w:rFonts w:ascii="宋体" w:hAnsi="宋体" w:cs="宋体"/>
          <w:sz w:val="30"/>
          <w:highlight w:val="none"/>
        </w:rPr>
      </w:pPr>
      <w:r>
        <w:rPr>
          <w:rFonts w:hint="eastAsia" w:ascii="宋体" w:hAnsi="宋体" w:cs="宋体"/>
          <w:sz w:val="30"/>
          <w:highlight w:val="none"/>
        </w:rPr>
        <w:t>政府采购货物买卖合同</w:t>
      </w:r>
    </w:p>
    <w:p w14:paraId="39A221D5">
      <w:pPr>
        <w:jc w:val="center"/>
        <w:rPr>
          <w:rFonts w:ascii="宋体" w:hAnsi="宋体" w:cs="宋体"/>
          <w:sz w:val="30"/>
          <w:highlight w:val="none"/>
        </w:rPr>
      </w:pPr>
    </w:p>
    <w:p w14:paraId="7EE671B2">
      <w:pPr>
        <w:rPr>
          <w:rFonts w:ascii="宋体" w:hAnsi="宋体" w:cs="宋体"/>
          <w:sz w:val="30"/>
          <w:highlight w:val="none"/>
        </w:rPr>
      </w:pPr>
    </w:p>
    <w:p w14:paraId="149DABE6">
      <w:pPr>
        <w:rPr>
          <w:rFonts w:ascii="宋体" w:hAnsi="宋体" w:cs="宋体"/>
          <w:sz w:val="30"/>
          <w:highlight w:val="none"/>
        </w:rPr>
      </w:pPr>
    </w:p>
    <w:p w14:paraId="7E6C9959">
      <w:pPr>
        <w:rPr>
          <w:rFonts w:ascii="宋体" w:hAnsi="宋体" w:cs="宋体"/>
          <w:sz w:val="30"/>
          <w:highlight w:val="none"/>
        </w:rPr>
      </w:pPr>
    </w:p>
    <w:p w14:paraId="3BB3AA36">
      <w:pPr>
        <w:spacing w:line="360" w:lineRule="auto"/>
        <w:ind w:left="420"/>
        <w:rPr>
          <w:rFonts w:ascii="宋体" w:hAnsi="宋体" w:cs="宋体"/>
          <w:sz w:val="30"/>
          <w:highlight w:val="none"/>
        </w:rPr>
      </w:pPr>
      <w:r>
        <w:rPr>
          <w:rFonts w:hint="eastAsia" w:ascii="宋体" w:hAnsi="宋体" w:cs="宋体"/>
          <w:sz w:val="30"/>
          <w:highlight w:val="none"/>
        </w:rPr>
        <w:t>项目名称：</w:t>
      </w:r>
    </w:p>
    <w:p w14:paraId="11A1D3A4">
      <w:pPr>
        <w:spacing w:line="360" w:lineRule="auto"/>
        <w:ind w:left="420"/>
        <w:rPr>
          <w:rFonts w:ascii="宋体" w:hAnsi="宋体" w:cs="宋体"/>
          <w:sz w:val="30"/>
          <w:highlight w:val="none"/>
        </w:rPr>
      </w:pPr>
      <w:r>
        <w:rPr>
          <w:rFonts w:hint="eastAsia" w:ascii="宋体" w:hAnsi="宋体" w:cs="宋体"/>
          <w:sz w:val="30"/>
          <w:highlight w:val="none"/>
        </w:rPr>
        <w:t>合同编号：</w:t>
      </w:r>
    </w:p>
    <w:p w14:paraId="7691FC79">
      <w:pPr>
        <w:spacing w:line="360" w:lineRule="auto"/>
        <w:ind w:left="420"/>
        <w:rPr>
          <w:rFonts w:ascii="宋体" w:hAnsi="宋体" w:cs="宋体"/>
          <w:sz w:val="30"/>
          <w:highlight w:val="none"/>
        </w:rPr>
      </w:pPr>
      <w:r>
        <w:rPr>
          <w:rFonts w:hint="eastAsia" w:ascii="宋体" w:hAnsi="宋体" w:cs="宋体"/>
          <w:sz w:val="30"/>
          <w:highlight w:val="none"/>
        </w:rPr>
        <w:t>甲    方：</w:t>
      </w:r>
    </w:p>
    <w:p w14:paraId="2F6A467E">
      <w:pPr>
        <w:spacing w:line="360" w:lineRule="auto"/>
        <w:ind w:left="420"/>
        <w:rPr>
          <w:rFonts w:ascii="宋体" w:hAnsi="宋体" w:cs="宋体"/>
          <w:sz w:val="30"/>
          <w:highlight w:val="none"/>
        </w:rPr>
      </w:pPr>
      <w:r>
        <w:rPr>
          <w:rFonts w:hint="eastAsia" w:ascii="宋体" w:hAnsi="宋体" w:cs="宋体"/>
          <w:sz w:val="30"/>
          <w:highlight w:val="none"/>
        </w:rPr>
        <w:t>乙    方：</w:t>
      </w:r>
    </w:p>
    <w:p w14:paraId="2B606E10">
      <w:pPr>
        <w:spacing w:line="360" w:lineRule="auto"/>
        <w:ind w:left="420"/>
        <w:rPr>
          <w:rFonts w:ascii="宋体" w:hAnsi="宋体" w:cs="宋体"/>
          <w:sz w:val="30"/>
          <w:highlight w:val="none"/>
        </w:rPr>
      </w:pPr>
      <w:r>
        <w:rPr>
          <w:rFonts w:hint="eastAsia" w:ascii="宋体" w:hAnsi="宋体" w:cs="宋体"/>
          <w:sz w:val="30"/>
          <w:highlight w:val="none"/>
        </w:rPr>
        <w:t>签订时间：</w:t>
      </w:r>
    </w:p>
    <w:p w14:paraId="178BC0A1">
      <w:pPr>
        <w:rPr>
          <w:highlight w:val="none"/>
        </w:rPr>
      </w:pPr>
    </w:p>
    <w:p w14:paraId="7B8C5833">
      <w:pPr>
        <w:rPr>
          <w:rFonts w:eastAsia="黑体"/>
          <w:sz w:val="44"/>
          <w:szCs w:val="44"/>
          <w:highlight w:val="none"/>
        </w:rPr>
      </w:pPr>
      <w:r>
        <w:rPr>
          <w:rFonts w:eastAsia="黑体"/>
          <w:sz w:val="44"/>
          <w:szCs w:val="44"/>
          <w:highlight w:val="none"/>
        </w:rPr>
        <w:br w:type="page" w:clear="all"/>
      </w:r>
    </w:p>
    <w:p w14:paraId="4211E897">
      <w:pPr>
        <w:ind w:firstLine="880"/>
        <w:rPr>
          <w:rFonts w:eastAsia="黑体"/>
          <w:sz w:val="44"/>
          <w:szCs w:val="44"/>
          <w:highlight w:val="none"/>
        </w:rPr>
        <w:sectPr>
          <w:footerReference r:id="rId3" w:type="default"/>
          <w:pgSz w:w="11906" w:h="16838"/>
          <w:pgMar w:top="1440" w:right="1800" w:bottom="1440" w:left="1800" w:header="851" w:footer="992" w:gutter="0"/>
          <w:cols w:space="425" w:num="1"/>
          <w:docGrid w:linePitch="360" w:charSpace="0"/>
        </w:sectPr>
      </w:pPr>
    </w:p>
    <w:bookmarkEnd w:id="168"/>
    <w:p w14:paraId="0930546B">
      <w:pPr>
        <w:keepNext/>
        <w:keepLines/>
        <w:spacing w:line="400" w:lineRule="exact"/>
        <w:jc w:val="center"/>
        <w:outlineLvl w:val="1"/>
        <w:rPr>
          <w:rFonts w:ascii="黑体" w:hAnsi="黑体" w:eastAsia="黑体"/>
          <w:b/>
          <w:bCs/>
          <w:sz w:val="28"/>
          <w:szCs w:val="28"/>
          <w:highlight w:val="none"/>
        </w:rPr>
      </w:pPr>
      <w:bookmarkStart w:id="169" w:name="_Toc22209"/>
    </w:p>
    <w:p w14:paraId="24AB6C21">
      <w:pPr>
        <w:keepNext/>
        <w:keepLines/>
        <w:spacing w:line="400" w:lineRule="exact"/>
        <w:jc w:val="center"/>
        <w:outlineLvl w:val="1"/>
        <w:rPr>
          <w:rFonts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bookmarkEnd w:id="169"/>
    </w:p>
    <w:p w14:paraId="204F39D4">
      <w:pPr>
        <w:keepNext/>
        <w:keepLines/>
        <w:spacing w:line="360" w:lineRule="auto"/>
        <w:jc w:val="center"/>
        <w:outlineLvl w:val="1"/>
        <w:rPr>
          <w:rFonts w:ascii="黑体" w:hAnsi="华文中宋" w:eastAsia="黑体"/>
          <w:sz w:val="28"/>
          <w:szCs w:val="28"/>
          <w:highlight w:val="none"/>
        </w:rPr>
      </w:pPr>
    </w:p>
    <w:p w14:paraId="343FEEC8">
      <w:pPr>
        <w:spacing w:line="360" w:lineRule="auto"/>
        <w:rPr>
          <w:rFonts w:ascii="宋体" w:hAnsi="宋体"/>
          <w:sz w:val="24"/>
          <w:highlight w:val="none"/>
        </w:rPr>
      </w:pPr>
      <w:r>
        <w:rPr>
          <w:rFonts w:hint="eastAsia" w:ascii="宋体" w:hAnsi="宋体"/>
          <w:sz w:val="24"/>
          <w:highlight w:val="none"/>
        </w:rPr>
        <w:t>甲方（全称）：</w:t>
      </w:r>
    </w:p>
    <w:p w14:paraId="23DA8236">
      <w:pPr>
        <w:spacing w:line="360" w:lineRule="auto"/>
        <w:rPr>
          <w:rFonts w:ascii="宋体" w:hAnsi="宋体"/>
          <w:sz w:val="24"/>
          <w:highlight w:val="none"/>
        </w:rPr>
      </w:pPr>
      <w:r>
        <w:rPr>
          <w:rFonts w:hint="eastAsia" w:ascii="宋体" w:hAnsi="宋体"/>
          <w:sz w:val="24"/>
          <w:highlight w:val="none"/>
        </w:rPr>
        <w:t>乙方（全称）：</w:t>
      </w:r>
      <w:r>
        <w:rPr>
          <w:rFonts w:ascii="宋体" w:hAnsi="宋体"/>
          <w:sz w:val="24"/>
          <w:highlight w:val="none"/>
        </w:rPr>
        <w:t xml:space="preserve"> </w:t>
      </w:r>
    </w:p>
    <w:p w14:paraId="7E89D3F7">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sz w:val="24"/>
          <w:highlight w:val="none"/>
        </w:rPr>
      </w:pPr>
      <w:r>
        <w:rPr>
          <w:rFonts w:hint="eastAsia" w:ascii="宋体" w:hAnsi="宋体" w:eastAsia="宋体" w:cs="宋体"/>
          <w:sz w:val="24"/>
          <w:szCs w:val="24"/>
          <w:lang w:val="en-US" w:eastAsia="zh-CN"/>
        </w:rPr>
        <w:t>甲方于</w:t>
      </w:r>
      <w:r>
        <w:rPr>
          <w:rFonts w:hint="eastAsia" w:ascii="宋体" w:hAnsi="宋体" w:eastAsia="宋体" w:cs="宋体"/>
          <w:sz w:val="24"/>
          <w:szCs w:val="24"/>
          <w:u w:val="single"/>
          <w:lang w:val="en-US" w:eastAsia="zh-CN"/>
        </w:rPr>
        <w:t>2025</w:t>
      </w:r>
      <w:r>
        <w:rPr>
          <w:rFonts w:hint="eastAsia" w:ascii="宋体" w:hAnsi="宋体" w:eastAsia="宋体" w:cs="宋体"/>
          <w:sz w:val="24"/>
          <w:szCs w:val="24"/>
          <w:lang w:val="en-US" w:eastAsia="zh-CN"/>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日在东台市公共资源交易中心进行</w:t>
      </w:r>
      <w:r>
        <w:rPr>
          <w:rFonts w:hint="eastAsia" w:ascii="宋体" w:hAnsi="宋体" w:eastAsia="宋体" w:cs="宋体"/>
          <w:sz w:val="24"/>
          <w:szCs w:val="24"/>
          <w:u w:val="single"/>
          <w:lang w:val="en-US" w:eastAsia="zh-CN"/>
        </w:rPr>
        <w:t>     </w:t>
      </w:r>
      <w:r>
        <w:rPr>
          <w:rFonts w:hint="eastAsia" w:ascii="宋体" w:hAnsi="宋体" w:eastAsia="宋体" w:cs="宋体"/>
          <w:sz w:val="24"/>
          <w:szCs w:val="24"/>
          <w:lang w:val="en-US" w:eastAsia="zh-CN"/>
        </w:rPr>
        <w:t>采购（招标文件编号：</w:t>
      </w:r>
      <w:r>
        <w:rPr>
          <w:rFonts w:hint="eastAsia" w:ascii="宋体" w:hAnsi="宋体" w:eastAsia="宋体" w:cs="宋体"/>
          <w:sz w:val="24"/>
          <w:szCs w:val="24"/>
          <w:u w:val="single"/>
          <w:lang w:val="en-US" w:eastAsia="zh-CN"/>
        </w:rPr>
        <w:t>       </w:t>
      </w:r>
      <w:r>
        <w:rPr>
          <w:rFonts w:hint="eastAsia" w:ascii="宋体" w:hAnsi="宋体" w:eastAsia="宋体" w:cs="宋体"/>
          <w:sz w:val="24"/>
          <w:szCs w:val="24"/>
          <w:lang w:val="en-US" w:eastAsia="zh-CN"/>
        </w:rPr>
        <w:t>），经评审，确定乙方为成交供应商，依据《中华人民共和国政府采购法》、《中华人民共和国民法典》及有关法律、法规。双方就有关事项协商一致，订立本合同。</w:t>
      </w:r>
      <w:r>
        <w:rPr>
          <w:rFonts w:hint="eastAsia" w:ascii="宋体" w:hAnsi="宋体"/>
          <w:sz w:val="24"/>
          <w:highlight w:val="none"/>
        </w:rPr>
        <w:t xml:space="preserve">     </w:t>
      </w:r>
    </w:p>
    <w:p w14:paraId="2AF584B0">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ascii="宋体" w:hAnsi="宋体"/>
          <w:b/>
          <w:sz w:val="24"/>
          <w:highlight w:val="none"/>
        </w:rPr>
      </w:pPr>
      <w:r>
        <w:rPr>
          <w:rFonts w:hint="eastAsia" w:ascii="宋体" w:hAnsi="宋体" w:cstheme="minorBidi"/>
          <w:b/>
          <w:kern w:val="2"/>
          <w:sz w:val="24"/>
          <w:szCs w:val="24"/>
          <w:lang w:val="en-US" w:eastAsia="zh-CN" w:bidi="ar-SA"/>
        </w:rPr>
        <w:t>一、</w:t>
      </w:r>
      <w:r>
        <w:rPr>
          <w:rFonts w:hint="eastAsia" w:ascii="宋体" w:hAnsi="宋体"/>
          <w:b/>
          <w:sz w:val="24"/>
          <w:highlight w:val="none"/>
        </w:rPr>
        <w:t>项目信息</w:t>
      </w:r>
    </w:p>
    <w:p w14:paraId="3A0A2DD0">
      <w:pPr>
        <w:keepNext w:val="0"/>
        <w:keepLines w:val="0"/>
        <w:pageBreakBefore w:val="0"/>
        <w:widowControl w:val="0"/>
        <w:numPr>
          <w:ilvl w:val="0"/>
          <w:numId w:val="1"/>
        </w:numPr>
        <w:kinsoku/>
        <w:wordWrap/>
        <w:overflowPunct/>
        <w:topLinePunct w:val="0"/>
        <w:autoSpaceDE/>
        <w:autoSpaceDN/>
        <w:bidi w:val="0"/>
        <w:spacing w:line="336" w:lineRule="auto"/>
        <w:ind w:left="0" w:leftChars="0" w:firstLine="480" w:firstLineChars="200"/>
        <w:textAlignment w:val="auto"/>
        <w:rPr>
          <w:rFonts w:ascii="宋体" w:hAnsi="宋体"/>
          <w:sz w:val="24"/>
          <w:highlight w:val="none"/>
        </w:rPr>
      </w:pPr>
      <w:r>
        <w:rPr>
          <w:rFonts w:hint="eastAsia" w:ascii="宋体" w:hAnsi="宋体"/>
          <w:sz w:val="24"/>
          <w:highlight w:val="none"/>
        </w:rPr>
        <w:t>采购项目名称：唐洋镇机关食堂食材、调料等物品采购项目</w:t>
      </w:r>
    </w:p>
    <w:p w14:paraId="674EB6FB">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sz w:val="24"/>
          <w:highlight w:val="none"/>
        </w:rPr>
      </w:pPr>
      <w:r>
        <w:rPr>
          <w:rFonts w:hint="eastAsia" w:ascii="宋体" w:hAnsi="宋体"/>
          <w:sz w:val="24"/>
          <w:highlight w:val="none"/>
        </w:rPr>
        <w:t>（2）采购计划编号：</w:t>
      </w:r>
    </w:p>
    <w:p w14:paraId="4D368F2A">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sz w:val="24"/>
          <w:highlight w:val="none"/>
        </w:rPr>
      </w:pPr>
      <w:r>
        <w:rPr>
          <w:rFonts w:hint="eastAsia" w:ascii="宋体" w:hAnsi="宋体"/>
          <w:sz w:val="24"/>
          <w:highlight w:val="none"/>
        </w:rPr>
        <w:t>（3）项目内容：</w:t>
      </w:r>
      <w:r>
        <w:rPr>
          <w:rFonts w:hint="eastAsia" w:ascii="宋体" w:hAnsi="宋体"/>
          <w:sz w:val="24"/>
          <w:highlight w:val="none"/>
          <w:lang w:val="en-US" w:eastAsia="zh-CN"/>
        </w:rPr>
        <w:t>共11个大类：粮油类；干货类；蔬菜类；肉制品禽蛋类；熟食类；水产品；调味品；豆制品、面食、点心类；瓜果类；生活用品及慰问物资等。</w:t>
      </w:r>
      <w:r>
        <w:rPr>
          <w:rFonts w:hint="eastAsia" w:ascii="宋体" w:hAnsi="宋体"/>
          <w:sz w:val="24"/>
          <w:highlight w:val="none"/>
        </w:rPr>
        <w:t>实际采购物资根据甲方提供的日常食品菜单为准，按实际供货量进行结算</w:t>
      </w:r>
      <w:r>
        <w:rPr>
          <w:rFonts w:hint="eastAsia" w:ascii="宋体" w:hAnsi="宋体"/>
          <w:sz w:val="24"/>
          <w:highlight w:val="none"/>
          <w:lang w:eastAsia="zh-CN"/>
        </w:rPr>
        <w:t>。</w:t>
      </w:r>
    </w:p>
    <w:p w14:paraId="1D8F05A5">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ascii="宋体" w:hAnsi="宋体"/>
          <w:b/>
          <w:sz w:val="24"/>
          <w:highlight w:val="none"/>
        </w:rPr>
      </w:pPr>
      <w:r>
        <w:rPr>
          <w:rFonts w:hint="eastAsia" w:ascii="宋体" w:hAnsi="宋体" w:cstheme="minorBidi"/>
          <w:b/>
          <w:kern w:val="2"/>
          <w:sz w:val="24"/>
          <w:szCs w:val="24"/>
          <w:lang w:val="en-US" w:eastAsia="zh-CN" w:bidi="ar-SA"/>
        </w:rPr>
        <w:t>二、</w:t>
      </w:r>
      <w:r>
        <w:rPr>
          <w:rFonts w:hint="eastAsia" w:ascii="宋体" w:hAnsi="宋体"/>
          <w:b/>
          <w:sz w:val="24"/>
          <w:highlight w:val="none"/>
        </w:rPr>
        <w:t>合同费率</w:t>
      </w:r>
    </w:p>
    <w:p w14:paraId="1C7D3076">
      <w:pPr>
        <w:keepNext w:val="0"/>
        <w:keepLines w:val="0"/>
        <w:pageBreakBefore w:val="0"/>
        <w:widowControl w:val="0"/>
        <w:kinsoku/>
        <w:wordWrap/>
        <w:overflowPunct/>
        <w:topLinePunct w:val="0"/>
        <w:autoSpaceDE/>
        <w:autoSpaceDN/>
        <w:bidi w:val="0"/>
        <w:adjustRightInd/>
        <w:snapToGrid w:val="0"/>
        <w:spacing w:line="336" w:lineRule="auto"/>
        <w:ind w:left="0" w:leftChars="0" w:firstLine="480" w:firstLineChars="200"/>
        <w:textAlignment w:val="auto"/>
        <w:rPr>
          <w:rFonts w:ascii="宋体" w:hAnsi="宋体" w:cs="宋体"/>
          <w:color w:val="auto"/>
          <w:sz w:val="24"/>
          <w:highlight w:val="none"/>
        </w:rPr>
      </w:pPr>
      <w:r>
        <w:rPr>
          <w:rFonts w:hint="eastAsia" w:ascii="宋体" w:hAnsi="宋体"/>
          <w:kern w:val="2"/>
          <w:sz w:val="24"/>
          <w:szCs w:val="24"/>
        </w:rPr>
        <w:t>本合同费率为：</w:t>
      </w:r>
      <w:r>
        <w:rPr>
          <w:rFonts w:hint="eastAsia" w:ascii="宋体" w:hAnsi="宋体"/>
          <w:kern w:val="2"/>
          <w:sz w:val="24"/>
          <w:szCs w:val="24"/>
          <w:u w:val="single"/>
        </w:rPr>
        <w:t xml:space="preserve">      </w:t>
      </w:r>
      <w:r>
        <w:rPr>
          <w:rFonts w:hint="eastAsia" w:ascii="宋体" w:hAnsi="宋体"/>
          <w:kern w:val="2"/>
          <w:sz w:val="24"/>
          <w:szCs w:val="24"/>
          <w:u w:val="single"/>
          <w:lang w:val="en-US" w:eastAsia="zh-CN"/>
        </w:rPr>
        <w:t xml:space="preserve">    </w:t>
      </w:r>
      <w:r>
        <w:rPr>
          <w:rFonts w:hint="eastAsia" w:ascii="宋体" w:hAnsi="宋体"/>
          <w:kern w:val="2"/>
          <w:sz w:val="24"/>
          <w:szCs w:val="24"/>
          <w:u w:val="single"/>
        </w:rPr>
        <w:t xml:space="preserve"> </w:t>
      </w:r>
      <w:r>
        <w:rPr>
          <w:rFonts w:hint="eastAsia" w:ascii="宋体" w:hAnsi="宋体"/>
          <w:kern w:val="2"/>
          <w:sz w:val="24"/>
          <w:szCs w:val="24"/>
        </w:rPr>
        <w:t>。</w:t>
      </w:r>
    </w:p>
    <w:p w14:paraId="7FEE6B08">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ascii="宋体" w:hAnsi="宋体"/>
          <w:b/>
          <w:sz w:val="24"/>
          <w:highlight w:val="none"/>
          <w:u w:val="single"/>
        </w:rPr>
      </w:pPr>
      <w:r>
        <w:rPr>
          <w:rFonts w:hint="eastAsia" w:ascii="宋体" w:hAnsi="宋体" w:cstheme="minorBidi"/>
          <w:b/>
          <w:kern w:val="2"/>
          <w:sz w:val="24"/>
          <w:szCs w:val="24"/>
          <w:lang w:val="en-US" w:eastAsia="zh-CN" w:bidi="ar-SA"/>
        </w:rPr>
        <w:t>三、</w:t>
      </w:r>
      <w:r>
        <w:rPr>
          <w:rFonts w:hint="eastAsia" w:ascii="宋体" w:hAnsi="宋体"/>
          <w:b/>
          <w:sz w:val="24"/>
          <w:highlight w:val="none"/>
        </w:rPr>
        <w:t>合同履行</w:t>
      </w:r>
    </w:p>
    <w:p w14:paraId="6C81EE3A">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s="宋体"/>
          <w:sz w:val="24"/>
          <w:highlight w:val="none"/>
        </w:rPr>
      </w:pPr>
      <w:r>
        <w:rPr>
          <w:rFonts w:hint="eastAsia" w:ascii="宋体" w:hAnsi="宋体" w:cs="宋体"/>
          <w:sz w:val="24"/>
          <w:highlight w:val="none"/>
        </w:rPr>
        <w:t>（1）起始日期：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日，完成日期：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4485A647">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540B2F6B">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s="宋体"/>
          <w:sz w:val="24"/>
          <w:highlight w:val="none"/>
        </w:rPr>
      </w:pPr>
      <w:r>
        <w:rPr>
          <w:rFonts w:hint="eastAsia" w:ascii="宋体" w:hAnsi="宋体" w:cs="宋体"/>
          <w:bCs/>
          <w:sz w:val="24"/>
          <w:highlight w:val="none"/>
        </w:rPr>
        <w:t>（3）</w:t>
      </w:r>
      <w:r>
        <w:rPr>
          <w:rFonts w:hint="eastAsia" w:ascii="宋体" w:hAnsi="宋体" w:cs="宋体"/>
          <w:sz w:val="24"/>
          <w:highlight w:val="none"/>
        </w:rPr>
        <w:t>履约担保：履约担保：是否收取履约保证金：</w:t>
      </w:r>
      <w:r>
        <w:rPr>
          <w:rFonts w:hint="eastAsia" w:ascii="宋体" w:hAnsi="宋体" w:cs="宋体"/>
          <w:sz w:val="24"/>
          <w:highlight w:val="none"/>
        </w:rPr>
        <w:sym w:font="Wingdings" w:char="00FE"/>
      </w:r>
      <w:r>
        <w:rPr>
          <w:rFonts w:hint="eastAsia" w:ascii="宋体" w:hAnsi="宋体" w:cs="宋体"/>
          <w:sz w:val="24"/>
          <w:highlight w:val="none"/>
        </w:rPr>
        <w:t xml:space="preserve">是    </w:t>
      </w:r>
      <w:r>
        <w:rPr>
          <w:rFonts w:hint="eastAsia" w:ascii="宋体" w:hAnsi="宋体" w:cs="宋体"/>
          <w:sz w:val="24"/>
          <w:highlight w:val="none"/>
        </w:rPr>
        <w:sym w:font="Wingdings" w:char="00A8"/>
      </w:r>
      <w:r>
        <w:rPr>
          <w:rFonts w:hint="eastAsia" w:ascii="宋体" w:hAnsi="宋体" w:cs="宋体"/>
          <w:sz w:val="24"/>
          <w:highlight w:val="none"/>
        </w:rPr>
        <w:t>否</w:t>
      </w:r>
    </w:p>
    <w:p w14:paraId="4571D9F6">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lang w:val="zh-CN" w:eastAsia="zh-CN"/>
        </w:rPr>
        <w:t>由乙方在合同签订时向甲方提交，乙方如有违约或有损甲方利益的行为，甲方有权扣除其履约保证金，供应商自主选择以支票、汇票、本票、保函等非现金形式缴纳或提交保证金</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1FC1B75D">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lang w:val="zh-CN" w:eastAsia="zh-CN"/>
        </w:rPr>
        <w:t>本项目履约保证金数额为人民币5000元</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721B6929">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 xml:space="preserve">     履约保证金不予退还的情形</w:t>
      </w:r>
      <w:r>
        <w:rPr>
          <w:rFonts w:hint="eastAsia" w:ascii="宋体" w:hAnsi="宋体" w:cs="宋体"/>
          <w:sz w:val="24"/>
          <w:highlight w:val="none"/>
          <w:lang w:eastAsia="zh-CN"/>
        </w:rPr>
        <w:t>：除不可抗力情况外，投标人出现下列情形之一的，其履约保证金，招标人将视情节决定不予退还或部分不予退还。</w:t>
      </w:r>
    </w:p>
    <w:p w14:paraId="3775626F">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lang w:eastAsia="zh-CN"/>
        </w:rPr>
        <w:t>中标人无正当理由拒绝签订合同的，或者在签订合同时向采购人提出附加条件或者更改合同实质性内容要求的；</w:t>
      </w:r>
    </w:p>
    <w:p w14:paraId="08F0AA03">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2、</w:t>
      </w:r>
      <w:r>
        <w:rPr>
          <w:rFonts w:hint="eastAsia" w:ascii="宋体" w:hAnsi="宋体" w:cs="宋体"/>
          <w:sz w:val="24"/>
          <w:highlight w:val="none"/>
          <w:lang w:eastAsia="zh-CN"/>
        </w:rPr>
        <w:t>中标人不履行与采购人订立的合同的；</w:t>
      </w:r>
    </w:p>
    <w:p w14:paraId="21B34F34">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中标人所供货物或服务不符合招标文件规定要求的；</w:t>
      </w:r>
    </w:p>
    <w:p w14:paraId="4FC2CA23">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4、</w:t>
      </w:r>
      <w:r>
        <w:rPr>
          <w:rFonts w:hint="eastAsia" w:ascii="宋体" w:hAnsi="宋体" w:cs="宋体"/>
          <w:sz w:val="24"/>
          <w:highlight w:val="none"/>
          <w:lang w:eastAsia="zh-CN"/>
        </w:rPr>
        <w:t>中标人采取欺骗、弄虚作假方式投标的或与其它投标人串通投标的；</w:t>
      </w:r>
    </w:p>
    <w:p w14:paraId="40BF8D4B">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5、</w:t>
      </w:r>
      <w:r>
        <w:rPr>
          <w:rFonts w:hint="eastAsia" w:ascii="宋体" w:hAnsi="宋体" w:cs="宋体"/>
          <w:sz w:val="24"/>
          <w:highlight w:val="none"/>
          <w:lang w:eastAsia="zh-CN"/>
        </w:rPr>
        <w:t>中标人将合同内容转包、违法分包的；</w:t>
      </w:r>
    </w:p>
    <w:p w14:paraId="3FDCB964">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6、</w:t>
      </w:r>
      <w:r>
        <w:rPr>
          <w:rFonts w:hint="eastAsia" w:ascii="宋体" w:hAnsi="宋体" w:cs="宋体"/>
          <w:sz w:val="24"/>
          <w:highlight w:val="none"/>
          <w:lang w:eastAsia="zh-CN"/>
        </w:rPr>
        <w:t>中标人故意捏造事实或伪造证明材料，进行虚假恶意投诉或反映的。</w:t>
      </w:r>
    </w:p>
    <w:p w14:paraId="3185051A">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履约保证金退还时间及逾期退还的违约金：</w:t>
      </w:r>
    </w:p>
    <w:p w14:paraId="70BEAFD7">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1、合同履行结束后，甲方应及时退还交纳的履约保证金。</w:t>
      </w:r>
    </w:p>
    <w:p w14:paraId="74366AE6">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2、退还方式：退还至投标人缴纳履约保证金的账户。如为保函，在到期时自行失效。</w:t>
      </w:r>
    </w:p>
    <w:p w14:paraId="4417963A">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3、退还时间：验收合格且甲方收到发票后30日内。</w:t>
      </w:r>
    </w:p>
    <w:p w14:paraId="79D16D66">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4、退还条件：按合同要求全部履约完成并经采购人验收合格，且采购人收到中标人出具的发票。</w:t>
      </w:r>
    </w:p>
    <w:p w14:paraId="458AF2AA">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5、逾期退还的违约责任：采购人逾期无故未退还履约保证金的，按中国人民银行同期贷款基准利率上浮20%后的利率支付超期资金占用费，但因供应商自身原因导致无法及时退还的除外。</w:t>
      </w:r>
    </w:p>
    <w:p w14:paraId="0A37E05E">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C095CFD">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p>
    <w:p w14:paraId="0B0DB5E4">
      <w:pPr>
        <w:pStyle w:val="10"/>
        <w:keepNext w:val="0"/>
        <w:keepLines w:val="0"/>
        <w:pageBreakBefore w:val="0"/>
        <w:widowControl w:val="0"/>
        <w:kinsoku/>
        <w:wordWrap/>
        <w:overflowPunct/>
        <w:topLinePunct w:val="0"/>
        <w:autoSpaceDE/>
        <w:autoSpaceDN/>
        <w:bidi w:val="0"/>
        <w:spacing w:beforeAutospacing="0" w:afterAutospacing="0" w:line="336" w:lineRule="auto"/>
        <w:ind w:left="0" w:leftChars="0" w:firstLine="480" w:firstLineChars="200"/>
        <w:jc w:val="both"/>
        <w:textAlignment w:val="auto"/>
        <w:rPr>
          <w:rFonts w:ascii="宋体" w:hAnsi="宋体" w:cs="宋体"/>
          <w:sz w:val="24"/>
          <w:highlight w:val="none"/>
          <w:u w:val="single"/>
        </w:rPr>
      </w:pPr>
      <w:r>
        <w:rPr>
          <w:rFonts w:hint="eastAsia" w:ascii="宋体" w:hAnsi="宋体" w:cs="宋体"/>
          <w:color w:val="auto"/>
          <w:highlight w:val="none"/>
        </w:rPr>
        <w:t>（备注：履约保证金金额不得超过合同金额的10%，采购人应当对AA评级及以上政府采购供应商（需提供信用管理部门备案的第三方信用报告）</w:t>
      </w:r>
      <w:r>
        <w:rPr>
          <w:rFonts w:hint="eastAsia" w:ascii="宋体" w:hAnsi="宋体" w:cs="宋体"/>
          <w:color w:val="auto"/>
          <w:highlight w:val="none"/>
          <w:lang w:val="en-US" w:eastAsia="zh-CN"/>
        </w:rPr>
        <w:t>本项目履约保证金（是/否）</w:t>
      </w:r>
      <w:r>
        <w:rPr>
          <w:rFonts w:hint="eastAsia" w:ascii="宋体" w:hAnsi="宋体" w:cs="宋体"/>
          <w:color w:val="auto"/>
          <w:highlight w:val="none"/>
          <w:u w:val="single"/>
          <w:lang w:val="en-US" w:eastAsia="zh-CN"/>
        </w:rPr>
        <w:t xml:space="preserve"> 是 </w:t>
      </w:r>
      <w:r>
        <w:rPr>
          <w:rFonts w:hint="eastAsia" w:ascii="宋体" w:hAnsi="宋体" w:cs="宋体"/>
          <w:color w:val="auto"/>
          <w:highlight w:val="none"/>
          <w:lang w:val="en-US" w:eastAsia="zh-CN"/>
        </w:rPr>
        <w:t>免收履约保证金或降低履约保证金缴纳比例</w:t>
      </w:r>
      <w:r>
        <w:rPr>
          <w:rFonts w:hint="eastAsia" w:ascii="宋体" w:hAnsi="宋体" w:cs="宋体"/>
          <w:color w:val="auto"/>
          <w:highlight w:val="none"/>
          <w:u w:val="single"/>
          <w:lang w:val="en-US" w:eastAsia="zh-CN"/>
        </w:rPr>
        <w:t xml:space="preserve"> 100% </w:t>
      </w:r>
      <w:r>
        <w:rPr>
          <w:rFonts w:hint="eastAsia" w:ascii="宋体" w:hAnsi="宋体" w:cs="宋体"/>
          <w:color w:val="auto"/>
          <w:highlight w:val="none"/>
          <w:lang w:val="en-US" w:eastAsia="zh-CN"/>
        </w:rPr>
        <w:t>。</w:t>
      </w:r>
      <w:r>
        <w:rPr>
          <w:rFonts w:hint="eastAsia" w:ascii="宋体" w:hAnsi="宋体" w:cs="宋体"/>
          <w:color w:val="auto"/>
          <w:highlight w:val="none"/>
        </w:rPr>
        <w:t>）</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highlight w:val="none"/>
        </w:rPr>
        <w:t xml:space="preserve">                         </w:t>
      </w:r>
    </w:p>
    <w:p w14:paraId="129CD3BE">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2" w:firstLineChars="200"/>
        <w:textAlignment w:val="auto"/>
        <w:rPr>
          <w:rFonts w:hint="eastAsia" w:ascii="宋体" w:hAnsi="宋体"/>
          <w:bCs/>
          <w:sz w:val="24"/>
          <w:highlight w:val="none"/>
        </w:rPr>
      </w:pPr>
      <w:r>
        <w:rPr>
          <w:rFonts w:hint="eastAsia" w:ascii="宋体" w:hAnsi="宋体" w:cstheme="minorBidi"/>
          <w:b/>
          <w:kern w:val="2"/>
          <w:sz w:val="24"/>
          <w:szCs w:val="24"/>
          <w:highlight w:val="none"/>
          <w:lang w:val="en-US" w:eastAsia="zh-CN" w:bidi="ar-SA"/>
        </w:rPr>
        <w:t>四、验收及</w:t>
      </w:r>
      <w:r>
        <w:rPr>
          <w:rFonts w:hint="eastAsia" w:ascii="宋体" w:hAnsi="宋体"/>
          <w:b/>
          <w:sz w:val="24"/>
          <w:highlight w:val="none"/>
        </w:rPr>
        <w:t>交货地点</w:t>
      </w:r>
    </w:p>
    <w:p w14:paraId="68B8D070">
      <w:pPr>
        <w:keepNext w:val="0"/>
        <w:keepLines w:val="0"/>
        <w:pageBreakBefore w:val="0"/>
        <w:widowControl w:val="0"/>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Cs/>
          <w:sz w:val="24"/>
          <w:highlight w:val="none"/>
        </w:rPr>
      </w:pPr>
      <w:r>
        <w:rPr>
          <w:rFonts w:hint="eastAsia" w:ascii="宋体" w:hAnsi="宋体"/>
          <w:bCs/>
          <w:sz w:val="24"/>
          <w:highlight w:val="none"/>
        </w:rPr>
        <w:t>交货地点：</w:t>
      </w:r>
      <w:r>
        <w:rPr>
          <w:rFonts w:hint="eastAsia" w:ascii="宋体" w:hAnsi="宋体"/>
          <w:bCs/>
          <w:sz w:val="24"/>
          <w:highlight w:val="none"/>
          <w:lang w:val="en-US" w:eastAsia="zh-CN"/>
        </w:rPr>
        <w:t>东台市唐洋镇人民政府</w:t>
      </w:r>
      <w:r>
        <w:rPr>
          <w:rFonts w:hint="eastAsia" w:ascii="宋体" w:hAnsi="宋体"/>
          <w:bCs/>
          <w:sz w:val="24"/>
          <w:highlight w:val="none"/>
        </w:rPr>
        <w:t>。</w:t>
      </w:r>
    </w:p>
    <w:p w14:paraId="3769C620">
      <w:pPr>
        <w:keepNext w:val="0"/>
        <w:keepLines w:val="0"/>
        <w:pageBreakBefore w:val="0"/>
        <w:widowControl w:val="0"/>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Cs/>
          <w:sz w:val="24"/>
          <w:highlight w:val="none"/>
        </w:rPr>
      </w:pPr>
      <w:r>
        <w:rPr>
          <w:rFonts w:hint="eastAsia" w:ascii="宋体" w:hAnsi="宋体"/>
          <w:bCs/>
          <w:sz w:val="24"/>
          <w:highlight w:val="none"/>
          <w:lang w:val="en-US" w:eastAsia="zh-CN"/>
        </w:rPr>
        <w:t>乙方</w:t>
      </w:r>
      <w:r>
        <w:rPr>
          <w:rFonts w:hint="eastAsia" w:ascii="宋体" w:hAnsi="宋体"/>
          <w:bCs/>
          <w:sz w:val="24"/>
          <w:highlight w:val="none"/>
        </w:rPr>
        <w:t>须保证配送货物重量与订购单相符。每次</w:t>
      </w:r>
      <w:r>
        <w:rPr>
          <w:rFonts w:hint="eastAsia" w:ascii="宋体" w:hAnsi="宋体"/>
          <w:bCs/>
          <w:sz w:val="24"/>
          <w:highlight w:val="none"/>
          <w:lang w:val="en-US" w:eastAsia="zh-CN"/>
        </w:rPr>
        <w:t>送</w:t>
      </w:r>
      <w:r>
        <w:rPr>
          <w:rFonts w:hint="eastAsia" w:ascii="宋体" w:hAnsi="宋体"/>
          <w:bCs/>
          <w:sz w:val="24"/>
          <w:highlight w:val="none"/>
        </w:rPr>
        <w:t>货</w:t>
      </w:r>
      <w:r>
        <w:rPr>
          <w:rFonts w:hint="eastAsia" w:ascii="宋体" w:hAnsi="宋体"/>
          <w:bCs/>
          <w:sz w:val="24"/>
          <w:highlight w:val="none"/>
          <w:lang w:eastAsia="zh-CN"/>
        </w:rPr>
        <w:t>，</w:t>
      </w:r>
      <w:r>
        <w:rPr>
          <w:rFonts w:hint="eastAsia" w:ascii="宋体" w:hAnsi="宋体"/>
          <w:bCs/>
          <w:sz w:val="24"/>
          <w:highlight w:val="none"/>
        </w:rPr>
        <w:t>乙方应提供单位盖章的供货单</w:t>
      </w:r>
      <w:r>
        <w:rPr>
          <w:rFonts w:hint="eastAsia" w:ascii="宋体" w:hAnsi="宋体"/>
          <w:bCs/>
          <w:sz w:val="24"/>
          <w:highlight w:val="none"/>
          <w:lang w:eastAsia="zh-CN"/>
        </w:rPr>
        <w:t>（</w:t>
      </w:r>
      <w:r>
        <w:rPr>
          <w:rFonts w:hint="eastAsia" w:ascii="宋体" w:hAnsi="宋体"/>
          <w:bCs/>
          <w:sz w:val="24"/>
          <w:highlight w:val="none"/>
        </w:rPr>
        <w:t>一式两联</w:t>
      </w:r>
      <w:r>
        <w:rPr>
          <w:rFonts w:hint="eastAsia" w:ascii="宋体" w:hAnsi="宋体"/>
          <w:bCs/>
          <w:sz w:val="24"/>
          <w:highlight w:val="none"/>
          <w:lang w:eastAsia="zh-CN"/>
        </w:rPr>
        <w:t>）</w:t>
      </w:r>
      <w:r>
        <w:rPr>
          <w:rFonts w:hint="eastAsia" w:ascii="宋体" w:hAnsi="宋体"/>
          <w:bCs/>
          <w:sz w:val="24"/>
          <w:highlight w:val="none"/>
        </w:rPr>
        <w:t>由甲方工作人员</w:t>
      </w:r>
      <w:r>
        <w:rPr>
          <w:rFonts w:hint="eastAsia" w:ascii="宋体" w:hAnsi="宋体"/>
          <w:bCs/>
          <w:sz w:val="24"/>
          <w:highlight w:val="none"/>
          <w:lang w:eastAsia="zh-CN"/>
        </w:rPr>
        <w:t>（</w:t>
      </w:r>
      <w:r>
        <w:rPr>
          <w:rFonts w:hint="eastAsia" w:ascii="宋体" w:hAnsi="宋体"/>
          <w:bCs/>
          <w:sz w:val="24"/>
          <w:highlight w:val="none"/>
        </w:rPr>
        <w:t>含代表</w:t>
      </w:r>
      <w:r>
        <w:rPr>
          <w:rFonts w:hint="eastAsia" w:ascii="宋体" w:hAnsi="宋体"/>
          <w:bCs/>
          <w:sz w:val="24"/>
          <w:highlight w:val="none"/>
          <w:lang w:eastAsia="zh-CN"/>
        </w:rPr>
        <w:t>）</w:t>
      </w:r>
      <w:r>
        <w:rPr>
          <w:rFonts w:hint="eastAsia" w:ascii="宋体" w:hAnsi="宋体"/>
          <w:bCs/>
          <w:sz w:val="24"/>
          <w:highlight w:val="none"/>
        </w:rPr>
        <w:t>验收过磅签单入库，供货单明细到品名、数量、单价、合价。供货单作为双方结算的凭据，以</w:t>
      </w:r>
      <w:r>
        <w:rPr>
          <w:rFonts w:hint="eastAsia" w:ascii="宋体" w:hAnsi="宋体"/>
          <w:bCs/>
          <w:sz w:val="24"/>
          <w:highlight w:val="none"/>
          <w:lang w:val="en-US" w:eastAsia="zh-CN"/>
        </w:rPr>
        <w:t>甲方</w:t>
      </w:r>
      <w:r>
        <w:rPr>
          <w:rFonts w:hint="eastAsia" w:ascii="宋体" w:hAnsi="宋体"/>
          <w:bCs/>
          <w:sz w:val="24"/>
          <w:highlight w:val="none"/>
        </w:rPr>
        <w:t>的验货数量为准。</w:t>
      </w:r>
    </w:p>
    <w:p w14:paraId="1A5E313B">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ascii="宋体" w:hAnsi="宋体"/>
          <w:b/>
          <w:sz w:val="24"/>
          <w:highlight w:val="none"/>
        </w:rPr>
      </w:pPr>
      <w:r>
        <w:rPr>
          <w:rFonts w:hint="eastAsia" w:ascii="宋体" w:hAnsi="宋体" w:cstheme="minorBidi"/>
          <w:b/>
          <w:kern w:val="2"/>
          <w:sz w:val="24"/>
          <w:szCs w:val="24"/>
          <w:lang w:val="en-US" w:eastAsia="zh-CN" w:bidi="ar-SA"/>
        </w:rPr>
        <w:t>五、</w:t>
      </w:r>
      <w:r>
        <w:rPr>
          <w:rFonts w:hint="eastAsia" w:ascii="宋体" w:hAnsi="宋体"/>
          <w:b/>
          <w:sz w:val="24"/>
          <w:highlight w:val="none"/>
        </w:rPr>
        <w:t>组成合同的文件</w:t>
      </w:r>
    </w:p>
    <w:p w14:paraId="0E29E6ED">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1198F429">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64FD848A">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（2）政府采购合同专用条款</w:t>
      </w:r>
    </w:p>
    <w:p w14:paraId="114D2529">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（3）政府采购合同通用条款</w:t>
      </w:r>
    </w:p>
    <w:p w14:paraId="2355E685">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（4）中标（成交）通知书</w:t>
      </w:r>
    </w:p>
    <w:p w14:paraId="7D75EA2E">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（5）投标（响应）文件</w:t>
      </w:r>
    </w:p>
    <w:p w14:paraId="0F53048D">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（6）采购文件</w:t>
      </w:r>
    </w:p>
    <w:p w14:paraId="0CD1A21B">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（7）国家法律、行政法规和规章制度规定或合同约定的作为合同组成部分的其他文件</w:t>
      </w:r>
    </w:p>
    <w:p w14:paraId="2DF33D2B">
      <w:pPr>
        <w:keepNext w:val="0"/>
        <w:keepLines w:val="0"/>
        <w:pageBreakBefore w:val="0"/>
        <w:widowControl w:val="0"/>
        <w:kinsoku/>
        <w:wordWrap/>
        <w:overflowPunct/>
        <w:topLinePunct w:val="0"/>
        <w:autoSpaceDE/>
        <w:autoSpaceDN/>
        <w:bidi w:val="0"/>
        <w:adjustRightInd w:val="0"/>
        <w:snapToGrid w:val="0"/>
        <w:spacing w:line="336" w:lineRule="auto"/>
        <w:ind w:left="0" w:leftChars="0" w:firstLine="422" w:firstLineChars="200"/>
        <w:textAlignment w:val="auto"/>
        <w:rPr>
          <w:rFonts w:ascii="宋体" w:hAnsi="宋体"/>
          <w:b/>
          <w:color w:val="auto"/>
          <w:szCs w:val="21"/>
          <w:highlight w:val="none"/>
        </w:rPr>
      </w:pPr>
      <w:r>
        <w:rPr>
          <w:rFonts w:hint="eastAsia" w:ascii="宋体" w:hAnsi="宋体"/>
          <w:b/>
          <w:color w:val="auto"/>
          <w:szCs w:val="21"/>
          <w:highlight w:val="none"/>
          <w:lang w:val="en-US" w:eastAsia="zh-CN"/>
        </w:rPr>
        <w:t>六、</w:t>
      </w:r>
      <w:r>
        <w:rPr>
          <w:rFonts w:hint="eastAsia" w:ascii="宋体" w:hAnsi="宋体"/>
          <w:b/>
          <w:color w:val="auto"/>
          <w:sz w:val="24"/>
          <w:highlight w:val="none"/>
        </w:rPr>
        <w:t>合同生效</w:t>
      </w:r>
    </w:p>
    <w:p w14:paraId="30AD3088">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合同履行期限：自合同签订之日起</w:t>
      </w:r>
      <w:r>
        <w:rPr>
          <w:rFonts w:hint="eastAsia" w:ascii="宋体" w:hAnsi="宋体"/>
          <w:color w:val="auto"/>
          <w:sz w:val="24"/>
          <w:highlight w:val="none"/>
          <w:lang w:val="en-US" w:eastAsia="zh-CN"/>
        </w:rPr>
        <w:t>一</w:t>
      </w:r>
      <w:r>
        <w:rPr>
          <w:rFonts w:hint="eastAsia" w:ascii="宋体" w:hAnsi="宋体"/>
          <w:color w:val="auto"/>
          <w:sz w:val="24"/>
          <w:highlight w:val="none"/>
        </w:rPr>
        <w:t>年</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服务期满后，经双方协商一致，可续签一年</w:t>
      </w:r>
      <w:r>
        <w:rPr>
          <w:rFonts w:hint="eastAsia" w:ascii="宋体" w:hAnsi="宋体"/>
          <w:color w:val="auto"/>
          <w:sz w:val="24"/>
          <w:highlight w:val="none"/>
        </w:rPr>
        <w:t>。</w:t>
      </w:r>
    </w:p>
    <w:p w14:paraId="0AAC0888">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hint="eastAsia" w:ascii="宋体" w:hAnsi="宋体"/>
          <w:b/>
          <w:color w:val="auto"/>
          <w:sz w:val="24"/>
          <w:highlight w:val="none"/>
        </w:rPr>
      </w:pPr>
      <w:r>
        <w:rPr>
          <w:rFonts w:hint="eastAsia" w:ascii="宋体" w:hAnsi="宋体"/>
          <w:b/>
          <w:color w:val="auto"/>
          <w:sz w:val="24"/>
          <w:highlight w:val="none"/>
          <w:lang w:val="en-US" w:eastAsia="zh-CN"/>
        </w:rPr>
        <w:t>七、</w:t>
      </w:r>
      <w:r>
        <w:rPr>
          <w:rFonts w:hint="eastAsia" w:ascii="宋体" w:hAnsi="宋体"/>
          <w:b/>
          <w:color w:val="auto"/>
          <w:sz w:val="24"/>
          <w:highlight w:val="none"/>
        </w:rPr>
        <w:t>转包或分包</w:t>
      </w:r>
    </w:p>
    <w:p w14:paraId="47014647">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1、本合同范围的货物，应由乙方直接供应，不得转让他人供应；</w:t>
      </w:r>
    </w:p>
    <w:p w14:paraId="2AF4BBB0">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2、除非得到甲方的书面同意，乙方不得部分分包给他人供应；</w:t>
      </w:r>
    </w:p>
    <w:p w14:paraId="383444C3">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eastAsiaTheme="minorEastAsia" w:cstheme="minorBidi"/>
          <w:b/>
          <w:color w:val="auto"/>
          <w:kern w:val="2"/>
          <w:sz w:val="24"/>
          <w:szCs w:val="24"/>
          <w:lang w:val="en-US" w:eastAsia="zh-CN" w:bidi="ar-SA"/>
        </w:rPr>
      </w:pPr>
      <w:r>
        <w:rPr>
          <w:rFonts w:hint="eastAsia" w:ascii="宋体" w:hAnsi="宋体"/>
          <w:color w:val="auto"/>
          <w:sz w:val="24"/>
          <w:highlight w:val="none"/>
          <w:lang w:val="en-US" w:eastAsia="zh-CN"/>
        </w:rPr>
        <w:t>3、如有转让和未经甲方同意的分包行为，甲方有权给予终止合同。</w:t>
      </w:r>
    </w:p>
    <w:p w14:paraId="1A15D68F">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hint="eastAsia" w:ascii="宋体" w:hAnsi="宋体" w:eastAsiaTheme="minorEastAsia" w:cstheme="minorBidi"/>
          <w:b/>
          <w:color w:val="auto"/>
          <w:kern w:val="2"/>
          <w:sz w:val="24"/>
          <w:szCs w:val="24"/>
          <w:lang w:val="en-US" w:eastAsia="zh-CN" w:bidi="ar-SA"/>
        </w:rPr>
      </w:pPr>
      <w:r>
        <w:rPr>
          <w:rFonts w:hint="eastAsia" w:ascii="宋体" w:hAnsi="宋体" w:cstheme="minorBidi"/>
          <w:b/>
          <w:color w:val="auto"/>
          <w:kern w:val="2"/>
          <w:sz w:val="24"/>
          <w:szCs w:val="24"/>
          <w:lang w:val="en-US" w:eastAsia="zh-CN" w:bidi="ar-SA"/>
        </w:rPr>
        <w:t>八、</w:t>
      </w:r>
      <w:r>
        <w:rPr>
          <w:rFonts w:hint="eastAsia" w:ascii="宋体" w:hAnsi="宋体" w:eastAsiaTheme="minorEastAsia" w:cstheme="minorBidi"/>
          <w:b/>
          <w:color w:val="auto"/>
          <w:kern w:val="2"/>
          <w:sz w:val="24"/>
          <w:szCs w:val="24"/>
          <w:lang w:val="en-US" w:eastAsia="zh-CN" w:bidi="ar-SA"/>
        </w:rPr>
        <w:t>合同款支付</w:t>
      </w:r>
    </w:p>
    <w:p w14:paraId="618C84E2">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1、采购金额：约</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万元/年</w:t>
      </w:r>
    </w:p>
    <w:p w14:paraId="576FB462">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2、结算方式：供货时大润发东台店每日挂牌价×（1-中标费率）×实际供货量。</w:t>
      </w:r>
    </w:p>
    <w:p w14:paraId="4BE7DAA6">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3、付款方法和条件为：每月5日前，乙方将上月甲方采购的签单合总，按中标价转账结算，结算时乙方需提供正式发票。</w:t>
      </w:r>
    </w:p>
    <w:p w14:paraId="3718A189">
      <w:pPr>
        <w:keepNext w:val="0"/>
        <w:keepLines w:val="0"/>
        <w:pageBreakBefore w:val="0"/>
        <w:widowControl w:val="0"/>
        <w:kinsoku/>
        <w:wordWrap/>
        <w:overflowPunct/>
        <w:topLinePunct w:val="0"/>
        <w:autoSpaceDE/>
        <w:autoSpaceDN/>
        <w:bidi w:val="0"/>
        <w:spacing w:line="336" w:lineRule="auto"/>
        <w:ind w:left="0" w:leftChars="0" w:firstLine="480" w:firstLineChars="200"/>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4、预付款条款：自合同签订生效之日起，收到乙方发票10个工作日内，甲方向乙方支付合同总价的</w:t>
      </w:r>
      <w:r>
        <w:rPr>
          <w:rFonts w:hint="eastAsia" w:ascii="宋体" w:hAnsi="宋体"/>
          <w:color w:val="auto"/>
          <w:sz w:val="24"/>
          <w:highlight w:val="none"/>
          <w:u w:val="single"/>
          <w:lang w:val="en-US" w:eastAsia="zh-CN"/>
        </w:rPr>
        <w:t>30%</w:t>
      </w:r>
      <w:r>
        <w:rPr>
          <w:rFonts w:hint="eastAsia" w:ascii="宋体" w:hAnsi="宋体"/>
          <w:color w:val="auto"/>
          <w:sz w:val="24"/>
          <w:highlight w:val="none"/>
          <w:lang w:val="en-US" w:eastAsia="zh-CN"/>
        </w:rPr>
        <w:t>款项作为预付款（如乙方明确表示不需预付款，甲方将不执行本条款）</w:t>
      </w:r>
      <w:bookmarkStart w:id="188" w:name="_GoBack"/>
      <w:bookmarkEnd w:id="188"/>
    </w:p>
    <w:p w14:paraId="45A177D8">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九、税</w:t>
      </w:r>
    </w:p>
    <w:p w14:paraId="4A8E6F21">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本合同执行中相关的一切税费均由乙方负担。</w:t>
      </w:r>
    </w:p>
    <w:p w14:paraId="7EE06063">
      <w:pPr>
        <w:keepNext w:val="0"/>
        <w:keepLines w:val="0"/>
        <w:pageBreakBefore w:val="0"/>
        <w:widowControl w:val="0"/>
        <w:numPr>
          <w:ilvl w:val="0"/>
          <w:numId w:val="0"/>
        </w:numPr>
        <w:kinsoku/>
        <w:wordWrap/>
        <w:overflowPunct/>
        <w:topLinePunct w:val="0"/>
        <w:autoSpaceDE/>
        <w:autoSpaceDN/>
        <w:bidi w:val="0"/>
        <w:spacing w:line="336" w:lineRule="auto"/>
        <w:ind w:left="0" w:leftChars="0" w:firstLine="482" w:firstLineChars="200"/>
        <w:textAlignment w:val="auto"/>
        <w:rPr>
          <w:rFonts w:hint="eastAsia" w:ascii="宋体" w:hAnsi="宋体"/>
          <w:b/>
          <w:bCs/>
          <w:color w:val="auto"/>
          <w:sz w:val="24"/>
          <w:highlight w:val="none"/>
          <w:lang w:val="en-US" w:eastAsia="zh-CN"/>
        </w:rPr>
      </w:pPr>
      <w:r>
        <w:rPr>
          <w:rFonts w:hint="eastAsia" w:ascii="宋体" w:hAnsi="宋体" w:cstheme="minorBidi"/>
          <w:b/>
          <w:bCs/>
          <w:color w:val="auto"/>
          <w:kern w:val="2"/>
          <w:sz w:val="24"/>
          <w:szCs w:val="24"/>
          <w:lang w:val="en-US" w:eastAsia="zh-CN" w:bidi="ar-SA"/>
        </w:rPr>
        <w:t>十、</w:t>
      </w:r>
      <w:r>
        <w:rPr>
          <w:rFonts w:hint="eastAsia" w:ascii="宋体" w:hAnsi="宋体"/>
          <w:b/>
          <w:bCs/>
          <w:color w:val="auto"/>
          <w:sz w:val="24"/>
          <w:highlight w:val="none"/>
          <w:lang w:val="en-US" w:eastAsia="zh-CN"/>
        </w:rPr>
        <w:t>质量保证及售后服务</w:t>
      </w:r>
    </w:p>
    <w:p w14:paraId="5904FE2A">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1、所供食品均符合《中华人民共和国食品安全法》和《动物检疫管理办法》等相关规定，保证卫生安全，应当无毒、无害，具有相应的色、香、味等感官性状。</w:t>
      </w:r>
    </w:p>
    <w:p w14:paraId="719109EB">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蔬菜产品有该菜可食用时就有的特性，成熟度适中、新鲜、色泽良好、形态正常、外观清洁、无腐烂、无霉变、无异味、农药残留量不超过国家的有关标准，并提供3-5种农产品农残检测报告。必须保证新鲜,且符合《食品安全法》要求。叶菜：外形正常，叶梗光滑幼嫩，不干瘪凋萎，无过多黄叶，色泽正常。去除根须，不含土，无虫害，大白菜、卷心菜切开心不变黑，无腐烂情形，无明显浸水现象；农药残留不超标，损耗率低于5%。根茎类（如香芋、土豆、莴笋等）：无虫咬、发芽、发霉现象，新鲜，形态大小与甲方标准相当。农药残留不超标，破碎率低于5%。花果类（如西兰花、白菜花、水果）：无虫害，成熟度良好，新鲜固有色泽鲜明，无发霉发黄。农药残留不超标，损耗率低于5%。姜蒜类：表皮干燥，蒜瓣硬实。新鲜、干净、外形完整，破碎率低于5%。</w:t>
      </w:r>
    </w:p>
    <w:p w14:paraId="2382B360">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（2）禽蛋类：须保证3日内产品，必须保证新鲜，且符合《食品安全法》要求。</w:t>
      </w:r>
    </w:p>
    <w:p w14:paraId="38785EB6">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水产类须保证鲜活、大小基本统一，必须保证新鲜,且符合《食品安全法》要求鲜活类水产需要保证为3日内产品，冰鲜类需要保证为3个月内产品。鱼类需要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冰鲜需要为通过检验检疫依法销售的产品。</w:t>
      </w:r>
    </w:p>
    <w:p w14:paraId="53815E97">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（4）干货类须保证配送种类、品牌、规格，质量完全符合甲方要求，生产日期至供货日期天数须在保质期三分之二内，包装完整、无任何破损、无挤压、无破碎、无异味、无任何表面附着物或衍生物。</w:t>
      </w:r>
    </w:p>
    <w:p w14:paraId="41BA1AB5">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（5）调味品、小食品根据甲方要求提供各类货品（应为优质产品），保证新鲜度，外包装清洁卫生，完整坚固，且包装上的商品名称、厂址、规格等与内容物相符，标示清晰，批次清楚等。</w:t>
      </w:r>
    </w:p>
    <w:p w14:paraId="629FA191">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（6）其他要求在清单体现</w:t>
      </w:r>
    </w:p>
    <w:p w14:paraId="50042BB0">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2、严禁配送假冒、变质、过期的产品，不得弄虚作假或以次充好，对于不符合质量的品种甲方有权要求退货或换货，退换食品须在1小时内补给，不得影响甲方正常供餐。</w:t>
      </w:r>
    </w:p>
    <w:p w14:paraId="0823C717">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因供应的货物质量达不到国家有关食品安全标准而造成食物中毒或其它后果，经公安机关或市场监督部门鉴定属于乙方（配送单位）责任的，其产生的一切法律和经济责任全部由乙方承担。乙方每个月须提供相关食品材料的检验报告。</w:t>
      </w:r>
    </w:p>
    <w:p w14:paraId="5A083311">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3、在供货过程中，甲方对所供货物有任何意见，可随时向乙方反映，乙方应及时改进，否则，甲方有权中断与乙方的合作。</w:t>
      </w:r>
    </w:p>
    <w:p w14:paraId="6A77349F">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4、因配送运输中出现人身安全事故，乙方独立承担一切刑事、民事责任，与甲方无关。</w:t>
      </w:r>
    </w:p>
    <w:p w14:paraId="19A27129">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5、乙方应随时按甲方要求提供各类货物清晰准确的原产地以及检测报告。</w:t>
      </w:r>
    </w:p>
    <w:p w14:paraId="084B17B8">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6、乙方提供的产品须经过食堂验收人员的感官检验、外观检验和试用检验，若产品外观、包装、形式不符合要求、感官检验不能达到食品卫生要求，当即拒收；乙方不能满足食品的质、量及售后服务要求时，甲方有权终止合同。</w:t>
      </w:r>
    </w:p>
    <w:p w14:paraId="6D67EC9B">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7、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直接单方解除服务合同，并不用对乙方做任何赔偿。</w:t>
      </w:r>
    </w:p>
    <w:p w14:paraId="19FE0CE5">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8、乙方配送所用的器具必须干净卫生，过秤完毕的物品须按规定的地方摆放整齐,在甲方收货现场完毕后，必须清理现场的垃圾并带走。在有限时间内及时回应和解决。</w:t>
      </w:r>
    </w:p>
    <w:p w14:paraId="4D9DDBBA">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9、一经发现供应以下食品，除全部退货外，将取消供货单位的供货资格，并由供货商承担由此造成的经济责任和法律责任：</w:t>
      </w:r>
    </w:p>
    <w:p w14:paraId="56A8CCB6">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（1）腐败变质、霉变、生虫、污秽不洁、混有异物或者其他感官性状异常；</w:t>
      </w:r>
    </w:p>
    <w:p w14:paraId="41F5F21E">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（2）含有毒、有害物质或者被有害物质污染；</w:t>
      </w:r>
    </w:p>
    <w:p w14:paraId="4E922DBF">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（3）含有致病性寄生虫、微生物或者微生物含量超过国家限定标准的；</w:t>
      </w:r>
    </w:p>
    <w:p w14:paraId="34EE12A0">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（4）未经动物检疫部门检疫、检验或者检疫、检验不合格的肉类及其制品；</w:t>
      </w:r>
    </w:p>
    <w:p w14:paraId="323CACEA">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（5）病死、毒死或者死因不明的禽、畜、兽等及其制品；</w:t>
      </w:r>
    </w:p>
    <w:p w14:paraId="0C97A9E6">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（6）掺假、掺杂、以次充好；</w:t>
      </w:r>
    </w:p>
    <w:p w14:paraId="0F4B6222">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（7）用非食品原料加工的，加入非食品用化学物质的。</w:t>
      </w:r>
    </w:p>
    <w:p w14:paraId="3E5700CD">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2" w:firstLineChars="200"/>
        <w:textAlignment w:val="auto"/>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十一、货物包装、发运及运输</w:t>
      </w:r>
    </w:p>
    <w:p w14:paraId="7A9A41C7">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1、甲方需提前一周向乙方提供一周菜谱及每日配送物资，乙方根据清单及甲方的要求组织货源配送；</w:t>
      </w:r>
    </w:p>
    <w:p w14:paraId="67B50A64">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2、食材要求：所有食材新鲜、卫生，除腌制、冷藏(冻)包装食品、海产品外，其余鱼肉蔬菜类皆为当天食材、当天配送。</w:t>
      </w:r>
    </w:p>
    <w:p w14:paraId="2396FA9F">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3、乙方必须按照甲方通知的时间、数量、品种、品质要求及协定的价格准时送货，经验收合格后签字确认，不能以任何理由推托，一旦影响到甲方食堂的正常运转，乙方应承担相应的违约责任。</w:t>
      </w:r>
    </w:p>
    <w:p w14:paraId="247FF4E8">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4、乙方应按甲方要求，保质保量按时提供所需食品，生鲜食品必需装入保温箱内，全程冷链运输（冷链保温箱由中标人提供），在甲方要求的时间前配送到甲方指定位置。甲方需要紧急配送食品的，提前半个小时通知，乙方须按时将所需的食品送达指定地点。</w:t>
      </w:r>
    </w:p>
    <w:p w14:paraId="53049DC8">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5、乙方接到甲方订购单后，发现个别品种质量太差或缺少货源，应及时通知甲方订货负责人变更调换。</w:t>
      </w:r>
    </w:p>
    <w:p w14:paraId="0261200D">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6、乙方所有员工凭健康证上岗，同时应成立食堂配送项目专项服务小组，负责配送工作及提供相关服务。</w:t>
      </w:r>
    </w:p>
    <w:p w14:paraId="183F60AB">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0" w:firstLineChars="200"/>
        <w:textAlignment w:val="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7、乙方不能满足供货要求时，应提前1周通知甲方，甲方同意后方可中止合同。</w:t>
      </w:r>
    </w:p>
    <w:p w14:paraId="565891B8">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firstLine="482" w:firstLineChars="200"/>
        <w:textAlignment w:val="auto"/>
        <w:rPr>
          <w:rFonts w:hint="eastAsia" w:ascii="宋体" w:hAnsi="宋体"/>
          <w:b/>
          <w:bCs w:val="0"/>
          <w:color w:val="auto"/>
          <w:sz w:val="24"/>
          <w:highlight w:val="none"/>
        </w:rPr>
      </w:pPr>
      <w:r>
        <w:rPr>
          <w:rFonts w:hint="eastAsia" w:ascii="宋体" w:hAnsi="宋体"/>
          <w:b/>
          <w:bCs w:val="0"/>
          <w:color w:val="auto"/>
          <w:sz w:val="24"/>
          <w:highlight w:val="none"/>
          <w:lang w:val="en-US" w:eastAsia="zh-CN"/>
        </w:rPr>
        <w:t>十二、</w:t>
      </w:r>
      <w:r>
        <w:rPr>
          <w:rFonts w:hint="eastAsia" w:ascii="宋体" w:hAnsi="宋体"/>
          <w:b/>
          <w:bCs w:val="0"/>
          <w:color w:val="auto"/>
          <w:sz w:val="24"/>
          <w:highlight w:val="none"/>
        </w:rPr>
        <w:t>违约责任</w:t>
      </w:r>
    </w:p>
    <w:p w14:paraId="56794A4D">
      <w:pPr>
        <w:keepNext w:val="0"/>
        <w:keepLines w:val="0"/>
        <w:pageBreakBefore w:val="0"/>
        <w:widowControl w:val="0"/>
        <w:kinsoku/>
        <w:wordWrap/>
        <w:overflowPunct/>
        <w:topLinePunct w:val="0"/>
        <w:autoSpaceDE/>
        <w:autoSpaceDN/>
        <w:bidi w:val="0"/>
        <w:adjustRightInd/>
        <w:spacing w:line="336" w:lineRule="auto"/>
        <w:ind w:left="0" w:leftChars="0" w:firstLine="480" w:firstLineChars="200"/>
        <w:textAlignment w:val="auto"/>
        <w:rPr>
          <w:rFonts w:ascii="宋体" w:hAnsi="宋体" w:cs="宋体"/>
          <w:kern w:val="2"/>
          <w:sz w:val="24"/>
          <w:szCs w:val="24"/>
        </w:rPr>
      </w:pPr>
      <w:r>
        <w:rPr>
          <w:rFonts w:hint="eastAsia" w:ascii="宋体" w:hAnsi="宋体" w:cs="宋体"/>
          <w:kern w:val="2"/>
          <w:sz w:val="24"/>
          <w:szCs w:val="24"/>
        </w:rPr>
        <w:t>1、配送时间</w:t>
      </w:r>
      <w:r>
        <w:rPr>
          <w:rFonts w:hint="eastAsia" w:ascii="宋体" w:hAnsi="宋体" w:cs="宋体"/>
          <w:kern w:val="2"/>
          <w:sz w:val="24"/>
          <w:szCs w:val="24"/>
          <w:lang w:eastAsia="zh-CN"/>
        </w:rPr>
        <w:t>：</w:t>
      </w:r>
      <w:r>
        <w:rPr>
          <w:rFonts w:hint="eastAsia" w:ascii="宋体" w:hAnsi="宋体" w:cs="宋体"/>
          <w:kern w:val="2"/>
          <w:sz w:val="24"/>
          <w:szCs w:val="24"/>
        </w:rPr>
        <w:t>每日早点在7:00前配送到位</w:t>
      </w:r>
      <w:r>
        <w:rPr>
          <w:rFonts w:hint="eastAsia" w:ascii="宋体" w:hAnsi="宋体" w:cs="宋体"/>
          <w:kern w:val="2"/>
          <w:sz w:val="24"/>
          <w:szCs w:val="24"/>
          <w:lang w:eastAsia="zh-CN"/>
        </w:rPr>
        <w:t>（</w:t>
      </w:r>
      <w:r>
        <w:rPr>
          <w:rFonts w:hint="eastAsia" w:ascii="宋体" w:hAnsi="宋体" w:cs="宋体"/>
          <w:kern w:val="2"/>
          <w:sz w:val="24"/>
          <w:szCs w:val="24"/>
        </w:rPr>
        <w:t>部分食材经甲方同意后可提前一天配送</w:t>
      </w:r>
      <w:r>
        <w:rPr>
          <w:rFonts w:hint="eastAsia" w:ascii="宋体" w:hAnsi="宋体" w:cs="宋体"/>
          <w:kern w:val="2"/>
          <w:sz w:val="24"/>
          <w:szCs w:val="24"/>
          <w:lang w:eastAsia="zh-CN"/>
        </w:rPr>
        <w:t>），</w:t>
      </w:r>
      <w:r>
        <w:rPr>
          <w:rFonts w:hint="eastAsia" w:ascii="宋体" w:hAnsi="宋体" w:cs="宋体"/>
          <w:kern w:val="2"/>
          <w:sz w:val="24"/>
          <w:szCs w:val="24"/>
        </w:rPr>
        <w:t>其他食材在每日8:30前配送到位</w:t>
      </w:r>
      <w:r>
        <w:rPr>
          <w:rFonts w:hint="eastAsia" w:ascii="宋体" w:hAnsi="宋体" w:cs="宋体"/>
          <w:kern w:val="2"/>
          <w:sz w:val="24"/>
          <w:szCs w:val="24"/>
          <w:lang w:eastAsia="zh-CN"/>
        </w:rPr>
        <w:t>，</w:t>
      </w:r>
      <w:r>
        <w:rPr>
          <w:rFonts w:hint="eastAsia" w:ascii="宋体" w:hAnsi="宋体" w:cs="宋体"/>
          <w:kern w:val="2"/>
          <w:sz w:val="24"/>
          <w:szCs w:val="24"/>
        </w:rPr>
        <w:t>生活用品根据甲方通知要求在约定的时间配送</w:t>
      </w:r>
      <w:r>
        <w:rPr>
          <w:rFonts w:hint="eastAsia" w:ascii="宋体" w:hAnsi="宋体" w:cs="宋体"/>
          <w:kern w:val="2"/>
          <w:sz w:val="24"/>
          <w:szCs w:val="24"/>
          <w:lang w:eastAsia="zh-CN"/>
        </w:rPr>
        <w:t>。</w:t>
      </w:r>
      <w:r>
        <w:rPr>
          <w:rFonts w:hint="eastAsia" w:ascii="宋体" w:hAnsi="宋体" w:cs="宋体"/>
          <w:kern w:val="2"/>
          <w:sz w:val="24"/>
          <w:szCs w:val="24"/>
        </w:rPr>
        <w:t>乙方晚于规定时间30分钟（含）以内送货的，给予警告；超时送货在30分钟至1小时（含）的，扣除当日所送货物价格的20％作为补偿款；超时送货1小时至1.5小时（含）的，扣除当日所送货物价格的50％作为补偿款；超时送货1.5小时以上的，扣除当日所送货物价格的100％作为补偿款；无故未配送的，甲方有权终止合同。</w:t>
      </w:r>
    </w:p>
    <w:p w14:paraId="41655768">
      <w:pPr>
        <w:keepNext w:val="0"/>
        <w:keepLines w:val="0"/>
        <w:pageBreakBefore w:val="0"/>
        <w:widowControl w:val="0"/>
        <w:kinsoku/>
        <w:wordWrap/>
        <w:overflowPunct/>
        <w:topLinePunct w:val="0"/>
        <w:autoSpaceDE/>
        <w:autoSpaceDN/>
        <w:bidi w:val="0"/>
        <w:adjustRightInd/>
        <w:spacing w:line="336" w:lineRule="auto"/>
        <w:ind w:left="0" w:leftChars="0" w:firstLine="480" w:firstLineChars="200"/>
        <w:textAlignment w:val="auto"/>
        <w:rPr>
          <w:rFonts w:ascii="宋体" w:hAnsi="宋体" w:cs="宋体"/>
          <w:kern w:val="2"/>
          <w:sz w:val="24"/>
          <w:szCs w:val="24"/>
        </w:rPr>
      </w:pPr>
      <w:r>
        <w:rPr>
          <w:rFonts w:hint="eastAsia" w:ascii="宋体" w:hAnsi="宋体" w:cs="宋体"/>
          <w:kern w:val="2"/>
          <w:sz w:val="24"/>
          <w:szCs w:val="24"/>
        </w:rPr>
        <w:t>2、乙方如在一周内晚于甲方要求时间送货一小时以上累计超过3次的，一周内退货次数达到三次的，甲方有权终止合同。</w:t>
      </w:r>
    </w:p>
    <w:p w14:paraId="6A8FF3FA">
      <w:pPr>
        <w:keepNext w:val="0"/>
        <w:keepLines w:val="0"/>
        <w:pageBreakBefore w:val="0"/>
        <w:widowControl w:val="0"/>
        <w:kinsoku/>
        <w:wordWrap/>
        <w:overflowPunct/>
        <w:topLinePunct w:val="0"/>
        <w:autoSpaceDE/>
        <w:autoSpaceDN/>
        <w:bidi w:val="0"/>
        <w:adjustRightInd/>
        <w:spacing w:line="336" w:lineRule="auto"/>
        <w:ind w:left="0" w:leftChars="0" w:firstLine="480" w:firstLineChars="200"/>
        <w:textAlignment w:val="auto"/>
        <w:rPr>
          <w:rFonts w:ascii="宋体" w:hAnsi="宋体" w:cs="宋体"/>
          <w:kern w:val="2"/>
          <w:sz w:val="24"/>
          <w:szCs w:val="24"/>
        </w:rPr>
      </w:pPr>
      <w:r>
        <w:rPr>
          <w:rFonts w:hint="eastAsia" w:ascii="宋体" w:hAnsi="宋体" w:cs="宋体"/>
          <w:kern w:val="2"/>
          <w:sz w:val="24"/>
          <w:szCs w:val="24"/>
        </w:rPr>
        <w:t>3、甲方如发现乙方配送的食材个别品种以次充好，甲方有权要求乙方退换，并扣除当次货物价格的40％。</w:t>
      </w:r>
    </w:p>
    <w:p w14:paraId="38671BA8">
      <w:pPr>
        <w:keepNext w:val="0"/>
        <w:keepLines w:val="0"/>
        <w:pageBreakBefore w:val="0"/>
        <w:widowControl w:val="0"/>
        <w:kinsoku/>
        <w:wordWrap/>
        <w:overflowPunct/>
        <w:topLinePunct w:val="0"/>
        <w:autoSpaceDE/>
        <w:autoSpaceDN/>
        <w:bidi w:val="0"/>
        <w:adjustRightInd/>
        <w:spacing w:line="336" w:lineRule="auto"/>
        <w:ind w:left="0" w:leftChars="0" w:firstLine="480" w:firstLineChars="200"/>
        <w:textAlignment w:val="auto"/>
        <w:rPr>
          <w:rFonts w:ascii="宋体" w:hAnsi="宋体" w:cs="宋体"/>
          <w:kern w:val="2"/>
          <w:sz w:val="24"/>
          <w:szCs w:val="24"/>
        </w:rPr>
      </w:pPr>
      <w:r>
        <w:rPr>
          <w:rFonts w:hint="eastAsia" w:ascii="宋体" w:hAnsi="宋体" w:cs="宋体"/>
          <w:kern w:val="2"/>
          <w:sz w:val="24"/>
          <w:szCs w:val="24"/>
        </w:rPr>
        <w:t>4、乙方所配送食品发生质量问题三次以上的，甲方有权终止合同，并按合同约定及法律规定追究乙方的违约责任。</w:t>
      </w:r>
    </w:p>
    <w:p w14:paraId="2BD63AF4">
      <w:pPr>
        <w:keepNext w:val="0"/>
        <w:keepLines w:val="0"/>
        <w:pageBreakBefore w:val="0"/>
        <w:widowControl w:val="0"/>
        <w:kinsoku/>
        <w:wordWrap/>
        <w:overflowPunct/>
        <w:topLinePunct w:val="0"/>
        <w:autoSpaceDE/>
        <w:autoSpaceDN/>
        <w:bidi w:val="0"/>
        <w:adjustRightInd/>
        <w:spacing w:line="336" w:lineRule="auto"/>
        <w:ind w:left="0" w:leftChars="0" w:firstLine="480" w:firstLineChars="200"/>
        <w:textAlignment w:val="auto"/>
        <w:rPr>
          <w:rFonts w:ascii="宋体" w:hAnsi="宋体" w:cs="宋体"/>
          <w:kern w:val="2"/>
          <w:sz w:val="24"/>
          <w:szCs w:val="24"/>
        </w:rPr>
      </w:pPr>
      <w:r>
        <w:rPr>
          <w:rFonts w:hint="eastAsia" w:ascii="宋体" w:hAnsi="宋体" w:cs="宋体"/>
          <w:kern w:val="2"/>
          <w:sz w:val="24"/>
          <w:szCs w:val="24"/>
        </w:rPr>
        <w:t>5、乙方不得以甲方之名向外赊欠货物及借贷货款，如发生任何经济纠纷和司法责任与甲方无关，全部责任由乙方承担。</w:t>
      </w:r>
    </w:p>
    <w:p w14:paraId="714E6246">
      <w:pPr>
        <w:pStyle w:val="3"/>
        <w:keepNext w:val="0"/>
        <w:keepLines w:val="0"/>
        <w:pageBreakBefore w:val="0"/>
        <w:widowControl w:val="0"/>
        <w:kinsoku/>
        <w:wordWrap/>
        <w:overflowPunct/>
        <w:topLinePunct w:val="0"/>
        <w:autoSpaceDE/>
        <w:autoSpaceDN/>
        <w:bidi w:val="0"/>
        <w:adjustRightInd/>
        <w:spacing w:line="336" w:lineRule="auto"/>
        <w:ind w:left="0" w:leftChars="0" w:firstLine="482" w:firstLineChars="200"/>
        <w:textAlignment w:val="auto"/>
        <w:rPr>
          <w:b/>
          <w:bCs/>
          <w:kern w:val="2"/>
        </w:rPr>
      </w:pPr>
      <w:r>
        <w:rPr>
          <w:rFonts w:hint="eastAsia" w:ascii="宋体" w:hAnsi="宋体" w:cs="宋体"/>
          <w:b/>
          <w:bCs/>
          <w:kern w:val="2"/>
          <w:sz w:val="24"/>
          <w:szCs w:val="24"/>
        </w:rPr>
        <w:t>6、甲方会根据中标人的报价随机抽取进行考核，如果发现报价明显高于市场实际价格的情况超过三次以上，甲方有权与中标人终止合同。</w:t>
      </w:r>
    </w:p>
    <w:p w14:paraId="4EF41333">
      <w:pPr>
        <w:keepNext w:val="0"/>
        <w:keepLines w:val="0"/>
        <w:pageBreakBefore w:val="0"/>
        <w:widowControl w:val="0"/>
        <w:kinsoku/>
        <w:wordWrap/>
        <w:overflowPunct/>
        <w:topLinePunct w:val="0"/>
        <w:autoSpaceDE/>
        <w:autoSpaceDN/>
        <w:bidi w:val="0"/>
        <w:adjustRightInd/>
        <w:snapToGrid w:val="0"/>
        <w:spacing w:line="336" w:lineRule="auto"/>
        <w:ind w:left="0" w:leftChars="0" w:firstLine="482" w:firstLineChars="200"/>
        <w:textAlignment w:val="auto"/>
        <w:rPr>
          <w:rFonts w:ascii="宋体" w:hAnsi="宋体"/>
          <w:b/>
          <w:kern w:val="2"/>
          <w:sz w:val="24"/>
          <w:szCs w:val="24"/>
        </w:rPr>
      </w:pPr>
      <w:r>
        <w:rPr>
          <w:rFonts w:hint="eastAsia" w:ascii="宋体" w:hAnsi="宋体"/>
          <w:b/>
          <w:kern w:val="2"/>
          <w:sz w:val="24"/>
          <w:szCs w:val="24"/>
        </w:rPr>
        <w:t>十</w:t>
      </w:r>
      <w:r>
        <w:rPr>
          <w:rFonts w:hint="eastAsia" w:ascii="宋体" w:hAnsi="宋体"/>
          <w:b/>
          <w:kern w:val="2"/>
          <w:sz w:val="24"/>
          <w:szCs w:val="24"/>
          <w:lang w:val="en-US" w:eastAsia="zh-CN"/>
        </w:rPr>
        <w:t>三</w:t>
      </w:r>
      <w:r>
        <w:rPr>
          <w:rFonts w:hint="eastAsia" w:ascii="宋体" w:hAnsi="宋体"/>
          <w:b/>
          <w:kern w:val="2"/>
          <w:sz w:val="24"/>
          <w:szCs w:val="24"/>
        </w:rPr>
        <w:t>、不可抗力事件处理</w:t>
      </w:r>
    </w:p>
    <w:p w14:paraId="6BD33885">
      <w:pPr>
        <w:keepNext w:val="0"/>
        <w:keepLines w:val="0"/>
        <w:pageBreakBefore w:val="0"/>
        <w:widowControl w:val="0"/>
        <w:kinsoku/>
        <w:wordWrap/>
        <w:overflowPunct/>
        <w:topLinePunct w:val="0"/>
        <w:autoSpaceDE/>
        <w:autoSpaceDN/>
        <w:bidi w:val="0"/>
        <w:adjustRightInd/>
        <w:snapToGrid w:val="0"/>
        <w:spacing w:line="336" w:lineRule="auto"/>
        <w:ind w:left="0" w:leftChars="0" w:firstLine="480" w:firstLineChars="200"/>
        <w:textAlignment w:val="auto"/>
        <w:rPr>
          <w:rFonts w:ascii="宋体" w:hAnsi="宋体"/>
          <w:kern w:val="2"/>
          <w:sz w:val="24"/>
          <w:szCs w:val="24"/>
        </w:rPr>
      </w:pPr>
      <w:r>
        <w:rPr>
          <w:rFonts w:ascii="宋体" w:hAnsi="宋体"/>
          <w:kern w:val="2"/>
          <w:sz w:val="24"/>
          <w:szCs w:val="24"/>
        </w:rPr>
        <w:t>1</w:t>
      </w:r>
      <w:r>
        <w:rPr>
          <w:rFonts w:hint="eastAsia" w:ascii="宋体" w:hAnsi="宋体"/>
          <w:kern w:val="2"/>
          <w:sz w:val="24"/>
          <w:szCs w:val="24"/>
        </w:rPr>
        <w:t>、在合同有效期内，任何一方因不可抗力事件导致不能履行合同，则合同履行期可延长，其延长期与不可抗力影响期相同。</w:t>
      </w:r>
    </w:p>
    <w:p w14:paraId="6CB7DCFC">
      <w:pPr>
        <w:keepNext w:val="0"/>
        <w:keepLines w:val="0"/>
        <w:pageBreakBefore w:val="0"/>
        <w:widowControl w:val="0"/>
        <w:kinsoku/>
        <w:wordWrap/>
        <w:overflowPunct/>
        <w:topLinePunct w:val="0"/>
        <w:autoSpaceDE/>
        <w:autoSpaceDN/>
        <w:bidi w:val="0"/>
        <w:adjustRightInd/>
        <w:snapToGrid w:val="0"/>
        <w:spacing w:line="336" w:lineRule="auto"/>
        <w:ind w:left="0" w:leftChars="0" w:firstLine="480" w:firstLineChars="200"/>
        <w:textAlignment w:val="auto"/>
        <w:rPr>
          <w:rFonts w:ascii="宋体" w:hAnsi="宋体"/>
          <w:kern w:val="2"/>
          <w:sz w:val="24"/>
          <w:szCs w:val="24"/>
        </w:rPr>
      </w:pPr>
      <w:r>
        <w:rPr>
          <w:rFonts w:ascii="宋体" w:hAnsi="宋体"/>
          <w:kern w:val="2"/>
          <w:sz w:val="24"/>
          <w:szCs w:val="24"/>
        </w:rPr>
        <w:t>2</w:t>
      </w:r>
      <w:r>
        <w:rPr>
          <w:rFonts w:hint="eastAsia" w:ascii="宋体" w:hAnsi="宋体"/>
          <w:kern w:val="2"/>
          <w:sz w:val="24"/>
          <w:szCs w:val="24"/>
        </w:rPr>
        <w:t>、不可抗力事件发生后，应立即通知对方，并寄送有关权威机构出具的证明。</w:t>
      </w:r>
    </w:p>
    <w:p w14:paraId="6D1CBD5A">
      <w:pPr>
        <w:keepNext w:val="0"/>
        <w:keepLines w:val="0"/>
        <w:pageBreakBefore w:val="0"/>
        <w:widowControl w:val="0"/>
        <w:kinsoku/>
        <w:wordWrap/>
        <w:overflowPunct/>
        <w:topLinePunct w:val="0"/>
        <w:autoSpaceDE/>
        <w:autoSpaceDN/>
        <w:bidi w:val="0"/>
        <w:adjustRightInd/>
        <w:snapToGrid w:val="0"/>
        <w:spacing w:line="336" w:lineRule="auto"/>
        <w:ind w:left="0" w:leftChars="0" w:firstLine="480" w:firstLineChars="200"/>
        <w:textAlignment w:val="auto"/>
        <w:rPr>
          <w:rFonts w:ascii="宋体" w:hAnsi="宋体"/>
          <w:kern w:val="2"/>
          <w:sz w:val="24"/>
          <w:szCs w:val="24"/>
        </w:rPr>
      </w:pPr>
      <w:r>
        <w:rPr>
          <w:rFonts w:ascii="宋体" w:hAnsi="宋体"/>
          <w:kern w:val="2"/>
          <w:sz w:val="24"/>
          <w:szCs w:val="24"/>
        </w:rPr>
        <w:t>3</w:t>
      </w:r>
      <w:r>
        <w:rPr>
          <w:rFonts w:hint="eastAsia" w:ascii="宋体" w:hAnsi="宋体"/>
          <w:kern w:val="2"/>
          <w:sz w:val="24"/>
          <w:szCs w:val="24"/>
        </w:rPr>
        <w:t>、不可抗力事件延续</w:t>
      </w:r>
      <w:r>
        <w:rPr>
          <w:rFonts w:ascii="宋体" w:hAnsi="宋体"/>
          <w:kern w:val="2"/>
          <w:sz w:val="24"/>
          <w:szCs w:val="24"/>
        </w:rPr>
        <w:t>120</w:t>
      </w:r>
      <w:r>
        <w:rPr>
          <w:rFonts w:hint="eastAsia" w:ascii="宋体" w:hAnsi="宋体"/>
          <w:kern w:val="2"/>
          <w:sz w:val="24"/>
          <w:szCs w:val="24"/>
        </w:rPr>
        <w:t>天以上，双方应通过友好协商，确定是否继续履行合同。</w:t>
      </w:r>
    </w:p>
    <w:p w14:paraId="5EC423E5">
      <w:pPr>
        <w:keepNext w:val="0"/>
        <w:keepLines w:val="0"/>
        <w:pageBreakBefore w:val="0"/>
        <w:widowControl w:val="0"/>
        <w:kinsoku/>
        <w:wordWrap/>
        <w:overflowPunct/>
        <w:topLinePunct w:val="0"/>
        <w:autoSpaceDE/>
        <w:autoSpaceDN/>
        <w:bidi w:val="0"/>
        <w:adjustRightInd/>
        <w:snapToGrid w:val="0"/>
        <w:spacing w:line="336" w:lineRule="auto"/>
        <w:ind w:left="0" w:leftChars="0" w:firstLine="482" w:firstLineChars="200"/>
        <w:textAlignment w:val="auto"/>
        <w:rPr>
          <w:rFonts w:ascii="宋体" w:hAnsi="宋体"/>
          <w:b/>
          <w:kern w:val="2"/>
          <w:sz w:val="24"/>
          <w:szCs w:val="24"/>
        </w:rPr>
      </w:pPr>
      <w:r>
        <w:rPr>
          <w:rFonts w:hint="eastAsia" w:ascii="宋体" w:hAnsi="宋体"/>
          <w:b/>
          <w:kern w:val="2"/>
          <w:sz w:val="24"/>
          <w:szCs w:val="24"/>
        </w:rPr>
        <w:t>十</w:t>
      </w:r>
      <w:r>
        <w:rPr>
          <w:rFonts w:hint="eastAsia" w:ascii="宋体" w:hAnsi="宋体"/>
          <w:b/>
          <w:kern w:val="2"/>
          <w:sz w:val="24"/>
          <w:szCs w:val="24"/>
          <w:lang w:val="en-US" w:eastAsia="zh-CN"/>
        </w:rPr>
        <w:t>四</w:t>
      </w:r>
      <w:r>
        <w:rPr>
          <w:rFonts w:hint="eastAsia" w:ascii="宋体" w:hAnsi="宋体"/>
          <w:b/>
          <w:kern w:val="2"/>
          <w:sz w:val="24"/>
          <w:szCs w:val="24"/>
        </w:rPr>
        <w:t>、诉讼</w:t>
      </w:r>
    </w:p>
    <w:p w14:paraId="006308B9">
      <w:pPr>
        <w:keepNext w:val="0"/>
        <w:keepLines w:val="0"/>
        <w:pageBreakBefore w:val="0"/>
        <w:widowControl w:val="0"/>
        <w:kinsoku/>
        <w:wordWrap/>
        <w:overflowPunct/>
        <w:topLinePunct w:val="0"/>
        <w:autoSpaceDE/>
        <w:autoSpaceDN/>
        <w:bidi w:val="0"/>
        <w:adjustRightInd/>
        <w:snapToGrid w:val="0"/>
        <w:spacing w:line="336" w:lineRule="auto"/>
        <w:ind w:left="0" w:leftChars="0" w:firstLine="480" w:firstLineChars="200"/>
        <w:textAlignment w:val="auto"/>
        <w:rPr>
          <w:rFonts w:ascii="宋体" w:hAnsi="宋体"/>
          <w:kern w:val="2"/>
          <w:sz w:val="24"/>
          <w:szCs w:val="24"/>
        </w:rPr>
      </w:pPr>
      <w:r>
        <w:rPr>
          <w:rFonts w:hint="eastAsia" w:ascii="宋体" w:hAnsi="宋体"/>
          <w:kern w:val="2"/>
          <w:sz w:val="24"/>
          <w:szCs w:val="24"/>
        </w:rPr>
        <w:t>双方在执行合同中所发生的一切争议，应通过协商解决。如协商不成，可向合同签订地法院起诉，合同签订地在此约定为</w:t>
      </w:r>
      <w:r>
        <w:rPr>
          <w:rFonts w:hint="eastAsia" w:ascii="宋体" w:hAnsi="宋体"/>
          <w:kern w:val="2"/>
          <w:sz w:val="24"/>
          <w:szCs w:val="24"/>
          <w:lang w:val="en-US" w:eastAsia="zh-CN"/>
        </w:rPr>
        <w:t>东台</w:t>
      </w:r>
      <w:r>
        <w:rPr>
          <w:rFonts w:hint="eastAsia" w:ascii="宋体" w:hAnsi="宋体"/>
          <w:kern w:val="2"/>
          <w:sz w:val="24"/>
          <w:szCs w:val="24"/>
        </w:rPr>
        <w:t>市。</w:t>
      </w:r>
    </w:p>
    <w:p w14:paraId="56CA5AAB">
      <w:pPr>
        <w:keepNext w:val="0"/>
        <w:keepLines w:val="0"/>
        <w:pageBreakBefore w:val="0"/>
        <w:widowControl w:val="0"/>
        <w:kinsoku/>
        <w:wordWrap/>
        <w:overflowPunct/>
        <w:topLinePunct w:val="0"/>
        <w:autoSpaceDE/>
        <w:autoSpaceDN/>
        <w:bidi w:val="0"/>
        <w:adjustRightInd/>
        <w:snapToGrid w:val="0"/>
        <w:spacing w:line="336" w:lineRule="auto"/>
        <w:ind w:left="0" w:leftChars="0" w:firstLine="482" w:firstLineChars="200"/>
        <w:textAlignment w:val="auto"/>
        <w:rPr>
          <w:rFonts w:hint="eastAsia" w:ascii="宋体" w:hAnsi="宋体"/>
          <w:b/>
          <w:color w:val="auto"/>
          <w:sz w:val="24"/>
          <w:highlight w:val="none"/>
        </w:rPr>
      </w:pPr>
      <w:r>
        <w:rPr>
          <w:rFonts w:hint="eastAsia" w:ascii="宋体" w:hAnsi="宋体"/>
          <w:b/>
          <w:kern w:val="2"/>
          <w:sz w:val="24"/>
          <w:szCs w:val="24"/>
          <w:lang w:val="en-US" w:eastAsia="zh-CN"/>
        </w:rPr>
        <w:t>十五、</w:t>
      </w:r>
      <w:r>
        <w:rPr>
          <w:rFonts w:hint="eastAsia" w:ascii="宋体" w:hAnsi="宋体"/>
          <w:b/>
          <w:kern w:val="2"/>
          <w:sz w:val="24"/>
          <w:szCs w:val="24"/>
        </w:rPr>
        <w:t>合同份数</w:t>
      </w:r>
    </w:p>
    <w:p w14:paraId="0C0A08B3">
      <w:pPr>
        <w:keepNext w:val="0"/>
        <w:keepLines w:val="0"/>
        <w:pageBreakBefore w:val="0"/>
        <w:widowControl w:val="0"/>
        <w:kinsoku/>
        <w:wordWrap/>
        <w:overflowPunct/>
        <w:topLinePunct w:val="0"/>
        <w:autoSpaceDE/>
        <w:autoSpaceDN/>
        <w:bidi w:val="0"/>
        <w:adjustRightInd w:val="0"/>
        <w:snapToGrid w:val="0"/>
        <w:spacing w:line="336"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D6D8C26">
      <w:pPr>
        <w:keepNext w:val="0"/>
        <w:keepLines w:val="0"/>
        <w:pageBreakBefore w:val="0"/>
        <w:widowControl w:val="0"/>
        <w:kinsoku/>
        <w:wordWrap/>
        <w:overflowPunct/>
        <w:topLinePunct w:val="0"/>
        <w:autoSpaceDE/>
        <w:autoSpaceDN/>
        <w:bidi w:val="0"/>
        <w:adjustRightInd w:val="0"/>
        <w:snapToGrid w:val="0"/>
        <w:spacing w:line="336"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4117135">
      <w:pPr>
        <w:keepNext w:val="0"/>
        <w:keepLines w:val="0"/>
        <w:pageBreakBefore w:val="0"/>
        <w:widowControl w:val="0"/>
        <w:kinsoku/>
        <w:wordWrap/>
        <w:overflowPunct/>
        <w:topLinePunct w:val="0"/>
        <w:autoSpaceDE/>
        <w:autoSpaceDN/>
        <w:bidi w:val="0"/>
        <w:adjustRightInd w:val="0"/>
        <w:snapToGrid w:val="0"/>
        <w:spacing w:line="336" w:lineRule="auto"/>
        <w:ind w:left="0" w:leftChars="0" w:firstLine="420" w:firstLineChars="200"/>
        <w:textAlignment w:val="auto"/>
        <w:rPr>
          <w:rFonts w:ascii="宋体" w:hAnsi="宋体"/>
          <w:color w:val="auto"/>
          <w:sz w:val="24"/>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13189CFB">
      <w:pPr>
        <w:snapToGrid w:val="0"/>
        <w:spacing w:line="600" w:lineRule="exact"/>
        <w:ind w:firstLine="480" w:firstLineChars="200"/>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乙方：</w:t>
      </w:r>
    </w:p>
    <w:p w14:paraId="60F67E31">
      <w:pPr>
        <w:snapToGrid w:val="0"/>
        <w:spacing w:line="600" w:lineRule="exact"/>
        <w:ind w:firstLine="480" w:firstLineChars="200"/>
        <w:rPr>
          <w:rFonts w:ascii="宋体" w:hAnsi="宋体"/>
          <w:sz w:val="24"/>
          <w:szCs w:val="24"/>
        </w:rPr>
      </w:pPr>
      <w:r>
        <w:rPr>
          <w:rFonts w:hint="eastAsia" w:ascii="宋体" w:hAnsi="宋体"/>
          <w:sz w:val="24"/>
          <w:szCs w:val="24"/>
        </w:rPr>
        <w:t>地址：                                地址：</w:t>
      </w:r>
    </w:p>
    <w:p w14:paraId="051A99B3">
      <w:pPr>
        <w:snapToGrid w:val="0"/>
        <w:spacing w:line="600" w:lineRule="exact"/>
        <w:ind w:firstLine="480" w:firstLineChars="200"/>
        <w:rPr>
          <w:rFonts w:ascii="宋体" w:hAnsi="宋体"/>
          <w:sz w:val="24"/>
          <w:szCs w:val="24"/>
        </w:rPr>
      </w:pPr>
      <w:r>
        <w:rPr>
          <w:rFonts w:hint="eastAsia" w:ascii="宋体" w:hAnsi="宋体"/>
          <w:sz w:val="24"/>
          <w:szCs w:val="24"/>
        </w:rPr>
        <w:t>法定代表人或授权代表：                法定代表人或授权代表：</w:t>
      </w:r>
    </w:p>
    <w:p w14:paraId="3CF6CEC1">
      <w:pPr>
        <w:snapToGrid w:val="0"/>
        <w:spacing w:line="600" w:lineRule="exact"/>
        <w:ind w:firstLine="480" w:firstLineChars="200"/>
        <w:rPr>
          <w:rFonts w:ascii="宋体" w:hAnsi="宋体"/>
          <w:sz w:val="24"/>
          <w:szCs w:val="24"/>
        </w:rPr>
      </w:pPr>
      <w:r>
        <w:rPr>
          <w:rFonts w:hint="eastAsia" w:ascii="宋体" w:hAnsi="宋体"/>
          <w:sz w:val="24"/>
          <w:szCs w:val="24"/>
        </w:rPr>
        <w:t>联系电话：                            联系电话：</w:t>
      </w:r>
    </w:p>
    <w:p w14:paraId="6B8BCB17">
      <w:pPr>
        <w:snapToGrid w:val="0"/>
        <w:spacing w:line="360" w:lineRule="exact"/>
        <w:ind w:firstLine="480" w:firstLineChars="200"/>
        <w:rPr>
          <w:rFonts w:ascii="宋体" w:hAnsi="宋体"/>
          <w:sz w:val="24"/>
          <w:szCs w:val="24"/>
        </w:rPr>
      </w:pPr>
    </w:p>
    <w:p w14:paraId="3F0924F3">
      <w:pPr>
        <w:snapToGrid w:val="0"/>
        <w:spacing w:line="360" w:lineRule="exact"/>
        <w:ind w:firstLine="480" w:firstLineChars="200"/>
        <w:rPr>
          <w:rFonts w:ascii="宋体" w:hAnsi="宋体"/>
          <w:sz w:val="24"/>
          <w:szCs w:val="24"/>
        </w:rPr>
      </w:pPr>
    </w:p>
    <w:p w14:paraId="16754D56">
      <w:pPr>
        <w:snapToGrid w:val="0"/>
        <w:spacing w:line="360" w:lineRule="exact"/>
        <w:ind w:firstLine="480" w:firstLineChars="200"/>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p>
    <w:p w14:paraId="4873FE36">
      <w:pPr>
        <w:snapToGrid w:val="0"/>
        <w:spacing w:line="360" w:lineRule="exact"/>
        <w:ind w:firstLine="480" w:firstLineChars="200"/>
        <w:rPr>
          <w:rFonts w:ascii="宋体" w:hAnsi="宋体"/>
          <w:sz w:val="24"/>
          <w:szCs w:val="24"/>
        </w:rPr>
      </w:pPr>
    </w:p>
    <w:p w14:paraId="3707A3C4">
      <w:pPr>
        <w:snapToGrid w:val="0"/>
        <w:spacing w:line="360" w:lineRule="exact"/>
        <w:ind w:firstLine="480" w:firstLineChars="200"/>
        <w:rPr>
          <w:rFonts w:hint="eastAsia" w:ascii="黑体" w:hAnsi="宋体" w:eastAsia="黑体" w:cs="黑体"/>
          <w:color w:val="000000"/>
          <w:sz w:val="44"/>
          <w:szCs w:val="44"/>
          <w:highlight w:val="none"/>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签订日期：  </w:t>
      </w:r>
      <w:r>
        <w:rPr>
          <w:rFonts w:hint="eastAsia" w:ascii="宋体" w:hAnsi="宋体"/>
          <w:sz w:val="24"/>
          <w:szCs w:val="24"/>
          <w:lang w:val="en-US" w:eastAsia="zh-CN"/>
        </w:rPr>
        <w:t xml:space="preserve"> </w:t>
      </w:r>
      <w:r>
        <w:rPr>
          <w:rFonts w:hint="eastAsia" w:ascii="宋体" w:hAnsi="宋体"/>
          <w:sz w:val="24"/>
          <w:szCs w:val="24"/>
        </w:rPr>
        <w:t xml:space="preserve"> 年 </w:t>
      </w:r>
      <w:r>
        <w:rPr>
          <w:rFonts w:hint="eastAsia" w:ascii="宋体" w:hAnsi="宋体"/>
          <w:sz w:val="24"/>
          <w:szCs w:val="24"/>
          <w:lang w:val="en-US" w:eastAsia="zh-CN"/>
        </w:rPr>
        <w:t xml:space="preserve">   </w:t>
      </w:r>
      <w:r>
        <w:rPr>
          <w:rFonts w:hint="eastAsia" w:ascii="宋体" w:hAnsi="宋体"/>
          <w:sz w:val="24"/>
          <w:szCs w:val="24"/>
        </w:rPr>
        <w:t xml:space="preserve">月 </w:t>
      </w:r>
      <w:r>
        <w:rPr>
          <w:rFonts w:hint="eastAsia" w:ascii="宋体" w:hAnsi="宋体"/>
          <w:sz w:val="24"/>
          <w:szCs w:val="24"/>
          <w:lang w:val="en-US" w:eastAsia="zh-CN"/>
        </w:rPr>
        <w:t xml:space="preserve"> </w:t>
      </w:r>
      <w:r>
        <w:rPr>
          <w:rFonts w:hint="eastAsia" w:ascii="宋体" w:hAnsi="宋体"/>
          <w:sz w:val="24"/>
          <w:szCs w:val="24"/>
        </w:rPr>
        <w:t xml:space="preserve"> 日</w:t>
      </w:r>
    </w:p>
    <w:p w14:paraId="5E4E6FC7">
      <w:pPr>
        <w:pStyle w:val="10"/>
        <w:spacing w:before="120" w:beforeAutospacing="0" w:after="120" w:afterAutospacing="0" w:line="0" w:lineRule="atLeast"/>
        <w:jc w:val="center"/>
        <w:rPr>
          <w:rFonts w:hint="eastAsia" w:ascii="黑体" w:hAnsi="宋体" w:eastAsia="黑体" w:cs="黑体"/>
          <w:color w:val="000000"/>
          <w:sz w:val="44"/>
          <w:szCs w:val="44"/>
          <w:highlight w:val="none"/>
        </w:rPr>
      </w:pPr>
    </w:p>
    <w:p w14:paraId="43846816">
      <w:pPr>
        <w:pStyle w:val="10"/>
        <w:spacing w:before="120" w:beforeAutospacing="0" w:after="120" w:afterAutospacing="0" w:line="0" w:lineRule="atLeast"/>
        <w:jc w:val="center"/>
        <w:rPr>
          <w:rFonts w:hint="eastAsia" w:ascii="黑体" w:hAnsi="宋体" w:eastAsia="黑体" w:cs="黑体"/>
          <w:color w:val="000000"/>
          <w:sz w:val="44"/>
          <w:szCs w:val="44"/>
          <w:highlight w:val="none"/>
        </w:rPr>
      </w:pPr>
    </w:p>
    <w:p w14:paraId="64B92E35">
      <w:pPr>
        <w:pStyle w:val="10"/>
        <w:spacing w:before="120" w:beforeAutospacing="0" w:after="120" w:afterAutospacing="0" w:line="0" w:lineRule="atLeast"/>
        <w:jc w:val="center"/>
        <w:rPr>
          <w:rFonts w:hint="eastAsia" w:ascii="黑体" w:hAnsi="宋体" w:eastAsia="黑体" w:cs="黑体"/>
          <w:color w:val="000000"/>
          <w:sz w:val="44"/>
          <w:szCs w:val="44"/>
          <w:highlight w:val="none"/>
        </w:rPr>
      </w:pPr>
    </w:p>
    <w:p w14:paraId="6520E95C">
      <w:pPr>
        <w:pStyle w:val="10"/>
        <w:spacing w:before="120" w:beforeAutospacing="0" w:after="120" w:afterAutospacing="0" w:line="0" w:lineRule="atLeast"/>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w:t>
      </w:r>
    </w:p>
    <w:p w14:paraId="73ECD84B">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476887B5">
      <w:pPr>
        <w:pStyle w:val="10"/>
        <w:spacing w:before="120" w:beforeAutospacing="0" w:after="120" w:afterAutospacing="0" w:line="0" w:lineRule="atLeast"/>
        <w:jc w:val="center"/>
        <w:rPr>
          <w:highlight w:val="none"/>
        </w:rPr>
      </w:pPr>
      <w:r>
        <w:rPr>
          <w:rFonts w:hint="eastAsia" w:ascii="黑体" w:hAnsi="宋体" w:eastAsia="黑体" w:cs="黑体"/>
          <w:color w:val="000000"/>
          <w:sz w:val="44"/>
          <w:szCs w:val="44"/>
          <w:highlight w:val="none"/>
        </w:rPr>
        <w:t>第</w:t>
      </w:r>
      <w:bookmarkEnd w:id="160"/>
      <w:r>
        <w:rPr>
          <w:rFonts w:hint="eastAsia" w:ascii="黑体" w:hAnsi="宋体" w:eastAsia="黑体" w:cs="黑体"/>
          <w:color w:val="000000"/>
          <w:sz w:val="44"/>
          <w:szCs w:val="44"/>
          <w:highlight w:val="none"/>
        </w:rPr>
        <w:t>四章 采购需求</w:t>
      </w:r>
      <w:bookmarkEnd w:id="161"/>
      <w:bookmarkEnd w:id="162"/>
      <w:bookmarkEnd w:id="163"/>
      <w:bookmarkEnd w:id="164"/>
      <w:bookmarkEnd w:id="165"/>
    </w:p>
    <w:p w14:paraId="55BB5D3D">
      <w:pPr>
        <w:pStyle w:val="10"/>
        <w:spacing w:beforeAutospacing="0" w:afterAutospacing="0" w:line="0" w:lineRule="atLeast"/>
        <w:jc w:val="both"/>
        <w:rPr>
          <w:rFonts w:hint="eastAsia" w:ascii="宋体" w:hAnsi="宋体" w:eastAsia="宋体" w:cs="宋体"/>
          <w:sz w:val="24"/>
          <w:szCs w:val="24"/>
          <w:highlight w:val="none"/>
          <w:shd w:val="clear" w:color="auto" w:fill="auto"/>
        </w:rPr>
      </w:pPr>
      <w:bookmarkStart w:id="170" w:name="_Toc26554093"/>
      <w:bookmarkStart w:id="171" w:name="_Toc49090575"/>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。（此为固定内容）</w:t>
      </w:r>
      <w:bookmarkEnd w:id="170"/>
      <w:bookmarkEnd w:id="171"/>
    </w:p>
    <w:p w14:paraId="79AB4B67">
      <w:pPr>
        <w:pStyle w:val="10"/>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82929CB">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lang w:val="en-US" w:eastAsia="zh-CN" w:bidi="ar-SA"/>
        </w:rPr>
        <w:t>一、</w:t>
      </w:r>
      <w:r>
        <w:rPr>
          <w:rFonts w:hint="eastAsia" w:ascii="宋体" w:hAnsi="宋体" w:eastAsia="宋体" w:cs="宋体"/>
          <w:color w:val="000000"/>
          <w:sz w:val="24"/>
          <w:szCs w:val="24"/>
          <w:highlight w:val="none"/>
          <w:lang w:val="en-US" w:eastAsia="zh-CN"/>
        </w:rPr>
        <w:t>采购内容</w:t>
      </w:r>
    </w:p>
    <w:p w14:paraId="1BEC7ADC">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eastAsia="zh-CN"/>
        </w:rPr>
      </w:pPr>
      <w:r>
        <w:rPr>
          <w:rFonts w:hint="eastAsia" w:ascii="宋体" w:hAnsi="宋体"/>
          <w:sz w:val="24"/>
          <w:highlight w:val="none"/>
          <w:lang w:val="en-US" w:eastAsia="zh-CN"/>
        </w:rPr>
        <w:t>共11个大类：粮油类；干货类；蔬菜类；肉制品禽蛋类；熟食类；水产品；调味品；豆制品、面食、点心类；瓜果类；生活用品及慰问物资等。</w:t>
      </w:r>
      <w:r>
        <w:rPr>
          <w:rFonts w:hint="eastAsia" w:ascii="宋体" w:hAnsi="宋体"/>
          <w:sz w:val="24"/>
          <w:highlight w:val="none"/>
        </w:rPr>
        <w:t>实际采购物资根据甲方提供的日常食品菜单为准，按实际供货量进行结算</w:t>
      </w:r>
      <w:r>
        <w:rPr>
          <w:rFonts w:hint="eastAsia" w:ascii="宋体" w:hAnsi="宋体"/>
          <w:sz w:val="24"/>
          <w:highlight w:val="none"/>
          <w:lang w:eastAsia="zh-CN"/>
        </w:rPr>
        <w:t>。</w:t>
      </w:r>
    </w:p>
    <w:p w14:paraId="4F78CFBC">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二、质量保证及售后服务</w:t>
      </w:r>
    </w:p>
    <w:p w14:paraId="579B05D0">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1、所供食品均符合《中华人民共和国食品安全法》和《动物检疫管理办法》等相关规定，保证卫生安全，应当无毒、无害，具有相应的色、香、味等感官性状。</w:t>
      </w:r>
    </w:p>
    <w:p w14:paraId="649560B6">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1）蔬菜产品有该菜可食用时就有的特性，成熟度适中、新鲜、色泽良好、形态正常、外观清洁、无腐烂、无霉变、无异味、农药残留量不超过国家的有关标准，并提供3-5种农产品农残检测报告。必须保证新鲜,且符合《食品安全法》要求。叶菜：外形正常，叶梗光滑幼嫩，不干瘪凋萎，无过多黄叶，色泽正常。去除根须，不含土，无虫害，大白菜、卷心菜切开心不变黑，无腐烂情形，无明显浸水现象；农药残留不超标，损耗率低于5%。根茎类（如香芋、土豆、莴笋等）：无虫咬、发芽、发霉现象，新鲜，形态大小与甲方标准相当。农药残留不超标，破碎率低于5%。花果类（如西兰花、白菜花、水果）：无虫害，成熟度良好，新鲜固有色泽鲜明，无发霉发黄。农药残留不超标，损耗率低于5%。姜蒜类：表皮干燥，蒜瓣硬实。新鲜、干净、外形完整，破碎率低于5%。</w:t>
      </w:r>
    </w:p>
    <w:p w14:paraId="758CCEA5">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（2）禽蛋类：须保证3日内产品，必须保证新鲜，且符合《食品安全法》要求。</w:t>
      </w:r>
    </w:p>
    <w:p w14:paraId="2316F882">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3）水产类须保证鲜活、大小基本统一，必须保证新鲜,且符合《食品安全法》要求鲜活类水产需要保证为3日内产品，冰鲜类需要保证为3个月内产品。鱼类需要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冰鲜需要为通过检验检疫依法销售的产品。</w:t>
      </w:r>
    </w:p>
    <w:p w14:paraId="67EC34EC">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（4）干货类须保证配送种类、品牌、规格，质量完全符合甲方要求，生产日期至供货日期天数须在保质期三分之二内，包装完整、无任何破损、无挤压、无破碎、无异味、无任何表面附着物或衍生物。</w:t>
      </w:r>
    </w:p>
    <w:p w14:paraId="021B1D7E">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（5）调味品、小食品根据甲方要求提供各类货品（应为优质产品），保证新鲜度，外包装清洁卫生，完整坚固，且包装上的商品名称、厂址、规格等与内容物相符，标示清晰，批次清楚等。</w:t>
      </w:r>
    </w:p>
    <w:p w14:paraId="610188D6">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（6）其他要求在清单体现</w:t>
      </w:r>
    </w:p>
    <w:p w14:paraId="0983160C">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2、严禁配送假冒、变质、过期的产品，不得弄虚作假或以次充好，对于不符合质量的品种甲方有权要求退货或换货，退换食品须在1小时内补给，不得影响甲方正常供餐。</w:t>
      </w:r>
    </w:p>
    <w:p w14:paraId="61BF6C3A">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因供应的货物质量达不到国家有关食品安全标准而造成食物中毒或其它后果，经公安机关或市场监督部门鉴定属于乙方（配送单位）责任的，其产生的一切法律和经济责任全部由乙方承担。乙方每个月须提供相关食品材料的检验报告。</w:t>
      </w:r>
    </w:p>
    <w:p w14:paraId="08B3ADC3">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3、在供货过程中，甲方对所供货物有任何意见，可随时向乙方反映，乙方应及时改进，否则，甲方有权中断与乙方的合作。</w:t>
      </w:r>
    </w:p>
    <w:p w14:paraId="666AD66A">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4、因配送运输中出现人身安全事故，乙方独立承担一切刑事、民事责任，与甲方无关。</w:t>
      </w:r>
    </w:p>
    <w:p w14:paraId="0A4C39B0">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5、乙方应随时按甲方要求提供各类货物清晰准确的原产地以及检测报告。</w:t>
      </w:r>
    </w:p>
    <w:p w14:paraId="6451084B">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6、乙方提供的产品须经过食堂验收人员的感官检验、外观检验和试用检验，若产品外观、包装、形式不符合要求、感官检验不能达到食品卫生要求，当即拒收；乙方不能满足食品的质、量及售后服务要求时，甲方有权终止合同。</w:t>
      </w:r>
    </w:p>
    <w:p w14:paraId="2E6B8866">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7、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直接单方解除服务合同，并不用对乙方做任何赔偿。</w:t>
      </w:r>
    </w:p>
    <w:p w14:paraId="26CFDA06">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8、乙方配送所用的器具必须干净卫生，过秤完毕的物品须按规定的地方摆放整齐,在甲方收货现场完毕后，必须清理现场的垃圾并带走。在有限时间内及时回应和解决。</w:t>
      </w:r>
    </w:p>
    <w:p w14:paraId="4403C2AD">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9、一经发现供应以下食品，除全部退货外，将取消供货单位的供货资格，并由供货商承担由此造成的经济责任和法律责任：</w:t>
      </w:r>
    </w:p>
    <w:p w14:paraId="40BE3E29">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（1）腐败变质、霉变、生虫、污秽不洁、混有异物或者其他感官性状异常；</w:t>
      </w:r>
    </w:p>
    <w:p w14:paraId="70376D69">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（2）含有毒、有害物质或者被有害物质污染；</w:t>
      </w:r>
    </w:p>
    <w:p w14:paraId="5ADEA2FA">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（3）含有致病性寄生虫、微生物或者微生物含量超过国家限定标准的；</w:t>
      </w:r>
    </w:p>
    <w:p w14:paraId="6DBD90C6">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（4）未经动物检疫部门检疫、检验或者检疫、检验不合格的肉类及其制品；</w:t>
      </w:r>
    </w:p>
    <w:p w14:paraId="273B7632">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（5）病死、毒死或者死因不明的禽、畜、兽等及其制品；</w:t>
      </w:r>
    </w:p>
    <w:p w14:paraId="33891408">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（6）掺假、掺杂、以次充好；</w:t>
      </w:r>
    </w:p>
    <w:p w14:paraId="5C41036A">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（7）用非食品原料加工的，加入非食品用化学物质的。</w:t>
      </w:r>
    </w:p>
    <w:p w14:paraId="079D9402">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三、货物包装、发运及运输</w:t>
      </w:r>
    </w:p>
    <w:p w14:paraId="55208EEC">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1、甲方需提前一周向乙方提供一周菜谱及每日配送物资，乙方根据清单及甲方的要求组织货源配送；</w:t>
      </w:r>
    </w:p>
    <w:p w14:paraId="3FAA6AD9">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2、食材要求：所有食材新鲜、卫生，除腌制、冷藏(冻)包装食品、海产品外，其余鱼肉蔬菜类皆为当天食材、当天配送。</w:t>
      </w:r>
    </w:p>
    <w:p w14:paraId="1BADF3AB">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3、乙方必须按照甲方通知的时间、数量、品种、品质要求及协定的价格准时送货，经验收合格后签字确认，不能以任何理由推托，一旦影响到甲方食堂的正常运转，乙方应承担相应的违约责任。</w:t>
      </w:r>
    </w:p>
    <w:p w14:paraId="797E2E26">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4、乙方应按甲方要求，保质保量按时提供所需食品，生鲜食品必需装入保温箱内，全程冷链运输（冷链保温箱由中标人提供），在甲方要求的时间前配送到甲方指定位置。甲方需要紧急配送食品的，提前半个小时通知，乙方须按时将所需的食品送达指定地点。</w:t>
      </w:r>
    </w:p>
    <w:p w14:paraId="49D7B06C">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5、乙方接到甲方订购单后，发现个别品种质量太差或缺少货源，应及时通知甲方订货负责人变更调换。</w:t>
      </w:r>
    </w:p>
    <w:p w14:paraId="0F573EAB">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sz w:val="24"/>
          <w:highlight w:val="none"/>
          <w:lang w:val="en-US" w:eastAsia="zh-CN"/>
        </w:rPr>
      </w:pPr>
      <w:r>
        <w:rPr>
          <w:rFonts w:hint="eastAsia" w:ascii="宋体" w:hAnsi="宋体"/>
          <w:sz w:val="24"/>
          <w:highlight w:val="none"/>
          <w:lang w:val="en-US" w:eastAsia="zh-CN"/>
        </w:rPr>
        <w:t>6、乙方所有员工凭健康证上岗，同时应成立食堂配送项目专项服务小组，负责配送工作及提供相关服务。</w:t>
      </w:r>
    </w:p>
    <w:p w14:paraId="6650FDF4">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sz w:val="24"/>
          <w:highlight w:val="none"/>
          <w:lang w:val="en-US" w:eastAsia="zh-CN"/>
        </w:rPr>
        <w:t>7、乙方不能满足供货要求时，应提前1周通知甲方，甲方同意后方可中止合同。</w:t>
      </w:r>
    </w:p>
    <w:p w14:paraId="0A3A7A6B">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四、交提货时间、方式及地点</w:t>
      </w:r>
    </w:p>
    <w:p w14:paraId="4D9A337F">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交货时间:依据甲方供货通知所要求的供货时间准时供货。每日早点在7:00前配送到位（部分食材经甲方同意后可提前一天配送），其他食材在每日8:30前配送到位，生活用品根据甲方通知要求在约定的时间配送。乙方晚于规定时间30分钟（含）以内送货的，给予警告；超时送货在30分钟至1小时（含）的，扣除当日所送货物价格的20％作为补偿款；超时送货1小时至1.5小时（含）的，扣除当日所送货物价格的50％作为补偿款；超时送货1.5小时以上的，扣除当日所送货物价格的100％作为补偿款；无故未配送的，甲方有权终止合同。</w:t>
      </w:r>
    </w:p>
    <w:p w14:paraId="08EF0552">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2、乙方如在一周内晚于甲方要求时间送货一小时以上累计超过3次的，一周内退货次数达到三次的，甲方有权终止合同。</w:t>
      </w:r>
    </w:p>
    <w:p w14:paraId="672B2E4F">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3、甲方如发现乙方配送的食材个别品种以次充好，甲方有权要求乙方退换，并扣除当次货物价格的40％。</w:t>
      </w:r>
    </w:p>
    <w:p w14:paraId="57E03067">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4、乙方所配送食品发生质量问题三次以上的，甲方有权终止合同，并按合同约定及法律规定追究乙方的违约责任。</w:t>
      </w:r>
    </w:p>
    <w:p w14:paraId="14F06D12">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5、乙方不得以甲方之名向外赊欠货物及借贷货款，如发生任何经济纠纷和司法责任与甲方无关，全部责任由乙方承担。</w:t>
      </w:r>
    </w:p>
    <w:p w14:paraId="7E882F21">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6、交提货方式、地点及运费:乙方负责将货物送至甲方指定地点，并承担运费。</w:t>
      </w:r>
    </w:p>
    <w:p w14:paraId="5F89C65C">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7、在货物到达采购人前，采购人有权减少采购数量，不视为采购人违约。</w:t>
      </w:r>
    </w:p>
    <w:p w14:paraId="2952A0EF">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8、应急补货时间要求2小时内送到。</w:t>
      </w:r>
    </w:p>
    <w:p w14:paraId="1E0EA784">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五、验收要求</w:t>
      </w:r>
    </w:p>
    <w:p w14:paraId="6EB131E9">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乙方须保证配送货物重量与订购单相符。每次送货，乙方应提供单位盖章的供货单（一式两联）由甲方工作人员（含代表）验收过磅签单入库，供货单明细到品名、数量、单价、合价。供货单作为双方结算的凭据，以甲方的验货数量为准。</w:t>
      </w:r>
    </w:p>
    <w:p w14:paraId="76D149A2">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六、合同款支付</w:t>
      </w:r>
    </w:p>
    <w:p w14:paraId="44A96972">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1、采购金额：约      万元/年</w:t>
      </w:r>
    </w:p>
    <w:p w14:paraId="32E0FC3A">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2、结算方式：供货时大润发东台店每日挂牌价×（1-中标费率）×实际供货量。</w:t>
      </w:r>
    </w:p>
    <w:p w14:paraId="3C11D9CA">
      <w:pPr>
        <w:pStyle w:val="10"/>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lang w:val="en-US" w:eastAsia="zh-CN"/>
        </w:rPr>
        <w:t>3、付款方法和条件为：每月5日前，乙方将上月甲方采购的签单合总，按中标价转账结算，结算时乙方需提供正式发票。</w:t>
      </w:r>
    </w:p>
    <w:p w14:paraId="71749AB4">
      <w:pPr>
        <w:pStyle w:val="10"/>
        <w:keepNext w:val="0"/>
        <w:keepLines w:val="0"/>
        <w:pageBreakBefore w:val="0"/>
        <w:widowControl w:val="0"/>
        <w:kinsoku/>
        <w:wordWrap/>
        <w:overflowPunct/>
        <w:topLinePunct w:val="0"/>
        <w:autoSpaceDE/>
        <w:autoSpaceDN/>
        <w:bidi w:val="0"/>
        <w:adjustRightInd/>
        <w:snapToGrid/>
        <w:spacing w:beforeAutospacing="0" w:afterAutospacing="0" w:line="324"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六、</w:t>
      </w:r>
      <w:r>
        <w:rPr>
          <w:rFonts w:hint="eastAsia" w:ascii="宋体" w:hAnsi="宋体" w:eastAsia="宋体" w:cs="宋体"/>
          <w:color w:val="auto"/>
          <w:sz w:val="24"/>
          <w:szCs w:val="24"/>
          <w:highlight w:val="none"/>
          <w:shd w:val="clear" w:color="auto" w:fill="auto"/>
        </w:rPr>
        <w:t>采购标的对应的中小企业划分标准所属行业一览表</w:t>
      </w:r>
    </w:p>
    <w:tbl>
      <w:tblPr>
        <w:tblStyle w:val="12"/>
        <w:tblW w:w="6688" w:type="dxa"/>
        <w:jc w:val="center"/>
        <w:tblCellSpacing w:w="0" w:type="dxa"/>
        <w:tblLayout w:type="fixed"/>
        <w:tblCellMar>
          <w:top w:w="0" w:type="dxa"/>
          <w:left w:w="108" w:type="dxa"/>
          <w:bottom w:w="0" w:type="dxa"/>
          <w:right w:w="108" w:type="dxa"/>
        </w:tblCellMar>
      </w:tblPr>
      <w:tblGrid>
        <w:gridCol w:w="545"/>
        <w:gridCol w:w="3291"/>
        <w:gridCol w:w="2852"/>
      </w:tblGrid>
      <w:tr w14:paraId="5C81A8F1">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A2AB">
            <w:pPr>
              <w:pStyle w:val="10"/>
              <w:keepNext w:val="0"/>
              <w:keepLines w:val="0"/>
              <w:pageBreakBefore w:val="0"/>
              <w:widowControl w:val="0"/>
              <w:kinsoku/>
              <w:wordWrap/>
              <w:overflowPunct/>
              <w:topLinePunct w:val="0"/>
              <w:autoSpaceDE/>
              <w:autoSpaceDN/>
              <w:bidi w:val="0"/>
              <w:adjustRightInd/>
              <w:snapToGrid/>
              <w:spacing w:beforeAutospacing="0" w:afterAutospacing="0" w:line="324" w:lineRule="auto"/>
              <w:ind w:firstLine="480" w:firstLineChars="200"/>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C582">
            <w:pPr>
              <w:pStyle w:val="10"/>
              <w:keepNext w:val="0"/>
              <w:keepLines w:val="0"/>
              <w:pageBreakBefore w:val="0"/>
              <w:widowControl w:val="0"/>
              <w:kinsoku/>
              <w:wordWrap/>
              <w:overflowPunct/>
              <w:topLinePunct w:val="0"/>
              <w:autoSpaceDE/>
              <w:autoSpaceDN/>
              <w:bidi w:val="0"/>
              <w:adjustRightInd/>
              <w:snapToGrid/>
              <w:spacing w:beforeAutospacing="0" w:afterAutospacing="0" w:line="324" w:lineRule="auto"/>
              <w:ind w:firstLine="480" w:firstLineChars="200"/>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D801">
            <w:pPr>
              <w:pStyle w:val="10"/>
              <w:keepNext w:val="0"/>
              <w:keepLines w:val="0"/>
              <w:pageBreakBefore w:val="0"/>
              <w:widowControl w:val="0"/>
              <w:kinsoku/>
              <w:wordWrap/>
              <w:overflowPunct/>
              <w:topLinePunct w:val="0"/>
              <w:autoSpaceDE/>
              <w:autoSpaceDN/>
              <w:bidi w:val="0"/>
              <w:adjustRightInd/>
              <w:snapToGrid/>
              <w:spacing w:beforeAutospacing="0" w:afterAutospacing="0" w:line="324" w:lineRule="auto"/>
              <w:ind w:firstLine="480" w:firstLineChars="200"/>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4A6ABC60">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8038">
            <w:pPr>
              <w:pStyle w:val="10"/>
              <w:keepNext w:val="0"/>
              <w:keepLines w:val="0"/>
              <w:pageBreakBefore w:val="0"/>
              <w:widowControl w:val="0"/>
              <w:kinsoku/>
              <w:wordWrap/>
              <w:overflowPunct/>
              <w:topLinePunct w:val="0"/>
              <w:autoSpaceDE/>
              <w:autoSpaceDN/>
              <w:bidi w:val="0"/>
              <w:adjustRightInd/>
              <w:snapToGrid/>
              <w:spacing w:beforeAutospacing="0" w:afterAutospacing="0" w:line="324" w:lineRule="auto"/>
              <w:ind w:firstLine="480" w:firstLineChars="200"/>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54B3">
            <w:pPr>
              <w:pStyle w:val="10"/>
              <w:keepNext w:val="0"/>
              <w:keepLines w:val="0"/>
              <w:pageBreakBefore w:val="0"/>
              <w:widowControl w:val="0"/>
              <w:kinsoku/>
              <w:wordWrap/>
              <w:overflowPunct/>
              <w:topLinePunct w:val="0"/>
              <w:autoSpaceDE/>
              <w:autoSpaceDN/>
              <w:bidi w:val="0"/>
              <w:adjustRightInd/>
              <w:snapToGrid/>
              <w:spacing w:beforeAutospacing="0" w:afterAutospacing="0"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唐洋镇机关食堂食材、调料等物品采购项目</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A423">
            <w:pPr>
              <w:pStyle w:val="10"/>
              <w:keepNext w:val="0"/>
              <w:keepLines w:val="0"/>
              <w:pageBreakBefore w:val="0"/>
              <w:widowControl w:val="0"/>
              <w:kinsoku/>
              <w:wordWrap/>
              <w:overflowPunct/>
              <w:topLinePunct w:val="0"/>
              <w:autoSpaceDE/>
              <w:autoSpaceDN/>
              <w:bidi w:val="0"/>
              <w:adjustRightInd/>
              <w:snapToGrid/>
              <w:spacing w:beforeAutospacing="0" w:afterAutospacing="0" w:line="324" w:lineRule="auto"/>
              <w:ind w:firstLine="480" w:firstLineChars="200"/>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餐饮</w:t>
            </w:r>
            <w:r>
              <w:rPr>
                <w:rFonts w:hint="eastAsia" w:ascii="宋体" w:hAnsi="宋体" w:eastAsia="宋体" w:cs="宋体"/>
                <w:color w:val="auto"/>
                <w:sz w:val="24"/>
                <w:szCs w:val="24"/>
                <w:highlight w:val="none"/>
                <w:shd w:val="clear" w:color="auto" w:fill="auto"/>
              </w:rPr>
              <w:t>业 </w:t>
            </w:r>
          </w:p>
        </w:tc>
      </w:tr>
    </w:tbl>
    <w:p w14:paraId="65CBDB15">
      <w:pPr>
        <w:pStyle w:val="10"/>
        <w:spacing w:beforeAutospacing="0" w:afterAutospacing="0" w:line="0" w:lineRule="atLeast"/>
        <w:jc w:val="both"/>
        <w:rPr>
          <w:rFonts w:hint="eastAsia" w:ascii="宋体" w:hAnsi="宋体" w:eastAsia="宋体" w:cs="宋体"/>
          <w:color w:val="auto"/>
          <w:sz w:val="24"/>
          <w:szCs w:val="24"/>
          <w:highlight w:val="yellow"/>
          <w:shd w:val="clear" w:color="auto" w:fill="auto"/>
        </w:rPr>
      </w:pPr>
    </w:p>
    <w:p w14:paraId="55845A37">
      <w:pPr>
        <w:pStyle w:val="10"/>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E050D1A">
      <w:pPr>
        <w:pStyle w:val="10"/>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ADDA6C">
      <w:pPr>
        <w:pStyle w:val="10"/>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Start w:id="172" w:name="_Toc120614281"/>
    </w:p>
    <w:p w14:paraId="5860DF19">
      <w:pPr>
        <w:pStyle w:val="10"/>
        <w:spacing w:beforeAutospacing="0" w:afterAutospacing="0"/>
        <w:ind w:firstLine="602"/>
        <w:jc w:val="both"/>
        <w:rPr>
          <w:rFonts w:hint="eastAsia" w:ascii="宋体" w:hAnsi="宋体" w:eastAsia="宋体" w:cs="宋体"/>
          <w:sz w:val="24"/>
          <w:szCs w:val="24"/>
          <w:highlight w:val="none"/>
        </w:rPr>
      </w:pPr>
    </w:p>
    <w:p w14:paraId="293BEC76">
      <w:pPr>
        <w:pStyle w:val="10"/>
        <w:spacing w:beforeAutospacing="0" w:afterAutospacing="0"/>
        <w:ind w:firstLine="602"/>
        <w:jc w:val="both"/>
        <w:rPr>
          <w:rFonts w:hint="eastAsia" w:ascii="宋体" w:hAnsi="宋体" w:eastAsia="宋体" w:cs="宋体"/>
          <w:sz w:val="24"/>
          <w:szCs w:val="24"/>
          <w:highlight w:val="none"/>
        </w:rPr>
      </w:pPr>
    </w:p>
    <w:p w14:paraId="3DF395B7">
      <w:pPr>
        <w:pStyle w:val="10"/>
        <w:spacing w:beforeAutospacing="0" w:afterAutospacing="0"/>
        <w:ind w:firstLine="602"/>
        <w:jc w:val="both"/>
        <w:rPr>
          <w:rFonts w:hint="eastAsia" w:ascii="宋体" w:hAnsi="宋体" w:eastAsia="宋体" w:cs="宋体"/>
          <w:sz w:val="24"/>
          <w:szCs w:val="24"/>
          <w:highlight w:val="none"/>
        </w:rPr>
      </w:pPr>
    </w:p>
    <w:p w14:paraId="15C566A3">
      <w:pPr>
        <w:pStyle w:val="10"/>
        <w:spacing w:beforeAutospacing="0" w:afterAutospacing="0"/>
        <w:ind w:firstLine="602"/>
        <w:jc w:val="both"/>
        <w:rPr>
          <w:rFonts w:hint="eastAsia" w:ascii="宋体" w:hAnsi="宋体" w:eastAsia="宋体" w:cs="宋体"/>
          <w:sz w:val="24"/>
          <w:szCs w:val="24"/>
          <w:highlight w:val="none"/>
        </w:rPr>
      </w:pPr>
    </w:p>
    <w:p w14:paraId="4FB422E0">
      <w:pPr>
        <w:pStyle w:val="10"/>
        <w:spacing w:beforeAutospacing="0" w:afterAutospacing="0"/>
        <w:ind w:firstLine="602"/>
        <w:jc w:val="both"/>
        <w:rPr>
          <w:rFonts w:hint="eastAsia" w:ascii="宋体" w:hAnsi="宋体" w:eastAsia="宋体" w:cs="宋体"/>
          <w:sz w:val="24"/>
          <w:szCs w:val="24"/>
          <w:highlight w:val="none"/>
        </w:rPr>
      </w:pPr>
    </w:p>
    <w:p w14:paraId="08C62326">
      <w:pPr>
        <w:pStyle w:val="10"/>
        <w:spacing w:beforeAutospacing="0" w:afterAutospacing="0"/>
        <w:jc w:val="both"/>
        <w:rPr>
          <w:rFonts w:hint="eastAsia" w:eastAsiaTheme="minorEastAsia"/>
          <w:highlight w:val="none"/>
          <w:lang w:val="en-US" w:eastAsia="zh-CN"/>
        </w:rPr>
      </w:pPr>
    </w:p>
    <w:p w14:paraId="6AC872FE">
      <w:pPr>
        <w:pStyle w:val="10"/>
        <w:keepNext/>
        <w:spacing w:beforeAutospacing="0" w:afterAutospacing="0"/>
        <w:jc w:val="center"/>
        <w:rPr>
          <w:rFonts w:ascii="黑体" w:hAnsi="宋体" w:eastAsia="黑体" w:cs="黑体"/>
          <w:color w:val="000000"/>
          <w:sz w:val="44"/>
          <w:szCs w:val="44"/>
          <w:highlight w:val="none"/>
        </w:rPr>
      </w:pPr>
      <w:r>
        <w:rPr>
          <w:rFonts w:ascii="黑体" w:hAnsi="宋体" w:eastAsia="黑体" w:cs="黑体"/>
          <w:color w:val="000000"/>
          <w:sz w:val="44"/>
          <w:szCs w:val="44"/>
          <w:highlight w:val="none"/>
        </w:rPr>
        <w:tab/>
      </w:r>
    </w:p>
    <w:p w14:paraId="4F52B17C">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119DF58E">
      <w:pPr>
        <w:pStyle w:val="10"/>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59994884">
      <w:pPr>
        <w:pStyle w:val="10"/>
        <w:spacing w:before="120" w:beforeAutospacing="0" w:after="120" w:afterAutospacing="0" w:line="360" w:lineRule="auto"/>
        <w:ind w:firstLine="439"/>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（备注：如果选取超过1名中标候选人，中标候选人的选取原则及数量项目经办人自行填写。确定后该备注删除。）</w:t>
      </w:r>
    </w:p>
    <w:p w14:paraId="2A7125E0">
      <w:pPr>
        <w:pStyle w:val="10"/>
        <w:spacing w:before="120" w:beforeAutospacing="0" w:after="120" w:afterAutospacing="0" w:line="360" w:lineRule="auto"/>
        <w:ind w:firstLine="441"/>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政府采购政策功能落实</w:t>
      </w:r>
    </w:p>
    <w:p w14:paraId="7BAAA33E">
      <w:pPr>
        <w:pStyle w:val="10"/>
        <w:spacing w:before="120" w:beforeAutospacing="0" w:after="120" w:afterAutospacing="0" w:line="0" w:lineRule="atLeast"/>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1、小微型企业价格扣除</w:t>
      </w:r>
    </w:p>
    <w:p w14:paraId="187A4FA4">
      <w:pPr>
        <w:pStyle w:val="19"/>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（1）本项目专门面向中小企业采购，不再对小型和微型企业</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给予价格扣除。</w:t>
      </w:r>
    </w:p>
    <w:p w14:paraId="393B146D">
      <w:pPr>
        <w:pStyle w:val="10"/>
        <w:spacing w:before="120" w:beforeAutospacing="0" w:after="120" w:afterAutospacing="0" w:line="0" w:lineRule="atLeast"/>
        <w:ind w:firstLine="36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r>
        <w:rPr>
          <w:rFonts w:hint="eastAsia" w:ascii="宋体" w:hAnsi="宋体" w:eastAsia="宋体" w:cs="宋体"/>
          <w:color w:val="000000"/>
          <w:sz w:val="24"/>
          <w:szCs w:val="24"/>
          <w:highlight w:val="none"/>
        </w:rPr>
        <w:t>》。</w:t>
      </w:r>
    </w:p>
    <w:p w14:paraId="07751C33">
      <w:pPr>
        <w:pStyle w:val="10"/>
        <w:spacing w:before="120" w:beforeAutospacing="0" w:after="120" w:afterAutospacing="0" w:line="0" w:lineRule="atLeast"/>
        <w:ind w:firstLine="36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（3）企业标准请参照《关于印发中小企业划型标准规定的通知》（工信部联企业[2011]300号）文件规定自行填写。</w:t>
      </w:r>
    </w:p>
    <w:p w14:paraId="2DCA9D8F">
      <w:pPr>
        <w:pStyle w:val="10"/>
        <w:spacing w:before="120" w:beforeAutospacing="0" w:after="120" w:afterAutospacing="0" w:line="0"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2、残疾人福利单位价格扣除</w:t>
      </w:r>
    </w:p>
    <w:p w14:paraId="0E8D4170">
      <w:pPr>
        <w:pStyle w:val="10"/>
        <w:spacing w:before="120" w:beforeAutospacing="0" w:after="120" w:afterAutospacing="0" w:line="0" w:lineRule="atLeast"/>
        <w:ind w:left="120" w:firstLine="36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（1）本项目对残疾人福利性单位视同小型、微型企业，给予</w:t>
      </w:r>
      <w:r>
        <w:rPr>
          <w:rFonts w:hint="eastAsia" w:ascii="宋体" w:hAnsi="宋体" w:eastAsia="宋体" w:cs="宋体"/>
          <w:color w:val="000000"/>
          <w:sz w:val="21"/>
          <w:szCs w:val="21"/>
          <w:highlight w:val="none"/>
          <w:u w:val="single"/>
        </w:rPr>
        <w:t>20%</w:t>
      </w:r>
      <w:r>
        <w:rPr>
          <w:rFonts w:hint="eastAsia" w:ascii="宋体" w:hAnsi="宋体" w:eastAsia="宋体" w:cs="宋体"/>
          <w:color w:val="000000"/>
          <w:sz w:val="21"/>
          <w:szCs w:val="21"/>
          <w:highlight w:val="none"/>
        </w:rPr>
        <w:t>的价格扣除</w:t>
      </w:r>
      <w:r>
        <w:rPr>
          <w:rFonts w:hint="eastAsia" w:ascii="宋体" w:hAnsi="宋体" w:eastAsia="宋体" w:cs="宋体"/>
          <w:color w:val="000000"/>
          <w:sz w:val="21"/>
          <w:szCs w:val="21"/>
          <w:highlight w:val="none"/>
          <w:lang w:eastAsia="zh-CN"/>
        </w:rPr>
        <w:t>。</w:t>
      </w:r>
    </w:p>
    <w:p w14:paraId="441B7F16">
      <w:pPr>
        <w:pStyle w:val="10"/>
        <w:spacing w:before="120" w:beforeAutospacing="0" w:after="120" w:afterAutospacing="0" w:line="0" w:lineRule="atLeast"/>
        <w:ind w:left="120" w:firstLine="36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（2）残疾人福利单位需按照采购文件的要求提供《残疾人福利性单位声明函》。</w:t>
      </w:r>
    </w:p>
    <w:p w14:paraId="574A996A">
      <w:pPr>
        <w:pStyle w:val="10"/>
        <w:spacing w:before="120" w:beforeAutospacing="0" w:after="120" w:afterAutospacing="0" w:line="0" w:lineRule="atLeast"/>
        <w:ind w:left="120" w:firstLine="36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（3）残疾人福利单位标准请参照《关于促进残疾人就业政府采购政策的通知》（财库〔2017〕141号）。</w:t>
      </w:r>
    </w:p>
    <w:p w14:paraId="500E9357">
      <w:pPr>
        <w:pStyle w:val="10"/>
        <w:spacing w:before="120" w:beforeAutospacing="0" w:after="120" w:afterAutospacing="0" w:line="0"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3、监狱和戒毒企业价格扣除</w:t>
      </w:r>
    </w:p>
    <w:p w14:paraId="78CD3014">
      <w:pPr>
        <w:pStyle w:val="10"/>
        <w:spacing w:before="120" w:beforeAutospacing="0" w:after="120" w:afterAutospacing="0" w:line="0" w:lineRule="atLeast"/>
        <w:ind w:firstLine="48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（1）本项目对监狱和戒毒企业（简称监狱企业）视同小型、微型企业，给予</w:t>
      </w:r>
      <w:r>
        <w:rPr>
          <w:rFonts w:hint="eastAsia" w:ascii="宋体" w:hAnsi="宋体" w:eastAsia="宋体" w:cs="宋体"/>
          <w:color w:val="000000"/>
          <w:sz w:val="21"/>
          <w:szCs w:val="21"/>
          <w:highlight w:val="none"/>
          <w:u w:val="single"/>
        </w:rPr>
        <w:t>20%</w:t>
      </w:r>
      <w:r>
        <w:rPr>
          <w:rFonts w:hint="eastAsia" w:ascii="宋体" w:hAnsi="宋体" w:eastAsia="宋体" w:cs="宋体"/>
          <w:color w:val="000000"/>
          <w:sz w:val="21"/>
          <w:szCs w:val="21"/>
          <w:highlight w:val="none"/>
        </w:rPr>
        <w:t>的价格扣除</w:t>
      </w:r>
      <w:r>
        <w:rPr>
          <w:rFonts w:hint="eastAsia" w:ascii="宋体" w:hAnsi="宋体" w:eastAsia="宋体" w:cs="宋体"/>
          <w:color w:val="000000"/>
          <w:sz w:val="21"/>
          <w:szCs w:val="21"/>
          <w:highlight w:val="none"/>
          <w:lang w:eastAsia="zh-CN"/>
        </w:rPr>
        <w:t>。</w:t>
      </w:r>
    </w:p>
    <w:p w14:paraId="759EF746">
      <w:pPr>
        <w:pStyle w:val="10"/>
        <w:spacing w:before="120" w:beforeAutospacing="0" w:after="120" w:afterAutospacing="0" w:line="0"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pStyle w:val="10"/>
        <w:spacing w:before="120" w:beforeAutospacing="0" w:after="120" w:afterAutospacing="0" w:line="0"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（3）监狱企业标准请参照《关于政府采购支持监狱企业发展有关问题的通知》（财库[2014]68号）。</w:t>
      </w:r>
    </w:p>
    <w:p w14:paraId="5AB6C78C">
      <w:pPr>
        <w:pStyle w:val="10"/>
        <w:spacing w:before="120" w:beforeAutospacing="0" w:after="120" w:afterAutospacing="0" w:line="0"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4、残疾人福利单位、监狱企业属于小型、微型企业的，不重复享受政策。</w:t>
      </w:r>
    </w:p>
    <w:p w14:paraId="5C8243AF">
      <w:pPr>
        <w:pStyle w:val="10"/>
        <w:spacing w:before="120" w:beforeAutospacing="0" w:after="120" w:afterAutospacing="0" w:line="0" w:lineRule="atLeast"/>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highlight w:val="none"/>
          <w:u w:val="single"/>
        </w:rPr>
        <w:t>6%</w:t>
      </w:r>
      <w:r>
        <w:rPr>
          <w:rFonts w:hint="eastAsia" w:ascii="宋体" w:hAnsi="宋体" w:eastAsia="宋体" w:cs="宋体"/>
          <w:color w:val="000000"/>
          <w:sz w:val="21"/>
          <w:szCs w:val="21"/>
          <w:highlight w:val="none"/>
        </w:rPr>
        <w:t>的价格扣除，用扣除后的价格参与评审。</w:t>
      </w:r>
    </w:p>
    <w:p w14:paraId="4608FE61">
      <w:pPr>
        <w:pStyle w:val="10"/>
        <w:spacing w:before="120" w:beforeAutospacing="0" w:after="120" w:afterAutospacing="0" w:line="0" w:lineRule="atLeast"/>
        <w:ind w:firstLine="480"/>
        <w:rPr>
          <w:rFonts w:hint="eastAsia" w:ascii="宋体" w:hAnsi="宋体" w:eastAsia="宋体" w:cs="宋体"/>
          <w:color w:val="auto"/>
          <w:sz w:val="21"/>
          <w:szCs w:val="21"/>
          <w:highlight w:val="none"/>
          <w:u w:val="single"/>
        </w:rPr>
      </w:pPr>
      <w:r>
        <w:rPr>
          <w:rFonts w:hint="eastAsia" w:ascii="宋体" w:hAnsi="宋体" w:eastAsia="宋体" w:cs="宋体"/>
          <w:color w:val="000000"/>
          <w:sz w:val="21"/>
          <w:szCs w:val="21"/>
          <w:highlight w:val="none"/>
        </w:rPr>
        <w:t>6、联合体各方均为小型、微型企业（残疾人福利单位、监狱企业）的，联合</w:t>
      </w:r>
      <w:r>
        <w:rPr>
          <w:rFonts w:hint="eastAsia" w:ascii="宋体" w:hAnsi="宋体" w:eastAsia="宋体" w:cs="宋体"/>
          <w:color w:val="auto"/>
          <w:sz w:val="21"/>
          <w:szCs w:val="21"/>
          <w:highlight w:val="none"/>
        </w:rPr>
        <w:t>体享受</w:t>
      </w:r>
      <w:r>
        <w:rPr>
          <w:rFonts w:hint="eastAsia" w:ascii="宋体" w:hAnsi="宋体" w:eastAsia="宋体" w:cs="宋体"/>
          <w:color w:val="auto"/>
          <w:sz w:val="21"/>
          <w:szCs w:val="21"/>
          <w:highlight w:val="none"/>
          <w:u w:val="single"/>
        </w:rPr>
        <w:t>20%</w:t>
      </w:r>
      <w:r>
        <w:rPr>
          <w:rFonts w:hint="eastAsia" w:ascii="宋体" w:hAnsi="宋体" w:eastAsia="宋体" w:cs="宋体"/>
          <w:color w:val="000000"/>
          <w:sz w:val="21"/>
          <w:szCs w:val="21"/>
          <w:highlight w:val="none"/>
        </w:rPr>
        <w:t>的价格扣除</w:t>
      </w:r>
      <w:r>
        <w:rPr>
          <w:rFonts w:hint="eastAsia" w:ascii="宋体" w:hAnsi="宋体" w:eastAsia="宋体" w:cs="宋体"/>
          <w:color w:val="000000"/>
          <w:sz w:val="21"/>
          <w:szCs w:val="21"/>
          <w:highlight w:val="none"/>
          <w:lang w:eastAsia="zh-CN"/>
        </w:rPr>
        <w:t>。</w:t>
      </w:r>
    </w:p>
    <w:p w14:paraId="74DDDC1C">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601E0BD8">
      <w:pPr>
        <w:pStyle w:val="10"/>
        <w:spacing w:before="120" w:beforeAutospacing="0" w:after="120" w:afterAutospacing="0" w:line="0" w:lineRule="atLeast"/>
        <w:ind w:firstLine="482"/>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评标方法与评标标准</w:t>
      </w:r>
    </w:p>
    <w:tbl>
      <w:tblPr>
        <w:tblStyle w:val="12"/>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902"/>
        <w:gridCol w:w="1113"/>
        <w:gridCol w:w="5271"/>
      </w:tblGrid>
      <w:tr w14:paraId="13A9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112" w:type="dxa"/>
            <w:noWrap/>
            <w:vAlign w:val="center"/>
          </w:tcPr>
          <w:p w14:paraId="72E7F6AB">
            <w:pPr>
              <w:jc w:val="center"/>
              <w:rPr>
                <w:rFonts w:ascii="宋体" w:hAnsi="宋体" w:eastAsia="宋体" w:cs="宋体"/>
                <w:sz w:val="22"/>
                <w:szCs w:val="21"/>
                <w:highlight w:val="none"/>
              </w:rPr>
            </w:pPr>
            <w:r>
              <w:rPr>
                <w:rFonts w:hint="eastAsia" w:ascii="宋体" w:hAnsi="宋体" w:eastAsia="宋体" w:cs="宋体"/>
                <w:sz w:val="22"/>
                <w:szCs w:val="21"/>
                <w:highlight w:val="none"/>
              </w:rPr>
              <w:t>评分因素</w:t>
            </w:r>
          </w:p>
        </w:tc>
        <w:tc>
          <w:tcPr>
            <w:tcW w:w="902" w:type="dxa"/>
            <w:noWrap/>
            <w:vAlign w:val="center"/>
          </w:tcPr>
          <w:p w14:paraId="4442D6A0">
            <w:pPr>
              <w:jc w:val="center"/>
              <w:rPr>
                <w:rFonts w:hint="eastAsia" w:ascii="宋体" w:hAnsi="宋体" w:eastAsia="宋体" w:cs="宋体"/>
                <w:sz w:val="22"/>
                <w:szCs w:val="21"/>
                <w:highlight w:val="none"/>
                <w:lang w:val="en-US" w:eastAsia="zh-CN" w:bidi="ar-SA"/>
              </w:rPr>
            </w:pPr>
            <w:r>
              <w:rPr>
                <w:rFonts w:hint="eastAsia" w:ascii="宋体" w:hAnsi="宋体" w:eastAsia="宋体" w:cs="宋体"/>
                <w:sz w:val="22"/>
                <w:szCs w:val="21"/>
                <w:highlight w:val="none"/>
              </w:rPr>
              <w:t>分值</w:t>
            </w:r>
          </w:p>
        </w:tc>
        <w:tc>
          <w:tcPr>
            <w:tcW w:w="1113" w:type="dxa"/>
            <w:noWrap/>
            <w:vAlign w:val="center"/>
          </w:tcPr>
          <w:p w14:paraId="797AEAF8">
            <w:pPr>
              <w:jc w:val="center"/>
              <w:rPr>
                <w:rFonts w:ascii="宋体" w:hAnsi="宋体" w:eastAsia="宋体" w:cs="宋体"/>
                <w:sz w:val="22"/>
                <w:szCs w:val="21"/>
                <w:highlight w:val="none"/>
              </w:rPr>
            </w:pPr>
            <w:r>
              <w:rPr>
                <w:rFonts w:hint="eastAsia" w:ascii="宋体" w:hAnsi="宋体" w:eastAsia="宋体" w:cs="宋体"/>
                <w:sz w:val="22"/>
                <w:szCs w:val="21"/>
                <w:highlight w:val="none"/>
              </w:rPr>
              <w:t>分项内容</w:t>
            </w:r>
          </w:p>
        </w:tc>
        <w:tc>
          <w:tcPr>
            <w:tcW w:w="5271" w:type="dxa"/>
            <w:noWrap/>
            <w:vAlign w:val="center"/>
          </w:tcPr>
          <w:p w14:paraId="3FD2D6F5">
            <w:pPr>
              <w:jc w:val="center"/>
              <w:rPr>
                <w:rFonts w:ascii="宋体" w:hAnsi="宋体" w:eastAsia="宋体" w:cs="宋体"/>
                <w:sz w:val="22"/>
                <w:szCs w:val="21"/>
                <w:highlight w:val="none"/>
              </w:rPr>
            </w:pPr>
            <w:r>
              <w:rPr>
                <w:rFonts w:hint="eastAsia" w:ascii="宋体" w:hAnsi="宋体" w:eastAsia="宋体" w:cs="宋体"/>
                <w:sz w:val="22"/>
                <w:szCs w:val="21"/>
                <w:highlight w:val="none"/>
              </w:rPr>
              <w:t>评分标准</w:t>
            </w:r>
          </w:p>
        </w:tc>
      </w:tr>
      <w:tr w14:paraId="5716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2" w:type="dxa"/>
            <w:noWrap/>
            <w:vAlign w:val="center"/>
          </w:tcPr>
          <w:p w14:paraId="29DE69F5">
            <w:pPr>
              <w:jc w:val="center"/>
              <w:rPr>
                <w:rFonts w:hint="default"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价格部分</w:t>
            </w:r>
          </w:p>
        </w:tc>
        <w:tc>
          <w:tcPr>
            <w:tcW w:w="902" w:type="dxa"/>
            <w:noWrap/>
            <w:vAlign w:val="center"/>
          </w:tcPr>
          <w:p w14:paraId="6C353704">
            <w:pPr>
              <w:jc w:val="center"/>
              <w:rPr>
                <w:rFonts w:hint="eastAsia" w:ascii="宋体" w:hAnsi="宋体" w:eastAsia="宋体" w:cs="宋体"/>
                <w:sz w:val="22"/>
                <w:szCs w:val="21"/>
                <w:highlight w:val="none"/>
                <w:lang w:val="en-US" w:eastAsia="zh-CN" w:bidi="ar-SA"/>
              </w:rPr>
            </w:pPr>
            <w:r>
              <w:rPr>
                <w:rFonts w:hint="eastAsia" w:ascii="宋体" w:hAnsi="宋体" w:eastAsia="宋体" w:cs="宋体"/>
                <w:sz w:val="22"/>
                <w:szCs w:val="21"/>
                <w:highlight w:val="none"/>
                <w:lang w:val="en-US" w:eastAsia="zh-CN"/>
              </w:rPr>
              <w:t>3</w:t>
            </w:r>
            <w:r>
              <w:rPr>
                <w:rFonts w:hint="eastAsia" w:ascii="宋体" w:hAnsi="宋体" w:eastAsia="宋体" w:cs="宋体"/>
                <w:sz w:val="22"/>
                <w:szCs w:val="21"/>
                <w:highlight w:val="none"/>
              </w:rPr>
              <w:t>0分</w:t>
            </w:r>
          </w:p>
        </w:tc>
        <w:tc>
          <w:tcPr>
            <w:tcW w:w="1113" w:type="dxa"/>
            <w:noWrap/>
            <w:vAlign w:val="center"/>
          </w:tcPr>
          <w:p w14:paraId="7BF78AF2">
            <w:pPr>
              <w:jc w:val="center"/>
              <w:rPr>
                <w:rFonts w:hint="default" w:ascii="宋体" w:hAnsi="宋体" w:eastAsia="宋体" w:cs="宋体"/>
                <w:sz w:val="22"/>
                <w:szCs w:val="21"/>
                <w:highlight w:val="none"/>
                <w:lang w:val="en-US"/>
              </w:rPr>
            </w:pPr>
            <w:r>
              <w:rPr>
                <w:rFonts w:hint="eastAsia" w:ascii="宋体" w:hAnsi="宋体" w:eastAsia="宋体" w:cs="宋体"/>
                <w:sz w:val="22"/>
                <w:szCs w:val="21"/>
                <w:highlight w:val="none"/>
                <w:lang w:val="en-US" w:eastAsia="zh-CN"/>
              </w:rPr>
              <w:t>投标报价</w:t>
            </w:r>
          </w:p>
        </w:tc>
        <w:tc>
          <w:tcPr>
            <w:tcW w:w="5271" w:type="dxa"/>
            <w:noWrap/>
            <w:vAlign w:val="center"/>
          </w:tcPr>
          <w:p w14:paraId="40F4FCE0">
            <w:pPr>
              <w:ind w:firstLine="440"/>
              <w:jc w:val="left"/>
              <w:rPr>
                <w:rFonts w:ascii="宋体" w:hAnsi="宋体" w:eastAsia="宋体" w:cs="宋体"/>
                <w:sz w:val="22"/>
                <w:szCs w:val="21"/>
                <w:highlight w:val="none"/>
              </w:rPr>
            </w:pPr>
            <w:r>
              <w:rPr>
                <w:rFonts w:hint="eastAsia" w:ascii="宋体" w:hAnsi="宋体" w:eastAsia="宋体" w:cs="宋体"/>
                <w:sz w:val="22"/>
                <w:szCs w:val="21"/>
                <w:highlight w:val="none"/>
              </w:rPr>
              <w:t>满足招标文件要求且投标价格最低的投标报价为基准价，其价格分为满分。报价得分=(评标基准价/投标报价)×</w:t>
            </w:r>
            <w:r>
              <w:rPr>
                <w:rFonts w:hint="eastAsia" w:ascii="宋体" w:hAnsi="宋体" w:eastAsia="宋体" w:cs="宋体"/>
                <w:sz w:val="22"/>
                <w:szCs w:val="21"/>
                <w:highlight w:val="none"/>
                <w:lang w:val="en-US" w:eastAsia="zh-CN"/>
              </w:rPr>
              <w:t>3</w:t>
            </w:r>
            <w:r>
              <w:rPr>
                <w:rFonts w:hint="eastAsia" w:ascii="宋体" w:hAnsi="宋体" w:eastAsia="宋体" w:cs="宋体"/>
                <w:sz w:val="22"/>
                <w:szCs w:val="21"/>
                <w:highlight w:val="none"/>
              </w:rPr>
              <w:t>0。</w:t>
            </w:r>
          </w:p>
        </w:tc>
      </w:tr>
      <w:tr w14:paraId="4B09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1" w:hRule="atLeast"/>
          <w:jc w:val="center"/>
        </w:trPr>
        <w:tc>
          <w:tcPr>
            <w:tcW w:w="1112" w:type="dxa"/>
            <w:vMerge w:val="restart"/>
            <w:noWrap/>
            <w:vAlign w:val="center"/>
          </w:tcPr>
          <w:p w14:paraId="5092323B">
            <w:pPr>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rPr>
              <w:t>技术部分</w:t>
            </w:r>
          </w:p>
        </w:tc>
        <w:tc>
          <w:tcPr>
            <w:tcW w:w="902" w:type="dxa"/>
            <w:noWrap/>
            <w:vAlign w:val="center"/>
          </w:tcPr>
          <w:p w14:paraId="6568EF67">
            <w:pPr>
              <w:jc w:val="center"/>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rPr>
              <w:t>25</w:t>
            </w:r>
            <w:r>
              <w:rPr>
                <w:rFonts w:hint="eastAsia" w:ascii="宋体" w:hAnsi="宋体" w:eastAsia="宋体" w:cs="宋体"/>
                <w:color w:val="auto"/>
                <w:sz w:val="22"/>
                <w:szCs w:val="21"/>
                <w:highlight w:val="none"/>
              </w:rPr>
              <w:t>分</w:t>
            </w:r>
          </w:p>
        </w:tc>
        <w:tc>
          <w:tcPr>
            <w:tcW w:w="1113" w:type="dxa"/>
            <w:noWrap/>
            <w:vAlign w:val="center"/>
          </w:tcPr>
          <w:p w14:paraId="680E3483">
            <w:pPr>
              <w:jc w:val="center"/>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项目总体实施方案</w:t>
            </w:r>
          </w:p>
        </w:tc>
        <w:tc>
          <w:tcPr>
            <w:tcW w:w="5271" w:type="dxa"/>
            <w:noWrap/>
            <w:vAlign w:val="center"/>
          </w:tcPr>
          <w:p w14:paraId="2583894C">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供应商提供的项目总体实施方案包含但不限于进场前准备，项目管理机构岗位设置，人员配置、人员培训与管理方案等内容。</w:t>
            </w:r>
          </w:p>
          <w:p w14:paraId="5419BC13">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注：评审委员会根据各供应商的具体响应内容按照以下量化的评审因素指标对各项要求进行满足性判断：</w:t>
            </w:r>
          </w:p>
          <w:p w14:paraId="7B3BB3D2">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1.方案完整详尽，满足机关食堂正常运行，可以考虑到食堂运行的各个方面，符合项目需求该项得25分；</w:t>
            </w:r>
          </w:p>
          <w:p w14:paraId="031C6054">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2.对项目总体有一定的认识，方案完整、细致，基本符合项目需求，该项得20分；</w:t>
            </w:r>
          </w:p>
          <w:p w14:paraId="36354DEB">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3.方案内容缺失，存在明显疏漏，与项目需求响应度低，项目理解思路一般该项得15分。</w:t>
            </w:r>
          </w:p>
          <w:p w14:paraId="02E38581">
            <w:pPr>
              <w:ind w:firstLine="440"/>
              <w:jc w:val="left"/>
              <w:rPr>
                <w:rFonts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rPr>
              <w:t>4.不提供或者经评标委员会不认可的不得分。</w:t>
            </w:r>
          </w:p>
        </w:tc>
      </w:tr>
      <w:tr w14:paraId="22F4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112" w:type="dxa"/>
            <w:vMerge w:val="continue"/>
            <w:noWrap/>
            <w:vAlign w:val="center"/>
          </w:tcPr>
          <w:p w14:paraId="4C14C93B">
            <w:pPr>
              <w:jc w:val="center"/>
              <w:rPr>
                <w:rFonts w:ascii="宋体" w:hAnsi="宋体" w:eastAsia="宋体" w:cs="宋体"/>
                <w:color w:val="auto"/>
                <w:sz w:val="22"/>
                <w:szCs w:val="21"/>
                <w:highlight w:val="none"/>
              </w:rPr>
            </w:pPr>
          </w:p>
        </w:tc>
        <w:tc>
          <w:tcPr>
            <w:tcW w:w="902" w:type="dxa"/>
            <w:noWrap/>
            <w:vAlign w:val="center"/>
          </w:tcPr>
          <w:p w14:paraId="2FD9AFCD">
            <w:pPr>
              <w:jc w:val="center"/>
              <w:rPr>
                <w:rFonts w:hint="default"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25分</w:t>
            </w:r>
          </w:p>
        </w:tc>
        <w:tc>
          <w:tcPr>
            <w:tcW w:w="1113" w:type="dxa"/>
            <w:noWrap/>
            <w:vAlign w:val="center"/>
          </w:tcPr>
          <w:p w14:paraId="6C34A98F">
            <w:pPr>
              <w:jc w:val="center"/>
              <w:rPr>
                <w:rFonts w:hint="default"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食品安全及卫生管理</w:t>
            </w:r>
          </w:p>
        </w:tc>
        <w:tc>
          <w:tcPr>
            <w:tcW w:w="5271" w:type="dxa"/>
            <w:noWrap/>
            <w:vAlign w:val="center"/>
          </w:tcPr>
          <w:p w14:paraId="64A1DCC0">
            <w:pPr>
              <w:numPr>
                <w:ilvl w:val="0"/>
                <w:numId w:val="0"/>
              </w:numPr>
              <w:ind w:firstLine="440"/>
              <w:jc w:val="left"/>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供应商提供的食品安全及卫生管理方案包含但不限于企业制度、自控体系、主要工作流程的质量技术保证、食品安全管理、卫生管理等内容。</w:t>
            </w:r>
          </w:p>
          <w:p w14:paraId="1DCBE41E">
            <w:pPr>
              <w:numPr>
                <w:ilvl w:val="0"/>
                <w:numId w:val="0"/>
              </w:numPr>
              <w:ind w:firstLine="440"/>
              <w:jc w:val="left"/>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注：评审委员会根据各供应商的具体响应内容按照以下量化的评审因素指标对各项要求进行满足性判断：</w:t>
            </w:r>
          </w:p>
          <w:p w14:paraId="71790F8F">
            <w:pPr>
              <w:numPr>
                <w:ilvl w:val="0"/>
                <w:numId w:val="0"/>
              </w:numPr>
              <w:ind w:firstLine="440"/>
              <w:jc w:val="left"/>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1.方案完整详尽</w:t>
            </w:r>
            <w:r>
              <w:rPr>
                <w:rFonts w:hint="eastAsia" w:ascii="宋体" w:hAnsi="宋体" w:eastAsia="宋体" w:cs="宋体"/>
                <w:color w:val="auto"/>
                <w:sz w:val="22"/>
                <w:szCs w:val="21"/>
                <w:highlight w:val="none"/>
                <w:lang w:val="en-US" w:eastAsia="zh-CN"/>
              </w:rPr>
              <w:t>，满足机关食堂正常运行，可以考虑到食堂食品安全及卫生管理的各个方面</w:t>
            </w:r>
            <w:r>
              <w:rPr>
                <w:rFonts w:hint="eastAsia" w:ascii="宋体" w:hAnsi="宋体" w:eastAsia="宋体" w:cs="宋体"/>
                <w:color w:val="auto"/>
                <w:sz w:val="22"/>
                <w:szCs w:val="21"/>
                <w:highlight w:val="none"/>
                <w:lang w:val="en-US" w:eastAsia="zh-CN" w:bidi="ar-SA"/>
              </w:rPr>
              <w:t>，符合项目需求该项得25分；</w:t>
            </w:r>
          </w:p>
          <w:p w14:paraId="679C462C">
            <w:pPr>
              <w:numPr>
                <w:ilvl w:val="0"/>
                <w:numId w:val="0"/>
              </w:numPr>
              <w:ind w:firstLine="440"/>
              <w:jc w:val="left"/>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2.对项目总体有一定的认识，方案细致，思路清楚，基本符合项目需求，该项得20分；</w:t>
            </w:r>
          </w:p>
          <w:p w14:paraId="7DCC057A">
            <w:pPr>
              <w:numPr>
                <w:ilvl w:val="0"/>
                <w:numId w:val="0"/>
              </w:numPr>
              <w:ind w:firstLine="440"/>
              <w:jc w:val="left"/>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3.方案</w:t>
            </w:r>
            <w:r>
              <w:rPr>
                <w:rFonts w:hint="eastAsia" w:ascii="宋体" w:hAnsi="宋体" w:eastAsia="宋体" w:cs="宋体"/>
                <w:color w:val="auto"/>
                <w:sz w:val="22"/>
                <w:szCs w:val="21"/>
                <w:highlight w:val="none"/>
                <w:lang w:val="en-US" w:eastAsia="zh-CN"/>
              </w:rPr>
              <w:t>内容缺失</w:t>
            </w:r>
            <w:r>
              <w:rPr>
                <w:rFonts w:hint="eastAsia" w:ascii="宋体" w:hAnsi="宋体" w:eastAsia="宋体" w:cs="宋体"/>
                <w:color w:val="auto"/>
                <w:sz w:val="22"/>
                <w:szCs w:val="21"/>
                <w:highlight w:val="none"/>
                <w:lang w:val="en-US" w:eastAsia="zh-CN" w:bidi="ar-SA"/>
              </w:rPr>
              <w:t>，与项目需求响应度低，项目理解思路一般该项得15分。</w:t>
            </w:r>
          </w:p>
          <w:p w14:paraId="566C735D">
            <w:pPr>
              <w:numPr>
                <w:ilvl w:val="0"/>
                <w:numId w:val="0"/>
              </w:numPr>
              <w:ind w:firstLine="440"/>
              <w:jc w:val="left"/>
              <w:rPr>
                <w:rFonts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4.不提供或者经评标委员会不认可的不得分。</w:t>
            </w:r>
          </w:p>
        </w:tc>
      </w:tr>
      <w:tr w14:paraId="7238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12" w:type="dxa"/>
            <w:vMerge w:val="continue"/>
            <w:noWrap/>
            <w:vAlign w:val="center"/>
          </w:tcPr>
          <w:p w14:paraId="6D13018C">
            <w:pPr>
              <w:jc w:val="left"/>
              <w:rPr>
                <w:rFonts w:hint="eastAsia" w:ascii="宋体" w:hAnsi="宋体" w:eastAsia="宋体" w:cs="宋体"/>
                <w:color w:val="auto"/>
                <w:sz w:val="22"/>
                <w:szCs w:val="21"/>
                <w:highlight w:val="none"/>
              </w:rPr>
            </w:pPr>
          </w:p>
        </w:tc>
        <w:tc>
          <w:tcPr>
            <w:tcW w:w="902" w:type="dxa"/>
            <w:noWrap/>
            <w:vAlign w:val="center"/>
          </w:tcPr>
          <w:p w14:paraId="0ED8CA57">
            <w:pPr>
              <w:jc w:val="center"/>
              <w:rPr>
                <w:rFonts w:hint="default"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20分</w:t>
            </w:r>
          </w:p>
        </w:tc>
        <w:tc>
          <w:tcPr>
            <w:tcW w:w="1113" w:type="dxa"/>
            <w:noWrap/>
            <w:vAlign w:val="center"/>
          </w:tcPr>
          <w:p w14:paraId="28D97859">
            <w:pPr>
              <w:jc w:val="center"/>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应急响应</w:t>
            </w:r>
          </w:p>
        </w:tc>
        <w:tc>
          <w:tcPr>
            <w:tcW w:w="5271" w:type="dxa"/>
            <w:noWrap/>
            <w:vAlign w:val="center"/>
          </w:tcPr>
          <w:p w14:paraId="73EDB6FE">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供应商提供的应急响应方案包含但不限于突发事件处理、紧急情况补救等内容。</w:t>
            </w:r>
          </w:p>
          <w:p w14:paraId="52CFEC04">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注：评审委员会根据各供应商的具体响应内容按照以下量化的评审因素指标对各项要求进行满足性判断：</w:t>
            </w:r>
          </w:p>
          <w:p w14:paraId="5DA3164C">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1.方案完整详尽，满足机关食堂正常运行，可以考虑到食堂各种应急响应措施，符合项目需求该项得20分；</w:t>
            </w:r>
          </w:p>
          <w:p w14:paraId="5B8870A8">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2.对项目总体有一定的认识，方案细致，思路清楚，基本符合项目需求，该项得15分；</w:t>
            </w:r>
          </w:p>
          <w:p w14:paraId="68818D0A">
            <w:pPr>
              <w:ind w:firstLine="440"/>
              <w:jc w:val="left"/>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3.方案粗糙，与项目需求响应度低，项目理解思路一般该项得10分。</w:t>
            </w:r>
          </w:p>
          <w:p w14:paraId="359D691E">
            <w:pPr>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rPr>
              <w:t>4.不提供或者经评标委员会不认可的不得分。</w:t>
            </w:r>
          </w:p>
        </w:tc>
      </w:tr>
    </w:tbl>
    <w:p w14:paraId="7F19B33B">
      <w:pPr>
        <w:pStyle w:val="10"/>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auto"/>
          <w:highlight w:val="none"/>
        </w:rPr>
        <w:t>说明：（1）所有打分项均以投标人所提供的投标文件</w:t>
      </w:r>
      <w:r>
        <w:rPr>
          <w:rFonts w:hint="eastAsia" w:ascii="宋体" w:hAnsi="宋体" w:eastAsia="宋体" w:cs="宋体"/>
          <w:color w:val="000000"/>
          <w:highlight w:val="none"/>
        </w:rPr>
        <w:t>进行打分，投标文件中未提及的不予认可，投标文件提交截止时间后不得修改或是补充投标文件。（2）投标人的最终得分为所有评委打分的平均值，计算结果保留至小数点后两位。</w:t>
      </w:r>
    </w:p>
    <w:p w14:paraId="7ED9E63A">
      <w:pPr>
        <w:pStyle w:val="10"/>
        <w:keepNext/>
        <w:spacing w:beforeAutospacing="0" w:afterAutospacing="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B9CD72">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0367625D">
      <w:pPr>
        <w:pStyle w:val="10"/>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0B1A27A8">
      <w:pPr>
        <w:pStyle w:val="10"/>
        <w:spacing w:beforeAutospacing="0" w:afterAutospacing="0"/>
        <w:jc w:val="center"/>
        <w:rPr>
          <w:highlight w:val="none"/>
        </w:rPr>
      </w:pPr>
      <w:bookmarkStart w:id="173" w:name="_Toc120614282"/>
      <w:bookmarkEnd w:id="173"/>
      <w:bookmarkStart w:id="174" w:name="_Toc49090576"/>
      <w:bookmarkEnd w:id="174"/>
      <w:bookmarkStart w:id="175" w:name="_Hlt26671244"/>
      <w:bookmarkStart w:id="176" w:name="_Toc26554094"/>
      <w:bookmarkStart w:id="177" w:name="_Hlt26955039"/>
      <w:r>
        <w:rPr>
          <w:rFonts w:hint="eastAsia" w:ascii="宋体" w:hAnsi="宋体" w:eastAsia="宋体" w:cs="宋体"/>
          <w:b/>
          <w:color w:val="000000"/>
          <w:sz w:val="72"/>
          <w:szCs w:val="72"/>
          <w:highlight w:val="none"/>
        </w:rPr>
        <w:t>投  标  文  件</w:t>
      </w:r>
    </w:p>
    <w:p w14:paraId="6F7385F4">
      <w:pPr>
        <w:pStyle w:val="10"/>
        <w:spacing w:beforeAutospacing="0" w:afterAutospacing="0"/>
        <w:jc w:val="center"/>
        <w:rPr>
          <w:highlight w:val="none"/>
        </w:rPr>
      </w:pPr>
      <w:r>
        <w:rPr>
          <w:highlight w:val="none"/>
        </w:rPr>
        <w:t> </w:t>
      </w:r>
    </w:p>
    <w:p w14:paraId="116EE8BE">
      <w:pPr>
        <w:pStyle w:val="10"/>
        <w:spacing w:beforeAutospacing="0" w:afterAutospacing="0"/>
        <w:jc w:val="center"/>
        <w:rPr>
          <w:highlight w:val="none"/>
        </w:rPr>
      </w:pPr>
      <w:r>
        <w:rPr>
          <w:highlight w:val="none"/>
        </w:rPr>
        <w:t> </w:t>
      </w:r>
    </w:p>
    <w:p w14:paraId="1689E381">
      <w:pPr>
        <w:pStyle w:val="10"/>
        <w:spacing w:beforeAutospacing="0" w:afterAutospacing="0"/>
        <w:jc w:val="center"/>
        <w:rPr>
          <w:highlight w:val="none"/>
        </w:rPr>
      </w:pPr>
      <w:r>
        <w:rPr>
          <w:highlight w:val="none"/>
        </w:rPr>
        <w:t> </w:t>
      </w:r>
    </w:p>
    <w:p w14:paraId="1172103B">
      <w:pPr>
        <w:pStyle w:val="10"/>
        <w:spacing w:beforeAutospacing="0" w:afterAutospacing="0"/>
        <w:jc w:val="center"/>
        <w:rPr>
          <w:highlight w:val="none"/>
        </w:rPr>
      </w:pPr>
      <w:r>
        <w:rPr>
          <w:highlight w:val="none"/>
        </w:rPr>
        <w:t> </w:t>
      </w:r>
    </w:p>
    <w:p w14:paraId="773BE420">
      <w:pPr>
        <w:pStyle w:val="10"/>
        <w:spacing w:beforeAutospacing="0" w:afterAutospacing="0"/>
        <w:jc w:val="center"/>
        <w:rPr>
          <w:highlight w:val="none"/>
        </w:rPr>
      </w:pPr>
      <w:r>
        <w:rPr>
          <w:highlight w:val="none"/>
        </w:rPr>
        <w:t> </w:t>
      </w:r>
    </w:p>
    <w:p w14:paraId="0D9C9B44">
      <w:pPr>
        <w:pStyle w:val="10"/>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4C9C4B28">
      <w:pPr>
        <w:pStyle w:val="10"/>
        <w:spacing w:beforeAutospacing="0" w:afterAutospacing="0"/>
        <w:ind w:firstLine="1084"/>
        <w:jc w:val="both"/>
        <w:rPr>
          <w:highlight w:val="non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2B329B95">
      <w:pPr>
        <w:pStyle w:val="10"/>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p>
    <w:p w14:paraId="1E760D54">
      <w:pPr>
        <w:pStyle w:val="10"/>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307A6EE9">
      <w:pPr>
        <w:pStyle w:val="10"/>
        <w:spacing w:beforeAutospacing="0" w:afterAutospacing="0" w:line="0" w:lineRule="atLeast"/>
        <w:jc w:val="center"/>
        <w:rPr>
          <w:highlight w:val="none"/>
        </w:rPr>
      </w:pPr>
    </w:p>
    <w:p w14:paraId="522BF4B7">
      <w:pPr>
        <w:pStyle w:val="10"/>
        <w:spacing w:beforeAutospacing="0" w:afterAutospacing="0" w:line="0" w:lineRule="atLeast"/>
        <w:jc w:val="center"/>
        <w:rPr>
          <w:highlight w:val="none"/>
        </w:rPr>
      </w:pPr>
    </w:p>
    <w:p w14:paraId="1D6C4EA9">
      <w:pPr>
        <w:pStyle w:val="10"/>
        <w:spacing w:beforeAutospacing="0" w:afterAutospacing="0" w:line="0" w:lineRule="atLeast"/>
        <w:jc w:val="center"/>
        <w:rPr>
          <w:highlight w:val="none"/>
        </w:rPr>
      </w:pPr>
    </w:p>
    <w:p w14:paraId="3FCD9059">
      <w:pPr>
        <w:pStyle w:val="10"/>
        <w:spacing w:beforeAutospacing="0" w:afterAutospacing="0" w:line="0" w:lineRule="atLeast"/>
        <w:jc w:val="center"/>
        <w:rPr>
          <w:highlight w:val="none"/>
        </w:rPr>
      </w:pPr>
    </w:p>
    <w:p w14:paraId="65EE8389">
      <w:pPr>
        <w:pStyle w:val="10"/>
        <w:spacing w:beforeAutospacing="0" w:afterAutospacing="0" w:line="0" w:lineRule="atLeast"/>
        <w:jc w:val="center"/>
        <w:rPr>
          <w:highlight w:val="none"/>
        </w:rPr>
      </w:pPr>
    </w:p>
    <w:p w14:paraId="1F00DE46">
      <w:pPr>
        <w:pStyle w:val="10"/>
        <w:spacing w:beforeAutospacing="0" w:afterAutospacing="0" w:line="0" w:lineRule="atLeast"/>
        <w:jc w:val="center"/>
        <w:rPr>
          <w:highlight w:val="none"/>
        </w:rPr>
      </w:pPr>
    </w:p>
    <w:p w14:paraId="1FFCB483">
      <w:pPr>
        <w:pStyle w:val="10"/>
        <w:spacing w:beforeAutospacing="0" w:afterAutospacing="0" w:line="0" w:lineRule="atLeast"/>
        <w:jc w:val="center"/>
        <w:rPr>
          <w:highlight w:val="none"/>
        </w:rPr>
      </w:pPr>
    </w:p>
    <w:p w14:paraId="69C2000F">
      <w:pPr>
        <w:pStyle w:val="10"/>
        <w:spacing w:beforeAutospacing="0" w:afterAutospacing="0" w:line="0" w:lineRule="atLeast"/>
        <w:jc w:val="center"/>
        <w:rPr>
          <w:highlight w:val="none"/>
        </w:rPr>
      </w:pPr>
    </w:p>
    <w:p w14:paraId="7E4BDA90">
      <w:pPr>
        <w:pStyle w:val="10"/>
        <w:spacing w:beforeAutospacing="0" w:afterAutospacing="0" w:line="0" w:lineRule="atLeast"/>
        <w:jc w:val="center"/>
        <w:rPr>
          <w:highlight w:val="none"/>
        </w:rPr>
      </w:pPr>
    </w:p>
    <w:p w14:paraId="50411275">
      <w:pPr>
        <w:pStyle w:val="10"/>
        <w:spacing w:beforeAutospacing="0" w:afterAutospacing="0" w:line="0" w:lineRule="atLeast"/>
        <w:jc w:val="center"/>
        <w:rPr>
          <w:highlight w:val="none"/>
        </w:rPr>
      </w:pPr>
    </w:p>
    <w:p w14:paraId="35984E94">
      <w:pPr>
        <w:pStyle w:val="10"/>
        <w:spacing w:beforeAutospacing="0" w:afterAutospacing="0" w:line="0" w:lineRule="atLeast"/>
        <w:jc w:val="center"/>
        <w:rPr>
          <w:highlight w:val="none"/>
        </w:rPr>
      </w:pPr>
    </w:p>
    <w:p w14:paraId="0EA21101">
      <w:pPr>
        <w:pStyle w:val="10"/>
        <w:spacing w:beforeAutospacing="0" w:afterAutospacing="0" w:line="0" w:lineRule="atLeast"/>
        <w:jc w:val="center"/>
        <w:rPr>
          <w:highlight w:val="none"/>
        </w:rPr>
      </w:pPr>
    </w:p>
    <w:p w14:paraId="598F55FA">
      <w:pPr>
        <w:pStyle w:val="10"/>
        <w:spacing w:beforeAutospacing="0" w:afterAutospacing="0" w:line="0" w:lineRule="atLeast"/>
        <w:jc w:val="center"/>
        <w:rPr>
          <w:highlight w:val="none"/>
        </w:rPr>
      </w:pPr>
    </w:p>
    <w:p w14:paraId="5694C6B0">
      <w:pPr>
        <w:pStyle w:val="10"/>
        <w:spacing w:beforeAutospacing="0" w:afterAutospacing="0" w:line="0" w:lineRule="atLeast"/>
        <w:jc w:val="center"/>
        <w:rPr>
          <w:highlight w:val="none"/>
        </w:rPr>
      </w:pPr>
    </w:p>
    <w:p w14:paraId="014757FE">
      <w:pPr>
        <w:pStyle w:val="10"/>
        <w:spacing w:beforeAutospacing="0" w:afterAutospacing="0" w:line="0" w:lineRule="atLeast"/>
        <w:jc w:val="center"/>
        <w:rPr>
          <w:highlight w:val="none"/>
        </w:rPr>
      </w:pPr>
    </w:p>
    <w:p w14:paraId="557FDC97">
      <w:pPr>
        <w:pStyle w:val="10"/>
        <w:spacing w:beforeAutospacing="0" w:afterAutospacing="0" w:line="0" w:lineRule="atLeast"/>
        <w:jc w:val="center"/>
        <w:rPr>
          <w:highlight w:val="none"/>
        </w:rPr>
      </w:pPr>
    </w:p>
    <w:p w14:paraId="77D2DCD6">
      <w:pPr>
        <w:pStyle w:val="10"/>
        <w:spacing w:beforeAutospacing="0" w:afterAutospacing="0" w:line="0" w:lineRule="atLeast"/>
        <w:jc w:val="center"/>
        <w:rPr>
          <w:highlight w:val="none"/>
        </w:rPr>
      </w:pPr>
    </w:p>
    <w:p w14:paraId="6C7F995A">
      <w:pPr>
        <w:pStyle w:val="10"/>
        <w:spacing w:beforeAutospacing="0" w:afterAutospacing="0" w:line="0" w:lineRule="atLeast"/>
        <w:jc w:val="center"/>
        <w:rPr>
          <w:highlight w:val="none"/>
        </w:rPr>
      </w:pPr>
    </w:p>
    <w:p w14:paraId="1B5D24F9">
      <w:pPr>
        <w:pStyle w:val="10"/>
        <w:spacing w:beforeAutospacing="0" w:afterAutospacing="0" w:line="0" w:lineRule="atLeast"/>
        <w:jc w:val="center"/>
        <w:rPr>
          <w:highlight w:val="none"/>
        </w:rPr>
      </w:pPr>
    </w:p>
    <w:p w14:paraId="5E66756A">
      <w:pPr>
        <w:pStyle w:val="10"/>
        <w:spacing w:beforeAutospacing="0" w:afterAutospacing="0" w:line="0" w:lineRule="atLeast"/>
        <w:jc w:val="center"/>
        <w:rPr>
          <w:highlight w:val="none"/>
        </w:rPr>
      </w:pPr>
    </w:p>
    <w:p w14:paraId="28E7D65B">
      <w:pPr>
        <w:pStyle w:val="10"/>
        <w:spacing w:beforeAutospacing="0" w:afterAutospacing="0" w:line="0" w:lineRule="atLeast"/>
        <w:jc w:val="center"/>
        <w:rPr>
          <w:highlight w:val="none"/>
        </w:rPr>
      </w:pPr>
    </w:p>
    <w:p w14:paraId="4257AF04">
      <w:pPr>
        <w:pStyle w:val="10"/>
        <w:spacing w:beforeAutospacing="0" w:afterAutospacing="0" w:line="0" w:lineRule="atLeast"/>
        <w:jc w:val="center"/>
        <w:rPr>
          <w:highlight w:val="none"/>
        </w:rPr>
      </w:pPr>
    </w:p>
    <w:p w14:paraId="00C82BB9">
      <w:pPr>
        <w:pStyle w:val="10"/>
        <w:spacing w:beforeAutospacing="0" w:afterAutospacing="0" w:line="0" w:lineRule="atLeast"/>
        <w:jc w:val="center"/>
        <w:rPr>
          <w:highlight w:val="none"/>
        </w:rPr>
      </w:pPr>
    </w:p>
    <w:p w14:paraId="11655BD1">
      <w:pPr>
        <w:pStyle w:val="10"/>
        <w:spacing w:beforeAutospacing="0" w:afterAutospacing="0" w:line="0" w:lineRule="atLeast"/>
        <w:jc w:val="center"/>
        <w:rPr>
          <w:highlight w:val="none"/>
        </w:rPr>
      </w:pPr>
    </w:p>
    <w:p w14:paraId="5F9B54D1">
      <w:pPr>
        <w:pStyle w:val="10"/>
        <w:spacing w:beforeAutospacing="0" w:afterAutospacing="0" w:line="0" w:lineRule="atLeast"/>
        <w:jc w:val="center"/>
        <w:rPr>
          <w:highlight w:val="none"/>
        </w:rPr>
      </w:pPr>
    </w:p>
    <w:p w14:paraId="33439636">
      <w:pPr>
        <w:pStyle w:val="10"/>
        <w:spacing w:beforeAutospacing="0" w:afterAutospacing="0" w:line="0" w:lineRule="atLeast"/>
        <w:jc w:val="center"/>
        <w:rPr>
          <w:highlight w:val="none"/>
        </w:rPr>
      </w:pPr>
    </w:p>
    <w:p w14:paraId="0DC7683E">
      <w:pPr>
        <w:pStyle w:val="10"/>
        <w:spacing w:beforeAutospacing="0" w:afterAutospacing="0" w:line="0" w:lineRule="atLeast"/>
        <w:jc w:val="center"/>
        <w:rPr>
          <w:highlight w:val="none"/>
        </w:rPr>
      </w:pPr>
    </w:p>
    <w:p w14:paraId="2D890F00">
      <w:pPr>
        <w:pStyle w:val="10"/>
        <w:spacing w:beforeAutospacing="0" w:afterAutospacing="0" w:line="0" w:lineRule="atLeast"/>
        <w:jc w:val="center"/>
        <w:rPr>
          <w:highlight w:val="none"/>
        </w:rPr>
      </w:pPr>
    </w:p>
    <w:p w14:paraId="2244E39E">
      <w:pPr>
        <w:pStyle w:val="10"/>
        <w:spacing w:beforeAutospacing="0" w:afterAutospacing="0" w:line="0" w:lineRule="atLeast"/>
        <w:jc w:val="center"/>
        <w:rPr>
          <w:highlight w:val="none"/>
        </w:rPr>
      </w:pPr>
      <w:r>
        <w:rPr>
          <w:highlight w:val="none"/>
        </w:rPr>
        <w:t> </w:t>
      </w:r>
    </w:p>
    <w:p w14:paraId="2AF7236C">
      <w:pPr>
        <w:pStyle w:val="10"/>
        <w:spacing w:beforeAutospacing="0" w:afterAutospacing="0" w:line="0" w:lineRule="atLeast"/>
        <w:jc w:val="both"/>
        <w:rPr>
          <w:highlight w:val="none"/>
        </w:rPr>
      </w:pPr>
      <w:r>
        <w:rPr>
          <w:highlight w:val="none"/>
        </w:rPr>
        <w:t> </w:t>
      </w:r>
    </w:p>
    <w:p w14:paraId="659BF965">
      <w:pPr>
        <w:pStyle w:val="10"/>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0D494503">
      <w:pPr>
        <w:pStyle w:val="10"/>
        <w:spacing w:beforeAutospacing="0" w:afterAutospacing="0" w:line="0" w:lineRule="atLeast"/>
        <w:jc w:val="center"/>
        <w:rPr>
          <w:highlight w:val="none"/>
        </w:rPr>
      </w:pPr>
      <w:r>
        <w:rPr>
          <w:highlight w:val="none"/>
        </w:rPr>
        <w:t> </w:t>
      </w:r>
    </w:p>
    <w:p w14:paraId="2DD541B5">
      <w:pPr>
        <w:pStyle w:val="10"/>
        <w:spacing w:beforeAutospacing="0" w:afterAutospacing="0"/>
        <w:ind w:left="480"/>
        <w:jc w:val="both"/>
        <w:rPr>
          <w:i w:val="0"/>
          <w:iCs/>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47C0EAF7">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二、上一年度的财务状况报表（至少提供资产负债表、利润表、现金流量表，</w:t>
      </w:r>
    </w:p>
    <w:p w14:paraId="3C361A66">
      <w:pPr>
        <w:pStyle w:val="10"/>
        <w:spacing w:beforeAutospacing="0" w:afterAutospacing="0"/>
        <w:ind w:left="480"/>
        <w:jc w:val="both"/>
        <w:rPr>
          <w:i w:val="0"/>
          <w:iCs/>
          <w:highlight w:val="none"/>
          <w:u w:val="none"/>
        </w:rPr>
      </w:pPr>
      <w:r>
        <w:rPr>
          <w:rFonts w:hint="eastAsia" w:ascii="宋体" w:hAnsi="宋体" w:eastAsia="宋体" w:cs="宋体"/>
          <w:i w:val="0"/>
          <w:iCs/>
          <w:color w:val="000000"/>
          <w:highlight w:val="none"/>
          <w:u w:val="none"/>
        </w:rPr>
        <w:t>投标人成立不满一年无需提供）</w:t>
      </w:r>
    </w:p>
    <w:p w14:paraId="3629C146">
      <w:pPr>
        <w:pStyle w:val="10"/>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45838A78">
      <w:pPr>
        <w:pStyle w:val="10"/>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10"/>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01D8E114">
      <w:pPr>
        <w:pStyle w:val="10"/>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57BC2220">
      <w:pPr>
        <w:pStyle w:val="10"/>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七、法人授权书</w:t>
      </w:r>
    </w:p>
    <w:p w14:paraId="0FD35EF1">
      <w:pPr>
        <w:pStyle w:val="10"/>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八、投标函</w:t>
      </w:r>
    </w:p>
    <w:p w14:paraId="62AB6C8F">
      <w:pPr>
        <w:pStyle w:val="10"/>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60ADE039">
      <w:pPr>
        <w:pStyle w:val="10"/>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十、残疾人福利性单位声明函</w:t>
      </w:r>
    </w:p>
    <w:p w14:paraId="099B3743">
      <w:pPr>
        <w:pStyle w:val="10"/>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十一</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rPr>
        <w:t>开标一览表</w:t>
      </w:r>
    </w:p>
    <w:p w14:paraId="1988DFAF">
      <w:pPr>
        <w:pStyle w:val="10"/>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、技术方案、服务承诺、培训承诺等</w:t>
      </w:r>
    </w:p>
    <w:p w14:paraId="3F7B4795">
      <w:pPr>
        <w:pStyle w:val="10"/>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、盐城市政府采购事前信用承诺书</w:t>
      </w:r>
    </w:p>
    <w:p w14:paraId="312681F2">
      <w:pPr>
        <w:pStyle w:val="10"/>
        <w:spacing w:beforeAutospacing="0" w:afterAutospacing="0" w:line="0" w:lineRule="atLeast"/>
        <w:ind w:firstLine="480"/>
        <w:jc w:val="both"/>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十四、其他材料： 综合评审相关资料。</w:t>
      </w:r>
    </w:p>
    <w:p w14:paraId="626E3581">
      <w:pPr>
        <w:pStyle w:val="10"/>
        <w:spacing w:beforeAutospacing="0" w:afterAutospacing="0" w:line="0" w:lineRule="atLeast"/>
        <w:ind w:firstLine="480"/>
        <w:jc w:val="both"/>
        <w:rPr>
          <w:highlight w:val="none"/>
        </w:rPr>
      </w:pPr>
      <w:r>
        <w:rPr>
          <w:highlight w:val="none"/>
        </w:rPr>
        <w:t> </w:t>
      </w:r>
    </w:p>
    <w:p w14:paraId="664E19FE">
      <w:pPr>
        <w:pStyle w:val="10"/>
        <w:spacing w:beforeAutospacing="0" w:afterAutospacing="0" w:line="0" w:lineRule="atLeast"/>
        <w:ind w:firstLine="480"/>
        <w:jc w:val="both"/>
        <w:rPr>
          <w:highlight w:val="none"/>
        </w:rPr>
      </w:pPr>
      <w:r>
        <w:rPr>
          <w:highlight w:val="none"/>
        </w:rPr>
        <w:t> </w:t>
      </w:r>
    </w:p>
    <w:p w14:paraId="347B9BE8">
      <w:pPr>
        <w:pStyle w:val="10"/>
        <w:spacing w:beforeAutospacing="0" w:afterAutospacing="0" w:line="0" w:lineRule="atLeast"/>
        <w:ind w:firstLine="480"/>
        <w:jc w:val="both"/>
        <w:rPr>
          <w:highlight w:val="none"/>
        </w:rPr>
      </w:pPr>
      <w:r>
        <w:rPr>
          <w:highlight w:val="none"/>
        </w:rPr>
        <w:t> </w:t>
      </w:r>
    </w:p>
    <w:p w14:paraId="0DAE4FA9">
      <w:pPr>
        <w:pStyle w:val="10"/>
        <w:spacing w:beforeAutospacing="0" w:afterAutospacing="0" w:line="0" w:lineRule="atLeast"/>
        <w:ind w:firstLine="480"/>
        <w:jc w:val="both"/>
        <w:rPr>
          <w:highlight w:val="none"/>
        </w:rPr>
      </w:pPr>
      <w:r>
        <w:rPr>
          <w:highlight w:val="none"/>
        </w:rPr>
        <w:t> </w:t>
      </w:r>
    </w:p>
    <w:p w14:paraId="6683C043">
      <w:pPr>
        <w:pStyle w:val="10"/>
        <w:spacing w:beforeAutospacing="0" w:afterAutospacing="0" w:line="0" w:lineRule="atLeast"/>
        <w:ind w:firstLine="480"/>
        <w:jc w:val="both"/>
        <w:rPr>
          <w:highlight w:val="none"/>
        </w:rPr>
      </w:pPr>
      <w:r>
        <w:rPr>
          <w:highlight w:val="none"/>
        </w:rPr>
        <w:t> </w:t>
      </w:r>
    </w:p>
    <w:p w14:paraId="3D740BC1">
      <w:pPr>
        <w:pStyle w:val="10"/>
        <w:spacing w:beforeAutospacing="0" w:afterAutospacing="0" w:line="0" w:lineRule="atLeast"/>
        <w:ind w:firstLine="480"/>
        <w:jc w:val="both"/>
        <w:rPr>
          <w:highlight w:val="none"/>
        </w:rPr>
      </w:pPr>
      <w:r>
        <w:rPr>
          <w:highlight w:val="none"/>
        </w:rPr>
        <w:t> </w:t>
      </w:r>
    </w:p>
    <w:p w14:paraId="783B6C87">
      <w:pPr>
        <w:pStyle w:val="10"/>
        <w:spacing w:beforeAutospacing="0" w:afterAutospacing="0" w:line="0" w:lineRule="atLeast"/>
        <w:ind w:firstLine="480"/>
        <w:jc w:val="both"/>
        <w:rPr>
          <w:highlight w:val="none"/>
        </w:rPr>
      </w:pPr>
      <w:r>
        <w:rPr>
          <w:highlight w:val="none"/>
        </w:rPr>
        <w:t> </w:t>
      </w:r>
    </w:p>
    <w:p w14:paraId="2D5F1C1C">
      <w:pPr>
        <w:pStyle w:val="10"/>
        <w:spacing w:beforeAutospacing="0" w:afterAutospacing="0" w:line="0" w:lineRule="atLeast"/>
        <w:ind w:firstLine="480"/>
        <w:jc w:val="both"/>
        <w:rPr>
          <w:highlight w:val="none"/>
        </w:rPr>
      </w:pPr>
      <w:r>
        <w:rPr>
          <w:highlight w:val="none"/>
        </w:rPr>
        <w:t> </w:t>
      </w:r>
    </w:p>
    <w:p w14:paraId="2301786D">
      <w:pPr>
        <w:pStyle w:val="10"/>
        <w:spacing w:beforeAutospacing="0" w:afterAutospacing="0" w:line="0" w:lineRule="atLeast"/>
        <w:ind w:firstLine="480"/>
        <w:jc w:val="both"/>
        <w:rPr>
          <w:highlight w:val="none"/>
        </w:rPr>
      </w:pPr>
    </w:p>
    <w:p w14:paraId="6C2389A3">
      <w:pPr>
        <w:pStyle w:val="10"/>
        <w:spacing w:beforeAutospacing="0" w:afterAutospacing="0" w:line="0" w:lineRule="atLeast"/>
        <w:ind w:firstLine="480"/>
        <w:jc w:val="both"/>
        <w:rPr>
          <w:highlight w:val="none"/>
        </w:rPr>
      </w:pPr>
    </w:p>
    <w:p w14:paraId="51F7F7AF">
      <w:pPr>
        <w:pStyle w:val="10"/>
        <w:spacing w:beforeAutospacing="0" w:afterAutospacing="0" w:line="0" w:lineRule="atLeast"/>
        <w:ind w:firstLine="480"/>
        <w:jc w:val="both"/>
        <w:rPr>
          <w:highlight w:val="none"/>
        </w:rPr>
      </w:pPr>
    </w:p>
    <w:p w14:paraId="03935D06">
      <w:pPr>
        <w:pStyle w:val="10"/>
        <w:spacing w:beforeAutospacing="0" w:afterAutospacing="0" w:line="0" w:lineRule="atLeast"/>
        <w:ind w:firstLine="480"/>
        <w:jc w:val="both"/>
        <w:rPr>
          <w:highlight w:val="none"/>
        </w:rPr>
      </w:pPr>
    </w:p>
    <w:p w14:paraId="6F5377E5">
      <w:pPr>
        <w:pStyle w:val="10"/>
        <w:spacing w:beforeAutospacing="0" w:afterAutospacing="0" w:line="0" w:lineRule="atLeast"/>
        <w:ind w:firstLine="480"/>
        <w:jc w:val="both"/>
        <w:rPr>
          <w:highlight w:val="none"/>
        </w:rPr>
      </w:pPr>
    </w:p>
    <w:p w14:paraId="012B16A8">
      <w:pPr>
        <w:pStyle w:val="10"/>
        <w:spacing w:beforeAutospacing="0" w:afterAutospacing="0" w:line="0" w:lineRule="atLeast"/>
        <w:ind w:firstLine="480"/>
        <w:jc w:val="both"/>
        <w:rPr>
          <w:highlight w:val="none"/>
        </w:rPr>
      </w:pPr>
    </w:p>
    <w:p w14:paraId="7EE57A3A">
      <w:pPr>
        <w:pStyle w:val="10"/>
        <w:spacing w:beforeAutospacing="0" w:afterAutospacing="0" w:line="0" w:lineRule="atLeast"/>
        <w:ind w:firstLine="480"/>
        <w:jc w:val="both"/>
        <w:rPr>
          <w:highlight w:val="none"/>
        </w:rPr>
      </w:pPr>
    </w:p>
    <w:p w14:paraId="650D4A98">
      <w:pPr>
        <w:pStyle w:val="10"/>
        <w:spacing w:beforeAutospacing="0" w:afterAutospacing="0" w:line="0" w:lineRule="atLeast"/>
        <w:ind w:firstLine="480"/>
        <w:jc w:val="both"/>
        <w:rPr>
          <w:highlight w:val="none"/>
        </w:rPr>
      </w:pPr>
    </w:p>
    <w:p w14:paraId="236066DE">
      <w:pPr>
        <w:pStyle w:val="10"/>
        <w:spacing w:beforeAutospacing="0" w:afterAutospacing="0" w:line="0" w:lineRule="atLeast"/>
        <w:ind w:firstLine="480"/>
        <w:jc w:val="both"/>
        <w:rPr>
          <w:highlight w:val="none"/>
        </w:rPr>
      </w:pPr>
    </w:p>
    <w:p w14:paraId="0656202B">
      <w:pPr>
        <w:pStyle w:val="10"/>
        <w:spacing w:beforeAutospacing="0" w:afterAutospacing="0" w:line="0" w:lineRule="atLeast"/>
        <w:ind w:firstLine="480"/>
        <w:jc w:val="both"/>
        <w:rPr>
          <w:highlight w:val="none"/>
        </w:rPr>
      </w:pPr>
    </w:p>
    <w:p w14:paraId="6EFAD569">
      <w:pPr>
        <w:pStyle w:val="10"/>
        <w:spacing w:beforeAutospacing="0" w:afterAutospacing="0" w:line="0" w:lineRule="atLeast"/>
        <w:ind w:firstLine="480"/>
        <w:jc w:val="both"/>
        <w:rPr>
          <w:highlight w:val="none"/>
        </w:rPr>
      </w:pPr>
    </w:p>
    <w:p w14:paraId="51E7A4BC">
      <w:pPr>
        <w:pStyle w:val="10"/>
        <w:spacing w:beforeAutospacing="0" w:afterAutospacing="0" w:line="0" w:lineRule="atLeast"/>
        <w:ind w:firstLine="480"/>
        <w:jc w:val="both"/>
        <w:rPr>
          <w:highlight w:val="none"/>
        </w:rPr>
      </w:pPr>
    </w:p>
    <w:p w14:paraId="4F21745B">
      <w:pPr>
        <w:pStyle w:val="10"/>
        <w:spacing w:beforeAutospacing="0" w:afterAutospacing="0" w:line="0" w:lineRule="atLeast"/>
        <w:ind w:firstLine="480"/>
        <w:jc w:val="both"/>
        <w:rPr>
          <w:highlight w:val="none"/>
        </w:rPr>
      </w:pPr>
    </w:p>
    <w:p w14:paraId="044306C3">
      <w:pPr>
        <w:pStyle w:val="10"/>
        <w:spacing w:beforeAutospacing="0" w:afterAutospacing="0" w:line="0" w:lineRule="atLeast"/>
        <w:ind w:firstLine="480"/>
        <w:jc w:val="both"/>
        <w:rPr>
          <w:highlight w:val="none"/>
        </w:rPr>
      </w:pPr>
      <w:r>
        <w:rPr>
          <w:highlight w:val="none"/>
        </w:rPr>
        <w:t> </w:t>
      </w:r>
    </w:p>
    <w:p w14:paraId="63DDA539">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r>
    </w:p>
    <w:p w14:paraId="374F5D55">
      <w:pPr>
        <w:pStyle w:val="10"/>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71FFF976">
      <w:pPr>
        <w:pStyle w:val="10"/>
        <w:spacing w:beforeAutospacing="0" w:afterAutospacing="0" w:line="0" w:lineRule="atLeast"/>
        <w:ind w:firstLine="480"/>
        <w:jc w:val="both"/>
        <w:rPr>
          <w:highlight w:val="none"/>
        </w:rPr>
      </w:pPr>
      <w:r>
        <w:rPr>
          <w:highlight w:val="none"/>
        </w:rPr>
        <w:t> </w:t>
      </w:r>
    </w:p>
    <w:p w14:paraId="61468E47">
      <w:pPr>
        <w:pStyle w:val="10"/>
        <w:spacing w:beforeAutospacing="0" w:afterAutospacing="0"/>
        <w:jc w:val="both"/>
        <w:rPr>
          <w:rFonts w:eastAsia="黑体"/>
          <w:highlight w:val="none"/>
        </w:rPr>
      </w:pPr>
      <w:r>
        <w:rPr>
          <w:rFonts w:hint="eastAsia" w:ascii="黑体" w:hAnsi="宋体" w:eastAsia="黑体" w:cs="黑体"/>
          <w:i/>
          <w:color w:val="000000"/>
          <w:sz w:val="32"/>
          <w:szCs w:val="32"/>
          <w:highlight w:val="none"/>
          <w:u w:val="single"/>
        </w:rPr>
        <w:t>二、上一年度的财务状况报表</w:t>
      </w:r>
    </w:p>
    <w:p w14:paraId="2FF94E81">
      <w:pPr>
        <w:pStyle w:val="10"/>
        <w:spacing w:beforeAutospacing="0" w:afterAutospacing="0" w:line="0" w:lineRule="atLeast"/>
        <w:ind w:firstLine="480"/>
        <w:jc w:val="both"/>
        <w:rPr>
          <w:highlight w:val="none"/>
        </w:rPr>
      </w:pPr>
      <w:r>
        <w:rPr>
          <w:rFonts w:hint="eastAsia" w:ascii="宋体" w:hAnsi="宋体" w:eastAsia="宋体" w:cs="宋体"/>
          <w:color w:val="000000"/>
          <w:highlight w:val="none"/>
        </w:rPr>
        <w:t>投标人成立不满一年无需提供</w:t>
      </w:r>
    </w:p>
    <w:p w14:paraId="13CE4AFE">
      <w:pPr>
        <w:pStyle w:val="10"/>
        <w:spacing w:beforeAutospacing="0" w:afterAutospacing="0"/>
        <w:jc w:val="both"/>
        <w:rPr>
          <w:highlight w:val="none"/>
        </w:rPr>
      </w:pPr>
      <w:r>
        <w:rPr>
          <w:highlight w:val="none"/>
        </w:rPr>
        <w:t> </w:t>
      </w:r>
    </w:p>
    <w:p w14:paraId="3B215A68">
      <w:pPr>
        <w:pStyle w:val="10"/>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A3F2575">
      <w:pPr>
        <w:pStyle w:val="10"/>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158CE18">
      <w:pPr>
        <w:pStyle w:val="10"/>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C40D482">
      <w:pPr>
        <w:pStyle w:val="10"/>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0225B15">
      <w:pPr>
        <w:pStyle w:val="10"/>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6636CD36">
      <w:pPr>
        <w:pStyle w:val="10"/>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CC8D874">
      <w:pPr>
        <w:pStyle w:val="10"/>
        <w:spacing w:beforeAutospacing="0" w:afterAutospacing="0"/>
        <w:jc w:val="both"/>
        <w:rPr>
          <w:highlight w:val="none"/>
        </w:rPr>
      </w:pPr>
      <w:r>
        <w:rPr>
          <w:highlight w:val="none"/>
        </w:rPr>
        <w:t> </w:t>
      </w:r>
    </w:p>
    <w:p w14:paraId="7F3368D2">
      <w:pPr>
        <w:pStyle w:val="10"/>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7448B83F">
      <w:pPr>
        <w:pStyle w:val="10"/>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67A6C76F">
      <w:pPr>
        <w:pStyle w:val="10"/>
        <w:spacing w:beforeAutospacing="0" w:afterAutospacing="0" w:line="0" w:lineRule="atLeast"/>
        <w:ind w:firstLine="3092" w:firstLineChars="700"/>
        <w:jc w:val="both"/>
        <w:rPr>
          <w:highlight w:val="none"/>
        </w:rPr>
      </w:pPr>
      <w:r>
        <w:rPr>
          <w:rFonts w:hint="eastAsia" w:ascii="宋体" w:hAnsi="宋体" w:eastAsia="宋体" w:cs="宋体"/>
          <w:b/>
          <w:color w:val="000000"/>
          <w:sz w:val="44"/>
          <w:szCs w:val="44"/>
          <w:highlight w:val="none"/>
        </w:rPr>
        <w:t xml:space="preserve"> 声  明</w:t>
      </w:r>
    </w:p>
    <w:p w14:paraId="45A26DB1">
      <w:pPr>
        <w:pStyle w:val="10"/>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174D61F">
      <w:pPr>
        <w:pStyle w:val="10"/>
        <w:spacing w:beforeAutospacing="0" w:afterAutospacing="0"/>
        <w:jc w:val="both"/>
        <w:rPr>
          <w:highlight w:val="none"/>
        </w:rPr>
      </w:pPr>
      <w:r>
        <w:rPr>
          <w:highlight w:val="none"/>
        </w:rPr>
        <w:t> </w:t>
      </w:r>
    </w:p>
    <w:p w14:paraId="02A985DB">
      <w:pPr>
        <w:pStyle w:val="10"/>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64A7199A">
      <w:pPr>
        <w:pStyle w:val="10"/>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151D0F8F">
      <w:pPr>
        <w:pStyle w:val="10"/>
        <w:spacing w:beforeAutospacing="0" w:afterAutospacing="0"/>
        <w:jc w:val="center"/>
        <w:rPr>
          <w:rFonts w:ascii="黑体" w:hAnsi="宋体" w:eastAsia="黑体" w:cs="黑体"/>
          <w:i/>
          <w:color w:val="000000"/>
          <w:sz w:val="32"/>
          <w:szCs w:val="32"/>
          <w:highlight w:val="none"/>
          <w:u w:val="single"/>
        </w:rPr>
      </w:pPr>
      <w:bookmarkStart w:id="178" w:name="_Toc120614284"/>
    </w:p>
    <w:p w14:paraId="485E3873">
      <w:pPr>
        <w:pStyle w:val="10"/>
        <w:spacing w:beforeAutospacing="0" w:afterAutospacing="0"/>
        <w:jc w:val="center"/>
        <w:rPr>
          <w:rFonts w:ascii="黑体" w:hAnsi="宋体" w:eastAsia="黑体" w:cs="黑体"/>
          <w:i/>
          <w:color w:val="000000"/>
          <w:sz w:val="32"/>
          <w:szCs w:val="32"/>
          <w:highlight w:val="none"/>
          <w:u w:val="single"/>
        </w:rPr>
      </w:pPr>
    </w:p>
    <w:p w14:paraId="2955E12A">
      <w:pPr>
        <w:pStyle w:val="10"/>
        <w:spacing w:beforeAutospacing="0" w:afterAutospacing="0"/>
        <w:jc w:val="center"/>
        <w:rPr>
          <w:rFonts w:ascii="黑体" w:hAnsi="宋体" w:eastAsia="黑体" w:cs="黑体"/>
          <w:i/>
          <w:color w:val="000000"/>
          <w:sz w:val="32"/>
          <w:szCs w:val="32"/>
          <w:highlight w:val="none"/>
          <w:u w:val="single"/>
        </w:rPr>
      </w:pPr>
    </w:p>
    <w:p w14:paraId="64EBB4D3">
      <w:pPr>
        <w:pStyle w:val="10"/>
        <w:spacing w:beforeAutospacing="0" w:afterAutospacing="0"/>
        <w:jc w:val="center"/>
        <w:rPr>
          <w:rFonts w:ascii="黑体" w:hAnsi="宋体" w:eastAsia="黑体" w:cs="黑体"/>
          <w:i/>
          <w:color w:val="000000"/>
          <w:sz w:val="32"/>
          <w:szCs w:val="32"/>
          <w:highlight w:val="none"/>
          <w:u w:val="single"/>
        </w:rPr>
      </w:pPr>
    </w:p>
    <w:p w14:paraId="1CEC30E9">
      <w:pPr>
        <w:pStyle w:val="10"/>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54D35F1F">
      <w:pPr>
        <w:pStyle w:val="10"/>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09221004">
      <w:pPr>
        <w:pStyle w:val="10"/>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684AF516">
      <w:pPr>
        <w:pStyle w:val="10"/>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15C3BC56">
      <w:pPr>
        <w:pStyle w:val="10"/>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5EAA9380">
      <w:pPr>
        <w:pStyle w:val="10"/>
        <w:tabs>
          <w:tab w:val="left" w:pos="360"/>
        </w:tabs>
        <w:spacing w:beforeAutospacing="0" w:afterAutospacing="0"/>
        <w:ind w:firstLine="1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08F15E9">
      <w:pPr>
        <w:pStyle w:val="10"/>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1ABE4D75">
      <w:pPr>
        <w:pStyle w:val="10"/>
        <w:tabs>
          <w:tab w:val="left" w:pos="360"/>
        </w:tabs>
        <w:spacing w:beforeAutospacing="0" w:afterAutospacing="0"/>
        <w:ind w:firstLine="480"/>
        <w:jc w:val="both"/>
        <w:rPr>
          <w:highlight w:val="none"/>
        </w:rPr>
      </w:pPr>
      <w:r>
        <w:rPr>
          <w:rFonts w:ascii="Times New Roman" w:hAnsi="Times New Roman"/>
          <w:color w:val="000000"/>
          <w:highlight w:val="none"/>
        </w:rPr>
        <w:t>      日期：</w:t>
      </w:r>
      <w:bookmarkStart w:id="179" w:name="_格式3__银行出具的资信证明"/>
      <w:bookmarkStart w:id="180" w:name="_Hlt26671380"/>
      <w:bookmarkStart w:id="181" w:name="_Hlt26955070"/>
      <w:r>
        <w:rPr>
          <w:rFonts w:ascii="Times New Roman" w:hAnsi="Times New Roman"/>
          <w:color w:val="000000"/>
          <w:highlight w:val="none"/>
          <w:u w:val="single"/>
        </w:rPr>
        <w:t xml:space="preserve">                                         </w:t>
      </w:r>
    </w:p>
    <w:p w14:paraId="22BC2E0E">
      <w:pPr>
        <w:pStyle w:val="10"/>
        <w:spacing w:beforeAutospacing="0" w:afterAutospacing="0"/>
        <w:ind w:firstLine="420"/>
        <w:jc w:val="both"/>
        <w:rPr>
          <w:highlight w:val="none"/>
        </w:rPr>
      </w:pPr>
      <w:r>
        <w:rPr>
          <w:highlight w:val="none"/>
        </w:rPr>
        <w:t> </w:t>
      </w:r>
    </w:p>
    <w:p w14:paraId="12042EB6">
      <w:pPr>
        <w:pStyle w:val="10"/>
        <w:spacing w:beforeAutospacing="0" w:afterAutospacing="0"/>
        <w:jc w:val="both"/>
        <w:rPr>
          <w:highlight w:val="none"/>
        </w:rPr>
      </w:pPr>
      <w:r>
        <w:rPr>
          <w:highlight w:val="none"/>
        </w:rPr>
        <w:t> </w:t>
      </w:r>
    </w:p>
    <w:p w14:paraId="65AE7B26">
      <w:pPr>
        <w:pStyle w:val="10"/>
        <w:spacing w:beforeAutospacing="0" w:afterAutospacing="0" w:line="0" w:lineRule="atLeast"/>
        <w:jc w:val="both"/>
        <w:rPr>
          <w:highlight w:val="none"/>
          <w:shd w:val="clear" w:color="auto" w:fill="auto"/>
        </w:rPr>
      </w:pPr>
      <w:r>
        <w:rPr>
          <w:highlight w:val="none"/>
          <w:shd w:val="clear" w:color="auto" w:fill="auto"/>
        </w:rPr>
        <w:t> </w:t>
      </w:r>
    </w:p>
    <w:p w14:paraId="47584817">
      <w:pPr>
        <w:rPr>
          <w:rFonts w:hint="eastAsia" w:ascii="宋体" w:hAnsi="宋体" w:eastAsia="宋体" w:cs="宋体"/>
          <w:b/>
          <w:color w:val="000000"/>
          <w:highlight w:val="none"/>
        </w:rPr>
      </w:pPr>
      <w:r>
        <w:rPr>
          <w:rFonts w:hint="eastAsia" w:ascii="宋体" w:hAnsi="宋体" w:eastAsia="宋体" w:cs="宋体"/>
          <w:b/>
          <w:color w:val="000000"/>
          <w:highlight w:val="none"/>
        </w:rPr>
        <w:br w:type="page"/>
      </w:r>
    </w:p>
    <w:p w14:paraId="42465921">
      <w:pPr>
        <w:pStyle w:val="10"/>
        <w:keepNext/>
        <w:keepLines/>
        <w:spacing w:before="260" w:beforeAutospacing="0" w:after="260" w:afterAutospacing="0" w:line="415" w:lineRule="auto"/>
        <w:ind w:firstLine="3390"/>
        <w:jc w:val="both"/>
        <w:rPr>
          <w:highlight w:val="none"/>
        </w:rPr>
      </w:pPr>
      <w:r>
        <w:rPr>
          <w:rFonts w:hint="eastAsia" w:ascii="宋体" w:hAnsi="宋体" w:eastAsia="宋体" w:cs="宋体"/>
          <w:b/>
          <w:color w:val="000000"/>
          <w:highlight w:val="none"/>
        </w:rPr>
        <w:t> </w:t>
      </w:r>
      <w:r>
        <w:rPr>
          <w:rFonts w:hint="eastAsia" w:ascii="黑体" w:hAnsi="宋体" w:eastAsia="黑体" w:cs="黑体"/>
          <w:b/>
          <w:i/>
          <w:color w:val="000000"/>
          <w:sz w:val="32"/>
          <w:szCs w:val="32"/>
          <w:highlight w:val="none"/>
          <w:u w:val="single"/>
        </w:rPr>
        <w:t>八、投标函</w:t>
      </w:r>
    </w:p>
    <w:p w14:paraId="11974A0B">
      <w:pPr>
        <w:pStyle w:val="10"/>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lang w:eastAsia="zh-CN"/>
        </w:rPr>
        <w:t>东台市唐洋镇人民政府</w:t>
      </w:r>
    </w:p>
    <w:p w14:paraId="4AE4A4D9">
      <w:pPr>
        <w:pStyle w:val="10"/>
        <w:spacing w:beforeAutospacing="0" w:afterAutospacing="0" w:line="0" w:lineRule="atLeast"/>
        <w:ind w:firstLine="480"/>
        <w:rPr>
          <w:highlight w:val="none"/>
        </w:rPr>
      </w:pPr>
      <w:r>
        <w:rPr>
          <w:rFonts w:hint="eastAsia" w:ascii="宋体" w:hAnsi="宋体" w:eastAsia="宋体" w:cs="宋体"/>
          <w:color w:val="000000"/>
          <w:highlight w:val="none"/>
        </w:rPr>
        <w:t>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号招标文件，正式授权下述签字人_________________(姓名)代表我方______________（投标人的名称），全权处理本次项目投标的有关事宜。</w:t>
      </w:r>
    </w:p>
    <w:p w14:paraId="63143E90">
      <w:pPr>
        <w:pStyle w:val="10"/>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208D0767">
      <w:pPr>
        <w:pStyle w:val="10"/>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1.按招标文件规定的各项要求，向买方提供所需货物（包含与货物相关的服务）。</w:t>
      </w:r>
    </w:p>
    <w:p w14:paraId="6AE3C05B">
      <w:pPr>
        <w:pStyle w:val="10"/>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674E47C7">
      <w:pPr>
        <w:pStyle w:val="10"/>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283A4DCD">
      <w:pPr>
        <w:pStyle w:val="10"/>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6D012F91">
      <w:pPr>
        <w:pStyle w:val="10"/>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E55D021">
      <w:pPr>
        <w:pStyle w:val="10"/>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70E91395">
      <w:pPr>
        <w:pStyle w:val="10"/>
        <w:spacing w:beforeAutospacing="0" w:afterAutospacing="0" w:line="0" w:lineRule="atLeast"/>
        <w:ind w:left="425"/>
        <w:rPr>
          <w:highlight w:val="none"/>
        </w:rPr>
      </w:pPr>
      <w:r>
        <w:rPr>
          <w:rFonts w:hint="eastAsia" w:ascii="宋体" w:hAnsi="宋体" w:eastAsia="宋体" w:cs="宋体"/>
          <w:color w:val="000000"/>
          <w:highlight w:val="none"/>
        </w:rPr>
        <w:t>7.与本投标有关的正式通讯地址为：</w:t>
      </w:r>
    </w:p>
    <w:p w14:paraId="3EF35FFD">
      <w:pPr>
        <w:pStyle w:val="10"/>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0ABCF285">
      <w:pPr>
        <w:pStyle w:val="10"/>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321F11A4">
      <w:pPr>
        <w:pStyle w:val="10"/>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11BBD12B">
      <w:pPr>
        <w:pStyle w:val="10"/>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7530FB6D">
      <w:pPr>
        <w:pStyle w:val="10"/>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45C5F35C">
      <w:pPr>
        <w:pStyle w:val="10"/>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359939A7">
      <w:pPr>
        <w:pStyle w:val="10"/>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242118EF">
      <w:pPr>
        <w:pStyle w:val="10"/>
        <w:spacing w:beforeAutospacing="0" w:afterAutospacing="0" w:line="0" w:lineRule="atLeast"/>
        <w:ind w:firstLine="240"/>
        <w:jc w:val="center"/>
        <w:rPr>
          <w:highlight w:val="none"/>
        </w:rPr>
      </w:pPr>
      <w:r>
        <w:rPr>
          <w:highlight w:val="none"/>
        </w:rPr>
        <w:t> </w:t>
      </w:r>
    </w:p>
    <w:p w14:paraId="5FF63AF8">
      <w:pPr>
        <w:pStyle w:val="10"/>
        <w:spacing w:beforeAutospacing="0" w:afterAutospacing="0" w:line="0" w:lineRule="atLeast"/>
        <w:ind w:firstLine="240"/>
        <w:jc w:val="center"/>
        <w:rPr>
          <w:highlight w:val="none"/>
        </w:rPr>
      </w:pPr>
      <w:r>
        <w:rPr>
          <w:highlight w:val="none"/>
        </w:rPr>
        <w:t> </w:t>
      </w:r>
    </w:p>
    <w:p w14:paraId="09AF5CA3">
      <w:pPr>
        <w:pStyle w:val="10"/>
        <w:spacing w:beforeAutospacing="0" w:afterAutospacing="0" w:line="0" w:lineRule="atLeast"/>
        <w:ind w:firstLine="240"/>
        <w:jc w:val="center"/>
        <w:rPr>
          <w:highlight w:val="none"/>
        </w:rPr>
      </w:pPr>
      <w:r>
        <w:rPr>
          <w:highlight w:val="none"/>
        </w:rPr>
        <w:t> </w:t>
      </w:r>
    </w:p>
    <w:p w14:paraId="212BE2DE">
      <w:pPr>
        <w:pStyle w:val="10"/>
        <w:spacing w:beforeAutospacing="0" w:afterAutospacing="0" w:line="0" w:lineRule="atLeast"/>
        <w:ind w:firstLine="240"/>
        <w:jc w:val="center"/>
        <w:rPr>
          <w:highlight w:val="none"/>
        </w:rPr>
      </w:pPr>
      <w:r>
        <w:rPr>
          <w:highlight w:val="none"/>
        </w:rPr>
        <w:t> </w:t>
      </w:r>
    </w:p>
    <w:p w14:paraId="5F43314E">
      <w:pPr>
        <w:pStyle w:val="10"/>
        <w:spacing w:beforeAutospacing="0" w:afterAutospacing="0" w:line="0" w:lineRule="atLeast"/>
        <w:ind w:firstLine="240"/>
        <w:jc w:val="center"/>
        <w:rPr>
          <w:highlight w:val="none"/>
        </w:rPr>
      </w:pPr>
    </w:p>
    <w:p w14:paraId="62026C5B">
      <w:pPr>
        <w:pStyle w:val="10"/>
        <w:spacing w:beforeAutospacing="0" w:afterAutospacing="0" w:line="0" w:lineRule="atLeast"/>
        <w:ind w:firstLine="240"/>
        <w:jc w:val="center"/>
        <w:rPr>
          <w:highlight w:val="none"/>
        </w:rPr>
      </w:pPr>
    </w:p>
    <w:p w14:paraId="3AAF460A">
      <w:pPr>
        <w:pStyle w:val="10"/>
        <w:spacing w:beforeAutospacing="0" w:afterAutospacing="0" w:line="0" w:lineRule="atLeast"/>
        <w:ind w:firstLine="240"/>
        <w:jc w:val="center"/>
        <w:rPr>
          <w:highlight w:val="none"/>
        </w:rPr>
      </w:pPr>
    </w:p>
    <w:p w14:paraId="3CB4837C">
      <w:pPr>
        <w:pStyle w:val="10"/>
        <w:spacing w:beforeAutospacing="0" w:afterAutospacing="0" w:line="0" w:lineRule="atLeast"/>
        <w:ind w:firstLine="240"/>
        <w:jc w:val="center"/>
        <w:rPr>
          <w:highlight w:val="none"/>
        </w:rPr>
      </w:pPr>
    </w:p>
    <w:p w14:paraId="015F5116">
      <w:pPr>
        <w:pStyle w:val="10"/>
        <w:spacing w:beforeAutospacing="0" w:afterAutospacing="0" w:line="0" w:lineRule="atLeast"/>
        <w:ind w:firstLine="240"/>
        <w:jc w:val="center"/>
        <w:rPr>
          <w:highlight w:val="none"/>
        </w:rPr>
      </w:pPr>
    </w:p>
    <w:p w14:paraId="62F8D512">
      <w:pPr>
        <w:pStyle w:val="10"/>
        <w:spacing w:beforeAutospacing="0" w:afterAutospacing="0" w:line="0" w:lineRule="atLeast"/>
        <w:ind w:firstLine="240"/>
        <w:jc w:val="center"/>
        <w:rPr>
          <w:highlight w:val="none"/>
        </w:rPr>
      </w:pPr>
    </w:p>
    <w:p w14:paraId="17003511">
      <w:pPr>
        <w:pStyle w:val="10"/>
        <w:spacing w:beforeAutospacing="0" w:afterAutospacing="0" w:line="0" w:lineRule="atLeast"/>
        <w:ind w:firstLine="240"/>
        <w:jc w:val="center"/>
        <w:rPr>
          <w:highlight w:val="none"/>
        </w:rPr>
      </w:pPr>
    </w:p>
    <w:p w14:paraId="5412F31A">
      <w:pPr>
        <w:pStyle w:val="10"/>
        <w:spacing w:beforeAutospacing="0" w:afterAutospacing="0" w:line="0" w:lineRule="atLeast"/>
        <w:ind w:firstLine="240"/>
        <w:jc w:val="center"/>
        <w:rPr>
          <w:highlight w:val="none"/>
        </w:rPr>
      </w:pPr>
    </w:p>
    <w:p w14:paraId="1F7E3D04">
      <w:pPr>
        <w:pStyle w:val="10"/>
        <w:spacing w:beforeAutospacing="0" w:afterAutospacing="0" w:line="0" w:lineRule="atLeast"/>
        <w:ind w:firstLine="240"/>
        <w:jc w:val="center"/>
        <w:rPr>
          <w:highlight w:val="none"/>
        </w:rPr>
      </w:pPr>
    </w:p>
    <w:p w14:paraId="340FED64">
      <w:pPr>
        <w:pStyle w:val="10"/>
        <w:spacing w:beforeAutospacing="0" w:afterAutospacing="0" w:line="0" w:lineRule="atLeast"/>
        <w:ind w:firstLine="240"/>
        <w:jc w:val="center"/>
        <w:rPr>
          <w:highlight w:val="none"/>
        </w:rPr>
      </w:pPr>
    </w:p>
    <w:p w14:paraId="4EB3A777">
      <w:pPr>
        <w:pStyle w:val="10"/>
        <w:spacing w:beforeAutospacing="0" w:afterAutospacing="0" w:line="0" w:lineRule="atLeast"/>
        <w:ind w:firstLine="240"/>
        <w:jc w:val="center"/>
        <w:rPr>
          <w:highlight w:val="none"/>
        </w:rPr>
      </w:pPr>
    </w:p>
    <w:p w14:paraId="509B8982">
      <w:pPr>
        <w:pStyle w:val="10"/>
        <w:spacing w:beforeAutospacing="0" w:afterAutospacing="0" w:line="0" w:lineRule="atLeast"/>
        <w:ind w:firstLine="240"/>
        <w:jc w:val="center"/>
        <w:rPr>
          <w:highlight w:val="none"/>
        </w:rPr>
      </w:pPr>
    </w:p>
    <w:p w14:paraId="69D6B82F">
      <w:pPr>
        <w:pStyle w:val="10"/>
        <w:spacing w:beforeAutospacing="0" w:afterAutospacing="0" w:line="0" w:lineRule="atLeast"/>
        <w:ind w:firstLine="240"/>
        <w:jc w:val="center"/>
        <w:rPr>
          <w:highlight w:val="none"/>
        </w:rPr>
      </w:pPr>
      <w:r>
        <w:rPr>
          <w:highlight w:val="none"/>
        </w:rPr>
        <w:t> </w:t>
      </w:r>
    </w:p>
    <w:p w14:paraId="69A8359F">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76E9D5C9">
      <w:pPr>
        <w:pStyle w:val="1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2"/>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0"/>
        <w:spacing w:beforeAutospacing="0" w:afterAutospacing="0" w:line="0" w:lineRule="atLeast"/>
        <w:ind w:right="720"/>
        <w:jc w:val="both"/>
        <w:rPr>
          <w:color w:val="auto"/>
          <w:highlight w:val="none"/>
        </w:rPr>
      </w:pPr>
      <w:r>
        <w:rPr>
          <w:color w:val="auto"/>
          <w:highlight w:val="none"/>
        </w:rPr>
        <w:t> </w:t>
      </w:r>
    </w:p>
    <w:p w14:paraId="6CD49601">
      <w:pPr>
        <w:pStyle w:val="10"/>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0"/>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0"/>
        <w:spacing w:beforeAutospacing="0" w:afterAutospacing="0" w:line="0" w:lineRule="atLeast"/>
        <w:ind w:firstLine="240"/>
        <w:jc w:val="both"/>
        <w:rPr>
          <w:color w:val="auto"/>
          <w:highlight w:val="none"/>
        </w:rPr>
      </w:pPr>
      <w:r>
        <w:rPr>
          <w:color w:val="auto"/>
          <w:highlight w:val="none"/>
        </w:rPr>
        <w:t> </w:t>
      </w:r>
    </w:p>
    <w:p w14:paraId="5FD8B9FE">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46289143">
      <w:pPr>
        <w:pStyle w:val="10"/>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w:t>
      </w:r>
    </w:p>
    <w:p w14:paraId="7B41EFB3">
      <w:pPr>
        <w:pStyle w:val="10"/>
        <w:keepNext w:val="0"/>
        <w:keepLines w:val="0"/>
        <w:pageBreakBefore w:val="0"/>
        <w:widowControl w:val="0"/>
        <w:kinsoku/>
        <w:wordWrap w:val="0"/>
        <w:overflowPunct/>
        <w:topLinePunct w:val="0"/>
        <w:autoSpaceDE/>
        <w:autoSpaceDN/>
        <w:bidi w:val="0"/>
        <w:adjustRightInd/>
        <w:snapToGrid/>
        <w:spacing w:beforeAutospacing="0" w:afterAutospacing="0" w:line="0" w:lineRule="atLeast"/>
        <w:ind w:firstLine="482"/>
        <w:jc w:val="both"/>
        <w:textAlignment w:val="auto"/>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采购活动提供本单位制造的货物，或者提供其他残疾人福利性单位制造的货物（不包括使用非残疾人福利性单位注册商标的货物）。</w:t>
      </w:r>
    </w:p>
    <w:p w14:paraId="513C51D7">
      <w:pPr>
        <w:pStyle w:val="10"/>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3C91D281">
      <w:pPr>
        <w:pStyle w:val="10"/>
        <w:spacing w:beforeAutospacing="0" w:afterAutospacing="0" w:line="0" w:lineRule="atLeast"/>
        <w:ind w:firstLine="480"/>
        <w:jc w:val="both"/>
        <w:rPr>
          <w:highlight w:val="none"/>
        </w:rPr>
      </w:pPr>
      <w:r>
        <w:rPr>
          <w:highlight w:val="none"/>
        </w:rPr>
        <w:t> </w:t>
      </w:r>
    </w:p>
    <w:p w14:paraId="3C2317A8">
      <w:pPr>
        <w:pStyle w:val="10"/>
        <w:spacing w:beforeAutospacing="0" w:afterAutospacing="0" w:line="0" w:lineRule="atLeast"/>
        <w:ind w:firstLine="480"/>
        <w:jc w:val="both"/>
        <w:rPr>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。2、中标供应商为残疾人福利单位的，此声明函将随中标结果同时公告，接受社会监督</w:t>
      </w:r>
    </w:p>
    <w:p w14:paraId="6AEABBF0">
      <w:pPr>
        <w:pStyle w:val="10"/>
        <w:spacing w:beforeAutospacing="0" w:afterAutospacing="0" w:line="0" w:lineRule="atLeast"/>
        <w:ind w:firstLine="624"/>
        <w:jc w:val="both"/>
        <w:rPr>
          <w:highlight w:val="none"/>
        </w:rPr>
      </w:pPr>
      <w:r>
        <w:rPr>
          <w:highlight w:val="none"/>
        </w:rPr>
        <w:t> </w:t>
      </w:r>
    </w:p>
    <w:p w14:paraId="626039F8">
      <w:pPr>
        <w:pStyle w:val="10"/>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4F09B48A">
      <w:pPr>
        <w:pStyle w:val="10"/>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6095EC64">
      <w:pPr>
        <w:pStyle w:val="10"/>
        <w:spacing w:beforeAutospacing="0" w:afterAutospacing="0" w:line="0" w:lineRule="atLeast"/>
        <w:jc w:val="center"/>
        <w:rPr>
          <w:highlight w:val="none"/>
        </w:rPr>
      </w:pPr>
      <w:r>
        <w:rPr>
          <w:highlight w:val="none"/>
        </w:rPr>
        <w:t> </w:t>
      </w:r>
    </w:p>
    <w:p w14:paraId="67480088">
      <w:pPr>
        <w:pStyle w:val="10"/>
        <w:spacing w:beforeAutospacing="0" w:afterAutospacing="0" w:line="0" w:lineRule="atLeast"/>
        <w:jc w:val="center"/>
        <w:rPr>
          <w:highlight w:val="none"/>
        </w:rPr>
      </w:pPr>
      <w:r>
        <w:rPr>
          <w:highlight w:val="none"/>
        </w:rPr>
        <w:t> </w:t>
      </w:r>
    </w:p>
    <w:p w14:paraId="16D7708B">
      <w:pPr>
        <w:pStyle w:val="10"/>
        <w:spacing w:beforeAutospacing="0" w:afterAutospacing="0" w:line="0" w:lineRule="atLeast"/>
        <w:jc w:val="center"/>
        <w:rPr>
          <w:highlight w:val="none"/>
        </w:rPr>
      </w:pPr>
      <w:r>
        <w:rPr>
          <w:highlight w:val="none"/>
        </w:rPr>
        <w:t> </w:t>
      </w:r>
    </w:p>
    <w:p w14:paraId="37A39D5D">
      <w:pPr>
        <w:pStyle w:val="10"/>
        <w:spacing w:beforeAutospacing="0" w:afterAutospacing="0" w:line="0" w:lineRule="atLeast"/>
        <w:jc w:val="center"/>
        <w:rPr>
          <w:highlight w:val="none"/>
        </w:rPr>
      </w:pPr>
      <w:r>
        <w:rPr>
          <w:highlight w:val="none"/>
        </w:rPr>
        <w:t> </w:t>
      </w:r>
    </w:p>
    <w:p w14:paraId="4BC37A6F">
      <w:pPr>
        <w:pStyle w:val="10"/>
        <w:spacing w:beforeAutospacing="0" w:afterAutospacing="0" w:line="0" w:lineRule="atLeast"/>
        <w:jc w:val="center"/>
        <w:rPr>
          <w:highlight w:val="none"/>
        </w:rPr>
      </w:pPr>
      <w:r>
        <w:rPr>
          <w:highlight w:val="none"/>
        </w:rPr>
        <w:t> </w:t>
      </w:r>
    </w:p>
    <w:p w14:paraId="5CC4CBFF">
      <w:pPr>
        <w:pStyle w:val="10"/>
        <w:spacing w:beforeAutospacing="0" w:afterAutospacing="0" w:line="0" w:lineRule="atLeast"/>
        <w:jc w:val="center"/>
        <w:rPr>
          <w:highlight w:val="none"/>
        </w:rPr>
      </w:pPr>
      <w:r>
        <w:rPr>
          <w:highlight w:val="none"/>
        </w:rPr>
        <w:t> </w:t>
      </w:r>
    </w:p>
    <w:p w14:paraId="7599688C">
      <w:pPr>
        <w:pStyle w:val="10"/>
        <w:spacing w:beforeAutospacing="0" w:afterAutospacing="0" w:line="0" w:lineRule="atLeast"/>
        <w:jc w:val="center"/>
        <w:rPr>
          <w:highlight w:val="none"/>
        </w:rPr>
      </w:pPr>
      <w:r>
        <w:rPr>
          <w:highlight w:val="none"/>
        </w:rPr>
        <w:t> </w:t>
      </w:r>
    </w:p>
    <w:p w14:paraId="4C81E594">
      <w:pPr>
        <w:pStyle w:val="10"/>
        <w:spacing w:beforeAutospacing="0" w:afterAutospacing="0" w:line="0" w:lineRule="atLeast"/>
        <w:jc w:val="center"/>
        <w:rPr>
          <w:highlight w:val="none"/>
        </w:rPr>
      </w:pPr>
      <w:r>
        <w:rPr>
          <w:highlight w:val="none"/>
        </w:rPr>
        <w:t> </w:t>
      </w:r>
    </w:p>
    <w:p w14:paraId="59FA9411">
      <w:pPr>
        <w:pStyle w:val="10"/>
        <w:spacing w:beforeAutospacing="0" w:afterAutospacing="0" w:line="0" w:lineRule="atLeast"/>
        <w:jc w:val="center"/>
        <w:rPr>
          <w:highlight w:val="none"/>
        </w:rPr>
      </w:pPr>
      <w:r>
        <w:rPr>
          <w:highlight w:val="none"/>
        </w:rPr>
        <w:t> </w:t>
      </w:r>
    </w:p>
    <w:p w14:paraId="24879B48">
      <w:pPr>
        <w:pStyle w:val="10"/>
        <w:spacing w:beforeAutospacing="0" w:afterAutospacing="0" w:line="0" w:lineRule="atLeast"/>
        <w:jc w:val="center"/>
        <w:rPr>
          <w:highlight w:val="none"/>
        </w:rPr>
      </w:pPr>
    </w:p>
    <w:p w14:paraId="18A83768">
      <w:pPr>
        <w:pStyle w:val="10"/>
        <w:spacing w:beforeAutospacing="0" w:afterAutospacing="0" w:line="0" w:lineRule="atLeast"/>
        <w:jc w:val="center"/>
        <w:rPr>
          <w:highlight w:val="none"/>
        </w:rPr>
      </w:pPr>
    </w:p>
    <w:p w14:paraId="3FB74B8A">
      <w:pPr>
        <w:pStyle w:val="10"/>
        <w:spacing w:beforeAutospacing="0" w:afterAutospacing="0" w:line="0" w:lineRule="atLeast"/>
        <w:jc w:val="center"/>
        <w:rPr>
          <w:highlight w:val="none"/>
        </w:rPr>
      </w:pPr>
    </w:p>
    <w:p w14:paraId="3D16B2B5">
      <w:pPr>
        <w:pStyle w:val="10"/>
        <w:spacing w:beforeAutospacing="0" w:afterAutospacing="0" w:line="0" w:lineRule="atLeast"/>
        <w:jc w:val="center"/>
        <w:rPr>
          <w:highlight w:val="none"/>
        </w:rPr>
      </w:pPr>
    </w:p>
    <w:p w14:paraId="7F04C1B5">
      <w:pPr>
        <w:pStyle w:val="10"/>
        <w:spacing w:beforeAutospacing="0" w:afterAutospacing="0" w:line="0" w:lineRule="atLeast"/>
        <w:jc w:val="center"/>
        <w:rPr>
          <w:highlight w:val="none"/>
        </w:rPr>
      </w:pPr>
    </w:p>
    <w:p w14:paraId="1686469F">
      <w:pPr>
        <w:pStyle w:val="10"/>
        <w:spacing w:beforeAutospacing="0" w:afterAutospacing="0" w:line="0" w:lineRule="atLeast"/>
        <w:jc w:val="center"/>
        <w:rPr>
          <w:highlight w:val="none"/>
        </w:rPr>
      </w:pPr>
    </w:p>
    <w:p w14:paraId="7FBDBFF4">
      <w:pPr>
        <w:pStyle w:val="10"/>
        <w:spacing w:beforeAutospacing="0" w:afterAutospacing="0" w:line="0" w:lineRule="atLeast"/>
        <w:jc w:val="center"/>
        <w:rPr>
          <w:highlight w:val="none"/>
        </w:rPr>
      </w:pPr>
    </w:p>
    <w:p w14:paraId="7A648D0F">
      <w:pPr>
        <w:pStyle w:val="10"/>
        <w:spacing w:beforeAutospacing="0" w:afterAutospacing="0" w:line="0" w:lineRule="atLeast"/>
        <w:jc w:val="center"/>
        <w:rPr>
          <w:highlight w:val="none"/>
        </w:rPr>
      </w:pPr>
    </w:p>
    <w:p w14:paraId="6E9DCFEF">
      <w:pPr>
        <w:pStyle w:val="10"/>
        <w:spacing w:beforeAutospacing="0" w:afterAutospacing="0" w:line="0" w:lineRule="atLeast"/>
        <w:jc w:val="center"/>
        <w:rPr>
          <w:highlight w:val="none"/>
        </w:rPr>
      </w:pPr>
    </w:p>
    <w:p w14:paraId="36193849">
      <w:pPr>
        <w:pStyle w:val="10"/>
        <w:spacing w:beforeAutospacing="0" w:afterAutospacing="0" w:line="0" w:lineRule="atLeast"/>
        <w:jc w:val="center"/>
        <w:rPr>
          <w:highlight w:val="none"/>
        </w:rPr>
      </w:pPr>
    </w:p>
    <w:p w14:paraId="46C71334">
      <w:pPr>
        <w:pStyle w:val="10"/>
        <w:spacing w:beforeAutospacing="0" w:afterAutospacing="0" w:line="0" w:lineRule="atLeast"/>
        <w:jc w:val="center"/>
        <w:rPr>
          <w:highlight w:val="none"/>
        </w:rPr>
      </w:pPr>
    </w:p>
    <w:p w14:paraId="1AE4014D">
      <w:pPr>
        <w:pStyle w:val="10"/>
        <w:spacing w:beforeAutospacing="0" w:afterAutospacing="0" w:line="0" w:lineRule="atLeast"/>
        <w:jc w:val="center"/>
        <w:rPr>
          <w:highlight w:val="none"/>
        </w:rPr>
      </w:pPr>
    </w:p>
    <w:p w14:paraId="7F6874A2">
      <w:pPr>
        <w:pStyle w:val="10"/>
        <w:spacing w:beforeAutospacing="0" w:afterAutospacing="0" w:line="0" w:lineRule="atLeast"/>
        <w:jc w:val="center"/>
        <w:rPr>
          <w:highlight w:val="none"/>
        </w:rPr>
      </w:pPr>
    </w:p>
    <w:p w14:paraId="4267139D">
      <w:pPr>
        <w:pStyle w:val="10"/>
        <w:spacing w:beforeAutospacing="0" w:afterAutospacing="0" w:line="0" w:lineRule="atLeast"/>
        <w:jc w:val="center"/>
        <w:rPr>
          <w:highlight w:val="none"/>
        </w:rPr>
      </w:pPr>
    </w:p>
    <w:p w14:paraId="1ACDECBB">
      <w:pPr>
        <w:pStyle w:val="10"/>
        <w:spacing w:beforeAutospacing="0" w:afterAutospacing="0" w:line="0" w:lineRule="atLeast"/>
        <w:jc w:val="center"/>
        <w:rPr>
          <w:highlight w:val="none"/>
        </w:rPr>
      </w:pPr>
    </w:p>
    <w:p w14:paraId="1E92FB9F">
      <w:pPr>
        <w:pStyle w:val="10"/>
        <w:spacing w:beforeAutospacing="0" w:afterAutospacing="0" w:line="0" w:lineRule="atLeast"/>
        <w:jc w:val="center"/>
        <w:rPr>
          <w:highlight w:val="none"/>
        </w:rPr>
      </w:pPr>
    </w:p>
    <w:p w14:paraId="6E218534">
      <w:pPr>
        <w:pStyle w:val="10"/>
        <w:spacing w:beforeAutospacing="0" w:afterAutospacing="0" w:line="0" w:lineRule="atLeast"/>
        <w:jc w:val="center"/>
        <w:rPr>
          <w:highlight w:val="none"/>
        </w:rPr>
      </w:pPr>
    </w:p>
    <w:p w14:paraId="7EC1D134">
      <w:pPr>
        <w:pStyle w:val="10"/>
        <w:spacing w:beforeAutospacing="0" w:afterAutospacing="0" w:line="0" w:lineRule="atLeast"/>
        <w:jc w:val="center"/>
        <w:rPr>
          <w:highlight w:val="none"/>
        </w:rPr>
      </w:pPr>
    </w:p>
    <w:p w14:paraId="648B5389">
      <w:pPr>
        <w:pStyle w:val="10"/>
        <w:spacing w:beforeAutospacing="0" w:afterAutospacing="0" w:line="0" w:lineRule="atLeast"/>
        <w:jc w:val="center"/>
        <w:rPr>
          <w:highlight w:val="none"/>
        </w:rPr>
      </w:pPr>
    </w:p>
    <w:p w14:paraId="5002E696">
      <w:pPr>
        <w:pStyle w:val="10"/>
        <w:spacing w:beforeAutospacing="0" w:afterAutospacing="0" w:line="0" w:lineRule="atLeast"/>
        <w:jc w:val="center"/>
        <w:rPr>
          <w:highlight w:val="none"/>
        </w:rPr>
      </w:pPr>
      <w:r>
        <w:rPr>
          <w:highlight w:val="none"/>
        </w:rPr>
        <w:t> </w:t>
      </w:r>
    </w:p>
    <w:p w14:paraId="76D8AB59">
      <w:pPr>
        <w:pStyle w:val="10"/>
        <w:spacing w:beforeAutospacing="0" w:afterAutospacing="0" w:line="0" w:lineRule="atLeast"/>
        <w:jc w:val="center"/>
        <w:rPr>
          <w:highlight w:val="none"/>
        </w:rPr>
      </w:pPr>
      <w:r>
        <w:rPr>
          <w:highlight w:val="none"/>
        </w:rPr>
        <w:t> </w:t>
      </w:r>
    </w:p>
    <w:p w14:paraId="1B4A38D5">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r>
    </w:p>
    <w:p w14:paraId="58D06506">
      <w:pPr>
        <w:pStyle w:val="10"/>
        <w:spacing w:beforeAutospacing="0" w:afterAutospacing="0"/>
        <w:jc w:val="center"/>
        <w:rPr>
          <w:highlight w:val="none"/>
          <w:shd w:val="clear" w:color="auto" w:fill="auto"/>
        </w:rPr>
      </w:pPr>
      <w:r>
        <w:rPr>
          <w:rFonts w:hint="eastAsia" w:ascii="黑体" w:hAnsi="宋体" w:eastAsia="黑体" w:cs="黑体"/>
          <w:b/>
          <w:color w:val="000000"/>
          <w:sz w:val="32"/>
          <w:szCs w:val="32"/>
          <w:highlight w:val="none"/>
        </w:rPr>
        <w:t>十一、</w:t>
      </w:r>
      <w:bookmarkStart w:id="182" w:name="_Toc462564146"/>
      <w:bookmarkStart w:id="183" w:name="_格式2__法定代表人授权书"/>
      <w:bookmarkStart w:id="184" w:name="_Hlt26955054"/>
      <w:bookmarkStart w:id="185" w:name="_Hlt26609389"/>
      <w:bookmarkStart w:id="186" w:name="_Hlt26955066"/>
      <w:bookmarkStart w:id="187" w:name="_Hlt26671374"/>
      <w:r>
        <w:rPr>
          <w:rFonts w:hint="eastAsia" w:ascii="黑体" w:hAnsi="宋体" w:eastAsia="黑体" w:cs="黑体"/>
          <w:b/>
          <w:i/>
          <w:color w:val="000000"/>
          <w:sz w:val="32"/>
          <w:szCs w:val="32"/>
          <w:highlight w:val="none"/>
          <w:u w:val="single"/>
        </w:rPr>
        <w:t>开标一览表</w:t>
      </w:r>
    </w:p>
    <w:p w14:paraId="1A0651CC">
      <w:pPr>
        <w:pStyle w:val="10"/>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rPr>
        <w:t>投标人全称（加盖CA电子签章）：</w:t>
      </w:r>
    </w:p>
    <w:p w14:paraId="4B9E90B1">
      <w:pPr>
        <w:pStyle w:val="10"/>
        <w:spacing w:beforeAutospacing="0" w:afterAutospacing="0"/>
        <w:ind w:firstLine="480"/>
        <w:jc w:val="both"/>
        <w:rPr>
          <w:highlight w:val="none"/>
        </w:rPr>
      </w:pPr>
      <w:r>
        <w:rPr>
          <w:rFonts w:hint="eastAsia" w:ascii="宋体" w:hAnsi="宋体" w:eastAsia="宋体" w:cs="宋体"/>
          <w:color w:val="000000"/>
          <w:highlight w:val="none"/>
        </w:rPr>
        <w:t>项目名称：</w:t>
      </w:r>
    </w:p>
    <w:p w14:paraId="065638EC">
      <w:pPr>
        <w:pStyle w:val="10"/>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tbl>
      <w:tblPr>
        <w:tblStyle w:val="12"/>
        <w:tblW w:w="8413" w:type="dxa"/>
        <w:tblCellSpacing w:w="0" w:type="dxa"/>
        <w:tblInd w:w="118" w:type="dxa"/>
        <w:tblLayout w:type="fixed"/>
        <w:tblCellMar>
          <w:top w:w="0" w:type="dxa"/>
          <w:left w:w="108" w:type="dxa"/>
          <w:bottom w:w="0" w:type="dxa"/>
          <w:right w:w="108" w:type="dxa"/>
        </w:tblCellMar>
      </w:tblPr>
      <w:tblGrid>
        <w:gridCol w:w="814"/>
        <w:gridCol w:w="7599"/>
      </w:tblGrid>
      <w:tr w14:paraId="47E36B59">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BD400">
            <w:pPr>
              <w:pStyle w:val="10"/>
              <w:spacing w:beforeAutospacing="0" w:afterAutospacing="0"/>
              <w:jc w:val="center"/>
              <w:rPr>
                <w:highlight w:val="none"/>
              </w:rPr>
            </w:pPr>
            <w:r>
              <w:rPr>
                <w:rFonts w:hint="eastAsia" w:ascii="宋体" w:hAnsi="宋体" w:eastAsia="宋体" w:cs="宋体"/>
                <w:color w:val="000000"/>
                <w:highlight w:val="none"/>
              </w:rPr>
              <w:t>投标总报价</w:t>
            </w:r>
          </w:p>
        </w:tc>
      </w:tr>
      <w:tr w14:paraId="3958C0D9">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936FA">
            <w:pPr>
              <w:pStyle w:val="10"/>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投标费率（%）：</w:t>
            </w:r>
          </w:p>
        </w:tc>
      </w:tr>
      <w:tr w14:paraId="26AB77B9">
        <w:tblPrEx>
          <w:tblCellMar>
            <w:top w:w="0" w:type="dxa"/>
            <w:left w:w="108" w:type="dxa"/>
            <w:bottom w:w="0" w:type="dxa"/>
            <w:right w:w="108" w:type="dxa"/>
          </w:tblCellMar>
        </w:tblPrEx>
        <w:trPr>
          <w:trHeight w:val="612" w:hRule="atLeast"/>
          <w:tblCellSpacing w:w="0" w:type="dxa"/>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119CC">
            <w:pPr>
              <w:pStyle w:val="10"/>
              <w:spacing w:beforeAutospacing="0" w:afterAutospacing="0" w:line="300" w:lineRule="auto"/>
              <w:jc w:val="center"/>
              <w:rPr>
                <w:rFonts w:hint="eastAsia" w:eastAsiaTheme="minorEastAsia"/>
                <w:highlight w:val="none"/>
                <w:lang w:eastAsia="zh-CN"/>
              </w:rPr>
            </w:pPr>
            <w:r>
              <w:rPr>
                <w:rFonts w:hint="eastAsia" w:ascii="宋体" w:hAnsi="宋体" w:eastAsia="宋体" w:cs="宋体"/>
                <w:color w:val="000000"/>
                <w:highlight w:val="none"/>
                <w:lang w:val="en-US" w:eastAsia="zh-CN"/>
              </w:rPr>
              <w:t>备注</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13A7B">
            <w:pPr>
              <w:pStyle w:val="10"/>
              <w:spacing w:beforeAutospacing="0" w:afterAutospacing="0" w:line="0" w:lineRule="atLeast"/>
              <w:rPr>
                <w:rFonts w:hint="eastAsia"/>
                <w:highlight w:val="none"/>
                <w:lang w:eastAsia="zh-CN"/>
              </w:rPr>
            </w:pPr>
            <w:r>
              <w:rPr>
                <w:highlight w:val="none"/>
              </w:rPr>
              <w:t> </w:t>
            </w:r>
            <w:r>
              <w:rPr>
                <w:rFonts w:hint="eastAsia"/>
                <w:highlight w:val="none"/>
              </w:rPr>
              <w:t>备注：</w:t>
            </w:r>
            <w:r>
              <w:rPr>
                <w:rFonts w:hint="eastAsia"/>
                <w:highlight w:val="none"/>
                <w:lang w:val="en-US" w:eastAsia="zh-CN"/>
              </w:rPr>
              <w:t>投标人以大润发东台店每</w:t>
            </w:r>
            <w:r>
              <w:rPr>
                <w:rFonts w:hint="eastAsia"/>
                <w:highlight w:val="none"/>
              </w:rPr>
              <w:t>日</w:t>
            </w:r>
            <w:r>
              <w:rPr>
                <w:rFonts w:hint="eastAsia"/>
                <w:highlight w:val="none"/>
                <w:lang w:val="en-US" w:eastAsia="zh-CN"/>
              </w:rPr>
              <w:t>挂牌价</w:t>
            </w:r>
            <w:r>
              <w:rPr>
                <w:rFonts w:hint="eastAsia"/>
                <w:highlight w:val="none"/>
              </w:rPr>
              <w:t>作为报价依据，报</w:t>
            </w:r>
            <w:r>
              <w:rPr>
                <w:rFonts w:hint="eastAsia"/>
                <w:highlight w:val="none"/>
                <w:lang w:val="en-US" w:eastAsia="zh-CN"/>
              </w:rPr>
              <w:t>优惠率</w:t>
            </w:r>
            <w:r>
              <w:rPr>
                <w:rFonts w:hint="eastAsia"/>
                <w:highlight w:val="none"/>
                <w:lang w:eastAsia="zh-CN"/>
              </w:rPr>
              <w:t>。</w:t>
            </w:r>
          </w:p>
        </w:tc>
      </w:tr>
    </w:tbl>
    <w:p w14:paraId="4A10EA11">
      <w:pPr>
        <w:pStyle w:val="10"/>
        <w:spacing w:beforeAutospacing="0" w:afterAutospacing="0"/>
        <w:ind w:firstLine="482" w:firstLineChars="200"/>
        <w:jc w:val="both"/>
        <w:rPr>
          <w:rFonts w:hint="default" w:eastAsiaTheme="minorEastAsia"/>
          <w:b/>
          <w:bCs/>
          <w:highlight w:val="none"/>
          <w:lang w:val="en-US" w:eastAsia="zh-CN"/>
        </w:rPr>
      </w:pPr>
      <w:r>
        <w:rPr>
          <w:b/>
          <w:bCs/>
          <w:highlight w:val="none"/>
        </w:rPr>
        <w:t> </w:t>
      </w:r>
      <w:r>
        <w:rPr>
          <w:rFonts w:hint="eastAsia"/>
          <w:b/>
          <w:bCs/>
          <w:highlight w:val="none"/>
          <w:lang w:val="en-US" w:eastAsia="zh-CN"/>
        </w:rPr>
        <w:t>注:（例：报价优惠率为20% 。本合同根据投标的优惠率结算价为：基准价*（1-20%）结算。）</w:t>
      </w:r>
    </w:p>
    <w:p w14:paraId="0D1EE0A5">
      <w:pPr>
        <w:pStyle w:val="10"/>
        <w:spacing w:beforeAutospacing="0" w:afterAutospacing="0"/>
        <w:ind w:firstLine="480"/>
        <w:jc w:val="both"/>
        <w:rPr>
          <w:highlight w:val="none"/>
        </w:rPr>
      </w:pPr>
      <w:r>
        <w:rPr>
          <w:rFonts w:hint="eastAsia" w:ascii="宋体" w:hAnsi="宋体" w:eastAsia="宋体" w:cs="宋体"/>
          <w:b/>
          <w:bCs/>
          <w:color w:val="000000"/>
          <w:highlight w:val="none"/>
        </w:rPr>
        <w:t>      </w:t>
      </w: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39051F3D">
      <w:pPr>
        <w:pStyle w:val="10"/>
        <w:spacing w:beforeAutospacing="0" w:afterAutospacing="0"/>
        <w:jc w:val="both"/>
        <w:rPr>
          <w:highlight w:val="none"/>
        </w:rPr>
      </w:pPr>
      <w:r>
        <w:rPr>
          <w:highlight w:val="none"/>
        </w:rPr>
        <w:t> </w:t>
      </w:r>
    </w:p>
    <w:p w14:paraId="5B4437D5">
      <w:pPr>
        <w:pStyle w:val="10"/>
        <w:spacing w:beforeAutospacing="0" w:afterAutospacing="0"/>
        <w:ind w:firstLine="480"/>
        <w:jc w:val="both"/>
        <w:rPr>
          <w:highlight w:val="none"/>
        </w:rPr>
      </w:pPr>
      <w:r>
        <w:rPr>
          <w:highlight w:val="none"/>
        </w:rPr>
        <w:t> </w:t>
      </w:r>
    </w:p>
    <w:p w14:paraId="1AF856D5">
      <w:pPr>
        <w:pStyle w:val="10"/>
        <w:spacing w:beforeAutospacing="0" w:afterAutospacing="0"/>
        <w:ind w:firstLine="480"/>
        <w:jc w:val="both"/>
        <w:rPr>
          <w:highlight w:val="none"/>
        </w:rPr>
      </w:pPr>
      <w:r>
        <w:rPr>
          <w:highlight w:val="none"/>
        </w:rPr>
        <w:t> </w:t>
      </w:r>
    </w:p>
    <w:p w14:paraId="3755126D">
      <w:pPr>
        <w:pStyle w:val="10"/>
        <w:spacing w:beforeAutospacing="0" w:afterAutospacing="0"/>
        <w:ind w:firstLine="480"/>
        <w:jc w:val="both"/>
        <w:rPr>
          <w:highlight w:val="none"/>
        </w:rPr>
      </w:pPr>
    </w:p>
    <w:p w14:paraId="7083F798">
      <w:pPr>
        <w:pStyle w:val="10"/>
        <w:spacing w:beforeAutospacing="0" w:afterAutospacing="0"/>
        <w:ind w:firstLine="480"/>
        <w:jc w:val="both"/>
        <w:rPr>
          <w:highlight w:val="none"/>
        </w:rPr>
      </w:pPr>
    </w:p>
    <w:p w14:paraId="7A1F5786">
      <w:pPr>
        <w:pStyle w:val="10"/>
        <w:spacing w:beforeAutospacing="0" w:afterAutospacing="0"/>
        <w:ind w:firstLine="480"/>
        <w:jc w:val="both"/>
        <w:rPr>
          <w:highlight w:val="none"/>
        </w:rPr>
      </w:pPr>
    </w:p>
    <w:p w14:paraId="6CADA859">
      <w:pPr>
        <w:pStyle w:val="10"/>
        <w:spacing w:beforeAutospacing="0" w:afterAutospacing="0"/>
        <w:ind w:firstLine="480"/>
        <w:jc w:val="both"/>
        <w:rPr>
          <w:highlight w:val="none"/>
        </w:rPr>
      </w:pPr>
    </w:p>
    <w:p w14:paraId="4089F756">
      <w:pPr>
        <w:pStyle w:val="10"/>
        <w:spacing w:beforeAutospacing="0" w:afterAutospacing="0"/>
        <w:ind w:firstLine="480"/>
        <w:jc w:val="both"/>
        <w:rPr>
          <w:highlight w:val="none"/>
        </w:rPr>
      </w:pPr>
    </w:p>
    <w:p w14:paraId="7BF0B384">
      <w:pPr>
        <w:pStyle w:val="10"/>
        <w:spacing w:beforeAutospacing="0" w:afterAutospacing="0"/>
        <w:ind w:firstLine="480"/>
        <w:jc w:val="both"/>
        <w:rPr>
          <w:highlight w:val="none"/>
        </w:rPr>
      </w:pPr>
    </w:p>
    <w:p w14:paraId="6C4ED106">
      <w:pPr>
        <w:pStyle w:val="10"/>
        <w:spacing w:beforeAutospacing="0" w:afterAutospacing="0"/>
        <w:ind w:firstLine="480"/>
        <w:jc w:val="both"/>
        <w:rPr>
          <w:highlight w:val="none"/>
        </w:rPr>
      </w:pPr>
    </w:p>
    <w:p w14:paraId="62CBBB54">
      <w:pPr>
        <w:pStyle w:val="10"/>
        <w:spacing w:beforeAutospacing="0" w:afterAutospacing="0"/>
        <w:ind w:firstLine="480"/>
        <w:jc w:val="both"/>
        <w:rPr>
          <w:highlight w:val="none"/>
        </w:rPr>
      </w:pPr>
    </w:p>
    <w:p w14:paraId="24BBAC39">
      <w:pPr>
        <w:pStyle w:val="10"/>
        <w:spacing w:beforeAutospacing="0" w:afterAutospacing="0"/>
        <w:ind w:firstLine="480"/>
        <w:jc w:val="both"/>
        <w:rPr>
          <w:highlight w:val="none"/>
        </w:rPr>
      </w:pPr>
      <w:r>
        <w:rPr>
          <w:highlight w:val="none"/>
        </w:rPr>
        <w:t> </w:t>
      </w:r>
    </w:p>
    <w:p w14:paraId="1E4CC9B5">
      <w:pPr>
        <w:pStyle w:val="10"/>
        <w:spacing w:beforeAutospacing="0" w:afterAutospacing="0"/>
        <w:ind w:firstLine="480"/>
        <w:jc w:val="both"/>
        <w:rPr>
          <w:highlight w:val="none"/>
        </w:rPr>
      </w:pPr>
      <w:r>
        <w:rPr>
          <w:highlight w:val="none"/>
        </w:rPr>
        <w:t> </w:t>
      </w:r>
    </w:p>
    <w:p w14:paraId="79C55B4C">
      <w:pPr>
        <w:pStyle w:val="10"/>
        <w:spacing w:beforeAutospacing="0" w:afterAutospacing="0"/>
        <w:jc w:val="both"/>
        <w:rPr>
          <w:highlight w:val="none"/>
        </w:rPr>
      </w:pPr>
      <w:r>
        <w:rPr>
          <w:highlight w:val="none"/>
        </w:rPr>
        <w:t> </w:t>
      </w:r>
    </w:p>
    <w:p w14:paraId="76A37FC2">
      <w:pPr>
        <w:pStyle w:val="10"/>
        <w:spacing w:beforeAutospacing="0" w:afterAutospacing="0"/>
        <w:ind w:firstLine="480"/>
        <w:jc w:val="both"/>
        <w:rPr>
          <w:highlight w:val="none"/>
        </w:rPr>
      </w:pPr>
      <w:r>
        <w:rPr>
          <w:rFonts w:hint="eastAsia" w:ascii="宋体" w:hAnsi="宋体" w:eastAsia="宋体" w:cs="宋体"/>
          <w:color w:val="000000"/>
          <w:highlight w:val="none"/>
        </w:rPr>
        <w:t>                                             </w:t>
      </w:r>
    </w:p>
    <w:p w14:paraId="071C7D2E">
      <w:pPr>
        <w:pStyle w:val="10"/>
        <w:spacing w:beforeAutospacing="0" w:afterAutospacing="0"/>
        <w:ind w:firstLine="480"/>
        <w:jc w:val="both"/>
        <w:rPr>
          <w:highlight w:val="none"/>
        </w:rPr>
      </w:pPr>
      <w:r>
        <w:rPr>
          <w:highlight w:val="none"/>
        </w:rPr>
        <w:t> </w:t>
      </w:r>
    </w:p>
    <w:p w14:paraId="356E49F5">
      <w:pPr>
        <w:pStyle w:val="10"/>
        <w:spacing w:beforeAutospacing="0" w:afterAutospacing="0"/>
        <w:rPr>
          <w:rFonts w:ascii="宋体" w:hAnsi="宋体" w:eastAsia="宋体" w:cs="宋体"/>
          <w:b/>
          <w:color w:val="000000"/>
          <w:sz w:val="32"/>
          <w:szCs w:val="32"/>
          <w:highlight w:val="none"/>
        </w:rPr>
      </w:pPr>
    </w:p>
    <w:p w14:paraId="5831E72F">
      <w:pPr>
        <w:widowControl/>
        <w:spacing w:before="50" w:after="50"/>
        <w:jc w:val="center"/>
        <w:rPr>
          <w:highlight w:val="none"/>
        </w:rPr>
      </w:pPr>
      <w:r>
        <w:rPr>
          <w:highlight w:val="none"/>
        </w:rPr>
        <w:tab/>
      </w:r>
    </w:p>
    <w:p w14:paraId="5F1789A5">
      <w:pPr>
        <w:rPr>
          <w:highlight w:val="none"/>
        </w:rPr>
      </w:pPr>
      <w:r>
        <w:rPr>
          <w:highlight w:val="none"/>
        </w:rPr>
        <w:br w:type="page"/>
      </w:r>
    </w:p>
    <w:p w14:paraId="2695CAC7">
      <w:pPr>
        <w:widowControl/>
        <w:spacing w:before="50" w:after="50"/>
        <w:jc w:val="center"/>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二</w:t>
      </w:r>
      <w:r>
        <w:rPr>
          <w:rFonts w:hint="eastAsia" w:ascii="宋体" w:hAnsi="宋体" w:eastAsia="宋体" w:cs="宋体"/>
          <w:color w:val="000000"/>
          <w:sz w:val="32"/>
          <w:szCs w:val="32"/>
          <w:highlight w:val="none"/>
        </w:rPr>
        <w:t>、技术方案、服务承诺、培训承诺等</w:t>
      </w:r>
    </w:p>
    <w:p w14:paraId="4895B667">
      <w:pPr>
        <w:pStyle w:val="10"/>
        <w:spacing w:beforeAutospacing="0" w:afterAutospacing="0"/>
        <w:jc w:val="center"/>
        <w:rPr>
          <w:rFonts w:ascii="宋体" w:hAnsi="宋体" w:eastAsia="宋体" w:cs="宋体"/>
          <w:b/>
          <w:color w:val="000000"/>
          <w:sz w:val="32"/>
          <w:szCs w:val="32"/>
          <w:highlight w:val="none"/>
        </w:rPr>
      </w:pPr>
    </w:p>
    <w:p w14:paraId="618C9717">
      <w:pPr>
        <w:pStyle w:val="10"/>
        <w:spacing w:beforeAutospacing="0" w:afterAutospacing="0"/>
        <w:jc w:val="center"/>
        <w:rPr>
          <w:rFonts w:ascii="宋体" w:hAnsi="宋体" w:eastAsia="宋体" w:cs="宋体"/>
          <w:b/>
          <w:color w:val="000000"/>
          <w:sz w:val="32"/>
          <w:szCs w:val="32"/>
          <w:highlight w:val="none"/>
        </w:rPr>
      </w:pPr>
    </w:p>
    <w:p w14:paraId="119768F2">
      <w:pPr>
        <w:pStyle w:val="10"/>
        <w:spacing w:beforeAutospacing="0" w:afterAutospacing="0"/>
        <w:jc w:val="center"/>
        <w:rPr>
          <w:rFonts w:ascii="宋体" w:hAnsi="宋体" w:eastAsia="宋体" w:cs="宋体"/>
          <w:b/>
          <w:color w:val="000000"/>
          <w:sz w:val="32"/>
          <w:szCs w:val="32"/>
          <w:highlight w:val="none"/>
        </w:rPr>
      </w:pPr>
    </w:p>
    <w:p w14:paraId="7F5550FA">
      <w:pPr>
        <w:pStyle w:val="10"/>
        <w:spacing w:beforeAutospacing="0" w:afterAutospacing="0"/>
        <w:jc w:val="center"/>
        <w:rPr>
          <w:rFonts w:ascii="宋体" w:hAnsi="宋体" w:eastAsia="宋体" w:cs="宋体"/>
          <w:b/>
          <w:color w:val="000000"/>
          <w:sz w:val="32"/>
          <w:szCs w:val="32"/>
          <w:highlight w:val="none"/>
        </w:rPr>
      </w:pPr>
    </w:p>
    <w:p w14:paraId="10B330FB">
      <w:pPr>
        <w:pStyle w:val="10"/>
        <w:spacing w:beforeAutospacing="0" w:afterAutospacing="0"/>
        <w:jc w:val="center"/>
        <w:rPr>
          <w:rFonts w:ascii="宋体" w:hAnsi="宋体" w:eastAsia="宋体" w:cs="宋体"/>
          <w:b/>
          <w:color w:val="000000"/>
          <w:sz w:val="32"/>
          <w:szCs w:val="32"/>
          <w:highlight w:val="none"/>
        </w:rPr>
      </w:pPr>
    </w:p>
    <w:p w14:paraId="47957878">
      <w:pPr>
        <w:pStyle w:val="10"/>
        <w:spacing w:beforeAutospacing="0" w:afterAutospacing="0"/>
        <w:jc w:val="center"/>
        <w:rPr>
          <w:rFonts w:ascii="宋体" w:hAnsi="宋体" w:eastAsia="宋体" w:cs="宋体"/>
          <w:b/>
          <w:color w:val="000000"/>
          <w:sz w:val="32"/>
          <w:szCs w:val="32"/>
          <w:highlight w:val="none"/>
        </w:rPr>
      </w:pPr>
    </w:p>
    <w:p w14:paraId="322F0757">
      <w:pPr>
        <w:pStyle w:val="10"/>
        <w:spacing w:beforeAutospacing="0" w:afterAutospacing="0"/>
        <w:jc w:val="center"/>
        <w:rPr>
          <w:rFonts w:ascii="宋体" w:hAnsi="宋体" w:eastAsia="宋体" w:cs="宋体"/>
          <w:b/>
          <w:color w:val="000000"/>
          <w:sz w:val="32"/>
          <w:szCs w:val="32"/>
          <w:highlight w:val="none"/>
        </w:rPr>
      </w:pPr>
    </w:p>
    <w:p w14:paraId="70A9B6F5">
      <w:pPr>
        <w:pStyle w:val="10"/>
        <w:spacing w:beforeAutospacing="0" w:afterAutospacing="0"/>
        <w:jc w:val="center"/>
        <w:rPr>
          <w:rFonts w:ascii="宋体" w:hAnsi="宋体" w:eastAsia="宋体" w:cs="宋体"/>
          <w:b/>
          <w:color w:val="000000"/>
          <w:sz w:val="32"/>
          <w:szCs w:val="32"/>
          <w:highlight w:val="none"/>
        </w:rPr>
      </w:pPr>
    </w:p>
    <w:p w14:paraId="7EA25186">
      <w:pPr>
        <w:pStyle w:val="10"/>
        <w:spacing w:beforeAutospacing="0" w:afterAutospacing="0"/>
        <w:jc w:val="center"/>
        <w:rPr>
          <w:rFonts w:ascii="宋体" w:hAnsi="宋体" w:eastAsia="宋体" w:cs="宋体"/>
          <w:b/>
          <w:color w:val="000000"/>
          <w:sz w:val="32"/>
          <w:szCs w:val="32"/>
          <w:highlight w:val="none"/>
        </w:rPr>
      </w:pPr>
    </w:p>
    <w:p w14:paraId="13854400">
      <w:pPr>
        <w:pStyle w:val="10"/>
        <w:spacing w:beforeAutospacing="0" w:afterAutospacing="0"/>
        <w:jc w:val="center"/>
        <w:rPr>
          <w:rFonts w:ascii="宋体" w:hAnsi="宋体" w:eastAsia="宋体" w:cs="宋体"/>
          <w:b/>
          <w:color w:val="000000"/>
          <w:sz w:val="32"/>
          <w:szCs w:val="32"/>
          <w:highlight w:val="none"/>
        </w:rPr>
      </w:pPr>
    </w:p>
    <w:p w14:paraId="729FFC93">
      <w:pPr>
        <w:pStyle w:val="10"/>
        <w:spacing w:beforeAutospacing="0" w:afterAutospacing="0"/>
        <w:jc w:val="center"/>
        <w:rPr>
          <w:rFonts w:ascii="宋体" w:hAnsi="宋体" w:eastAsia="宋体" w:cs="宋体"/>
          <w:b/>
          <w:color w:val="000000"/>
          <w:sz w:val="32"/>
          <w:szCs w:val="32"/>
          <w:highlight w:val="none"/>
        </w:rPr>
      </w:pPr>
    </w:p>
    <w:p w14:paraId="5CC54300">
      <w:pPr>
        <w:pStyle w:val="10"/>
        <w:spacing w:beforeAutospacing="0" w:afterAutospacing="0"/>
        <w:jc w:val="center"/>
        <w:rPr>
          <w:rFonts w:ascii="宋体" w:hAnsi="宋体" w:eastAsia="宋体" w:cs="宋体"/>
          <w:b/>
          <w:color w:val="000000"/>
          <w:sz w:val="32"/>
          <w:szCs w:val="32"/>
          <w:highlight w:val="none"/>
        </w:rPr>
      </w:pPr>
    </w:p>
    <w:p w14:paraId="68A88541">
      <w:pPr>
        <w:pStyle w:val="10"/>
        <w:spacing w:beforeAutospacing="0" w:afterAutospacing="0"/>
        <w:jc w:val="center"/>
        <w:rPr>
          <w:rFonts w:ascii="宋体" w:hAnsi="宋体" w:eastAsia="宋体" w:cs="宋体"/>
          <w:b/>
          <w:color w:val="000000"/>
          <w:sz w:val="32"/>
          <w:szCs w:val="32"/>
          <w:highlight w:val="none"/>
        </w:rPr>
      </w:pPr>
    </w:p>
    <w:p w14:paraId="717D867E">
      <w:pPr>
        <w:pStyle w:val="10"/>
        <w:spacing w:beforeAutospacing="0" w:afterAutospacing="0"/>
        <w:jc w:val="center"/>
        <w:rPr>
          <w:rFonts w:ascii="宋体" w:hAnsi="宋体" w:eastAsia="宋体" w:cs="宋体"/>
          <w:b/>
          <w:color w:val="000000"/>
          <w:sz w:val="32"/>
          <w:szCs w:val="32"/>
          <w:highlight w:val="none"/>
        </w:rPr>
      </w:pPr>
    </w:p>
    <w:p w14:paraId="4CE3A8BF">
      <w:pPr>
        <w:pStyle w:val="10"/>
        <w:spacing w:beforeAutospacing="0" w:afterAutospacing="0"/>
        <w:jc w:val="center"/>
        <w:rPr>
          <w:rFonts w:ascii="宋体" w:hAnsi="宋体" w:eastAsia="宋体" w:cs="宋体"/>
          <w:b/>
          <w:color w:val="000000"/>
          <w:sz w:val="32"/>
          <w:szCs w:val="32"/>
          <w:highlight w:val="none"/>
        </w:rPr>
      </w:pPr>
    </w:p>
    <w:p w14:paraId="1849052A">
      <w:pPr>
        <w:pStyle w:val="10"/>
        <w:spacing w:beforeAutospacing="0" w:afterAutospacing="0"/>
        <w:jc w:val="center"/>
        <w:rPr>
          <w:rFonts w:ascii="宋体" w:hAnsi="宋体" w:eastAsia="宋体" w:cs="宋体"/>
          <w:b/>
          <w:color w:val="000000"/>
          <w:sz w:val="32"/>
          <w:szCs w:val="32"/>
          <w:highlight w:val="none"/>
        </w:rPr>
      </w:pPr>
    </w:p>
    <w:p w14:paraId="29D9EBB8">
      <w:pPr>
        <w:pStyle w:val="10"/>
        <w:spacing w:beforeAutospacing="0" w:afterAutospacing="0"/>
        <w:jc w:val="center"/>
        <w:rPr>
          <w:rFonts w:ascii="宋体" w:hAnsi="宋体" w:eastAsia="宋体" w:cs="宋体"/>
          <w:b/>
          <w:color w:val="000000"/>
          <w:sz w:val="32"/>
          <w:szCs w:val="32"/>
          <w:highlight w:val="none"/>
        </w:rPr>
      </w:pPr>
    </w:p>
    <w:p w14:paraId="1EC02022">
      <w:pPr>
        <w:pStyle w:val="10"/>
        <w:spacing w:beforeAutospacing="0" w:afterAutospacing="0"/>
        <w:jc w:val="center"/>
        <w:rPr>
          <w:rFonts w:ascii="宋体" w:hAnsi="宋体" w:eastAsia="宋体" w:cs="宋体"/>
          <w:b/>
          <w:color w:val="000000"/>
          <w:sz w:val="32"/>
          <w:szCs w:val="32"/>
          <w:highlight w:val="none"/>
        </w:rPr>
      </w:pPr>
    </w:p>
    <w:p w14:paraId="212218BF">
      <w:pPr>
        <w:pStyle w:val="10"/>
        <w:spacing w:beforeAutospacing="0" w:afterAutospacing="0"/>
        <w:jc w:val="center"/>
        <w:rPr>
          <w:rFonts w:ascii="宋体" w:hAnsi="宋体" w:eastAsia="宋体" w:cs="宋体"/>
          <w:b/>
          <w:color w:val="000000"/>
          <w:sz w:val="32"/>
          <w:szCs w:val="32"/>
          <w:highlight w:val="none"/>
        </w:rPr>
      </w:pPr>
    </w:p>
    <w:p w14:paraId="7AE53FEC">
      <w:pPr>
        <w:pStyle w:val="10"/>
        <w:spacing w:beforeAutospacing="0" w:afterAutospacing="0"/>
        <w:jc w:val="center"/>
        <w:rPr>
          <w:rFonts w:ascii="宋体" w:hAnsi="宋体" w:eastAsia="宋体" w:cs="宋体"/>
          <w:b/>
          <w:color w:val="000000"/>
          <w:sz w:val="32"/>
          <w:szCs w:val="32"/>
          <w:highlight w:val="none"/>
        </w:rPr>
      </w:pPr>
    </w:p>
    <w:p w14:paraId="76496764">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r>
    </w:p>
    <w:p w14:paraId="3D900FAD">
      <w:pPr>
        <w:widowControl/>
        <w:spacing w:line="499" w:lineRule="atLeast"/>
        <w:ind w:firstLine="1600"/>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三</w:t>
      </w:r>
      <w:r>
        <w:rPr>
          <w:rFonts w:hint="eastAsia" w:ascii="宋体" w:hAnsi="宋体" w:eastAsia="宋体" w:cs="宋体"/>
          <w:color w:val="000000"/>
          <w:sz w:val="32"/>
          <w:szCs w:val="32"/>
          <w:highlight w:val="none"/>
        </w:rPr>
        <w:t>、盐城市政府采购事前信用承诺书</w:t>
      </w:r>
    </w:p>
    <w:p w14:paraId="2856B726">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7919085D">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CD0212B">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（四）严格遵守即时信息公示规定，及时维护和更新维护和更新盐城市政府采购网中与本单位相关的信息；</w:t>
      </w:r>
    </w:p>
    <w:p w14:paraId="23FBCF6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3A11BDB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71B61F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098A1A6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5394C7B5">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36D0A244">
      <w:pPr>
        <w:pStyle w:val="10"/>
        <w:spacing w:beforeAutospacing="0" w:afterAutospacing="0"/>
        <w:jc w:val="center"/>
        <w:rPr>
          <w:highlight w:val="none"/>
        </w:rPr>
      </w:pP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2"/>
    <w:bookmarkEnd w:id="175"/>
    <w:bookmarkEnd w:id="176"/>
    <w:bookmarkEnd w:id="177"/>
    <w:bookmarkEnd w:id="178"/>
    <w:bookmarkEnd w:id="179"/>
    <w:bookmarkEnd w:id="180"/>
    <w:bookmarkEnd w:id="181"/>
    <w:bookmarkEnd w:id="182"/>
    <w:bookmarkEnd w:id="183"/>
    <w:bookmarkEnd w:id="184"/>
    <w:bookmarkEnd w:id="185"/>
    <w:bookmarkEnd w:id="186"/>
    <w:bookmarkEnd w:id="187"/>
    <w:p w14:paraId="1BD58B05">
      <w:pPr>
        <w:pStyle w:val="10"/>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4408F78F">
      <w:pPr>
        <w:pStyle w:val="10"/>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6C307A75">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0CDA18D">
      <w:pPr>
        <w:pStyle w:val="1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204001A">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CB49ACA">
      <w:pPr>
        <w:pStyle w:val="1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DB03877">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499727A8">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B88EEAA">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6720E08">
      <w:pPr>
        <w:pStyle w:val="1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C51F6AF">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6578280A">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5CA0EF62">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DF92306">
      <w:pPr>
        <w:pStyle w:val="1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08912AC">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416D5F4">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60F609DC">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61145962">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0CD04C7">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2D3C5A9C">
      <w:pPr>
        <w:pStyle w:val="1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F07B8F1">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0140CBED">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17B714BF">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1A43196A">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166EEFF8">
      <w:pPr>
        <w:pStyle w:val="1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191183A">
      <w:pPr>
        <w:pStyle w:val="10"/>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486AA1DE">
      <w:pPr>
        <w:pStyle w:val="10"/>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ED08AD">
      <w:pPr>
        <w:pStyle w:val="10"/>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62091F4D">
      <w:pPr>
        <w:pStyle w:val="10"/>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10"/>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0F2A8B16">
      <w:pPr>
        <w:pStyle w:val="10"/>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335F536F">
      <w:pPr>
        <w:pStyle w:val="10"/>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0F6A2591">
      <w:pPr>
        <w:pStyle w:val="10"/>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4A90D10F">
      <w:pPr>
        <w:pStyle w:val="10"/>
        <w:spacing w:beforeAutospacing="0" w:afterAutospacing="0"/>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D885D2C">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1925D9"/>
    <w:rsid w:val="002B0C85"/>
    <w:rsid w:val="003C54BE"/>
    <w:rsid w:val="004125B1"/>
    <w:rsid w:val="00427F98"/>
    <w:rsid w:val="004529E6"/>
    <w:rsid w:val="004E0F29"/>
    <w:rsid w:val="005257A0"/>
    <w:rsid w:val="00755D43"/>
    <w:rsid w:val="007E3A7B"/>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5C3D17"/>
    <w:rsid w:val="01AE0C97"/>
    <w:rsid w:val="021B6523"/>
    <w:rsid w:val="024B2734"/>
    <w:rsid w:val="02851591"/>
    <w:rsid w:val="02867E41"/>
    <w:rsid w:val="028B748A"/>
    <w:rsid w:val="02BD5381"/>
    <w:rsid w:val="02D505AD"/>
    <w:rsid w:val="02F0175E"/>
    <w:rsid w:val="034115E7"/>
    <w:rsid w:val="034E4AD1"/>
    <w:rsid w:val="037E0789"/>
    <w:rsid w:val="03912F41"/>
    <w:rsid w:val="03F3135F"/>
    <w:rsid w:val="04CF1FA6"/>
    <w:rsid w:val="055F0B42"/>
    <w:rsid w:val="056E5657"/>
    <w:rsid w:val="058663AA"/>
    <w:rsid w:val="062C42CE"/>
    <w:rsid w:val="068A6E34"/>
    <w:rsid w:val="07994E3B"/>
    <w:rsid w:val="07A02A3F"/>
    <w:rsid w:val="07A40F48"/>
    <w:rsid w:val="07E07FF3"/>
    <w:rsid w:val="083420ED"/>
    <w:rsid w:val="0854758E"/>
    <w:rsid w:val="08992D34"/>
    <w:rsid w:val="09132265"/>
    <w:rsid w:val="095D46A1"/>
    <w:rsid w:val="0A7315F2"/>
    <w:rsid w:val="0ABC363A"/>
    <w:rsid w:val="0AD8294B"/>
    <w:rsid w:val="0B4B3B00"/>
    <w:rsid w:val="0B550CF8"/>
    <w:rsid w:val="0B8A23C1"/>
    <w:rsid w:val="0BAE3813"/>
    <w:rsid w:val="0C6F7B97"/>
    <w:rsid w:val="0CAF0367"/>
    <w:rsid w:val="0D4D2FC1"/>
    <w:rsid w:val="0DF06AB6"/>
    <w:rsid w:val="0E0362D5"/>
    <w:rsid w:val="0E0D7668"/>
    <w:rsid w:val="0E966A8C"/>
    <w:rsid w:val="0E9C09EC"/>
    <w:rsid w:val="0EE61CD2"/>
    <w:rsid w:val="0F6D24BC"/>
    <w:rsid w:val="0F7D537E"/>
    <w:rsid w:val="10007707"/>
    <w:rsid w:val="10831E63"/>
    <w:rsid w:val="109A0F5B"/>
    <w:rsid w:val="11AB711C"/>
    <w:rsid w:val="11E249A1"/>
    <w:rsid w:val="12431559"/>
    <w:rsid w:val="1269692C"/>
    <w:rsid w:val="12EF1B96"/>
    <w:rsid w:val="12F015A0"/>
    <w:rsid w:val="132A2A6A"/>
    <w:rsid w:val="137D2B9A"/>
    <w:rsid w:val="1426193F"/>
    <w:rsid w:val="14477BA7"/>
    <w:rsid w:val="14AA0C7C"/>
    <w:rsid w:val="14EB154F"/>
    <w:rsid w:val="15A05265"/>
    <w:rsid w:val="15BF3E2F"/>
    <w:rsid w:val="169263C8"/>
    <w:rsid w:val="16A61788"/>
    <w:rsid w:val="16BA3E2C"/>
    <w:rsid w:val="16F413C5"/>
    <w:rsid w:val="17666D47"/>
    <w:rsid w:val="1792502D"/>
    <w:rsid w:val="18BC4109"/>
    <w:rsid w:val="190A39A3"/>
    <w:rsid w:val="192F5D4A"/>
    <w:rsid w:val="193260E4"/>
    <w:rsid w:val="19835197"/>
    <w:rsid w:val="1A3770CB"/>
    <w:rsid w:val="1A4F2C83"/>
    <w:rsid w:val="1A9133CF"/>
    <w:rsid w:val="1AC564D8"/>
    <w:rsid w:val="1AD2708F"/>
    <w:rsid w:val="1B5F5046"/>
    <w:rsid w:val="1B8B7B95"/>
    <w:rsid w:val="1B9509DF"/>
    <w:rsid w:val="1B9C0170"/>
    <w:rsid w:val="1BA002D8"/>
    <w:rsid w:val="1BCA3215"/>
    <w:rsid w:val="1BCC6609"/>
    <w:rsid w:val="1C0025BA"/>
    <w:rsid w:val="1C0A11A4"/>
    <w:rsid w:val="1CAC4347"/>
    <w:rsid w:val="1D1C1092"/>
    <w:rsid w:val="1D605A5A"/>
    <w:rsid w:val="1D854966"/>
    <w:rsid w:val="1DF804FF"/>
    <w:rsid w:val="1DFD1285"/>
    <w:rsid w:val="1E5B3E0B"/>
    <w:rsid w:val="1EA043BC"/>
    <w:rsid w:val="1EC70509"/>
    <w:rsid w:val="1F4A0271"/>
    <w:rsid w:val="1FC7762D"/>
    <w:rsid w:val="205730E8"/>
    <w:rsid w:val="20733730"/>
    <w:rsid w:val="20A83FAF"/>
    <w:rsid w:val="212D5EEC"/>
    <w:rsid w:val="215025DE"/>
    <w:rsid w:val="217D5E36"/>
    <w:rsid w:val="21B7196D"/>
    <w:rsid w:val="21CC717D"/>
    <w:rsid w:val="21F4671D"/>
    <w:rsid w:val="2228286B"/>
    <w:rsid w:val="22424AA4"/>
    <w:rsid w:val="22F62B8A"/>
    <w:rsid w:val="23092164"/>
    <w:rsid w:val="23254D08"/>
    <w:rsid w:val="23534E2B"/>
    <w:rsid w:val="23AD1279"/>
    <w:rsid w:val="23ED3D6C"/>
    <w:rsid w:val="242C02D7"/>
    <w:rsid w:val="24533DC2"/>
    <w:rsid w:val="251915FD"/>
    <w:rsid w:val="2532334D"/>
    <w:rsid w:val="26750FF7"/>
    <w:rsid w:val="267874D9"/>
    <w:rsid w:val="26D6553E"/>
    <w:rsid w:val="26E9418F"/>
    <w:rsid w:val="27194423"/>
    <w:rsid w:val="27290FC5"/>
    <w:rsid w:val="28266DBE"/>
    <w:rsid w:val="28A77F49"/>
    <w:rsid w:val="28B5297E"/>
    <w:rsid w:val="28FC627B"/>
    <w:rsid w:val="28FE41FC"/>
    <w:rsid w:val="29345C52"/>
    <w:rsid w:val="2996274E"/>
    <w:rsid w:val="2A4648B7"/>
    <w:rsid w:val="2A677CA2"/>
    <w:rsid w:val="2AFB5241"/>
    <w:rsid w:val="2B005440"/>
    <w:rsid w:val="2BDA6A14"/>
    <w:rsid w:val="2C03574A"/>
    <w:rsid w:val="2C117DB2"/>
    <w:rsid w:val="2C482942"/>
    <w:rsid w:val="2C7B3B05"/>
    <w:rsid w:val="2CC277F5"/>
    <w:rsid w:val="2D67525C"/>
    <w:rsid w:val="2D784F24"/>
    <w:rsid w:val="2D7B5822"/>
    <w:rsid w:val="2D8017AD"/>
    <w:rsid w:val="2DAC25A2"/>
    <w:rsid w:val="2DE81100"/>
    <w:rsid w:val="2E5E7AF7"/>
    <w:rsid w:val="2E8702E5"/>
    <w:rsid w:val="2EB711FE"/>
    <w:rsid w:val="2ED51684"/>
    <w:rsid w:val="2EE73822"/>
    <w:rsid w:val="2F1877C3"/>
    <w:rsid w:val="2FAD4FD9"/>
    <w:rsid w:val="2FB346FB"/>
    <w:rsid w:val="2FFA5778"/>
    <w:rsid w:val="30495C84"/>
    <w:rsid w:val="30626EBE"/>
    <w:rsid w:val="30650005"/>
    <w:rsid w:val="310333AD"/>
    <w:rsid w:val="31522189"/>
    <w:rsid w:val="318A49A8"/>
    <w:rsid w:val="32990C1B"/>
    <w:rsid w:val="329E6CD8"/>
    <w:rsid w:val="33440753"/>
    <w:rsid w:val="33773E42"/>
    <w:rsid w:val="33A31D51"/>
    <w:rsid w:val="33F56E0F"/>
    <w:rsid w:val="3462703E"/>
    <w:rsid w:val="34A9783B"/>
    <w:rsid w:val="34E14EA2"/>
    <w:rsid w:val="34E346A0"/>
    <w:rsid w:val="35744128"/>
    <w:rsid w:val="359B1151"/>
    <w:rsid w:val="35AD49A2"/>
    <w:rsid w:val="36172BC3"/>
    <w:rsid w:val="36512F67"/>
    <w:rsid w:val="36C065A8"/>
    <w:rsid w:val="36CC7C95"/>
    <w:rsid w:val="36CF07E3"/>
    <w:rsid w:val="36D33F3D"/>
    <w:rsid w:val="36EB650A"/>
    <w:rsid w:val="378133A9"/>
    <w:rsid w:val="37E10721"/>
    <w:rsid w:val="383A233E"/>
    <w:rsid w:val="386761EB"/>
    <w:rsid w:val="39101F1B"/>
    <w:rsid w:val="392D7EB3"/>
    <w:rsid w:val="39720FC7"/>
    <w:rsid w:val="39B60304"/>
    <w:rsid w:val="39CD52E9"/>
    <w:rsid w:val="3A64388F"/>
    <w:rsid w:val="3A936CED"/>
    <w:rsid w:val="3B0B043D"/>
    <w:rsid w:val="3BDF2457"/>
    <w:rsid w:val="3C8E39AA"/>
    <w:rsid w:val="3CA53635"/>
    <w:rsid w:val="3D23372C"/>
    <w:rsid w:val="3D9646D4"/>
    <w:rsid w:val="3DF80C94"/>
    <w:rsid w:val="3E064F5A"/>
    <w:rsid w:val="3E161B6B"/>
    <w:rsid w:val="3E7517F2"/>
    <w:rsid w:val="3E7F5998"/>
    <w:rsid w:val="3F0056DB"/>
    <w:rsid w:val="3F1A3023"/>
    <w:rsid w:val="3F243A9D"/>
    <w:rsid w:val="401D2E8B"/>
    <w:rsid w:val="40350295"/>
    <w:rsid w:val="406E1D8D"/>
    <w:rsid w:val="41384420"/>
    <w:rsid w:val="416D28F9"/>
    <w:rsid w:val="42053C57"/>
    <w:rsid w:val="42214BD9"/>
    <w:rsid w:val="42324DFA"/>
    <w:rsid w:val="42FA74B4"/>
    <w:rsid w:val="431353F3"/>
    <w:rsid w:val="43455446"/>
    <w:rsid w:val="43692E36"/>
    <w:rsid w:val="44DA072F"/>
    <w:rsid w:val="44F33FD4"/>
    <w:rsid w:val="454D0F8E"/>
    <w:rsid w:val="45A932D5"/>
    <w:rsid w:val="45FC0A54"/>
    <w:rsid w:val="461D469A"/>
    <w:rsid w:val="461E157D"/>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AED64DF"/>
    <w:rsid w:val="4B133808"/>
    <w:rsid w:val="4B816722"/>
    <w:rsid w:val="4BB16E8A"/>
    <w:rsid w:val="4C5A2B74"/>
    <w:rsid w:val="4C7B3413"/>
    <w:rsid w:val="4D0227B8"/>
    <w:rsid w:val="4D2D20D9"/>
    <w:rsid w:val="4D4B1038"/>
    <w:rsid w:val="4DA074F7"/>
    <w:rsid w:val="4DA33F07"/>
    <w:rsid w:val="4DDE52C0"/>
    <w:rsid w:val="4DFB00F6"/>
    <w:rsid w:val="4E7968C9"/>
    <w:rsid w:val="4E8932F2"/>
    <w:rsid w:val="4EAE34FB"/>
    <w:rsid w:val="4EB366DF"/>
    <w:rsid w:val="4EBB044F"/>
    <w:rsid w:val="4ED13B16"/>
    <w:rsid w:val="4FE6259D"/>
    <w:rsid w:val="508605D9"/>
    <w:rsid w:val="50A1397F"/>
    <w:rsid w:val="51C75DFE"/>
    <w:rsid w:val="52496610"/>
    <w:rsid w:val="52741FCB"/>
    <w:rsid w:val="52D06B10"/>
    <w:rsid w:val="53464C6F"/>
    <w:rsid w:val="53536515"/>
    <w:rsid w:val="536B21BA"/>
    <w:rsid w:val="53A862CC"/>
    <w:rsid w:val="542A0FDA"/>
    <w:rsid w:val="544D7D8B"/>
    <w:rsid w:val="54604111"/>
    <w:rsid w:val="54E877FB"/>
    <w:rsid w:val="54ED53D0"/>
    <w:rsid w:val="55091CCC"/>
    <w:rsid w:val="559C3968"/>
    <w:rsid w:val="56307253"/>
    <w:rsid w:val="56453199"/>
    <w:rsid w:val="564B4B24"/>
    <w:rsid w:val="56EF7016"/>
    <w:rsid w:val="56F02499"/>
    <w:rsid w:val="5797379E"/>
    <w:rsid w:val="582F6DAB"/>
    <w:rsid w:val="585F169A"/>
    <w:rsid w:val="58AD45AF"/>
    <w:rsid w:val="58D4718C"/>
    <w:rsid w:val="59346858"/>
    <w:rsid w:val="59581771"/>
    <w:rsid w:val="59A82CA5"/>
    <w:rsid w:val="5A1804F3"/>
    <w:rsid w:val="5AD536B4"/>
    <w:rsid w:val="5AEA4CCC"/>
    <w:rsid w:val="5B031B11"/>
    <w:rsid w:val="5B3F6E58"/>
    <w:rsid w:val="5B821531"/>
    <w:rsid w:val="5B96574B"/>
    <w:rsid w:val="5C1E200D"/>
    <w:rsid w:val="5C5A652B"/>
    <w:rsid w:val="5C6C4436"/>
    <w:rsid w:val="5D064006"/>
    <w:rsid w:val="5D320FC0"/>
    <w:rsid w:val="5D797461"/>
    <w:rsid w:val="5D983CAF"/>
    <w:rsid w:val="5DE138D8"/>
    <w:rsid w:val="5E1921ED"/>
    <w:rsid w:val="5EDB106D"/>
    <w:rsid w:val="5EE035AA"/>
    <w:rsid w:val="5F465B03"/>
    <w:rsid w:val="5F7D5E8E"/>
    <w:rsid w:val="5F7F522A"/>
    <w:rsid w:val="601337BB"/>
    <w:rsid w:val="606A165C"/>
    <w:rsid w:val="60A07495"/>
    <w:rsid w:val="61730705"/>
    <w:rsid w:val="62281F6A"/>
    <w:rsid w:val="622C715E"/>
    <w:rsid w:val="62A87E16"/>
    <w:rsid w:val="62CA561A"/>
    <w:rsid w:val="6313315F"/>
    <w:rsid w:val="632F68AE"/>
    <w:rsid w:val="63531AF3"/>
    <w:rsid w:val="63CD6C1F"/>
    <w:rsid w:val="643A2D32"/>
    <w:rsid w:val="64A56430"/>
    <w:rsid w:val="65055217"/>
    <w:rsid w:val="65BB2793"/>
    <w:rsid w:val="65FF1B98"/>
    <w:rsid w:val="662B5A52"/>
    <w:rsid w:val="664F5C5B"/>
    <w:rsid w:val="667027CF"/>
    <w:rsid w:val="6688694C"/>
    <w:rsid w:val="67112E9A"/>
    <w:rsid w:val="67A410D5"/>
    <w:rsid w:val="67C9169A"/>
    <w:rsid w:val="68245589"/>
    <w:rsid w:val="68777DD2"/>
    <w:rsid w:val="68D75681"/>
    <w:rsid w:val="69201173"/>
    <w:rsid w:val="69456428"/>
    <w:rsid w:val="69983CE0"/>
    <w:rsid w:val="6A1C1694"/>
    <w:rsid w:val="6A741F01"/>
    <w:rsid w:val="6A751DB0"/>
    <w:rsid w:val="6AB95533"/>
    <w:rsid w:val="6B037E0E"/>
    <w:rsid w:val="6B1D40DD"/>
    <w:rsid w:val="6BDE41BB"/>
    <w:rsid w:val="6C5462A8"/>
    <w:rsid w:val="6C917FD7"/>
    <w:rsid w:val="6D865F2E"/>
    <w:rsid w:val="6D8B36BB"/>
    <w:rsid w:val="6E1F5E9D"/>
    <w:rsid w:val="6E3A2CD6"/>
    <w:rsid w:val="70741DD0"/>
    <w:rsid w:val="71BB7860"/>
    <w:rsid w:val="72440385"/>
    <w:rsid w:val="73412411"/>
    <w:rsid w:val="73761484"/>
    <w:rsid w:val="73FA651F"/>
    <w:rsid w:val="740866B2"/>
    <w:rsid w:val="743F3C99"/>
    <w:rsid w:val="74835482"/>
    <w:rsid w:val="74877DC7"/>
    <w:rsid w:val="75105601"/>
    <w:rsid w:val="755802CB"/>
    <w:rsid w:val="75890D8F"/>
    <w:rsid w:val="75B043EA"/>
    <w:rsid w:val="767C19B2"/>
    <w:rsid w:val="76D90F68"/>
    <w:rsid w:val="770245AD"/>
    <w:rsid w:val="7706409E"/>
    <w:rsid w:val="77130569"/>
    <w:rsid w:val="77C1540B"/>
    <w:rsid w:val="783E7320"/>
    <w:rsid w:val="78646D02"/>
    <w:rsid w:val="789F3FFC"/>
    <w:rsid w:val="78CB19C0"/>
    <w:rsid w:val="78F35EFE"/>
    <w:rsid w:val="78F910A8"/>
    <w:rsid w:val="78FF5669"/>
    <w:rsid w:val="7918780F"/>
    <w:rsid w:val="793275BA"/>
    <w:rsid w:val="79A724F1"/>
    <w:rsid w:val="79B56B48"/>
    <w:rsid w:val="7A4B7878"/>
    <w:rsid w:val="7A506BBD"/>
    <w:rsid w:val="7A6D100D"/>
    <w:rsid w:val="7B5F1FCE"/>
    <w:rsid w:val="7BC736D0"/>
    <w:rsid w:val="7C5F16F8"/>
    <w:rsid w:val="7C9D3E10"/>
    <w:rsid w:val="7CAF2E48"/>
    <w:rsid w:val="7CB122FF"/>
    <w:rsid w:val="7CFC55FB"/>
    <w:rsid w:val="7D796C4C"/>
    <w:rsid w:val="7D8B2F11"/>
    <w:rsid w:val="7DBA67DE"/>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qFormat="1"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Note Heading"/>
    <w:basedOn w:val="1"/>
    <w:next w:val="1"/>
    <w:qFormat/>
    <w:uiPriority w:val="0"/>
    <w:rPr>
      <w:rFonts w:ascii="Verdana" w:hAnsi="Verdana"/>
    </w:rPr>
  </w:style>
  <w:style w:type="paragraph" w:styleId="4">
    <w:name w:val="annotation text"/>
    <w:basedOn w:val="1"/>
    <w:autoRedefine/>
    <w:qFormat/>
    <w:uiPriority w:val="0"/>
    <w:pPr>
      <w:jc w:val="left"/>
    </w:pPr>
  </w:style>
  <w:style w:type="paragraph" w:styleId="5">
    <w:name w:val="Body Text"/>
    <w:basedOn w:val="1"/>
    <w:next w:val="6"/>
    <w:autoRedefine/>
    <w:unhideWhenUsed/>
    <w:qFormat/>
    <w:uiPriority w:val="0"/>
    <w:pPr>
      <w:spacing w:after="120"/>
    </w:pPr>
    <w:rPr>
      <w:rFonts w:ascii="Calibri" w:hAnsi="Calibri"/>
      <w:kern w:val="2"/>
      <w:szCs w:val="22"/>
    </w:rPr>
  </w:style>
  <w:style w:type="paragraph" w:styleId="6">
    <w:name w:val="Body Text 2"/>
    <w:basedOn w:val="1"/>
    <w:qFormat/>
    <w:uiPriority w:val="99"/>
    <w:rPr>
      <w:rFonts w:eastAsia="仿宋_GB2312"/>
      <w:color w:val="000000"/>
    </w:rPr>
  </w:style>
  <w:style w:type="paragraph" w:styleId="7">
    <w:name w:val="Plain Text"/>
    <w:basedOn w:val="1"/>
    <w:autoRedefine/>
    <w:unhideWhenUsed/>
    <w:qFormat/>
    <w:uiPriority w:val="0"/>
    <w:rPr>
      <w:rFonts w:ascii="宋体" w:hAnsi="Courier New" w:cs="Courier New"/>
      <w:kern w:val="2"/>
      <w:szCs w:val="21"/>
    </w:rPr>
  </w:style>
  <w:style w:type="paragraph" w:styleId="8">
    <w:name w:val="footer"/>
    <w:basedOn w:val="1"/>
    <w:link w:val="16"/>
    <w:autoRedefine/>
    <w:qFormat/>
    <w:uiPriority w:val="0"/>
    <w:pPr>
      <w:tabs>
        <w:tab w:val="center" w:pos="4153"/>
        <w:tab w:val="right" w:pos="8306"/>
      </w:tabs>
      <w:snapToGrid w:val="0"/>
      <w:jc w:val="left"/>
    </w:pPr>
    <w:rPr>
      <w:sz w:val="18"/>
      <w:szCs w:val="18"/>
    </w:rPr>
  </w:style>
  <w:style w:type="paragraph" w:styleId="9">
    <w:name w:val="header"/>
    <w:basedOn w:val="1"/>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0"/>
    <w:pPr>
      <w:spacing w:beforeAutospacing="1" w:afterAutospacing="1"/>
      <w:jc w:val="left"/>
    </w:pPr>
    <w:rPr>
      <w:rFonts w:cs="Times New Roman"/>
      <w:kern w:val="0"/>
      <w:sz w:val="24"/>
    </w:rPr>
  </w:style>
  <w:style w:type="paragraph" w:styleId="11">
    <w:name w:val="Body Text First Indent"/>
    <w:basedOn w:val="5"/>
    <w:qFormat/>
    <w:uiPriority w:val="0"/>
    <w:pPr>
      <w:ind w:firstLine="420" w:firstLineChars="100"/>
    </w:pPr>
    <w:rPr>
      <w:rFonts w:ascii="Calibri" w:hAnsi="Calibri" w:eastAsia="宋体" w:cs="Times New Roman"/>
    </w:rPr>
  </w:style>
  <w:style w:type="paragraph" w:customStyle="1" w:styleId="14">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5">
    <w:name w:val="页眉 Char"/>
    <w:basedOn w:val="13"/>
    <w:link w:val="9"/>
    <w:autoRedefine/>
    <w:qFormat/>
    <w:uiPriority w:val="0"/>
    <w:rPr>
      <w:rFonts w:asciiTheme="minorHAnsi" w:hAnsiTheme="minorHAnsi" w:eastAsiaTheme="minorEastAsia" w:cstheme="minorBidi"/>
      <w:kern w:val="2"/>
      <w:sz w:val="18"/>
      <w:szCs w:val="18"/>
    </w:rPr>
  </w:style>
  <w:style w:type="character" w:customStyle="1" w:styleId="16">
    <w:name w:val="页脚 Char"/>
    <w:basedOn w:val="13"/>
    <w:link w:val="8"/>
    <w:autoRedefine/>
    <w:qFormat/>
    <w:uiPriority w:val="0"/>
    <w:rPr>
      <w:rFonts w:asciiTheme="minorHAnsi" w:hAnsiTheme="minorHAnsi" w:eastAsiaTheme="minorEastAsia" w:cstheme="minorBidi"/>
      <w:kern w:val="2"/>
      <w:sz w:val="18"/>
      <w:szCs w:val="18"/>
    </w:rPr>
  </w:style>
  <w:style w:type="paragraph" w:customStyle="1" w:styleId="17">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8">
    <w:name w:val="页脚1"/>
    <w:basedOn w:val="1"/>
    <w:autoRedefine/>
    <w:unhideWhenUsed/>
    <w:qFormat/>
    <w:uiPriority w:val="99"/>
    <w:pPr>
      <w:tabs>
        <w:tab w:val="center" w:pos="4153"/>
        <w:tab w:val="right" w:pos="8306"/>
      </w:tabs>
      <w:jc w:val="left"/>
    </w:pPr>
    <w:rPr>
      <w:sz w:val="18"/>
      <w:szCs w:val="18"/>
    </w:rPr>
  </w:style>
  <w:style w:type="paragraph" w:customStyle="1" w:styleId="19">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0">
    <w:name w:val="正文首行缩进 21"/>
    <w:basedOn w:val="21"/>
    <w:qFormat/>
    <w:uiPriority w:val="0"/>
    <w:pPr>
      <w:ind w:firstLine="420"/>
    </w:pPr>
  </w:style>
  <w:style w:type="paragraph" w:customStyle="1" w:styleId="21">
    <w:name w:val="正文文本缩进1"/>
    <w:basedOn w:val="1"/>
    <w:qFormat/>
    <w:uiPriority w:val="0"/>
    <w:pPr>
      <w:spacing w:after="120"/>
      <w:ind w:left="420"/>
    </w:pPr>
  </w:style>
  <w:style w:type="paragraph" w:customStyle="1" w:styleId="2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character" w:customStyle="1" w:styleId="23">
    <w:name w:val="NormalCharacter"/>
    <w:qFormat/>
    <w:uiPriority w:val="0"/>
    <w:rPr>
      <w:kern w:val="2"/>
      <w:sz w:val="21"/>
      <w:lang w:val="en-US"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43</Pages>
  <Words>12421</Words>
  <Characters>13394</Characters>
  <Lines>183</Lines>
  <Paragraphs>51</Paragraphs>
  <TotalTime>0</TotalTime>
  <ScaleCrop>false</ScaleCrop>
  <LinksUpToDate>false</LinksUpToDate>
  <CharactersWithSpaces>13690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L</cp:lastModifiedBy>
  <dcterms:modified xsi:type="dcterms:W3CDTF">2025-03-26T04:11:42Z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2CE725C660F74BC6B9F9F213959B39C7_13</vt:lpwstr>
  </property>
  <property fmtid="{D5CDD505-2E9C-101B-9397-08002B2CF9AE}" pid="4" name="KSOTemplateDocerSaveRecord">
    <vt:lpwstr>eyJoZGlkIjoiNDM4NDY5MzMzNGM0YTk0NWMyNzUxYjgyOTYwNjdmZGMiLCJ1c2VySWQiOiIxMjgxNjg1NzA3In0=</vt:lpwstr>
  </property>
</Properties>
</file>