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08"/>
        </w:rPr>
        <w:t xml:space="preserve">苏州市政府采购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08"/>
        </w:rPr>
        <w:t xml:space="preserve">招标文件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1418"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项目编号：JSZC-320500-RQZB-G2024-0008</w:t>
      </w:r>
      <w:r/>
    </w:p>
    <w:p>
      <w:pPr>
        <w:ind w:left="1418"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采购单位：江苏省太湖渔业管理委员会办公室</w:t>
      </w:r>
      <w:r/>
    </w:p>
    <w:p>
      <w:pPr>
        <w:ind w:left="3024" w:right="0" w:hanging="1606"/>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项目名称：江苏省太湖渔业管理委员会办公室执法船艇油料采购项目</w:t>
      </w:r>
      <w:r/>
    </w:p>
    <w:p>
      <w:pPr>
        <w:ind w:left="1418" w:right="0" w:firstLine="0"/>
        <w:spacing w:before="0" w:after="0" w:line="113" w:lineRule="atLeast"/>
        <w:tabs>
          <w:tab w:val="left" w:pos="62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项目类别：货物类</w:t>
      </w:r>
      <w:r/>
    </w:p>
    <w:p>
      <w:pPr>
        <w:ind w:left="0" w:right="0" w:firstLine="2695"/>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99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苏州润启招投标咨询服务有限公司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2024年5月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总目录</w:t>
      </w:r>
      <w:r/>
    </w:p>
    <w:p>
      <w:pPr>
        <w:ind w:left="0" w:right="0" w:firstLine="0"/>
        <w:spacing w:before="120" w:after="120"/>
        <w:tabs>
          <w:tab w:val="left" w:pos="98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ff"/>
          <w:sz w:val="28"/>
          <w:u w:val="single"/>
        </w:rPr>
        <w:t xml:space="preserve"> </w:t>
      </w:r>
      <w:r/>
    </w:p>
    <w:p>
      <w:pPr>
        <w:ind w:left="0" w:right="0" w:firstLine="0"/>
        <w:spacing w:before="120" w:after="120"/>
        <w:tabs>
          <w:tab w:val="left" w:pos="9854" w:leader="none"/>
        </w:tabs>
        <w:pBdr>
          <w:top w:val="none" w:color="000000" w:sz="4" w:space="0"/>
          <w:left w:val="none" w:color="000000" w:sz="4" w:space="0"/>
          <w:bottom w:val="none" w:color="000000" w:sz="4" w:space="0"/>
          <w:right w:val="none" w:color="000000" w:sz="4" w:space="0"/>
        </w:pBdr>
      </w:pPr>
      <w:r/>
      <w:hyperlink r:id="rId8" w:tooltip="http://jszfcg.jsczt.cn/jszc/onlyoffice/7.2.1-34/web-apps/apps/documenteditor/main/index_loader.html?_dc=7.2.1-34&amp;lang=zh&amp;customer=%20&amp;logo=%20&amp;headerlogo=%2Ffavicon.ico&amp;frameEditorId=iframePage&amp;compact=true&amp;parentOrigin=http://jszfcg.jsczt.cn#_Toc105397776" w:history="1">
        <w:r>
          <w:rPr>
            <w:rStyle w:val="804"/>
            <w:rFonts w:ascii="SimSun" w:hAnsi="SimSun" w:eastAsia="SimSun" w:cs="SimSun"/>
            <w:color w:val="0000ff"/>
            <w:sz w:val="28"/>
            <w:u w:val="none"/>
          </w:rPr>
          <w:t xml:space="preserve">第一章 投标邀请函</w:t>
        </w:r>
      </w:hyperlink>
      <w:r/>
      <w:r/>
    </w:p>
    <w:p>
      <w:pPr>
        <w:ind w:left="0" w:right="0" w:firstLine="0"/>
        <w:spacing w:before="120" w:after="120"/>
        <w:tabs>
          <w:tab w:val="left" w:pos="9854"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05397777" w:history="1">
        <w:r>
          <w:rPr>
            <w:rStyle w:val="804"/>
            <w:rFonts w:ascii="SimSun" w:hAnsi="SimSun" w:eastAsia="SimSun" w:cs="SimSun"/>
            <w:color w:val="0000ff"/>
            <w:sz w:val="28"/>
            <w:u w:val="none"/>
          </w:rPr>
          <w:t xml:space="preserve">第二章 投标人须知</w:t>
        </w:r>
      </w:hyperlink>
      <w:r/>
      <w:r/>
    </w:p>
    <w:p>
      <w:pPr>
        <w:ind w:left="0" w:right="0" w:firstLine="0"/>
        <w:spacing w:before="120" w:after="120"/>
        <w:tabs>
          <w:tab w:val="left" w:pos="9854"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05397778" w:history="1">
        <w:r>
          <w:rPr>
            <w:rStyle w:val="804"/>
            <w:rFonts w:ascii="SimSun" w:hAnsi="SimSun" w:eastAsia="SimSun" w:cs="SimSun"/>
            <w:color w:val="0000ff"/>
            <w:sz w:val="28"/>
            <w:u w:val="none"/>
          </w:rPr>
          <w:t xml:space="preserve">第三章 投标文件格式</w:t>
        </w:r>
      </w:hyperlink>
      <w:r/>
      <w:r/>
    </w:p>
    <w:p>
      <w:pPr>
        <w:ind w:left="0" w:right="0" w:firstLine="0"/>
        <w:spacing w:before="120" w:after="120"/>
        <w:tabs>
          <w:tab w:val="left" w:pos="9854"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05397793" w:history="1">
        <w:r>
          <w:rPr>
            <w:rStyle w:val="804"/>
            <w:rFonts w:ascii="SimSun" w:hAnsi="SimSun" w:eastAsia="SimSun" w:cs="SimSun"/>
            <w:color w:val="0000ff"/>
            <w:sz w:val="28"/>
            <w:u w:val="none"/>
          </w:rPr>
          <w:t xml:space="preserve">第四章 招标书</w:t>
        </w:r>
      </w:hyperlink>
      <w:r/>
      <w:r/>
    </w:p>
    <w:p>
      <w:pPr>
        <w:ind w:left="0" w:right="0" w:firstLine="0"/>
        <w:spacing w:before="120" w:after="120"/>
        <w:tabs>
          <w:tab w:val="left" w:pos="9854"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05397794" w:history="1">
        <w:r>
          <w:rPr>
            <w:rStyle w:val="804"/>
            <w:rFonts w:ascii="SimSun" w:hAnsi="SimSun" w:eastAsia="SimSun" w:cs="SimSun"/>
            <w:color w:val="0000ff"/>
            <w:sz w:val="28"/>
            <w:u w:val="none"/>
          </w:rPr>
          <w:t xml:space="preserve">第五章 合同及主要条款</w:t>
        </w:r>
      </w:hyperlink>
      <w:r/>
      <w:r/>
    </w:p>
    <w:p>
      <w:pPr>
        <w:ind w:left="0" w:right="0" w:firstLine="0"/>
        <w:spacing w:before="120" w:after="120"/>
        <w:tabs>
          <w:tab w:val="left" w:pos="9854"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05397795" w:history="1">
        <w:r>
          <w:rPr>
            <w:rStyle w:val="804"/>
            <w:rFonts w:ascii="SimSun" w:hAnsi="SimSun" w:eastAsia="SimSun" w:cs="SimSun"/>
            <w:color w:val="0000ff"/>
            <w:sz w:val="28"/>
            <w:u w:val="none"/>
          </w:rPr>
          <w:t xml:space="preserve">第六章 评标办法和评分标准</w:t>
        </w:r>
      </w:hyperlink>
      <w:r/>
      <w:r/>
    </w:p>
    <w:p>
      <w:pPr>
        <w:ind w:left="0" w:right="0" w:firstLine="0"/>
        <w:spacing w:before="120" w:after="120"/>
        <w:tabs>
          <w:tab w:val="left" w:pos="98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前 附 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2"/>
        <w:gridCol w:w="1635"/>
        <w:gridCol w:w="6382"/>
      </w:tblGrid>
      <w:tr>
        <w:trPr>
          <w:trHeight w:val="4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JSZC-320500-RQZB-G2024-0008</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江苏省太湖渔业管理委员会办公室执法船艇油料采购项目</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tabs>
                <w:tab w:val="left" w:pos="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名称及地址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名称：苏州润启招投标咨询服务有限公司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地址：苏州市相城区相城大道168号新尚商业广场A座1212、1213室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胡嫣婷、史云路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联系电话：15262461408</w:t>
            </w:r>
            <w:r/>
          </w:p>
        </w:tc>
      </w:tr>
      <w:tr>
        <w:trPr>
          <w:trHeight w:val="6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名称：江苏省太湖渔业管理委员会办公室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地址：苏州市吴中区越溪街道苏街123号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联系人：陆建明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联系电话：0512-66035010</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标书组成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详见招标文件第二章</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tc>
      </w:tr>
      <w:tr>
        <w:trPr>
          <w:trHeight w:val="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九十天（日历日）</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自公告发布之日起5个工作日</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投标文件网上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2024年6月11日13点30分（北京时间）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投标文件必须在截止时间前完成提交（上传），逾期提交（上传）的投标文件，采购人和采购代理机构拒绝接收。</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2024年6月11日13点30分（北京时间）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“苏采云”系统（网址：http://jszfcg.jsczt.cn/）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评标时间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2024年6月11日13点30分（北京时间）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苏州市姑苏区平泷路251号城市生活广场西楼五楼 </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本项目采用电子投标文件，投标人按照招标文件要求制作上传电子投标文件，投标人无需提供纸质投标文件。</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投标报价本位币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确定出中标人后，采购代理机构在法定时间内向中标人发出中标通知书。中标通知书将成为合同的组成部分。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请中标人在中标结果公告届满之日起30日内,使用CA证书登录“苏采云”系统及时下载中标通知书。</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导致废标因素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2" w:type="dxa"/>
            <w:vAlign w:val="center"/>
            <w:textDirection w:val="lrTb"/>
            <w:noWrap w:val="false"/>
          </w:tcPr>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出现下列情形之一的，为废标： </w:t>
            </w:r>
            <w:r/>
          </w:p>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符合专业条件的投标人或者对招标文件作实质响应的投标人不足三家的；（二）出现影响采购公正的违法、违规行为的；（三）投标人的报价均超过了采购预算，采购人不能支付的；（四）因重大变故，采购任务取消的。</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导致无效标因素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2" w:type="dxa"/>
            <w:vAlign w:val="center"/>
            <w:textDirection w:val="lrTb"/>
            <w:noWrap w:val="false"/>
          </w:tcPr>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投标文件属下列情况之一的，在资格性、符合性检查时按照无效投标处理：</w:t>
            </w:r>
            <w:r/>
          </w:p>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（一）未按照招标文件规定要求签署、盖章的；</w:t>
            </w:r>
            <w:r/>
          </w:p>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（二）不具备招标文件中规定资格要求的；</w:t>
            </w:r>
            <w:r/>
          </w:p>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（三）报价超过招标文件中规定的预算金额或者最高限价的；</w:t>
            </w:r>
            <w:r/>
          </w:p>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（四）投标文件含有采购人不能接受的附加条件的；</w:t>
            </w:r>
            <w:r/>
          </w:p>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（五）机器码检查中，出现不同投标人投标文件机器码一致情形的；</w:t>
            </w:r>
            <w:r/>
          </w:p>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（六）法律、法规和招标文件规定的其他无效情形。</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420" w:right="0" w:firstLine="47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r>
        <w:rPr>
          <w:rFonts w:ascii="SimSun" w:hAnsi="SimSun" w:eastAsia="SimSun" w:cs="SimSun"/>
          <w:b/>
          <w:color w:val="000000"/>
          <w:sz w:val="24"/>
        </w:rPr>
        <w:t xml:space="preserve">第一章 投标邀请函</w:t>
      </w:r>
      <w:r/>
      <w:r>
        <w:rPr>
          <w:rFonts w:ascii="Microsoft YaHei" w:hAnsi="Microsoft YaHei" w:eastAsia="Microsoft YaHei" w:cs="Microsoft YaHei"/>
          <w:sz w:val="24"/>
        </w:rP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江苏省太湖渔业管理委员会办公室执法船艇油料采购项目</w:t>
      </w:r>
      <w:r>
        <w:rPr>
          <w:rFonts w:ascii="SimSun" w:hAnsi="SimSun" w:eastAsia="SimSun" w:cs="SimSun"/>
          <w:b/>
          <w:color w:val="000000"/>
          <w:sz w:val="24"/>
        </w:rPr>
        <w:t xml:space="preserve">的潜在投标单位应在</w:t>
      </w:r>
      <w:r>
        <w:rPr>
          <w:rFonts w:ascii="SimSun" w:hAnsi="SimSun" w:eastAsia="SimSun" w:cs="SimSun"/>
          <w:b/>
          <w:color w:val="000000"/>
          <w:sz w:val="24"/>
          <w:u w:val="single"/>
        </w:rPr>
        <w:t xml:space="preserve">“苏采云”系统</w:t>
      </w:r>
      <w:r>
        <w:rPr>
          <w:rFonts w:ascii="SimSun" w:hAnsi="SimSun" w:eastAsia="SimSun" w:cs="SimSun"/>
          <w:b/>
          <w:color w:val="000000"/>
          <w:sz w:val="24"/>
        </w:rPr>
        <w:t xml:space="preserve">获取招标文件，并于2024年</w:t>
      </w:r>
      <w:r>
        <w:rPr>
          <w:rFonts w:ascii="SimSun" w:hAnsi="SimSun" w:eastAsia="SimSun" w:cs="SimSun"/>
          <w:b/>
          <w:color w:val="000000"/>
          <w:sz w:val="24"/>
          <w:u w:val="single"/>
        </w:rPr>
        <w:t xml:space="preserve">6月11日13点30分（北京时间）</w:t>
      </w:r>
      <w:r>
        <w:rPr>
          <w:rFonts w:ascii="SimSun" w:hAnsi="SimSun" w:eastAsia="SimSun" w:cs="SimSun"/>
          <w:b/>
          <w:color w:val="000000"/>
          <w:sz w:val="24"/>
        </w:rPr>
        <w:t xml:space="preserve">前上传投标文件。</w:t>
      </w:r>
      <w:r/>
    </w:p>
    <w:p>
      <w:pPr>
        <w:ind w:left="0" w:right="0" w:firstLine="0"/>
        <w:jc w:val="both"/>
        <w:spacing w:before="0" w:after="0" w:line="85" w:lineRule="atLeast"/>
        <w:tabs>
          <w:tab w:val="left" w:pos="85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 </w:t>
        <w:tab/>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1、项目编号：JSZC-320500-RQZB-G2024-0008</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2、项目名称：江苏省太湖渔业管理委员会办公室执法船艇油料采购项目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3、采购方式：公开招标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4、预算金额：人民币壹佰伍拾万元整（¥：1500000.00）。</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5、最高限价：优惠率90%。本项目采用优惠率报价，优惠率即为折扣率。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6、合同履行期限：自签订合同之日起一年。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7、采购需求：江苏省太湖渔业管理委员会办公室执法船艇油料采购项目，详见招标文件第四章。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二、投标单位的资格要求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1、满足《中华人民共和国政府采购法》第二十二条规定，投标人应当具备下列条件：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（7）单位负责人为同一人或者存在直接控股、管理关系的不同供应商，不得参加同一合同项下的采购活动。存在以上情形参与响应的供应商作无效响应处理。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rPr>
          <w:rFonts w:ascii="SimSun" w:hAnsi="SimSun" w:eastAsia="SimSun" w:cs="SimSun"/>
          <w:b/>
          <w:color w:val="333333"/>
          <w:sz w:val="24"/>
          <w:highlight w:val="white"/>
        </w:rPr>
        <w:t xml:space="preserve">本项目不专门面向中小企业采购。</w:t>
      </w:r>
      <w:r>
        <w:rPr>
          <w:rFonts w:ascii="SimSun" w:hAnsi="SimSun" w:eastAsia="SimSun" w:cs="SimSun"/>
          <w:color w:val="333333"/>
          <w:sz w:val="24"/>
          <w:highlight w:val="white"/>
        </w:rPr>
        <w:t xml:space="preserve">所属行业为</w:t>
      </w:r>
      <w:r>
        <w:rPr>
          <w:rFonts w:ascii="SimSun" w:hAnsi="SimSun" w:eastAsia="SimSun" w:cs="SimSun"/>
          <w:color w:val="000000"/>
          <w:sz w:val="24"/>
          <w:highlight w:val="white"/>
        </w:rPr>
        <w:t xml:space="preserve">工业。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3、本项目的特定资格要求：投标单位须具有有效期内的危险化学品经营许可证（许可范围包含汽油、柴油）及成品油零售经营批准证书（经营零售范围包含汽油、柴油）。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4、联合体及转包、分包：本项目不接受联合体，不得转包、分包本项目。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2、地点：“苏采云”系统自行下载采购文件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SimSun" w:hAnsi="SimSun" w:eastAsia="SimSun" w:cs="SimSun"/>
          <w:b/>
          <w:color w:val="000000"/>
          <w:sz w:val="24"/>
        </w:rPr>
        <w:t xml:space="preserve">苏州现场办理地址：苏州市姑苏区平泷路251号政务服务中心4楼公共交易中心窗口，咨询电话：0512-69820834</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与采购活动：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（3）电子投标准备：供应商在“苏采云”系统中操作成功参与项目后，必须在“已参与项目”界面中下载电子招标文件（后缀名为“.kedt”）并导入政府采购客户端工具后方可进行投标文件制作和提交</w:t>
      </w:r>
      <w:r>
        <w:rPr>
          <w:rFonts w:ascii="SimSun" w:hAnsi="SimSun" w:eastAsia="SimSun" w:cs="SimSun"/>
          <w:b/>
          <w:color w:val="000000"/>
          <w:sz w:val="24"/>
        </w:rPr>
        <w:t xml:space="preserve">（具体详见《苏采云系统供应商操作手册》，网址链接https://czju.suzhou.gov.cn/zfcg/html/content/20231220161910031.shtml）</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在系统操作过程中如有疑问，请按以下方式联系：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注册咨询：18261002950；CA技术咨询电话：400-608-6099；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系统使用指导与咨询：联系电话：18261002950；QQ：3048755361、1315179389、895706745。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4、售价：免费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1、提交投标文件截止时间：2024年</w:t>
      </w:r>
      <w:r>
        <w:rPr>
          <w:rFonts w:ascii="SimSun" w:hAnsi="SimSun" w:eastAsia="SimSun" w:cs="SimSun"/>
          <w:color w:val="000000"/>
          <w:sz w:val="24"/>
          <w:u w:val="single"/>
        </w:rPr>
        <w:t xml:space="preserve">6月11日13点30分</w:t>
      </w:r>
      <w:r>
        <w:rPr>
          <w:rFonts w:ascii="SimSun" w:hAnsi="SimSun" w:eastAsia="SimSun" w:cs="SimSun"/>
          <w:color w:val="000000"/>
          <w:sz w:val="24"/>
        </w:rPr>
        <w:t xml:space="preserve">（北京时间）；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2、开标时间：2024年</w:t>
      </w:r>
      <w:r>
        <w:rPr>
          <w:rFonts w:ascii="SimSun" w:hAnsi="SimSun" w:eastAsia="SimSun" w:cs="SimSun"/>
          <w:color w:val="000000"/>
          <w:sz w:val="24"/>
          <w:u w:val="single"/>
        </w:rPr>
        <w:t xml:space="preserve">6月11日13点30分（北京时间）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3、开标地点：“苏采云”系统（网址：http://jszfcg.jsczt.cn/）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ascii="SimSun" w:hAnsi="SimSun" w:eastAsia="SimSun" w:cs="SimSun"/>
          <w:b/>
          <w:color w:val="000000"/>
          <w:sz w:val="24"/>
        </w:rPr>
        <w:t xml:space="preserve">供应商应充分考虑到网络环境、网络带宽等风险因素，如因供应商自身原因造成的电子投标文件上传不成功由供应商自行承担全部责任。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5、线上参加开标（开启）会方式：供应商登录“苏采云”系统在平台首页点击“开标大厅”，进入江苏省政府采购一体化不见面开标（采购）大厅，在今日项目列表，点击项目，进入不见面开标系统。</w:t>
      </w:r>
      <w:r>
        <w:rPr>
          <w:rFonts w:ascii="SimSun" w:hAnsi="SimSun" w:eastAsia="SimSun" w:cs="SimSun"/>
          <w:b/>
          <w:color w:val="000000"/>
          <w:sz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请供应商确保电脑、系统及其他设备（视频输入输出设备等）无误，且开标直至项目结束始终保持系统在线状态。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rPr>
          <w:rFonts w:ascii="SimSun" w:hAnsi="SimSun" w:eastAsia="SimSun" w:cs="SimSun"/>
          <w:color w:val="000000"/>
          <w:sz w:val="24"/>
        </w:rPr>
        <w:t xml:space="preserve">自本公告发布之日起 5 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本项目获取招标文件截止日期之后仍可以下载招标文件，但截止日期之后下载的招标文件，视为非有效方式且不作为供应商权益受到损害的证明材料和依据。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七、对本次征集提出询问，请按以下方式联系：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名称：江苏省太湖渔业管理委员会办公室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苏州市吴中区越溪街道苏街123号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联系人：陆建明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联系方式：0512-66035010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名称：苏州润启招投标咨询服务有限公司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地址：苏州市相城区相城大道168号新尚商业广场A座1212、1213室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项目联系人：胡嫣婷、史云路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联系方式：15262461408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联系人：胡嫣婷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联系方式：15262461408</w:t>
      </w:r>
      <w:r/>
    </w:p>
    <w:p>
      <w:pPr>
        <w:pStyle w:val="64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第二章  投标人须知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一、说明和释义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1.1本招标文件仅适用苏州润启招投标咨询服务有限公司组织的招标活动。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1.2本次招标活动及因本次招标产生的合同受中国法律制约和保护。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1.3本招标文件的解释权属苏州润启招投标咨询服务有限公司。</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2.词语释义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采购人：指依法进行政府采购的国家机关、事业单位、团体组织。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2.2采购代理机构：指依法接受采购人委托，从事货物、工程和服务等政府采购业务的采购代理机构。本项目的采购代理机构是苏州润启招投标咨询服务有限公司。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投标人：指投标招标、参加投标竞争的法人、其他组织或自然人。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2.4投标：投标人根据采购人或采购代理机构发布的招标文件，编制投标文件并按规定投标的行为。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2.5合同：采供双方根据招标文件和中标的投标文件及中标通知书规定的内容签署的以书面形式所达成的协议，包括所有的附件、附录和构成协议的所有文件。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2.6甲方（采购人）：指招标文件中载明的，依法进行政府采购的国家机关、事业单位、团体组织。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2.7乙方（供应商）：合同中规定的向采购人提供货物和服务的法人或其他组织和自然人。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2.8天：日历日。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2.9时间：除特别说明，均指北京时间。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2.10知识产权：指专利权、商标权、著作权等无形财产专有权的统称。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2.11交货地点：合同中明确约定的乙方提交的货物和服务最终到达地点。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2.12合同价款：根据合同规定,乙方在正确地履行合同义务后甲方应支付乙方的价款。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2.13服务：系指本次招标文件规定乙方应承担的与提供货物和服务有关的辅助服务，比如运输、保险、安装、调试、提供技术援助、培训、配合措施、维修投标及合同中规定乙方应承担的其它义务。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2.14不可抗力：不能预见、不能避免并且不能克服的客观情况。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2.15实质性投标：满足有关本次采购标的、数量、质量、价款或者报酬、履行期限、履行地点和方式、违约责任和解决争议方法等要求。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2.16进口产品：指通过中国海关报关验放进入中国境内且产自境外的产品。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2.17书面形式：指书面文字、合同书、信件和传真等可以有形地表现所载内容的形式。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3.合格投标人的资格条件：</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3.1满足《中华人民共和国政府采购法》第二十二条规定，投标单位应当具备下列条件：</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（7）单位负责人为同一人或者存在直接控股、管理关系的不同供应商，不得参加同一合同项下的采购活动。存在以上情形参与响应的供应商作无效响应处理。</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3.2落实政府采购政策需满足的资格要求：</w:t>
      </w:r>
      <w:r>
        <w:rPr>
          <w:rFonts w:ascii="SimSun" w:hAnsi="SimSun" w:eastAsia="SimSun" w:cs="SimSun"/>
          <w:b/>
          <w:color w:val="333333"/>
          <w:sz w:val="24"/>
          <w:highlight w:val="white"/>
        </w:rPr>
        <w:t xml:space="preserve">本项目不专门面向中小企业采购。</w:t>
      </w:r>
      <w:r>
        <w:rPr>
          <w:rFonts w:ascii="SimSun" w:hAnsi="SimSun" w:eastAsia="SimSun" w:cs="SimSun"/>
          <w:color w:val="333333"/>
          <w:sz w:val="24"/>
          <w:highlight w:val="white"/>
        </w:rPr>
        <w:t xml:space="preserve">所属行业为</w:t>
      </w:r>
      <w:r>
        <w:rPr>
          <w:rFonts w:ascii="SimSun" w:hAnsi="SimSun" w:eastAsia="SimSun" w:cs="SimSun"/>
          <w:color w:val="000000"/>
          <w:sz w:val="24"/>
          <w:highlight w:val="white"/>
        </w:rPr>
        <w:t xml:space="preserve">工业。</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3.3本项目的特定资格要求：投标单位须具有有效期内的危险化学品经营许可证（许可范围包含汽油、柴油）及成品油零售经营批准证书（经营零售范围包含汽油、柴油）。</w:t>
      </w:r>
      <w:r/>
    </w:p>
    <w:p>
      <w:pPr>
        <w:ind w:left="0" w:right="15"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4.投标人代表</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4.1指授权全权代表投标人参加投标活动并签署投标文件的人，如果投标人代表不是法人代表，须持有《法定代表人授权委托书》（详见统一格式）。</w:t>
      </w:r>
      <w:r/>
    </w:p>
    <w:p>
      <w:pPr>
        <w:ind w:left="0" w:right="15"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5.投标费用</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5.1无论投标过程中的做法和结果如何，投标人自行承担所有与参加投标有关的全部费用。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5.2本次招标活动采购人和采购代理机构不收取标书工本费。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6.联合投标及转包、分包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6.1本项目不接受联合体投标。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6.2本项目不接受转包、分包。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6.3本项目不接受进口产品。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三、招标文件的说明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8.4招标文件的澄清、修改、补充等内容均以苏州市政府采购网上发布的内容为准。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9.勘察现场（不涉及此条的忽略）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9.1根据自身投标需要，投标人可对有关现场和周围环境进行勘察，以获取编制投标文件和签署合同所需的信息。勘察现场所发生的费用由投标人自己承担。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9.3经采购人允许，投标人可为勘察目的进入采购人的项目现场，但投标人不得因此使采购人承担有关的责任和蒙受损失。投标人应承担勘察现场的责任和风险。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10.2本次招标文件要求供应商在法定质疑期内一次性提出针对同一采购程序环节的质疑，否则不予受理。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10.3供应商提出质疑应当提交质疑函和必要的证明材料，质疑函应当包括下列内容：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以提供的营业执照副本复印件为准）、地址、邮编、联系人及联系电话；（2）质疑项目的名称、编号；（3）具体、明确的质疑事项和与质疑事项相关的请求；（4）事实依据；（5）必要的法律依据；（6）提出质疑的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投标单位为自然人的，应当由本人签字；投标单位为法人或者其他组织的，应当由法定代表人、主要负责人，或者其授权代表签字或者盖章，并加盖公章。投标单位委托代理进行质疑的，其</w:t>
      </w:r>
      <w:r>
        <w:rPr>
          <w:rFonts w:ascii="SimSun" w:hAnsi="SimSun" w:eastAsia="SimSun" w:cs="SimSun"/>
          <w:b/>
          <w:color w:val="000000"/>
          <w:sz w:val="24"/>
        </w:rPr>
        <w:t xml:space="preserve">授权委托书</w:t>
      </w:r>
      <w:r>
        <w:rPr>
          <w:rFonts w:ascii="SimSun" w:hAnsi="SimSun" w:eastAsia="SimSun" w:cs="SimSun"/>
          <w:color w:val="000000"/>
          <w:sz w:val="24"/>
        </w:rPr>
        <w:t xml:space="preserve">上应当载明代理人的姓名或者名称、代理事项、具体权限、期限和相关事项。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投标单位提交的质疑函必须按照《政府采购供应商质疑函范本》要求的格式和内容进行填写，质疑函范本下载网址详见链接：https://czju.suzhou.gov.cn/zfcg/html/content/20180305093615738.shtml</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ascii="SimSun" w:hAnsi="SimSun" w:eastAsia="SimSun" w:cs="SimSun"/>
          <w:b/>
          <w:color w:val="000000"/>
          <w:sz w:val="24"/>
        </w:rPr>
        <w:t xml:space="preserve">《投标供应商确认函》</w:t>
      </w:r>
      <w:r>
        <w:rPr>
          <w:rFonts w:ascii="SimSun" w:hAnsi="SimSun" w:eastAsia="SimSun" w:cs="SimSun"/>
          <w:color w:val="000000"/>
          <w:sz w:val="24"/>
        </w:rPr>
        <w:t xml:space="preserve">）与质疑函一起递交，否则不予受理。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10.5接收质疑函的方式：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质疑联系人：胡嫣婷；联系电话：15262461408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邮寄收取地址: 苏州市相城区相城大道168号新尚商业广场A座1212、1213室。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11.提示与要求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11.1投标人应仔细阅读招标文件的所有内容，应当按照招标文件的要求编制投标文件，并保证所提供全部资料的真实性，以使其投标对招标文件作出实质性投标，否则，其投标可能被拒绝。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11.2无论是否递交投标文件，投标人都应将招标文件及以后的所有通知、文件等视为保密文件。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12.投标文件计量单位和使用文字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12.1投标文件中所使用的计量单位，除招标文件中有特殊要求外，均应使用中华人民共和国法定计量单位。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right="0" w:firstLine="48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14.投标文件的组成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14.1.1封面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14.1.2开标一览表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14.1.3资格审查文件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14.1.3.1关于资格文件的声明函（格式见第三章）；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14.1.3.2投标人基本情况表（格式见第三章）；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14.1.3.3投标人法定代表人身份证复印件；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14.1.3.4法定代表人授权委托书（如有授权，格式见第三章）；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14.1.3.5投标人授权代理人身份证复印件（如有授权）；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14.1.3.6合格投标人资格证明材料：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（1）具有独立承担民事责任的能力证明。包括法人或者其他组织的营业执照等证明文件，自然人的身份证明；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（2）具有良好的商业信誉和健全的财务会计制度证明（法人应提供最近一期经会计师事务所审计的财务报告，其他组织、自然人及成立未满一年的法人应提供银行出具的资信证明）；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（3）具备履行合同所必需的设备和专业技术能力的证明材料或承诺；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（6）投标单位提供有效期内的危险化学品经营许可证（许可范围包含汽油、柴油）及成品油零售经营批准证书（经营零售范围包含汽油、柴油）复印件；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14.1.3.7其它有关资格证明文件：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14.1.4符合性审查文件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14.1.4.1投标函；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14.1.4.2投标货物和服务数量、品牌规格、性能、交货期说明表（不得出现价格）；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14.1.4.3技术参数响应及偏离表；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14.1.4.4商务条款响应及偏离表；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14.1.4.5对属于《节能产品政府采购品目清单》政府强制采购产品的，需提供该产品有效期内的认证等相关证明材料（如有）；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14.1.4.6其他有关符合性证明的文件；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14.1.5综合评审文件；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14.1.6《中小企业声明函》或《残疾人福利性单位声明函》或由省级以上监狱管理局、戒毒管理局（含新疆生产建设兵团）出具的属于监狱企业的证明文件（如有）；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14.1.7其他可以证明投标人资质、服务质量的证书、文件等相关资料。</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注：（1）以上14.1.3.1-14.1.3.7为资格审查要求提供的材料，是作为对供应商资格审查、质疑身份认定的依据，投标人必须提供并加盖电子公章。否则，投标文件将被认定为不符合资格审查要求。</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（2）以上14.1.4.1-14.1.4.6为符合性审查须提供的资料，投标人必须提供并加盖电子公章。否则，投标文件将被认定为未实质性响应。</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（3）“14.1.3-14.1.7”中不得出现投标总报价。</w:t>
      </w:r>
      <w:r>
        <w:rPr>
          <w:rFonts w:ascii="SimSun" w:hAnsi="SimSun" w:eastAsia="SimSun" w:cs="SimSun"/>
          <w:color w:val="000000"/>
          <w:sz w:val="24"/>
        </w:rPr>
        <w:t xml:space="preserve">投标人所提交的资料的完整与否，将直接影响投标人的评分。</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15.投标文件编制要求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15.1投标文件按统一格式、顺序编写。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15.2《开标一览表》为在开标仪式上唱标的内容，要求按格式填写，统一规范，不得自行增减内容。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16.投标报价（编制）要求的说明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除非合同中另有规定，投标人对《开标一览表》中的报价应包括在承包期内所需的汽柴油、人员费用、社保、意外险、运作费、设备工具费、国假加班费、代理服务费、利润、税金、政策性文件规定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16.3投标人应对招标文件内所要采购的全部内容进行报价，只投其中部分内容者，其标书将被拒绝（如为多标段项目，则上述提到的全部内容是指所投标段对应采购的全部内容）。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16.4一项投标内容只允许一个报价，招标人不接受任何有选择性的投标报价。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16.5投标文件报价采用人民币表示，除非合同的特殊条款另有规定。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16.6最低的报价或最高的折扣率不能作为中标的保证。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17.投标保证金：本项目不收取投标保证金。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18.投标文件的有效期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18.1自提交投标文件截止之日起90天内，投标文件中承诺的投标有效期应当不少于招标文件中载明的投标有效期。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18.2在特殊情况下，采购人、采购代理机构可与投标人协商延长投标书的有效期。这种要求和答复都应以书面形式进行。同意延长有效期的投标人不能修改投标文件。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19.投标文件的制作、签署、上传</w:t>
      </w:r>
      <w:r/>
    </w:p>
    <w:p>
      <w:pPr>
        <w:ind w:left="0" w:right="0" w:firstLine="4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19.1本项目采用电子招投标形式，请供应商按照</w:t>
      </w:r>
      <w:r>
        <w:rPr>
          <w:rFonts w:ascii="SimSun" w:hAnsi="SimSun" w:eastAsia="SimSun" w:cs="SimSun"/>
          <w:b/>
          <w:color w:val="000000"/>
          <w:sz w:val="24"/>
        </w:rPr>
        <w:t xml:space="preserve">《苏采云系统供应商操作手册》</w:t>
      </w:r>
      <w:r>
        <w:rPr>
          <w:rFonts w:ascii="SimSun" w:hAnsi="SimSun" w:eastAsia="SimSun" w:cs="SimSun"/>
          <w:color w:val="000000"/>
          <w:sz w:val="24"/>
        </w:rPr>
        <w:t xml:space="preserve">进行制作、上传电子投标文件。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19.2制作电子投标文件时，应按照招标文件要求加盖投标人电子公章。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w:t>
      </w:r>
      <w:r>
        <w:rPr>
          <w:rFonts w:ascii="SimSun" w:hAnsi="SimSun" w:eastAsia="SimSun" w:cs="SimSun"/>
          <w:b/>
          <w:color w:val="000000"/>
          <w:sz w:val="24"/>
        </w:rPr>
        <w:t xml:space="preserve">电子投标文件制作完成后请于投标文件网上提交截止时间前成功上传至“苏采云”系统，否则视为放弃参加该采购项目。</w:t>
      </w:r>
      <w:r>
        <w:rPr>
          <w:rFonts w:ascii="SimSun" w:hAnsi="SimSun" w:eastAsia="SimSun" w:cs="SimSun"/>
          <w:color w:val="000000"/>
          <w:sz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五、投标文件的递交、补充、修改和撤回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20.1投标人应当在在投标截止时间前制作并上传电子投标文件。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20.2投标人通过</w:t>
      </w:r>
      <w:r>
        <w:rPr>
          <w:rFonts w:ascii="SimSun" w:hAnsi="SimSun" w:eastAsia="SimSun" w:cs="SimSun"/>
          <w:b/>
          <w:color w:val="000000"/>
          <w:sz w:val="24"/>
        </w:rPr>
        <w:t xml:space="preserve">“苏采云”系统不见面开标大厅在线参与开标活动。（具体操作详见《苏采云系统供应商操作手册》，网址链接https://czju.suzhou.gov.cn/zfcg/html/content/20231220161910031.shtml）</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21.1投标人应当在招标文件要求投标文件网上提交截止时间前，将投标文件完成提交（上传）。逾期提交（上传）的投标文件，采购人和采购代理机构拒绝接收。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21.2采购人和采购代理机构推迟投标截止时间时，将按本须知规定的更正公告的方式对外发布。在这种情况下，采购人、采购代理机构和投标人的权利和义务将受到新的截止期的约束。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21.3在投标截止时间止成功解密的投标文件少于三份，采购代理机构有权宣布本次招标失败。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22.投标文件的补充、修改和撤回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22.2投标人在投标文件网上提交截止时间前，可以撤回其电子投标文件，具体操作方法见《苏采云系统供应商操作手册》。</w:t>
      </w:r>
      <w:r>
        <w:rPr>
          <w:rFonts w:ascii="SimSun" w:hAnsi="SimSun" w:eastAsia="SimSun" w:cs="SimSun"/>
          <w:color w:val="000000"/>
          <w:sz w:val="24"/>
          <w:u w:val="none"/>
        </w:rPr>
        <w:t xml:space="preserve">投标人撤回电子投标文件，则认为其不再参与本项目投标活动。在投标截止时间至招标文件中规定的投标有效期满之间的这段时间内，投标人不得撤回其投标。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六、开标和评标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23.1开标由采购代理机构在线主持，邀请投标人在线参加。投标人应当按照《苏采云系统供应商操作手册》规定，</w:t>
      </w:r>
      <w:r>
        <w:rPr>
          <w:rFonts w:ascii="SimSun" w:hAnsi="SimSun" w:eastAsia="SimSun" w:cs="SimSun"/>
          <w:b/>
          <w:color w:val="000000"/>
          <w:sz w:val="24"/>
        </w:rPr>
        <w:t xml:space="preserve">参加开标活动和在“苏采云”系统规定的时间内对投标文件进行解密</w:t>
      </w:r>
      <w:r>
        <w:rPr>
          <w:rFonts w:ascii="SimSun" w:hAnsi="SimSun" w:eastAsia="SimSun" w:cs="SimSun"/>
          <w:color w:val="000000"/>
          <w:sz w:val="24"/>
        </w:rPr>
        <w:t xml:space="preserve">。评标委员会成员不得参加开标活动。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23.3.1公开招标采购项目开标结束后，采购人应当依法对投标人的资格进行审查，未通过资格审查的视为无效投标。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23.3.2.1查询时间：投标文件递交截止时间。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23.3.2.2查询渠道</w:t>
      </w:r>
      <w:r>
        <w:rPr>
          <w:rFonts w:ascii="SimSun" w:hAnsi="SimSun" w:eastAsia="SimSun" w:cs="SimSun"/>
          <w:b/>
          <w:color w:val="000000"/>
          <w:sz w:val="24"/>
        </w:rPr>
        <w:t xml:space="preserve">：</w:t>
      </w:r>
      <w:r>
        <w:rPr>
          <w:rFonts w:ascii="SimSun" w:hAnsi="SimSun" w:eastAsia="SimSun" w:cs="SimSun"/>
          <w:color w:val="000000"/>
          <w:sz w:val="24"/>
        </w:rPr>
        <w:t xml:space="preserve">采购代理机构会在接收投标文件截止时间后，登录信用中国网站（www.creditchina.gov.cn）和中国政府采购网（www.ccgp.gov.cn/）查询供应商的信用记录，并将查询结果递交评标委员会。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24.1评标委员会负责具体评标事务，并独立履行下列职责：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24.1.1审查、评价投标文件是否符合招标文件的商务、技术等实质性要求；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24.1.2要求投标人对投标文件有关事项作出澄清或者说明；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24.1.3对投标文件进行比较和评价；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24.1.4确定中标候选人名单，以及根据采购人委托直接确定中标人；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24.1.5向采购人、采购代理机构或者有关部门报告评标中发现的违法行为。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24.2评标委员会成员应当履行下列义务：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24.2.1遵纪守法，客观、公正、廉洁地履行职责；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24.2.2按照招标文件规定的评标办法和评标标准进行评标，对评审意见承担个人责任；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24.2.3对评标过程和结果，以及投标人的商业秘密保密；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24.2.4评标委员会根据全体评标成员签字的原始评标记录和评标结果编写评标报告。评标报告应当包括以下内容：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（一）招标公告刊登的媒体名称、开标日期和地点；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（二）投标人名单和评标委员会成员名单；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（三）评标方法和标准；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（四）开标记录和评标情况及说明，包括无效投标人名单及原因；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（五）评标结果，确定的中标候选人名单或者经采购人委托直接确定的中标人；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（六）其他需要说明的情况，包括评标过程中投标人根据评标委员会要求进行的澄清、说明或者补正，评标委员会成员的更换等。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24.2.5配合相关部门的投诉处理工作；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24.2.6配合采购人和采购代理机构答复投标人提出的质疑。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25.评标内容的保密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25.1公开开标后，直到宣布授予中标合同为止，凡属于审查、澄清、评价和比较投标的所有资料，有关授予合同的信息都不应向投标人或与评标无关的其他人泄露。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25.2在投标文件的审查、澄清、评价和比较以及授予合同的过程中，投标人对采购人、采购代理机构和评标委员会成员施加影响的任何行为，都将取消其中标资格。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26.对投标文件初审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26.1评标委员会应当对符合资格的投标人的投标文件进行符合性审查，以确定其是否满足招标文件的实质性要求。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投标文件有下列情况之一者评标委员会有权将其拒绝：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26.1.1投标人的投标文件未按照本须知规定制作的；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26.1.2未按本须知规定提交资格文件；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26.1.3与招标文件有重大偏离；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26.1.4投标人拒绝修正错误；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26.1.5投标人的报价是选择性的；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26.1.6投标人的报价只投了部分内容；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26.1.7投标人的投标文件出现了评标委员会认为不应当雷同的情况；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26.1.8其他被评委会认定无效的情况。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26.3投标文件报价出现前后不一致的，除招标文件另有规定外，按照下列规定修正：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（一）投标文件中开标一览表（报价表）内容与投标文件中相应内容不一致的，以开标一览表（报价表）为准；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27.投标的澄清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27.1对于投标文件中含义不明确、同类问题表述不一致或者有明显文字和计算错误的内容，评标委员会应当以书面形式要求投标人作出必要的澄清、说明或者补正。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27.2投标人的澄清、说明或者补正应当采用书面形式，并加盖其单位电子公章。投标人的澄清、说明或者补正不得超出投标文件的范围或者改变投标文件的实质性内容。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ascii="SimSun" w:hAnsi="SimSun" w:eastAsia="SimSun" w:cs="SimSun"/>
          <w:color w:val="000000"/>
          <w:sz w:val="24"/>
        </w:rPr>
        <w:t xml:space="preserve">(</w:t>
      </w:r>
      <w:r>
        <w:rPr>
          <w:rFonts w:ascii="SimSun" w:hAnsi="SimSun" w:eastAsia="SimSun" w:cs="SimSun"/>
          <w:b/>
          <w:color w:val="000000"/>
          <w:sz w:val="24"/>
        </w:rPr>
        <w:t xml:space="preserve">此处规定时间的计算以系统中的倒计时间为准，</w:t>
      </w:r>
      <w:r>
        <w:rPr>
          <w:rFonts w:ascii="SimSun" w:hAnsi="SimSun" w:eastAsia="SimSun" w:cs="SimSun"/>
          <w:color w:val="000000"/>
          <w:sz w:val="24"/>
        </w:rPr>
        <w:t xml:space="preserve">供应商应随时保持系统在线，如因供应商自身原因未在规定时间内提交澄清确认资料的，导致的不利后果由供应商自行承担。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28.1投标人存在下列情况之一的，投标无效: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（一）投标文件未按招标文件要求签署、盖章的；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（二）不具备招标文件中规定的资格要求的；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（三）报价超过招标文件中规定的预算金额或者最高限价的；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（四）投标文件含有采购人不能接受的附加条件的；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（五）机器码检查中，出现不同投标人投标文件机器码一致情形的；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（六）法律、法规和招标文件规定的其他无效情形。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28.2投标人应当遵循公平竞争的原则，不得恶意串通，不得妨碍其他投标人的竞争行为，不得损害采购人或者其他投标人的合法权益。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在评标过程中发现投标人有上述情形的，评标委员会应当认定其投标无效，并书面报告本级财政部门。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28.3有下列情形之一的，视为投标人串通投标，其投标无效：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（一）不同投标人的投标文件由同一单位或者个人编制；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（二）不同投标人委托同一单位或者个人办理投标事宜；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（三）不同投标人的投标文件载明的项目管理成员或者联系人员为同一人；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（四）不同投标人的投标文件异常一致或者投标报价呈规律性差异；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（五）不同投标人的投标文件相互混装。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29.1在招标过程中，出现下列情况之一的，应予废标：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29.1.1符合专业条件的供应商或者对招标文件作实质投标的供应商不足三家的；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29.1.3投标人的报价均超过了采购预算，采购人不能支付的；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28.1.4因重大变故，采购任务取消的；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29.2废标后，采购人和采购代理机构将把废标的理由通知所有投标人。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30.投标文件的评价和比较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30.2最低的投标报价或最高的折扣比例是中标的重要条件，但不是唯一条件。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31.中标单位的确认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31.1评标委员会根据投标人资格审查情况，对投标文件进行评价和比较，按照评标办法和标准进行评标，并按采购人的委托向采购人推荐中标人。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32.合同授予标准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采购人将把合同授予其投标文件在实质上响应投标招标文件要求且按本须知规定评选出的投标人。确定为中标的投标人必须具有实施本合同的能力和资源。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33.1确定出中标人后，采购代理机构在法定时间内向中标人发出中标通知书。</w:t>
      </w:r>
      <w:r>
        <w:rPr>
          <w:rFonts w:ascii="SimSun" w:hAnsi="SimSun" w:eastAsia="SimSun" w:cs="SimSun"/>
          <w:b/>
          <w:color w:val="000000"/>
          <w:sz w:val="24"/>
        </w:rPr>
        <w:t xml:space="preserve">请中标人在中标结果公告届满之日起30日内,使用CA证书登录“苏采云”系统及时下载中标通知书。</w:t>
      </w:r>
      <w:r>
        <w:rPr>
          <w:rFonts w:ascii="SimSun" w:hAnsi="SimSun" w:eastAsia="SimSun" w:cs="SimSun"/>
          <w:color w:val="000000"/>
          <w:sz w:val="24"/>
        </w:rPr>
        <w:t xml:space="preserve">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33.2中标通知书将成为合同的组成部分，对采购人和中标人具有同等法律效力。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34.3中标通知书发出后，采购人不得违法改变中标结果，中标人无正当理由不得放弃中标。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34.合同的签订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34.2采购人与中标人所签订的合同不得对招标文件确定的事项和中标人投标文件作实质性修改，采购人不得向中标人提出任何不合理的要求作为签订合同的条件。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34.3招标文件、中标人的投标文件及招标过程中有关澄清、承诺文件均应作为合同附件。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34.4依据《政府采购促进中小企业发展管理办法》（财库〔2020〕46号）规定，依据本办法规定享受扶持政策获得政府采购合同的，小微企业不得将合同分包给大中型企业，中型企业不得将合同分包给大型企业。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八、其他事项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35.代理服务费：</w:t>
      </w:r>
      <w:r>
        <w:rPr>
          <w:rFonts w:ascii="SimSun" w:hAnsi="SimSun" w:eastAsia="SimSun" w:cs="SimSun"/>
          <w:color w:val="000000"/>
          <w:sz w:val="24"/>
        </w:rPr>
        <w:t xml:space="preserve">代理服务费由采购人支付，本项目代理服务费4000元。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服务费账号：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帐户名：苏州润启招投标咨询服务有限公司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开户行：中国农业银行股份有限公司苏州城市广场支行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账号：10554601040012606</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36.对投标人的机器码检查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36.1机器码检查中，出现不同投标人投标文件机器码一致情形的，投标文件将被认定为无效投标；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36.2投标人在机器码检查中被查出存在机器码一致情形的，后续若本项目因故废标，相关供应商将被禁止参加本项目废标后重新开展的相关采购活动。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37.有关监督部门将对招投标全过程进行监督。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38.未尽事宜：</w:t>
      </w:r>
      <w:r>
        <w:rPr>
          <w:rFonts w:ascii="SimSun" w:hAnsi="SimSun" w:eastAsia="SimSun" w:cs="SimSun"/>
          <w:color w:val="000000"/>
          <w:sz w:val="24"/>
        </w:rPr>
        <w:t xml:space="preserve">按《中华人民共和国政府采购法》及其他有关的法律法规的规定执行。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
        <w:rPr>
          <w:rFonts w:ascii="SimSun" w:hAnsi="SimSun" w:eastAsia="SimSun" w:cs="SimSun"/>
          <w:b/>
          <w:color w:val="000000"/>
          <w:sz w:val="24"/>
        </w:rPr>
        <w:t xml:space="preserve">第三章  投标文件格式</w:t>
      </w:r>
      <w:r/>
      <w:r>
        <w:rPr>
          <w:rFonts w:ascii="Microsoft YaHei" w:hAnsi="Microsoft YaHei" w:eastAsia="Microsoft YaHei" w:cs="Microsoft YaHei"/>
          <w:sz w:val="24"/>
        </w:rP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对本章所有的投标书格式，投标方可根据自身情况进行补充和修改，但补充和修改不得造成与本格式内容有实质性的违背。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rPr>
          <w:rFonts w:ascii="Calibri" w:hAnsi="Calibri" w:eastAsia="Calibri" w:cs="Calibri"/>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附件1、投标函</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投标函</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苏州润启招投标咨询服务有限公司</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我方收到贵中心</w:t>
      </w:r>
      <w:r>
        <w:rPr>
          <w:rFonts w:ascii="SimSun" w:hAnsi="SimSun" w:eastAsia="SimSun" w:cs="SimSun"/>
          <w:color w:val="000000"/>
          <w:sz w:val="24"/>
          <w:u w:val="single"/>
        </w:rPr>
        <w:t xml:space="preserve">JSZC-320500-RQZB-G2024-0008</w:t>
      </w:r>
      <w:r>
        <w:rPr>
          <w:rFonts w:ascii="SimSun" w:hAnsi="SimSun" w:eastAsia="SimSun" w:cs="SimSun"/>
          <w:color w:val="000000"/>
          <w:sz w:val="24"/>
        </w:rPr>
        <w:t xml:space="preserve">（项目编号）招标文件，经仔细阅读和研究，我方决定参加投标，并向贵中心作出如下承诺：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愿意按照招标文件的一切要求，提供本项目的所有内容，我方投标的报价应包括在承包期内所需的汽柴油、人员费用、社保、意外险、运作费、设备工具费、国假加班费、代理服务费、利润、税金、政策性文件规定及合同包含的所有风险、责任等各项应有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2、如果我方的投标书被接受，我方将严格履行招标文件中规定的每一项要求，严格履行合同的责任和义务，保证按期、按质履行合同，完成合同所规定的全部内容。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3、我方已详细审查并同意招标文件及更正文件（若有）中的规定。我方完全理解并同意放弃对这方面有不明及误解的权利。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4、本投标书的有效期限为投标截止时间之日起90天。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5、我方保证所提交的投标文件中所有资料均是真实的、准确的。若与真实情况不符，我方愿意承担由此而产生的一切后果。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6、我方承诺该项投标在开标后的全过程中保持有效，不作任何更改和变动。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7、我方承诺满足《中华人民共和国政府采购法》第二十二条规定的所有条件。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8、与本投标有关的通讯地址：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   位：                                        联 系 人：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                                       邮政编码：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电子邮箱：</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
        <w:rPr>
          <w:rFonts w:ascii="SimSun" w:hAnsi="SimSun" w:eastAsia="SimSun" w:cs="SimSun"/>
          <w:b/>
          <w:color w:val="000000"/>
          <w:sz w:val="24"/>
        </w:rPr>
        <w:t xml:space="preserve">附件2.开标一览表</w:t>
      </w:r>
      <w:r/>
      <w:r>
        <w:rPr>
          <w:rFonts w:ascii="Microsoft YaHei" w:hAnsi="Microsoft YaHei" w:eastAsia="Microsoft YaHei" w:cs="Microsoft YaHei"/>
          <w:sz w:val="24"/>
        </w:rP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项目编号：JSZC-320500-RQZB-G2024-0008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7"/>
        <w:gridCol w:w="4277"/>
      </w:tblGrid>
      <w:tr>
        <w:trPr>
          <w:trHeight w:val="2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优惠率</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汽、柴油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ind w:left="40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400" w:right="0" w:firstLine="48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1、开标一览表必须加盖投标人公章（复印件无效）。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2、如有分包，投标单位投任何一个包的标的，都需单独填写开标一览表。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3、本表中优惠率即为折扣率。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4、本项目油料结算价格=江苏省发改委当期江苏省成品油价格调整公告最新公布的0#柴油、95＃汽油最高零售价×中标优惠率。</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rPr>
          <w:rFonts w:ascii="Calibri" w:hAnsi="Calibri" w:eastAsia="Calibri" w:cs="Calibri"/>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附件3.法定代表人授权委托书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法定代表人授权委托书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u w:val="none"/>
        </w:rPr>
        <w:t xml:space="preserve">（</w:t>
      </w:r>
      <w:r>
        <w:rPr>
          <w:rFonts w:ascii="SimSun" w:hAnsi="SimSun" w:eastAsia="SimSun" w:cs="SimSun"/>
          <w:color w:val="000000"/>
          <w:sz w:val="24"/>
        </w:rPr>
        <w:t xml:space="preserve">投标人名称）的法定代表人，现授权委托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（姓名）为我公司授权代表（即代理人），以本公司的名义参加</w:t>
      </w:r>
      <w:r>
        <w:rPr>
          <w:rFonts w:ascii="SimSun" w:hAnsi="SimSun" w:eastAsia="SimSun" w:cs="SimSun"/>
          <w:color w:val="000000"/>
          <w:sz w:val="24"/>
          <w:u w:val="single"/>
        </w:rPr>
        <w:t xml:space="preserve">苏州润启招投标咨询服务有限公司</w:t>
      </w:r>
      <w:r>
        <w:rPr>
          <w:rFonts w:ascii="SimSun" w:hAnsi="SimSun" w:eastAsia="SimSun" w:cs="SimSun"/>
          <w:color w:val="000000"/>
          <w:sz w:val="24"/>
        </w:rPr>
        <w:t xml:space="preserve">组织实施的编号为</w:t>
      </w:r>
      <w:r>
        <w:rPr>
          <w:rFonts w:ascii="SimSun" w:hAnsi="SimSun" w:eastAsia="SimSun" w:cs="SimSun"/>
          <w:color w:val="000000"/>
          <w:sz w:val="24"/>
          <w:u w:val="single"/>
        </w:rPr>
        <w:t xml:space="preserve">JSZC-320500-RQZB-G2024-0008</w:t>
      </w:r>
      <w:r>
        <w:rPr>
          <w:rFonts w:ascii="SimSun" w:hAnsi="SimSun" w:eastAsia="SimSun" w:cs="SimSun"/>
          <w:color w:val="000000"/>
          <w:sz w:val="24"/>
        </w:rPr>
        <w:t xml:space="preserve">号（项目编号）的招标活动。代理人在开标、评标、合同谈判过程中所签署的一切文件和处理与这有关的一切事务，我均予以承认。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代理人在授权委托书有效期内签署的所有文件不因授权委托的撤销而失效，除非有撤销授权委托的书面通知，本授权委托书自投标开始至合同履行完毕止。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代理人无转委托权。特此委托。</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rPr>
          <w:rFonts w:ascii="SimSun" w:hAnsi="SimSun" w:eastAsia="SimSun" w:cs="SimSun"/>
          <w:b/>
          <w:color w:val="000000"/>
          <w:sz w:val="24"/>
        </w:rPr>
        <w:t xml:space="preserve">附件4.中小企业声明函</w:t>
      </w:r>
      <w:r/>
      <w:r>
        <w:rPr>
          <w:rFonts w:ascii="SimSun" w:hAnsi="SimSun" w:eastAsia="SimSun" w:cs="SimSun"/>
          <w:sz w:val="24"/>
        </w:rP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中小企业声明函（货物）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苏州润启招投标咨询服务有限公司：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 </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采购活动，提供的货物全部由符合政策要求的中小企业制造。相关企业（含联合体中的中小企业、签订分包意向协议的中小企业）的具体情况如下：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ff"/>
          <w:sz w:val="24"/>
          <w:u w:val="single"/>
          <w:vertAlign w:val="superscript"/>
        </w:rPr>
        <w:footnoteReference w:id="2"/>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250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年    月   日</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279" w:lineRule="atLeast"/>
        <w:rPr>
          <w:rFonts w:ascii="Calibri" w:hAnsi="Calibri" w:eastAsia="Calibri" w:cs="Calibri"/>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苏州润启招投标咨询服务有限公司</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中国残疾人联合会关于促进残疾人就业政府采购政策的通知》（财库〔2017〕141号）的规定，本单位为符合条件的残疾人福利性单位，且本单位参加贵中心组织实施的编号为</w:t>
      </w:r>
      <w:r>
        <w:rPr>
          <w:rFonts w:ascii="SimSun" w:hAnsi="SimSun" w:eastAsia="SimSun" w:cs="SimSun"/>
          <w:color w:val="000000"/>
          <w:sz w:val="24"/>
          <w:u w:val="single"/>
        </w:rPr>
        <w:t xml:space="preserve">JSZC-320500-RQZB-G2024-0008</w:t>
      </w:r>
      <w:r>
        <w:rPr>
          <w:rFonts w:ascii="SimSun" w:hAnsi="SimSun" w:eastAsia="SimSun" w:cs="SimSun"/>
          <w:color w:val="000000"/>
          <w:sz w:val="24"/>
        </w:rPr>
        <w:t xml:space="preserve">号的招标活动提供本单位制造的货物（由本单位承担工程/提供服务），或者提供其他残疾人福利性单位制造的货物（不包括使用非残疾人福利性单位注册商标的货物）。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10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0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投标单位（盖章）：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10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42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备注：1.</w:t>
      </w:r>
      <w:r>
        <w:rPr>
          <w:rFonts w:ascii="SimSun" w:hAnsi="SimSun" w:eastAsia="SimSun" w:cs="SimSun"/>
          <w:b/>
          <w:color w:val="333333"/>
          <w:sz w:val="21"/>
          <w:highlight w:val="white"/>
        </w:rPr>
        <w:t xml:space="preserve">享受政府采购支持政策的残疾人福利性单位应当同时满足以下条件：</w:t>
      </w:r>
      <w:r>
        <w:rPr>
          <w:rFonts w:ascii="SimSun" w:hAnsi="SimSun" w:eastAsia="SimSun" w:cs="SimSun"/>
          <w:color w:val="000000"/>
          <w:sz w:val="22"/>
        </w:rPr>
        <w:t xml:space="preserve">①安置的残疾人占本单位在职职工人数的比例不低于</w:t>
      </w:r>
      <w:r>
        <w:rPr>
          <w:rFonts w:ascii="SimSun" w:hAnsi="SimSun" w:eastAsia="SimSun" w:cs="SimSun"/>
          <w:color w:val="000000"/>
          <w:sz w:val="21"/>
        </w:rPr>
        <w:t xml:space="preserve">25%</w:t>
      </w:r>
      <w:r>
        <w:rPr>
          <w:rFonts w:ascii="SimSun" w:hAnsi="SimSun" w:eastAsia="SimSun" w:cs="SimSun"/>
          <w:color w:val="000000"/>
          <w:sz w:val="22"/>
        </w:rPr>
        <w:t xml:space="preserve">（含</w:t>
      </w:r>
      <w:r>
        <w:rPr>
          <w:rFonts w:ascii="SimSun" w:hAnsi="SimSun" w:eastAsia="SimSun" w:cs="SimSun"/>
          <w:color w:val="000000"/>
          <w:sz w:val="21"/>
        </w:rPr>
        <w:t xml:space="preserve">25%</w:t>
      </w:r>
      <w:r>
        <w:rPr>
          <w:rFonts w:ascii="SimSun" w:hAnsi="SimSun" w:eastAsia="SimSun" w:cs="SimSun"/>
          <w:color w:val="000000"/>
          <w:sz w:val="22"/>
        </w:rPr>
        <w:t xml:space="preserve">），并且安置的残疾人人数不少于</w:t>
      </w:r>
      <w:r>
        <w:rPr>
          <w:rFonts w:ascii="SimSun" w:hAnsi="SimSun" w:eastAsia="SimSun" w:cs="SimSun"/>
          <w:color w:val="000000"/>
          <w:sz w:val="21"/>
        </w:rPr>
        <w:t xml:space="preserve">10</w:t>
      </w:r>
      <w:r>
        <w:rPr>
          <w:rFonts w:ascii="SimSun" w:hAnsi="SimSun" w:eastAsia="SimSun" w:cs="SimSun"/>
          <w:color w:val="000000"/>
          <w:sz w:val="22"/>
        </w:rPr>
        <w:t xml:space="preserve">人（含</w:t>
      </w:r>
      <w:r>
        <w:rPr>
          <w:rFonts w:ascii="SimSun" w:hAnsi="SimSun" w:eastAsia="SimSun" w:cs="SimSun"/>
          <w:color w:val="000000"/>
          <w:sz w:val="21"/>
        </w:rPr>
        <w:t xml:space="preserve">10</w:t>
      </w:r>
      <w:r>
        <w:rPr>
          <w:rFonts w:ascii="SimSun" w:hAnsi="SimSun" w:eastAsia="SimSun" w:cs="SimSun"/>
          <w:color w:val="000000"/>
          <w:sz w:val="22"/>
        </w:rPr>
        <w:t xml:space="preserve">人）；②依法与安置的每位残疾人签订了一年以上（含一年）的劳动合同或服务协议；③为安置的每位残疾人按月足额缴纳了基本养老保险、基本医疗保险、失业保险、工伤保险和生育保险等社会保险费；④通过银行等金融机构向安置的每位残疾人，按月支付了不低于单位所在区县适用的经省级人民政府批准的月最低工资标准的工资；⑤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w:t>
      </w:r>
      <w:r>
        <w:rPr>
          <w:rFonts w:ascii="SimSun" w:hAnsi="SimSun" w:eastAsia="SimSun" w:cs="SimSun"/>
          <w:color w:val="000000"/>
          <w:sz w:val="22"/>
        </w:rPr>
        <w:t xml:space="preserve">中华人民共和国残疾军人证（</w:t>
      </w:r>
      <w:r>
        <w:rPr>
          <w:rFonts w:ascii="SimSun" w:hAnsi="SimSun" w:eastAsia="SimSun" w:cs="SimSun"/>
          <w:color w:val="000000"/>
          <w:sz w:val="21"/>
        </w:rPr>
        <w:t xml:space="preserve">1</w:t>
      </w:r>
      <w:r>
        <w:rPr>
          <w:rFonts w:ascii="SimSun" w:hAnsi="SimSun" w:eastAsia="SimSun" w:cs="SimSun"/>
          <w:color w:val="000000"/>
          <w:sz w:val="22"/>
        </w:rPr>
        <w:t xml:space="preserve">至</w:t>
      </w:r>
      <w:r>
        <w:rPr>
          <w:rFonts w:ascii="SimSun" w:hAnsi="SimSun" w:eastAsia="SimSun" w:cs="SimSun"/>
          <w:color w:val="000000"/>
          <w:sz w:val="21"/>
        </w:rPr>
        <w:t xml:space="preserve">8</w:t>
      </w:r>
      <w:r>
        <w:rPr>
          <w:rFonts w:ascii="SimSun" w:hAnsi="SimSun" w:eastAsia="SimSun" w:cs="SimSun"/>
          <w:color w:val="000000"/>
          <w:sz w:val="22"/>
        </w:rPr>
        <w:t xml:space="preserve">级）》的自然人，包括具有劳动条件和劳动意愿的精神残疾人。在职职工人数是指与残疾人福利性单位建立劳动关系并依法签订劳动合同或者服务协议的雇员人数。</w:t>
      </w:r>
      <w:r/>
    </w:p>
    <w:p>
      <w:pPr>
        <w:ind w:left="0" w:right="0" w:firstLine="42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b/>
          <w:color w:val="000000"/>
          <w:sz w:val="22"/>
        </w:rPr>
        <w:t xml:space="preserve">中标单位为残疾人福利性单位的，《残疾人福利性单位声明函》将随中标结果同时公告。</w:t>
      </w:r>
      <w:r/>
    </w:p>
    <w:p>
      <w:pPr>
        <w:ind w:left="0" w:right="0" w:firstLine="42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rPr>
          <w:rFonts w:ascii="SimSun" w:hAnsi="SimSun" w:eastAsia="SimSun" w:cs="SimSun"/>
          <w:b/>
          <w:color w:val="000000"/>
          <w:sz w:val="22"/>
        </w:rPr>
        <w:t xml:space="preserve">供应商提供的《残疾人福利性单位声明函》与事实不符的，依照《政府采购法》第七十七条第一款的规定追究法律责任。</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w:t>
      </w:r>
      <w:r>
        <w:rPr>
          <w:rFonts w:ascii="SimSun" w:hAnsi="SimSun" w:eastAsia="SimSun" w:cs="SimSun"/>
          <w:color w:val="000000"/>
          <w:sz w:val="24"/>
        </w:rPr>
        <w:t xml:space="preserve"> </w:t>
      </w:r>
      <w:r>
        <w:rPr>
          <w:rFonts w:ascii="SimSun" w:hAnsi="SimSun" w:eastAsia="SimSun" w:cs="SimSun"/>
          <w:b/>
          <w:color w:val="000000"/>
          <w:sz w:val="24"/>
        </w:rPr>
        <w:t xml:space="preserve">投标货物和服务数量、品牌规格、性能、交货期说明表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投标货物和服务数量、品牌规格、性能、交货期说明表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9"/>
        <w:gridCol w:w="1590"/>
        <w:gridCol w:w="1977"/>
        <w:gridCol w:w="1192"/>
        <w:gridCol w:w="1133"/>
        <w:gridCol w:w="1226"/>
      </w:tblGrid>
      <w:tr>
        <w:trPr>
          <w:trHeight w:val="6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54"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品牌、规格、性能</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1024" w:right="0" w:firstLine="55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55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55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7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
        <w:rPr>
          <w:rFonts w:ascii="SimSun" w:hAnsi="SimSun" w:eastAsia="SimSun" w:cs="SimSun"/>
          <w:b/>
          <w:color w:val="000000"/>
          <w:sz w:val="24"/>
        </w:rPr>
        <w:t xml:space="preserve">附件7.</w:t>
      </w:r>
      <w:r>
        <w:rPr>
          <w:rFonts w:ascii="SimSun" w:hAnsi="SimSun" w:eastAsia="SimSun" w:cs="SimSun"/>
          <w:color w:val="000000"/>
          <w:sz w:val="24"/>
        </w:rPr>
        <w:t xml:space="preserve"> </w:t>
      </w:r>
      <w:r>
        <w:rPr>
          <w:rFonts w:ascii="SimSun" w:hAnsi="SimSun" w:eastAsia="SimSun" w:cs="SimSun"/>
          <w:b/>
          <w:color w:val="000000"/>
          <w:sz w:val="24"/>
        </w:rPr>
        <w:t xml:space="preserve">技术参数响应及偏离表</w:t>
      </w:r>
      <w:r/>
      <w:r>
        <w:rPr>
          <w:rFonts w:ascii="Calibri" w:hAnsi="Calibri" w:eastAsia="Calibri" w:cs="Calibri"/>
          <w:sz w:val="20"/>
        </w:rP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技术参数响应及偏离表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3"/>
        <w:gridCol w:w="1719"/>
        <w:gridCol w:w="1871"/>
        <w:gridCol w:w="2006"/>
        <w:gridCol w:w="1737"/>
        <w:gridCol w:w="1337"/>
      </w:tblGrid>
      <w:tr>
        <w:trPr>
          <w:trHeight w:val="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注：投标单位应在本表中对照招标文件技术要求逐项对应列出响应内容，并在“偏离说明”项下填写以下内容：优于的，填写“正偏离”；符合的，填写“无偏离”；低于的，填写“负偏离”。</w:t>
      </w:r>
      <w:r>
        <w:rPr>
          <w:rFonts w:ascii="SimSun" w:hAnsi="SimSun" w:eastAsia="SimSun" w:cs="SimSun"/>
          <w:b/>
          <w:color w:val="000000"/>
          <w:sz w:val="24"/>
        </w:rPr>
        <w:t xml:space="preserve">以上表格内容不够的请自行添加。</w:t>
      </w:r>
      <w:r/>
    </w:p>
    <w:p>
      <w:pPr>
        <w:ind w:left="0" w:right="156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rPr>
          <w:rFonts w:ascii="Calibri" w:hAnsi="Calibri" w:eastAsia="Calibri" w:cs="Calibri"/>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w:t>
      </w:r>
      <w:r>
        <w:rPr>
          <w:rFonts w:ascii="SimSun" w:hAnsi="SimSun" w:eastAsia="SimSun" w:cs="SimSun"/>
          <w:color w:val="000000"/>
          <w:sz w:val="24"/>
        </w:rPr>
        <w:t xml:space="preserve"> </w:t>
      </w:r>
      <w:r>
        <w:rPr>
          <w:rFonts w:ascii="SimSun" w:hAnsi="SimSun" w:eastAsia="SimSun" w:cs="SimSun"/>
          <w:b/>
          <w:color w:val="000000"/>
          <w:sz w:val="24"/>
        </w:rPr>
        <w:t xml:space="preserve">商务条款响应及偏离表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商务条款响应及偏离表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3"/>
        <w:gridCol w:w="1719"/>
        <w:gridCol w:w="1871"/>
        <w:gridCol w:w="2006"/>
        <w:gridCol w:w="1737"/>
        <w:gridCol w:w="1337"/>
      </w:tblGrid>
      <w:tr>
        <w:trPr>
          <w:trHeight w:val="4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注：投标人应在本表中对照招标文件商务条款要求逐项对应列出响应内容，并在“偏离说明”项下填写以下内容：优于的，填写“正偏离”；符合的，填写“无偏离”；低于的，填写“负偏离”。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以上表格内容不够的请自行添加。</w:t>
      </w:r>
      <w:r/>
    </w:p>
    <w:p>
      <w:pPr>
        <w:ind w:left="0" w:right="156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
        <w:rPr>
          <w:rFonts w:ascii="SimSun" w:hAnsi="SimSun" w:eastAsia="SimSun" w:cs="SimSun"/>
          <w:b/>
          <w:color w:val="000000"/>
          <w:sz w:val="24"/>
        </w:rPr>
        <w:t xml:space="preserve">附件9.相关业绩一览表</w:t>
      </w:r>
      <w:r/>
      <w:r>
        <w:rPr>
          <w:rFonts w:ascii="Microsoft YaHei" w:hAnsi="Microsoft YaHei" w:eastAsia="Microsoft YaHei" w:cs="Microsoft YaHei"/>
          <w:sz w:val="24"/>
        </w:rP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相关业绩一览表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4"/>
        <w:gridCol w:w="1843"/>
        <w:gridCol w:w="2137"/>
        <w:gridCol w:w="1930"/>
        <w:gridCol w:w="1745"/>
      </w:tblGrid>
      <w:tr>
        <w:trPr>
          <w:trHeight w:val="578"/>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1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7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注：1.若事项较多，投标人可根据投标内容的实际情况另纸说明。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2.请将其他相关证明材料复印件加盖公章后附在本表后面。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7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
        <w:rPr>
          <w:rFonts w:ascii="SimSun" w:hAnsi="SimSun" w:eastAsia="SimSun" w:cs="SimSun"/>
          <w:b/>
          <w:color w:val="000000"/>
          <w:sz w:val="24"/>
        </w:rPr>
        <w:t xml:space="preserve">附件10.关于资格文件的声明函</w:t>
      </w:r>
      <w:r/>
      <w:r>
        <w:rPr>
          <w:rFonts w:ascii="Calibri" w:hAnsi="Calibri" w:eastAsia="Calibri" w:cs="Calibri"/>
          <w:sz w:val="20"/>
        </w:rP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关于资格文件的声明函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苏州润启招投标咨询服务有限公司</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本公司愿就由贵中心组织实施的编号为</w:t>
      </w:r>
      <w:r>
        <w:rPr>
          <w:rFonts w:ascii="SimSun" w:hAnsi="SimSun" w:eastAsia="SimSun" w:cs="SimSun"/>
          <w:color w:val="000000"/>
          <w:sz w:val="24"/>
          <w:u w:val="single"/>
        </w:rPr>
        <w:t xml:space="preserve">JSZC-320500-RQZB-G2024-0008</w:t>
      </w:r>
      <w:r>
        <w:rPr>
          <w:rFonts w:ascii="SimSun" w:hAnsi="SimSun" w:eastAsia="SimSun" w:cs="SimSun"/>
          <w:color w:val="000000"/>
          <w:sz w:val="24"/>
        </w:rPr>
        <w:t xml:space="preserve">号（项目编号）的招标活动进行投标。本公司所提交的投标文件中所有关于投标资格的文件、证明和陈述均是真实的、准确的。若与真实情况不符，本公司愿意承担由此而产生的一切后果。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rPr>
          <w:rFonts w:ascii="SimSun" w:hAnsi="SimSun" w:eastAsia="SimSun" w:cs="SimSun"/>
          <w:b/>
          <w:color w:val="000000"/>
          <w:sz w:val="24"/>
        </w:rPr>
        <w:t xml:space="preserve">附件11.投标人基本情况表</w:t>
      </w:r>
      <w:r/>
      <w:r>
        <w:rPr>
          <w:rFonts w:ascii="SimSun" w:hAnsi="SimSun" w:eastAsia="SimSun" w:cs="SimSun"/>
          <w:sz w:val="24"/>
        </w:rP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53"/>
        <w:gridCol w:w="2183"/>
        <w:gridCol w:w="1365"/>
        <w:gridCol w:w="2310"/>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21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员工总人数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万元</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商业信誉和健全的财务会计制度介绍</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履行合同所必需的设备和专业技术能力情况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依法缴纳税收和社会保障资金情况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参加政府采购活动前三年内，在经营活动中有无重大违法记录</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注：若事项较多，投标人可根据投标内容的实际情况另纸说明。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
        <w:rPr>
          <w:rFonts w:ascii="SimSun" w:hAnsi="SimSun" w:eastAsia="SimSun" w:cs="SimSun"/>
          <w:b/>
          <w:color w:val="000000"/>
          <w:sz w:val="24"/>
        </w:rPr>
        <w:t xml:space="preserve">第四章  招标书</w:t>
      </w:r>
      <w:r/>
      <w:r>
        <w:rPr>
          <w:rFonts w:ascii="Calibri" w:hAnsi="Calibri" w:eastAsia="Calibri" w:cs="Calibri"/>
          <w:sz w:val="20"/>
        </w:rP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苏州润启招投标咨询服务有限公司受</w:t>
      </w:r>
      <w:r>
        <w:rPr>
          <w:rFonts w:ascii="SimSun" w:hAnsi="SimSun" w:eastAsia="SimSun" w:cs="SimSun"/>
          <w:b/>
          <w:color w:val="000000"/>
          <w:sz w:val="24"/>
          <w:u w:val="single"/>
        </w:rPr>
        <w:t xml:space="preserve">江苏省太湖渔业管理委员会办公室</w:t>
      </w:r>
      <w:r>
        <w:rPr>
          <w:rFonts w:ascii="SimSun" w:hAnsi="SimSun" w:eastAsia="SimSun" w:cs="SimSun"/>
          <w:color w:val="000000"/>
          <w:sz w:val="24"/>
        </w:rPr>
        <w:t xml:space="preserve">的委托，就</w:t>
      </w:r>
      <w:r>
        <w:rPr>
          <w:rFonts w:ascii="SimSun" w:hAnsi="SimSun" w:eastAsia="SimSun" w:cs="SimSun"/>
          <w:b/>
          <w:color w:val="000000"/>
          <w:sz w:val="24"/>
          <w:u w:val="single"/>
        </w:rPr>
        <w:t xml:space="preserve">江苏省太湖渔业管理委员会办公室执法船艇油料采购项目</w:t>
      </w:r>
      <w:r>
        <w:rPr>
          <w:rFonts w:ascii="SimSun" w:hAnsi="SimSun" w:eastAsia="SimSun" w:cs="SimSun"/>
          <w:color w:val="000000"/>
          <w:sz w:val="24"/>
        </w:rPr>
        <w:t xml:space="preserve">进行公开招标，现欢迎符合相关条件的供应商参加投标。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一、项目编号：JSZC-320500-RQZB-G2024-0008</w:t>
      </w:r>
      <w:r/>
    </w:p>
    <w:p>
      <w:pPr>
        <w:ind w:left="0" w:right="0" w:firstLine="0"/>
        <w:jc w:val="both"/>
        <w:spacing w:before="0" w:after="0" w:line="85" w:lineRule="atLeast"/>
        <w:tabs>
          <w:tab w:val="left" w:pos="820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二、项目名称：江苏省太湖渔业管理委员会办公室执法船艇油料采购项目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三、预算金额：人民币壹佰伍拾万元整（¥：1500000.00）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四、最高限价：优惠率90%。本项目采用优惠率报价，优惠率即为折扣率。</w:t>
      </w:r>
      <w:r/>
    </w:p>
    <w:p>
      <w:pPr>
        <w:ind w:left="0" w:right="0" w:firstLine="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五、合同履行期限：自签订合同之日起一年。</w:t>
      </w:r>
      <w:r/>
    </w:p>
    <w:p>
      <w:pPr>
        <w:ind w:left="0" w:right="0" w:firstLine="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六、采购内容：</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1、项目概况：本项目为江苏省大湖渔业管理委员会办公室执法船艇油料采购，主要为太湖渔政船艇提供燃料补给服务。</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2、特殊资质：投标单位须具有有效期内的危险化学品经营许可证（许可范围包含汽油、柴油）及成品油零售经营批准证书（经营零售范围包含汽油、柴油）</w:t>
      </w:r>
      <w:r>
        <w:rPr>
          <w:rFonts w:ascii="SimSun" w:hAnsi="SimSun" w:eastAsia="SimSun" w:cs="SimSun"/>
          <w:color w:val="000000"/>
          <w:sz w:val="24"/>
          <w:highlight w:val="white"/>
        </w:rPr>
        <w:t xml:space="preserve">。</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3、中标单位所供油品的质量、包装、标志及贮运的要求应符合国家质量标准。</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4、中标单位供货范围包括供货、包装、运输、交货、卸货等内容，还包含售后技术服务和根据实际运行情况对汽油品质的调整等。</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5、采购单位根据用油需求提油，在每批产品供货时，中标单位应提供产品报告单，清单中注明名称、规格、批次、产地、生产厂家等内容，并对每批产品质量负责。</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单位需按采购单位需求在三日内安排和完成送油任务，并无偿使用至少一辆专业油罐车从油库直接运送汽油至采购单位指定地点。中标单位油罐车应满足正常装卸的要求，承运车辆及人员需符合《危险化学品安全管理条例》的要求，如因在运输过程中造成货物灭失、短少、变质、毁损或造成人员伤害、第三方索赔等，中标单位承担全部赔偿责任，并保证采购单位不受此损害。</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油料存放点：拟定为3个点，一是管护大队储油点，储油装置为防爆橇装加油装置，存储品种为柴油、汽油，柴油存储容积为5立方，汽油存储容积为15立方；二是选择一个适合安装防爆橇装加油装置的执勤点，存储容积为15立方；三是渔政三大队储油点，储油装置为汽油储罐，存储容积为20立方。以上3个点储油装置由中标单位免费提供和安装，按照《汽车加油加气加氢站技术标准（GB50156—2021）》进行定期维护和日常安全管理。</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油料价格：江苏省发改委当期江苏省成品油价格调整公告最新公布的0#柴油、95＃汽油最高零售价×中标优惠率。采购单位按照上述方法产生的油料价格分3-4次采购油料，并将油料费用打入供货单位账户，分批次提油。</w:t>
      </w:r>
      <w:r/>
    </w:p>
    <w:p>
      <w:pPr>
        <w:ind w:left="0" w:right="0" w:firstLine="48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9、</w:t>
      </w:r>
      <w:r>
        <w:rPr>
          <w:rFonts w:ascii="SimSun" w:hAnsi="SimSun" w:eastAsia="SimSun" w:cs="SimSun"/>
          <w:color w:val="000000"/>
          <w:sz w:val="24"/>
        </w:rPr>
        <w:t xml:space="preserve">柴油（0＃）符合国家标准：</w:t>
      </w:r>
      <w:r/>
    </w:p>
    <w:p>
      <w:pPr>
        <w:ind w:left="0" w:right="0" w:firstLine="482"/>
        <w:jc w:val="center"/>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国标0号柴油理化指标</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80"/>
        <w:gridCol w:w="384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指标要求</w:t>
            </w:r>
            <w:r/>
          </w:p>
        </w:tc>
      </w:tr>
      <w:tr>
        <w:trPr>
          <w:trHeight w:val="2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密度，kg/m³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十六烷值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馏程：50%馏出温度℃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馏程：90%馏出温度℃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馏程：95%馏出温度℃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运动粘度（20℃）mm</w:t>
            </w:r>
            <w:r>
              <w:rPr>
                <w:rFonts w:ascii="SimSun" w:hAnsi="SimSun" w:eastAsia="SimSun" w:cs="SimSu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10%蒸余物残碳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灰分%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≤0.0012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硫含量%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机械杂质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无痕迹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闪点(闭口)℃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铜片腐蚀（50℃、3h）级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酸度mgKOH/100ml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凝点℃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水溶性酸或碱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实际胶质mg/100ml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颜色、色号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氧化安定性沉渣mg/100ml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冷凝点℃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bl>
    <w:p>
      <w:pPr>
        <w:ind w:left="0" w:right="0" w:firstLine="482"/>
        <w:jc w:val="center"/>
        <w:spacing w:before="0" w:after="0" w:line="85" w:lineRule="atLeast"/>
        <w:tabs>
          <w:tab w:val="left" w:pos="420" w:leader="none"/>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汽油95#符合国家标准：</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96"/>
        <w:gridCol w:w="40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质量指标</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馏程：10%蒸发温度℃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馏程：50%蒸发温度℃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馏程：90%蒸发温度℃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≤190</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未洗胶质含量(加入清净剂前) （mg/100ml）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溶剂洗胶质含量（mg/100ml）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硫含量mg/kg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铜片腐蚀(50℃.3h)/级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水溶性酸或碱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机械杂质及水分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芳烃含量%(体积分数)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烯烃含量%(体积分数)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密度（20℃）kg/m³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720~775</w:t>
            </w:r>
            <w:r/>
          </w:p>
        </w:tc>
      </w:tr>
    </w:tbl>
    <w:p>
      <w:pPr>
        <w:ind w:left="0" w:right="0" w:firstLine="480"/>
        <w:jc w:val="both"/>
        <w:spacing w:before="0" w:after="0" w:line="85" w:lineRule="atLeast"/>
        <w:tabs>
          <w:tab w:val="left" w:pos="420" w:leader="none"/>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中标单位供应的0#柴油、95#汽油需符合上述国家标准以及其他相关的国家标准。</w:t>
      </w:r>
      <w:r/>
    </w:p>
    <w:p>
      <w:pPr>
        <w:ind w:left="0" w:right="0" w:firstLine="480"/>
        <w:jc w:val="both"/>
        <w:spacing w:before="0" w:after="0" w:line="85" w:lineRule="atLeast"/>
        <w:tabs>
          <w:tab w:val="left" w:pos="420" w:leader="none"/>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10、投标单位针对本项目应合理配备项目管理人员及服务人员，确保项目的正常实施。</w:t>
      </w:r>
      <w:r/>
    </w:p>
    <w:p>
      <w:pPr>
        <w:ind w:left="0" w:right="0" w:firstLine="480"/>
        <w:jc w:val="both"/>
        <w:spacing w:before="0" w:after="0" w:line="85" w:lineRule="atLeast"/>
        <w:tabs>
          <w:tab w:val="left" w:pos="420" w:leader="none"/>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11、若中标单位在服务期间，违反下列规定将被解除服务合同：（1）严禁将承包的服务转包他人；（2）出现重大安全生产责任事故。</w:t>
      </w:r>
      <w:r/>
    </w:p>
    <w:p>
      <w:pPr>
        <w:ind w:left="40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12、中标单位对服务缺陷不予更正，采购单位有权另请其他单位更正，所发生的费用在未结算款项中扣除。</w:t>
      </w:r>
      <w:r/>
    </w:p>
    <w:p>
      <w:pPr>
        <w:ind w:left="40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13、其他要求：</w:t>
      </w:r>
      <w:r/>
    </w:p>
    <w:p>
      <w:pPr>
        <w:ind w:left="40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（1）中标单位应自觉服从采购单位对油料供应服务的调度和监督管理，根据采购单位工作时间的实际需要安排供应油料，保证项目的正常进行；</w:t>
      </w:r>
      <w:r/>
    </w:p>
    <w:p>
      <w:pPr>
        <w:ind w:left="40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单位应认真做好运输设备的维修保养以及操作人员的安全培训和管理，须为本项目配备的所有服务人员按规定缴纳社会保险及人身意外险，如果在供货过程中发生安全事故，一切风险和责任由中标单位全权承担，采购单位不承担任何责任。</w:t>
      </w:r>
      <w:r/>
    </w:p>
    <w:p>
      <w:pPr>
        <w:ind w:left="40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（3）中标单位需按照JJG443-2015《燃油加油机检定规程》做好油料运输车辆、储油设施等设备计量器具的检定校准工作，并配合采购单位做好相关检查工作。</w:t>
      </w:r>
      <w:r/>
    </w:p>
    <w:p>
      <w:pPr>
        <w:ind w:left="40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六、综合说明：</w:t>
      </w:r>
      <w:r/>
    </w:p>
    <w:p>
      <w:pPr>
        <w:ind w:left="40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1、投标人按照招标文件的要求提交投标文件，并对所提供的全部资料的真实性承担法律责任。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2、此次投标报价应包括在承包期内所需的汽柴油、人员费用、社保、意外险、运作费、设备工具费、国假加班费、代理服务费、利润、税金、政策性文件规定及合同包含的所有风险、责任等各项应有费用。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3、中标单位将根据招标文件、投标文件的相关约定，承担合同责任，履行合同义务。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right="0" w:firstLine="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八、政府采购政策</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企业：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right="0" w:firstLine="48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其中，供应商提供的货物既有中小企业制造货物，也有大型企业制造货物的，不享受中小企业扶持政策。</w:t>
      </w:r>
      <w:r/>
    </w:p>
    <w:p>
      <w:pPr>
        <w:ind w:left="0" w:right="0" w:firstLine="480"/>
        <w:jc w:val="both"/>
        <w:spacing w:before="0" w:after="0" w:line="85" w:lineRule="atLeast"/>
        <w:tabs>
          <w:tab w:val="left" w:pos="420" w:leader="none"/>
          <w:tab w:val="left" w:pos="1260" w:leader="none"/>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根据《政府采购促进中小企业发展管理办法》（财库〔2020〕46号）及《中小企业划型标准规定》（工信部联企业〔2011〕300号），</w:t>
      </w:r>
      <w:r>
        <w:rPr>
          <w:rFonts w:ascii="SimSun" w:hAnsi="SimSun" w:eastAsia="SimSun" w:cs="SimSun"/>
          <w:b/>
          <w:color w:val="000000"/>
          <w:sz w:val="24"/>
        </w:rPr>
        <w:t xml:space="preserve">本采购标的对应的中小企业划分标准所属行业为：工业。</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4.绿色采购：</w:t>
      </w:r>
      <w:r/>
    </w:p>
    <w:p>
      <w:pPr>
        <w:ind w:left="0" w:right="0" w:firstLine="48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color w:val="000000"/>
          <w:sz w:val="24"/>
        </w:rPr>
        <w:t xml:space="preserve">根据《关于调整优化节能产品、环境标志产品政府采购执行机制的通知》（财库〔2019〕9号）等相关文件的规定，</w:t>
      </w:r>
      <w:r>
        <w:rPr>
          <w:rFonts w:ascii="SimSun" w:hAnsi="SimSun" w:eastAsia="SimSun" w:cs="SimSun"/>
          <w:b/>
          <w:color w:val="000000"/>
          <w:sz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right="0"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九、关于对参与供应商信用记录的政府采购要求</w:t>
      </w:r>
      <w:r/>
    </w:p>
    <w:p>
      <w:pPr>
        <w:ind w:left="0" w:right="0" w:firstLine="480"/>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1.采购代理机构会在接收投标文件截止时间后，登录信用中国网站（www.creditchina.gov.cn/）和中国政府采购网（www.ccgp.gov.cn/）查询供应商的信用记录，并将查询结果递交评标委员会。</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3.供应商若在经营活动中受到罚款的，请携带相关地方、部门对较大数额认定标准的证明材料，与投标文件一并提交。若无法提供，则可能承担投标无效等相应不利后果。</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4.对存在失信信息的供应商，由失信供应商进行确认。同时，采购代理机构工作人员应根据评标委员会确认的失信信息，登陆到相关来源网站页面进行复核并打印，作为证据留存。</w:t>
      </w:r>
      <w:r/>
    </w:p>
    <w:p>
      <w:pPr>
        <w:ind w:left="0" w:right="0"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十、凡涉及招标文件的补充说明和修改，均以网上发布的通知为准。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
        <w:rPr>
          <w:rFonts w:ascii="SimSun" w:hAnsi="SimSun" w:eastAsia="SimSun" w:cs="SimSun"/>
          <w:b/>
          <w:color w:val="000000"/>
          <w:sz w:val="24"/>
        </w:rPr>
        <w:t xml:space="preserve">第五章 合同主要条款</w:t>
      </w:r>
      <w:r/>
      <w:r>
        <w:rPr>
          <w:rFonts w:ascii="Microsoft YaHei" w:hAnsi="Microsoft YaHei" w:eastAsia="Microsoft YaHei" w:cs="Microsoft YaHei"/>
          <w:sz w:val="24"/>
        </w:rP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乙方：(中标单位)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根据苏州润启招投标咨询服务有限公司招标编号为</w:t>
      </w:r>
      <w:r>
        <w:rPr>
          <w:rFonts w:ascii="SimSun" w:hAnsi="SimSun" w:eastAsia="SimSun" w:cs="SimSun"/>
          <w:color w:val="000000"/>
          <w:sz w:val="24"/>
          <w:u w:val="single"/>
        </w:rPr>
        <w:t xml:space="preserve">JSZC-320500-RQZB-G2024-0008号</w:t>
      </w:r>
      <w:r>
        <w:rPr>
          <w:rFonts w:ascii="SimSun" w:hAnsi="SimSun" w:eastAsia="SimSun" w:cs="SimSun"/>
          <w:color w:val="000000"/>
          <w:sz w:val="24"/>
        </w:rPr>
        <w:t xml:space="preserve">的</w:t>
      </w:r>
      <w:r>
        <w:rPr>
          <w:rFonts w:ascii="SimSun" w:hAnsi="SimSun" w:eastAsia="SimSun" w:cs="SimSun"/>
          <w:color w:val="000000"/>
          <w:sz w:val="24"/>
          <w:u w:val="single"/>
        </w:rPr>
        <w:t xml:space="preserve">江苏省太湖渔业管理委员会办公室执法船艇油料采购项目</w:t>
      </w:r>
      <w:r>
        <w:rPr>
          <w:rFonts w:ascii="SimSun" w:hAnsi="SimSun" w:eastAsia="SimSun" w:cs="SimSun"/>
          <w:color w:val="000000"/>
          <w:sz w:val="24"/>
        </w:rPr>
        <w:t xml:space="preserve">的招标文件及该文件的中标文件和中标通知书，甲乙双方就甲方聘用乙方从事该项服务工作，签订本合同书。</w:t>
      </w:r>
      <w:r/>
    </w:p>
    <w:p>
      <w:pPr>
        <w:ind w:left="0" w:right="0" w:firstLine="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24"/>
        </w:rPr>
        <w:t xml:space="preserve">一、合同内容：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w:t>
      </w:r>
      <w:r>
        <w:rPr>
          <w:rFonts w:ascii="SimSun" w:hAnsi="SimSun" w:eastAsia="SimSun" w:cs="SimSun"/>
          <w:color w:val="000000"/>
          <w:sz w:val="24"/>
          <w:u w:val="single"/>
        </w:rPr>
        <w:t xml:space="preserve">江苏省太湖渔业管理委员会办公室执法船艇油料采购项目</w:t>
      </w:r>
      <w:r>
        <w:rPr>
          <w:rFonts w:ascii="SimSun" w:hAnsi="SimSun" w:eastAsia="SimSun" w:cs="SimSun"/>
          <w:color w:val="000000"/>
          <w:sz w:val="24"/>
        </w:rPr>
        <w:t xml:space="preserve">（具体内容见招标文件和乙方的中标文件）。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服务期限：自合同签订之日起一年。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服务地点：甲方指定地点。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在合同有效期内一方不得擅自变更或中止此项合同，如未经双方同意，擅自变更或中止此项的一方要负违约责任。此项协议需终止或续签，应在协议期内提前半个月通知对方。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2、下列文件为本合同不可分割部分：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（1）中标通知书；（2）乙方的中标文件；（3）乙方在投标过程中所作的其它承诺、声明、书面澄清等；（4）招标文件及其附件；（5）合同附件。以上与本合同具有同等法律效力。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二、采购要求和服务要求：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1、项目概况：本项目为江苏省大湖渔业管理委员会办公室执法船艇油料采购，主要为太湖渔政船艇提供燃料补给服务。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2、特殊资质：乙方须具有有效期内的危险化学品经营许可证（许可范围包含汽油、柴油）及成品油零售经营批准证书（经营零售范围包含汽油、柴油）。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rFonts w:ascii="SimSun" w:hAnsi="SimSun" w:eastAsia="SimSun" w:cs="SimSun"/>
          <w:color w:val="000000"/>
          <w:sz w:val="24"/>
        </w:rPr>
        <w:t xml:space="preserve">乙方</w:t>
      </w:r>
      <w:r>
        <w:rPr>
          <w:rFonts w:ascii="SimSun" w:hAnsi="SimSun" w:eastAsia="SimSun" w:cs="SimSun"/>
          <w:color w:val="000000"/>
          <w:sz w:val="24"/>
          <w:highlight w:val="white"/>
        </w:rPr>
        <w:t xml:space="preserve">所供油品的质量、包装、标志及贮运的要求应符合国家质量标准。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w:t>
      </w:r>
      <w:r>
        <w:rPr>
          <w:rFonts w:ascii="SimSun" w:hAnsi="SimSun" w:eastAsia="SimSun" w:cs="SimSun"/>
          <w:color w:val="333333"/>
          <w:sz w:val="24"/>
          <w:highlight w:val="white"/>
        </w:rPr>
        <w:t xml:space="preserve">供货范围包括供货、包装、运输、交货、卸货等内容，还包含售后技术服务和根据实际运行情况对汽油品质的调整等。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333333"/>
          <w:sz w:val="24"/>
          <w:highlight w:val="white"/>
        </w:rPr>
        <w:t xml:space="preserve">甲方根据用油需求提油，在每批产品供货时，</w:t>
      </w:r>
      <w:r>
        <w:rPr>
          <w:rFonts w:ascii="SimSun" w:hAnsi="SimSun" w:eastAsia="SimSun" w:cs="SimSun"/>
          <w:color w:val="000000"/>
          <w:sz w:val="24"/>
        </w:rPr>
        <w:t xml:space="preserve">乙方</w:t>
      </w:r>
      <w:r>
        <w:rPr>
          <w:rFonts w:ascii="SimSun" w:hAnsi="SimSun" w:eastAsia="SimSun" w:cs="SimSun"/>
          <w:color w:val="333333"/>
          <w:sz w:val="24"/>
          <w:highlight w:val="white"/>
        </w:rPr>
        <w:t xml:space="preserve">应提供产品报告单，清单中注明名称、规格、批次、产地、生产厂家等内容，并对每批产品质量负责。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w:t>
      </w:r>
      <w:r>
        <w:rPr>
          <w:rFonts w:ascii="SimSun" w:hAnsi="SimSun" w:eastAsia="SimSun" w:cs="SimSun"/>
          <w:color w:val="333333"/>
          <w:sz w:val="24"/>
          <w:highlight w:val="white"/>
        </w:rPr>
        <w:t xml:space="preserve">需按甲方需求在三日内安排和完成送油任务，并无偿使用专业油罐车从油库直接运送汽油至甲方指定地点。</w:t>
      </w:r>
      <w:r>
        <w:rPr>
          <w:rFonts w:ascii="SimSun" w:hAnsi="SimSun" w:eastAsia="SimSun" w:cs="SimSun"/>
          <w:color w:val="000000"/>
          <w:sz w:val="24"/>
        </w:rPr>
        <w:t xml:space="preserve">乙方</w:t>
      </w:r>
      <w:r>
        <w:rPr>
          <w:rFonts w:ascii="SimSun" w:hAnsi="SimSun" w:eastAsia="SimSun" w:cs="SimSun"/>
          <w:color w:val="333333"/>
          <w:sz w:val="24"/>
          <w:highlight w:val="white"/>
        </w:rPr>
        <w:t xml:space="preserve">油罐车应满足正常装卸的要求，承运车辆及人员需符合《危险化学品安全管理条例》的要求，如因在运输过程中造成货物灭失、短少、变质、毁损或造成人员伤害、第三方索赔等，</w:t>
      </w:r>
      <w:r>
        <w:rPr>
          <w:rFonts w:ascii="SimSun" w:hAnsi="SimSun" w:eastAsia="SimSun" w:cs="SimSun"/>
          <w:color w:val="000000"/>
          <w:sz w:val="24"/>
        </w:rPr>
        <w:t xml:space="preserve">乙方</w:t>
      </w:r>
      <w:r>
        <w:rPr>
          <w:rFonts w:ascii="SimSun" w:hAnsi="SimSun" w:eastAsia="SimSun" w:cs="SimSun"/>
          <w:color w:val="333333"/>
          <w:sz w:val="24"/>
          <w:highlight w:val="white"/>
        </w:rPr>
        <w:t xml:space="preserve">承担全部赔偿责任，并保证甲方不受此损害。</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油料存放点：拟定为3个点，一是管护大队储油点，储油装置为防爆橇装加油装置，存储品种为柴油、汽油，柴油存储容积为5立方，汽油存储容积为15立方；二是选择一个适合安装防爆橇装加油装置的执勤点，存储容积为15立方；三是渔政三大队储油点，储油装置为汽油储罐，存储容积为20立方。以上3个点储油装置由中标单位免费提供和安装，按照《汽车加油加气加氢站技术标准（GB50156—2021）》进行定期维护和日常安全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8、油料价格：江苏省发改委当期江苏省成品油价格调整公告最新公布的0#柴油、95＃汽油最高零售价×中标优惠率。</w:t>
      </w:r>
      <w:r/>
    </w:p>
    <w:p>
      <w:pPr>
        <w:ind w:left="0" w:right="0" w:firstLine="48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9、</w:t>
      </w:r>
      <w:r>
        <w:rPr>
          <w:rFonts w:ascii="SimSun" w:hAnsi="SimSun" w:eastAsia="SimSun" w:cs="SimSun"/>
          <w:color w:val="000000"/>
          <w:sz w:val="24"/>
        </w:rPr>
        <w:t xml:space="preserve">柴油（0＃）符合国家标准：</w:t>
      </w:r>
      <w:r/>
    </w:p>
    <w:p>
      <w:pPr>
        <w:ind w:left="0" w:right="0" w:firstLine="482"/>
        <w:jc w:val="center"/>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国标0号柴油理化指标</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80"/>
        <w:gridCol w:w="384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指标要求</w:t>
            </w:r>
            <w:r/>
          </w:p>
        </w:tc>
      </w:tr>
      <w:tr>
        <w:trPr>
          <w:trHeight w:val="2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密度，kg/m³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十六烷值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馏程：50%馏出温度℃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馏程：90%馏出温度℃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馏程：95%馏出温度℃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运动粘度（20℃）mm</w:t>
            </w:r>
            <w:r>
              <w:rPr>
                <w:rFonts w:ascii="SimSun" w:hAnsi="SimSun" w:eastAsia="SimSun" w:cs="SimSu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10%蒸余物残碳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灰分%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≤0.0012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硫含量%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机械杂质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无痕迹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闪点(闭口)℃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铜片腐蚀（50℃、3h）级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酸度mgKOH/100ml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凝点℃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水溶性酸或碱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实际胶质mg/100ml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颜色、色号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氧化安定性沉渣mg/100ml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冷凝点℃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bl>
    <w:p>
      <w:pPr>
        <w:ind w:left="0" w:right="0" w:firstLine="480"/>
        <w:jc w:val="both"/>
        <w:spacing w:before="0" w:after="0" w:line="85" w:lineRule="atLeast"/>
        <w:tabs>
          <w:tab w:val="left" w:pos="420" w:leader="none"/>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汽油（95#）符合国家标准：</w:t>
      </w:r>
      <w:r/>
    </w:p>
    <w:p>
      <w:pPr>
        <w:ind w:left="0" w:right="0" w:firstLine="482"/>
        <w:jc w:val="center"/>
        <w:spacing w:before="0" w:after="0" w:line="85" w:lineRule="atLeast"/>
        <w:tabs>
          <w:tab w:val="left" w:pos="420" w:leader="none"/>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国标95号汽油理化指标</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96"/>
        <w:gridCol w:w="40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质量指标</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馏程：10%蒸发温度℃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馏程：50%蒸发温度℃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馏程：90%蒸发温度℃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≤190</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未洗胶质含量(加入清净剂前) （mg/100ml）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溶剂洗胶质含量（mg/100ml）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硫含量mg/kg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铜片腐蚀(50℃.3h)/级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水溶性酸或碱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机械杂质及水分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芳烃含量%(体积分数)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烯烃含量%(体积分数)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密度（20℃）kg/m³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720~775</w:t>
            </w:r>
            <w:r/>
          </w:p>
        </w:tc>
      </w:tr>
    </w:tbl>
    <w:p>
      <w:pPr>
        <w:ind w:left="0" w:right="0" w:firstLine="480"/>
        <w:jc w:val="both"/>
        <w:spacing w:before="0" w:after="0" w:line="85" w:lineRule="atLeast"/>
        <w:tabs>
          <w:tab w:val="left" w:pos="420" w:leader="none"/>
          <w:tab w:val="left" w:pos="720" w:leader="none"/>
        </w:tabs>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10、若乙方在服务期间，违反下列规定将被解除服务合同：（1）严禁将承包的服务转包他人；（2）出现重大安全生产责任事故。</w:t>
      </w:r>
      <w:r>
        <w:rPr>
          <w:rFonts w:ascii="Calibri" w:hAnsi="Calibri" w:eastAsia="Calibri" w:cs="Calibri"/>
          <w:sz w:val="20"/>
        </w:rPr>
      </w:r>
    </w:p>
    <w:p>
      <w:pPr>
        <w:ind w:left="0" w:right="0" w:firstLine="480"/>
        <w:jc w:val="both"/>
        <w:spacing w:before="0" w:after="0" w:line="85" w:lineRule="atLeast"/>
        <w:tabs>
          <w:tab w:val="left" w:pos="420" w:leader="none"/>
          <w:tab w:val="left" w:pos="720" w:leader="none"/>
        </w:tabs>
        <w:rPr>
          <w:rFonts w:ascii="Calibri" w:hAnsi="Calibri" w:eastAsia="Calibri" w:cs="Calibri"/>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11、乙方对服务缺陷不予更正，甲方有权另请其他单位更正，所发生的费用在未结算款项中扣除。</w:t>
      </w:r>
      <w:r>
        <w:rPr>
          <w:rFonts w:ascii="Calibri" w:hAnsi="Calibri" w:eastAsia="Calibri" w:cs="Calibri"/>
          <w:sz w:val="20"/>
        </w:rPr>
      </w:r>
      <w:r>
        <w:rPr>
          <w:rFonts w:ascii="Calibri" w:hAnsi="Calibri" w:eastAsia="Calibri" w:cs="Calibri"/>
          <w:sz w:val="20"/>
          <w:szCs w:val="20"/>
        </w:rPr>
      </w:r>
    </w:p>
    <w:p>
      <w:pPr>
        <w:ind w:left="0" w:right="0" w:firstLine="480"/>
        <w:jc w:val="both"/>
        <w:spacing w:before="0" w:after="0" w:line="85" w:lineRule="atLeast"/>
        <w:tabs>
          <w:tab w:val="left" w:pos="420" w:leader="none"/>
          <w:tab w:val="left" w:pos="720" w:leader="none"/>
        </w:tabs>
        <w:rPr>
          <w:rFonts w:ascii="Calibri" w:hAnsi="Calibri" w:eastAsia="Calibri" w:cs="Calibri"/>
          <w:sz w:val="20"/>
          <w:szCs w:val="20"/>
        </w:rPr>
        <w:pBdr>
          <w:top w:val="none" w:color="000000" w:sz="4" w:space="0"/>
          <w:left w:val="none" w:color="000000" w:sz="4" w:space="0"/>
          <w:bottom w:val="none" w:color="000000" w:sz="4" w:space="0"/>
          <w:right w:val="none" w:color="000000" w:sz="4" w:space="0"/>
        </w:pBdr>
      </w:pPr>
      <w:r>
        <w:rPr>
          <w:rFonts w:ascii="Calibri" w:hAnsi="Calibri" w:eastAsia="Calibri" w:cs="Calibri"/>
          <w:sz w:val="20"/>
        </w:rPr>
      </w:r>
      <w:r>
        <w:rPr>
          <w:rFonts w:ascii="SimSun" w:hAnsi="SimSun" w:eastAsia="SimSun" w:cs="SimSun"/>
          <w:color w:val="000000"/>
          <w:sz w:val="24"/>
        </w:rPr>
        <w:t xml:space="preserve">12、其他要求：</w:t>
      </w:r>
      <w:r>
        <w:rPr>
          <w:rFonts w:ascii="Calibri" w:hAnsi="Calibri" w:eastAsia="Calibri" w:cs="Calibri"/>
          <w:sz w:val="20"/>
          <w:szCs w:val="20"/>
        </w:rPr>
      </w:r>
      <w:r>
        <w:rPr>
          <w:rFonts w:ascii="Calibri" w:hAnsi="Calibri" w:eastAsia="Calibri" w:cs="Calibri"/>
          <w:sz w:val="20"/>
          <w:szCs w:val="20"/>
        </w:rPr>
      </w:r>
    </w:p>
    <w:p>
      <w:pPr>
        <w:ind w:left="0" w:right="0" w:firstLine="480"/>
        <w:jc w:val="both"/>
        <w:spacing w:before="0" w:after="0" w:line="85" w:lineRule="atLeast"/>
        <w:tabs>
          <w:tab w:val="left" w:pos="420" w:leader="none"/>
          <w:tab w:val="left" w:pos="720" w:leader="none"/>
        </w:tabs>
        <w:rPr>
          <w:rFonts w:ascii="Calibri" w:hAnsi="Calibri" w:eastAsia="Calibri" w:cs="Calibri"/>
          <w:sz w:val="20"/>
          <w:szCs w:val="20"/>
        </w:rPr>
        <w:pBdr>
          <w:top w:val="none" w:color="000000" w:sz="4" w:space="0"/>
          <w:left w:val="none" w:color="000000" w:sz="4" w:space="0"/>
          <w:bottom w:val="none" w:color="000000" w:sz="4" w:space="0"/>
          <w:right w:val="none" w:color="000000" w:sz="4" w:space="0"/>
        </w:pBdr>
      </w:pPr>
      <w:r>
        <w:rPr>
          <w:rFonts w:ascii="Calibri" w:hAnsi="Calibri" w:eastAsia="Calibri" w:cs="Calibri"/>
          <w:sz w:val="20"/>
          <w:szCs w:val="20"/>
        </w:rPr>
      </w:r>
      <w:r>
        <w:rPr>
          <w:rFonts w:ascii="SimSun" w:hAnsi="SimSun" w:eastAsia="SimSun" w:cs="SimSun"/>
          <w:color w:val="000000"/>
          <w:sz w:val="24"/>
        </w:rPr>
        <w:t xml:space="preserve">（1）乙方应自觉服从甲方对油料供应服务的调度和监督管理，根据甲方工作时间的实际需要安排供应油料，保证项目的正常进行；</w:t>
      </w:r>
      <w:r>
        <w:rPr>
          <w:rFonts w:ascii="Calibri" w:hAnsi="Calibri" w:eastAsia="Calibri" w:cs="Calibri"/>
          <w:sz w:val="20"/>
          <w:szCs w:val="20"/>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认真做好运输设备的维修保养以及操作人员的安全培训和管理，须为本项目配备的所有服务人员按规定缴纳社会保险及人身意外险，如果在运输、加油工作过程发生安全事故，一切风险和责任由乙方全权承担，甲方不承担任何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三、合同价款的支付及付款方式：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1、合同价款：中标优惠率：</w:t>
      </w:r>
      <w:r>
        <w:rPr>
          <w:rFonts w:ascii="SimSun" w:hAnsi="SimSun" w:eastAsia="SimSun" w:cs="SimSun"/>
          <w:b/>
          <w:color w:val="000000"/>
          <w:sz w:val="24"/>
          <w:u w:val="single"/>
        </w:rPr>
        <w:t xml:space="preserve">         </w:t>
      </w:r>
      <w:r>
        <w:rPr>
          <w:rFonts w:ascii="SimSun" w:hAnsi="SimSun" w:eastAsia="SimSun" w:cs="SimSun"/>
          <w:b/>
          <w:color w:val="000000"/>
          <w:sz w:val="24"/>
        </w:rPr>
        <w:t xml:space="preserve">。</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进度：合同签订生效后，甲方按照合同约定的油料价格（省发改委当期江苏省成品油价格调整公告最新公布的0#柴油、95＃汽油最高零售价×中标优惠率）分3-4次采购油料，并将油款打入乙方账户，分批次提油。</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3.付款方式：银行转账。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四、甲、乙双方的责任：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1、甲方责任：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（1）审定乙方拟定的油料供应服务人员等管理制度；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（2）检查监督乙方工作的实施及制度的执行情况；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（3）审定乙方提出的油料供应计划；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（4）协调处理本合同生效前发生的管理遗留问题；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（5）协助乙方做好本项目工作的宣传教育。</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rPr>
          <w:rFonts w:ascii="SimSun" w:hAnsi="SimSun" w:eastAsia="SimSun" w:cs="SimSun"/>
          <w:b/>
          <w:color w:val="000000"/>
          <w:sz w:val="24"/>
        </w:rPr>
        <w:t xml:space="preserve">2、乙方责任：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（1）根据有关法律、法规及采购文件和响应文件的约定，制订油料供应等相关管理制度；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（2）按合同约定，履行管理职责；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（3）负责编制管理计划；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（4）本合同终止时，乙方必须向甲方移交全部管理、服务等管理全部档案资料；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（5）乙方在响应文件中提出的其他服务承诺；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必须为其工作人员，按苏州市劳动部门的相关规定缴纳相关费用。不得低于苏州市最低工资标准和社保缴费标准为员工支付工资、国假加班费和交纳正常的社会保险，不得安排工作人员超时限加班。未能按以上要求执行的，甲方有权取消或暂停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违反本合同的约定，未能达到约定的目标，甲方有权要求乙方限期完成，逾期未完成的，甲方有权另请其他单位完成，费用由乙方承担。对乙方出现严重未达约定供货期限，甲方出具书面整改通知，甲方每开出一张书面整改通知，则扣除乙方当次结算费用的3%；甲方各部门对乙方的满意率低于85%以下，甲方有权提出终止合同，乙方承担相关经济损失。</w:t>
      </w:r>
      <w:r/>
    </w:p>
    <w:p>
      <w:pPr>
        <w:ind w:left="0" w:right="0" w:firstLine="0"/>
        <w:jc w:val="both"/>
        <w:spacing w:before="0" w:after="0" w:line="85" w:lineRule="atLeast"/>
        <w:tabs>
          <w:tab w:val="left" w:pos="53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五、其它：</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333333"/>
          <w:sz w:val="24"/>
          <w:highlight w:val="white"/>
        </w:rPr>
        <w:t xml:space="preserve">采购合同期内，油料所依据的国家质量标准如发生变化，应无条件地以新版本的国家质量标准为执行标准。如发现油品质量不符合合同约定的，双方应提取油样送到甲方所在地质量监督部门或双方共同选定的机构进行检验，并以该检验机构的检验结果作为确认油品质量的依据。如检验结果符合约定标准，检验费及相关费用由甲方承担，否则，检验费及相关费用由乙方承担，并无条件退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2、乙方除应为油料供应服务相关人员提供必要的劳动保护条件，一切安全责任事故均由乙方负责（保险种类由乙方自行选择）。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3、乙方应做好职工的安全生产教育，并配备一定的劳动保护必需品以供职工使用。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六、合同的生效：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本合同经双方法定（授权）代表人签字（或盖章）并盖单位公章后生效，同时须经政府采购管理办公室备案。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七、附则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1、合同份数：本合同一式</w:t>
      </w:r>
      <w:r>
        <w:rPr>
          <w:rFonts w:ascii="SimSun" w:hAnsi="SimSun" w:eastAsia="SimSun" w:cs="SimSun"/>
          <w:b/>
          <w:color w:val="000000"/>
          <w:sz w:val="24"/>
          <w:u w:val="single"/>
        </w:rPr>
        <w:t xml:space="preserve">肆</w:t>
      </w:r>
      <w:r>
        <w:rPr>
          <w:rFonts w:ascii="SimSun" w:hAnsi="SimSun" w:eastAsia="SimSun" w:cs="SimSun"/>
          <w:color w:val="000000"/>
          <w:sz w:val="24"/>
        </w:rPr>
        <w:t xml:space="preserve">份，甲乙双方各执一份，政府采购管理监督部门、招标代理机构一份。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2、未尽事宜：本合同未尽事宜应按《中华人民共和国民法典》《中华人民共和国政府采购法》以及其同相关法律、法规之规定解释，由甲、乙双方协商解决。</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                                   乙方（公章）：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                                       签约日期：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合同签定地：</w:t>
      </w:r>
      <w:r/>
    </w:p>
    <w:p>
      <w:pPr>
        <w:ind w:left="400" w:right="0" w:firstLine="0"/>
        <w:jc w:val="both"/>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
        <w:rPr>
          <w:rFonts w:ascii="SimSun" w:hAnsi="SimSun" w:eastAsia="SimSun" w:cs="SimSun"/>
          <w:b/>
          <w:color w:val="000000"/>
          <w:sz w:val="24"/>
        </w:rPr>
        <w:t xml:space="preserve">第六章 评标办法和评分标准</w:t>
      </w:r>
      <w:r/>
      <w:r>
        <w:rPr>
          <w:rFonts w:ascii="Microsoft YaHei" w:hAnsi="Microsoft YaHei" w:eastAsia="Microsoft YaHei" w:cs="Microsoft YaHei"/>
          <w:sz w:val="24"/>
        </w:rP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1.评标办法采用</w:t>
      </w:r>
      <w:r>
        <w:rPr>
          <w:rFonts w:ascii="SimSun" w:hAnsi="SimSun" w:eastAsia="SimSun" w:cs="SimSun"/>
          <w:b/>
          <w:color w:val="000000"/>
          <w:sz w:val="24"/>
        </w:rPr>
        <w:t xml:space="preserve">综合评分法</w:t>
      </w:r>
      <w:r>
        <w:rPr>
          <w:rFonts w:ascii="SimSun" w:hAnsi="SimSun" w:eastAsia="SimSun" w:cs="SimSun"/>
          <w:color w:val="000000"/>
          <w:sz w:val="24"/>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5.针对中小型企业、残疾人福利企业和监狱企业的评审：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投标优惠率给予</w:t>
      </w:r>
      <w:r>
        <w:rPr>
          <w:rFonts w:ascii="SimSun" w:hAnsi="SimSun" w:eastAsia="SimSun" w:cs="SimSun"/>
          <w:b/>
          <w:color w:val="000000"/>
          <w:sz w:val="24"/>
        </w:rPr>
        <w:t xml:space="preserve">20%</w:t>
      </w:r>
      <w:r>
        <w:rPr>
          <w:rFonts w:ascii="SimSun" w:hAnsi="SimSun" w:eastAsia="SimSun" w:cs="SimSun"/>
          <w:color w:val="000000"/>
          <w:sz w:val="24"/>
        </w:rPr>
        <w:t xml:space="preserve">的扣除，用扣除后的优惠率率参与评审，如扣除后的优惠率为最低优惠率的，则作为评标基准价，中标优惠率则以实际投标优惠率为准。残疾人福利性单位属于小型、微型企业的，不重复享受政策。</w:t>
      </w:r>
      <w:r>
        <w:rPr>
          <w:rFonts w:ascii="SimSun" w:hAnsi="SimSun" w:eastAsia="SimSun" w:cs="SimSun"/>
          <w:b/>
          <w:color w:val="000000"/>
          <w:sz w:val="24"/>
        </w:rPr>
        <w:t xml:space="preserve">供应商提供的货物既有中小企业制造货物，也有大型企业制造货物的，不享受中小企业扶持政策。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①填报“中小企业声明函”需严格按“工信部联企业〔2011〕300号通知中的《中小企业划型标准规定》进行。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②若供应商提供的声明函或认定证明为虚假材料，按“政府采购法”相关规定处理并报请政府监管部门给予行政处罚。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二、价格分  30分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第一步：投标报价低于或等于财政预算价格（或最高限价）的，为有效投标报价。超财政预算（或最高限价）的投标报价为无效投标报价。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第二步：在所有有效投标报价中满足招标文件要求，且投标价格最低的投标报价为评标基准价，其他投标人的价格分按照下列公式计算（计算结果四舍五入保留两位小数）。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投标报价得分＝（评标基准优惠率/投标优惠率）×30％×100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三、方案比较  53分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1、需求理解方案比较  8分  </w:t>
      </w:r>
      <w:r>
        <w:rPr>
          <w:rFonts w:ascii="SimSun" w:hAnsi="SimSun" w:eastAsia="SimSun" w:cs="SimSun"/>
          <w:color w:val="000000"/>
          <w:sz w:val="24"/>
        </w:rPr>
        <w:t xml:space="preserve">评委根据投标单位针对本项目提供的需求理解方案进行综合比较打分。方案全面理解，满足项目服务要求的得8分；方案理解较好，基本满足服务要求的得5分；方案一般的得2分；方案差或未提供相应内容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2、项目管理方案  8分  </w:t>
      </w:r>
      <w:r>
        <w:rPr>
          <w:rFonts w:ascii="SimSun" w:hAnsi="SimSun" w:eastAsia="SimSun" w:cs="SimSun"/>
          <w:color w:val="000000"/>
          <w:sz w:val="24"/>
        </w:rPr>
        <w:t xml:space="preserve">评委根据投标单位针对本项目提供的项目管理方案进行综合比较打分。服务模式清晰，管理规范的得8分；服务模式可执行，管理制度基本完善的得5分；方案一般的得2分；方案差或未提供相应内容的不得分。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3、日常服务标准及措施比较  8分  </w:t>
      </w:r>
      <w:r>
        <w:rPr>
          <w:rFonts w:ascii="SimSun" w:hAnsi="SimSun" w:eastAsia="SimSun" w:cs="SimSun"/>
          <w:color w:val="000000"/>
          <w:sz w:val="24"/>
        </w:rPr>
        <w:t xml:space="preserve">评委根据投标单位针对本项目提供的日常服务标准及措施进行综合比较打分。服务内容、服务标准清晰完整、措施有效、责任明确的得8分；服务内容、服务标准基本清晰、责任基本明确的得5分；方案一般的得2分；方案差或未提供相应内容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4、路途及实施安全管理方案比较  8分  </w:t>
      </w:r>
      <w:r>
        <w:rPr>
          <w:rFonts w:ascii="SimSun" w:hAnsi="SimSun" w:eastAsia="SimSun" w:cs="SimSun"/>
          <w:color w:val="000000"/>
          <w:sz w:val="24"/>
        </w:rPr>
        <w:t xml:space="preserve">评委根据投标单位针对本项目提供的路途及实施安全管理方案进行综合比较打分。方案完整、清晰、操作性强的得8分；方案较为完整、较为清晰、操作性较强的得5分；方案一般，操作性一般的得2分；方案差或未提供相应内容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5、突发应急方案比较  8分  </w:t>
      </w:r>
      <w:r>
        <w:rPr>
          <w:rFonts w:ascii="SimSun" w:hAnsi="SimSun" w:eastAsia="SimSun" w:cs="SimSun"/>
          <w:color w:val="000000"/>
          <w:sz w:val="24"/>
        </w:rPr>
        <w:t xml:space="preserve">评委根据投标单位针对本项目提供的突发应急方案（特殊事故（情况）措施、治安应急措施、消防应急措施等方面）进行综合比较打分。方案全面科学，措施详细完整，可行性高的得8分；方案较为全面科学，措施较为详细完整，可行性较高的得5分；方案一般，措施一般，可行性一般的得2分；方案差或未提供相应内容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6、服务重点、难点和解决措施比较  8分  </w:t>
      </w:r>
      <w:r>
        <w:rPr>
          <w:rFonts w:ascii="SimSun" w:hAnsi="SimSun" w:eastAsia="SimSun" w:cs="SimSun"/>
          <w:color w:val="000000"/>
          <w:sz w:val="24"/>
        </w:rPr>
        <w:t xml:space="preserve">评委根据投标单位针对本项目提供的服务重点、难点和解决措施进行综合比较打分。重点、难点分析准确，解决措施详细有效，可行性高的得8分；重点、难点分析较为准确，解决措施较为详细有效，可行性较高的得5分；方案一般的得2分；方案差或未提供相应内容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7、服务期间与其他单位、各相关部门的综合协调方案比较  5分  </w:t>
      </w:r>
      <w:r>
        <w:rPr>
          <w:rFonts w:ascii="SimSun" w:hAnsi="SimSun" w:eastAsia="SimSun" w:cs="SimSun"/>
          <w:color w:val="000000"/>
          <w:sz w:val="24"/>
        </w:rPr>
        <w:t xml:space="preserve">评委根据投标单位针对本项目提供的服务期限与其他单位、各相关部分的综合协调方案进行综合比较打分。综合协调方案考虑详细、周全、可行性强的得5分；综合协调方案较为完整、可操作较高的得3分；综合协调方案一般、可行性一般得1分；方案差或未提供相应内容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四、人员比较  6分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1、人员证书比较  6分  </w:t>
      </w:r>
      <w:r>
        <w:rPr>
          <w:rFonts w:ascii="SimSun" w:hAnsi="SimSun" w:eastAsia="SimSun" w:cs="SimSun"/>
          <w:color w:val="000000"/>
          <w:sz w:val="24"/>
        </w:rPr>
        <w:t xml:space="preserve">投标单位针对本项目投入的人员具有安全员证书、计量员证书、押运员证书的，每提供一人得2分，最高6分。投标文件中同时提供有效期内的证书复印件及由投标单位为其缴纳的最近一期的社会保险缴纳证明，否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五、投标人履约能力比较  11分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1、业绩情况 5分  </w:t>
      </w:r>
      <w:r>
        <w:rPr>
          <w:rFonts w:ascii="SimSun" w:hAnsi="SimSun" w:eastAsia="SimSun" w:cs="SimSun"/>
          <w:color w:val="000000"/>
          <w:sz w:val="24"/>
        </w:rPr>
        <w:t xml:space="preserve">投标单位提供自2021年1月1日起至今（以合同签订时间为准）履约完成的类似项目业绩的，每提供一份得1分，最高5分。投标文件中需提供完整合同复印件，否则不得分。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2、车辆设备比较  6分  </w:t>
      </w:r>
      <w:r>
        <w:rPr>
          <w:rFonts w:ascii="SimSun" w:hAnsi="SimSun" w:eastAsia="SimSun" w:cs="SimSun"/>
          <w:color w:val="000000"/>
          <w:sz w:val="24"/>
        </w:rPr>
        <w:t xml:space="preserve">投标单位投入本项目的运输油罐车在满足招标文件最低要求的基础上，每多提供一辆得2分，最高6分。自有产权的车辆须提供购车发票复印件，租赁的车辆需提供租赁协议复印件，承诺成交后购买或租赁的，投标文件中须提供承诺书，不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1.针对评分标准中评分的每一条，投标人均应提供相关资料并作出相应说明供评委评判，不提供相关资料的视为不具备该项得分的条件。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2.投标文件中如出现前后不一致时，评委有权请投标人澄清说明，澄清说明事项涉及评分时，评委有权酌情扣分。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rPr>
      </w:r>
      <w:r/>
    </w:p>
    <w:p>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Microsoft YaHei">
    <w:panose1 w:val="020B0503020204020204"/>
  </w:font>
  <w:font w:name="SimSun">
    <w:panose1 w:val="02010600030101010101"/>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805"/>
      </w:pPr>
      <w:r>
        <w:footnoteRef/>
      </w:r>
      <w:r>
        <w:t xml:space="preserve"> </w:t>
      </w:r>
      <w:r/>
      <w:r/>
      <w:r>
        <w:rPr>
          <w:rFonts w:ascii="SimSun" w:hAnsi="SimSun" w:eastAsia="SimSun" w:cs="SimSun"/>
          <w:b/>
          <w:color w:val="000000"/>
          <w:sz w:val="21"/>
        </w:rPr>
        <w:t xml:space="preserve">备注：</w:t>
      </w:r>
      <w:r>
        <w:rPr>
          <w:rFonts w:ascii="SimSun" w:hAnsi="SimSun" w:eastAsia="SimSun" w:cs="SimSun"/>
          <w:color w:val="000000"/>
          <w:sz w:val="21"/>
        </w:rPr>
        <w:t xml:space="preserve">1.从业人员、营业收入、资产总额填报上一年度数据，无上一年度数据的新成立企业可不填报。</w:t>
      </w: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basedOn w:val="822"/>
    <w:next w:val="822"/>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basedOn w:val="822"/>
    <w:next w:val="82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basedOn w:val="822"/>
    <w:next w:val="822"/>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basedOn w:val="822"/>
    <w:next w:val="822"/>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basedOn w:val="822"/>
    <w:next w:val="822"/>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basedOn w:val="822"/>
    <w:next w:val="822"/>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basedOn w:val="822"/>
    <w:next w:val="822"/>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basedOn w:val="822"/>
    <w:next w:val="822"/>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basedOn w:val="822"/>
    <w:next w:val="822"/>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Title"/>
    <w:basedOn w:val="822"/>
    <w:next w:val="822"/>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basedOn w:val="822"/>
    <w:next w:val="822"/>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basedOn w:val="822"/>
    <w:next w:val="822"/>
    <w:link w:val="669"/>
    <w:uiPriority w:val="29"/>
    <w:qFormat/>
    <w:pPr>
      <w:ind w:left="720" w:right="720"/>
    </w:pPr>
    <w:rPr>
      <w:i/>
    </w:rPr>
  </w:style>
  <w:style w:type="character" w:styleId="669">
    <w:name w:val="Quote Char"/>
    <w:link w:val="668"/>
    <w:uiPriority w:val="29"/>
    <w:rPr>
      <w:i/>
    </w:rPr>
  </w:style>
  <w:style w:type="paragraph" w:styleId="670">
    <w:name w:val="Intense Quote"/>
    <w:basedOn w:val="822"/>
    <w:next w:val="822"/>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basedOn w:val="822"/>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basedOn w:val="822"/>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basedOn w:val="822"/>
    <w:next w:val="822"/>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basedOn w:val="82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basedOn w:val="8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basedOn w:val="8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basedOn w:val="8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basedOn w:val="8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basedOn w:val="8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basedOn w:val="8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basedOn w:val="8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basedOn w:val="8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basedOn w:val="8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basedOn w:val="8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basedOn w:val="8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basedOn w:val="8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basedOn w:val="8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basedOn w:val="8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basedOn w:val="8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basedOn w:val="8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basedOn w:val="8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basedOn w:val="8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basedOn w:val="8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basedOn w:val="8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basedOn w:val="8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basedOn w:val="8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basedOn w:val="8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basedOn w:val="8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basedOn w:val="8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basedOn w:val="8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basedOn w:val="8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basedOn w:val="8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basedOn w:val="8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basedOn w:val="8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basedOn w:val="8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15">
    <w:name w:val="Grid Table 5 Dark - Accent 2"/>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16">
    <w:name w:val="Grid Table 5 Dark - Accent 3"/>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7">
    <w:name w:val="Grid Table 5 Dark- Accent 4"/>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8">
    <w:name w:val="Grid Table 5 Dark - Accent 5"/>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19">
    <w:name w:val="Grid Table 5 Dark - Accent 6"/>
    <w:basedOn w:val="8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20">
    <w:name w:val="Grid Table 6 Colorful"/>
    <w:basedOn w:val="8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basedOn w:val="8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basedOn w:val="8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basedOn w:val="8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basedOn w:val="8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basedOn w:val="8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6">
    <w:name w:val="Grid Table 6 Colorful - Accent 6"/>
    <w:basedOn w:val="8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7">
    <w:name w:val="Grid Table 7 Colorful"/>
    <w:basedOn w:val="8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basedOn w:val="8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basedOn w:val="8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basedOn w:val="8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basedOn w:val="8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basedOn w:val="8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basedOn w:val="8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basedOn w:val="8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basedOn w:val="82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basedOn w:val="82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basedOn w:val="82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basedOn w:val="82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basedOn w:val="82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basedOn w:val="82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basedOn w:val="8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basedOn w:val="8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basedOn w:val="8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basedOn w:val="8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basedOn w:val="8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basedOn w:val="8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basedOn w:val="8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basedOn w:val="8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0">
    <w:name w:val="List Table 3 - Accent 2"/>
    <w:basedOn w:val="8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51">
    <w:name w:val="List Table 3 - Accent 3"/>
    <w:basedOn w:val="8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52">
    <w:name w:val="List Table 3 - Accent 4"/>
    <w:basedOn w:val="8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53">
    <w:name w:val="List Table 3 - Accent 5"/>
    <w:basedOn w:val="8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54">
    <w:name w:val="List Table 3 - Accent 6"/>
    <w:basedOn w:val="8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55">
    <w:name w:val="List Table 4"/>
    <w:basedOn w:val="8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basedOn w:val="8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7">
    <w:name w:val="List Table 4 - Accent 2"/>
    <w:basedOn w:val="8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8">
    <w:name w:val="List Table 4 - Accent 3"/>
    <w:basedOn w:val="8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9">
    <w:name w:val="List Table 4 - Accent 4"/>
    <w:basedOn w:val="8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60">
    <w:name w:val="List Table 4 - Accent 5"/>
    <w:basedOn w:val="8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61">
    <w:name w:val="List Table 4 - Accent 6"/>
    <w:basedOn w:val="8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62">
    <w:name w:val="List Table 5 Dark"/>
    <w:basedOn w:val="8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basedOn w:val="8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basedOn w:val="8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basedOn w:val="8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basedOn w:val="8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basedOn w:val="8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basedOn w:val="8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basedOn w:val="8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basedOn w:val="8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71">
    <w:name w:val="List Table 6 Colorful - Accent 2"/>
    <w:basedOn w:val="8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72">
    <w:name w:val="List Table 6 Colorful - Accent 3"/>
    <w:basedOn w:val="8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73">
    <w:name w:val="List Table 6 Colorful - Accent 4"/>
    <w:basedOn w:val="8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74">
    <w:name w:val="List Table 6 Colorful - Accent 5"/>
    <w:basedOn w:val="8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75">
    <w:name w:val="List Table 6 Colorful - Accent 6"/>
    <w:basedOn w:val="8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76">
    <w:name w:val="List Table 7 Colorful"/>
    <w:basedOn w:val="8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basedOn w:val="8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78">
    <w:name w:val="List Table 7 Colorful - Accent 2"/>
    <w:basedOn w:val="8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9">
    <w:name w:val="List Table 7 Colorful - Accent 3"/>
    <w:basedOn w:val="8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80">
    <w:name w:val="List Table 7 Colorful - Accent 4"/>
    <w:basedOn w:val="8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81">
    <w:name w:val="List Table 7 Colorful - Accent 5"/>
    <w:basedOn w:val="8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82">
    <w:name w:val="List Table 7 Colorful - Accent 6"/>
    <w:basedOn w:val="8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83">
    <w:name w:val="Lined - Accent"/>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5">
    <w:name w:val="Lined - Accent 2"/>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6">
    <w:name w:val="Lined - Accent 3"/>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7">
    <w:name w:val="Lined - Accent 4"/>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8">
    <w:name w:val="Lined - Accent 5"/>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9">
    <w:name w:val="Lined - Accent 6"/>
    <w:basedOn w:val="8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0">
    <w:name w:val="Bordered &amp; Lined - Accent"/>
    <w:basedOn w:val="8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basedOn w:val="8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2">
    <w:name w:val="Bordered &amp; Lined - Accent 2"/>
    <w:basedOn w:val="8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3">
    <w:name w:val="Bordered &amp; Lined - Accent 3"/>
    <w:basedOn w:val="8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4">
    <w:name w:val="Bordered &amp; Lined - Accent 4"/>
    <w:basedOn w:val="8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5">
    <w:name w:val="Bordered &amp; Lined - Accent 5"/>
    <w:basedOn w:val="8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6">
    <w:name w:val="Bordered &amp; Lined - Accent 6"/>
    <w:basedOn w:val="8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7">
    <w:name w:val="Bordered"/>
    <w:basedOn w:val="8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basedOn w:val="8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basedOn w:val="8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basedOn w:val="8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basedOn w:val="8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basedOn w:val="8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basedOn w:val="8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basedOn w:val="822"/>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basedOn w:val="822"/>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basedOn w:val="822"/>
    <w:next w:val="822"/>
    <w:uiPriority w:val="39"/>
    <w:unhideWhenUsed/>
    <w:pPr>
      <w:ind w:left="0" w:right="0" w:firstLine="0"/>
      <w:spacing w:after="57"/>
    </w:pPr>
  </w:style>
  <w:style w:type="paragraph" w:styleId="812">
    <w:name w:val="toc 2"/>
    <w:basedOn w:val="822"/>
    <w:next w:val="822"/>
    <w:uiPriority w:val="39"/>
    <w:unhideWhenUsed/>
    <w:pPr>
      <w:ind w:left="283" w:right="0" w:firstLine="0"/>
      <w:spacing w:after="57"/>
    </w:pPr>
  </w:style>
  <w:style w:type="paragraph" w:styleId="813">
    <w:name w:val="toc 3"/>
    <w:basedOn w:val="822"/>
    <w:next w:val="822"/>
    <w:uiPriority w:val="39"/>
    <w:unhideWhenUsed/>
    <w:pPr>
      <w:ind w:left="567" w:right="0" w:firstLine="0"/>
      <w:spacing w:after="57"/>
    </w:pPr>
  </w:style>
  <w:style w:type="paragraph" w:styleId="814">
    <w:name w:val="toc 4"/>
    <w:basedOn w:val="822"/>
    <w:next w:val="822"/>
    <w:uiPriority w:val="39"/>
    <w:unhideWhenUsed/>
    <w:pPr>
      <w:ind w:left="850" w:right="0" w:firstLine="0"/>
      <w:spacing w:after="57"/>
    </w:pPr>
  </w:style>
  <w:style w:type="paragraph" w:styleId="815">
    <w:name w:val="toc 5"/>
    <w:basedOn w:val="822"/>
    <w:next w:val="822"/>
    <w:uiPriority w:val="39"/>
    <w:unhideWhenUsed/>
    <w:pPr>
      <w:ind w:left="1134" w:right="0" w:firstLine="0"/>
      <w:spacing w:after="57"/>
    </w:pPr>
  </w:style>
  <w:style w:type="paragraph" w:styleId="816">
    <w:name w:val="toc 6"/>
    <w:basedOn w:val="822"/>
    <w:next w:val="822"/>
    <w:uiPriority w:val="39"/>
    <w:unhideWhenUsed/>
    <w:pPr>
      <w:ind w:left="1417" w:right="0" w:firstLine="0"/>
      <w:spacing w:after="57"/>
    </w:pPr>
  </w:style>
  <w:style w:type="paragraph" w:styleId="817">
    <w:name w:val="toc 7"/>
    <w:basedOn w:val="822"/>
    <w:next w:val="822"/>
    <w:uiPriority w:val="39"/>
    <w:unhideWhenUsed/>
    <w:pPr>
      <w:ind w:left="1701" w:right="0" w:firstLine="0"/>
      <w:spacing w:after="57"/>
    </w:pPr>
  </w:style>
  <w:style w:type="paragraph" w:styleId="818">
    <w:name w:val="toc 8"/>
    <w:basedOn w:val="822"/>
    <w:next w:val="822"/>
    <w:uiPriority w:val="39"/>
    <w:unhideWhenUsed/>
    <w:pPr>
      <w:ind w:left="1984" w:right="0" w:firstLine="0"/>
      <w:spacing w:after="57"/>
    </w:pPr>
  </w:style>
  <w:style w:type="paragraph" w:styleId="819">
    <w:name w:val="toc 9"/>
    <w:basedOn w:val="822"/>
    <w:next w:val="822"/>
    <w:uiPriority w:val="39"/>
    <w:unhideWhenUsed/>
    <w:pPr>
      <w:ind w:left="2268" w:right="0" w:firstLine="0"/>
      <w:spacing w:after="57"/>
    </w:pPr>
  </w:style>
  <w:style w:type="paragraph" w:styleId="820">
    <w:name w:val="TOC Heading"/>
    <w:uiPriority w:val="39"/>
    <w:unhideWhenUsed/>
  </w:style>
  <w:style w:type="paragraph" w:styleId="821">
    <w:name w:val="table of figures"/>
    <w:basedOn w:val="822"/>
    <w:next w:val="822"/>
    <w:uiPriority w:val="99"/>
    <w:unhideWhenUsed/>
    <w:pPr>
      <w:spacing w:after="0" w:afterAutospacing="0"/>
    </w:pPr>
  </w:style>
  <w:style w:type="paragraph" w:styleId="822" w:default="1">
    <w:name w:val="Normal"/>
    <w:qFormat/>
  </w:style>
  <w:style w:type="table" w:styleId="823" w:default="1">
    <w:name w:val="Normal Table"/>
    <w:uiPriority w:val="99"/>
    <w:semiHidden/>
    <w:unhideWhenUsed/>
    <w:tblPr>
      <w:tblInd w:w="0" w:type="dxa"/>
      <w:tblCellMar>
        <w:left w:w="108" w:type="dxa"/>
        <w:top w:w="0" w:type="dxa"/>
        <w:right w:w="108" w:type="dxa"/>
        <w:bottom w:w="0" w:type="dxa"/>
      </w:tblCellMar>
    </w:tblPr>
  </w:style>
  <w:style w:type="numbering" w:styleId="824" w:default="1">
    <w:name w:val="No List"/>
    <w:uiPriority w:val="99"/>
    <w:semiHidden/>
    <w:unhideWhenUsed/>
  </w:style>
  <w:style w:type="paragraph" w:styleId="825">
    <w:name w:val="No Spacing"/>
    <w:basedOn w:val="822"/>
    <w:uiPriority w:val="1"/>
    <w:qFormat/>
    <w:pPr>
      <w:spacing w:after="0" w:line="240" w:lineRule="auto"/>
    </w:pPr>
  </w:style>
  <w:style w:type="paragraph" w:styleId="826">
    <w:name w:val="List Paragraph"/>
    <w:basedOn w:val="822"/>
    <w:uiPriority w:val="34"/>
    <w:qFormat/>
    <w:pPr>
      <w:contextualSpacing/>
      <w:ind w:left="720"/>
    </w:pPr>
  </w:style>
  <w:style w:type="character" w:styleId="827"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397776" TargetMode="External"/><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397777"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397778"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397793"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397794"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397795"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胡嫣婷</cp:lastModifiedBy>
  <cp:revision>4</cp:revision>
  <dcterms:modified xsi:type="dcterms:W3CDTF">2024-05-20T06:39:15Z</dcterms:modified>
</cp:coreProperties>
</file>