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409E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eastAsia="zh-CN"/>
        </w:rPr>
        <w:t>镇江市云台居住房产管理处2025年度修缮工程主要建筑材料供应采购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需求</w:t>
      </w:r>
    </w:p>
    <w:p w14:paraId="26E43EBE"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一、项目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概况</w:t>
      </w:r>
      <w:bookmarkStart w:id="1" w:name="_GoBack"/>
      <w:bookmarkEnd w:id="1"/>
    </w:p>
    <w:p w14:paraId="4992AAFD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1、项目名称：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u w:val="none"/>
          <w:lang w:eastAsia="zh-CN"/>
        </w:rPr>
        <w:t>镇江市云台居住房产管理处2025年度修缮工程主要建筑材料供应采购。</w:t>
      </w:r>
    </w:p>
    <w:p w14:paraId="34C04417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预算金额：</w:t>
      </w:r>
      <w:bookmarkStart w:id="0" w:name="EB445c7fcf29fe414b849236427ff2b82f"/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79万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元</w:t>
      </w:r>
      <w:bookmarkEnd w:id="0"/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。</w:t>
      </w:r>
    </w:p>
    <w:p w14:paraId="3E014528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本次采购内容为镇江市云台居住房产管理处2025年修缮工程主要建筑材料分批供应采购，根据采购人要求的时间供应货物。2025年修缮工程的主要地点：康德嘉苑、百盛家园、凤凰家园凤仪苑及凤翔苑、金山水城四区、官塘绿苑一区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。</w:t>
      </w:r>
    </w:p>
    <w:p w14:paraId="4DEA6DB1">
      <w:pPr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二、采购标的汇总表</w:t>
      </w:r>
    </w:p>
    <w:p w14:paraId="523270AA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（一） 采购标的</w:t>
      </w:r>
    </w:p>
    <w:p w14:paraId="1E2778AA">
      <w:pPr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1、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货物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类标的</w:t>
      </w:r>
    </w:p>
    <w:tbl>
      <w:tblPr>
        <w:tblStyle w:val="2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79"/>
        <w:gridCol w:w="1377"/>
        <w:gridCol w:w="1025"/>
        <w:gridCol w:w="1438"/>
        <w:gridCol w:w="3321"/>
      </w:tblGrid>
      <w:tr w14:paraId="0B846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7CCF958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066A99F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  <w:t>货物类标的名称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6D0D604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  <w:t>计量单位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3BC79B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  <w:t>数量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2306B39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  <w:t>是否进口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08B680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4"/>
                <w:highlight w:val="none"/>
              </w:rPr>
              <w:t>备注</w:t>
            </w:r>
          </w:p>
        </w:tc>
      </w:tr>
      <w:tr w14:paraId="5306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55AE5BD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5475D78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中粗砂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707FBBE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吨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B0C9D5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05421A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3B35EC2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</w:tr>
      <w:tr w14:paraId="3A40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1B81B38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64DD11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碎 石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5A0C492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吨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5D20F4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60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219BC26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371407C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5-20mm</w:t>
            </w:r>
          </w:p>
        </w:tc>
      </w:tr>
      <w:tr w14:paraId="27BB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7E0C27F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7C3ED9C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标准黏土砖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0B47A31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3B53FE5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727D4D0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698507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240*115*53</w:t>
            </w:r>
          </w:p>
        </w:tc>
      </w:tr>
      <w:tr w14:paraId="2D28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2D37F3C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5B54A3A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普通硅酸盐水泥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F03E31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吨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4A1209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120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07C4A46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5877950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C32.5 袋装</w:t>
            </w:r>
          </w:p>
        </w:tc>
      </w:tr>
      <w:tr w14:paraId="3D23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0952DFC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5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3D3D6C4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白水泥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46F6F79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吨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508EF67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CF07EF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C96A8B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C32.5 袋装</w:t>
            </w:r>
          </w:p>
        </w:tc>
      </w:tr>
      <w:tr w14:paraId="33B7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680DD99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6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5AF4636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平瓦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0AD946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009E91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0A465CE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48881F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400*240</w:t>
            </w:r>
          </w:p>
        </w:tc>
      </w:tr>
      <w:tr w14:paraId="6E8D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F10F46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7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61CE6FC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小瓦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68F560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97A04A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1500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64CCD01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2F39696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</w:tr>
      <w:tr w14:paraId="263C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13211F5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8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44FC028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杉木企口地板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794EAD8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58C55C8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250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4AEC37A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53031F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（24mm厚）</w:t>
            </w:r>
          </w:p>
        </w:tc>
      </w:tr>
      <w:tr w14:paraId="2D4B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5F95DA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9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2C9A2B6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纤维板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473A44B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张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648EBA4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8EC086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42182F4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1000mm*2000mm</w:t>
            </w:r>
          </w:p>
        </w:tc>
      </w:tr>
      <w:tr w14:paraId="01A5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21DE75B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03F592A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圆木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15B504C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m3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5D68778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3941370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29859A7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杉木，梢径 10、12mm</w:t>
            </w:r>
          </w:p>
        </w:tc>
      </w:tr>
      <w:tr w14:paraId="7393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2B53C6D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037D06A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成材方木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51C602E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m3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37230DE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15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4A2E9C8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2AFEAFC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杉木 断面尺寸：25*25、30*40、40*50、40*60、60*80、70*140</w:t>
            </w:r>
          </w:p>
        </w:tc>
      </w:tr>
      <w:tr w14:paraId="730C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4F204CA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5B62DA8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石膏板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48F17E8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张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5A0F9AE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5CDD90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2AE9352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1200mm*2400mm</w:t>
            </w:r>
          </w:p>
        </w:tc>
      </w:tr>
      <w:tr w14:paraId="309C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1FD9EDB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7C34F43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石膏板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2E4F49A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张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24F0FE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6604FE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29A8AFD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防水1200mm*2400mm</w:t>
            </w:r>
          </w:p>
        </w:tc>
      </w:tr>
      <w:tr w14:paraId="1FC4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0780B1E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14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4738A90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彩钢板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0DED8CB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米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78927C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0903003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F415AB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宽度：1000mm</w:t>
            </w:r>
          </w:p>
        </w:tc>
      </w:tr>
      <w:tr w14:paraId="285A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6DFB1E2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209A406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09F6229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7047BF1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26AAC1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786EDAA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厚度：0.3mm</w:t>
            </w:r>
          </w:p>
        </w:tc>
      </w:tr>
      <w:tr w14:paraId="3AA4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1C4B2D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15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0171F33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调和漆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1E0A17E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kg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62A26F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500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3DE7B82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6AA6EC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</w:tr>
      <w:tr w14:paraId="18DA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086AEF4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16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4881E10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塑料扣板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2AE5E01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8915BA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800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3EA1BC7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5078B95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（厚10mm）</w:t>
            </w:r>
          </w:p>
        </w:tc>
      </w:tr>
      <w:tr w14:paraId="1C7D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623399B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17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67EE4B9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集成吊顶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69A0439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B7DBE8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260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29F2A87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4C63567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</w:tr>
      <w:tr w14:paraId="7F26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294548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18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69E1C35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乳胶漆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613ED2F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kg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66290A6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800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59AD092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6A5437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</w:tr>
      <w:tr w14:paraId="3D42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69DCB60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19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5075E37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SBS 卷材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4E7C64E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卷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AAB399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160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0BDF7C7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2DC44D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宽度：1000mm</w:t>
            </w:r>
          </w:p>
        </w:tc>
      </w:tr>
      <w:tr w14:paraId="7D4E2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6A1C66A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71BB957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45E5045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197C93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BE094A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080ADF2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长度：10000mm</w:t>
            </w:r>
          </w:p>
        </w:tc>
      </w:tr>
      <w:tr w14:paraId="373E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E75BA1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20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43561D7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墙砖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C38FCE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38BC400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1500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20ED478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211810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300*600</w:t>
            </w:r>
          </w:p>
        </w:tc>
      </w:tr>
      <w:tr w14:paraId="150C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648B231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7CB89E4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地砖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1C600CB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0C6036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800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2DE0580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8CB1F9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300*300</w:t>
            </w:r>
          </w:p>
        </w:tc>
      </w:tr>
      <w:tr w14:paraId="6688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1411AD5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3F5A53A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配电箱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010F727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只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819D89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60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4E79AE8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4728886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8 路</w:t>
            </w:r>
          </w:p>
        </w:tc>
      </w:tr>
      <w:tr w14:paraId="1EF3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DED982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799B52A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漏电保护器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162D2E1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只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7DACA4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120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6ED5DD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472F0A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40A</w:t>
            </w:r>
          </w:p>
        </w:tc>
      </w:tr>
      <w:tr w14:paraId="69F7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7D329B1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24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5CF35B2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PVC 阻燃管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648AC23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EB4D4F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7F56211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313CCA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管径16mm</w:t>
            </w:r>
          </w:p>
        </w:tc>
      </w:tr>
      <w:tr w14:paraId="0271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BA6C9D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25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4708202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开关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78C92B5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只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DF66C4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350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0FB26D3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5EC6441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86型</w:t>
            </w:r>
          </w:p>
        </w:tc>
      </w:tr>
      <w:tr w14:paraId="6C17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1ACA54B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26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EBDFA8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五孔插座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136A836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只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5B124A4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600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72A4C2C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30CFEA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86型</w:t>
            </w:r>
          </w:p>
        </w:tc>
      </w:tr>
      <w:tr w14:paraId="18E6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56FE065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27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5FFF9A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铜芯线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7CC1D7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5244CD7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364623E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3EEA9A2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BV-1.5mm2</w:t>
            </w:r>
          </w:p>
        </w:tc>
      </w:tr>
      <w:tr w14:paraId="231C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148B84B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28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2817172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铜芯线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4F67685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79D9C30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6000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30FA8B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E44733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BV-2.5mm2</w:t>
            </w:r>
          </w:p>
        </w:tc>
      </w:tr>
      <w:tr w14:paraId="6EAA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6420C9B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29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2A48F61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铜芯线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2E6519C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7E1C6A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D3CC88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4EF286A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BV-4mm2</w:t>
            </w:r>
          </w:p>
        </w:tc>
      </w:tr>
      <w:tr w14:paraId="4CF8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CFDBF1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507EE53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UPVC 钙塑管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023121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62A99E7D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38A3630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61E93D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管径50mm</w:t>
            </w:r>
          </w:p>
        </w:tc>
      </w:tr>
      <w:tr w14:paraId="21C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0DD641A6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73730DB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UPVC 钙塑管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7BCB1B3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6441AAE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06B9EA2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7665FD7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管径75mm</w:t>
            </w:r>
          </w:p>
        </w:tc>
      </w:tr>
      <w:tr w14:paraId="31B7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5220765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3A1047D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UPVC 钙塑管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C24344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65F8E3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23149F2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39FF31C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管径110mm</w:t>
            </w:r>
          </w:p>
        </w:tc>
      </w:tr>
      <w:tr w14:paraId="4D8A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6851E48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5D17A32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UPVC 钙塑管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28DC7EA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E284F1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50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3252C5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3580D6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管径160mm</w:t>
            </w:r>
          </w:p>
        </w:tc>
      </w:tr>
      <w:tr w14:paraId="3856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7A77F27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35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FD5C3C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PP-R 热水管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876391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1581298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4A98D31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570FDC0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D20*3.4</w:t>
            </w:r>
          </w:p>
        </w:tc>
      </w:tr>
      <w:tr w14:paraId="6D28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7ECCE25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36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EF8E8E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坐便器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5408F1C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50DA19B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35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0827D23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372878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</w:tr>
      <w:tr w14:paraId="6BC9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763C366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37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95C8DD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面盆柜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00F2645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7E439D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15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60C67A2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7313E0E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宽700mm</w:t>
            </w:r>
          </w:p>
        </w:tc>
      </w:tr>
      <w:tr w14:paraId="7162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470F6B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38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70BCE1F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金属玻璃门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D3DDA0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05C03DC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4467C1C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5978C4A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双层玻璃</w:t>
            </w:r>
          </w:p>
        </w:tc>
      </w:tr>
      <w:tr w14:paraId="13CB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03D9572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39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91853D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D80系列断桥铝材二轨推拉窗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69CF4B8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m2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1BBFA6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300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CD91CD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10BB4ADF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壁厚标准1.4mm，标配正标信义5BB+12A+5BB钢化中空玻璃</w:t>
            </w:r>
          </w:p>
        </w:tc>
      </w:tr>
      <w:tr w14:paraId="561B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87BDE7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40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C4BC17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单扇木门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11C7A71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樘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C3344C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0815DBE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6133756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900mm×2000mm</w:t>
            </w:r>
          </w:p>
        </w:tc>
      </w:tr>
      <w:tr w14:paraId="332E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238CA0C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74AF576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双扇木门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67ED52A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樘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77C86E0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5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438EB2C3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377DBCA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1200mm×2000mm</w:t>
            </w:r>
          </w:p>
        </w:tc>
      </w:tr>
      <w:tr w14:paraId="6D10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3CD05A4B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107BA8AE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不锈钢水龙头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2E524237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只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34E7629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50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65BC483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2109492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冷热</w:t>
            </w:r>
          </w:p>
        </w:tc>
      </w:tr>
      <w:tr w14:paraId="7FFE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0EA73A8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693FC81B">
            <w:pPr>
              <w:spacing w:beforeLines="0" w:afterLines="0" w:line="360" w:lineRule="auto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  <w:lang w:val="en-US" w:eastAsia="zh-CN"/>
              </w:rPr>
              <w:t>快开水龙头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3095C869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只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44E12114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50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1C1A7990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4988E692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</w:p>
        </w:tc>
      </w:tr>
      <w:tr w14:paraId="3251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noWrap w:val="0"/>
            <w:vAlign w:val="top"/>
          </w:tcPr>
          <w:p w14:paraId="2B39BE4A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44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noWrap w:val="0"/>
            <w:vAlign w:val="top"/>
          </w:tcPr>
          <w:p w14:paraId="3013DD0C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地漏</w:t>
            </w:r>
          </w:p>
        </w:tc>
        <w:tc>
          <w:tcPr>
            <w:tcW w:w="1377" w:type="dxa"/>
            <w:tcBorders>
              <w:tl2br w:val="nil"/>
              <w:tr2bl w:val="nil"/>
            </w:tcBorders>
            <w:noWrap w:val="0"/>
            <w:vAlign w:val="top"/>
          </w:tcPr>
          <w:p w14:paraId="4DE01051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只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noWrap w:val="0"/>
            <w:vAlign w:val="top"/>
          </w:tcPr>
          <w:p w14:paraId="29A1B1B8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100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top"/>
          </w:tcPr>
          <w:p w14:paraId="6A1A039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否</w:t>
            </w:r>
          </w:p>
        </w:tc>
        <w:tc>
          <w:tcPr>
            <w:tcW w:w="3321" w:type="dxa"/>
            <w:tcBorders>
              <w:tl2br w:val="nil"/>
              <w:tr2bl w:val="nil"/>
            </w:tcBorders>
            <w:noWrap w:val="0"/>
            <w:vAlign w:val="top"/>
          </w:tcPr>
          <w:p w14:paraId="561874F5">
            <w:pPr>
              <w:spacing w:beforeLines="0" w:afterLines="0" w:line="360" w:lineRule="auto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4"/>
                <w:highlight w:val="none"/>
              </w:rPr>
              <w:t>防臭</w:t>
            </w:r>
          </w:p>
        </w:tc>
      </w:tr>
    </w:tbl>
    <w:p w14:paraId="43195D3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采购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货物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总数量按实际需求计取并结算。</w:t>
      </w:r>
    </w:p>
    <w:p w14:paraId="7FBF6D5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三、样品参数评价要求： </w:t>
      </w:r>
    </w:p>
    <w:p w14:paraId="71F3810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样品尺寸参考如下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： </w:t>
      </w:r>
    </w:p>
    <w:p w14:paraId="63A3F8FA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1、UPVC 钙塑排水管（管径 75mm, 110mm）：各一根，长 100mm </w:t>
      </w:r>
    </w:p>
    <w:p w14:paraId="35BB4437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2、PP-R 冷/热水管：各一根，长 100mm </w:t>
      </w:r>
    </w:p>
    <w:p w14:paraId="6595FCD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>3、PVC 阻燃管（管径 16mm）：长 100mm</w:t>
      </w:r>
    </w:p>
    <w:p w14:paraId="22A81BF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>4、不锈钢水龙头（规格 15mm）：1 个</w:t>
      </w:r>
    </w:p>
    <w:p w14:paraId="011D7C1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5、铜芯线（规格：BV1. 5mm、2.5mm、4mm）：长 100mm </w:t>
      </w:r>
    </w:p>
    <w:p w14:paraId="436B148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6、墙砖（规格：300*600）：一块 </w:t>
      </w:r>
    </w:p>
    <w:p w14:paraId="205B08D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7、地砖（规格:600*600、300*300）各一块 </w:t>
      </w:r>
    </w:p>
    <w:p w14:paraId="11E9342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>8、快开水龙头：一个</w:t>
      </w:r>
    </w:p>
    <w:p w14:paraId="4CFE7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>9、地漏：（规格 DN50）一个</w:t>
      </w:r>
    </w:p>
    <w:p w14:paraId="6ADAA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四、交付（实施）的时间（期限）和地点（范围）</w:t>
      </w:r>
    </w:p>
    <w:p w14:paraId="35912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1、项目供货期要求：合同签订后365日历天</w:t>
      </w:r>
    </w:p>
    <w:p w14:paraId="79BF0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2、项目交货地点：镇江市云台居住房产管理处管辖范围内公房</w:t>
      </w:r>
    </w:p>
    <w:p w14:paraId="6FA9509C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售后服务要求</w:t>
      </w:r>
    </w:p>
    <w:p w14:paraId="7B438001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560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供货方承担送货、运输保险等相关费用，免费送货至需要指定场所，并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提供项目售后服务方案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。</w:t>
      </w:r>
    </w:p>
    <w:p w14:paraId="2CFFD2B9">
      <w:pPr>
        <w:spacing w:line="360" w:lineRule="auto"/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楷体" w:hAnsi="楷体" w:eastAsia="楷体" w:cs="楷体"/>
          <w:b/>
          <w:color w:val="auto"/>
          <w:sz w:val="28"/>
          <w:szCs w:val="28"/>
          <w:highlight w:val="none"/>
        </w:rPr>
        <w:t>包装运输要求</w:t>
      </w:r>
    </w:p>
    <w:p w14:paraId="61402201">
      <w:pPr>
        <w:pStyle w:val="4"/>
        <w:keepNext w:val="0"/>
        <w:keepLines w:val="0"/>
        <w:pageBreakBefore w:val="0"/>
        <w:widowControl w:val="0"/>
        <w:spacing w:before="0" w:line="360" w:lineRule="auto"/>
        <w:ind w:left="0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供货方承担送货、运输等相关费用，免费送货至需要指定场所，并负责免费安装培训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。</w:t>
      </w:r>
    </w:p>
    <w:p w14:paraId="7963E5FE">
      <w:pPr>
        <w:pStyle w:val="4"/>
        <w:keepNext w:val="0"/>
        <w:keepLines w:val="0"/>
        <w:pageBreakBefore w:val="0"/>
        <w:widowControl w:val="0"/>
        <w:spacing w:before="0" w:line="360" w:lineRule="auto"/>
        <w:ind w:left="0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验收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要求</w:t>
      </w:r>
    </w:p>
    <w:p w14:paraId="13704A54">
      <w:pPr>
        <w:pStyle w:val="4"/>
        <w:keepNext w:val="0"/>
        <w:keepLines w:val="0"/>
        <w:pageBreakBefore w:val="0"/>
        <w:widowControl w:val="0"/>
        <w:spacing w:before="0" w:line="360" w:lineRule="auto"/>
        <w:ind w:left="0" w:firstLine="560" w:firstLineChars="20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在货物进场时，应由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组织现场验收，如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验收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不合格的，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有权无条件退、换货物，由此引起的所有损失均由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自行承担且全部履约保证金不予退还。货物通过合格检测的，则可进入安装施工环节；项目完成安装后，由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组织验收小组对项目整体进行最终验收并签发验收单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。</w:t>
      </w:r>
    </w:p>
    <w:p w14:paraId="7D97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八、付款方式</w:t>
      </w:r>
    </w:p>
    <w:p w14:paraId="3899FA1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>1、合同签定收到发票后10个工作日内支付合同价 30％的预付款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（如成交供应商不需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支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付此项费用的，采购方可不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支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付，本项费用连同后期一并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 w:bidi="ar"/>
        </w:rPr>
        <w:t>支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bidi="ar"/>
        </w:rPr>
        <w:t>付）</w:t>
      </w: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>；</w:t>
      </w:r>
    </w:p>
    <w:p w14:paraId="31269F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highlight w:val="none"/>
          <w:lang w:val="en-US" w:eastAsia="zh-CN" w:bidi="ar"/>
        </w:rPr>
        <w:t>2、项目完成后，由采购人按财政资金拨付进度支付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。</w:t>
      </w:r>
    </w:p>
    <w:p w14:paraId="396FC7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九、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/>
        </w:rPr>
        <w:t>其他要求</w:t>
      </w:r>
    </w:p>
    <w:p w14:paraId="37C89AD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/>
        </w:rPr>
        <w:t>本项目需提供样品，供应商必须在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开标当日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/>
        </w:rPr>
        <w:t>早上9：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/>
        </w:rPr>
        <w:t>0前将样品递交至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（镇江市京口区焦山路95号合山居清河路门面房4幢103）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/>
        </w:rPr>
        <w:t>，要求样品统一封装（便于工作人员搬运）。</w:t>
      </w:r>
    </w:p>
    <w:p w14:paraId="331FC4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2、成交供应商的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/>
        </w:rPr>
        <w:t>样品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封存由采购人带回作为验收依据，未成交供应商的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/>
        </w:rPr>
        <w:t>样品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自行带回。</w:t>
      </w:r>
    </w:p>
    <w:p w14:paraId="40C8C6C1">
      <w:pPr>
        <w:spacing w:line="360" w:lineRule="auto"/>
        <w:rPr>
          <w:rFonts w:hint="default" w:ascii="楷体" w:hAnsi="楷体" w:eastAsia="楷体" w:cs="楷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3、在本项目实施过程中，中标人需严格遵守和执行《中华人民共和国劳动法》、镇江市劳动用工和社会保险管理规定、镇江市最低工资标准等相关法律法规，并就安全生产和职业道德加强对所有工作人员的教育，合同期中发生的一切事故、纠纷由中标人承担，采购人不承担任何责任。</w:t>
      </w:r>
    </w:p>
    <w:p w14:paraId="245704E3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02C4F"/>
    <w:rsid w:val="470A4433"/>
    <w:rsid w:val="594F55F2"/>
    <w:rsid w:val="62A0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hint="default" w:ascii="宋体" w:hAnsi="Times New Roman" w:eastAsia="宋体" w:cs="Times New Roman"/>
      <w:sz w:val="22"/>
      <w:szCs w:val="22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next w:val="1"/>
    <w:qFormat/>
    <w:uiPriority w:val="0"/>
    <w:pPr>
      <w:spacing w:before="129"/>
      <w:ind w:left="100"/>
    </w:pPr>
    <w:rPr>
      <w:sz w:val="18"/>
      <w:szCs w:val="18"/>
    </w:rPr>
  </w:style>
  <w:style w:type="paragraph" w:customStyle="1" w:styleId="5">
    <w:name w:val="列出段落2"/>
    <w:qFormat/>
    <w:uiPriority w:val="0"/>
    <w:pPr>
      <w:widowControl w:val="0"/>
      <w:ind w:firstLine="42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2025-11-06T09:00:00Z</dcterms:created>
  <dc:creator>zhuhaizhen</dc:creator>
  <cp:lastModifiedBy>zhuhaizhen</cp:lastModifiedBy>
  <dcterms:modified xsi:type="dcterms:W3CDTF">2025-11-06T09:01:56Z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ED345373947E4DBA8F81FE4A9A8A4F2F_11</vt:lpwstr>
  </property>
  <property fmtid="{D5CDD505-2E9C-101B-9397-08002B2CF9AE}" pid="4" name="KSOTemplateDocerSaveRecord">
    <vt:lpwstr>eyJoZGlkIjoiNWY0NjEyNGUzZTk2YjBkNjE3NmFjODZlOWRkNjMxMGMiLCJ1c2VySWQiOiIyODQxNDY2MTAifQ==</vt:lpwstr>
  </property>
</Properties>
</file>