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4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3"/>
        <w:gridCol w:w="1137"/>
        <w:gridCol w:w="12229"/>
      </w:tblGrid>
      <w:tr w14:paraId="376F6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713" w:type="dxa"/>
            <w:tcBorders>
              <w:tl2br w:val="nil"/>
              <w:tr2bl w:val="nil"/>
            </w:tcBorders>
            <w:noWrap/>
            <w:vAlign w:val="center"/>
          </w:tcPr>
          <w:p w14:paraId="01AA98E8">
            <w:pPr>
              <w:widowControl/>
              <w:jc w:val="center"/>
              <w:textAlignment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序号</w:t>
            </w:r>
          </w:p>
        </w:tc>
        <w:tc>
          <w:tcPr>
            <w:tcW w:w="1137" w:type="dxa"/>
            <w:tcBorders>
              <w:tl2br w:val="nil"/>
              <w:tr2bl w:val="nil"/>
            </w:tcBorders>
            <w:noWrap/>
            <w:vAlign w:val="center"/>
          </w:tcPr>
          <w:p w14:paraId="08B8AA11">
            <w:pPr>
              <w:widowControl/>
              <w:jc w:val="center"/>
              <w:textAlignment w:val="center"/>
              <w:rPr>
                <w:rFonts w:hint="eastAsia" w:asciiTheme="minorEastAsia" w:hAnsiTheme="minorEastAsia" w:cstheme="minorEastAsia"/>
                <w:color w:val="000000" w:themeColor="text1"/>
                <w:kern w:val="0"/>
                <w:szCs w:val="21"/>
                <w:lang w:bidi="ar"/>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货物名称</w:t>
            </w:r>
          </w:p>
        </w:tc>
        <w:tc>
          <w:tcPr>
            <w:tcW w:w="12229" w:type="dxa"/>
            <w:tcBorders>
              <w:tl2br w:val="nil"/>
              <w:tr2bl w:val="nil"/>
            </w:tcBorders>
            <w:noWrap/>
            <w:vAlign w:val="center"/>
          </w:tcPr>
          <w:p w14:paraId="2F6100F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技术要求</w:t>
            </w:r>
          </w:p>
        </w:tc>
      </w:tr>
      <w:tr w14:paraId="139A8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1" w:hRule="atLeast"/>
          <w:jc w:val="center"/>
        </w:trPr>
        <w:tc>
          <w:tcPr>
            <w:tcW w:w="713" w:type="dxa"/>
            <w:tcBorders>
              <w:tl2br w:val="nil"/>
              <w:tr2bl w:val="nil"/>
            </w:tcBorders>
            <w:noWrap/>
            <w:vAlign w:val="center"/>
          </w:tcPr>
          <w:p w14:paraId="48C8874D">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1</w:t>
            </w:r>
          </w:p>
        </w:tc>
        <w:tc>
          <w:tcPr>
            <w:tcW w:w="1137" w:type="dxa"/>
            <w:tcBorders>
              <w:tl2br w:val="nil"/>
              <w:tr2bl w:val="nil"/>
            </w:tcBorders>
            <w:noWrap/>
            <w:vAlign w:val="center"/>
          </w:tcPr>
          <w:p w14:paraId="4FFB752E">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消防用红外热像仪（台）</w:t>
            </w:r>
          </w:p>
        </w:tc>
        <w:tc>
          <w:tcPr>
            <w:tcW w:w="12229" w:type="dxa"/>
            <w:tcBorders>
              <w:tl2br w:val="nil"/>
              <w:tr2bl w:val="nil"/>
            </w:tcBorders>
            <w:noWrap/>
            <w:vAlign w:val="center"/>
          </w:tcPr>
          <w:p w14:paraId="7CCB483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在火灾或恶劣环境下，帮助消防员穿透浓烟中轻松看清方向、搜索被困人员，从容分析火灾现场环境，更快做出决策。主要用于火场探测或火源的检测，具备在火场中显示火场实时温度的功能并在显示屏中显示温度影像。</w:t>
            </w:r>
          </w:p>
          <w:p w14:paraId="1D9F46E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2、产品配置：红外热像仪主机*1、电池*2、充电器*1、电池座充*1、USB数据线、防水防震携行箱。</w:t>
            </w:r>
          </w:p>
          <w:p w14:paraId="026F870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▲3、测温范围：不低于1000℃；测温精度：≤±2℃；</w:t>
            </w:r>
          </w:p>
          <w:p w14:paraId="0B9CB89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4、显示屏：≥3.5英寸阳光可视显示屏；</w:t>
            </w:r>
          </w:p>
          <w:p w14:paraId="1663566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5、激光指示功能：内置激光定位器，可在屏幕上显示方向，激光指针可指示危险区域；</w:t>
            </w:r>
          </w:p>
          <w:p w14:paraId="7BF65F1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6、最高、低温指针搜寻功能：具有全屏自动指针搜寻最高温及最低温功能，可同时显示最高及最低温度，便于火场中快速定位及冷热点追踪；</w:t>
            </w:r>
          </w:p>
          <w:p w14:paraId="35AAA9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▲7、红外探测器分辨率：≥384*288；</w:t>
            </w:r>
          </w:p>
          <w:p w14:paraId="6F48532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8、热灵敏度：≤30mK；</w:t>
            </w:r>
          </w:p>
          <w:p w14:paraId="44AB163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9、波长范围：8-14μm；</w:t>
            </w:r>
          </w:p>
          <w:p w14:paraId="728069B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10、采样帧速率：≥50帧/s；</w:t>
            </w:r>
          </w:p>
          <w:p w14:paraId="43655A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▲11、高温环境工作时长：-20℃至85℃时，可持续工作；</w:t>
            </w:r>
            <w:r>
              <w:rPr>
                <w:rFonts w:hint="eastAsia" w:asciiTheme="minorEastAsia" w:hAnsiTheme="minorEastAsia" w:cstheme="minorEastAsia"/>
                <w:szCs w:val="21"/>
              </w:rPr>
              <w:t>120℃时，≥10min；260℃时，≥5min；</w:t>
            </w:r>
          </w:p>
          <w:p w14:paraId="223EFE7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12、图像模式：火场、人员搜救、失踪人员、火情模式等多种调色板；</w:t>
            </w:r>
          </w:p>
          <w:p w14:paraId="65B45B8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▲13、防护等级：≥IP67，2米跌落至硬质地面不影响使用；</w:t>
            </w:r>
          </w:p>
          <w:p w14:paraId="5328AE3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14、质量：≤1kg；</w:t>
            </w:r>
          </w:p>
          <w:p w14:paraId="5AAFB80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15、工作温度：-40℃~+60℃；储存温度：-40℃~+70℃；</w:t>
            </w:r>
          </w:p>
          <w:p w14:paraId="2234257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16、满足振动试验：频率范围5Hz～200Hz～5Hz，驱动振幅0.15mm，2.5g，扫描时间15min，振动方向Z；</w:t>
            </w:r>
          </w:p>
          <w:p w14:paraId="458ED55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17、通过抗电强度、绝缘电阻、温升的检验</w:t>
            </w:r>
          </w:p>
        </w:tc>
      </w:tr>
      <w:tr w14:paraId="4029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713" w:type="dxa"/>
            <w:tcBorders>
              <w:tl2br w:val="nil"/>
              <w:tr2bl w:val="nil"/>
            </w:tcBorders>
            <w:noWrap/>
            <w:vAlign w:val="center"/>
          </w:tcPr>
          <w:p w14:paraId="2AE19A86">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2</w:t>
            </w:r>
          </w:p>
        </w:tc>
        <w:tc>
          <w:tcPr>
            <w:tcW w:w="1137" w:type="dxa"/>
            <w:tcBorders>
              <w:tl2br w:val="nil"/>
              <w:tr2bl w:val="nil"/>
            </w:tcBorders>
            <w:noWrap/>
            <w:vAlign w:val="center"/>
          </w:tcPr>
          <w:p w14:paraId="2BF1C672">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望远镜</w:t>
            </w:r>
          </w:p>
        </w:tc>
        <w:tc>
          <w:tcPr>
            <w:tcW w:w="12229" w:type="dxa"/>
            <w:tcBorders>
              <w:tl2br w:val="nil"/>
              <w:tr2bl w:val="nil"/>
            </w:tcBorders>
            <w:noWrap/>
            <w:vAlign w:val="center"/>
          </w:tcPr>
          <w:p w14:paraId="7556CC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1、结构组成：望远镜、镜包、镜布、挂绳</w:t>
            </w:r>
          </w:p>
          <w:p w14:paraId="1E03145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2、倍率：≥10X，</w:t>
            </w:r>
          </w:p>
          <w:p w14:paraId="77307FB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3、物镜直径：≥ 42mm，</w:t>
            </w:r>
          </w:p>
          <w:p w14:paraId="1AA039B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4、镜体材料：塑钢，</w:t>
            </w:r>
          </w:p>
          <w:p w14:paraId="0FD3F29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5、千米视野：≥113m，</w:t>
            </w:r>
          </w:p>
          <w:p w14:paraId="510E1FA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6、最近对焦：≥4m，</w:t>
            </w:r>
          </w:p>
          <w:p w14:paraId="25E2697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7、出瞳直径：≥4.2mm，</w:t>
            </w:r>
          </w:p>
          <w:p w14:paraId="79F4115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8、出瞳距离：≥18.5mm，</w:t>
            </w:r>
          </w:p>
          <w:p w14:paraId="2349B85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9、透过率：≥84%，</w:t>
            </w:r>
          </w:p>
          <w:p w14:paraId="5E314F3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10、棱镜系统：相位膜+高反介质，</w:t>
            </w:r>
          </w:p>
          <w:p w14:paraId="24BA10D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11、透镜镀膜：增透防水膜，</w:t>
            </w:r>
          </w:p>
          <w:p w14:paraId="1124994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12、防水等级：1.5m/30分钟，</w:t>
            </w:r>
          </w:p>
          <w:p w14:paraId="4418900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13、内充保护气体：氮气，</w:t>
            </w:r>
          </w:p>
          <w:p w14:paraId="7D5A63E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14、重量(g)：≤743，</w:t>
            </w:r>
          </w:p>
          <w:p w14:paraId="0FB8D0A6">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15、尺寸(cm)：≤15X13X5.5</w:t>
            </w:r>
          </w:p>
        </w:tc>
      </w:tr>
      <w:tr w14:paraId="6D460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atLeast"/>
          <w:jc w:val="center"/>
        </w:trPr>
        <w:tc>
          <w:tcPr>
            <w:tcW w:w="713" w:type="dxa"/>
            <w:tcBorders>
              <w:tl2br w:val="nil"/>
              <w:tr2bl w:val="nil"/>
            </w:tcBorders>
            <w:noWrap/>
            <w:vAlign w:val="center"/>
          </w:tcPr>
          <w:p w14:paraId="0377168B">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3</w:t>
            </w:r>
          </w:p>
        </w:tc>
        <w:tc>
          <w:tcPr>
            <w:tcW w:w="1137" w:type="dxa"/>
            <w:tcBorders>
              <w:tl2br w:val="nil"/>
              <w:tr2bl w:val="nil"/>
            </w:tcBorders>
            <w:noWrap/>
            <w:vAlign w:val="center"/>
          </w:tcPr>
          <w:p w14:paraId="0AA876D7">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手持电台</w:t>
            </w:r>
          </w:p>
        </w:tc>
        <w:tc>
          <w:tcPr>
            <w:tcW w:w="12229" w:type="dxa"/>
            <w:tcBorders>
              <w:tl2br w:val="nil"/>
              <w:tr2bl w:val="nil"/>
            </w:tcBorders>
            <w:noWrap/>
            <w:vAlign w:val="center"/>
          </w:tcPr>
          <w:p w14:paraId="7BE3CD40">
            <w:pPr>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1、结构组成：对讲机主机、同等级防爆两块电池、电源适配器、一张加密卡、一套肩咪、一套耳机及充电器、天线、背夹、真皮挂绳等附件。</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2、主要应用场景：用于消防员灭火救援作业中的通信。</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▲3、手持电台提供中华人民共和国工业和信息化部颁发的《无线电发射设备型号核准证》证明材料。</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▲4、手持电台中标后应提供国家级或国家认可的第三方检测检验机构出具的检测检验报告，且报告应完整有效。</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5、手持电台须内置蓝牙模块，蓝牙协议版本不低于Bluetooth V4.0。旋钮支持360°无极型旋转，可循环切换不同的组呼联系人。</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6、手持电台须支持智能降噪功能，在噪声环境下讲话，接收方能听到清晰语音，最大可达到25dB。</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▲7、手持电台外壳防护等级≥IP68。</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▲8、手持电台通过国家电气产品防爆认证，防爆等级不低于Ex ib IIB T4 Gb（爆炸性气体）和Ex ibD 21 T130℃ Db（爆炸性粉尘）。</w:t>
            </w:r>
            <w:r>
              <w:rPr>
                <w:rFonts w:hint="eastAsia" w:ascii="宋体" w:hAnsi="宋体" w:eastAsia="宋体" w:cs="宋体"/>
                <w:color w:val="000000" w:themeColor="text1"/>
                <w:kern w:val="0"/>
                <w:szCs w:val="21"/>
                <w:lang w:bidi="ar"/>
                <w14:textFill>
                  <w14:solidFill>
                    <w14:schemeClr w14:val="tx1"/>
                  </w14:solidFill>
                </w14:textFill>
              </w:rPr>
              <w:br w:type="textWrapping"/>
            </w:r>
            <w:r>
              <w:rPr>
                <w:rStyle w:val="8"/>
                <w:rFonts w:hint="default"/>
                <w:color w:val="000000" w:themeColor="text1"/>
                <w:sz w:val="21"/>
                <w:szCs w:val="21"/>
                <w:lang w:bidi="ar"/>
                <w14:textFill>
                  <w14:solidFill>
                    <w14:schemeClr w14:val="tx1"/>
                  </w14:solidFill>
                </w14:textFill>
              </w:rPr>
              <w:t>9、对讲机数字静态接收灵敏度须≤-120dbm（0.22μV）（BER5%）。</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10、在直通模式下，在近距离 1.5米的下通话，彼此不产生信号干扰。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11、频率范围： 350-400MHz。</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12、信道容量 ≥1000。</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13、信道间隔 12.5 KHz/20 KHz /25 KHz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14、发射功率：1~3.5W 可调。</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15、电池≥2000mAh(防爆专用)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16、待机时间 ＞10h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17、外观尺寸 (标配电池，不含天线)：≤140*60*45mm。</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18、重量 (带标配电池和天线)≤450克。</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19、支持北斗定位，水平位置精度≤5米。</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 xml:space="preserve">20、支持通知提醒功能，终端会对未接的业务进行提醒，提醒信息中包含多种信息，如业务类型、发起时间等。                                                                                               </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▲21、需配备防爆肩咪，防爆肩咪防爆等级不低于Ex ib IIC T6 Gb。</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▲22、防爆肩咪防护等级不低于IP68。</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23、防爆肩咪PTT按键使用次数≥24万次。</w:t>
            </w:r>
            <w:r>
              <w:rPr>
                <w:rFonts w:hint="eastAsia" w:ascii="宋体" w:hAnsi="宋体" w:eastAsia="宋体" w:cs="宋体"/>
                <w:color w:val="000000" w:themeColor="text1"/>
                <w:kern w:val="0"/>
                <w:szCs w:val="21"/>
                <w:lang w:bidi="ar"/>
                <w14:textFill>
                  <w14:solidFill>
                    <w14:schemeClr w14:val="tx1"/>
                  </w14:solidFill>
                </w14:textFill>
              </w:rPr>
              <w:br w:type="textWrapping"/>
            </w:r>
            <w:r>
              <w:rPr>
                <w:rFonts w:hint="eastAsia" w:ascii="宋体" w:hAnsi="宋体" w:eastAsia="宋体" w:cs="宋体"/>
                <w:color w:val="000000" w:themeColor="text1"/>
                <w:kern w:val="0"/>
                <w:szCs w:val="21"/>
                <w:lang w:bidi="ar"/>
                <w14:textFill>
                  <w14:solidFill>
                    <w14:schemeClr w14:val="tx1"/>
                  </w14:solidFill>
                </w14:textFill>
              </w:rPr>
              <w:t>▲24、符合当地公安数字集群系统接入要求，支持NVOC1.02.015版本声码器。需提供所投品牌型号已接入当地公安数字集群的电台样机，或当地公安承诺接入说明，或投标人承诺能接入当地公安数字集群的承诺函，并负责具体接入工作，后续为应急370M提供升级服务。</w:t>
            </w:r>
          </w:p>
        </w:tc>
      </w:tr>
      <w:tr w14:paraId="1A95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5" w:hRule="atLeast"/>
          <w:jc w:val="center"/>
        </w:trPr>
        <w:tc>
          <w:tcPr>
            <w:tcW w:w="713" w:type="dxa"/>
            <w:tcBorders>
              <w:tl2br w:val="nil"/>
              <w:tr2bl w:val="nil"/>
            </w:tcBorders>
            <w:noWrap/>
            <w:vAlign w:val="center"/>
          </w:tcPr>
          <w:p w14:paraId="32261895">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4</w:t>
            </w:r>
          </w:p>
        </w:tc>
        <w:tc>
          <w:tcPr>
            <w:tcW w:w="1137" w:type="dxa"/>
            <w:tcBorders>
              <w:tl2br w:val="nil"/>
              <w:tr2bl w:val="nil"/>
            </w:tcBorders>
            <w:noWrap/>
            <w:vAlign w:val="center"/>
          </w:tcPr>
          <w:p w14:paraId="7A89CD63">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无齿锯</w:t>
            </w:r>
          </w:p>
        </w:tc>
        <w:tc>
          <w:tcPr>
            <w:tcW w:w="12229" w:type="dxa"/>
            <w:tcBorders>
              <w:tl2br w:val="nil"/>
              <w:tr2bl w:val="nil"/>
            </w:tcBorders>
            <w:noWrap/>
            <w:vAlign w:val="center"/>
          </w:tcPr>
          <w:p w14:paraId="1399573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1、主要应用场景：适用于切割金属和混凝土材料的手持切割机，可以用水冲洗，适合各种恶劣环境中使用</w:t>
            </w:r>
          </w:p>
          <w:p w14:paraId="7CB2889A">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2、结构组件：发动机缸体组件、电喷化油器组件、启动器组件、锯片等组件"</w:t>
            </w:r>
          </w:p>
          <w:p w14:paraId="682F76AD">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▲3、发动机气缸排量≥110（cc）</w:t>
            </w:r>
          </w:p>
          <w:p w14:paraId="7FE8B91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▲4、功率≥5.5KW</w:t>
            </w:r>
          </w:p>
          <w:p w14:paraId="1E10A26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w:t>
            </w:r>
            <w:r>
              <w:rPr>
                <w:rFonts w:hint="eastAsia" w:asciiTheme="minorEastAsia" w:hAnsiTheme="minorEastAsia" w:cstheme="minorEastAsia"/>
                <w:szCs w:val="21"/>
              </w:rPr>
              <w:t>怠速≥2700 rpm</w:t>
            </w:r>
          </w:p>
          <w:p w14:paraId="7F344D7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▲6、功率转速≥9000 rpm</w:t>
            </w:r>
          </w:p>
          <w:p w14:paraId="148CE9EF">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7、气缸缸径≥45 mm</w:t>
            </w:r>
          </w:p>
          <w:p w14:paraId="7CF73AA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8、活塞行程≥30 mm</w:t>
            </w:r>
          </w:p>
          <w:p w14:paraId="339322A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9、燃油箱容量≥0.9L，为汽机混合油</w:t>
            </w:r>
          </w:p>
          <w:p w14:paraId="2EA4CA1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10、重量≤15 公斤</w:t>
            </w:r>
          </w:p>
          <w:p w14:paraId="02EAA0E4">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11、常温启到性能≤8S</w:t>
            </w:r>
          </w:p>
          <w:p w14:paraId="7E2B02F2">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▲12、耳旁噪声：高速空转≤105dB</w:t>
            </w:r>
          </w:p>
          <w:p w14:paraId="531CFFFE">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13、</w:t>
            </w:r>
            <w:r>
              <w:rPr>
                <w:rFonts w:hint="eastAsia" w:asciiTheme="minorEastAsia" w:hAnsiTheme="minorEastAsia" w:cstheme="minorEastAsia"/>
                <w:szCs w:val="21"/>
              </w:rPr>
              <w:t>锯片直径≥350 毫米、切割深度≥125 毫米</w:t>
            </w:r>
          </w:p>
        </w:tc>
      </w:tr>
      <w:tr w14:paraId="251C2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3" w:hRule="atLeast"/>
          <w:jc w:val="center"/>
        </w:trPr>
        <w:tc>
          <w:tcPr>
            <w:tcW w:w="713" w:type="dxa"/>
            <w:tcBorders>
              <w:tl2br w:val="nil"/>
              <w:tr2bl w:val="nil"/>
            </w:tcBorders>
            <w:noWrap/>
            <w:vAlign w:val="center"/>
          </w:tcPr>
          <w:p w14:paraId="75EBE7DC">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5</w:t>
            </w:r>
          </w:p>
        </w:tc>
        <w:tc>
          <w:tcPr>
            <w:tcW w:w="1137" w:type="dxa"/>
            <w:tcBorders>
              <w:tl2br w:val="nil"/>
              <w:tr2bl w:val="nil"/>
            </w:tcBorders>
            <w:noWrap/>
            <w:vAlign w:val="center"/>
          </w:tcPr>
          <w:p w14:paraId="762ADD94">
            <w:pPr>
              <w:widowControl/>
              <w:jc w:val="center"/>
              <w:textAlignment w:val="center"/>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kern w:val="0"/>
                <w:szCs w:val="21"/>
                <w:lang w:bidi="ar"/>
                <w14:textFill>
                  <w14:solidFill>
                    <w14:schemeClr w14:val="tx1"/>
                  </w14:solidFill>
                </w14:textFill>
              </w:rPr>
              <w:t>机动链锯</w:t>
            </w:r>
          </w:p>
        </w:tc>
        <w:tc>
          <w:tcPr>
            <w:tcW w:w="12229" w:type="dxa"/>
            <w:tcBorders>
              <w:tl2br w:val="nil"/>
              <w:tr2bl w:val="nil"/>
            </w:tcBorders>
            <w:noWrap/>
            <w:vAlign w:val="center"/>
          </w:tcPr>
          <w:p w14:paraId="65835DF1">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1、符合 GB/T 5392-2004《林业机械油锯技术条件》</w:t>
            </w:r>
          </w:p>
          <w:p w14:paraId="7BB7C50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r>
              <w:rPr>
                <w:rFonts w:hint="eastAsia" w:asciiTheme="minorEastAsia" w:hAnsiTheme="minorEastAsia" w:cstheme="minorEastAsia"/>
                <w:color w:val="000000" w:themeColor="text1"/>
                <w:szCs w:val="21"/>
                <w:lang w:val="en-US" w:eastAsia="zh-CN"/>
                <w14:textFill>
                  <w14:solidFill>
                    <w14:schemeClr w14:val="tx1"/>
                  </w14:solidFill>
                </w14:textFill>
              </w:rPr>
              <w:t>中标后</w:t>
            </w:r>
            <w:r>
              <w:rPr>
                <w:rFonts w:hint="eastAsia"/>
                <w:color w:val="000000" w:themeColor="text1"/>
                <w:szCs w:val="21"/>
                <w:highlight w:val="none"/>
                <w14:textFill>
                  <w14:solidFill>
                    <w14:schemeClr w14:val="tx1"/>
                  </w14:solidFill>
                </w14:textFill>
              </w:rPr>
              <w:t>提供国家级或国家认可的第三方检测检验机构出具的检测检验报告</w:t>
            </w:r>
          </w:p>
          <w:p w14:paraId="540EC5FB">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 发动机气缸排量≥50 cm³；</w:t>
            </w:r>
          </w:p>
          <w:p w14:paraId="55CE149C">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4、功率≥2.4 KW；</w:t>
            </w:r>
          </w:p>
          <w:p w14:paraId="5DF98A20">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5、怠速≥2700 rpm；</w:t>
            </w:r>
          </w:p>
          <w:p w14:paraId="4934C53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6、功率转速≥9500 rpm；</w:t>
            </w:r>
          </w:p>
          <w:p w14:paraId="087EB5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7、气缸缸径≥40 mm；</w:t>
            </w:r>
            <w:bookmarkStart w:id="0" w:name="_GoBack"/>
            <w:bookmarkEnd w:id="0"/>
          </w:p>
          <w:p w14:paraId="00109B97">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8、活塞行程≥30 mm；</w:t>
            </w:r>
          </w:p>
          <w:p w14:paraId="182DB2D8">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9、燃油箱容量≥0.45 升；</w:t>
            </w:r>
          </w:p>
          <w:p w14:paraId="2C32CAC9">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10、链条润滑油箱容量≥0.25 升；</w:t>
            </w:r>
          </w:p>
          <w:p w14:paraId="339A38A3">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11、链条长度≥18 寸；</w:t>
            </w:r>
          </w:p>
          <w:p w14:paraId="3E7B8EA5">
            <w:pPr>
              <w:jc w:val="left"/>
              <w:rPr>
                <w:rFonts w:hint="eastAsia"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12、重量≤5.5kg。</w:t>
            </w:r>
          </w:p>
        </w:tc>
      </w:tr>
    </w:tbl>
    <w:p w14:paraId="44872ED0"/>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906B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2489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52489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MGFiODkzYmNkZDZlMDgyMmRkZWIzNWQ5NmRhODAifQ=="/>
    <w:docVar w:name="KSO_WPS_MARK_KEY" w:val="a8346a07-9af4-4a46-ae19-72755cfc4d42"/>
  </w:docVars>
  <w:rsids>
    <w:rsidRoot w:val="58060D1D"/>
    <w:rsid w:val="002B1184"/>
    <w:rsid w:val="004B1837"/>
    <w:rsid w:val="004F3AB9"/>
    <w:rsid w:val="005204CF"/>
    <w:rsid w:val="00C07D2B"/>
    <w:rsid w:val="00E00882"/>
    <w:rsid w:val="00FF56BA"/>
    <w:rsid w:val="01D6466C"/>
    <w:rsid w:val="02186028"/>
    <w:rsid w:val="02791BE4"/>
    <w:rsid w:val="02B32C00"/>
    <w:rsid w:val="03062D2F"/>
    <w:rsid w:val="03E14EEA"/>
    <w:rsid w:val="04840C6B"/>
    <w:rsid w:val="04842AA6"/>
    <w:rsid w:val="051200B1"/>
    <w:rsid w:val="05526700"/>
    <w:rsid w:val="056E2E19"/>
    <w:rsid w:val="05A84572"/>
    <w:rsid w:val="0600615C"/>
    <w:rsid w:val="069E2365"/>
    <w:rsid w:val="071A324D"/>
    <w:rsid w:val="08B817B1"/>
    <w:rsid w:val="095A2027"/>
    <w:rsid w:val="09B90AFC"/>
    <w:rsid w:val="0BC43AAC"/>
    <w:rsid w:val="0BC86F9D"/>
    <w:rsid w:val="0C142961"/>
    <w:rsid w:val="0C346B5F"/>
    <w:rsid w:val="0C514BB1"/>
    <w:rsid w:val="0F113188"/>
    <w:rsid w:val="0F1D1B2D"/>
    <w:rsid w:val="10AB013D"/>
    <w:rsid w:val="118358E3"/>
    <w:rsid w:val="122E4051"/>
    <w:rsid w:val="13A26AA4"/>
    <w:rsid w:val="1494463F"/>
    <w:rsid w:val="15E52094"/>
    <w:rsid w:val="16AB3EBF"/>
    <w:rsid w:val="174434A2"/>
    <w:rsid w:val="17B86896"/>
    <w:rsid w:val="18196DB2"/>
    <w:rsid w:val="18C474BD"/>
    <w:rsid w:val="19E73463"/>
    <w:rsid w:val="1AB9713F"/>
    <w:rsid w:val="1ADC289C"/>
    <w:rsid w:val="1B956F41"/>
    <w:rsid w:val="1B963FE2"/>
    <w:rsid w:val="1C0F6CA1"/>
    <w:rsid w:val="1C201581"/>
    <w:rsid w:val="1CD62A5F"/>
    <w:rsid w:val="1D05386C"/>
    <w:rsid w:val="1E502952"/>
    <w:rsid w:val="1F545579"/>
    <w:rsid w:val="1FAB4F33"/>
    <w:rsid w:val="20163CEE"/>
    <w:rsid w:val="209D0D1F"/>
    <w:rsid w:val="222504E1"/>
    <w:rsid w:val="22470620"/>
    <w:rsid w:val="22656929"/>
    <w:rsid w:val="22951105"/>
    <w:rsid w:val="231B3181"/>
    <w:rsid w:val="237F295E"/>
    <w:rsid w:val="2477192F"/>
    <w:rsid w:val="24997A50"/>
    <w:rsid w:val="260D4251"/>
    <w:rsid w:val="261455E0"/>
    <w:rsid w:val="26977FBF"/>
    <w:rsid w:val="274041B2"/>
    <w:rsid w:val="27E26D38"/>
    <w:rsid w:val="28011B94"/>
    <w:rsid w:val="28C42262"/>
    <w:rsid w:val="29D637A3"/>
    <w:rsid w:val="2B5B270D"/>
    <w:rsid w:val="2B884D9C"/>
    <w:rsid w:val="2C7E7C57"/>
    <w:rsid w:val="2CD85994"/>
    <w:rsid w:val="2CDC497D"/>
    <w:rsid w:val="2D092E8B"/>
    <w:rsid w:val="2E680C75"/>
    <w:rsid w:val="2E7D42C0"/>
    <w:rsid w:val="2E935510"/>
    <w:rsid w:val="2EFC30B5"/>
    <w:rsid w:val="2F251640"/>
    <w:rsid w:val="2F3F2A21"/>
    <w:rsid w:val="2FD72417"/>
    <w:rsid w:val="308C2216"/>
    <w:rsid w:val="32942AE0"/>
    <w:rsid w:val="34046724"/>
    <w:rsid w:val="340D7B7D"/>
    <w:rsid w:val="34360E17"/>
    <w:rsid w:val="343840B6"/>
    <w:rsid w:val="34433534"/>
    <w:rsid w:val="344A6BD0"/>
    <w:rsid w:val="35F61A55"/>
    <w:rsid w:val="36CC2CA1"/>
    <w:rsid w:val="374856D6"/>
    <w:rsid w:val="37824373"/>
    <w:rsid w:val="379E0F4D"/>
    <w:rsid w:val="37D746BF"/>
    <w:rsid w:val="37F138CB"/>
    <w:rsid w:val="3870241E"/>
    <w:rsid w:val="38CD5D64"/>
    <w:rsid w:val="391B4A7F"/>
    <w:rsid w:val="392E47B3"/>
    <w:rsid w:val="39770C8F"/>
    <w:rsid w:val="3B822B94"/>
    <w:rsid w:val="3BD039AA"/>
    <w:rsid w:val="3BF874C3"/>
    <w:rsid w:val="3DC44D8F"/>
    <w:rsid w:val="3DC71424"/>
    <w:rsid w:val="3ECB78A7"/>
    <w:rsid w:val="3EFA588C"/>
    <w:rsid w:val="3F7171A7"/>
    <w:rsid w:val="3FBA0B4E"/>
    <w:rsid w:val="3FF73B50"/>
    <w:rsid w:val="40164C45"/>
    <w:rsid w:val="40803165"/>
    <w:rsid w:val="40F008F8"/>
    <w:rsid w:val="414516A1"/>
    <w:rsid w:val="41832C2C"/>
    <w:rsid w:val="419B675D"/>
    <w:rsid w:val="42213CA4"/>
    <w:rsid w:val="42CF7069"/>
    <w:rsid w:val="44AA2997"/>
    <w:rsid w:val="454263B3"/>
    <w:rsid w:val="459260C9"/>
    <w:rsid w:val="46C73B51"/>
    <w:rsid w:val="47E44403"/>
    <w:rsid w:val="4828095D"/>
    <w:rsid w:val="48734BA6"/>
    <w:rsid w:val="48BF1AAC"/>
    <w:rsid w:val="498A5B54"/>
    <w:rsid w:val="499E764F"/>
    <w:rsid w:val="4A064990"/>
    <w:rsid w:val="4A764CD1"/>
    <w:rsid w:val="4A8003E1"/>
    <w:rsid w:val="4B0233A9"/>
    <w:rsid w:val="4B705624"/>
    <w:rsid w:val="4BEB02E1"/>
    <w:rsid w:val="4C4F0870"/>
    <w:rsid w:val="4CD355CB"/>
    <w:rsid w:val="4D62750F"/>
    <w:rsid w:val="4D765B23"/>
    <w:rsid w:val="4E5C2A36"/>
    <w:rsid w:val="4EAD187E"/>
    <w:rsid w:val="4F091CEF"/>
    <w:rsid w:val="4F152A9B"/>
    <w:rsid w:val="4FA41F47"/>
    <w:rsid w:val="4FDF1F0B"/>
    <w:rsid w:val="5181771E"/>
    <w:rsid w:val="52102850"/>
    <w:rsid w:val="523A23AA"/>
    <w:rsid w:val="52A03BD4"/>
    <w:rsid w:val="52E15F9A"/>
    <w:rsid w:val="53894668"/>
    <w:rsid w:val="53A66F6C"/>
    <w:rsid w:val="54D4700C"/>
    <w:rsid w:val="55F54236"/>
    <w:rsid w:val="56786C15"/>
    <w:rsid w:val="56DA167E"/>
    <w:rsid w:val="57234C57"/>
    <w:rsid w:val="573E1C0D"/>
    <w:rsid w:val="57F56770"/>
    <w:rsid w:val="58060D1D"/>
    <w:rsid w:val="58112E7E"/>
    <w:rsid w:val="59AA320E"/>
    <w:rsid w:val="59B166C6"/>
    <w:rsid w:val="59DF490B"/>
    <w:rsid w:val="5A627366"/>
    <w:rsid w:val="5B417FD4"/>
    <w:rsid w:val="5B4A663E"/>
    <w:rsid w:val="5B856C33"/>
    <w:rsid w:val="5D4C4B62"/>
    <w:rsid w:val="5D6E48CE"/>
    <w:rsid w:val="5D775E79"/>
    <w:rsid w:val="5DA86032"/>
    <w:rsid w:val="5E764909"/>
    <w:rsid w:val="5FBC5DC5"/>
    <w:rsid w:val="60D04CB9"/>
    <w:rsid w:val="61486B32"/>
    <w:rsid w:val="615C33BC"/>
    <w:rsid w:val="61E302BD"/>
    <w:rsid w:val="61EB0BE3"/>
    <w:rsid w:val="621A0D00"/>
    <w:rsid w:val="627B1F67"/>
    <w:rsid w:val="629C185D"/>
    <w:rsid w:val="62AD654A"/>
    <w:rsid w:val="62EE2739"/>
    <w:rsid w:val="63381C06"/>
    <w:rsid w:val="63754325"/>
    <w:rsid w:val="6408782B"/>
    <w:rsid w:val="64847FFA"/>
    <w:rsid w:val="661F4F29"/>
    <w:rsid w:val="666379E0"/>
    <w:rsid w:val="66F127F8"/>
    <w:rsid w:val="67957627"/>
    <w:rsid w:val="67D619EE"/>
    <w:rsid w:val="67E97973"/>
    <w:rsid w:val="681744E0"/>
    <w:rsid w:val="687A664C"/>
    <w:rsid w:val="69772AF9"/>
    <w:rsid w:val="6A10568B"/>
    <w:rsid w:val="6A45467A"/>
    <w:rsid w:val="6A505A87"/>
    <w:rsid w:val="6A971908"/>
    <w:rsid w:val="6D1B66F2"/>
    <w:rsid w:val="6D4318D3"/>
    <w:rsid w:val="6D462FD6"/>
    <w:rsid w:val="6DF01C95"/>
    <w:rsid w:val="6E3A65FE"/>
    <w:rsid w:val="6E4A0A40"/>
    <w:rsid w:val="6E91041D"/>
    <w:rsid w:val="6EAE2C78"/>
    <w:rsid w:val="6EC06066"/>
    <w:rsid w:val="6F9D176F"/>
    <w:rsid w:val="70DB2328"/>
    <w:rsid w:val="71324132"/>
    <w:rsid w:val="724C281A"/>
    <w:rsid w:val="724E5664"/>
    <w:rsid w:val="729B47FD"/>
    <w:rsid w:val="73B438B6"/>
    <w:rsid w:val="73FA69C9"/>
    <w:rsid w:val="74850A24"/>
    <w:rsid w:val="751C3136"/>
    <w:rsid w:val="756760E3"/>
    <w:rsid w:val="766313D8"/>
    <w:rsid w:val="76E750BB"/>
    <w:rsid w:val="76F544F5"/>
    <w:rsid w:val="77A6318B"/>
    <w:rsid w:val="79132AA2"/>
    <w:rsid w:val="7A0B7B0C"/>
    <w:rsid w:val="7A8C1E13"/>
    <w:rsid w:val="7AB44015"/>
    <w:rsid w:val="7B234D99"/>
    <w:rsid w:val="7BE40725"/>
    <w:rsid w:val="7C280612"/>
    <w:rsid w:val="7C4D4EE6"/>
    <w:rsid w:val="7C6F6241"/>
    <w:rsid w:val="7D28356D"/>
    <w:rsid w:val="7D4F7E21"/>
    <w:rsid w:val="7DC84742"/>
    <w:rsid w:val="7DFD5ACF"/>
    <w:rsid w:val="7F2A1E29"/>
    <w:rsid w:val="7F5434EC"/>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unhideWhenUsed/>
    <w:qFormat/>
    <w:uiPriority w:val="99"/>
    <w:pPr>
      <w:ind w:firstLine="420" w:firstLineChars="200"/>
    </w:pPr>
  </w:style>
  <w:style w:type="character" w:customStyle="1" w:styleId="8">
    <w:name w:val="font41"/>
    <w:basedOn w:val="6"/>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1825</Words>
  <Characters>2182</Characters>
  <Lines>64</Lines>
  <Paragraphs>80</Paragraphs>
  <TotalTime>7</TotalTime>
  <ScaleCrop>false</ScaleCrop>
  <LinksUpToDate>false</LinksUpToDate>
  <CharactersWithSpaces>2409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2024-10-15T07:07:00Z</dcterms:created>
  <dc:creator>朱绍莉</dc:creator>
  <cp:lastModifiedBy>echo</cp:lastModifiedBy>
  <cp:lastPrinted>2025-06-25T07:04:00Z</cp:lastPrinted>
  <dcterms:modified xsi:type="dcterms:W3CDTF">2025-08-14T02:11:49Z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8472C789BAAC48CA92476FCE7BD2BBC3_13</vt:lpwstr>
  </property>
  <property fmtid="{D5CDD505-2E9C-101B-9397-08002B2CF9AE}" pid="4" name="KSOTemplateDocerSaveRecord">
    <vt:lpwstr>eyJoZGlkIjoiNzE2YTFhMzIzYWQ4ZTU0ZmE2NmY2ZTY3NTJjMzBmNTYiLCJ1c2VySWQiOiI0ODA0NzMwMjQifQ==</vt:lpwstr>
  </property>
</Properties>
</file>