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highlight w:val="none"/>
        </w:rPr>
      </w:pPr>
      <w:r/>
      <w:bookmarkStart w:id="0" w:name="_Toc409435037"/>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苏州市政府采购竞争性</w:t>
      </w:r>
      <w:r/>
    </w:p>
    <w:p>
      <w:pPr>
        <w:jc w:val="center"/>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磋商采购文件</w:t>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1687"/>
        <w:spacing w:line="48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采购编号：</w:t>
      </w:r>
      <w:r>
        <w:rPr>
          <w:rFonts w:hint="eastAsia" w:ascii="宋体" w:hAnsi="宋体" w:eastAsia="宋体" w:cs="宋体"/>
          <w:b/>
          <w:bCs/>
          <w:color w:val="000000"/>
          <w:sz w:val="28"/>
          <w:szCs w:val="28"/>
          <w:highlight w:val="none"/>
          <w:lang w:eastAsia="zh-CN"/>
        </w:rPr>
        <w:t xml:space="preserve">JSZC-320500-WYDL-C2025-0037</w:t>
      </w:r>
      <w:r/>
    </w:p>
    <w:p>
      <w:pPr>
        <w:ind w:firstLine="1687"/>
        <w:spacing w:line="48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采购单位：</w:t>
      </w:r>
      <w:r>
        <w:rPr>
          <w:rFonts w:hint="eastAsia" w:ascii="宋体" w:hAnsi="宋体" w:eastAsia="宋体" w:cs="宋体"/>
          <w:b/>
          <w:bCs/>
          <w:color w:val="000000"/>
          <w:sz w:val="28"/>
          <w:szCs w:val="28"/>
          <w:highlight w:val="none"/>
          <w:lang w:eastAsia="zh-CN"/>
        </w:rPr>
        <w:t xml:space="preserve">苏州市体育监管保障中心</w:t>
      </w:r>
      <w:r/>
    </w:p>
    <w:p>
      <w:pPr>
        <w:ind w:left="3074" w:hanging="1405"/>
        <w:spacing w:line="48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采购内容：</w:t>
      </w:r>
      <w:r>
        <w:rPr>
          <w:rFonts w:hint="eastAsia" w:ascii="宋体" w:hAnsi="宋体" w:eastAsia="宋体" w:cs="宋体"/>
          <w:b/>
          <w:bCs/>
          <w:color w:val="000000"/>
          <w:sz w:val="28"/>
          <w:szCs w:val="28"/>
          <w:highlight w:val="none"/>
          <w:lang w:eastAsia="zh-CN"/>
        </w:rPr>
        <w:t xml:space="preserve">苏州市体育监管保障中心健身指导站对外服务</w:t>
      </w:r>
      <w:r/>
    </w:p>
    <w:p>
      <w:pPr>
        <w:ind w:firstLine="1687"/>
        <w:spacing w:line="48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28"/>
          <w:szCs w:val="28"/>
          <w:highlight w:val="none"/>
        </w:rPr>
        <w:t xml:space="preserve">采购类别：服务类</w:t>
      </w:r>
      <w:r/>
    </w:p>
    <w:p>
      <w:pPr>
        <w:pStyle w:val="117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苏州伟亚工程项目管理咨询有限公司</w:t>
      </w:r>
      <w:r/>
    </w:p>
    <w:p>
      <w:pPr>
        <w:ind w:firstLine="3767"/>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二〇二</w:t>
      </w:r>
      <w:r>
        <w:rPr>
          <w:rFonts w:hint="eastAsia" w:ascii="宋体" w:hAnsi="宋体" w:eastAsia="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年</w:t>
      </w:r>
      <w:r>
        <w:rPr>
          <w:rFonts w:hint="eastAsia" w:ascii="宋体" w:hAnsi="宋体" w:eastAsia="宋体" w:cs="宋体"/>
          <w:b/>
          <w:color w:val="000000"/>
          <w:sz w:val="28"/>
          <w:szCs w:val="28"/>
          <w:highlight w:val="none"/>
          <w:lang w:eastAsia="zh-CN"/>
        </w:rPr>
        <w:t xml:space="preserve">十</w:t>
      </w:r>
      <w:r>
        <w:rPr>
          <w:rFonts w:hint="eastAsia" w:ascii="宋体" w:hAnsi="宋体" w:eastAsia="宋体" w:cs="宋体"/>
          <w:b/>
          <w:color w:val="000000"/>
          <w:sz w:val="28"/>
          <w:szCs w:val="28"/>
          <w:highlight w:val="none"/>
        </w:rPr>
        <w:t xml:space="preserve">月</w:t>
      </w:r>
      <w:r/>
    </w:p>
    <w:p>
      <w:pPr>
        <w:ind w:left="140" w:firstLine="132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140" w:firstLine="5089"/>
        <w:rPr>
          <w:rFonts w:hint="eastAsia" w:ascii="宋体" w:hAnsi="宋体" w:eastAsia="宋体" w:cs="宋体"/>
          <w:b/>
          <w:color w:val="000000"/>
          <w:sz w:val="44"/>
          <w:szCs w:val="44"/>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134" w:bottom="1134" w:left="1134" w:header="569" w:footer="675" w:gutter="0"/>
          <w:pgNumType w:start="1"/>
          <w:cols w:num="1" w:sep="0" w:space="1701" w:equalWidth="1"/>
          <w:docGrid w:linePitch="360"/>
          <w:titlePg/>
        </w:sect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前附表</w:t>
      </w:r>
      <w:r/>
    </w:p>
    <w:tbl>
      <w:tblPr>
        <w:tblStyle w:val="955"/>
        <w:tblW w:w="10333" w:type="dxa"/>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967"/>
        <w:gridCol w:w="7600"/>
      </w:tblGrid>
      <w:tr>
        <w:trPr>
          <w:trHeight w:val="416"/>
        </w:trPr>
        <w:tc>
          <w:tcPr>
            <w:tcW w:w="766" w:type="dxa"/>
            <w:vAlign w:val="center"/>
            <w:textDirection w:val="lrTb"/>
            <w:noWrap w:val="false"/>
          </w:tcPr>
          <w:p>
            <w:pPr>
              <w:jc w:val="center"/>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967" w:type="dxa"/>
            <w:vAlign w:val="center"/>
            <w:textDirection w:val="lrTb"/>
            <w:noWrap w:val="false"/>
          </w:tcPr>
          <w:p>
            <w:pPr>
              <w:jc w:val="center"/>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7600" w:type="dxa"/>
            <w:vAlign w:val="center"/>
            <w:textDirection w:val="lrTb"/>
            <w:noWrap w:val="false"/>
          </w:tcPr>
          <w:p>
            <w:pPr>
              <w:jc w:val="center"/>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规  定</w:t>
            </w:r>
            <w:r/>
          </w:p>
        </w:tc>
      </w:tr>
      <w:tr>
        <w:trPr>
          <w:trHeight w:val="454"/>
        </w:trPr>
        <w:tc>
          <w:tcPr>
            <w:tcW w:w="766" w:type="dxa"/>
            <w:vAlign w:val="center"/>
            <w:textDirection w:val="lrTb"/>
            <w:noWrap w:val="false"/>
          </w:tcPr>
          <w:p>
            <w:pPr>
              <w:jc w:val="cente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w:t>
            </w:r>
            <w:r/>
          </w:p>
        </w:tc>
        <w:tc>
          <w:tcPr>
            <w:tcW w:w="1967" w:type="dxa"/>
            <w:vAlign w:val="center"/>
            <w:textDirection w:val="lrTb"/>
            <w:noWrap w:val="false"/>
          </w:tcPr>
          <w:p>
            <w:pPr>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rPr>
              <w:t xml:space="preserve">项目编号</w:t>
            </w:r>
            <w:r/>
          </w:p>
        </w:tc>
        <w:tc>
          <w:tcPr>
            <w:tcW w:w="7600" w:type="dxa"/>
            <w:vAlign w:val="center"/>
            <w:textDirection w:val="lrTb"/>
            <w:noWrap w:val="false"/>
          </w:tcPr>
          <w:p>
            <w:pPr>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JSZC-320500-WYDL-C2025-0037</w:t>
            </w:r>
            <w:r/>
          </w:p>
        </w:tc>
      </w:tr>
      <w:tr>
        <w:trPr>
          <w:trHeight w:val="454"/>
        </w:trPr>
        <w:tc>
          <w:tcPr>
            <w:tcW w:w="7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p>
        </w:tc>
        <w:tc>
          <w:tcPr>
            <w:tcW w:w="1967"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7600" w:type="dxa"/>
            <w:vAlign w:val="center"/>
            <w:textDirection w:val="lrTb"/>
            <w:noWrap w:val="false"/>
          </w:tcPr>
          <w:p>
            <w:pPr>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苏州市体育监管保障中心健身指导站对外服务</w:t>
            </w:r>
            <w:r/>
          </w:p>
        </w:tc>
      </w:tr>
      <w:tr>
        <w:trPr>
          <w:trHeight w:val="454"/>
        </w:trPr>
        <w:tc>
          <w:tcPr>
            <w:tcW w:w="7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p>
        </w:tc>
        <w:tc>
          <w:tcPr>
            <w:tcW w:w="1967"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w:t>
            </w:r>
            <w:r/>
          </w:p>
        </w:tc>
        <w:tc>
          <w:tcPr>
            <w:tcW w:w="7600" w:type="dxa"/>
            <w:vAlign w:val="center"/>
            <w:textDirection w:val="lrTb"/>
            <w:noWrap w:val="false"/>
          </w:tcPr>
          <w:p>
            <w:pPr>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人民币陆拾万元整（¥：600000.00）</w:t>
            </w:r>
            <w:r/>
          </w:p>
        </w:tc>
      </w:tr>
      <w:tr>
        <w:trPr>
          <w:trHeight w:val="454"/>
        </w:trPr>
        <w:tc>
          <w:tcPr>
            <w:tcW w:w="7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p>
        </w:tc>
        <w:tc>
          <w:tcPr>
            <w:tcW w:w="1967"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w:t>
            </w:r>
            <w:r/>
          </w:p>
        </w:tc>
        <w:tc>
          <w:tcPr>
            <w:tcW w:w="7600" w:type="dxa"/>
            <w:vAlign w:val="center"/>
            <w:textDirection w:val="lrTb"/>
            <w:noWrap w:val="false"/>
          </w:tcPr>
          <w:p>
            <w:pPr>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不接受，磋商采购文件中有关联合体规定均不适用。</w:t>
            </w:r>
            <w:r/>
          </w:p>
        </w:tc>
      </w:tr>
      <w:tr>
        <w:trPr>
          <w:trHeight w:val="454"/>
        </w:trPr>
        <w:tc>
          <w:tcPr>
            <w:tcW w:w="7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p>
        </w:tc>
        <w:tc>
          <w:tcPr>
            <w:tcW w:w="1967"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磋商现场考察</w:t>
            </w:r>
            <w:r/>
          </w:p>
        </w:tc>
        <w:tc>
          <w:tcPr>
            <w:tcW w:w="7600" w:type="dxa"/>
            <w:vAlign w:val="center"/>
            <w:textDirection w:val="lrTb"/>
            <w:noWrap w:val="false"/>
          </w:tcPr>
          <w:p>
            <w:pPr>
              <w:spacing w:line="240" w:lineRule="auto"/>
              <w:tabs>
                <w:tab w:val="left" w:pos="91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不组织，自行考察</w:t>
            </w:r>
            <w:r/>
          </w:p>
        </w:tc>
      </w:tr>
      <w:tr>
        <w:trPr>
          <w:trHeight w:val="906"/>
        </w:trPr>
        <w:tc>
          <w:tcPr>
            <w:tcW w:w="76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W w:w="196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响应文件份数</w:t>
            </w:r>
            <w:r/>
          </w:p>
        </w:tc>
        <w:tc>
          <w:tcPr>
            <w:tcW w:w="7600" w:type="dxa"/>
            <w:vAlign w:val="center"/>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本项目采用电子响应文件，响应单位按照采购文件要求制作上传电子响应文件，响应单位无需提供纸质响应文件。</w:t>
            </w:r>
            <w:r/>
          </w:p>
          <w:p>
            <w:pPr>
              <w:jc w:val="left"/>
              <w:spacing w:line="360" w:lineRule="auto"/>
              <w:rPr>
                <w:rFonts w:hint="default"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中标后中标单位提供与投标时上传的电子投标响应文件一致的全套纸质投标文件（</w:t>
            </w:r>
            <w:r>
              <w:rPr>
                <w:rFonts w:hint="eastAsia" w:hAnsi="宋体" w:eastAsia="宋体" w:cs="宋体"/>
                <w:b/>
                <w:bCs/>
                <w:color w:val="000000"/>
                <w:sz w:val="24"/>
                <w:szCs w:val="24"/>
                <w:highlight w:val="none"/>
                <w:lang w:eastAsia="zh-CN"/>
              </w:rPr>
              <w:t xml:space="preserve">贰</w:t>
            </w:r>
            <w:r>
              <w:rPr>
                <w:rFonts w:hint="eastAsia" w:hAnsi="宋体" w:eastAsia="宋体" w:cs="宋体"/>
                <w:b/>
                <w:bCs/>
                <w:color w:val="000000"/>
                <w:sz w:val="24"/>
                <w:szCs w:val="24"/>
                <w:highlight w:val="none"/>
              </w:rPr>
              <w:t xml:space="preserve">份），纸质投标文件送至采购代理机构。</w:t>
            </w:r>
            <w:r/>
          </w:p>
          <w:p>
            <w:pPr>
              <w:spacing w:line="360" w:lineRule="auto"/>
              <w:rPr>
                <w:rFonts w:hint="eastAsia" w:ascii="宋体" w:hAnsi="宋体" w:eastAsia="宋体" w:cs="宋体"/>
                <w:color w:val="000000"/>
                <w:sz w:val="24"/>
                <w:szCs w:val="24"/>
                <w:highlight w:val="none"/>
              </w:rPr>
            </w:pPr>
            <w:r>
              <w:rPr>
                <w:rFonts w:hint="eastAsia" w:hAnsi="宋体" w:eastAsia="宋体" w:cs="宋体"/>
                <w:b/>
                <w:bCs/>
                <w:color w:val="000000"/>
                <w:sz w:val="24"/>
                <w:szCs w:val="24"/>
                <w:highlight w:val="none"/>
              </w:rPr>
              <w:t xml:space="preserve">注：纸质投标文件仅用归档使用。</w:t>
            </w:r>
            <w:r/>
          </w:p>
        </w:tc>
      </w:tr>
      <w:tr>
        <w:trPr>
          <w:cantSplit/>
          <w:trHeight w:val="420" w:hRule="exact"/>
        </w:trPr>
        <w:tc>
          <w:tcPr>
            <w:tcW w:w="766"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W w:w="1967" w:type="dxa"/>
            <w:vAlign w:val="center"/>
            <w:textDirection w:val="lrTb"/>
            <w:noWrap w:val="false"/>
          </w:tcPr>
          <w:p>
            <w:pPr>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磋商响应货币</w:t>
            </w:r>
            <w:r/>
          </w:p>
        </w:tc>
        <w:tc>
          <w:tcPr>
            <w:tcW w:w="7600" w:type="dxa"/>
            <w:vAlign w:val="center"/>
            <w:textDirection w:val="lrTb"/>
            <w:noWrap w:val="false"/>
          </w:tcPr>
          <w:p>
            <w:pP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p>
        </w:tc>
      </w:tr>
      <w:tr>
        <w:trPr>
          <w:trHeight w:val="736"/>
        </w:trPr>
        <w:tc>
          <w:tcPr>
            <w:tcW w:w="76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196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磋商保证金</w:t>
            </w:r>
            <w:r/>
          </w:p>
        </w:tc>
        <w:tc>
          <w:tcPr>
            <w:tcW w:w="7600" w:type="dxa"/>
            <w:vAlign w:val="center"/>
            <w:textDirection w:val="lrTb"/>
            <w:noWrap w:val="false"/>
          </w:tcPr>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本项目不收取响应保证金。响应单位应在响应文件中提交《响应保证承诺书》（格式详见采购文件附件）</w:t>
            </w:r>
            <w:r/>
          </w:p>
        </w:tc>
      </w:tr>
      <w:tr>
        <w:trPr>
          <w:trHeight w:val="743"/>
        </w:trPr>
        <w:tc>
          <w:tcPr>
            <w:tcW w:w="766"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tcW w:w="1967"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成交通知书</w:t>
            </w:r>
            <w:r/>
          </w:p>
        </w:tc>
        <w:tc>
          <w:tcPr>
            <w:tcW w:w="7600" w:type="dxa"/>
            <w:vAlign w:val="center"/>
            <w:textDirection w:val="lrTb"/>
            <w:noWrap w:val="false"/>
          </w:tcPr>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确定出成交人后，采购代理机构在法定时间内向成交单位发出成交通知书。成交通知书将成为合同的组成部分。</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en-US" w:eastAsia="zh-CN"/>
              </w:rPr>
              <w:t xml:space="preserve">请成交单位在成交结果公告届满之日起30日内,使用CA证书登录“苏采云”系统及时下载成交通知书。</w:t>
            </w:r>
            <w:r/>
          </w:p>
        </w:tc>
      </w:tr>
      <w:tr>
        <w:trPr>
          <w:trHeight w:val="1306"/>
        </w:trPr>
        <w:tc>
          <w:tcPr>
            <w:tcW w:w="766"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1967" w:type="dxa"/>
            <w:vAlign w:val="center"/>
            <w:textDirection w:val="lrTb"/>
            <w:noWrap w:val="false"/>
          </w:tcPr>
          <w:p>
            <w:pPr>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响应文件网上</w:t>
            </w:r>
            <w:r/>
          </w:p>
          <w:p>
            <w:pPr>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提交截止时间</w:t>
            </w:r>
            <w:r/>
          </w:p>
        </w:tc>
        <w:tc>
          <w:tcPr>
            <w:tcW w:w="7600" w:type="dxa"/>
            <w:vAlign w:val="center"/>
            <w:textDirection w:val="lrTb"/>
            <w:noWrap w:val="false"/>
          </w:tcPr>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提交截止时间：</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b/>
                <w:color w:val="000000"/>
                <w:sz w:val="24"/>
                <w:szCs w:val="24"/>
                <w:highlight w:val="none"/>
                <w:u w:val="single"/>
                <w:lang w:val="en-US" w:eastAsia="zh-CN"/>
              </w:rPr>
              <w:t xml:space="preserve">25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10月</w:t>
            </w:r>
            <w:r>
              <w:rPr>
                <w:rFonts w:hint="eastAsia" w:ascii="宋体" w:hAnsi="宋体" w:eastAsia="宋体" w:cs="宋体"/>
                <w:b/>
                <w:color w:val="000000"/>
                <w:sz w:val="24"/>
                <w:szCs w:val="24"/>
                <w:highlight w:val="none"/>
                <w:u w:val="single"/>
              </w:rPr>
              <w:t xml:space="preserve">28日</w:t>
            </w:r>
            <w:r>
              <w:rPr>
                <w:rFonts w:hint="eastAsia" w:ascii="宋体" w:hAnsi="宋体" w:eastAsia="宋体" w:cs="宋体"/>
                <w:b/>
                <w:color w:val="000000"/>
                <w:sz w:val="24"/>
                <w:szCs w:val="24"/>
                <w:highlight w:val="none"/>
                <w:u w:val="single"/>
              </w:rPr>
              <w:t xml:space="preserve">13:</w:t>
            </w:r>
            <w:r>
              <w:rPr>
                <w:rFonts w:hint="eastAsia" w:ascii="宋体" w:hAnsi="宋体" w:eastAsia="宋体" w:cs="宋体"/>
                <w:b/>
                <w:color w:val="000000"/>
                <w:sz w:val="24"/>
                <w:szCs w:val="24"/>
                <w:highlight w:val="none"/>
                <w:u w:val="single"/>
              </w:rPr>
              <w:t xml:space="preserve">30时</w:t>
            </w:r>
            <w:r>
              <w:rPr>
                <w:rFonts w:hint="eastAsia" w:ascii="宋体" w:hAnsi="宋体" w:eastAsia="宋体" w:cs="宋体"/>
                <w:color w:val="000000"/>
                <w:sz w:val="24"/>
                <w:szCs w:val="24"/>
                <w:highlight w:val="none"/>
              </w:rPr>
              <w:t xml:space="preserve"> 北京时间</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响应文件必须在截止时间前完成提交（上传），逾期提交（上传）的响应文件恕不接受。</w:t>
            </w:r>
            <w:r/>
          </w:p>
        </w:tc>
      </w:tr>
      <w:tr>
        <w:trPr>
          <w:trHeight w:val="436"/>
        </w:trPr>
        <w:tc>
          <w:tcPr>
            <w:tcW w:w="766"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tcW w:w="1967"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开标时间</w:t>
            </w:r>
            <w:r/>
          </w:p>
          <w:p>
            <w:pPr>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开标地点</w:t>
            </w:r>
            <w:r/>
          </w:p>
        </w:tc>
        <w:tc>
          <w:tcPr>
            <w:tcW w:w="7600" w:type="dxa"/>
            <w:vAlign w:val="center"/>
            <w:textDirection w:val="lrTb"/>
            <w:noWrap w:val="false"/>
          </w:tcPr>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b/>
                <w:color w:val="000000"/>
                <w:sz w:val="24"/>
                <w:szCs w:val="24"/>
                <w:highlight w:val="none"/>
                <w:u w:val="single"/>
                <w:lang w:val="en-US" w:eastAsia="zh-CN"/>
              </w:rPr>
              <w:t xml:space="preserve">25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10月</w:t>
            </w:r>
            <w:r>
              <w:rPr>
                <w:rFonts w:hint="eastAsia" w:ascii="宋体" w:hAnsi="宋体" w:eastAsia="宋体" w:cs="宋体"/>
                <w:b/>
                <w:color w:val="000000"/>
                <w:sz w:val="24"/>
                <w:szCs w:val="24"/>
                <w:highlight w:val="none"/>
                <w:u w:val="single"/>
              </w:rPr>
              <w:t xml:space="preserve">28日</w:t>
            </w:r>
            <w:r>
              <w:rPr>
                <w:rFonts w:hint="eastAsia" w:ascii="宋体" w:hAnsi="宋体" w:eastAsia="宋体" w:cs="宋体"/>
                <w:b/>
                <w:color w:val="000000"/>
                <w:sz w:val="24"/>
                <w:szCs w:val="24"/>
                <w:highlight w:val="none"/>
                <w:u w:val="single"/>
              </w:rPr>
              <w:t xml:space="preserve">13:</w:t>
            </w:r>
            <w:r>
              <w:rPr>
                <w:rFonts w:hint="eastAsia" w:ascii="宋体" w:hAnsi="宋体" w:eastAsia="宋体" w:cs="宋体"/>
                <w:b/>
                <w:color w:val="000000"/>
                <w:sz w:val="24"/>
                <w:szCs w:val="24"/>
                <w:highlight w:val="none"/>
                <w:u w:val="single"/>
              </w:rPr>
              <w:t xml:space="preserve">30时 </w:t>
            </w:r>
            <w:r>
              <w:rPr>
                <w:rFonts w:hint="eastAsia" w:ascii="宋体" w:hAnsi="宋体" w:eastAsia="宋体" w:cs="宋体"/>
                <w:color w:val="000000"/>
                <w:sz w:val="24"/>
                <w:szCs w:val="24"/>
                <w:highlight w:val="none"/>
              </w:rPr>
              <w:t xml:space="preserve">北京时间</w:t>
            </w:r>
            <w:r/>
          </w:p>
          <w:p>
            <w:pPr>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“苏采云”系统（网址：http://jszfcg.jsczt.cn/）</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本项目为不见面开标项目，开标阶段供应商在【供应商解密】环节必须使用 CA证书解密电子响应文件，如在系统规定的解密时间内未能完成解密的视为放弃投标。</w:t>
            </w:r>
            <w:r/>
          </w:p>
        </w:tc>
      </w:tr>
      <w:tr>
        <w:trPr>
          <w:trHeight w:val="436"/>
        </w:trPr>
        <w:tc>
          <w:tcPr>
            <w:tcW w:w="766"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W w:w="1967"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评标时间</w:t>
            </w:r>
            <w:r/>
          </w:p>
          <w:p>
            <w:pPr>
              <w:jc w:val="center"/>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评标地点</w:t>
            </w:r>
            <w:r/>
          </w:p>
        </w:tc>
        <w:tc>
          <w:tcPr>
            <w:tcW w:w="7600" w:type="dxa"/>
            <w:vAlign w:val="center"/>
            <w:textDirection w:val="lrTb"/>
            <w:noWrap w:val="false"/>
          </w:tcPr>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b/>
                <w:color w:val="000000"/>
                <w:sz w:val="24"/>
                <w:szCs w:val="24"/>
                <w:highlight w:val="none"/>
                <w:u w:val="single"/>
                <w:lang w:val="en-US" w:eastAsia="zh-CN"/>
              </w:rPr>
              <w:t xml:space="preserve">25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10月</w:t>
            </w:r>
            <w:r>
              <w:rPr>
                <w:rFonts w:hint="eastAsia" w:ascii="宋体" w:hAnsi="宋体" w:eastAsia="宋体" w:cs="宋体"/>
                <w:b/>
                <w:color w:val="000000"/>
                <w:sz w:val="24"/>
                <w:szCs w:val="24"/>
                <w:highlight w:val="none"/>
                <w:u w:val="single"/>
              </w:rPr>
              <w:t xml:space="preserve">28日</w:t>
            </w:r>
            <w:r>
              <w:rPr>
                <w:rFonts w:hint="eastAsia" w:ascii="宋体" w:hAnsi="宋体" w:eastAsia="宋体" w:cs="宋体"/>
                <w:b/>
                <w:color w:val="000000"/>
                <w:sz w:val="24"/>
                <w:szCs w:val="24"/>
                <w:highlight w:val="none"/>
                <w:u w:val="single"/>
              </w:rPr>
              <w:t xml:space="preserve">13:</w:t>
            </w:r>
            <w:r>
              <w:rPr>
                <w:rFonts w:hint="eastAsia" w:ascii="宋体" w:hAnsi="宋体" w:eastAsia="宋体" w:cs="宋体"/>
                <w:b/>
                <w:color w:val="000000"/>
                <w:sz w:val="24"/>
                <w:szCs w:val="24"/>
                <w:highlight w:val="none"/>
                <w:u w:val="single"/>
              </w:rPr>
              <w:t xml:space="preserve">30时 </w:t>
            </w:r>
            <w:r>
              <w:rPr>
                <w:rFonts w:hint="eastAsia" w:ascii="宋体" w:hAnsi="宋体" w:eastAsia="宋体" w:cs="宋体"/>
                <w:color w:val="000000"/>
                <w:sz w:val="24"/>
                <w:szCs w:val="24"/>
                <w:highlight w:val="none"/>
              </w:rPr>
              <w:t xml:space="preserve">北京时间</w:t>
            </w:r>
            <w:r/>
          </w:p>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地点：苏州市</w:t>
            </w:r>
            <w:r>
              <w:rPr>
                <w:rFonts w:hint="eastAsia" w:ascii="宋体" w:hAnsi="宋体" w:eastAsia="宋体" w:cs="宋体"/>
                <w:color w:val="000000"/>
                <w:sz w:val="24"/>
                <w:szCs w:val="24"/>
                <w:highlight w:val="none"/>
                <w:lang w:val="zh-CN"/>
              </w:rPr>
              <w:t xml:space="preserve">姑苏区平泷路251号城市生活广场西楼五楼，苏州市公共资源交易中心</w:t>
            </w:r>
            <w:r/>
          </w:p>
        </w:tc>
      </w:tr>
      <w:tr>
        <w:trPr>
          <w:trHeight w:val="436"/>
        </w:trPr>
        <w:tc>
          <w:tcPr>
            <w:tcW w:w="766"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p>
        </w:tc>
        <w:tc>
          <w:tcPr>
            <w:tcW w:w="1967" w:type="dxa"/>
            <w:vAlign w:val="center"/>
            <w:textDirection w:val="lrTb"/>
            <w:noWrap w:val="false"/>
          </w:tcPr>
          <w:p>
            <w:pPr>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成交单位数量</w:t>
            </w:r>
            <w:r/>
          </w:p>
        </w:tc>
        <w:tc>
          <w:tcPr>
            <w:tcW w:w="7600" w:type="dxa"/>
            <w:vAlign w:val="center"/>
            <w:textDirection w:val="lrTb"/>
            <w:noWrap w:val="false"/>
          </w:tcPr>
          <w:p>
            <w:pP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由采购人授权评标委员会直接确定</w:t>
            </w:r>
            <w:r>
              <w:rPr>
                <w:rFonts w:hint="eastAsia" w:ascii="宋体" w:hAnsi="宋体" w:eastAsia="宋体" w:cs="宋体"/>
                <w:b/>
                <w:color w:val="000000"/>
                <w:sz w:val="24"/>
                <w:szCs w:val="24"/>
                <w:highlight w:val="none"/>
                <w:u w:val="single"/>
                <w:lang w:val="en-US" w:eastAsia="zh-CN"/>
              </w:rPr>
              <w:t xml:space="preserve">1</w:t>
            </w:r>
            <w:r>
              <w:rPr>
                <w:rFonts w:hint="eastAsia" w:ascii="宋体" w:hAnsi="宋体" w:eastAsia="宋体" w:cs="宋体"/>
                <w:b/>
                <w:color w:val="000000"/>
                <w:sz w:val="24"/>
                <w:szCs w:val="24"/>
                <w:highlight w:val="none"/>
                <w:u w:val="single"/>
              </w:rPr>
              <w:t xml:space="preserve">家</w:t>
            </w:r>
            <w:r>
              <w:rPr>
                <w:rFonts w:hint="eastAsia" w:ascii="宋体" w:hAnsi="宋体" w:eastAsia="宋体" w:cs="宋体"/>
                <w:color w:val="000000"/>
                <w:sz w:val="24"/>
                <w:szCs w:val="24"/>
                <w:highlight w:val="none"/>
              </w:rPr>
              <w:t xml:space="preserve">成交单位</w:t>
            </w:r>
            <w:r/>
          </w:p>
        </w:tc>
      </w:tr>
      <w:tr>
        <w:trPr>
          <w:trHeight w:val="1313"/>
        </w:trPr>
        <w:tc>
          <w:tcPr>
            <w:tcW w:w="766" w:type="dxa"/>
            <w:vAlign w:val="center"/>
            <w:textDirection w:val="lrTb"/>
            <w:noWrap w:val="false"/>
          </w:tcPr>
          <w:p>
            <w:pPr>
              <w:jc w:val="center"/>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p>
        </w:tc>
        <w:tc>
          <w:tcPr>
            <w:tcW w:w="1967" w:type="dxa"/>
            <w:vAlign w:val="center"/>
            <w:textDirection w:val="lrTb"/>
            <w:noWrap w:val="false"/>
          </w:tcPr>
          <w:p>
            <w:pPr>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zh-CN"/>
              </w:rPr>
              <w:t xml:space="preserve">服务费收取标准</w:t>
            </w:r>
            <w:r/>
          </w:p>
        </w:tc>
        <w:tc>
          <w:tcPr>
            <w:tcW w:w="7600" w:type="dxa"/>
            <w:vAlign w:val="center"/>
            <w:textDirection w:val="lrTb"/>
            <w:noWrap w:val="false"/>
          </w:tcPr>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在领取</w:t>
            </w:r>
            <w:r>
              <w:rPr>
                <w:rFonts w:hint="eastAsia" w:ascii="宋体" w:hAnsi="宋体" w:eastAsia="宋体" w:cs="宋体"/>
                <w:bCs/>
                <w:color w:val="000000"/>
                <w:sz w:val="24"/>
                <w:szCs w:val="24"/>
                <w:highlight w:val="none"/>
                <w:lang w:val="zh-CN" w:eastAsia="zh-CN"/>
              </w:rPr>
              <w:t xml:space="preserve">政府采购合同前</w:t>
            </w:r>
            <w:r>
              <w:rPr>
                <w:rFonts w:hint="eastAsia" w:ascii="宋体" w:hAnsi="宋体" w:eastAsia="宋体" w:cs="宋体"/>
                <w:bCs/>
                <w:color w:val="000000"/>
                <w:sz w:val="24"/>
                <w:szCs w:val="24"/>
                <w:highlight w:val="none"/>
                <w:lang w:val="zh-CN"/>
              </w:rPr>
              <w:t xml:space="preserve">由成交单位向采购代理机构一次性支付服务费，该费用综合含在响应报价中，具体收费以如下比例按差额定率累进法计算</w:t>
            </w:r>
            <w:r>
              <w:rPr>
                <w:rFonts w:hint="eastAsia" w:ascii="宋体" w:hAnsi="宋体" w:eastAsia="宋体" w:cs="宋体"/>
                <w:bCs/>
                <w:color w:val="000000"/>
                <w:sz w:val="24"/>
                <w:szCs w:val="24"/>
                <w:highlight w:val="none"/>
                <w:lang w:val="zh-CN" w:eastAsia="zh-CN"/>
              </w:rPr>
              <w:t xml:space="preserve">并支付成交服务费</w:t>
            </w:r>
            <w:r>
              <w:rPr>
                <w:rFonts w:hint="eastAsia" w:ascii="宋体" w:hAnsi="宋体" w:eastAsia="宋体" w:cs="宋体"/>
                <w:bCs/>
                <w:color w:val="000000"/>
                <w:sz w:val="24"/>
                <w:szCs w:val="24"/>
                <w:highlight w:val="none"/>
                <w:lang w:val="zh-CN"/>
              </w:rPr>
              <w:t xml:space="preserve">：</w:t>
            </w:r>
            <w:r/>
          </w:p>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预算金额100万元（含）以下部分按该部分预算金额的1.5%计算；</w:t>
            </w:r>
            <w:r/>
          </w:p>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预算金额100～500万元（含）部分按该部分预算金额的1.1%计算；</w:t>
            </w:r>
            <w:r/>
          </w:p>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预算金额500～1000万元（含）部分按该部分预算金额的0.8%计算；</w:t>
            </w:r>
            <w:r/>
          </w:p>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预算金额1000～5000万元（含）部分按该部分预算金额的0.5%计算；</w:t>
            </w:r>
            <w:r/>
          </w:p>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预算金额5000万元以上部分按该部分预算金额的0.25%计算；</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本项目服务费：人民币玖仟元整（¥</w:t>
            </w:r>
            <w:r>
              <w:rPr>
                <w:rFonts w:hint="eastAsia" w:ascii="宋体" w:hAnsi="宋体" w:eastAsia="宋体" w:cs="宋体"/>
                <w:bCs/>
                <w:color w:val="000000"/>
                <w:sz w:val="24"/>
                <w:szCs w:val="24"/>
                <w:highlight w:val="none"/>
                <w:lang w:val="en-US" w:eastAsia="zh-CN"/>
              </w:rPr>
              <w:t xml:space="preserve">9000.00</w:t>
            </w:r>
            <w:r>
              <w:rPr>
                <w:rFonts w:hint="eastAsia" w:ascii="宋体" w:hAnsi="宋体" w:eastAsia="宋体" w:cs="宋体"/>
                <w:bCs/>
                <w:color w:val="000000"/>
                <w:sz w:val="24"/>
                <w:szCs w:val="24"/>
                <w:highlight w:val="none"/>
                <w:lang w:val="zh-CN"/>
              </w:rPr>
              <w:t xml:space="preserve">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账号名称：苏州伟亚工程项目管理咨询有限公司</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开户行：中国建设银行股份有限公司苏州市吴中支行</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银行账号：32250199753600001086</w:t>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pStyle w:val="1153"/>
        <w:ind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目  录</w:t>
      </w:r>
      <w:r/>
    </w:p>
    <w:p>
      <w:pPr>
        <w:pStyle w:val="1153"/>
        <w:ind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53"/>
        <w:ind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53"/>
        <w:ind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77"/>
        <w:ind w:firstLine="643"/>
        <w:spacing w:line="600" w:lineRule="auto"/>
        <w:tabs>
          <w:tab w:val="right" w:pos="9060" w:leader="dot"/>
        </w:tabs>
        <w:rPr>
          <w:rFonts w:hint="eastAsia" w:ascii="宋体" w:hAnsi="宋体" w:eastAsia="宋体" w:cs="宋体"/>
          <w:b/>
          <w:color w:val="000000"/>
          <w:sz w:val="32"/>
          <w:szCs w:val="32"/>
          <w:highlight w:val="none"/>
        </w:rPr>
      </w:pPr>
      <w:r>
        <w:rPr>
          <w:rStyle w:val="1222"/>
          <w:rFonts w:hint="eastAsia" w:ascii="宋体" w:hAnsi="宋体" w:eastAsia="宋体" w:cs="宋体"/>
          <w:b/>
          <w:color w:val="000000"/>
          <w:sz w:val="32"/>
          <w:szCs w:val="32"/>
          <w:highlight w:val="none"/>
        </w:rPr>
        <w:t xml:space="preserve">第一章、磋商邀请函</w:t>
      </w:r>
      <w:r/>
    </w:p>
    <w:p>
      <w:pPr>
        <w:pStyle w:val="1177"/>
        <w:ind w:firstLine="643"/>
        <w:spacing w:line="600" w:lineRule="auto"/>
        <w:tabs>
          <w:tab w:val="right" w:pos="9060" w:leader="dot"/>
        </w:tabs>
        <w:rPr>
          <w:rFonts w:hint="eastAsia" w:ascii="宋体" w:hAnsi="宋体" w:eastAsia="宋体" w:cs="宋体"/>
          <w:b/>
          <w:color w:val="000000"/>
          <w:sz w:val="32"/>
          <w:szCs w:val="32"/>
          <w:highlight w:val="none"/>
        </w:rPr>
      </w:pPr>
      <w:r>
        <w:rPr>
          <w:rStyle w:val="1222"/>
          <w:rFonts w:hint="eastAsia" w:ascii="宋体" w:hAnsi="宋体" w:eastAsia="宋体" w:cs="宋体"/>
          <w:b/>
          <w:color w:val="000000"/>
          <w:sz w:val="32"/>
          <w:szCs w:val="32"/>
          <w:highlight w:val="none"/>
        </w:rPr>
        <w:t xml:space="preserve">第二章、磋商须知</w:t>
      </w:r>
      <w:r/>
    </w:p>
    <w:p>
      <w:pPr>
        <w:pStyle w:val="1177"/>
        <w:ind w:firstLine="643"/>
        <w:spacing w:line="600" w:lineRule="auto"/>
        <w:tabs>
          <w:tab w:val="right" w:pos="9060" w:leader="dot"/>
        </w:tabs>
        <w:rPr>
          <w:rFonts w:hint="eastAsia" w:ascii="宋体" w:hAnsi="宋体" w:eastAsia="宋体" w:cs="宋体"/>
          <w:b/>
          <w:color w:val="000000"/>
          <w:sz w:val="32"/>
          <w:szCs w:val="32"/>
          <w:highlight w:val="none"/>
        </w:rPr>
      </w:pPr>
      <w:r>
        <w:rPr>
          <w:rStyle w:val="1222"/>
          <w:rFonts w:hint="eastAsia" w:ascii="宋体" w:hAnsi="宋体" w:eastAsia="宋体" w:cs="宋体"/>
          <w:b/>
          <w:color w:val="000000"/>
          <w:sz w:val="32"/>
          <w:szCs w:val="32"/>
          <w:highlight w:val="none"/>
        </w:rPr>
        <w:t xml:space="preserve">第三章、</w:t>
      </w:r>
      <w:bookmarkStart w:id="1" w:name="_Hlt260323181"/>
      <w:r/>
      <w:bookmarkEnd w:id="1"/>
      <w:r/>
      <w:bookmarkStart w:id="2" w:name="_Hlt260323180"/>
      <w:r/>
      <w:bookmarkEnd w:id="2"/>
      <w:r>
        <w:rPr>
          <w:rStyle w:val="1222"/>
          <w:rFonts w:hint="eastAsia" w:ascii="宋体" w:hAnsi="宋体" w:eastAsia="宋体" w:cs="宋体"/>
          <w:b/>
          <w:color w:val="000000"/>
          <w:sz w:val="32"/>
          <w:szCs w:val="32"/>
          <w:highlight w:val="none"/>
        </w:rPr>
        <w:t xml:space="preserve">竞争性磋商文件内容</w:t>
      </w:r>
      <w:r/>
    </w:p>
    <w:p>
      <w:pPr>
        <w:pStyle w:val="1177"/>
        <w:ind w:firstLine="643"/>
        <w:spacing w:line="600" w:lineRule="auto"/>
        <w:tabs>
          <w:tab w:val="right" w:pos="9060" w:leader="dot"/>
        </w:tabs>
        <w:rPr>
          <w:rFonts w:hint="eastAsia" w:ascii="宋体" w:hAnsi="宋体" w:eastAsia="宋体" w:cs="宋体"/>
          <w:b/>
          <w:color w:val="000000"/>
          <w:sz w:val="32"/>
          <w:szCs w:val="32"/>
          <w:highlight w:val="none"/>
        </w:rPr>
      </w:pPr>
      <w:r>
        <w:rPr>
          <w:rStyle w:val="1222"/>
          <w:rFonts w:hint="eastAsia" w:ascii="宋体" w:hAnsi="宋体" w:eastAsia="宋体" w:cs="宋体"/>
          <w:b/>
          <w:color w:val="000000"/>
          <w:sz w:val="32"/>
          <w:szCs w:val="32"/>
          <w:highlight w:val="none"/>
        </w:rPr>
        <w:t xml:space="preserve">第四章、合同主要条款</w:t>
      </w:r>
      <w:r/>
    </w:p>
    <w:p>
      <w:pPr>
        <w:pStyle w:val="1177"/>
        <w:ind w:firstLine="643"/>
        <w:spacing w:line="600" w:lineRule="auto"/>
        <w:tabs>
          <w:tab w:val="right" w:pos="9060" w:leader="dot"/>
        </w:tabs>
        <w:rPr>
          <w:rFonts w:hint="eastAsia" w:ascii="宋体" w:hAnsi="宋体" w:eastAsia="宋体" w:cs="宋体"/>
          <w:b/>
          <w:color w:val="000000"/>
          <w:sz w:val="32"/>
          <w:szCs w:val="32"/>
          <w:highlight w:val="none"/>
        </w:rPr>
      </w:pPr>
      <w:r>
        <w:rPr>
          <w:rStyle w:val="1222"/>
          <w:rFonts w:hint="eastAsia" w:ascii="宋体" w:hAnsi="宋体" w:eastAsia="宋体" w:cs="宋体"/>
          <w:b/>
          <w:color w:val="000000"/>
          <w:sz w:val="32"/>
          <w:szCs w:val="32"/>
          <w:highlight w:val="none"/>
        </w:rPr>
        <w:t xml:space="preserve">第五章、磋商评审标准</w:t>
      </w:r>
      <w:r/>
    </w:p>
    <w:p>
      <w:pPr>
        <w:pStyle w:val="1177"/>
        <w:ind w:firstLine="643"/>
        <w:spacing w:line="600" w:lineRule="auto"/>
        <w:tabs>
          <w:tab w:val="right" w:pos="9060" w:leader="dot"/>
        </w:tabs>
        <w:rPr>
          <w:rStyle w:val="1222"/>
          <w:rFonts w:hint="eastAsia" w:ascii="宋体" w:hAnsi="宋体" w:eastAsia="宋体" w:cs="宋体"/>
          <w:b/>
          <w:color w:val="000000"/>
          <w:sz w:val="32"/>
          <w:szCs w:val="32"/>
          <w:highlight w:val="none"/>
        </w:rPr>
      </w:pPr>
      <w:r>
        <w:rPr>
          <w:rStyle w:val="1222"/>
          <w:rFonts w:hint="eastAsia" w:ascii="宋体" w:hAnsi="宋体" w:eastAsia="宋体" w:cs="宋体"/>
          <w:b/>
          <w:color w:val="000000"/>
          <w:sz w:val="32"/>
          <w:szCs w:val="32"/>
          <w:highlight w:val="none"/>
        </w:rPr>
        <w:t xml:space="preserve">第六章、响应文件格式</w:t>
      </w:r>
      <w:r/>
    </w:p>
    <w:p>
      <w:pPr>
        <w:pStyle w:val="1177"/>
        <w:ind w:firstLine="482"/>
        <w:spacing w:line="600" w:lineRule="auto"/>
        <w:tabs>
          <w:tab w:val="right" w:pos="9060" w:leader="dot"/>
        </w:tabs>
        <w:rPr>
          <w:rStyle w:val="1222"/>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53"/>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153"/>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153"/>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153"/>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153"/>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153"/>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153"/>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153"/>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153"/>
        <w:ind w:firstLine="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jc w:val="center"/>
        <w:spacing w:line="360" w:lineRule="auto"/>
        <w:rPr>
          <w:rFonts w:hint="eastAsia" w:ascii="宋体" w:hAnsi="宋体" w:eastAsia="宋体" w:cs="宋体"/>
          <w:b/>
          <w:color w:val="000000"/>
          <w:sz w:val="44"/>
          <w:szCs w:val="44"/>
          <w:highlight w:val="none"/>
        </w:rPr>
        <w:sectPr>
          <w:footerReference w:type="default" r:id="rId16"/>
          <w:footerReference w:type="first" r:id="rId17"/>
          <w:footnotePr/>
          <w:endnotePr/>
          <w:type w:val="nextPage"/>
          <w:pgSz w:w="11906" w:h="16838" w:orient="portrait"/>
          <w:pgMar w:top="1134" w:right="1134" w:bottom="1134" w:left="1134" w:header="569" w:footer="675" w:gutter="0"/>
          <w:cols w:num="1" w:sep="0" w:space="1701" w:equalWidth="1"/>
          <w:docGrid w:linePitch="360"/>
          <w:titlePg/>
        </w:sectPr>
      </w:pPr>
      <w:r/>
      <w:bookmarkStart w:id="3" w:name="_Toc409435036"/>
      <w:r/>
      <w:r/>
    </w:p>
    <w:p>
      <w:pPr>
        <w:jc w:val="center"/>
        <w:spacing w:line="360" w:lineRule="auto"/>
        <w:rPr>
          <w:rFonts w:hint="eastAsia" w:ascii="宋体" w:hAnsi="宋体" w:eastAsia="宋体" w:cs="宋体"/>
          <w:b/>
          <w:color w:val="000000"/>
          <w:spacing w:val="-6"/>
          <w:sz w:val="44"/>
          <w:szCs w:val="44"/>
          <w:highlight w:val="none"/>
        </w:rPr>
      </w:pPr>
      <w:r>
        <w:rPr>
          <w:rFonts w:hint="eastAsia" w:ascii="宋体" w:hAnsi="宋体" w:eastAsia="宋体" w:cs="宋体"/>
          <w:b/>
          <w:color w:val="000000"/>
          <w:sz w:val="44"/>
          <w:szCs w:val="44"/>
          <w:highlight w:val="none"/>
        </w:rPr>
        <w:t xml:space="preserve">第一章 磋商邀请函</w:t>
      </w:r>
      <w:bookmarkEnd w:id="3"/>
      <w:r/>
    </w:p>
    <w:tbl>
      <w:tblPr>
        <w:tblStyle w:val="955"/>
        <w:tblW w:w="9675"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5"/>
      </w:tblGrid>
      <w:tr>
        <w:trPr/>
        <w:tc>
          <w:tcPr>
            <w:tcW w:w="9675" w:type="dxa"/>
            <w:vAlign w:val="top"/>
            <w:textDirection w:val="lrTb"/>
            <w:noWrap w:val="false"/>
          </w:tcPr>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苏州市体育监管保障中心健身指导站对外服务</w:t>
            </w:r>
            <w:r>
              <w:rPr>
                <w:rFonts w:hint="eastAsia" w:ascii="宋体" w:hAnsi="宋体" w:eastAsia="宋体" w:cs="宋体"/>
                <w:color w:val="000000"/>
                <w:sz w:val="24"/>
                <w:szCs w:val="24"/>
                <w:highlight w:val="none"/>
              </w:rPr>
              <w:t xml:space="preserve">的潜在供应商在</w:t>
            </w:r>
            <w:r>
              <w:rPr>
                <w:rFonts w:hint="eastAsia" w:ascii="宋体" w:hAnsi="宋体" w:eastAsia="宋体" w:cs="宋体"/>
                <w:bCs/>
                <w:color w:val="000000"/>
                <w:sz w:val="24"/>
                <w:szCs w:val="24"/>
                <w:highlight w:val="none"/>
                <w:u w:val="single"/>
                <w:lang w:val="en-US" w:eastAsia="zh-CN"/>
              </w:rPr>
              <w:t xml:space="preserve">“苏采云”系统（网址：http://jszfcg.jsczt.cn/）</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b/>
                <w:color w:val="000000"/>
                <w:sz w:val="24"/>
                <w:szCs w:val="24"/>
                <w:highlight w:val="none"/>
                <w:u w:val="single"/>
                <w:lang w:val="en-US" w:eastAsia="zh-CN"/>
              </w:rPr>
              <w:t xml:space="preserve">25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10月</w:t>
            </w:r>
            <w:r>
              <w:rPr>
                <w:rFonts w:hint="eastAsia" w:ascii="宋体" w:hAnsi="宋体" w:eastAsia="宋体" w:cs="宋体"/>
                <w:b/>
                <w:color w:val="000000"/>
                <w:sz w:val="24"/>
                <w:szCs w:val="24"/>
                <w:highlight w:val="none"/>
                <w:u w:val="single"/>
              </w:rPr>
              <w:t xml:space="preserve">28日</w:t>
            </w:r>
            <w:r>
              <w:rPr>
                <w:rFonts w:hint="eastAsia" w:ascii="宋体" w:hAnsi="宋体" w:eastAsia="宋体" w:cs="宋体"/>
                <w:b/>
                <w:color w:val="000000"/>
                <w:sz w:val="24"/>
                <w:szCs w:val="24"/>
                <w:highlight w:val="none"/>
                <w:u w:val="single"/>
              </w:rPr>
              <w:t xml:space="preserve">13:</w:t>
            </w:r>
            <w:r>
              <w:rPr>
                <w:rFonts w:hint="eastAsia" w:ascii="宋体" w:hAnsi="宋体" w:eastAsia="宋体" w:cs="宋体"/>
                <w:b/>
                <w:color w:val="000000"/>
                <w:sz w:val="24"/>
                <w:szCs w:val="24"/>
                <w:highlight w:val="none"/>
                <w:u w:val="single"/>
              </w:rPr>
              <w:t xml:space="preserve">30时</w:t>
            </w:r>
            <w:r>
              <w:rPr>
                <w:rFonts w:hint="eastAsia" w:ascii="宋体" w:hAnsi="宋体" w:eastAsia="宋体" w:cs="宋体"/>
                <w:color w:val="000000"/>
                <w:sz w:val="24"/>
                <w:szCs w:val="24"/>
                <w:highlight w:val="none"/>
                <w:u w:val="single"/>
              </w:rPr>
              <w:t xml:space="preserve">（北京时间）</w:t>
            </w:r>
            <w:r>
              <w:rPr>
                <w:rFonts w:hint="eastAsia" w:ascii="宋体" w:hAnsi="宋体" w:eastAsia="宋体" w:cs="宋体"/>
                <w:color w:val="000000"/>
                <w:sz w:val="24"/>
                <w:szCs w:val="24"/>
                <w:highlight w:val="none"/>
              </w:rPr>
              <w:t xml:space="preserve">前提交响应文件。</w:t>
            </w:r>
            <w:r/>
          </w:p>
        </w:tc>
      </w:tr>
    </w:tbl>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JSZC-320500-WYDL-C2025-0037</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苏州市体育监管保障中心健身指导站对外服务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b w:val="0"/>
          <w:bCs w:val="0"/>
          <w:color w:val="000000"/>
          <w:sz w:val="24"/>
          <w:szCs w:val="24"/>
          <w:highlight w:val="none"/>
          <w:lang w:val="en-US"/>
        </w:rPr>
        <w:t xml:space="preserve">预算金额</w:t>
      </w:r>
      <w:r>
        <w:rPr>
          <w:rFonts w:hint="eastAsia" w:ascii="宋体" w:hAnsi="宋体" w:eastAsia="宋体" w:cs="宋体"/>
          <w:b w:val="0"/>
          <w:bCs w:val="0"/>
          <w:color w:val="000000"/>
          <w:sz w:val="24"/>
          <w:szCs w:val="24"/>
          <w:highlight w:val="none"/>
          <w:lang w:val="en-US" w:eastAsia="zh-CN"/>
        </w:rPr>
        <w:t xml:space="preserve">：人民币陆拾万元整（￥600000.00）</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5、采购需求：对市民进行体质健康测试，包括各项形态、机能、素质和健康风险评估等，均为无创测试。根据测试结果为测试者提供科学健身指导、体能康复指导服务。具体详见采购文件第三章。</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6、服务期限：2025年10月31日-2026年10月31日。</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1、满足《中华人民共和国政府采购法》第二十二条以下规定：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（3）具备履行合同所必需的设备和专业技术能力；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lang w:val="en-US" w:eastAsia="zh-CN"/>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w:t>
      </w:r>
      <w:r/>
    </w:p>
    <w:p>
      <w:pPr>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3、本项目的特定资格要求：</w:t>
      </w:r>
      <w:r>
        <w:rPr>
          <w:rFonts w:hint="eastAsia" w:ascii="宋体" w:hAnsi="宋体" w:eastAsia="宋体" w:cs="宋体"/>
          <w:b w:val="0"/>
          <w:bCs/>
          <w:color w:val="000000"/>
          <w:sz w:val="24"/>
          <w:szCs w:val="24"/>
          <w:highlight w:val="none"/>
          <w:lang w:val="en-US" w:eastAsia="zh-CN"/>
        </w:rPr>
        <w:t xml:space="preserve">无</w:t>
      </w:r>
      <w:r/>
    </w:p>
    <w:p>
      <w:pPr>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其他资格条件：</w:t>
      </w:r>
      <w:r/>
    </w:p>
    <w:p>
      <w:pPr>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（1）本项目不接受联合体投标；</w:t>
      </w:r>
      <w:r/>
    </w:p>
    <w:p>
      <w:pPr>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（3）未被“信用中国”网站（WWW.creditchina.gov.cn）或“中国政府采购网”网站（www.ccgp.gov.cn）列入失信被执行人、重大税收违法案件当事人名单、政府采购严重失信行为记录名单。</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、获取采购文件：</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1、获取时间：</w:t>
      </w:r>
      <w:r>
        <w:rPr>
          <w:rFonts w:hint="eastAsia" w:ascii="宋体" w:hAnsi="宋体" w:eastAsia="宋体" w:cs="宋体"/>
          <w:color w:val="000000"/>
          <w:sz w:val="24"/>
          <w:szCs w:val="24"/>
          <w:highlight w:val="none"/>
          <w:u w:val="single"/>
          <w:lang w:eastAsia="zh-CN"/>
        </w:rPr>
        <w:t xml:space="preserve">202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lang w:eastAsia="zh-CN"/>
        </w:rPr>
        <w:t xml:space="preserve">年</w:t>
      </w:r>
      <w:r>
        <w:rPr>
          <w:rFonts w:hint="eastAsia" w:ascii="宋体" w:hAnsi="宋体" w:eastAsia="宋体" w:cs="宋体"/>
          <w:color w:val="000000"/>
          <w:sz w:val="24"/>
          <w:szCs w:val="24"/>
          <w:highlight w:val="none"/>
          <w:u w:val="single"/>
          <w:lang w:eastAsia="zh-CN"/>
        </w:rPr>
        <w:t xml:space="preserve">10月</w:t>
      </w:r>
      <w:r>
        <w:rPr>
          <w:rFonts w:hint="eastAsia" w:ascii="宋体" w:hAnsi="宋体" w:eastAsia="宋体" w:cs="宋体"/>
          <w:color w:val="000000"/>
          <w:sz w:val="24"/>
          <w:szCs w:val="24"/>
          <w:highlight w:val="none"/>
          <w:u w:val="single"/>
          <w:lang w:eastAsia="zh-CN"/>
        </w:rPr>
        <w:t xml:space="preserve">17日至202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lang w:eastAsia="zh-CN"/>
        </w:rPr>
        <w:t xml:space="preserve">年</w:t>
      </w:r>
      <w:r>
        <w:rPr>
          <w:rFonts w:hint="eastAsia" w:ascii="宋体" w:hAnsi="宋体" w:eastAsia="宋体" w:cs="宋体"/>
          <w:color w:val="000000"/>
          <w:sz w:val="24"/>
          <w:szCs w:val="24"/>
          <w:highlight w:val="none"/>
          <w:u w:val="single"/>
          <w:lang w:eastAsia="zh-CN"/>
        </w:rPr>
        <w:t xml:space="preserve">10月</w:t>
      </w:r>
      <w:r>
        <w:rPr>
          <w:rFonts w:hint="eastAsia" w:ascii="宋体" w:hAnsi="宋体" w:eastAsia="宋体" w:cs="宋体"/>
          <w:color w:val="000000"/>
          <w:sz w:val="24"/>
          <w:szCs w:val="24"/>
          <w:highlight w:val="none"/>
          <w:u w:val="single"/>
          <w:lang w:eastAsia="zh-CN"/>
        </w:rPr>
        <w:t xml:space="preserve">24日</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2、地点：在“苏采云政府采购一体化平台”自行免费下载招标文件。</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3、方式：</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（1）CA证书办理</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en-US" w:eastAsia="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（2）参与采购活动</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（3）电子投标准备</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在系统操作过程中如有疑问，请按以下方式联系：</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注册咨询：18261002950；</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CA技术咨询电话：400-608-6099；</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签章使用问题：025-83633811、025-83633812、15380932027、15371015030；</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系统使用指导与咨询：</w:t>
      </w:r>
      <w:r>
        <w:rPr>
          <w:rFonts w:hint="eastAsia" w:ascii="宋体" w:hAnsi="宋体" w:eastAsia="宋体" w:cs="宋体"/>
          <w:b w:val="0"/>
          <w:bCs/>
          <w:color w:val="000000"/>
          <w:sz w:val="24"/>
          <w:szCs w:val="24"/>
          <w:highlight w:val="none"/>
          <w:lang w:val="en-US" w:eastAsia="zh-CN"/>
        </w:rPr>
        <w:t xml:space="preserve">联系电</w:t>
      </w:r>
      <w:r>
        <w:rPr>
          <w:rFonts w:hint="eastAsia" w:ascii="宋体" w:hAnsi="宋体" w:eastAsia="宋体" w:cs="宋体"/>
          <w:bCs/>
          <w:color w:val="000000"/>
          <w:sz w:val="24"/>
          <w:szCs w:val="24"/>
          <w:highlight w:val="none"/>
          <w:lang w:val="en-US" w:eastAsia="zh-CN"/>
        </w:rPr>
        <w:t xml:space="preserve">话：18261002950；QQ：3048755361、1315179389、895706745。</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4、售价：免费</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截止时间、开标时间和地点</w:t>
      </w:r>
      <w:r/>
    </w:p>
    <w:p>
      <w:pPr>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1、提交响应文件截止时间</w:t>
      </w:r>
      <w:r>
        <w:rPr>
          <w:rFonts w:hint="eastAsia" w:ascii="宋体" w:hAnsi="宋体" w:eastAsia="宋体" w:cs="宋体"/>
          <w:b w:val="0"/>
          <w:bCs w:val="0"/>
          <w:color w:val="000000"/>
          <w:sz w:val="24"/>
          <w:szCs w:val="24"/>
          <w:highlight w:val="none"/>
          <w:u w:val="single"/>
          <w:lang w:val="en-US" w:eastAsia="zh-CN"/>
        </w:rPr>
        <w:t xml:space="preserve">：</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b/>
          <w:color w:val="000000"/>
          <w:sz w:val="24"/>
          <w:szCs w:val="24"/>
          <w:highlight w:val="none"/>
          <w:u w:val="single"/>
          <w:lang w:val="en-US" w:eastAsia="zh-CN"/>
        </w:rPr>
        <w:t xml:space="preserve">25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10月</w:t>
      </w:r>
      <w:r>
        <w:rPr>
          <w:rFonts w:hint="eastAsia" w:ascii="宋体" w:hAnsi="宋体" w:eastAsia="宋体" w:cs="宋体"/>
          <w:b/>
          <w:color w:val="000000"/>
          <w:sz w:val="24"/>
          <w:szCs w:val="24"/>
          <w:highlight w:val="none"/>
          <w:u w:val="single"/>
        </w:rPr>
        <w:t xml:space="preserve">28日</w:t>
      </w:r>
      <w:r>
        <w:rPr>
          <w:rFonts w:hint="eastAsia" w:ascii="宋体" w:hAnsi="宋体" w:eastAsia="宋体" w:cs="宋体"/>
          <w:b/>
          <w:color w:val="000000"/>
          <w:sz w:val="24"/>
          <w:szCs w:val="24"/>
          <w:highlight w:val="none"/>
          <w:u w:val="single"/>
        </w:rPr>
        <w:t xml:space="preserve">13:</w:t>
      </w:r>
      <w:r>
        <w:rPr>
          <w:rFonts w:hint="eastAsia" w:ascii="宋体" w:hAnsi="宋体" w:eastAsia="宋体" w:cs="宋体"/>
          <w:b/>
          <w:color w:val="000000"/>
          <w:sz w:val="24"/>
          <w:szCs w:val="24"/>
          <w:highlight w:val="none"/>
          <w:u w:val="single"/>
        </w:rPr>
        <w:t xml:space="preserve">30时</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lang w:val="en-US" w:eastAsia="zh-CN"/>
        </w:rPr>
        <w:t xml:space="preserve">北京时间）；</w:t>
      </w:r>
      <w:r>
        <w:rPr>
          <w:rFonts w:hint="eastAsia" w:ascii="宋体" w:hAnsi="宋体" w:eastAsia="宋体" w:cs="宋体"/>
          <w:b w:val="0"/>
          <w:bCs w:val="0"/>
          <w:color w:val="000000"/>
          <w:sz w:val="24"/>
          <w:szCs w:val="24"/>
          <w:highlight w:val="none"/>
          <w:u w:val="single"/>
          <w:lang w:val="en-US" w:eastAsia="zh-CN"/>
        </w:rPr>
        <w:t xml:space="preserve"> </w:t>
      </w:r>
      <w:r/>
    </w:p>
    <w:p>
      <w:pPr>
        <w:ind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2、开标时间：</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b/>
          <w:color w:val="000000"/>
          <w:sz w:val="24"/>
          <w:szCs w:val="24"/>
          <w:highlight w:val="none"/>
          <w:u w:val="single"/>
          <w:lang w:val="en-US" w:eastAsia="zh-CN"/>
        </w:rPr>
        <w:t xml:space="preserve">25</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10月</w:t>
      </w:r>
      <w:r>
        <w:rPr>
          <w:rFonts w:hint="eastAsia" w:ascii="宋体" w:hAnsi="宋体" w:eastAsia="宋体" w:cs="宋体"/>
          <w:b/>
          <w:color w:val="000000"/>
          <w:sz w:val="24"/>
          <w:szCs w:val="24"/>
          <w:highlight w:val="none"/>
          <w:u w:val="single"/>
        </w:rPr>
        <w:t xml:space="preserve">28日</w:t>
      </w:r>
      <w:r>
        <w:rPr>
          <w:rFonts w:hint="eastAsia" w:ascii="宋体" w:hAnsi="宋体" w:eastAsia="宋体" w:cs="宋体"/>
          <w:b/>
          <w:color w:val="000000"/>
          <w:sz w:val="24"/>
          <w:szCs w:val="24"/>
          <w:highlight w:val="none"/>
          <w:u w:val="single"/>
        </w:rPr>
        <w:t xml:space="preserve">13:</w:t>
      </w:r>
      <w:r>
        <w:rPr>
          <w:rFonts w:hint="eastAsia" w:ascii="宋体" w:hAnsi="宋体" w:eastAsia="宋体" w:cs="宋体"/>
          <w:b/>
          <w:color w:val="000000"/>
          <w:sz w:val="24"/>
          <w:szCs w:val="24"/>
          <w:highlight w:val="none"/>
          <w:u w:val="single"/>
        </w:rPr>
        <w:t xml:space="preserve">30时</w:t>
      </w:r>
      <w:r>
        <w:rPr>
          <w:rFonts w:hint="eastAsia" w:ascii="宋体" w:hAnsi="宋体" w:eastAsia="宋体" w:cs="宋体"/>
          <w:color w:val="000000"/>
          <w:sz w:val="24"/>
          <w:szCs w:val="24"/>
          <w:highlight w:val="none"/>
          <w:u w:val="single"/>
          <w:lang w:val="en-US" w:eastAsia="zh-CN"/>
        </w:rPr>
        <w:t xml:space="preserve">（北京时间）；</w:t>
      </w:r>
      <w:r/>
    </w:p>
    <w:p>
      <w:pPr>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3、开标地点：“苏采云”系统（网址：http://jszfcg.jsczt.cn/）</w:t>
      </w:r>
      <w:r/>
    </w:p>
    <w:p>
      <w:pPr>
        <w:ind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sz w:val="24"/>
          <w:szCs w:val="24"/>
          <w:highlight w:val="none"/>
          <w:lang w:val="en-US" w:eastAsia="zh-CN"/>
        </w:rPr>
        <w:t xml:space="preserve">供应商应充分考虑到网络环境、网络带宽等风险因素，如因供应商自身原因造成的电子响应文件上传不成功由供应商自行承担全部责任。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lang w:val="en-US" w:eastAsia="zh-CN"/>
        </w:rPr>
        <w:t xml:space="preserve">本项目为不见面开标项目，开标阶段供应商在【供应商解密】环节必须使用 CA证书解密电子响应文件，如在系统规定的解密时间内未能完成解密的视为放弃投标。</w:t>
      </w:r>
      <w:r/>
    </w:p>
    <w:p>
      <w:pPr>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6、请供应商确保电脑、系统及其他设备（视频输入输出设备等）无误，且开标直至项目结束始终保持系统在线状态。</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、公告期限</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、其他补充事宜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1、本次招标有关信息将在： </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（1）江苏政府采购网；（2）苏州政府采购网；（2）</w:t>
      </w:r>
      <w:r>
        <w:rPr>
          <w:rFonts w:hint="eastAsia" w:ascii="宋体" w:hAnsi="宋体" w:eastAsia="宋体" w:cs="宋体"/>
          <w:color w:val="000000"/>
          <w:sz w:val="24"/>
          <w:szCs w:val="24"/>
          <w:highlight w:val="none"/>
          <w:lang w:eastAsia="zh-CN"/>
        </w:rPr>
        <w:t xml:space="preserve">中国</w:t>
      </w:r>
      <w:r>
        <w:rPr>
          <w:rFonts w:hint="eastAsia" w:ascii="宋体" w:hAnsi="宋体" w:eastAsia="宋体" w:cs="宋体"/>
          <w:color w:val="000000"/>
          <w:sz w:val="24"/>
          <w:szCs w:val="24"/>
          <w:highlight w:val="none"/>
        </w:rPr>
        <w:t xml:space="preserve">政府采购网</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成交公告亦是刊登在以上媒体，敬请各供应商注意。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2、苏州市政府采购管理监督电话：0512-68616651</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、对本次采购提出询问，请按以下方式联系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1、采购单位信息</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苏州市体育监管保障中心</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苏州市姑苏区五卅路91号</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殷子文</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0512-67590721</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称：苏州伟亚工程项目管理咨询有限公司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址：苏州高新区浩福路1号维田商务中心308室</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bookmarkStart w:id="4" w:name="OLE_LINK1"/>
      <w:r>
        <w:rPr>
          <w:rFonts w:hint="eastAsia" w:ascii="宋体" w:hAnsi="宋体" w:eastAsia="宋体" w:cs="宋体"/>
          <w:color w:val="000000"/>
          <w:sz w:val="24"/>
          <w:szCs w:val="24"/>
          <w:highlight w:val="none"/>
        </w:rPr>
        <w:t xml:space="preserve">0512-68218526-8</w:t>
      </w:r>
      <w:r>
        <w:rPr>
          <w:rFonts w:hint="eastAsia" w:ascii="宋体" w:hAnsi="宋体" w:eastAsia="宋体" w:cs="宋体"/>
          <w:color w:val="000000"/>
          <w:sz w:val="24"/>
          <w:szCs w:val="24"/>
          <w:highlight w:val="none"/>
          <w:lang w:val="en-US" w:eastAsia="zh-CN"/>
        </w:rPr>
        <w:t xml:space="preserve">015</w:t>
      </w:r>
      <w:r>
        <w:rPr>
          <w:rFonts w:hint="eastAsia" w:ascii="宋体" w:hAnsi="宋体" w:eastAsia="宋体" w:cs="宋体"/>
          <w:color w:val="000000"/>
          <w:sz w:val="24"/>
          <w:szCs w:val="24"/>
          <w:highlight w:val="none"/>
        </w:rPr>
        <w:t xml:space="preserve">、0512-65561182-8</w:t>
      </w:r>
      <w:r>
        <w:rPr>
          <w:rFonts w:hint="eastAsia" w:ascii="宋体" w:hAnsi="宋体" w:eastAsia="宋体" w:cs="宋体"/>
          <w:color w:val="000000"/>
          <w:sz w:val="24"/>
          <w:szCs w:val="24"/>
          <w:highlight w:val="none"/>
          <w:lang w:val="en-US" w:eastAsia="zh-CN"/>
        </w:rPr>
        <w:t xml:space="preserve">0</w:t>
      </w:r>
      <w:bookmarkEnd w:id="4"/>
      <w:r>
        <w:rPr>
          <w:rFonts w:hint="eastAsia" w:ascii="宋体" w:hAnsi="宋体" w:eastAsia="宋体" w:cs="宋体"/>
          <w:color w:val="000000"/>
          <w:sz w:val="24"/>
          <w:szCs w:val="24"/>
          <w:highlight w:val="none"/>
          <w:lang w:val="en-US" w:eastAsia="zh-CN"/>
        </w:rPr>
        <w:t xml:space="preserve">13</w:t>
      </w:r>
      <w:r/>
    </w:p>
    <w:p>
      <w:pPr>
        <w:numPr>
          <w:ilvl w:val="0"/>
          <w:numId w:val="4"/>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项目联系方式</w:t>
      </w:r>
      <w:r>
        <w:rPr>
          <w:rFonts w:hint="eastAsia" w:ascii="宋体" w:hAnsi="宋体" w:eastAsia="宋体" w:cs="宋体"/>
          <w:color w:val="000000"/>
          <w:sz w:val="24"/>
          <w:szCs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钱梅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罗陈娇</w:t>
      </w:r>
      <w:r>
        <w:rPr>
          <w:rFonts w:hint="eastAsia" w:ascii="宋体" w:hAnsi="宋体" w:eastAsia="宋体" w:cs="宋体"/>
          <w:color w:val="000000"/>
          <w:sz w:val="24"/>
          <w:szCs w:val="24"/>
          <w:highlight w:val="none"/>
        </w:rPr>
        <w:t xml:space="preserve">、孙保会</w:t>
      </w:r>
      <w:r>
        <w:rPr>
          <w:rFonts w:hint="eastAsia" w:ascii="宋体" w:hAnsi="宋体" w:eastAsia="宋体" w:cs="宋体"/>
          <w:color w:val="000000"/>
          <w:sz w:val="24"/>
          <w:szCs w:val="24"/>
          <w:highlight w:val="none"/>
          <w:lang w:val="en-US" w:eastAsia="zh-CN"/>
        </w:rPr>
        <w:t xml:space="preserve">    </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话：0512-68218526-8</w:t>
      </w:r>
      <w:r>
        <w:rPr>
          <w:rFonts w:hint="eastAsia" w:ascii="宋体" w:hAnsi="宋体" w:eastAsia="宋体" w:cs="宋体"/>
          <w:color w:val="000000"/>
          <w:sz w:val="24"/>
          <w:szCs w:val="24"/>
          <w:highlight w:val="none"/>
          <w:lang w:val="en-US" w:eastAsia="zh-CN"/>
        </w:rPr>
        <w:t xml:space="preserve">015</w:t>
      </w:r>
      <w:r>
        <w:rPr>
          <w:rFonts w:hint="eastAsia" w:ascii="宋体" w:hAnsi="宋体" w:eastAsia="宋体" w:cs="宋体"/>
          <w:color w:val="000000"/>
          <w:sz w:val="24"/>
          <w:szCs w:val="24"/>
          <w:highlight w:val="none"/>
        </w:rPr>
        <w:t xml:space="preserve">、0512-65561182-8</w:t>
      </w:r>
      <w:r>
        <w:rPr>
          <w:rFonts w:hint="eastAsia" w:ascii="宋体" w:hAnsi="宋体" w:eastAsia="宋体" w:cs="宋体"/>
          <w:color w:val="000000"/>
          <w:sz w:val="24"/>
          <w:szCs w:val="24"/>
          <w:highlight w:val="none"/>
          <w:lang w:val="en-US" w:eastAsia="zh-CN"/>
        </w:rPr>
        <w:t xml:space="preserve">013</w:t>
      </w:r>
      <w:r/>
    </w:p>
    <w:p>
      <w:pPr>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苏州伟亚工程项目管理咨询有限公司</w:t>
      </w:r>
      <w:r/>
    </w:p>
    <w:p>
      <w:pPr>
        <w:ind w:firstLine="480"/>
        <w:jc w:val="right"/>
        <w:spacing w:line="360" w:lineRule="auto"/>
        <w:rPr>
          <w:rFonts w:hint="eastAsia" w:ascii="宋体" w:hAnsi="宋体" w:eastAsia="宋体" w:cs="宋体"/>
          <w:b/>
          <w:color w:val="000000"/>
          <w:sz w:val="44"/>
          <w:szCs w:val="4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t xml:space="preserve">10月</w:t>
      </w:r>
      <w:r>
        <w:rPr>
          <w:rFonts w:hint="eastAsia" w:ascii="宋体" w:hAnsi="宋体" w:eastAsia="宋体" w:cs="宋体"/>
          <w:color w:val="000000"/>
          <w:sz w:val="24"/>
          <w:szCs w:val="24"/>
          <w:highlight w:val="none"/>
        </w:rPr>
        <w:t xml:space="preserve">17日</w:t>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44"/>
          <w:szCs w:val="44"/>
          <w:highlight w:val="none"/>
        </w:rPr>
        <w:t xml:space="preserve">第二章  磋商须知</w:t>
      </w:r>
      <w:bookmarkEnd w:id="0"/>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 说明</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1.1本磋商文件仅适用于</w:t>
      </w:r>
      <w:r>
        <w:rPr>
          <w:rFonts w:hint="eastAsia" w:ascii="宋体" w:hAnsi="宋体" w:eastAsia="宋体" w:cs="宋体"/>
          <w:color w:val="000000"/>
          <w:szCs w:val="24"/>
          <w:highlight w:val="none"/>
          <w:u w:val="single"/>
        </w:rPr>
        <w:t xml:space="preserve"> </w:t>
      </w:r>
      <w:r>
        <w:rPr>
          <w:rFonts w:hint="eastAsia" w:ascii="宋体" w:hAnsi="宋体" w:eastAsia="宋体" w:cs="宋体"/>
          <w:b/>
          <w:color w:val="000000"/>
          <w:szCs w:val="24"/>
          <w:highlight w:val="none"/>
          <w:u w:val="single"/>
        </w:rPr>
        <w:t xml:space="preserve">苏州伟亚工程项目管理咨询有限公司</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组织的磋商活动。</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1.2本次采购活动及因本次采购产生的合同受中国法律制约和保护。</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1.3本磋商文件的解释权属于</w:t>
      </w:r>
      <w:r>
        <w:rPr>
          <w:rFonts w:hint="eastAsia" w:ascii="宋体" w:hAnsi="宋体" w:eastAsia="宋体" w:cs="宋体"/>
          <w:color w:val="000000"/>
          <w:szCs w:val="24"/>
          <w:highlight w:val="none"/>
          <w:u w:val="single"/>
        </w:rPr>
        <w:t xml:space="preserve"> </w:t>
      </w:r>
      <w:r>
        <w:rPr>
          <w:rFonts w:hint="eastAsia" w:ascii="宋体" w:hAnsi="宋体" w:eastAsia="宋体" w:cs="宋体"/>
          <w:b/>
          <w:color w:val="000000"/>
          <w:szCs w:val="24"/>
          <w:highlight w:val="none"/>
          <w:u w:val="single"/>
        </w:rPr>
        <w:t xml:space="preserve">苏州伟亚工程项目管理咨询有限公司</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 词语释义</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2.1采购单位：具体组织实施采购活动的法人。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：响应并且符合采购文件规定资格条件和参加响应竞争的法人、其他组织或者自然人。</w:t>
      </w:r>
      <w:r/>
    </w:p>
    <w:p>
      <w:pPr>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2.3响应：供应商根据采购单位发布的采购文件，编制响应文件并按规定参与磋商的行为。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2.4合同：采供双方根据采购文件和成交的响应文件及成交通知书规定的内容签署的以书面形式所达成的协议，包括所有的附件、附录和构成协议的所有文件。</w:t>
      </w:r>
      <w:r/>
    </w:p>
    <w:p>
      <w:pPr>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2.5甲方（采购方）：合同中明确规定的实际购买货物和服务的法人或其他组织。</w:t>
      </w:r>
      <w:r/>
    </w:p>
    <w:p>
      <w:pPr>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2.6乙方（供应商）：合同中规定的向采购方提供货物和服务的法人或其他组织和自然人。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知识产权：指专利权、商标权、著作权等无形财产专有权的统称。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天：日历日。</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val="en-US" w:eastAsia="zh-CN"/>
        </w:rPr>
        <w:t xml:space="preserve">9</w:t>
      </w:r>
      <w:r>
        <w:rPr>
          <w:rFonts w:hint="eastAsia" w:ascii="宋体" w:hAnsi="宋体" w:eastAsia="宋体" w:cs="宋体"/>
          <w:color w:val="000000"/>
          <w:szCs w:val="24"/>
          <w:highlight w:val="none"/>
        </w:rPr>
        <w:t xml:space="preserve">服务地点：合同中明确约定的乙方履行服务的最终地点。</w:t>
      </w:r>
      <w:r/>
    </w:p>
    <w:p>
      <w:pPr>
        <w:pStyle w:val="1153"/>
        <w:ind w:firstLine="480"/>
        <w:jc w:val="both"/>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不可抗力：不能预见、不能避免并且不能克服的客观情况。</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书面形式：指书面文字、合同书、信件和传真等可以有形地表现所载内容的形式。</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3.合格磋商响应单位的资格条件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详见</w:t>
      </w:r>
      <w:r>
        <w:rPr>
          <w:rFonts w:hint="eastAsia" w:ascii="宋体" w:hAnsi="宋体" w:eastAsia="宋体" w:cs="宋体"/>
          <w:color w:val="000000"/>
          <w:sz w:val="24"/>
          <w:szCs w:val="24"/>
          <w:highlight w:val="none"/>
          <w:lang w:eastAsia="zh-CN"/>
        </w:rPr>
        <w:t xml:space="preserve">第一章</w:t>
      </w:r>
      <w:r>
        <w:rPr>
          <w:rFonts w:hint="eastAsia" w:ascii="宋体" w:hAnsi="宋体" w:eastAsia="宋体" w:cs="宋体"/>
          <w:color w:val="000000"/>
          <w:sz w:val="24"/>
          <w:szCs w:val="24"/>
          <w:highlight w:val="none"/>
        </w:rPr>
        <w:t xml:space="preserve">磋商邀请函。</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 联合体响应：</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4.1不接受联合体响应。</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 磋商费用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5.1无论磋商过程中的做法和结果如何，磋商响应单位自行承担所有与参加磋商有关的全部费用。</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 磋商文件</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采购文件由采购文件总目录所列内容组成，响应单位获取采购文件后，应仔细检查采购文件的所有内容。响应单位同时应认真审阅采购文件中所有的事项、格式、条款和规范要求等，若响应单位的响应文件没有按采购文件要求提交全部资料，或响应文件没有对采购文件做出实质性投标，其风险由响应单位自行承担，并根据有关条款规定，该投标有可能被拒绝。</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6.2采购文件及其补充通知（包括更正公告）不是直接从财政部门指定的政府采购信息发布媒体上下载获得的，采购人或采购代理机构对采购文件及其补遗的真实性、完整性不承担任何责任。</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 磋商文件的澄清和修改</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.1采购人或采购代理机构无论出于自己的考虑，还是出于对</w:t>
      </w:r>
      <w:r>
        <w:rPr>
          <w:rFonts w:hint="eastAsia" w:ascii="宋体" w:hAnsi="宋体" w:eastAsia="宋体" w:cs="宋体"/>
          <w:bCs/>
          <w:color w:val="000000"/>
          <w:sz w:val="24"/>
          <w:szCs w:val="24"/>
          <w:highlight w:val="none"/>
          <w:lang w:eastAsia="zh-CN"/>
        </w:rPr>
        <w:t xml:space="preserve">响应单位</w:t>
      </w:r>
      <w:r>
        <w:rPr>
          <w:rFonts w:hint="eastAsia" w:ascii="宋体" w:hAnsi="宋体" w:eastAsia="宋体" w:cs="宋体"/>
          <w:bCs/>
          <w:color w:val="000000"/>
          <w:sz w:val="24"/>
          <w:szCs w:val="24"/>
          <w:highlight w:val="none"/>
        </w:rPr>
        <w:t xml:space="preserve">提问的澄清，均可对已发出的</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用补充通知（包括更正公告）的方式进行澄清或者修改，并通过</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苏州市政府采购网</w:t>
      </w:r>
      <w:r>
        <w:rPr>
          <w:rFonts w:hint="eastAsia" w:ascii="宋体" w:hAnsi="宋体" w:eastAsia="宋体" w:cs="宋体"/>
          <w:b/>
          <w:bCs w:val="0"/>
          <w:color w:val="000000"/>
          <w:sz w:val="24"/>
          <w:szCs w:val="24"/>
          <w:highlight w:val="none"/>
          <w:lang w:eastAsia="zh-CN"/>
        </w:rPr>
        <w:t xml:space="preserve">”、“江苏政府采购网”、“中国政府采购网”</w:t>
      </w:r>
      <w:r>
        <w:rPr>
          <w:rFonts w:hint="eastAsia" w:ascii="宋体" w:hAnsi="宋体" w:eastAsia="宋体" w:cs="宋体"/>
          <w:bCs/>
          <w:color w:val="000000"/>
          <w:sz w:val="24"/>
          <w:szCs w:val="24"/>
          <w:highlight w:val="none"/>
        </w:rPr>
        <w:t xml:space="preserve">对外进行发布。澄清或者修改的内容为</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的组成部分。</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.2对于补充通知（包括更正公告），报名成功的供应商通过</w:t>
      </w:r>
      <w:r>
        <w:rPr>
          <w:rFonts w:hint="eastAsia" w:ascii="宋体" w:hAnsi="宋体" w:eastAsia="宋体" w:cs="宋体"/>
          <w:b/>
          <w:bCs w:val="0"/>
          <w:color w:val="000000"/>
          <w:sz w:val="24"/>
          <w:szCs w:val="24"/>
          <w:highlight w:val="none"/>
        </w:rPr>
        <w:t xml:space="preserve">“苏州市政府采购网”</w:t>
      </w:r>
      <w:r>
        <w:rPr>
          <w:rFonts w:hint="eastAsia" w:ascii="宋体" w:hAnsi="宋体" w:eastAsia="宋体" w:cs="宋体"/>
          <w:b/>
          <w:bCs w:val="0"/>
          <w:color w:val="000000"/>
          <w:sz w:val="24"/>
          <w:szCs w:val="24"/>
          <w:highlight w:val="none"/>
          <w:lang w:eastAsia="zh-CN"/>
        </w:rPr>
        <w:t xml:space="preserve">、“江苏政府采购网”、“中国政府采购网”</w:t>
      </w:r>
      <w:r>
        <w:rPr>
          <w:rFonts w:hint="eastAsia" w:ascii="宋体" w:hAnsi="宋体" w:eastAsia="宋体" w:cs="宋体"/>
          <w:bCs/>
          <w:color w:val="000000"/>
          <w:sz w:val="24"/>
          <w:szCs w:val="24"/>
          <w:highlight w:val="none"/>
        </w:rPr>
        <w:t xml:space="preserve">的“采购公告”自行查看所报项目的补充通知（包括更正公告）。补充通知（包括更正公告）将作为</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的组成部分，对所有</w:t>
      </w:r>
      <w:r>
        <w:rPr>
          <w:rFonts w:hint="eastAsia" w:ascii="宋体" w:hAnsi="宋体" w:eastAsia="宋体" w:cs="宋体"/>
          <w:bCs/>
          <w:color w:val="000000"/>
          <w:sz w:val="24"/>
          <w:szCs w:val="24"/>
          <w:highlight w:val="none"/>
          <w:lang w:eastAsia="zh-CN"/>
        </w:rPr>
        <w:t xml:space="preserve">响应单位</w:t>
      </w:r>
      <w:r>
        <w:rPr>
          <w:rFonts w:hint="eastAsia" w:ascii="宋体" w:hAnsi="宋体" w:eastAsia="宋体" w:cs="宋体"/>
          <w:bCs/>
          <w:color w:val="000000"/>
          <w:sz w:val="24"/>
          <w:szCs w:val="24"/>
          <w:highlight w:val="none"/>
        </w:rPr>
        <w:t xml:space="preserve">有约束力。</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.3澄清或者修改的内容可能影响</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编制的，采购人或者采购代理机构应当在投标截止时间至少</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日前，并通过苏州市政府采购网</w:t>
      </w:r>
      <w:r>
        <w:rPr>
          <w:rFonts w:hint="eastAsia" w:ascii="宋体" w:hAnsi="宋体" w:eastAsia="宋体" w:cs="宋体"/>
          <w:bCs/>
          <w:color w:val="000000"/>
          <w:sz w:val="24"/>
          <w:szCs w:val="24"/>
          <w:highlight w:val="none"/>
          <w:lang w:eastAsia="zh-CN"/>
        </w:rPr>
        <w:t xml:space="preserve">、江苏政府采购网、中国政府采购网</w:t>
      </w:r>
      <w:r>
        <w:rPr>
          <w:rFonts w:hint="eastAsia" w:ascii="宋体" w:hAnsi="宋体" w:eastAsia="宋体" w:cs="宋体"/>
          <w:bCs/>
          <w:color w:val="000000"/>
          <w:sz w:val="24"/>
          <w:szCs w:val="24"/>
          <w:highlight w:val="none"/>
        </w:rPr>
        <w:t xml:space="preserve">对外进行发布；不足</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日的，采购人或者采购代理机构应当顺延提交</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的截止时间。</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的澄清、修改、补充等内容均以苏州政府采购网、江苏政府采购网上发布的补充通知为准。</w:t>
      </w:r>
      <w:r/>
    </w:p>
    <w:p>
      <w:pPr>
        <w:ind w:firstLine="48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8.磋商文件提疑</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书面质疑后7个工作日内作出答复。</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8.3本次采购文件要求供应商在法定质疑期内一次性提出针对同一采购程序环节的质疑。</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8.4供应商提出质疑应当提交质疑函和必要的证明材料。质疑函应当包括下列内容：</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8.4.1供应商的姓名或者名称（以营业执照副本</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为准）、地址、邮编、联系人及联系电话；</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8.4.2质疑项目的名称、编号；</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8.4.3具体、明确的质疑事项和与质疑事项相关的请求；</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8.4.4事实依据；</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8.4.5必要的法律依据；</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8.4.6提出质疑的日期；</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8.4.7供应商参加投标确认函；</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8.4.8供应商的法定代表人/负责人、供应商代理人身份证（如有授权）。</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jc w:val="left"/>
        <w:spacing w:line="360" w:lineRule="auto"/>
        <w:widowControl/>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供应商提交的质疑函必须按照《政府采购供应商质疑函范本》要求的格式和内容进行填写，质疑函范本下载网址详见链接：</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zh-CN" w:eastAsia="zh-CN"/>
        </w:rPr>
        <w:t xml:space="preserve">https://czju.suzhou.gov.cn/zfcg/html/content/20180305093615738.shtml。</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8.4.9</w:t>
      </w:r>
      <w:r>
        <w:rPr>
          <w:rFonts w:hint="eastAsia" w:ascii="宋体" w:hAnsi="宋体" w:eastAsia="宋体" w:cs="宋体"/>
          <w:color w:val="000000"/>
          <w:sz w:val="24"/>
          <w:szCs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接收质疑函的方式：书面形式（当场送达或邮寄方式）。</w:t>
      </w:r>
      <w:r/>
    </w:p>
    <w:p>
      <w:pPr>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质疑联系人：</w:t>
      </w:r>
      <w:r>
        <w:rPr>
          <w:rFonts w:hint="eastAsia" w:ascii="宋体" w:hAnsi="宋体" w:eastAsia="宋体" w:cs="宋体"/>
          <w:color w:val="000000"/>
          <w:sz w:val="24"/>
          <w:szCs w:val="24"/>
          <w:highlight w:val="none"/>
          <w:lang w:val="en-US" w:eastAsia="zh-CN"/>
        </w:rPr>
        <w:t xml:space="preserve">钱梅</w:t>
      </w:r>
      <w:r/>
    </w:p>
    <w:p>
      <w:pPr>
        <w:ind w:firstLine="480"/>
        <w:jc w:val="left"/>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联系电话：0512-65561182-80</w:t>
      </w:r>
      <w:r>
        <w:rPr>
          <w:rFonts w:hint="eastAsia" w:ascii="宋体" w:hAnsi="宋体" w:eastAsia="宋体" w:cs="宋体"/>
          <w:color w:val="000000"/>
          <w:sz w:val="24"/>
          <w:szCs w:val="24"/>
          <w:highlight w:val="none"/>
          <w:lang w:val="en-US" w:eastAsia="zh-CN"/>
        </w:rPr>
        <w:t xml:space="preserve">15</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通讯地址：苏州高新区浩福路1号维田商务中心308室</w:t>
      </w:r>
      <w:r/>
    </w:p>
    <w:p>
      <w:pPr>
        <w:ind w:firstLine="482"/>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．提示与要求</w:t>
      </w:r>
      <w:r/>
    </w:p>
    <w:p>
      <w:pPr>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.1 供应商应仔细阅读采购文件的所有内容，按采购文件的要求提供响应文件，并保证所提供的全部资料的真实性，以使其对采购文件作出实质性响应，否则，其响应文件可能被拒绝。</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.2 无论是否递交响应文件，供应商都应将采购文件及以后的所有通知、文件等视为保密文件。</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 响应文件计量单位和使用文字</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.1响应文件中所使用的计量单位，除竞争性磋商文件中有特殊要求外，均应使用中华人民共和国法定计量单位。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响应文件应使用中文编制，响应文件中使用其他文字的，必须附有中文译本，且以中文译本为准。对于未附有中文译本和中文译本不准确的响应文件可能引起的对磋商响应单位不利的后果，磋商采购单位概不负责。</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 磋商响应文件的组成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11.1封面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11.2磋商报价表</w:t>
      </w:r>
      <w:r/>
    </w:p>
    <w:p>
      <w:pPr>
        <w:ind w:firstLine="48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11.3分项报价明细表（格式详见第六章）；</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资格审查响应文件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合格供应商的基本条件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.1具有独立承担民事责任的能力证明。包括法人或者其他组织的营业执照等证明文件，自然人的身份证明；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具有良好的商业信誉和健全的财务会计制度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提供20</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lang w:eastAsia="zh-CN"/>
        </w:rPr>
        <w:t xml:space="preserve">年的公司财务报表或</w:t>
      </w:r>
      <w:r>
        <w:rPr>
          <w:rFonts w:hint="eastAsia" w:ascii="宋体" w:hAnsi="宋体" w:eastAsia="宋体" w:cs="宋体"/>
          <w:sz w:val="24"/>
          <w:szCs w:val="24"/>
          <w:highlight w:val="none"/>
          <w:lang w:val="en-US" w:eastAsia="zh-CN"/>
        </w:rPr>
        <w:t xml:space="preserve">最近一期</w:t>
      </w:r>
      <w:r>
        <w:rPr>
          <w:rFonts w:hint="eastAsia" w:ascii="宋体" w:hAnsi="宋体" w:eastAsia="宋体" w:cs="宋体"/>
          <w:sz w:val="24"/>
          <w:szCs w:val="24"/>
          <w:highlight w:val="none"/>
          <w:lang w:eastAsia="zh-CN"/>
        </w:rPr>
        <w:t xml:space="preserve">经审计的财务报告，其他组织、自然人、及成立未满一年的法人应提供银行出具的资信证明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（格式详见第六章）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具有履行合同所必须的设备和专业技术能力的证明材料</w:t>
      </w:r>
      <w:r>
        <w:rPr>
          <w:rFonts w:hint="eastAsia" w:ascii="宋体" w:hAnsi="宋体" w:eastAsia="宋体" w:cs="宋体"/>
          <w:sz w:val="24"/>
          <w:szCs w:val="24"/>
          <w:highlight w:val="none"/>
          <w:lang w:val="en-US" w:eastAsia="zh-CN"/>
        </w:rPr>
        <w:t xml:space="preserve">声明函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（格式详见第六章）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.4有依法缴纳税收和社会保障资金的良好记录（提供提交响应文件截止时间前</w:t>
      </w:r>
      <w:r>
        <w:rPr>
          <w:rFonts w:hint="eastAsia" w:ascii="宋体" w:hAnsi="宋体" w:eastAsia="宋体" w:cs="宋体"/>
          <w:sz w:val="24"/>
          <w:szCs w:val="24"/>
          <w:highlight w:val="none"/>
          <w:lang w:val="en-US" w:eastAsia="zh-CN"/>
        </w:rPr>
        <w:t xml:space="preserve">6个月</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val="en-US" w:eastAsia="zh-CN"/>
        </w:rPr>
        <w:t xml:space="preserve">任意一</w:t>
      </w:r>
      <w:r>
        <w:rPr>
          <w:rFonts w:hint="eastAsia" w:ascii="宋体" w:hAnsi="宋体" w:eastAsia="宋体" w:cs="宋体"/>
          <w:sz w:val="24"/>
          <w:szCs w:val="24"/>
          <w:highlight w:val="none"/>
        </w:rPr>
        <w:t xml:space="preserve">个月依法缴纳税收及缴纳社会保障资金的证明材料，如相关主管部门证明或银行代扣证明。</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如依法享受缓缴、免缴税收、社会保障资金的应提供相关主管部门出具的证明材料）；</w:t>
      </w:r>
      <w:r>
        <w:rPr>
          <w:rFonts w:hint="eastAsia" w:ascii="宋体" w:hAnsi="宋体" w:eastAsia="宋体" w:cs="宋体"/>
          <w:sz w:val="24"/>
          <w:szCs w:val="24"/>
          <w:highlight w:val="none"/>
          <w:lang w:val="en-US" w:eastAsia="zh-CN"/>
        </w:rPr>
        <w:t xml:space="preserve">（格式详见第六章）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.5参加政府采购活动前三年内，在经营活动中没有重大违法记录的书面声明函；</w:t>
      </w:r>
      <w:r>
        <w:rPr>
          <w:rFonts w:hint="eastAsia" w:ascii="宋体" w:hAnsi="宋体" w:eastAsia="宋体" w:cs="宋体"/>
          <w:sz w:val="24"/>
          <w:szCs w:val="24"/>
          <w:highlight w:val="none"/>
          <w:lang w:val="en-US" w:eastAsia="zh-CN"/>
        </w:rPr>
        <w:t xml:space="preserve">（格式详见第六章）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11.4.2</w:t>
      </w:r>
      <w:r>
        <w:rPr>
          <w:rFonts w:hint="eastAsia" w:ascii="宋体" w:hAnsi="宋体" w:eastAsia="宋体" w:cs="宋体"/>
          <w:sz w:val="24"/>
          <w:szCs w:val="24"/>
          <w:highlight w:val="none"/>
        </w:rPr>
        <w:t xml:space="preserve">单位法定代表人/负责人为同一人或者存在直接控股、管理关系的不同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，不得参加同一合同项下的采购活动。响应文件中提供《</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与其他单位存在控股、管理关系情况表》；</w:t>
      </w:r>
      <w:r>
        <w:rPr>
          <w:rFonts w:hint="eastAsia" w:ascii="宋体" w:hAnsi="宋体" w:eastAsia="宋体" w:cs="宋体"/>
          <w:sz w:val="24"/>
          <w:szCs w:val="24"/>
          <w:highlight w:val="none"/>
          <w:lang w:val="en-US" w:eastAsia="zh-CN"/>
        </w:rPr>
        <w:t xml:space="preserve">（格式详见第六章）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color w:val="auto"/>
          <w:sz w:val="24"/>
          <w:szCs w:val="24"/>
          <w:highlight w:val="none"/>
          <w:lang w:val="en-US" w:eastAsia="zh-CN"/>
        </w:rPr>
        <w:t xml:space="preserve">格式详见第六章</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符合性审查响应文件</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.1《资格文件的声明函》；（</w:t>
      </w:r>
      <w:r>
        <w:rPr>
          <w:rFonts w:hint="eastAsia" w:ascii="宋体" w:hAnsi="宋体" w:eastAsia="宋体" w:cs="宋体"/>
          <w:bCs/>
          <w:color w:val="auto"/>
          <w:sz w:val="24"/>
          <w:szCs w:val="24"/>
          <w:highlight w:val="none"/>
          <w:lang w:val="en-US" w:eastAsia="zh-CN"/>
        </w:rPr>
        <w:t xml:space="preserve">格式详见第六章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《磋商响应单位情况表》；（</w:t>
      </w:r>
      <w:r>
        <w:rPr>
          <w:rFonts w:hint="eastAsia" w:ascii="宋体" w:hAnsi="宋体" w:eastAsia="宋体" w:cs="宋体"/>
          <w:bCs/>
          <w:color w:val="auto"/>
          <w:sz w:val="24"/>
          <w:szCs w:val="24"/>
          <w:highlight w:val="none"/>
          <w:lang w:val="en-US" w:eastAsia="zh-CN"/>
        </w:rPr>
        <w:t xml:space="preserve">格式详见第六章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法定代表人/负责人授权委托书（如有授权）；（</w:t>
      </w:r>
      <w:r>
        <w:rPr>
          <w:rFonts w:hint="eastAsia" w:ascii="宋体" w:hAnsi="宋体" w:eastAsia="宋体" w:cs="宋体"/>
          <w:bCs/>
          <w:color w:val="auto"/>
          <w:sz w:val="24"/>
          <w:szCs w:val="24"/>
          <w:highlight w:val="none"/>
          <w:lang w:val="en-US" w:eastAsia="zh-CN"/>
        </w:rPr>
        <w:t xml:space="preserve">格式详见第六章</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供应商的法定代表人/负责人、供应商代理人身份证（如有授权）；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《磋商响应函》；（</w:t>
      </w:r>
      <w:r>
        <w:rPr>
          <w:rFonts w:hint="eastAsia" w:ascii="宋体" w:hAnsi="宋体" w:eastAsia="宋体" w:cs="宋体"/>
          <w:bCs/>
          <w:color w:val="auto"/>
          <w:sz w:val="24"/>
          <w:szCs w:val="24"/>
          <w:highlight w:val="none"/>
          <w:lang w:val="en-US" w:eastAsia="zh-CN"/>
        </w:rPr>
        <w:t xml:space="preserve">格式详见第六章</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《响应保证承诺书》；（</w:t>
      </w:r>
      <w:r>
        <w:rPr>
          <w:rFonts w:hint="eastAsia" w:ascii="宋体" w:hAnsi="宋体" w:eastAsia="宋体" w:cs="宋体"/>
          <w:bCs/>
          <w:color w:val="auto"/>
          <w:sz w:val="24"/>
          <w:szCs w:val="24"/>
          <w:highlight w:val="none"/>
          <w:lang w:val="en-US" w:eastAsia="zh-CN"/>
        </w:rPr>
        <w:t xml:space="preserve">格式详见第六章</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11.5.7</w:t>
      </w:r>
      <w:r>
        <w:rPr>
          <w:rFonts w:hint="eastAsia" w:ascii="宋体" w:hAnsi="宋体" w:eastAsia="宋体" w:cs="宋体"/>
          <w:sz w:val="24"/>
          <w:szCs w:val="24"/>
          <w:highlight w:val="none"/>
        </w:rPr>
        <w:t xml:space="preserve">《服务要求偏离表》、《商务条款偏离表》；（</w:t>
      </w:r>
      <w:r>
        <w:rPr>
          <w:rFonts w:hint="eastAsia" w:ascii="宋体" w:hAnsi="宋体" w:eastAsia="宋体" w:cs="宋体"/>
          <w:sz w:val="24"/>
          <w:szCs w:val="24"/>
          <w:highlight w:val="none"/>
          <w:lang w:val="en-US" w:eastAsia="zh-CN"/>
        </w:rPr>
        <w:t xml:space="preserve">格式详见第六章</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11.5.8</w:t>
      </w:r>
      <w:r>
        <w:rPr>
          <w:rFonts w:hint="eastAsia" w:ascii="宋体" w:hAnsi="宋体" w:eastAsia="宋体" w:cs="宋体"/>
          <w:sz w:val="24"/>
          <w:szCs w:val="24"/>
          <w:highlight w:val="none"/>
        </w:rPr>
        <w:t xml:space="preserve">《人员配置一览表》；（</w:t>
      </w:r>
      <w:r>
        <w:rPr>
          <w:rFonts w:hint="eastAsia" w:ascii="宋体" w:hAnsi="宋体" w:eastAsia="宋体" w:cs="宋体"/>
          <w:sz w:val="24"/>
          <w:szCs w:val="24"/>
          <w:highlight w:val="none"/>
          <w:lang w:val="en-US" w:eastAsia="zh-CN"/>
        </w:rPr>
        <w:t xml:space="preserve">格式详见第六章</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其他有关符合性证明的文件；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综合评审响应文件</w:t>
      </w:r>
      <w:r/>
    </w:p>
    <w:p>
      <w:pPr>
        <w:ind w:firstLine="482"/>
        <w:spacing w:line="360" w:lineRule="auto"/>
        <w:tabs>
          <w:tab w:val="left" w:pos="443"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6.1</w:t>
      </w:r>
      <w:r>
        <w:rPr>
          <w:rFonts w:hint="eastAsia" w:ascii="宋体" w:hAnsi="宋体" w:eastAsia="宋体" w:cs="宋体"/>
          <w:sz w:val="24"/>
          <w:szCs w:val="24"/>
          <w:highlight w:val="none"/>
          <w:lang w:val="zh-CN"/>
        </w:rPr>
        <w:t xml:space="preserve">与本次采购相关和评分标准中要求提供的其他证明材料；</w:t>
      </w:r>
      <w:r/>
    </w:p>
    <w:p>
      <w:pPr>
        <w:ind w:firstLine="482"/>
        <w:spacing w:line="360" w:lineRule="auto"/>
        <w:tabs>
          <w:tab w:val="left" w:pos="44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投标人自己认为需要提供的资料。</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注：（1）以上</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rPr>
        <w:t xml:space="preserve">为资格审查要求提供的材料，是作为对供应商资格审查、质疑身份认定的依据，响应供应商必须提供并加盖电子公章。否则，磋商响应文件将被认定为不符合资格审查要求。</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（2）以上</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为符合性审查须提供的资料，响应供应商必须提供并加盖电子公章。否则，磋商响应文件将被认定为未实质性响应。</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rPr>
        <w:t xml:space="preserve">）制作电子响应文件时必须与</w:t>
      </w:r>
      <w:r>
        <w:rPr>
          <w:rFonts w:hint="eastAsia" w:ascii="宋体" w:hAnsi="宋体" w:eastAsia="宋体" w:cs="宋体"/>
          <w:b/>
          <w:bCs/>
          <w:color w:val="000000"/>
          <w:sz w:val="24"/>
          <w:szCs w:val="24"/>
          <w:highlight w:val="none"/>
          <w:u w:val="single"/>
          <w:lang w:eastAsia="zh-CN"/>
        </w:rPr>
        <w:t xml:space="preserve">响应文件</w:t>
      </w:r>
      <w:r>
        <w:rPr>
          <w:rFonts w:hint="eastAsia" w:ascii="宋体" w:hAnsi="宋体" w:eastAsia="宋体" w:cs="宋体"/>
          <w:b/>
          <w:bCs/>
          <w:color w:val="000000"/>
          <w:sz w:val="24"/>
          <w:szCs w:val="24"/>
          <w:highlight w:val="none"/>
          <w:u w:val="single"/>
        </w:rPr>
        <w:t xml:space="preserve">制作软件目录一一对应，将相关资料上传至相应模块。</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4</w:t>
      </w:r>
      <w:r>
        <w:rPr>
          <w:rFonts w:hint="eastAsia" w:ascii="宋体" w:hAnsi="宋体" w:eastAsia="宋体" w:cs="宋体"/>
          <w:b/>
          <w:bCs/>
          <w:color w:val="000000"/>
          <w:sz w:val="24"/>
          <w:szCs w:val="24"/>
          <w:highlight w:val="none"/>
          <w:u w:val="single"/>
          <w:lang w:val="en-US"/>
        </w:rPr>
        <w:t xml:space="preserve">）</w:t>
      </w:r>
      <w:r>
        <w:rPr>
          <w:rFonts w:hint="eastAsia" w:ascii="宋体" w:hAnsi="宋体" w:eastAsia="宋体" w:cs="宋体"/>
          <w:b/>
          <w:bCs/>
          <w:color w:val="000000"/>
          <w:sz w:val="24"/>
          <w:szCs w:val="24"/>
          <w:highlight w:val="none"/>
          <w:u w:val="singl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rPr>
        <w:t xml:space="preserve">）磋商过程中如有问题采购代理机构工作人员会及时通</w:t>
      </w:r>
      <w:r>
        <w:rPr>
          <w:rFonts w:hint="eastAsia" w:ascii="宋体" w:hAnsi="宋体" w:eastAsia="宋体" w:cs="宋体"/>
          <w:b/>
          <w:bCs/>
          <w:color w:val="000000"/>
          <w:sz w:val="24"/>
          <w:szCs w:val="24"/>
          <w:highlight w:val="none"/>
          <w:u w:val="single"/>
          <w:lang w:eastAsia="zh-CN"/>
        </w:rPr>
        <w:t xml:space="preserve">过</w:t>
      </w:r>
      <w:r>
        <w:rPr>
          <w:rFonts w:hint="eastAsia" w:ascii="宋体" w:hAnsi="宋体" w:eastAsia="宋体" w:cs="宋体"/>
          <w:b/>
          <w:bCs/>
          <w:color w:val="000000"/>
          <w:sz w:val="24"/>
          <w:szCs w:val="24"/>
          <w:highlight w:val="none"/>
          <w:u w:val="single"/>
        </w:rPr>
        <w:t xml:space="preserve">《投标供应商确认函》留存的手机号与供应商联系。请供应商确保该手机号磋商当日通讯畅通，否则导致的对供应商不利的后果由供应商自行承担。</w:t>
      </w:r>
      <w:r/>
    </w:p>
    <w:p>
      <w:pPr>
        <w:numPr>
          <w:ilvl w:val="0"/>
          <w:numId w:val="5"/>
        </w:numPr>
        <w:ind w:firstLine="482"/>
        <w:spacing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编制要求</w:t>
      </w:r>
      <w:r/>
    </w:p>
    <w:p>
      <w:pPr>
        <w:numPr>
          <w:ilvl w:val="0"/>
          <w:numId w:val="0"/>
        </w:numPr>
        <w:ind w:firstLine="480"/>
        <w:spacing w:line="360" w:lineRule="auto"/>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按统一格式、顺序编写。</w:t>
      </w:r>
      <w:r/>
    </w:p>
    <w:p>
      <w:pPr>
        <w:numPr>
          <w:ilvl w:val="0"/>
          <w:numId w:val="0"/>
        </w:numPr>
        <w:ind w:firstLine="480"/>
        <w:spacing w:line="360" w:lineRule="auto"/>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.2电子响应文件中的资料应按</w:t>
      </w:r>
      <w:r>
        <w:rPr>
          <w:rFonts w:hint="eastAsia" w:ascii="宋体" w:hAnsi="宋体" w:eastAsia="宋体" w:cs="宋体"/>
          <w:b w:val="0"/>
          <w:bCs w:val="0"/>
          <w:color w:val="000000"/>
          <w:sz w:val="24"/>
          <w:szCs w:val="24"/>
          <w:highlight w:val="none"/>
          <w:lang w:eastAsia="zh-CN"/>
        </w:rPr>
        <w:t xml:space="preserve">采购文件</w:t>
      </w:r>
      <w:r>
        <w:rPr>
          <w:rFonts w:hint="eastAsia" w:ascii="宋体" w:hAnsi="宋体" w:eastAsia="宋体" w:cs="宋体"/>
          <w:b w:val="0"/>
          <w:bCs w:val="0"/>
          <w:color w:val="000000"/>
          <w:sz w:val="24"/>
          <w:szCs w:val="24"/>
          <w:highlight w:val="none"/>
        </w:rPr>
        <w:t xml:space="preserve">的要求加盖电子印章或加盖</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公章上传；若未按上述要求签署的电子</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将被否决。</w:t>
      </w:r>
      <w:r/>
    </w:p>
    <w:p>
      <w:pPr>
        <w:numPr>
          <w:ilvl w:val="0"/>
          <w:numId w:val="5"/>
        </w:numPr>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响应文件的制作、签署、上传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本项目采用电子招投标形式，请供应商按照《苏采云系统供应商操作手册》进行制作、上传电子响应文件。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制作电子响应文件时，应按照采购文件要求加盖响应单位电子公章。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电子响应文件制作完成后请于响应文件网上提交截止时间前成功上传至“苏采云”系统，否则视为放弃参加该采购项目。</w:t>
      </w:r>
      <w:bookmarkStart w:id="5" w:name="_Toc25608"/>
      <w:r>
        <w:rPr>
          <w:rFonts w:hint="eastAsia" w:ascii="宋体" w:hAnsi="宋体" w:eastAsia="宋体" w:cs="宋体"/>
          <w:color w:val="000000"/>
          <w:sz w:val="24"/>
          <w:szCs w:val="24"/>
          <w:highlight w:val="none"/>
          <w:lang w:val="en-US" w:eastAsia="zh-CN"/>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bookmarkEnd w:id="5"/>
      <w:r/>
      <w:r/>
    </w:p>
    <w:p>
      <w:pPr>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14. 报价（编制）要求的说明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w:t>
      </w:r>
      <w:r>
        <w:rPr>
          <w:rFonts w:hint="eastAsia" w:ascii="宋体" w:hAnsi="宋体" w:eastAsia="宋体" w:cs="宋体"/>
          <w:b w:val="0"/>
          <w:bCs/>
          <w:color w:val="000000"/>
          <w:sz w:val="24"/>
          <w:szCs w:val="24"/>
          <w:highlight w:val="none"/>
          <w:lang w:val="en-US" w:eastAsia="zh-CN"/>
        </w:rPr>
        <w:t xml:space="preserve">磋商报价应包括但不限于本项目服务过程的人工、工资、材料费、通讯费、水电费、交通费、耗材费、培训、管理、保险、劳保、利润、税金、审计、代理服务费、推广、视频发布、讲座、专家费、场所及测试仪器的维修保养、在服务期间举办活动等费用、政策性文件规定及合同包含的所有风险、责任等完成本项目的各项应有费用，采购单位不再支付其他任何费用。除非因特殊原因并经甲乙双方协商同意，否则合同价格不做调整。在合同实施期间，该合同金额不因市场价格变化因素变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14.2响应报价编制要求</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14.2.1磋商响应单位应对竞争性磋商文件内所要采购的全部内容进行报价，只响应其中部分内容者，其响应文件将被拒绝。但如果采购要求分采购单元响应的，则磋商响应单位可以按竞争性磋商文件要求有选择地只投其中一个或几个采购单元，也可以投全部采购单元，但各采购单元应分别计算填写单价和总价。</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14.2.2一项响应内容只允许一个报价，采购人不接受任何有选择性的响应报价。</w:t>
      </w:r>
      <w:r/>
    </w:p>
    <w:p>
      <w:pPr>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15. 磋商保证金</w:t>
      </w:r>
      <w:r/>
    </w:p>
    <w:p>
      <w:pPr>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本项目不收取响应保证金。响应单位应在响应文件中提交《响应保证承诺书》（格式详见第六章）</w:t>
      </w:r>
      <w:r/>
    </w:p>
    <w:p>
      <w:pPr>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16. 磋商有效期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.1磋商响应文件的有效期为90日历天，在此期间内，响应文件应保持有效。有效期短于这个规定期限的，将被拒绝。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.2特殊情况下，磋商采购单位可与磋商响应单位协商延缓磋商响应磋商文件的有效期，这种要求和答复均以书面形式进行。</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17</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的递交</w:t>
      </w:r>
      <w:r/>
    </w:p>
    <w:p>
      <w:p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应当在在</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截止时间前制作并上传电子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通过“苏采云”系统不见面开标大厅在线参与开标活动。（具体操作详见《苏采云系统供应商操作手册》，网址链接https://czju.suzhou.gov.cn/zfcg/html/content/20231220161910031.shtml）</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18</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eastAsia="zh-CN"/>
        </w:rPr>
        <w:t xml:space="preserve">响应</w:t>
      </w:r>
      <w:r>
        <w:rPr>
          <w:rFonts w:hint="eastAsia" w:ascii="宋体" w:hAnsi="宋体" w:eastAsia="宋体" w:cs="宋体"/>
          <w:b/>
          <w:color w:val="000000"/>
          <w:sz w:val="24"/>
          <w:szCs w:val="24"/>
          <w:highlight w:val="none"/>
        </w:rPr>
        <w:t xml:space="preserve">截止时间</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val="zh-CN"/>
        </w:rPr>
        <w:t xml:space="preserve">.1</w:t>
      </w:r>
      <w:r>
        <w:rPr>
          <w:rFonts w:hint="eastAsia" w:ascii="宋体" w:hAnsi="宋体" w:eastAsia="宋体" w:cs="宋体"/>
          <w:bCs/>
          <w:color w:val="000000"/>
          <w:sz w:val="24"/>
          <w:szCs w:val="24"/>
          <w:highlight w:val="none"/>
          <w:lang w:val="zh-CN" w:eastAsia="zh-CN"/>
        </w:rPr>
        <w:t xml:space="preserve">响应单位</w:t>
      </w:r>
      <w:r>
        <w:rPr>
          <w:rFonts w:hint="eastAsia" w:ascii="宋体" w:hAnsi="宋体" w:eastAsia="宋体" w:cs="宋体"/>
          <w:bCs/>
          <w:color w:val="000000"/>
          <w:sz w:val="24"/>
          <w:szCs w:val="24"/>
          <w:highlight w:val="none"/>
          <w:lang w:val="zh-CN"/>
        </w:rPr>
        <w:t xml:space="preserve">应当在采购文件要求响应文件网上提交截止时间前，将响应文件完成提交（上传）。逾期提交（上传）的响应文件，采购人和采购代理机构拒绝接收。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val="zh-CN"/>
        </w:rPr>
        <w:t xml:space="preserve">.2采购人和采购代理机构推迟响应截止时间时，将按本须知规定的更正公告的方式对外发布。在这种情况下，采购人、采购代理机构和响应单位的权利和义务将受到新的截止期的约束。</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val="zh-CN"/>
        </w:rPr>
        <w:t xml:space="preserve">.3在响应截止时间止成功解密的响应文件少于三份，采购代理机构宣布本次招标失败。</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19</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eastAsia="zh-CN"/>
        </w:rPr>
        <w:t xml:space="preserve">响应</w:t>
      </w:r>
      <w:r>
        <w:rPr>
          <w:rFonts w:hint="eastAsia" w:ascii="宋体" w:hAnsi="宋体" w:eastAsia="宋体" w:cs="宋体"/>
          <w:b/>
          <w:color w:val="000000"/>
          <w:sz w:val="24"/>
          <w:szCs w:val="24"/>
          <w:highlight w:val="none"/>
        </w:rPr>
        <w:t xml:space="preserve">文件的补充、修改和撤回</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网上提交截止时间前，可以对其电子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进行补充、修改，具体操作方法见《苏采云系统供应商操作手册》。在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网上提交截止时间之后，</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不得对其电子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作任何修改。</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网上提交截止时间前，可以撤回其电子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，具体操作方法见《苏采云系统供应商操作手册》。</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撤回电子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，则认为其不再参与本项目投标活动。在</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截止时间至</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文件中规定的投标有效期满之间的这段时间内，</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不得撤回其投标。</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 磋商采购程序</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.1采购代理机构按本须知规定的时间、地点主持磋商采购活动。</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.3由磋商小组审查供应商</w:t>
      </w:r>
      <w:r>
        <w:rPr>
          <w:rFonts w:hint="eastAsia" w:ascii="宋体" w:hAnsi="宋体" w:eastAsia="宋体" w:cs="宋体"/>
          <w:color w:val="000000"/>
          <w:sz w:val="24"/>
          <w:szCs w:val="24"/>
          <w:highlight w:val="none"/>
          <w:lang w:val="en-US" w:eastAsia="zh-CN"/>
        </w:rPr>
        <w:t xml:space="preserve">解密</w:t>
      </w:r>
      <w:r>
        <w:rPr>
          <w:rFonts w:hint="eastAsia" w:ascii="宋体" w:hAnsi="宋体" w:eastAsia="宋体" w:cs="宋体"/>
          <w:color w:val="000000"/>
          <w:sz w:val="24"/>
          <w:szCs w:val="24"/>
          <w:highlight w:val="none"/>
        </w:rPr>
        <w:t xml:space="preserve">的响应文件。</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.5磋商小组要求供应商澄清、说明或者更正响应文件应当供应商点击答疑澄清按钮，进入询标回复界面</w:t>
      </w:r>
      <w:r>
        <w:rPr>
          <w:rFonts w:hint="eastAsia" w:ascii="宋体" w:hAnsi="宋体" w:eastAsia="宋体" w:cs="宋体"/>
          <w:color w:val="000000"/>
          <w:sz w:val="24"/>
          <w:szCs w:val="24"/>
          <w:highlight w:val="none"/>
          <w:lang w:eastAsia="zh-CN"/>
        </w:rPr>
        <w:t xml:space="preserve">，供应商点击【响应】按钮，进行询问响应，填写询问响应内容后，进行询问响应函签章，内容校验后进行提交</w:t>
      </w:r>
      <w:r>
        <w:rPr>
          <w:rFonts w:hint="eastAsia" w:ascii="宋体" w:hAnsi="宋体" w:eastAsia="宋体" w:cs="宋体"/>
          <w:color w:val="000000"/>
          <w:sz w:val="24"/>
          <w:szCs w:val="24"/>
          <w:highlight w:val="none"/>
        </w:rPr>
        <w:t xml:space="preserve">。供应商的澄清、说明或者更正应当由其单位加盖电子公章。</w:t>
      </w:r>
      <w:r/>
    </w:p>
    <w:p>
      <w:pPr>
        <w:ind w:firstLine="48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.6对于通过资格审查和符合性审查的供应商，磋商小组所有成员集中与单一供应商分别进行磋商，并给予所有参加磋商的供应商平等的磋商机会。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000000"/>
          <w:sz w:val="24"/>
          <w:szCs w:val="24"/>
          <w:highlight w:val="none"/>
        </w:rPr>
        <w:t xml:space="preserve">磋商小组通过“苏采云”系统向供应商发布“磋商函”，供应商应当按照要求在“苏采云”系统提交“磋商响应函”并加盖CA电子公章。</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.8供应商应当按照采购文件的变动情况和磋商小组的要求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各供应商应及时关注【评审】环节等待询标澄清进行回复</w:t>
      </w:r>
      <w:r>
        <w:rPr>
          <w:rFonts w:hint="eastAsia" w:ascii="宋体" w:hAnsi="宋体" w:eastAsia="宋体" w:cs="宋体"/>
          <w:color w:val="000000"/>
          <w:sz w:val="24"/>
          <w:szCs w:val="24"/>
          <w:highlight w:val="none"/>
        </w:rPr>
        <w:t xml:space="preserve">。</w:t>
      </w:r>
      <w:r/>
    </w:p>
    <w:p>
      <w:pPr>
        <w:ind w:firstLine="48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.9</w:t>
      </w:r>
      <w:r>
        <w:rPr>
          <w:rFonts w:hint="eastAsia" w:ascii="宋体" w:hAnsi="宋体" w:eastAsia="宋体" w:cs="宋体"/>
          <w:b/>
          <w:bCs/>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20.10</w:t>
      </w:r>
      <w:r>
        <w:rPr>
          <w:rFonts w:hint="eastAsia" w:ascii="宋体" w:hAnsi="宋体" w:eastAsia="宋体" w:cs="宋体"/>
          <w:b/>
          <w:bCs/>
          <w:color w:val="000000"/>
          <w:sz w:val="24"/>
          <w:szCs w:val="24"/>
          <w:highlight w:val="none"/>
          <w:lang w:val="en-US" w:eastAsia="zh-CN"/>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已提交响应文件的供应商，在提交最后报价之前，可以根据磋商情况退出磋商，并在“苏采云”系统中提交“退出磋商函”并加盖CA电子公章。</w:t>
      </w:r>
      <w:r/>
    </w:p>
    <w:p>
      <w:pPr>
        <w:ind w:firstLine="482"/>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*进入项目评审流程后，建议各供应商法定代表人或授权委托人始终保持通讯顺畅，时刻关注不见面开标大厅，不离开不见面开标大厅界面。</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21</w:t>
      </w:r>
      <w:r>
        <w:rPr>
          <w:rFonts w:hint="eastAsia" w:ascii="宋体" w:hAnsi="宋体" w:eastAsia="宋体" w:cs="宋体"/>
          <w:b/>
          <w:color w:val="000000"/>
          <w:sz w:val="24"/>
          <w:szCs w:val="24"/>
          <w:highlight w:val="none"/>
        </w:rPr>
        <w:t xml:space="preserve">. 磋商小组</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.1磋商小组由采购人代表和评审专家共3人以上单数组成，其中评审专家人数不得少于磋商小组成员总数的2/3。采购人代表不得以评审专家身份参加本部门或本单位采购项目的评审。</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.2磋商小组负责具体的磋商事务，并独立履行以下职责：</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.2.1确认或者制定磋商文件； </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.2.2从符合相应资格条件的磋商响应单位名单中确定磋商响应单位参加磋商；</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.2.3审查磋商响应单位的响应文件并作出评价；</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.2.4要求磋商响应单位解释或者澄清其响应文件；</w:t>
      </w:r>
      <w:r/>
    </w:p>
    <w:p>
      <w:pPr>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.2.5编写评审报告；</w:t>
      </w:r>
      <w:r/>
    </w:p>
    <w:p>
      <w:pPr>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.2.6告知采购人、采购代理机构在评审过程中发现的磋商响应单位的违法违规行为。</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3磋商小组成员应当履行下列义务：</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.3.1遵纪守法，客观、公正、廉洁地履行职责；</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.3.2按照磋商文件规定的评审办法独立进行评审，对个人的评审意见承担法律责任；</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.3.3参与评审报告的起草；</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.3.4配合采购人、采购代理机构答复磋商响应单位提出的质疑；</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21</w:t>
      </w:r>
      <w:r>
        <w:rPr>
          <w:rFonts w:hint="eastAsia" w:ascii="宋体" w:hAnsi="宋体" w:eastAsia="宋体" w:cs="宋体"/>
          <w:color w:val="000000"/>
          <w:szCs w:val="24"/>
          <w:highlight w:val="none"/>
        </w:rPr>
        <w:t xml:space="preserve">.3.5配合财政部门的投诉处理和监督检查工作。</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22</w:t>
      </w:r>
      <w:r>
        <w:rPr>
          <w:rFonts w:hint="eastAsia" w:ascii="宋体" w:hAnsi="宋体" w:eastAsia="宋体" w:cs="宋体"/>
          <w:b/>
          <w:color w:val="000000"/>
          <w:sz w:val="24"/>
          <w:szCs w:val="24"/>
          <w:highlight w:val="none"/>
        </w:rPr>
        <w:t xml:space="preserve">. 磋商内容的保密</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22</w:t>
      </w:r>
      <w:r>
        <w:rPr>
          <w:rFonts w:hint="eastAsia" w:ascii="宋体" w:hAnsi="宋体" w:eastAsia="宋体" w:cs="宋体"/>
          <w:color w:val="000000"/>
          <w:szCs w:val="24"/>
          <w:highlight w:val="none"/>
        </w:rPr>
        <w:t xml:space="preserve">.1磋商开始后，直到宣布授予成交磋商响应单位合同为止，凡属于审查、澄清、评价和比较响应文件的所有资料，有关授予合同的信息都不应向磋商响应单位或与评审无关的其他人泄露。</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22</w:t>
      </w:r>
      <w:r>
        <w:rPr>
          <w:rFonts w:hint="eastAsia" w:ascii="宋体" w:hAnsi="宋体" w:eastAsia="宋体" w:cs="宋体"/>
          <w:color w:val="000000"/>
          <w:szCs w:val="24"/>
          <w:highlight w:val="none"/>
        </w:rPr>
        <w:t xml:space="preserve">.2在响应文件的审查、澄清、评价和比较以及授予合同的过程中，磋商响应单位对磋商采购单位和磋商小组施加影响的任何行为，都将取消其成交资格。</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22</w:t>
      </w:r>
      <w:r>
        <w:rPr>
          <w:rFonts w:hint="eastAsia" w:ascii="宋体" w:hAnsi="宋体" w:eastAsia="宋体" w:cs="宋体"/>
          <w:color w:val="000000"/>
          <w:szCs w:val="24"/>
          <w:highlight w:val="none"/>
        </w:rPr>
        <w:t xml:space="preserve">.3在评审期间，磋商采购单位将通过指定联络人与磋商响应单位进行联系。</w:t>
      </w:r>
      <w:r/>
    </w:p>
    <w:p>
      <w:pPr>
        <w:ind w:firstLine="482"/>
        <w:jc w:val="left"/>
        <w:spacing w:line="360" w:lineRule="auto"/>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23.异常低价处理</w:t>
      </w:r>
      <w:r/>
    </w:p>
    <w:p>
      <w:pPr>
        <w:ind w:firstLine="482"/>
        <w:jc w:val="left"/>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23.1</w:t>
      </w:r>
      <w:r>
        <w:rPr>
          <w:rFonts w:hint="eastAsia" w:ascii="宋体" w:hAnsi="宋体" w:eastAsia="宋体" w:cs="宋体"/>
          <w:b/>
          <w:bCs w:val="0"/>
          <w:sz w:val="24"/>
          <w:szCs w:val="24"/>
          <w:highlight w:val="none"/>
        </w:rPr>
        <w:t xml:space="preserve">评审过程中出现下列情形之一的，评审委员会应当启动异常低价投标（响应）审查程序：</w:t>
      </w:r>
      <w:r/>
    </w:p>
    <w:p>
      <w:pPr>
        <w:ind w:firstLine="482"/>
        <w:jc w:val="left"/>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23.1.1</w:t>
      </w:r>
      <w:r>
        <w:rPr>
          <w:rFonts w:hint="eastAsia" w:ascii="宋体" w:hAnsi="宋体" w:eastAsia="宋体" w:cs="宋体"/>
          <w:b/>
          <w:bCs w:val="0"/>
          <w:sz w:val="24"/>
          <w:szCs w:val="24"/>
          <w:highlight w:val="none"/>
        </w:rPr>
        <w:t xml:space="preserve">响应报价低于采购项目预算50%的，即响应报价&lt;采购项目预算×50%；</w:t>
      </w:r>
      <w:r/>
    </w:p>
    <w:p>
      <w:pPr>
        <w:ind w:firstLine="482"/>
        <w:jc w:val="left"/>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23.1.2</w:t>
      </w:r>
      <w:r>
        <w:rPr>
          <w:rFonts w:hint="eastAsia" w:ascii="宋体" w:hAnsi="宋体" w:eastAsia="宋体" w:cs="宋体"/>
          <w:b/>
          <w:bCs w:val="0"/>
          <w:sz w:val="24"/>
          <w:szCs w:val="24"/>
          <w:highlight w:val="none"/>
        </w:rPr>
        <w:t xml:space="preserve">响应报价低于采购项目最高限价45%的，即响应报价&lt;采购项目最高限价×45%；</w:t>
      </w:r>
      <w:r/>
    </w:p>
    <w:p>
      <w:pPr>
        <w:ind w:firstLine="482"/>
        <w:jc w:val="left"/>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23.1.3</w:t>
      </w:r>
      <w:r>
        <w:rPr>
          <w:rFonts w:hint="eastAsia" w:ascii="宋体" w:hAnsi="宋体" w:eastAsia="宋体" w:cs="宋体"/>
          <w:b/>
          <w:bCs w:val="0"/>
          <w:sz w:val="24"/>
          <w:szCs w:val="24"/>
          <w:highlight w:val="none"/>
        </w:rPr>
        <w:t xml:space="preserve">评审委员会认定的供应商报价过低、有可能影响产品质量或者不能诚信履约的其他情形。</w:t>
      </w:r>
      <w:r/>
    </w:p>
    <w:p>
      <w:pPr>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val="en-US" w:eastAsia="zh-CN"/>
        </w:rPr>
        <w:t xml:space="preserve">23.2</w:t>
      </w:r>
      <w:r>
        <w:rPr>
          <w:rFonts w:hint="eastAsia" w:ascii="宋体" w:hAnsi="宋体" w:eastAsia="宋体" w:cs="宋体"/>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 响应）处理。审查相关情况 应当在评审报告中进行记录。</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．项目的终止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w:t>
      </w:r>
      <w:r>
        <w:rPr>
          <w:rFonts w:hint="eastAsia" w:ascii="宋体" w:hAnsi="宋体" w:eastAsia="宋体" w:cs="宋体"/>
          <w:color w:val="000000"/>
          <w:sz w:val="24"/>
          <w:szCs w:val="24"/>
          <w:highlight w:val="none"/>
        </w:rPr>
        <w:t xml:space="preserve">因情况变化，不再符合规定的竞争性磋商采购方式适用情形的；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w:t>
      </w:r>
      <w:r>
        <w:rPr>
          <w:rFonts w:hint="eastAsia" w:ascii="宋体" w:hAnsi="宋体" w:eastAsia="宋体" w:cs="宋体"/>
          <w:color w:val="000000"/>
          <w:sz w:val="24"/>
          <w:szCs w:val="24"/>
          <w:highlight w:val="none"/>
        </w:rPr>
        <w:t xml:space="preserve">出现影响采购公正的违法、违规行为的；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24.3</w:t>
      </w:r>
      <w:r>
        <w:rPr>
          <w:rFonts w:hint="eastAsia" w:ascii="宋体" w:hAnsi="宋体" w:eastAsia="宋体" w:cs="宋体"/>
          <w:color w:val="000000"/>
          <w:sz w:val="24"/>
          <w:szCs w:val="24"/>
          <w:highlight w:val="none"/>
        </w:rPr>
        <w:t xml:space="preserve">在采购活动中因重大变故，采购任务取消的。</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 综合说明及其它要求：</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25.1</w:t>
      </w:r>
      <w:r>
        <w:rPr>
          <w:rFonts w:hint="eastAsia" w:ascii="宋体" w:hAnsi="宋体" w:eastAsia="宋体" w:cs="宋体"/>
          <w:color w:val="000000"/>
          <w:sz w:val="24"/>
          <w:szCs w:val="24"/>
          <w:highlight w:val="none"/>
        </w:rPr>
        <w:t xml:space="preserve">磋商供应商需明确详细的服务方案。</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25.2</w:t>
      </w:r>
      <w:r>
        <w:rPr>
          <w:rFonts w:hint="eastAsia" w:ascii="宋体" w:hAnsi="宋体" w:eastAsia="宋体" w:cs="宋体"/>
          <w:color w:val="000000"/>
          <w:sz w:val="24"/>
          <w:szCs w:val="24"/>
          <w:highlight w:val="none"/>
        </w:rPr>
        <w:t xml:space="preserve">磋商供应商必须承诺文件中提出的全部要求，如果其中某些条款不响应时，应在文件中逐条列出，未列出的视同响应。</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25.3</w:t>
      </w:r>
      <w:r>
        <w:rPr>
          <w:rFonts w:hint="eastAsia" w:ascii="宋体" w:hAnsi="宋体" w:eastAsia="宋体" w:cs="宋体"/>
          <w:color w:val="000000"/>
          <w:sz w:val="24"/>
          <w:szCs w:val="24"/>
          <w:highlight w:val="none"/>
        </w:rPr>
        <w:t xml:space="preserve">磋商说明：</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（1）不符合供应商资格要求的响应文件将被认定为无效响应；</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（2）最终报价超过采购预算或最高限价的不能成交；</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（3）不实质性响应采购文件的不能成交。</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25.4</w:t>
      </w:r>
      <w:r>
        <w:rPr>
          <w:rFonts w:hint="eastAsia" w:ascii="宋体" w:hAnsi="宋体" w:eastAsia="宋体" w:cs="宋体"/>
          <w:color w:val="000000"/>
          <w:sz w:val="24"/>
          <w:szCs w:val="24"/>
          <w:highlight w:val="none"/>
        </w:rPr>
        <w:t xml:space="preserve">凡涉及采购文件的补充说明和修改，均以苏州市政府采购网</w:t>
      </w:r>
      <w:r>
        <w:rPr>
          <w:rFonts w:hint="eastAsia" w:ascii="宋体" w:hAnsi="宋体" w:eastAsia="宋体" w:cs="宋体"/>
          <w:color w:val="000000"/>
          <w:sz w:val="24"/>
          <w:szCs w:val="24"/>
          <w:highlight w:val="none"/>
          <w:lang w:eastAsia="zh-CN"/>
        </w:rPr>
        <w:t xml:space="preserve">、江苏政府采购网、中国政府采购网</w:t>
      </w:r>
      <w:r>
        <w:rPr>
          <w:rFonts w:hint="eastAsia" w:ascii="宋体" w:hAnsi="宋体" w:eastAsia="宋体" w:cs="宋体"/>
          <w:color w:val="000000"/>
          <w:sz w:val="24"/>
          <w:szCs w:val="24"/>
          <w:highlight w:val="none"/>
        </w:rPr>
        <w:t xml:space="preserve">最后发布的内容为准。</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 成交通知书</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26.1</w:t>
      </w:r>
      <w:r>
        <w:rPr>
          <w:rFonts w:hint="eastAsia" w:ascii="宋体" w:hAnsi="宋体" w:eastAsia="宋体" w:cs="宋体"/>
          <w:color w:val="000000"/>
          <w:szCs w:val="24"/>
          <w:highlight w:val="none"/>
        </w:rPr>
        <w:t xml:space="preserve">确定出成交单位后，采购代理机构在法定时间内向成交单位发出成交通知书。</w:t>
      </w:r>
      <w:r>
        <w:rPr>
          <w:rFonts w:hint="eastAsia" w:ascii="宋体" w:hAnsi="宋体" w:eastAsia="宋体" w:cs="宋体"/>
          <w:b/>
          <w:bCs/>
          <w:color w:val="000000"/>
          <w:szCs w:val="24"/>
          <w:highlight w:val="none"/>
        </w:rPr>
        <w:t xml:space="preserve">请成交单位在成交结果公告届满之日起30日内,使用CA证书登录“苏采云”系统及时下载成交通知书。</w:t>
      </w:r>
      <w:r>
        <w:rPr>
          <w:rFonts w:hint="eastAsia" w:ascii="宋体" w:hAnsi="宋体" w:eastAsia="宋体" w:cs="宋体"/>
          <w:color w:val="000000"/>
          <w:szCs w:val="24"/>
          <w:highlight w:val="none"/>
        </w:rPr>
        <w:t xml:space="preserve">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Cs w:val="24"/>
          <w:highlight w:val="none"/>
          <w:lang w:eastAsia="zh-CN"/>
        </w:rPr>
        <w:t xml:space="preserve">。</w:t>
      </w:r>
      <w:r/>
    </w:p>
    <w:p>
      <w:pPr>
        <w:pStyle w:val="1153"/>
        <w:ind w:firstLine="480"/>
        <w:jc w:val="both"/>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color w:val="000000"/>
          <w:szCs w:val="24"/>
          <w:highlight w:val="none"/>
          <w:lang w:val="en-US" w:eastAsia="zh-CN"/>
        </w:rPr>
        <w:t xml:space="preserve">26.2</w:t>
      </w:r>
      <w:r>
        <w:rPr>
          <w:rFonts w:hint="eastAsia" w:ascii="宋体" w:hAnsi="宋体" w:eastAsia="宋体" w:cs="宋体"/>
          <w:color w:val="000000"/>
          <w:szCs w:val="24"/>
          <w:highlight w:val="none"/>
        </w:rPr>
        <w:t xml:space="preserve">成交通知书将成为合同的组成部分</w:t>
      </w:r>
      <w:r>
        <w:rPr>
          <w:rFonts w:hint="eastAsia" w:ascii="宋体" w:hAnsi="宋体" w:eastAsia="宋体" w:cs="宋体"/>
          <w:color w:val="000000"/>
          <w:szCs w:val="24"/>
          <w:highlight w:val="none"/>
          <w:lang w:eastAsia="zh-CN"/>
        </w:rPr>
        <w:t xml:space="preserve">，对采购人和成交单位具有同等法律效力</w:t>
      </w:r>
      <w:r>
        <w:rPr>
          <w:rFonts w:hint="eastAsia" w:ascii="宋体" w:hAnsi="宋体" w:eastAsia="宋体" w:cs="宋体"/>
          <w:b w:val="0"/>
          <w:bCs/>
          <w:color w:val="000000"/>
          <w:sz w:val="24"/>
          <w:szCs w:val="24"/>
          <w:highlight w:val="none"/>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 合同的签订</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27</w:t>
      </w:r>
      <w:r>
        <w:rPr>
          <w:rFonts w:hint="eastAsia" w:ascii="宋体" w:hAnsi="宋体" w:eastAsia="宋体" w:cs="宋体"/>
          <w:color w:val="000000"/>
          <w:szCs w:val="24"/>
          <w:highlight w:val="none"/>
        </w:rPr>
        <w:t xml:space="preserve">.1 按照《关于做好政府采购支持企业发展有关事项的通知》（苏财购〔2020〕52号）及《关于印发&lt;苏州市政府采购促进中小企业发展实施意见&gt;的通知》（苏财购〔2022〕16号）文件精神，采购人与</w:t>
      </w:r>
      <w:r>
        <w:rPr>
          <w:rFonts w:hint="eastAsia" w:ascii="宋体" w:hAnsi="宋体" w:eastAsia="宋体" w:cs="宋体"/>
          <w:color w:val="000000"/>
          <w:szCs w:val="24"/>
          <w:highlight w:val="none"/>
          <w:lang w:eastAsia="zh-CN"/>
        </w:rPr>
        <w:t xml:space="preserve">成交单位</w:t>
      </w:r>
      <w:r>
        <w:rPr>
          <w:rFonts w:hint="eastAsia" w:ascii="宋体" w:hAnsi="宋体" w:eastAsia="宋体" w:cs="宋体"/>
          <w:color w:val="000000"/>
          <w:szCs w:val="24"/>
          <w:highlight w:val="none"/>
        </w:rPr>
        <w:t xml:space="preserve">原则上应当在中标通知书发出之日起十五日内，按照</w:t>
      </w:r>
      <w:r>
        <w:rPr>
          <w:rFonts w:hint="eastAsia" w:ascii="宋体" w:hAnsi="宋体" w:eastAsia="宋体" w:cs="宋体"/>
          <w:color w:val="000000"/>
          <w:szCs w:val="24"/>
          <w:highlight w:val="none"/>
          <w:lang w:eastAsia="zh-CN"/>
        </w:rPr>
        <w:t xml:space="preserve">采购单位</w:t>
      </w:r>
      <w:r>
        <w:rPr>
          <w:rFonts w:hint="eastAsia" w:ascii="宋体" w:hAnsi="宋体" w:eastAsia="宋体" w:cs="宋体"/>
          <w:color w:val="000000"/>
          <w:szCs w:val="24"/>
          <w:highlight w:val="none"/>
        </w:rPr>
        <w:t xml:space="preserve">及</w:t>
      </w:r>
      <w:r>
        <w:rPr>
          <w:rFonts w:hint="eastAsia" w:ascii="宋体" w:hAnsi="宋体" w:eastAsia="宋体" w:cs="宋体"/>
          <w:color w:val="000000"/>
          <w:szCs w:val="24"/>
          <w:highlight w:val="none"/>
          <w:lang w:eastAsia="zh-CN"/>
        </w:rPr>
        <w:t xml:space="preserve">响应文件</w:t>
      </w:r>
      <w:r>
        <w:rPr>
          <w:rFonts w:hint="eastAsia" w:ascii="宋体" w:hAnsi="宋体" w:eastAsia="宋体" w:cs="宋体"/>
          <w:color w:val="000000"/>
          <w:szCs w:val="24"/>
          <w:highlight w:val="none"/>
        </w:rPr>
        <w:t xml:space="preserve">确定的事项签订政府采购合同。</w:t>
      </w:r>
      <w:r/>
    </w:p>
    <w:p>
      <w:pPr>
        <w:pStyle w:val="1153"/>
        <w:ind w:firstLine="480"/>
        <w:jc w:val="both"/>
        <w:spacing w:line="360" w:lineRule="auto"/>
        <w:rPr>
          <w:rFonts w:hint="eastAsia" w:ascii="宋体" w:hAnsi="宋体" w:eastAsia="宋体" w:cs="宋体"/>
          <w:color w:val="000000"/>
          <w:szCs w:val="24"/>
          <w:highlight w:val="none"/>
          <w:lang w:val="en-US"/>
        </w:rPr>
      </w:pPr>
      <w:r>
        <w:rPr>
          <w:rFonts w:hint="eastAsia" w:ascii="宋体" w:hAnsi="宋体" w:eastAsia="宋体" w:cs="宋体"/>
          <w:color w:val="000000"/>
          <w:szCs w:val="24"/>
          <w:highlight w:val="none"/>
          <w:lang w:val="en-US" w:eastAsia="zh-CN"/>
        </w:rPr>
        <w:t xml:space="preserve">27</w:t>
      </w:r>
      <w:r>
        <w:rPr>
          <w:rFonts w:hint="eastAsia" w:ascii="宋体" w:hAnsi="宋体" w:eastAsia="宋体" w:cs="宋体"/>
          <w:color w:val="000000"/>
          <w:szCs w:val="24"/>
          <w:highlight w:val="none"/>
        </w:rPr>
        <w:t xml:space="preserve">.2 </w:t>
      </w:r>
      <w:r>
        <w:rPr>
          <w:rFonts w:hint="eastAsia" w:ascii="宋体" w:hAnsi="宋体" w:eastAsia="宋体" w:cs="宋体"/>
          <w:color w:val="000000"/>
          <w:szCs w:val="24"/>
          <w:highlight w:val="none"/>
          <w:lang w:val="en-US"/>
        </w:rPr>
        <w:t xml:space="preserve">采购人与</w:t>
      </w:r>
      <w:r>
        <w:rPr>
          <w:rFonts w:hint="eastAsia" w:ascii="宋体" w:hAnsi="宋体" w:eastAsia="宋体" w:cs="宋体"/>
          <w:color w:val="000000"/>
          <w:szCs w:val="24"/>
          <w:highlight w:val="none"/>
          <w:lang w:val="en-US" w:eastAsia="zh-CN"/>
        </w:rPr>
        <w:t xml:space="preserve">成交单位</w:t>
      </w:r>
      <w:r>
        <w:rPr>
          <w:rFonts w:hint="eastAsia" w:ascii="宋体" w:hAnsi="宋体" w:eastAsia="宋体" w:cs="宋体"/>
          <w:color w:val="000000"/>
          <w:szCs w:val="24"/>
          <w:highlight w:val="none"/>
          <w:lang w:val="en-US"/>
        </w:rPr>
        <w:t xml:space="preserve">所签订的合同不得对</w:t>
      </w:r>
      <w:r>
        <w:rPr>
          <w:rFonts w:hint="eastAsia" w:ascii="宋体" w:hAnsi="宋体" w:eastAsia="宋体" w:cs="宋体"/>
          <w:color w:val="000000"/>
          <w:szCs w:val="24"/>
          <w:highlight w:val="none"/>
          <w:lang w:val="en-US" w:eastAsia="zh-CN"/>
        </w:rPr>
        <w:t xml:space="preserve">采购单位</w:t>
      </w:r>
      <w:r>
        <w:rPr>
          <w:rFonts w:hint="eastAsia" w:ascii="宋体" w:hAnsi="宋体" w:eastAsia="宋体" w:cs="宋体"/>
          <w:color w:val="000000"/>
          <w:szCs w:val="24"/>
          <w:highlight w:val="none"/>
          <w:lang w:val="en-US"/>
        </w:rPr>
        <w:t xml:space="preserve">确定的事项和</w:t>
      </w:r>
      <w:r>
        <w:rPr>
          <w:rFonts w:hint="eastAsia" w:ascii="宋体" w:hAnsi="宋体" w:eastAsia="宋体" w:cs="宋体"/>
          <w:color w:val="000000"/>
          <w:szCs w:val="24"/>
          <w:highlight w:val="none"/>
          <w:lang w:val="en-US" w:eastAsia="zh-CN"/>
        </w:rPr>
        <w:t xml:space="preserve">成交单位响应文件</w:t>
      </w:r>
      <w:r>
        <w:rPr>
          <w:rFonts w:hint="eastAsia" w:ascii="宋体" w:hAnsi="宋体" w:eastAsia="宋体" w:cs="宋体"/>
          <w:color w:val="000000"/>
          <w:szCs w:val="24"/>
          <w:highlight w:val="none"/>
          <w:lang w:val="en-US"/>
        </w:rPr>
        <w:t xml:space="preserve">作实质性修改，采购人不得向</w:t>
      </w:r>
      <w:r>
        <w:rPr>
          <w:rFonts w:hint="eastAsia" w:ascii="宋体" w:hAnsi="宋体" w:eastAsia="宋体" w:cs="宋体"/>
          <w:color w:val="000000"/>
          <w:szCs w:val="24"/>
          <w:highlight w:val="none"/>
          <w:lang w:val="en-US" w:eastAsia="zh-CN"/>
        </w:rPr>
        <w:t xml:space="preserve">成交单位</w:t>
      </w:r>
      <w:r>
        <w:rPr>
          <w:rFonts w:hint="eastAsia" w:ascii="宋体" w:hAnsi="宋体" w:eastAsia="宋体" w:cs="宋体"/>
          <w:color w:val="000000"/>
          <w:szCs w:val="24"/>
          <w:highlight w:val="none"/>
          <w:lang w:val="en-US"/>
        </w:rPr>
        <w:t xml:space="preserve">提出任何不合理的要求作为签订合同的条件。</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27</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27</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政府采购合同履行中，采购人需追加与合同标的相同货物、工程或者服务的，在不改变合同其他条款的前提下，可以与</w:t>
      </w:r>
      <w:r>
        <w:rPr>
          <w:rFonts w:hint="eastAsia" w:ascii="宋体" w:hAnsi="宋体" w:eastAsia="宋体" w:cs="宋体"/>
          <w:color w:val="000000"/>
          <w:szCs w:val="24"/>
          <w:highlight w:val="none"/>
          <w:lang w:eastAsia="zh-CN"/>
        </w:rPr>
        <w:t xml:space="preserve">成交单位</w:t>
      </w:r>
      <w:r>
        <w:rPr>
          <w:rFonts w:hint="eastAsia" w:ascii="宋体" w:hAnsi="宋体" w:eastAsia="宋体" w:cs="宋体"/>
          <w:color w:val="000000"/>
          <w:szCs w:val="24"/>
          <w:highlight w:val="none"/>
        </w:rPr>
        <w:t xml:space="preserve">协商签订补充合同，但所有补充合同的采购金额不得超过原合同采购金额的10%。</w:t>
      </w:r>
      <w:r/>
    </w:p>
    <w:p>
      <w:pPr>
        <w:pStyle w:val="1153"/>
        <w:ind w:firstLine="482"/>
        <w:jc w:val="both"/>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lang w:val="en-US" w:eastAsia="zh-CN"/>
        </w:rPr>
        <w:t xml:space="preserve">28</w:t>
      </w:r>
      <w:r>
        <w:rPr>
          <w:rFonts w:hint="eastAsia" w:ascii="宋体" w:hAnsi="宋体" w:eastAsia="宋体" w:cs="宋体"/>
          <w:b/>
          <w:color w:val="000000"/>
          <w:szCs w:val="24"/>
          <w:highlight w:val="none"/>
        </w:rPr>
        <w:t xml:space="preserve">. 代理服务费</w:t>
      </w:r>
      <w:r/>
    </w:p>
    <w:p>
      <w:pPr>
        <w:pStyle w:val="1153"/>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28</w:t>
      </w:r>
      <w:r>
        <w:rPr>
          <w:rFonts w:hint="eastAsia" w:ascii="宋体" w:hAnsi="宋体" w:eastAsia="宋体" w:cs="宋体"/>
          <w:color w:val="000000"/>
          <w:szCs w:val="24"/>
          <w:highlight w:val="none"/>
        </w:rPr>
        <w:t xml:space="preserve">.1成交磋商响应单位须按前附表的规定支付服务费，该费用应在领取</w:t>
      </w:r>
      <w:r>
        <w:rPr>
          <w:rFonts w:hint="eastAsia" w:ascii="宋体" w:hAnsi="宋体" w:eastAsia="宋体" w:cs="宋体"/>
          <w:color w:val="000000"/>
          <w:szCs w:val="24"/>
          <w:highlight w:val="none"/>
          <w:lang w:eastAsia="zh-CN"/>
        </w:rPr>
        <w:t xml:space="preserve">政府采购合同前</w:t>
      </w:r>
      <w:r>
        <w:rPr>
          <w:rFonts w:hint="eastAsia" w:ascii="宋体" w:hAnsi="宋体" w:eastAsia="宋体" w:cs="宋体"/>
          <w:color w:val="000000"/>
          <w:szCs w:val="24"/>
          <w:highlight w:val="none"/>
        </w:rPr>
        <w:t xml:space="preserve">由成交单位向采购代理机构一次性支付服务费。</w:t>
      </w:r>
      <w:r/>
    </w:p>
    <w:p>
      <w:pPr>
        <w:ind w:firstLine="482"/>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24"/>
          <w:szCs w:val="24"/>
          <w:highlight w:val="none"/>
          <w:lang w:val="en-US" w:eastAsia="zh-CN"/>
        </w:rPr>
        <w:t xml:space="preserve">29</w:t>
      </w:r>
      <w:r>
        <w:rPr>
          <w:rFonts w:hint="eastAsia" w:ascii="宋体" w:hAnsi="宋体" w:eastAsia="宋体" w:cs="宋体"/>
          <w:b/>
          <w:color w:val="000000"/>
          <w:sz w:val="24"/>
          <w:szCs w:val="24"/>
          <w:highlight w:val="none"/>
        </w:rPr>
        <w:t xml:space="preserve">. 未尽事宜：</w:t>
      </w:r>
      <w:r>
        <w:rPr>
          <w:rFonts w:hint="eastAsia" w:ascii="宋体" w:hAnsi="宋体" w:eastAsia="宋体" w:cs="宋体"/>
          <w:color w:val="000000"/>
          <w:sz w:val="24"/>
          <w:szCs w:val="24"/>
          <w:highlight w:val="none"/>
        </w:rPr>
        <w:t xml:space="preserve">按《中华人民共和国政府采购法》及其他有关的法律法规的规定执行。</w:t>
      </w: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44"/>
          <w:szCs w:val="44"/>
          <w:highlight w:val="none"/>
        </w:rPr>
        <w:t xml:space="preserve">第三章 </w:t>
      </w:r>
      <w:bookmarkStart w:id="6" w:name="_Toc13642115"/>
      <w:r/>
      <w:bookmarkStart w:id="7" w:name="_Toc409435039"/>
      <w:r>
        <w:rPr>
          <w:rFonts w:hint="eastAsia" w:ascii="宋体" w:hAnsi="宋体" w:eastAsia="宋体" w:cs="宋体"/>
          <w:b/>
          <w:color w:val="000000"/>
          <w:sz w:val="44"/>
          <w:szCs w:val="44"/>
          <w:highlight w:val="none"/>
        </w:rPr>
        <w:t xml:space="preserve"> </w:t>
      </w:r>
      <w:bookmarkEnd w:id="6"/>
      <w:r/>
      <w:bookmarkEnd w:id="7"/>
      <w:r>
        <w:rPr>
          <w:rFonts w:hint="eastAsia" w:ascii="宋体" w:hAnsi="宋体" w:eastAsia="宋体" w:cs="宋体"/>
          <w:b/>
          <w:color w:val="000000"/>
          <w:sz w:val="44"/>
          <w:szCs w:val="44"/>
          <w:highlight w:val="none"/>
        </w:rPr>
        <w:t xml:space="preserve">竞争性磋商文件内容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b/>
          <w:bCs/>
          <w:color w:val="000000"/>
          <w:sz w:val="24"/>
          <w:szCs w:val="24"/>
          <w:highlight w:val="none"/>
          <w:u w:val="single"/>
          <w:lang w:eastAsia="zh-CN"/>
        </w:rPr>
        <w:t xml:space="preserve">苏州市体育监管保障中心</w:t>
      </w:r>
      <w:r>
        <w:rPr>
          <w:rFonts w:hint="eastAsia" w:ascii="宋体" w:hAnsi="宋体" w:eastAsia="宋体" w:cs="宋体"/>
          <w:color w:val="000000"/>
          <w:sz w:val="24"/>
          <w:szCs w:val="24"/>
          <w:highlight w:val="none"/>
        </w:rPr>
        <w:t xml:space="preserve">的委托，苏州伟亚工程项目管理咨询有限公司就其所需的</w:t>
      </w:r>
      <w:r>
        <w:rPr>
          <w:rFonts w:hint="eastAsia" w:ascii="宋体" w:hAnsi="宋体" w:eastAsia="宋体" w:cs="宋体"/>
          <w:b/>
          <w:bCs/>
          <w:color w:val="000000"/>
          <w:sz w:val="24"/>
          <w:szCs w:val="24"/>
          <w:highlight w:val="none"/>
          <w:u w:val="single"/>
          <w:lang w:eastAsia="zh-CN"/>
        </w:rPr>
        <w:t xml:space="preserve">苏州市体育监管保障中心健身指导站对外服务</w:t>
      </w:r>
      <w:r>
        <w:rPr>
          <w:rFonts w:hint="eastAsia" w:ascii="宋体" w:hAnsi="宋体" w:eastAsia="宋体" w:cs="宋体"/>
          <w:color w:val="000000"/>
          <w:sz w:val="24"/>
          <w:szCs w:val="24"/>
          <w:highlight w:val="none"/>
        </w:rPr>
        <w:t xml:space="preserve">在国内组织竞争性磋商，欢迎符合磋商文件采购要求的磋商响应单位前来参加本次竞争性磋商的政府采购活动。</w:t>
      </w:r>
      <w:bookmarkStart w:id="8" w:name="_Toc13642116"/>
      <w:r/>
      <w:r/>
    </w:p>
    <w:p>
      <w:pPr>
        <w:ind w:firstLine="241"/>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一、项目编号</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JSZC-320500-WYDL-C2025-0037</w:t>
      </w:r>
      <w:r/>
    </w:p>
    <w:p>
      <w:pPr>
        <w:ind w:firstLine="241"/>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二、项目名称：</w:t>
      </w:r>
      <w:r>
        <w:rPr>
          <w:rFonts w:hint="eastAsia" w:ascii="宋体" w:hAnsi="宋体" w:eastAsia="宋体" w:cs="宋体"/>
          <w:color w:val="000000"/>
          <w:sz w:val="24"/>
          <w:szCs w:val="24"/>
          <w:highlight w:val="none"/>
          <w:lang w:eastAsia="zh-CN"/>
        </w:rPr>
        <w:t xml:space="preserve">苏州市体育监管保障中心健身指导站对外服务</w:t>
      </w:r>
      <w:r/>
    </w:p>
    <w:p>
      <w:pPr>
        <w:ind w:firstLine="241"/>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000000"/>
          <w:sz w:val="24"/>
          <w:szCs w:val="24"/>
          <w:highlight w:val="none"/>
          <w:lang w:val="en-US"/>
        </w:rPr>
        <w:t xml:space="preserve">三、预算金额：</w:t>
      </w:r>
      <w:bookmarkStart w:id="9" w:name="_Toc409435040"/>
      <w:r>
        <w:rPr>
          <w:rFonts w:hint="eastAsia" w:ascii="宋体" w:hAnsi="宋体" w:eastAsia="宋体" w:cs="宋体"/>
          <w:b w:val="0"/>
          <w:bCs/>
          <w:color w:val="auto"/>
          <w:sz w:val="24"/>
          <w:szCs w:val="24"/>
          <w:highlight w:val="none"/>
          <w:lang w:val="en-US" w:eastAsia="zh-CN"/>
        </w:rPr>
        <w:t xml:space="preserve">人民币陆拾万元整（￥600000.00）</w:t>
      </w:r>
      <w:r/>
    </w:p>
    <w:p>
      <w:pPr>
        <w:numPr>
          <w:ilvl w:val="0"/>
          <w:numId w:val="0"/>
        </w:num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四、采购需求：</w:t>
      </w:r>
      <w:r/>
    </w:p>
    <w:p>
      <w:pPr>
        <w:ind w:firstLine="482"/>
        <w:jc w:val="both"/>
        <w:spacing w:line="360" w:lineRule="auto"/>
        <w:widowControl w:val="off"/>
        <w:rPr>
          <w:rFonts w:hint="default" w:ascii="宋体" w:hAnsi="宋体" w:eastAsia="宋体" w:cs="宋体"/>
          <w:b/>
          <w:bCs/>
          <w:sz w:val="24"/>
          <w:szCs w:val="20"/>
          <w:highlight w:val="none"/>
          <w:lang w:val="en-US" w:eastAsia="zh-CN" w:bidi="ar-SA"/>
        </w:rPr>
      </w:pPr>
      <w:r>
        <w:rPr>
          <w:rFonts w:hint="eastAsia" w:ascii="宋体" w:hAnsi="宋体" w:eastAsia="宋体" w:cs="宋体"/>
          <w:b/>
          <w:bCs/>
          <w:sz w:val="24"/>
          <w:szCs w:val="20"/>
          <w:highlight w:val="none"/>
          <w:lang w:val="en-US" w:eastAsia="zh-CN" w:bidi="ar-SA"/>
        </w:rPr>
        <w:t xml:space="preserve">1、项目概况</w:t>
      </w:r>
      <w:r/>
    </w:p>
    <w:p>
      <w:pPr>
        <w:ind w:firstLine="480"/>
        <w:jc w:val="both"/>
        <w:spacing w:line="360" w:lineRule="auto"/>
        <w:widowControl w:val="off"/>
        <w:rPr>
          <w:rFonts w:ascii="宋体" w:hAnsi="宋体" w:eastAsia="宋体" w:cs="Times New Roman"/>
          <w:bCs/>
          <w:sz w:val="24"/>
          <w:szCs w:val="20"/>
          <w:highlight w:val="none"/>
          <w:lang w:val="zh-CN" w:eastAsia="zh-CN" w:bidi="ar-SA"/>
        </w:rPr>
      </w:pPr>
      <w:r>
        <w:rPr>
          <w:rFonts w:hint="eastAsia" w:ascii="宋体" w:hAnsi="宋体" w:eastAsia="宋体" w:cs="宋体"/>
          <w:sz w:val="24"/>
          <w:szCs w:val="20"/>
          <w:highlight w:val="none"/>
          <w:lang w:val="zh-CN" w:eastAsia="zh-CN" w:bidi="ar-SA"/>
        </w:rPr>
        <w:t xml:space="preserve">为了加强对群众健身的科学指导，不断提高公共体育服务能力，我市在环古城河步道建立了体质测定与运动健身指导站。为强化该项业务的统筹管理，使科学指导切实服务群众，拟采取购买服务形式由具备健身指导专家资源、固定工作人员、专业技术和管理人才的单位，</w:t>
      </w:r>
      <w:r>
        <w:rPr>
          <w:rFonts w:hint="eastAsia" w:ascii="宋体" w:hAnsi="宋体" w:eastAsia="宋体" w:cs="Times New Roman"/>
          <w:sz w:val="24"/>
          <w:szCs w:val="20"/>
          <w:highlight w:val="none"/>
          <w:lang w:val="zh-CN" w:eastAsia="zh-CN" w:bidi="ar-SA"/>
        </w:rPr>
        <w:t xml:space="preserve">对市民进行体质健康测试（包括各项形态、机能、素质和健康风险评估等），均为无创测试；根据测试结果为测试者提供科学健身指导、体能康复指导服务；为广大市民提供全方位、综合性、一站式的服务</w:t>
      </w:r>
      <w:r>
        <w:rPr>
          <w:rFonts w:hint="eastAsia" w:ascii="宋体" w:hAnsi="宋体" w:eastAsia="宋体" w:cs="Times New Roman"/>
          <w:bCs/>
          <w:sz w:val="24"/>
          <w:szCs w:val="20"/>
          <w:highlight w:val="none"/>
          <w:lang w:val="zh-CN" w:eastAsia="zh-CN" w:bidi="ar-SA"/>
        </w:rPr>
        <w:t xml:space="preserve">。</w:t>
      </w:r>
      <w:r/>
    </w:p>
    <w:p>
      <w:pPr>
        <w:ind w:firstLine="480"/>
        <w:keepLines w:val="0"/>
        <w:keepNext w:val="0"/>
        <w:pageBreakBefore w:val="0"/>
        <w:spacing w:line="360" w:lineRule="auto"/>
        <w:widowControl w:val="off"/>
        <w:tabs>
          <w:tab w:val="left" w:pos="1267" w:leader="none"/>
        </w:tabs>
        <w:rPr>
          <w:rFonts w:ascii="宋体" w:hAnsi="宋体" w:eastAsia="宋体" w:cs="Times New Roman"/>
          <w:b/>
          <w:bCs w:val="0"/>
          <w:color w:val="000000"/>
          <w:sz w:val="24"/>
          <w:szCs w:val="20"/>
          <w:highlight w:val="none"/>
          <w:lang w:val="zh-CN"/>
        </w:rPr>
      </w:pPr>
      <w:r>
        <w:rPr>
          <w:rFonts w:hint="eastAsia" w:ascii="宋体" w:hAnsi="宋体" w:eastAsia="宋体" w:cs="Times New Roman"/>
          <w:b/>
          <w:bCs w:val="0"/>
          <w:color w:val="000000"/>
          <w:sz w:val="24"/>
          <w:szCs w:val="20"/>
          <w:highlight w:val="none"/>
        </w:rPr>
        <w:t xml:space="preserve">2、</w:t>
      </w:r>
      <w:r>
        <w:rPr>
          <w:rFonts w:hint="eastAsia" w:ascii="宋体" w:hAnsi="宋体" w:eastAsia="宋体" w:cs="Times New Roman"/>
          <w:b/>
          <w:bCs w:val="0"/>
          <w:color w:val="000000"/>
          <w:sz w:val="24"/>
          <w:szCs w:val="20"/>
          <w:highlight w:val="none"/>
          <w:lang w:val="zh-CN"/>
        </w:rPr>
        <w:t xml:space="preserve">服务内容及要求：</w:t>
      </w:r>
      <w:r/>
    </w:p>
    <w:p>
      <w:pPr>
        <w:ind w:firstLine="480"/>
        <w:keepLines w:val="0"/>
        <w:keepNext w:val="0"/>
        <w:pageBreakBefore w:val="0"/>
        <w:spacing w:line="360" w:lineRule="auto"/>
        <w:widowControl w:val="off"/>
        <w:tabs>
          <w:tab w:val="left" w:pos="1267" w:leader="none"/>
        </w:tabs>
        <w:rPr>
          <w:rFonts w:hint="eastAsia" w:ascii="宋体" w:hAnsi="宋体" w:eastAsia="宋体" w:cs="Times New Roman"/>
          <w:bCs/>
          <w:color w:val="000000"/>
          <w:sz w:val="24"/>
          <w:szCs w:val="20"/>
          <w:highlight w:val="none"/>
          <w:lang w:val="zh-CN"/>
        </w:rPr>
      </w:pPr>
      <w:r>
        <w:rPr>
          <w:rFonts w:hint="eastAsia" w:ascii="宋体" w:hAnsi="宋体" w:eastAsia="宋体" w:cs="Times New Roman"/>
          <w:bCs/>
          <w:color w:val="000000"/>
          <w:sz w:val="24"/>
          <w:szCs w:val="20"/>
          <w:highlight w:val="none"/>
          <w:lang w:val="zh-CN"/>
        </w:rPr>
        <w:t xml:space="preserve">2.</w:t>
      </w:r>
      <w:r>
        <w:rPr>
          <w:rFonts w:hint="eastAsia" w:ascii="宋体" w:hAnsi="宋体" w:eastAsia="宋体" w:cs="Times New Roman"/>
          <w:bCs/>
          <w:color w:val="000000"/>
          <w:sz w:val="24"/>
          <w:szCs w:val="20"/>
          <w:highlight w:val="none"/>
          <w:lang w:val="en-US" w:eastAsia="zh-CN"/>
        </w:rPr>
        <w:t xml:space="preserve">1</w:t>
      </w:r>
      <w:r>
        <w:rPr>
          <w:rFonts w:hint="eastAsia" w:ascii="宋体" w:hAnsi="宋体" w:eastAsia="宋体" w:cs="Times New Roman"/>
          <w:bCs/>
          <w:color w:val="000000"/>
          <w:sz w:val="24"/>
          <w:szCs w:val="20"/>
          <w:highlight w:val="none"/>
          <w:lang w:val="zh-CN"/>
        </w:rPr>
        <w:t xml:space="preserve">服务内容：对市民进行体质健康测试，包括各项形态、机能、素质和健康风险评估等，均为无创测试。根据测试结果为测试者</w:t>
      </w:r>
      <w:r>
        <w:rPr>
          <w:rFonts w:hint="eastAsia" w:ascii="宋体" w:hAnsi="宋体" w:eastAsia="宋体" w:cs="Times New Roman"/>
          <w:bCs/>
          <w:color w:val="000000"/>
          <w:sz w:val="24"/>
          <w:szCs w:val="20"/>
          <w:highlight w:val="none"/>
          <w:lang w:val="zh-CN" w:eastAsia="zh-CN"/>
        </w:rPr>
        <w:t xml:space="preserve">提供科学健身指导、体能康复指导服务</w:t>
      </w:r>
      <w:r>
        <w:rPr>
          <w:rFonts w:hint="eastAsia" w:ascii="宋体" w:hAnsi="宋体" w:eastAsia="宋体" w:cs="Times New Roman"/>
          <w:bCs/>
          <w:color w:val="000000"/>
          <w:sz w:val="24"/>
          <w:szCs w:val="20"/>
          <w:highlight w:val="none"/>
          <w:lang w:val="zh-CN"/>
        </w:rPr>
        <w:t xml:space="preserve">。</w:t>
      </w:r>
      <w:r/>
    </w:p>
    <w:p>
      <w:pPr>
        <w:ind w:firstLine="480"/>
        <w:keepLines w:val="0"/>
        <w:keepNext w:val="0"/>
        <w:pageBreakBefore w:val="0"/>
        <w:spacing w:line="360" w:lineRule="auto"/>
        <w:widowControl w:val="off"/>
        <w:tabs>
          <w:tab w:val="left" w:pos="1267" w:leader="none"/>
        </w:tabs>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2.2指导站开放时间：</w:t>
      </w:r>
      <w:r/>
    </w:p>
    <w:p>
      <w:pPr>
        <w:ind w:firstLine="480"/>
        <w:keepLines w:val="0"/>
        <w:keepNext w:val="0"/>
        <w:pageBreakBefore w:val="0"/>
        <w:spacing w:line="360" w:lineRule="auto"/>
        <w:widowControl w:val="off"/>
        <w:tabs>
          <w:tab w:val="left" w:pos="1267" w:leader="none"/>
        </w:tabs>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环古城河运动健身</w:t>
      </w:r>
      <w:r>
        <w:rPr>
          <w:rFonts w:ascii="宋体" w:hAnsi="宋体" w:eastAsia="宋体" w:cs="Times New Roman"/>
          <w:bCs/>
          <w:color w:val="000000"/>
          <w:sz w:val="24"/>
          <w:szCs w:val="20"/>
          <w:highlight w:val="none"/>
          <w:lang w:val="zh-CN"/>
        </w:rPr>
        <w:t xml:space="preserve">指导站具体开放时间为：</w:t>
      </w:r>
      <w:r>
        <w:rPr>
          <w:rFonts w:hint="eastAsia" w:ascii="宋体" w:hAnsi="宋体" w:eastAsia="宋体" w:cs="Times New Roman"/>
          <w:bCs/>
          <w:color w:val="000000"/>
          <w:sz w:val="24"/>
          <w:szCs w:val="20"/>
          <w:highlight w:val="none"/>
          <w:lang w:val="en-US" w:eastAsia="zh-CN"/>
        </w:rPr>
        <w:t xml:space="preserve">14</w:t>
      </w:r>
      <w:r>
        <w:rPr>
          <w:rFonts w:ascii="宋体" w:hAnsi="宋体" w:eastAsia="宋体" w:cs="Times New Roman"/>
          <w:bCs/>
          <w:color w:val="000000"/>
          <w:sz w:val="24"/>
          <w:szCs w:val="20"/>
          <w:highlight w:val="none"/>
          <w:lang w:val="zh-CN"/>
        </w:rPr>
        <w:t xml:space="preserve">:</w:t>
      </w:r>
      <w:r>
        <w:rPr>
          <w:rFonts w:hint="eastAsia" w:ascii="宋体" w:hAnsi="宋体" w:eastAsia="宋体" w:cs="Times New Roman"/>
          <w:bCs/>
          <w:color w:val="000000"/>
          <w:sz w:val="24"/>
          <w:szCs w:val="20"/>
          <w:highlight w:val="none"/>
          <w:lang w:val="en-US" w:eastAsia="zh-CN"/>
        </w:rPr>
        <w:t xml:space="preserve">30</w:t>
      </w:r>
      <w:r>
        <w:rPr>
          <w:rFonts w:ascii="宋体" w:hAnsi="宋体" w:eastAsia="宋体" w:cs="Times New Roman"/>
          <w:bCs/>
          <w:color w:val="000000"/>
          <w:sz w:val="24"/>
          <w:szCs w:val="20"/>
          <w:highlight w:val="none"/>
          <w:lang w:val="zh-CN"/>
        </w:rPr>
        <w:t xml:space="preserve">--20:30（5月-10月），</w:t>
      </w:r>
      <w:r>
        <w:rPr>
          <w:rFonts w:hint="eastAsia" w:ascii="宋体" w:hAnsi="宋体" w:eastAsia="宋体" w:cs="Times New Roman"/>
          <w:bCs/>
          <w:color w:val="000000"/>
          <w:sz w:val="24"/>
          <w:szCs w:val="20"/>
          <w:highlight w:val="none"/>
          <w:lang w:val="zh-CN" w:eastAsia="zh-CN"/>
        </w:rPr>
        <w:t xml:space="preserve">1</w:t>
      </w:r>
      <w:r>
        <w:rPr>
          <w:rFonts w:hint="eastAsia" w:ascii="宋体" w:hAnsi="宋体" w:eastAsia="宋体" w:cs="Times New Roman"/>
          <w:bCs/>
          <w:color w:val="000000"/>
          <w:sz w:val="24"/>
          <w:szCs w:val="20"/>
          <w:highlight w:val="none"/>
          <w:lang w:val="en-US" w:eastAsia="zh-CN"/>
        </w:rPr>
        <w:t xml:space="preserve">3</w:t>
      </w:r>
      <w:r>
        <w:rPr>
          <w:rFonts w:hint="eastAsia" w:ascii="宋体" w:hAnsi="宋体" w:eastAsia="宋体" w:cs="Times New Roman"/>
          <w:bCs/>
          <w:color w:val="000000"/>
          <w:sz w:val="24"/>
          <w:szCs w:val="20"/>
          <w:highlight w:val="none"/>
          <w:lang w:val="zh-CN" w:eastAsia="zh-CN"/>
        </w:rPr>
        <w:t xml:space="preserve">:</w:t>
      </w:r>
      <w:r>
        <w:rPr>
          <w:rFonts w:hint="eastAsia" w:ascii="宋体" w:hAnsi="宋体" w:eastAsia="宋体" w:cs="Times New Roman"/>
          <w:bCs/>
          <w:color w:val="000000"/>
          <w:sz w:val="24"/>
          <w:szCs w:val="20"/>
          <w:highlight w:val="none"/>
          <w:lang w:val="en-US" w:eastAsia="zh-CN"/>
        </w:rPr>
        <w:t xml:space="preserve">30</w:t>
      </w:r>
      <w:r>
        <w:rPr>
          <w:rFonts w:hint="eastAsia" w:ascii="宋体" w:hAnsi="宋体" w:eastAsia="宋体" w:cs="Times New Roman"/>
          <w:bCs/>
          <w:color w:val="000000"/>
          <w:sz w:val="24"/>
          <w:szCs w:val="20"/>
          <w:highlight w:val="none"/>
          <w:lang w:val="zh-CN" w:eastAsia="zh-CN"/>
        </w:rPr>
        <w:t xml:space="preserve">--19:30（11月-4月), 每周对外开放六天（周二休息），法定节假日（调休不算）休息；</w:t>
      </w:r>
      <w:r>
        <w:rPr>
          <w:rFonts w:hint="eastAsia" w:ascii="宋体" w:hAnsi="宋体" w:eastAsia="宋体" w:cs="Times New Roman"/>
          <w:bCs/>
          <w:color w:val="000000"/>
          <w:sz w:val="24"/>
          <w:szCs w:val="20"/>
          <w:highlight w:val="none"/>
          <w:lang w:val="en-US" w:eastAsia="zh-CN"/>
        </w:rPr>
        <w:t xml:space="preserve">五卅路运动健身指导站开放时间为每周一至周五（9:00--17:00），法定节假日</w:t>
      </w:r>
      <w:r>
        <w:rPr>
          <w:rFonts w:hint="eastAsia" w:ascii="宋体" w:hAnsi="宋体" w:eastAsia="宋体" w:cs="Times New Roman"/>
          <w:bCs/>
          <w:color w:val="000000"/>
          <w:sz w:val="24"/>
          <w:szCs w:val="20"/>
          <w:highlight w:val="none"/>
          <w:lang w:val="en-US" w:eastAsia="zh-CN"/>
        </w:rPr>
        <w:t xml:space="preserve">（调休不算）</w:t>
      </w:r>
      <w:r>
        <w:rPr>
          <w:rFonts w:hint="eastAsia" w:ascii="宋体" w:hAnsi="宋体" w:eastAsia="宋体" w:cs="Times New Roman"/>
          <w:bCs/>
          <w:color w:val="000000"/>
          <w:sz w:val="24"/>
          <w:szCs w:val="20"/>
          <w:highlight w:val="none"/>
          <w:lang w:val="en-US" w:eastAsia="zh-CN"/>
        </w:rPr>
        <w:t xml:space="preserve">休息；外出健身指导岗根据中心外出测试安排统一调配，总工时按五卅路运动健身指导站计算（如遇节假日加班可在总服务时长内调休）。</w:t>
      </w:r>
      <w:r/>
    </w:p>
    <w:p>
      <w:pPr>
        <w:ind w:firstLine="480"/>
        <w:jc w:val="both"/>
        <w:keepLines w:val="0"/>
        <w:keepNext w:val="0"/>
        <w:pageBreakBefore w:val="0"/>
        <w:spacing w:line="360" w:lineRule="auto"/>
        <w:widowControl w:val="off"/>
        <w:tabs>
          <w:tab w:val="left" w:pos="1267" w:leader="none"/>
        </w:tabs>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2.3各岗位工作时间：</w:t>
      </w:r>
      <w:r/>
    </w:p>
    <w:tbl>
      <w:tblPr>
        <w:tblStyle w:val="9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3345"/>
        <w:gridCol w:w="2168"/>
        <w:gridCol w:w="1200"/>
        <w:gridCol w:w="1672"/>
      </w:tblGrid>
      <w:tr>
        <w:trPr>
          <w:jc w:val="center"/>
          <w:trHeight w:val="591"/>
        </w:trPr>
        <w:tc>
          <w:tcPr>
            <w:tcW w:w="795" w:type="dxa"/>
            <w:vAlign w:val="center"/>
            <w:textDirection w:val="lrTb"/>
            <w:noWrap w:val="false"/>
          </w:tcPr>
          <w:p>
            <w:pPr>
              <w:pStyle w:val="956"/>
              <w:ind w:left="0" w:firstLine="0"/>
              <w:jc w:val="center"/>
              <w:spacing w:after="0" w:line="240" w:lineRule="auto"/>
              <w:rPr>
                <w:rFonts w:hint="eastAsia" w:ascii="宋体" w:hAnsi="宋体" w:eastAsia="宋体" w:cs="宋体"/>
                <w:b/>
                <w:bCs/>
                <w:highlight w:val="none"/>
                <w:vertAlign w:val="baseline"/>
                <w:lang w:val="en-US" w:eastAsia="zh-CN"/>
              </w:rPr>
            </w:pPr>
            <w:r>
              <w:rPr>
                <w:rFonts w:hint="eastAsia" w:ascii="宋体" w:hAnsi="宋体" w:eastAsia="宋体" w:cs="宋体"/>
                <w:b/>
                <w:bCs/>
                <w:highlight w:val="none"/>
                <w:vertAlign w:val="baseline"/>
                <w:lang w:val="en-US" w:eastAsia="zh-CN"/>
              </w:rPr>
              <w:t xml:space="preserve">序号</w:t>
            </w:r>
            <w:r/>
          </w:p>
        </w:tc>
        <w:tc>
          <w:tcPr>
            <w:tcW w:w="3345" w:type="dxa"/>
            <w:vAlign w:val="center"/>
            <w:textDirection w:val="lrTb"/>
            <w:noWrap w:val="false"/>
          </w:tcPr>
          <w:p>
            <w:pPr>
              <w:pStyle w:val="956"/>
              <w:ind w:left="0" w:firstLine="0"/>
              <w:jc w:val="center"/>
              <w:spacing w:after="0" w:line="240" w:lineRule="auto"/>
              <w:rPr>
                <w:rFonts w:hint="eastAsia" w:ascii="宋体" w:hAnsi="宋体" w:eastAsia="宋体" w:cs="宋体"/>
                <w:b/>
                <w:bCs/>
                <w:highlight w:val="none"/>
                <w:vertAlign w:val="baseline"/>
                <w:lang w:val="en-US" w:eastAsia="zh-CN"/>
              </w:rPr>
            </w:pPr>
            <w:r>
              <w:rPr>
                <w:rFonts w:hint="eastAsia" w:ascii="宋体" w:hAnsi="宋体" w:eastAsia="宋体" w:cs="宋体"/>
                <w:b/>
                <w:bCs/>
                <w:highlight w:val="none"/>
                <w:vertAlign w:val="baseline"/>
                <w:lang w:val="en-US" w:eastAsia="zh-CN"/>
              </w:rPr>
              <w:t xml:space="preserve">岗位</w:t>
            </w:r>
            <w:r/>
          </w:p>
        </w:tc>
        <w:tc>
          <w:tcPr>
            <w:tcW w:w="2168" w:type="dxa"/>
            <w:vAlign w:val="center"/>
            <w:textDirection w:val="lrTb"/>
            <w:noWrap w:val="false"/>
          </w:tcPr>
          <w:p>
            <w:pPr>
              <w:pStyle w:val="956"/>
              <w:ind w:left="0" w:firstLine="0"/>
              <w:jc w:val="center"/>
              <w:spacing w:after="0" w:line="240" w:lineRule="auto"/>
              <w:rPr>
                <w:rFonts w:hint="eastAsia" w:ascii="宋体" w:hAnsi="宋体" w:eastAsia="宋体" w:cs="宋体"/>
                <w:b/>
                <w:bCs/>
                <w:highlight w:val="none"/>
                <w:vertAlign w:val="baseline"/>
                <w:lang w:val="en-US" w:eastAsia="zh-CN"/>
              </w:rPr>
            </w:pPr>
            <w:r>
              <w:rPr>
                <w:rFonts w:hint="eastAsia" w:ascii="宋体" w:hAnsi="宋体" w:eastAsia="宋体" w:cs="宋体"/>
                <w:b/>
                <w:bCs/>
                <w:highlight w:val="none"/>
                <w:vertAlign w:val="baseline"/>
                <w:lang w:val="en-US" w:eastAsia="zh-CN"/>
              </w:rPr>
              <w:t xml:space="preserve">工时</w:t>
            </w:r>
            <w:r/>
          </w:p>
        </w:tc>
        <w:tc>
          <w:tcPr>
            <w:tcW w:w="1200" w:type="dxa"/>
            <w:vAlign w:val="center"/>
            <w:textDirection w:val="lrTb"/>
            <w:noWrap w:val="false"/>
          </w:tcPr>
          <w:p>
            <w:pPr>
              <w:pStyle w:val="956"/>
              <w:ind w:left="0" w:firstLine="0"/>
              <w:jc w:val="center"/>
              <w:spacing w:after="0" w:line="240" w:lineRule="auto"/>
              <w:rPr>
                <w:rFonts w:hint="eastAsia" w:ascii="宋体" w:hAnsi="宋体" w:eastAsia="宋体" w:cs="宋体"/>
                <w:b/>
                <w:bCs/>
                <w:highlight w:val="none"/>
                <w:vertAlign w:val="baseline"/>
                <w:lang w:val="en-US" w:eastAsia="zh-CN"/>
              </w:rPr>
            </w:pPr>
            <w:r>
              <w:rPr>
                <w:rFonts w:hint="eastAsia" w:ascii="宋体" w:hAnsi="宋体" w:eastAsia="宋体" w:cs="宋体"/>
                <w:b/>
                <w:bCs/>
                <w:highlight w:val="none"/>
                <w:vertAlign w:val="baseline"/>
                <w:lang w:val="en-US" w:eastAsia="zh-CN"/>
              </w:rPr>
              <w:t xml:space="preserve">工作天数</w:t>
            </w:r>
            <w:r/>
          </w:p>
        </w:tc>
        <w:tc>
          <w:tcPr>
            <w:tcW w:w="1672" w:type="dxa"/>
            <w:vAlign w:val="center"/>
            <w:textDirection w:val="lrTb"/>
            <w:noWrap w:val="false"/>
          </w:tcPr>
          <w:p>
            <w:pPr>
              <w:pStyle w:val="956"/>
              <w:ind w:left="0" w:firstLine="0"/>
              <w:jc w:val="center"/>
              <w:spacing w:after="0" w:line="240" w:lineRule="auto"/>
              <w:rPr>
                <w:rFonts w:hint="eastAsia" w:ascii="宋体" w:hAnsi="宋体" w:eastAsia="宋体" w:cs="宋体"/>
                <w:b/>
                <w:bCs/>
                <w:highlight w:val="none"/>
                <w:vertAlign w:val="baseline"/>
                <w:lang w:val="en-US" w:eastAsia="zh-CN"/>
              </w:rPr>
            </w:pPr>
            <w:r>
              <w:rPr>
                <w:rFonts w:hint="eastAsia" w:ascii="宋体" w:hAnsi="宋体" w:eastAsia="宋体" w:cs="宋体"/>
                <w:b/>
                <w:bCs/>
                <w:highlight w:val="none"/>
                <w:vertAlign w:val="baseline"/>
                <w:lang w:val="en-US" w:eastAsia="zh-CN"/>
              </w:rPr>
              <w:t xml:space="preserve">人员数量</w:t>
            </w:r>
            <w:r/>
          </w:p>
        </w:tc>
      </w:tr>
      <w:tr>
        <w:trPr>
          <w:jc w:val="center"/>
          <w:trHeight w:val="407"/>
        </w:trPr>
        <w:tc>
          <w:tcPr>
            <w:tcW w:w="795" w:type="dxa"/>
            <w:vAlign w:val="top"/>
            <w:textDirection w:val="lrTb"/>
            <w:noWrap w:val="false"/>
          </w:tcPr>
          <w:p>
            <w:pPr>
              <w:pStyle w:val="956"/>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p>
        </w:tc>
        <w:tc>
          <w:tcPr>
            <w:tcW w:w="3345" w:type="dxa"/>
            <w:vAlign w:val="top"/>
            <w:textDirection w:val="lrTb"/>
            <w:noWrap w:val="false"/>
          </w:tcPr>
          <w:p>
            <w:pPr>
              <w:pStyle w:val="956"/>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环古城河科学健身指导岗</w:t>
            </w:r>
            <w:r/>
          </w:p>
        </w:tc>
        <w:tc>
          <w:tcPr>
            <w:tcW w:w="2168" w:type="dxa"/>
            <w:vAlign w:val="top"/>
            <w:textDirection w:val="lrTb"/>
            <w:noWrap w:val="false"/>
          </w:tcPr>
          <w:p>
            <w:pPr>
              <w:pStyle w:val="956"/>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6小时/人/天</w:t>
            </w:r>
            <w:r/>
          </w:p>
        </w:tc>
        <w:tc>
          <w:tcPr>
            <w:tcW w:w="1200" w:type="dxa"/>
            <w:vAlign w:val="top"/>
            <w:textDirection w:val="lrTb"/>
            <w:noWrap w:val="false"/>
          </w:tcPr>
          <w:p>
            <w:pPr>
              <w:pStyle w:val="956"/>
              <w:ind w:left="0" w:firstLine="0"/>
              <w:jc w:val="center"/>
              <w:spacing w:after="0" w:line="240" w:lineRule="auto"/>
              <w:rPr>
                <w:rFonts w:hint="default"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300天</w:t>
            </w:r>
            <w:r/>
          </w:p>
        </w:tc>
        <w:tc>
          <w:tcPr>
            <w:tcW w:w="1672" w:type="dxa"/>
            <w:vAlign w:val="top"/>
            <w:textDirection w:val="lrTb"/>
            <w:noWrap w:val="false"/>
          </w:tcPr>
          <w:p>
            <w:pPr>
              <w:pStyle w:val="956"/>
              <w:ind w:left="0" w:firstLine="0"/>
              <w:jc w:val="center"/>
              <w:spacing w:after="0" w:line="240" w:lineRule="auto"/>
              <w:rPr>
                <w:rFonts w:hint="default"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3人</w:t>
            </w:r>
            <w:r/>
          </w:p>
        </w:tc>
      </w:tr>
      <w:tr>
        <w:trPr>
          <w:jc w:val="center"/>
          <w:trHeight w:val="397"/>
        </w:trPr>
        <w:tc>
          <w:tcPr>
            <w:tcW w:w="795" w:type="dxa"/>
            <w:vAlign w:val="top"/>
            <w:textDirection w:val="lrTb"/>
            <w:noWrap w:val="false"/>
          </w:tcPr>
          <w:p>
            <w:pPr>
              <w:pStyle w:val="956"/>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2</w:t>
            </w:r>
            <w:r/>
          </w:p>
        </w:tc>
        <w:tc>
          <w:tcPr>
            <w:tcW w:w="3345" w:type="dxa"/>
            <w:vAlign w:val="top"/>
            <w:textDirection w:val="lrTb"/>
            <w:noWrap w:val="false"/>
          </w:tcPr>
          <w:p>
            <w:pPr>
              <w:pStyle w:val="956"/>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五卅路科学健身指导岗</w:t>
            </w:r>
            <w:r/>
          </w:p>
        </w:tc>
        <w:tc>
          <w:tcPr>
            <w:tcW w:w="2168" w:type="dxa"/>
            <w:vAlign w:val="top"/>
            <w:textDirection w:val="lrTb"/>
            <w:noWrap w:val="false"/>
          </w:tcPr>
          <w:p>
            <w:pPr>
              <w:pStyle w:val="956"/>
              <w:ind w:left="0" w:firstLine="0"/>
              <w:jc w:val="center"/>
              <w:spacing w:after="0" w:line="240" w:lineRule="auto"/>
              <w:rPr>
                <w:rFonts w:hint="default"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8小时/人/天</w:t>
            </w:r>
            <w:r/>
          </w:p>
        </w:tc>
        <w:tc>
          <w:tcPr>
            <w:tcW w:w="1200" w:type="dxa"/>
            <w:vAlign w:val="top"/>
            <w:textDirection w:val="lrTb"/>
            <w:noWrap w:val="false"/>
          </w:tcPr>
          <w:p>
            <w:pPr>
              <w:pStyle w:val="956"/>
              <w:ind w:left="0" w:firstLine="0"/>
              <w:jc w:val="center"/>
              <w:spacing w:after="0" w:line="240" w:lineRule="auto"/>
              <w:rPr>
                <w:rFonts w:hint="default"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252天</w:t>
            </w:r>
            <w:r/>
          </w:p>
        </w:tc>
        <w:tc>
          <w:tcPr>
            <w:tcW w:w="1672" w:type="dxa"/>
            <w:vAlign w:val="top"/>
            <w:textDirection w:val="lrTb"/>
            <w:noWrap w:val="false"/>
          </w:tcPr>
          <w:p>
            <w:pPr>
              <w:pStyle w:val="956"/>
              <w:ind w:left="0" w:firstLine="0"/>
              <w:jc w:val="center"/>
              <w:spacing w:after="0" w:line="240" w:lineRule="auto"/>
              <w:rPr>
                <w:rFonts w:hint="default"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2人</w:t>
            </w:r>
            <w:r/>
          </w:p>
        </w:tc>
      </w:tr>
      <w:tr>
        <w:trPr>
          <w:jc w:val="center"/>
          <w:trHeight w:val="397"/>
        </w:trPr>
        <w:tc>
          <w:tcPr>
            <w:tcW w:w="795" w:type="dxa"/>
            <w:vAlign w:val="top"/>
            <w:textDirection w:val="lrTb"/>
            <w:noWrap w:val="false"/>
          </w:tcPr>
          <w:p>
            <w:pPr>
              <w:pStyle w:val="956"/>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3</w:t>
            </w:r>
            <w:r/>
          </w:p>
        </w:tc>
        <w:tc>
          <w:tcPr>
            <w:tcW w:w="3345" w:type="dxa"/>
            <w:vAlign w:val="top"/>
            <w:textDirection w:val="lrTb"/>
            <w:noWrap w:val="false"/>
          </w:tcPr>
          <w:p>
            <w:pPr>
              <w:pStyle w:val="956"/>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外出测试服务科学健身指导岗</w:t>
            </w:r>
            <w:r/>
          </w:p>
        </w:tc>
        <w:tc>
          <w:tcPr>
            <w:tcW w:w="2168" w:type="dxa"/>
            <w:vAlign w:val="top"/>
            <w:textDirection w:val="lrTb"/>
            <w:noWrap w:val="false"/>
          </w:tcPr>
          <w:p>
            <w:pPr>
              <w:pStyle w:val="956"/>
              <w:ind w:left="0" w:firstLine="0"/>
              <w:jc w:val="center"/>
              <w:spacing w:after="0" w:line="240" w:lineRule="auto"/>
              <w:rPr>
                <w:rFonts w:hint="default"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8小时/人/天</w:t>
            </w:r>
            <w:r/>
          </w:p>
        </w:tc>
        <w:tc>
          <w:tcPr>
            <w:tcW w:w="1200" w:type="dxa"/>
            <w:vAlign w:val="top"/>
            <w:textDirection w:val="lrTb"/>
            <w:noWrap w:val="false"/>
          </w:tcPr>
          <w:p>
            <w:pPr>
              <w:pStyle w:val="956"/>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252天</w:t>
            </w:r>
            <w:r/>
          </w:p>
        </w:tc>
        <w:tc>
          <w:tcPr>
            <w:tcW w:w="1672" w:type="dxa"/>
            <w:vAlign w:val="top"/>
            <w:textDirection w:val="lrTb"/>
            <w:noWrap w:val="false"/>
          </w:tcPr>
          <w:p>
            <w:pPr>
              <w:pStyle w:val="956"/>
              <w:ind w:left="0" w:firstLine="0"/>
              <w:jc w:val="center"/>
              <w:spacing w:after="0" w:line="240" w:lineRule="auto"/>
              <w:rPr>
                <w:rFonts w:hint="default"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2人</w:t>
            </w:r>
            <w:r/>
          </w:p>
        </w:tc>
      </w:tr>
    </w:tbl>
    <w:p>
      <w:pPr>
        <w:ind w:firstLine="482"/>
        <w:rPr>
          <w:rFonts w:hint="eastAsia" w:ascii="宋体" w:hAnsi="宋体" w:eastAsia="宋体" w:cs="Times New Roman"/>
          <w:b/>
          <w:bCs/>
          <w:color w:val="000000"/>
          <w:sz w:val="24"/>
          <w:szCs w:val="22"/>
          <w:highlight w:val="none"/>
          <w:lang w:eastAsia="zh-CN"/>
        </w:rPr>
      </w:pPr>
      <w:r>
        <w:rPr>
          <w:rFonts w:hint="eastAsia" w:ascii="宋体" w:hAnsi="宋体" w:eastAsia="宋体" w:cs="Times New Roman"/>
          <w:b/>
          <w:bCs/>
          <w:color w:val="000000"/>
          <w:sz w:val="24"/>
          <w:szCs w:val="22"/>
          <w:highlight w:val="none"/>
          <w:lang w:eastAsia="zh-CN"/>
        </w:rPr>
        <w:t xml:space="preserve">注：具体工作安排根据项目实际情况，由采购单位进行统一调配。 </w:t>
      </w:r>
      <w:r/>
    </w:p>
    <w:p>
      <w:pPr>
        <w:ind w:firstLine="480"/>
        <w:jc w:val="left"/>
        <w:keepLines w:val="0"/>
        <w:keepNext w:val="0"/>
        <w:pageBreakBefore w:val="0"/>
        <w:spacing w:line="360" w:lineRule="auto"/>
        <w:widowControl w:val="off"/>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2.</w:t>
      </w:r>
      <w:r>
        <w:rPr>
          <w:rFonts w:hint="eastAsia" w:ascii="宋体" w:hAnsi="宋体" w:eastAsia="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rPr>
        <w:t xml:space="preserve">服务要求：</w:t>
      </w:r>
      <w:r/>
    </w:p>
    <w:p>
      <w:pPr>
        <w:ind w:firstLine="480"/>
        <w:keepLines w:val="0"/>
        <w:keepNext w:val="0"/>
        <w:pageBreakBefore w:val="0"/>
        <w:spacing w:line="360" w:lineRule="auto"/>
        <w:widowControl w:val="off"/>
        <w:tabs>
          <w:tab w:val="left" w:pos="1267" w:leader="none"/>
        </w:tabs>
        <w:rPr>
          <w:rFonts w:ascii="宋体" w:hAnsi="宋体" w:eastAsia="宋体" w:cs="Times New Roman"/>
          <w:color w:val="000000"/>
          <w:sz w:val="24"/>
          <w:szCs w:val="20"/>
          <w:highlight w:val="none"/>
          <w:lang w:val="zh-CN"/>
        </w:rPr>
      </w:pPr>
      <w:r>
        <w:rPr>
          <w:rFonts w:hint="eastAsia" w:ascii="宋体" w:hAnsi="宋体" w:eastAsia="宋体" w:cs="Times New Roman"/>
          <w:color w:val="000000"/>
          <w:sz w:val="24"/>
          <w:szCs w:val="20"/>
          <w:highlight w:val="none"/>
          <w:lang w:val="zh-CN"/>
        </w:rPr>
        <w:t xml:space="preserve">2.</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lang w:val="zh-CN"/>
        </w:rPr>
        <w:t xml:space="preserve">.1磋商响应单位不得在指导站从事与指导站无关的商业推广和任何盈利活动。</w:t>
      </w:r>
      <w:r/>
    </w:p>
    <w:p>
      <w:pPr>
        <w:ind w:firstLine="480"/>
        <w:keepLines w:val="0"/>
        <w:keepNext w:val="0"/>
        <w:pageBreakBefore w:val="0"/>
        <w:spacing w:line="360" w:lineRule="auto"/>
        <w:widowControl w:val="off"/>
        <w:tabs>
          <w:tab w:val="left" w:pos="1267" w:leader="none"/>
        </w:tabs>
        <w:rPr>
          <w:rFonts w:ascii="宋体" w:hAnsi="宋体" w:eastAsia="宋体" w:cs="Times New Roman"/>
          <w:color w:val="000000"/>
          <w:sz w:val="24"/>
          <w:szCs w:val="20"/>
          <w:highlight w:val="none"/>
          <w:lang w:val="zh-CN"/>
        </w:rPr>
      </w:pPr>
      <w:r>
        <w:rPr>
          <w:rFonts w:hint="eastAsia" w:ascii="宋体" w:hAnsi="宋体" w:eastAsia="宋体" w:cs="Times New Roman"/>
          <w:color w:val="000000"/>
          <w:sz w:val="24"/>
          <w:szCs w:val="20"/>
          <w:highlight w:val="none"/>
          <w:lang w:val="zh-CN"/>
        </w:rPr>
        <w:t xml:space="preserve">2.</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lang w:val="zh-CN"/>
        </w:rPr>
        <w:t xml:space="preserve">.2服务期间测试人数不少于</w:t>
      </w:r>
      <w:r>
        <w:rPr>
          <w:rFonts w:hint="eastAsia" w:ascii="宋体" w:hAnsi="宋体" w:eastAsia="宋体" w:cs="Times New Roman"/>
          <w:color w:val="000000"/>
          <w:sz w:val="24"/>
          <w:szCs w:val="20"/>
          <w:highlight w:val="none"/>
          <w:lang w:val="en-US" w:eastAsia="zh-CN"/>
        </w:rPr>
        <w:t xml:space="preserve">8000</w:t>
      </w:r>
      <w:r>
        <w:rPr>
          <w:rFonts w:hint="eastAsia" w:ascii="宋体" w:hAnsi="宋体" w:eastAsia="宋体" w:cs="Times New Roman"/>
          <w:color w:val="000000"/>
          <w:sz w:val="24"/>
          <w:szCs w:val="20"/>
          <w:highlight w:val="none"/>
          <w:lang w:val="zh-CN"/>
        </w:rPr>
        <w:t xml:space="preserve">人，有效数据样本量比例不少于80%，提供科学健身指导</w:t>
      </w:r>
      <w:r>
        <w:rPr>
          <w:rFonts w:hint="eastAsia" w:ascii="宋体" w:hAnsi="宋体" w:eastAsia="宋体" w:cs="Times New Roman"/>
          <w:color w:val="000000"/>
          <w:sz w:val="24"/>
          <w:szCs w:val="20"/>
          <w:highlight w:val="none"/>
          <w:lang w:val="zh-CN" w:eastAsia="zh-CN"/>
        </w:rPr>
        <w:t xml:space="preserve">、</w:t>
      </w:r>
      <w:r>
        <w:rPr>
          <w:rFonts w:hint="eastAsia" w:ascii="宋体" w:hAnsi="宋体" w:eastAsia="宋体" w:cs="Times New Roman"/>
          <w:color w:val="000000"/>
          <w:sz w:val="24"/>
          <w:szCs w:val="20"/>
          <w:highlight w:val="none"/>
          <w:lang w:val="zh-CN"/>
        </w:rPr>
        <w:t xml:space="preserve">体能康复指导服务。</w:t>
      </w:r>
      <w:r/>
    </w:p>
    <w:p>
      <w:pPr>
        <w:ind w:firstLine="480"/>
        <w:keepLines w:val="0"/>
        <w:keepNext w:val="0"/>
        <w:pageBreakBefore w:val="0"/>
        <w:spacing w:line="360" w:lineRule="auto"/>
        <w:widowControl w:val="off"/>
        <w:tabs>
          <w:tab w:val="left" w:pos="1267" w:leader="none"/>
        </w:tabs>
        <w:rPr>
          <w:rFonts w:ascii="宋体" w:hAnsi="宋体" w:eastAsia="宋体" w:cs="Times New Roman"/>
          <w:color w:val="000000"/>
          <w:sz w:val="24"/>
          <w:szCs w:val="20"/>
          <w:highlight w:val="none"/>
          <w:lang w:val="zh-CN"/>
        </w:rPr>
      </w:pPr>
      <w:r>
        <w:rPr>
          <w:rFonts w:hint="eastAsia" w:ascii="宋体" w:hAnsi="宋体" w:eastAsia="宋体" w:cs="Times New Roman"/>
          <w:color w:val="000000"/>
          <w:sz w:val="24"/>
          <w:szCs w:val="20"/>
          <w:highlight w:val="none"/>
          <w:lang w:val="zh-CN"/>
        </w:rPr>
        <w:t xml:space="preserve">2.</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lang w:val="zh-CN"/>
        </w:rPr>
        <w:t xml:space="preserve">.3建立健全的数据管理和原始测试卡片的管理制度，为受测者建立体质状况和健身指导档案，建立跟踪样本量不少于</w:t>
      </w:r>
      <w:r>
        <w:rPr>
          <w:rFonts w:hint="eastAsia" w:ascii="宋体" w:hAnsi="宋体" w:eastAsia="宋体" w:cs="Times New Roman"/>
          <w:color w:val="000000"/>
          <w:sz w:val="24"/>
          <w:szCs w:val="20"/>
          <w:highlight w:val="none"/>
          <w:lang w:val="en-US" w:eastAsia="zh-CN"/>
        </w:rPr>
        <w:t xml:space="preserve">2</w:t>
      </w:r>
      <w:r>
        <w:rPr>
          <w:rFonts w:hint="eastAsia" w:ascii="宋体" w:hAnsi="宋体" w:eastAsia="宋体" w:cs="Times New Roman"/>
          <w:color w:val="000000"/>
          <w:sz w:val="24"/>
          <w:szCs w:val="20"/>
          <w:highlight w:val="none"/>
          <w:lang w:val="zh-CN"/>
        </w:rPr>
        <w:t xml:space="preserve">00人。</w:t>
      </w:r>
      <w:r/>
    </w:p>
    <w:p>
      <w:pPr>
        <w:ind w:firstLine="480"/>
        <w:keepLines w:val="0"/>
        <w:keepNext w:val="0"/>
        <w:pageBreakBefore w:val="0"/>
        <w:spacing w:line="360" w:lineRule="auto"/>
        <w:widowControl w:val="off"/>
        <w:tabs>
          <w:tab w:val="left" w:pos="1267" w:leader="none"/>
        </w:tabs>
        <w:rPr>
          <w:rFonts w:ascii="宋体" w:hAnsi="宋体" w:eastAsia="宋体" w:cs="Times New Roman"/>
          <w:color w:val="000000"/>
          <w:sz w:val="24"/>
          <w:szCs w:val="20"/>
          <w:highlight w:val="none"/>
          <w:lang w:val="zh-CN"/>
        </w:rPr>
      </w:pPr>
      <w:r>
        <w:rPr>
          <w:rFonts w:hint="eastAsia" w:ascii="宋体" w:hAnsi="宋体" w:eastAsia="宋体" w:cs="Times New Roman"/>
          <w:color w:val="000000"/>
          <w:sz w:val="24"/>
          <w:szCs w:val="20"/>
          <w:highlight w:val="none"/>
          <w:lang w:val="zh-CN"/>
        </w:rPr>
        <w:t xml:space="preserve">2.</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lang w:val="zh-CN"/>
        </w:rPr>
        <w:t xml:space="preserve">.</w:t>
      </w:r>
      <w:r>
        <w:rPr>
          <w:rFonts w:hint="eastAsia" w:ascii="宋体" w:hAnsi="宋体" w:eastAsia="宋体" w:cs="Times New Roman"/>
          <w:color w:val="000000"/>
          <w:sz w:val="24"/>
          <w:szCs w:val="20"/>
          <w:highlight w:val="none"/>
          <w:lang w:val="en-US" w:eastAsia="zh-CN"/>
        </w:rPr>
        <w:t xml:space="preserve">4</w:t>
      </w:r>
      <w:r>
        <w:rPr>
          <w:rFonts w:hint="eastAsia" w:ascii="宋体" w:hAnsi="宋体" w:eastAsia="宋体" w:cs="Times New Roman"/>
          <w:color w:val="000000"/>
          <w:sz w:val="24"/>
          <w:szCs w:val="20"/>
          <w:highlight w:val="none"/>
          <w:lang w:val="zh-CN"/>
        </w:rPr>
        <w:t xml:space="preserve">做好指导站的日常服务工作，每月需书面向采购单位上报工作开展情况。</w:t>
      </w:r>
      <w:r/>
    </w:p>
    <w:p>
      <w:pPr>
        <w:ind w:firstLine="480"/>
        <w:keepLines w:val="0"/>
        <w:keepNext w:val="0"/>
        <w:pageBreakBefore w:val="0"/>
        <w:spacing w:line="360" w:lineRule="auto"/>
        <w:widowControl w:val="off"/>
        <w:tabs>
          <w:tab w:val="left" w:pos="1267" w:leader="none"/>
        </w:tabs>
        <w:rPr>
          <w:rFonts w:ascii="宋体" w:hAnsi="宋体" w:eastAsia="宋体" w:cs="Times New Roman"/>
          <w:color w:val="000000"/>
          <w:sz w:val="24"/>
          <w:szCs w:val="20"/>
          <w:highlight w:val="none"/>
          <w:lang w:val="zh-CN"/>
        </w:rPr>
      </w:pPr>
      <w:r>
        <w:rPr>
          <w:rFonts w:hint="eastAsia" w:ascii="宋体" w:hAnsi="宋体" w:eastAsia="宋体" w:cs="Times New Roman"/>
          <w:color w:val="000000"/>
          <w:sz w:val="24"/>
          <w:szCs w:val="20"/>
          <w:highlight w:val="none"/>
          <w:lang w:val="zh-CN"/>
        </w:rPr>
        <w:t xml:space="preserve">2.</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lang w:val="zh-CN"/>
        </w:rPr>
        <w:t xml:space="preserve">.</w:t>
      </w:r>
      <w:r>
        <w:rPr>
          <w:rFonts w:hint="eastAsia" w:ascii="宋体" w:hAnsi="宋体" w:eastAsia="宋体" w:cs="Times New Roman"/>
          <w:color w:val="000000"/>
          <w:sz w:val="24"/>
          <w:szCs w:val="20"/>
          <w:highlight w:val="none"/>
          <w:lang w:val="en-US" w:eastAsia="zh-CN"/>
        </w:rPr>
        <w:t xml:space="preserve">5</w:t>
      </w:r>
      <w:r>
        <w:rPr>
          <w:rFonts w:hint="eastAsia" w:ascii="宋体" w:hAnsi="宋体" w:eastAsia="宋体" w:cs="Times New Roman"/>
          <w:color w:val="000000"/>
          <w:sz w:val="24"/>
          <w:szCs w:val="20"/>
          <w:highlight w:val="none"/>
          <w:lang w:val="zh-CN"/>
        </w:rPr>
        <w:t xml:space="preserve">做好指导站内测试器材的管理、维护等工作，特别是高端测试设备的管理，应采取专人测试和保管机制。因人为原因导致仪器损坏由投标人负责维修赔偿。</w:t>
      </w:r>
      <w:r/>
    </w:p>
    <w:p>
      <w:pPr>
        <w:ind w:firstLine="480"/>
        <w:keepLines w:val="0"/>
        <w:keepNext w:val="0"/>
        <w:pageBreakBefore w:val="0"/>
        <w:spacing w:line="360" w:lineRule="auto"/>
        <w:widowControl w:val="off"/>
        <w:tabs>
          <w:tab w:val="left" w:pos="1267" w:leader="none"/>
        </w:tabs>
        <w:rPr>
          <w:rFonts w:ascii="宋体" w:hAnsi="宋体" w:eastAsia="宋体" w:cs="Times New Roman"/>
          <w:color w:val="000000"/>
          <w:sz w:val="24"/>
          <w:szCs w:val="20"/>
          <w:highlight w:val="none"/>
          <w:lang w:val="zh-CN"/>
        </w:rPr>
      </w:pPr>
      <w:r>
        <w:rPr>
          <w:rFonts w:hint="eastAsia" w:ascii="宋体" w:hAnsi="宋体" w:eastAsia="宋体" w:cs="Times New Roman"/>
          <w:color w:val="000000"/>
          <w:sz w:val="24"/>
          <w:szCs w:val="20"/>
          <w:highlight w:val="none"/>
          <w:lang w:val="zh-CN"/>
        </w:rPr>
        <w:t xml:space="preserve">2.</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lang w:val="zh-CN"/>
        </w:rPr>
        <w:t xml:space="preserve">.</w:t>
      </w:r>
      <w:r>
        <w:rPr>
          <w:rFonts w:hint="eastAsia" w:ascii="宋体" w:hAnsi="宋体" w:eastAsia="宋体" w:cs="Times New Roman"/>
          <w:color w:val="000000"/>
          <w:sz w:val="24"/>
          <w:szCs w:val="20"/>
          <w:highlight w:val="none"/>
          <w:lang w:val="en-US" w:eastAsia="zh-CN"/>
        </w:rPr>
        <w:t xml:space="preserve">6</w:t>
      </w:r>
      <w:r>
        <w:rPr>
          <w:rFonts w:hint="eastAsia" w:ascii="宋体" w:hAnsi="宋体" w:eastAsia="宋体" w:cs="Times New Roman"/>
          <w:color w:val="000000"/>
          <w:sz w:val="24"/>
          <w:szCs w:val="20"/>
          <w:highlight w:val="none"/>
          <w:lang w:val="zh-CN"/>
        </w:rPr>
        <w:t xml:space="preserve">做好数据保密工作，所有的测试数据资料等不得外传，数据所有权归</w:t>
      </w:r>
      <w:r>
        <w:rPr>
          <w:rFonts w:hint="eastAsia" w:ascii="宋体" w:hAnsi="宋体" w:eastAsia="宋体" w:cs="Times New Roman"/>
          <w:color w:val="000000"/>
          <w:sz w:val="24"/>
          <w:szCs w:val="20"/>
          <w:highlight w:val="none"/>
          <w:lang w:val="zh-CN" w:eastAsia="zh-CN"/>
        </w:rPr>
        <w:t xml:space="preserve">采购单位</w:t>
      </w:r>
      <w:r>
        <w:rPr>
          <w:rFonts w:hint="eastAsia" w:ascii="宋体" w:hAnsi="宋体" w:eastAsia="宋体" w:cs="Times New Roman"/>
          <w:color w:val="000000"/>
          <w:sz w:val="24"/>
          <w:szCs w:val="20"/>
          <w:highlight w:val="none"/>
          <w:lang w:val="zh-CN"/>
        </w:rPr>
        <w:t xml:space="preserve">。</w:t>
      </w:r>
      <w:r/>
    </w:p>
    <w:p>
      <w:pPr>
        <w:ind w:firstLine="480"/>
        <w:keepLines w:val="0"/>
        <w:keepNext w:val="0"/>
        <w:pageBreakBefore w:val="0"/>
        <w:spacing w:line="360" w:lineRule="auto"/>
        <w:widowControl w:val="off"/>
        <w:tabs>
          <w:tab w:val="left" w:pos="1267" w:leader="none"/>
        </w:tabs>
        <w:rPr>
          <w:rFonts w:ascii="宋体" w:hAnsi="宋体" w:eastAsia="宋体" w:cs="Times New Roman"/>
          <w:color w:val="000000"/>
          <w:sz w:val="24"/>
          <w:szCs w:val="20"/>
          <w:highlight w:val="none"/>
          <w:lang w:val="zh-CN"/>
        </w:rPr>
      </w:pPr>
      <w:r>
        <w:rPr>
          <w:rFonts w:hint="eastAsia" w:ascii="宋体" w:hAnsi="宋体" w:eastAsia="宋体" w:cs="Times New Roman"/>
          <w:color w:val="000000"/>
          <w:sz w:val="24"/>
          <w:szCs w:val="20"/>
          <w:highlight w:val="none"/>
          <w:lang w:val="zh-CN"/>
        </w:rPr>
        <w:t xml:space="preserve">2.</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lang w:val="zh-CN"/>
        </w:rPr>
        <w:t xml:space="preserve">.</w:t>
      </w:r>
      <w:r>
        <w:rPr>
          <w:rFonts w:hint="eastAsia" w:ascii="宋体" w:hAnsi="宋体" w:eastAsia="宋体" w:cs="Times New Roman"/>
          <w:color w:val="000000"/>
          <w:sz w:val="24"/>
          <w:szCs w:val="20"/>
          <w:highlight w:val="none"/>
          <w:lang w:val="en-US" w:eastAsia="zh-CN"/>
        </w:rPr>
        <w:t xml:space="preserve">7</w:t>
      </w:r>
      <w:r>
        <w:rPr>
          <w:rFonts w:hint="eastAsia" w:ascii="宋体" w:hAnsi="宋体" w:eastAsia="宋体" w:cs="Times New Roman"/>
          <w:color w:val="000000"/>
          <w:sz w:val="24"/>
          <w:szCs w:val="20"/>
          <w:highlight w:val="none"/>
          <w:lang w:val="zh-CN"/>
        </w:rPr>
        <w:t xml:space="preserve">热心服务好每一位测试者，严防意外事件发生。</w:t>
      </w:r>
      <w:r/>
    </w:p>
    <w:p>
      <w:pPr>
        <w:ind w:firstLine="480"/>
        <w:keepLines w:val="0"/>
        <w:keepNext w:val="0"/>
        <w:pageBreakBefore w:val="0"/>
        <w:spacing w:line="360" w:lineRule="auto"/>
        <w:widowControl w:val="off"/>
        <w:tabs>
          <w:tab w:val="left" w:pos="1267" w:leader="none"/>
        </w:tabs>
        <w:rPr>
          <w:rFonts w:ascii="宋体" w:hAnsi="宋体" w:eastAsia="宋体" w:cs="Times New Roman"/>
          <w:color w:val="000000"/>
          <w:sz w:val="24"/>
          <w:szCs w:val="20"/>
          <w:highlight w:val="none"/>
          <w:lang w:val="zh-CN"/>
        </w:rPr>
      </w:pPr>
      <w:r>
        <w:rPr>
          <w:rFonts w:hint="eastAsia" w:ascii="宋体" w:hAnsi="宋体" w:eastAsia="宋体" w:cs="Times New Roman"/>
          <w:color w:val="000000"/>
          <w:sz w:val="24"/>
          <w:szCs w:val="20"/>
          <w:highlight w:val="none"/>
          <w:lang w:val="zh-CN"/>
        </w:rPr>
        <w:t xml:space="preserve">2.</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lang w:val="zh-CN"/>
        </w:rPr>
        <w:t xml:space="preserve">.</w:t>
      </w:r>
      <w:r>
        <w:rPr>
          <w:rFonts w:hint="eastAsia" w:ascii="宋体" w:hAnsi="宋体" w:eastAsia="宋体" w:cs="Times New Roman"/>
          <w:color w:val="000000"/>
          <w:sz w:val="24"/>
          <w:szCs w:val="20"/>
          <w:highlight w:val="none"/>
          <w:lang w:val="en-US" w:eastAsia="zh-CN"/>
        </w:rPr>
        <w:t xml:space="preserve">8</w:t>
      </w:r>
      <w:r>
        <w:rPr>
          <w:rFonts w:hint="eastAsia" w:ascii="宋体" w:hAnsi="宋体" w:eastAsia="宋体" w:cs="Times New Roman"/>
          <w:color w:val="000000"/>
          <w:sz w:val="24"/>
          <w:szCs w:val="20"/>
          <w:highlight w:val="none"/>
          <w:lang w:val="zh-CN"/>
        </w:rPr>
        <w:t xml:space="preserve">做好指导站内的日常管理工作,并服从苏州东方水城公司的健身步道物业管理要求。</w:t>
      </w:r>
      <w:r/>
    </w:p>
    <w:p>
      <w:pPr>
        <w:ind w:firstLine="480"/>
        <w:keepLines w:val="0"/>
        <w:keepNext w:val="0"/>
        <w:pageBreakBefore w:val="0"/>
        <w:spacing w:line="360" w:lineRule="auto"/>
        <w:widowControl w:val="off"/>
        <w:tabs>
          <w:tab w:val="left" w:pos="1267" w:leader="none"/>
        </w:tabs>
        <w:rPr>
          <w:rFonts w:ascii="宋体" w:hAnsi="宋体" w:eastAsia="宋体" w:cs="Times New Roman"/>
          <w:color w:val="000000"/>
          <w:sz w:val="24"/>
          <w:szCs w:val="20"/>
          <w:highlight w:val="none"/>
          <w:lang w:val="zh-CN"/>
        </w:rPr>
      </w:pPr>
      <w:r>
        <w:rPr>
          <w:rFonts w:hint="eastAsia" w:ascii="宋体" w:hAnsi="宋体" w:eastAsia="宋体" w:cs="Times New Roman"/>
          <w:color w:val="000000"/>
          <w:sz w:val="24"/>
          <w:szCs w:val="20"/>
          <w:highlight w:val="none"/>
          <w:lang w:val="zh-CN"/>
        </w:rPr>
        <w:t xml:space="preserve">2.</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lang w:val="zh-CN"/>
        </w:rPr>
        <w:t xml:space="preserve">.</w:t>
      </w:r>
      <w:r>
        <w:rPr>
          <w:rFonts w:hint="eastAsia" w:ascii="宋体" w:hAnsi="宋体" w:eastAsia="宋体" w:cs="Times New Roman"/>
          <w:color w:val="000000"/>
          <w:sz w:val="24"/>
          <w:szCs w:val="20"/>
          <w:highlight w:val="none"/>
          <w:lang w:val="en-US" w:eastAsia="zh-CN"/>
        </w:rPr>
        <w:t xml:space="preserve">9</w:t>
      </w:r>
      <w:r>
        <w:rPr>
          <w:rFonts w:hint="eastAsia" w:ascii="宋体" w:hAnsi="宋体" w:eastAsia="宋体" w:cs="Times New Roman"/>
          <w:color w:val="000000"/>
          <w:sz w:val="24"/>
          <w:szCs w:val="20"/>
          <w:highlight w:val="none"/>
          <w:lang w:val="zh-CN"/>
        </w:rPr>
        <w:t xml:space="preserve">投标人全面承担指导站运行过程中可能产生的安全责任，所有由此产生的后果由磋商响应单位负责。</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2.4其他服务要求：协助承担采购单位的其他服务内容。</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2.4.1合作发布科学健身指导科普视频，视频数量不少于10条，视频内容覆盖中老年人群、慢病人群及青少年人群的健康管理。</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2.4.2联合开展针对周围社区居民群众的健康管理、慢病运动干预、运动风险评估、科学健身指导等技能培训和科学健身讲座服务。服务周期内不少于10场，覆盖人群不少于200人，培训资料须留档保存。</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2.4.3联合社区街道，周边企事业单位开展针对特定人群（如慢性病患者、青少年、职业人群等）的“运动处方”推广和应用项目。</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lang w:val="en-US" w:eastAsia="zh-CN"/>
        </w:rPr>
        <w:t xml:space="preserve">2.4.4各岗位在完成岗位任务的同时，服从采购单位统一调配，完成相关公益体质测试和科学健身指导服务。</w:t>
      </w:r>
      <w:r/>
    </w:p>
    <w:p>
      <w:pPr>
        <w:ind w:firstLine="480"/>
        <w:jc w:val="left"/>
        <w:keepLines w:val="0"/>
        <w:keepNext w:val="0"/>
        <w:pageBreakBefore w:val="0"/>
        <w:spacing w:line="360" w:lineRule="auto"/>
        <w:widowControl w:val="off"/>
        <w:rPr>
          <w:rFonts w:ascii="宋体" w:hAnsi="宋体" w:eastAsia="宋体" w:cs="Times New Roman"/>
          <w:b/>
          <w:bCs/>
          <w:color w:val="000000"/>
          <w:sz w:val="24"/>
          <w:szCs w:val="22"/>
          <w:highlight w:val="none"/>
        </w:rPr>
      </w:pPr>
      <w:r>
        <w:rPr>
          <w:rFonts w:hint="eastAsia" w:ascii="宋体" w:hAnsi="宋体" w:eastAsia="宋体" w:cs="Times New Roman"/>
          <w:b/>
          <w:bCs/>
          <w:color w:val="000000"/>
          <w:sz w:val="24"/>
          <w:szCs w:val="22"/>
          <w:highlight w:val="none"/>
        </w:rPr>
        <w:t xml:space="preserve">3、考核评估：</w:t>
      </w:r>
      <w:r/>
    </w:p>
    <w:p>
      <w:pPr>
        <w:ind w:firstLine="480"/>
        <w:jc w:val="left"/>
        <w:keepLines w:val="0"/>
        <w:keepNext w:val="0"/>
        <w:pageBreakBefore w:val="0"/>
        <w:spacing w:line="360" w:lineRule="auto"/>
        <w:widowControl w:val="off"/>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3.1定期参加市里组织的测试工作人员上岗培训以及数据统计、分析等方面的培训。</w:t>
      </w:r>
      <w:r/>
    </w:p>
    <w:p>
      <w:pPr>
        <w:ind w:firstLine="480"/>
        <w:jc w:val="left"/>
        <w:keepLines w:val="0"/>
        <w:keepNext w:val="0"/>
        <w:pageBreakBefore w:val="0"/>
        <w:spacing w:line="360" w:lineRule="auto"/>
        <w:widowControl w:val="off"/>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3.2每次考核前向</w:t>
      </w:r>
      <w:r>
        <w:rPr>
          <w:rFonts w:hint="eastAsia" w:ascii="宋体" w:hAnsi="宋体" w:eastAsia="宋体" w:cs="Times New Roman"/>
          <w:color w:val="000000"/>
          <w:sz w:val="24"/>
          <w:szCs w:val="22"/>
          <w:highlight w:val="none"/>
          <w:lang w:eastAsia="zh-CN"/>
        </w:rPr>
        <w:t xml:space="preserve">采购单位</w:t>
      </w:r>
      <w:r>
        <w:rPr>
          <w:rFonts w:hint="eastAsia" w:ascii="宋体" w:hAnsi="宋体" w:eastAsia="宋体" w:cs="Times New Roman"/>
          <w:color w:val="000000"/>
          <w:sz w:val="24"/>
          <w:szCs w:val="22"/>
          <w:highlight w:val="none"/>
        </w:rPr>
        <w:t xml:space="preserve">上报季度不少于2</w:t>
      </w:r>
      <w:r>
        <w:rPr>
          <w:rFonts w:hint="eastAsia" w:ascii="宋体" w:hAnsi="宋体" w:eastAsia="宋体" w:cs="Times New Roman"/>
          <w:color w:val="000000"/>
          <w:sz w:val="24"/>
          <w:szCs w:val="22"/>
          <w:highlight w:val="none"/>
          <w:lang w:val="en-US" w:eastAsia="zh-CN"/>
        </w:rPr>
        <w:t xml:space="preserve">0</w:t>
      </w:r>
      <w:r>
        <w:rPr>
          <w:rFonts w:hint="eastAsia" w:ascii="宋体" w:hAnsi="宋体" w:eastAsia="宋体" w:cs="Times New Roman"/>
          <w:color w:val="000000"/>
          <w:sz w:val="24"/>
          <w:szCs w:val="22"/>
          <w:highlight w:val="none"/>
        </w:rPr>
        <w:t xml:space="preserve">00人以上的测试数据和记录，并将原始测试数据卡交其验收，确保其数据的准确性和可靠性。</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3.3年底将指导站的工作总结（含开展测试和健身指导工作情况、测试人数、统计数据分析、图片资料等）报</w:t>
      </w:r>
      <w:r>
        <w:rPr>
          <w:rFonts w:hint="eastAsia" w:ascii="宋体" w:hAnsi="宋体" w:eastAsia="宋体" w:cs="Times New Roman"/>
          <w:color w:val="000000"/>
          <w:sz w:val="24"/>
          <w:szCs w:val="22"/>
          <w:highlight w:val="none"/>
          <w:lang w:eastAsia="zh-CN"/>
        </w:rPr>
        <w:t xml:space="preserve">采购单位</w:t>
      </w:r>
      <w:r>
        <w:rPr>
          <w:rFonts w:hint="eastAsia" w:ascii="宋体" w:hAnsi="宋体" w:eastAsia="宋体" w:cs="Times New Roman"/>
          <w:color w:val="000000"/>
          <w:sz w:val="24"/>
          <w:szCs w:val="22"/>
          <w:highlight w:val="none"/>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3.4</w:t>
      </w:r>
      <w:r>
        <w:rPr>
          <w:rFonts w:hint="eastAsia" w:ascii="宋体" w:hAnsi="宋体" w:eastAsia="宋体" w:cs="Times New Roman"/>
          <w:color w:val="000000"/>
          <w:sz w:val="24"/>
          <w:szCs w:val="22"/>
          <w:highlight w:val="none"/>
          <w:lang w:val="en-US" w:eastAsia="zh-CN"/>
        </w:rPr>
        <w:t xml:space="preserve">根据《2025年“体质测定与运动健身指导站”评分表》进行考核（考核表详见合同附件），共考核三次。第一、二次考核为每6个月考核一次，最后一次考核为整个项目服务完成后的年度考核。每次考核得分95分及以上支付费用全额，95分以下，每扣1分按总额0.5%递减付款，85分以下视为未完成项目内容，不支付报酬，终止合同，并追究损失。</w:t>
      </w:r>
      <w:r/>
    </w:p>
    <w:p>
      <w:pPr>
        <w:ind w:firstLine="480"/>
        <w:keepLines w:val="0"/>
        <w:keepNext w:val="0"/>
        <w:pageBreakBefore w:val="0"/>
        <w:spacing w:line="360" w:lineRule="auto"/>
        <w:widowControl w:val="off"/>
        <w:rPr>
          <w:rFonts w:ascii="宋体" w:hAnsi="宋体" w:eastAsia="宋体" w:cs="Times New Roman"/>
          <w:b/>
          <w:bCs/>
          <w:color w:val="000000"/>
          <w:sz w:val="24"/>
          <w:szCs w:val="22"/>
          <w:highlight w:val="none"/>
        </w:rPr>
      </w:pPr>
      <w:r>
        <w:rPr>
          <w:rFonts w:hint="eastAsia" w:ascii="宋体" w:hAnsi="宋体" w:eastAsia="宋体" w:cs="Times New Roman"/>
          <w:b/>
          <w:bCs/>
          <w:color w:val="000000"/>
          <w:sz w:val="24"/>
          <w:szCs w:val="22"/>
          <w:highlight w:val="none"/>
        </w:rPr>
        <w:t xml:space="preserve">4、</w:t>
      </w:r>
      <w:r>
        <w:rPr>
          <w:rFonts w:hint="eastAsia" w:ascii="宋体" w:hAnsi="宋体" w:eastAsia="宋体" w:cs="Times New Roman"/>
          <w:b/>
          <w:bCs/>
          <w:color w:val="000000"/>
          <w:sz w:val="24"/>
          <w:szCs w:val="22"/>
          <w:highlight w:val="none"/>
          <w:lang w:eastAsia="zh-CN"/>
        </w:rPr>
        <w:t xml:space="preserve">服务团队</w:t>
      </w:r>
      <w:r>
        <w:rPr>
          <w:rFonts w:hint="eastAsia" w:ascii="宋体" w:hAnsi="宋体" w:eastAsia="宋体" w:cs="Times New Roman"/>
          <w:b/>
          <w:bCs/>
          <w:color w:val="000000"/>
          <w:sz w:val="24"/>
          <w:szCs w:val="22"/>
          <w:highlight w:val="none"/>
        </w:rPr>
        <w:t xml:space="preserve">要求：</w:t>
      </w:r>
      <w:r/>
    </w:p>
    <w:p>
      <w:pPr>
        <w:ind w:firstLine="480"/>
        <w:keepLines w:val="0"/>
        <w:keepNext w:val="0"/>
        <w:pageBreakBefore w:val="0"/>
        <w:spacing w:line="360" w:lineRule="auto"/>
        <w:widowControl w:val="off"/>
        <w:rPr>
          <w:rFonts w:hint="eastAsia" w:ascii="宋体" w:hAnsi="宋体" w:eastAsia="宋体" w:cs="Times New Roman"/>
          <w:b/>
          <w:bCs/>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4.1人员要求：本项目至少配备7名技术人员，其中一名为专职项目负责人。项目团队中至少有一名人员为社会体育指导员</w:t>
      </w:r>
      <w:r>
        <w:rPr>
          <w:rFonts w:hint="eastAsia" w:ascii="宋体" w:hAnsi="宋体" w:eastAsia="宋体" w:cs="Times New Roman"/>
          <w:b/>
          <w:bCs/>
          <w:color w:val="auto"/>
          <w:sz w:val="24"/>
          <w:szCs w:val="22"/>
          <w:highlight w:val="none"/>
          <w:lang w:val="en-US" w:eastAsia="zh-CN"/>
        </w:rPr>
        <w:t xml:space="preserve">（响应文件中提供证书扫描件，未提供视为不实质性响应）</w:t>
      </w:r>
      <w:bookmarkStart w:id="16" w:name="_GoBack"/>
      <w:r/>
      <w:bookmarkEnd w:id="16"/>
      <w:r/>
      <w:r/>
    </w:p>
    <w:p>
      <w:pPr>
        <w:ind w:firstLine="480"/>
        <w:keepLines w:val="0"/>
        <w:keepNext w:val="0"/>
        <w:pageBreakBefore w:val="0"/>
        <w:spacing w:line="36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lang w:val="en-US" w:eastAsia="zh-CN"/>
        </w:rPr>
        <w:t xml:space="preserve">4.2岗位要求：环古城河科学健身指导岗3个（年龄60岁以下，至少有一名男性）、五卅路科学健身指导岗2个（年龄50岁以下，至少有一名男性）、外出测试服务科学健身指导岗2个（年龄50岁以下，至少有一名男性）。</w:t>
      </w:r>
      <w:r>
        <w:rPr>
          <w:rFonts w:hint="eastAsia" w:ascii="宋体" w:hAnsi="宋体" w:eastAsia="宋体" w:cs="Times New Roman"/>
          <w:color w:val="000000"/>
          <w:sz w:val="24"/>
          <w:szCs w:val="22"/>
          <w:highlight w:val="none"/>
        </w:rPr>
        <w:t xml:space="preserve">站点工作人员按照</w:t>
      </w:r>
      <w:r>
        <w:rPr>
          <w:rFonts w:hint="eastAsia" w:ascii="宋体" w:hAnsi="宋体" w:eastAsia="宋体" w:cs="Times New Roman"/>
          <w:color w:val="000000"/>
          <w:sz w:val="24"/>
          <w:szCs w:val="22"/>
          <w:highlight w:val="none"/>
          <w:lang w:eastAsia="zh-CN"/>
        </w:rPr>
        <w:t xml:space="preserve">采购单位</w:t>
      </w:r>
      <w:r>
        <w:rPr>
          <w:rFonts w:hint="eastAsia" w:ascii="宋体" w:hAnsi="宋体" w:eastAsia="宋体" w:cs="Times New Roman"/>
          <w:color w:val="000000"/>
          <w:sz w:val="24"/>
          <w:szCs w:val="22"/>
          <w:highlight w:val="none"/>
        </w:rPr>
        <w:t xml:space="preserve">的实际工作</w:t>
      </w:r>
      <w:r>
        <w:rPr>
          <w:rFonts w:hint="eastAsia" w:ascii="宋体" w:hAnsi="宋体" w:eastAsia="宋体" w:cs="Times New Roman"/>
          <w:color w:val="000000"/>
          <w:sz w:val="24"/>
          <w:szCs w:val="22"/>
          <w:highlight w:val="none"/>
          <w:lang w:val="en-US" w:eastAsia="zh-CN"/>
        </w:rPr>
        <w:t xml:space="preserve">任务</w:t>
      </w:r>
      <w:r>
        <w:rPr>
          <w:rFonts w:hint="eastAsia" w:ascii="宋体" w:hAnsi="宋体" w:eastAsia="宋体" w:cs="Times New Roman"/>
          <w:color w:val="000000"/>
          <w:sz w:val="24"/>
          <w:szCs w:val="22"/>
          <w:highlight w:val="none"/>
        </w:rPr>
        <w:t xml:space="preserve">需求分配完成相关体质测试、科学健身指导工作。</w:t>
      </w:r>
      <w:r/>
    </w:p>
    <w:p>
      <w:pPr>
        <w:ind w:firstLine="480"/>
        <w:keepLines w:val="0"/>
        <w:keepNext w:val="0"/>
        <w:pageBreakBefore w:val="0"/>
        <w:spacing w:line="360" w:lineRule="auto"/>
        <w:widowControl w:val="off"/>
        <w:rPr>
          <w:rFonts w:ascii="宋体" w:hAnsi="宋体" w:eastAsia="宋体" w:cs="Times New Roman"/>
          <w:color w:val="000000"/>
          <w:sz w:val="21"/>
          <w:szCs w:val="22"/>
          <w:highlight w:val="none"/>
        </w:rPr>
      </w:pPr>
      <w:r>
        <w:rPr>
          <w:rFonts w:hint="eastAsia" w:ascii="宋体" w:hAnsi="宋体" w:eastAsia="宋体" w:cs="Times New Roman"/>
          <w:color w:val="000000"/>
          <w:sz w:val="24"/>
          <w:szCs w:val="22"/>
          <w:highlight w:val="none"/>
        </w:rPr>
        <w:t xml:space="preserve">4.</w:t>
      </w:r>
      <w:r>
        <w:rPr>
          <w:rFonts w:hint="eastAsia" w:ascii="宋体" w:hAnsi="宋体" w:eastAsia="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rPr>
        <w:t xml:space="preserve">针对本项目配备</w:t>
      </w:r>
      <w:r>
        <w:rPr>
          <w:rFonts w:hint="eastAsia" w:ascii="宋体" w:hAnsi="宋体" w:eastAsia="宋体" w:cs="Times New Roman"/>
          <w:color w:val="000000"/>
          <w:sz w:val="24"/>
          <w:szCs w:val="22"/>
          <w:highlight w:val="none"/>
          <w:lang w:eastAsia="zh-CN"/>
        </w:rPr>
        <w:t xml:space="preserve">的团队人员</w:t>
      </w:r>
      <w:r>
        <w:rPr>
          <w:rFonts w:hint="eastAsia" w:ascii="宋体" w:hAnsi="宋体" w:eastAsia="宋体" w:cs="Times New Roman"/>
          <w:color w:val="000000"/>
          <w:sz w:val="24"/>
          <w:szCs w:val="22"/>
          <w:highlight w:val="none"/>
        </w:rPr>
        <w:t xml:space="preserve">年龄均不能超过退休标准年龄。</w:t>
      </w:r>
      <w:r/>
    </w:p>
    <w:p>
      <w:pPr>
        <w:ind w:firstLine="480"/>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4.4 专职项目负责人需具备较强的组织协调能力，负责向领导汇报工作，并及时应对各项检查。同时，要做好日常事务管理，全面负责项目运营。</w:t>
      </w:r>
      <w:r/>
    </w:p>
    <w:p>
      <w:pPr>
        <w:ind w:firstLine="480"/>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4.5 技术人员应熟练操作体质监测器材，具备一定的统计、科学健身指导和医学知识，熟知各测试项目的操作规范及结果评价，确保在测试过程中若发生意外事故能及时处理。 </w:t>
      </w:r>
      <w:r/>
    </w:p>
    <w:p>
      <w:pPr>
        <w:ind w:right="105" w:firstLine="480"/>
        <w:keepLines w:val="0"/>
        <w:keepNext w:val="0"/>
        <w:pageBreakBefore w:val="0"/>
        <w:spacing w:line="36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lang w:val="en-US" w:eastAsia="zh-CN"/>
        </w:rPr>
        <w:t xml:space="preserve">4.6</w:t>
      </w:r>
      <w:r>
        <w:rPr>
          <w:rFonts w:hint="eastAsia" w:ascii="宋体" w:hAnsi="宋体" w:eastAsia="宋体" w:cs="Times New Roman"/>
          <w:color w:val="000000"/>
          <w:sz w:val="24"/>
          <w:szCs w:val="22"/>
          <w:highlight w:val="none"/>
          <w:lang w:eastAsia="zh-CN"/>
        </w:rPr>
        <w:t xml:space="preserve">成交</w:t>
      </w:r>
      <w:r>
        <w:rPr>
          <w:rFonts w:hint="eastAsia" w:ascii="宋体" w:hAnsi="宋体" w:eastAsia="宋体" w:cs="Times New Roman"/>
          <w:color w:val="000000"/>
          <w:sz w:val="24"/>
          <w:szCs w:val="22"/>
          <w:highlight w:val="none"/>
        </w:rPr>
        <w:t xml:space="preserve">后，本项目服务人员在服务期间原则上不允许更换，如确实需要更换的，须跟采购</w:t>
      </w:r>
      <w:r>
        <w:rPr>
          <w:rFonts w:hint="eastAsia" w:ascii="宋体" w:hAnsi="宋体" w:eastAsia="宋体" w:cs="Times New Roman"/>
          <w:color w:val="000000"/>
          <w:sz w:val="24"/>
          <w:szCs w:val="22"/>
          <w:highlight w:val="none"/>
          <w:lang w:eastAsia="zh-CN"/>
        </w:rPr>
        <w:t xml:space="preserve">单位</w:t>
      </w:r>
      <w:r>
        <w:rPr>
          <w:rFonts w:hint="eastAsia" w:ascii="宋体" w:hAnsi="宋体" w:eastAsia="宋体" w:cs="Times New Roman"/>
          <w:color w:val="000000"/>
          <w:sz w:val="24"/>
          <w:szCs w:val="22"/>
          <w:highlight w:val="none"/>
        </w:rPr>
        <w:t xml:space="preserve">报备。服务期间，采购</w:t>
      </w:r>
      <w:r>
        <w:rPr>
          <w:rFonts w:hint="eastAsia" w:ascii="宋体" w:hAnsi="宋体" w:eastAsia="宋体" w:cs="Times New Roman"/>
          <w:color w:val="000000"/>
          <w:sz w:val="24"/>
          <w:szCs w:val="22"/>
          <w:highlight w:val="none"/>
          <w:lang w:eastAsia="zh-CN"/>
        </w:rPr>
        <w:t xml:space="preserve">单位</w:t>
      </w:r>
      <w:r>
        <w:rPr>
          <w:rFonts w:hint="eastAsia" w:ascii="宋体" w:hAnsi="宋体" w:eastAsia="宋体" w:cs="Times New Roman"/>
          <w:color w:val="000000"/>
          <w:sz w:val="24"/>
          <w:szCs w:val="22"/>
          <w:highlight w:val="none"/>
        </w:rPr>
        <w:t xml:space="preserve">有权不定期抽查服务人员与</w:t>
      </w:r>
      <w:r>
        <w:rPr>
          <w:rFonts w:hint="eastAsia" w:ascii="宋体" w:hAnsi="宋体" w:eastAsia="宋体" w:cs="Times New Roman"/>
          <w:color w:val="000000"/>
          <w:sz w:val="24"/>
          <w:szCs w:val="22"/>
          <w:highlight w:val="none"/>
          <w:lang w:eastAsia="zh-CN"/>
        </w:rPr>
        <w:t xml:space="preserve">成交</w:t>
      </w:r>
      <w:r>
        <w:rPr>
          <w:rFonts w:hint="eastAsia" w:ascii="宋体" w:hAnsi="宋体" w:eastAsia="宋体" w:cs="Times New Roman"/>
          <w:color w:val="000000"/>
          <w:sz w:val="24"/>
          <w:szCs w:val="22"/>
          <w:highlight w:val="none"/>
        </w:rPr>
        <w:t xml:space="preserve">单位的雇佣关系，如发现有未按时或停止缴纳社保或临时更换、增减人员未报备采购</w:t>
      </w:r>
      <w:r>
        <w:rPr>
          <w:rFonts w:hint="eastAsia" w:ascii="宋体" w:hAnsi="宋体" w:eastAsia="宋体" w:cs="Times New Roman"/>
          <w:color w:val="000000"/>
          <w:sz w:val="24"/>
          <w:szCs w:val="22"/>
          <w:highlight w:val="none"/>
          <w:lang w:eastAsia="zh-CN"/>
        </w:rPr>
        <w:t xml:space="preserve">单位</w:t>
      </w:r>
      <w:r>
        <w:rPr>
          <w:rFonts w:hint="eastAsia" w:ascii="宋体" w:hAnsi="宋体" w:eastAsia="宋体" w:cs="Times New Roman"/>
          <w:color w:val="000000"/>
          <w:sz w:val="24"/>
          <w:szCs w:val="22"/>
          <w:highlight w:val="none"/>
        </w:rPr>
        <w:t xml:space="preserve">的情况，采购</w:t>
      </w:r>
      <w:r>
        <w:rPr>
          <w:rFonts w:hint="eastAsia" w:ascii="宋体" w:hAnsi="宋体" w:eastAsia="宋体" w:cs="Times New Roman"/>
          <w:color w:val="000000"/>
          <w:sz w:val="24"/>
          <w:szCs w:val="22"/>
          <w:highlight w:val="none"/>
          <w:lang w:eastAsia="zh-CN"/>
        </w:rPr>
        <w:t xml:space="preserve">单位</w:t>
      </w:r>
      <w:r>
        <w:rPr>
          <w:rFonts w:hint="eastAsia" w:ascii="宋体" w:hAnsi="宋体" w:eastAsia="宋体" w:cs="Times New Roman"/>
          <w:color w:val="000000"/>
          <w:sz w:val="24"/>
          <w:szCs w:val="22"/>
          <w:highlight w:val="none"/>
        </w:rPr>
        <w:t xml:space="preserve">有权终止合同。</w:t>
      </w:r>
      <w:r/>
    </w:p>
    <w:p>
      <w:pPr>
        <w:ind w:right="105" w:firstLine="480"/>
        <w:keepLines w:val="0"/>
        <w:keepNext w:val="0"/>
        <w:pageBreakBefore w:val="0"/>
        <w:spacing w:line="360" w:lineRule="auto"/>
        <w:widowControl w:val="off"/>
        <w:rPr>
          <w:rFonts w:ascii="宋体" w:hAnsi="宋体" w:eastAsia="宋体" w:cs="Times New Roman"/>
          <w:b/>
          <w:bCs/>
          <w:color w:val="000000"/>
          <w:sz w:val="24"/>
          <w:szCs w:val="22"/>
          <w:highlight w:val="none"/>
        </w:rPr>
      </w:pPr>
      <w:r>
        <w:rPr>
          <w:rFonts w:hint="eastAsia" w:ascii="宋体" w:hAnsi="宋体" w:eastAsia="宋体" w:cs="Times New Roman"/>
          <w:b/>
          <w:bCs/>
          <w:color w:val="000000"/>
          <w:sz w:val="24"/>
          <w:szCs w:val="22"/>
          <w:highlight w:val="none"/>
        </w:rPr>
        <w:t xml:space="preserve">5、验收要求：</w:t>
      </w:r>
      <w:r/>
    </w:p>
    <w:p>
      <w:pPr>
        <w:ind w:right="105" w:firstLine="480"/>
        <w:keepLines w:val="0"/>
        <w:keepNext w:val="0"/>
        <w:pageBreakBefore w:val="0"/>
        <w:spacing w:line="360" w:lineRule="auto"/>
        <w:widowControl w:val="off"/>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5.1对上报的测试数据进行严格审核，包括测试原始数据卡片，确保其上报数据的可靠性和有效性。</w:t>
      </w:r>
      <w:r/>
    </w:p>
    <w:p>
      <w:pPr>
        <w:ind w:right="105" w:firstLine="480"/>
        <w:keepLines w:val="0"/>
        <w:keepNext w:val="0"/>
        <w:pageBreakBefore w:val="0"/>
        <w:spacing w:line="360" w:lineRule="auto"/>
        <w:widowControl w:val="off"/>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5.2</w:t>
      </w:r>
      <w:r>
        <w:rPr>
          <w:rFonts w:hint="eastAsia" w:ascii="宋体" w:hAnsi="宋体" w:eastAsia="宋体" w:cs="Times New Roman"/>
          <w:color w:val="000000"/>
          <w:sz w:val="24"/>
          <w:szCs w:val="22"/>
          <w:highlight w:val="none"/>
          <w:lang w:eastAsia="zh-CN"/>
        </w:rPr>
        <w:t xml:space="preserve">采购单位</w:t>
      </w:r>
      <w:r>
        <w:rPr>
          <w:rFonts w:hint="eastAsia" w:ascii="宋体" w:hAnsi="宋体" w:eastAsia="宋体" w:cs="Times New Roman"/>
          <w:color w:val="000000"/>
          <w:sz w:val="24"/>
          <w:szCs w:val="22"/>
          <w:highlight w:val="none"/>
        </w:rPr>
        <w:t xml:space="preserve">对被测试人员及跟踪样本量人群进行回访，通过电话或面谈等方式，了解服务内容、标准及成效。</w:t>
      </w:r>
      <w:r/>
    </w:p>
    <w:p>
      <w:pPr>
        <w:ind w:right="105" w:firstLine="480"/>
        <w:keepLines w:val="0"/>
        <w:keepNext w:val="0"/>
        <w:pageBreakBefore w:val="0"/>
        <w:spacing w:line="360" w:lineRule="auto"/>
        <w:widowControl w:val="off"/>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5.3每一场测试主题活动都必须有具体的时间、地点、主题内容、参加人数等，须提交每一场的图片资料和相关文字说明。</w:t>
      </w:r>
      <w:r/>
    </w:p>
    <w:p>
      <w:pPr>
        <w:ind w:right="105" w:firstLine="480"/>
        <w:keepLines w:val="0"/>
        <w:keepNext w:val="0"/>
        <w:pageBreakBefore w:val="0"/>
        <w:spacing w:line="360" w:lineRule="auto"/>
        <w:widowControl w:val="off"/>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5.4每年对指导站的测试器材等固定财产进行盘点，并登记在册。</w:t>
      </w:r>
      <w:r/>
    </w:p>
    <w:p>
      <w:pPr>
        <w:ind w:right="105" w:firstLine="480"/>
        <w:keepLines w:val="0"/>
        <w:keepNext w:val="0"/>
        <w:pageBreakBefore w:val="0"/>
        <w:spacing w:line="360" w:lineRule="auto"/>
        <w:widowControl w:val="off"/>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5.5接受对日常服务工作的检查，确保服务内容、态度、效果等。（具体要求详见202</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rPr>
        <w:t xml:space="preserve">年“体质测定与运动健身指导站”评分表）。</w:t>
      </w:r>
      <w:r/>
    </w:p>
    <w:p>
      <w:pPr>
        <w:ind w:firstLine="271"/>
        <w:jc w:val="left"/>
        <w:spacing w:line="360" w:lineRule="auto"/>
        <w:widowControl/>
        <w:rPr>
          <w:rFonts w:hint="eastAsia" w:ascii="宋体" w:hAnsi="宋体" w:eastAsia="宋体" w:cs="Times New Roman"/>
          <w:b/>
          <w:color w:val="000000"/>
          <w:spacing w:val="15"/>
          <w:sz w:val="24"/>
          <w:szCs w:val="22"/>
          <w:highlight w:val="none"/>
        </w:rPr>
      </w:pPr>
      <w:r>
        <w:rPr>
          <w:rFonts w:hint="eastAsia" w:ascii="宋体" w:hAnsi="宋体" w:eastAsia="宋体" w:cs="Times New Roman"/>
          <w:b/>
          <w:color w:val="000000"/>
          <w:spacing w:val="15"/>
          <w:sz w:val="24"/>
          <w:szCs w:val="22"/>
          <w:highlight w:val="none"/>
        </w:rPr>
        <w:t xml:space="preserve">五、</w:t>
      </w:r>
      <w:r>
        <w:rPr>
          <w:rFonts w:hint="eastAsia" w:ascii="宋体" w:hAnsi="宋体" w:eastAsia="宋体" w:cs="Times New Roman"/>
          <w:b/>
          <w:color w:val="000000"/>
          <w:spacing w:val="15"/>
          <w:sz w:val="24"/>
          <w:szCs w:val="22"/>
          <w:highlight w:val="none"/>
          <w:lang w:eastAsia="zh-CN"/>
        </w:rPr>
        <w:t xml:space="preserve">服务期限及地点</w:t>
      </w:r>
      <w:r/>
    </w:p>
    <w:p>
      <w:pPr>
        <w:ind w:firstLine="480"/>
        <w:spacing w:line="360" w:lineRule="auto"/>
        <w:tabs>
          <w:tab w:val="left" w:pos="0" w:leader="none"/>
        </w:tabs>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1、服务期限：2025年10月31日-2026年10月31日。</w:t>
      </w:r>
      <w:r/>
    </w:p>
    <w:p>
      <w:pPr>
        <w:ind w:firstLine="480"/>
        <w:spacing w:line="360" w:lineRule="auto"/>
        <w:tabs>
          <w:tab w:val="left" w:pos="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服务地点：</w:t>
      </w:r>
      <w:r>
        <w:rPr>
          <w:rFonts w:hint="eastAsia" w:ascii="宋体" w:hAnsi="宋体" w:eastAsia="宋体" w:cs="宋体"/>
          <w:color w:val="000000"/>
          <w:sz w:val="24"/>
          <w:szCs w:val="22"/>
          <w:highlight w:val="none"/>
          <w:lang w:val="en-US" w:eastAsia="zh-CN"/>
        </w:rPr>
        <w:t xml:space="preserve">采购单位指定地点</w:t>
      </w:r>
      <w:r>
        <w:rPr>
          <w:rFonts w:hint="eastAsia" w:ascii="宋体" w:hAnsi="宋体" w:eastAsia="宋体" w:cs="宋体"/>
          <w:color w:val="000000"/>
          <w:sz w:val="24"/>
          <w:szCs w:val="22"/>
          <w:highlight w:val="none"/>
          <w:lang w:eastAsia="zh-CN"/>
        </w:rPr>
        <w:t xml:space="preserve">。</w:t>
      </w:r>
      <w:r/>
    </w:p>
    <w:p>
      <w:pPr>
        <w:ind w:firstLine="241"/>
        <w:jc w:val="left"/>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、综合说明：</w:t>
      </w:r>
      <w:r/>
    </w:p>
    <w:p>
      <w:pPr>
        <w:ind w:firstLine="482"/>
        <w:jc w:val="left"/>
        <w:spacing w:line="360" w:lineRule="auto"/>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1、本次磋商采取二次报价的方式，即提交采购文件中的报价为首次报价，磋商过程中再作一次最终报价。</w:t>
      </w:r>
      <w:r/>
    </w:p>
    <w:p>
      <w:pPr>
        <w:ind w:firstLine="482"/>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磋商报价应包括但不限于本项目服务过程的人工、工资、材料费、通讯费、水电费、交通费、耗材费、培训、管理、保险、劳保、利润、税金、审计、代理服务费、推广、视频发布、讲座、专家费、场所及测试仪器的维修保养、在服务期间举办活动等费用、政策性文件规定及合同包含的所有风险、责任等完成本项目的各项应有费用，采购单位不再支付其他任何费用。除非因特殊原因并经甲乙双方协商同意，否则合同价格不做调整。在合同实施期间，该合同金额不因市场价格变化因素变动。</w:t>
      </w:r>
      <w:r/>
    </w:p>
    <w:p>
      <w:pPr>
        <w:ind w:firstLine="482"/>
        <w:jc w:val="left"/>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、磋商响应单位应对本项目的全部内容进行报价，只投其中部分内容者，其响应文件将被拒绝。</w:t>
      </w:r>
      <w:r/>
    </w:p>
    <w:p>
      <w:pPr>
        <w:ind w:firstLine="482"/>
        <w:jc w:val="left"/>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、磋商响应单位必须承诺采购文件中提出的全部服务要求，如果以其中某些条款不响应时，应在文件中逐条列出，未列出的视同响应。</w:t>
      </w:r>
      <w:r/>
    </w:p>
    <w:p>
      <w:pPr>
        <w:ind w:firstLine="241"/>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、信用查询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2.2财政部门与法院、工商、税务等部门联合惩戒的失信信息，包括：</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2.2.1被列入失信被执行人名单；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2.2.2被列入重大税收违法案件当事人名单；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3、查询截止时点：</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递交截止时间。</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4、查询渠道：</w:t>
      </w:r>
      <w:r>
        <w:rPr>
          <w:rFonts w:hint="eastAsia" w:ascii="宋体" w:hAnsi="宋体" w:eastAsia="宋体" w:cs="宋体"/>
          <w:color w:val="000000"/>
          <w:sz w:val="24"/>
          <w:szCs w:val="24"/>
          <w:highlight w:val="none"/>
        </w:rPr>
        <w:t xml:space="preserve">统一登录政府采购交易管理平台的系统查询供应商的信用记录。政府采购交易管理平台系统实时提供来自“信用中国”、“信用江苏”及中国政府采购网上的信用信息。</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p>
    <w:p>
      <w:pPr>
        <w:ind w:firstLine="241"/>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、行业属性：</w:t>
      </w:r>
      <w:r/>
    </w:p>
    <w:p>
      <w:pPr>
        <w:ind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b/>
          <w:bCs/>
          <w:color w:val="000000"/>
          <w:sz w:val="24"/>
          <w:szCs w:val="24"/>
          <w:highlight w:val="none"/>
          <w:lang w:eastAsia="zh-CN"/>
        </w:rPr>
        <w:t xml:space="preserve">。</w:t>
      </w:r>
      <w:r/>
    </w:p>
    <w:p>
      <w:pPr>
        <w:pStyle w:val="990"/>
        <w:ind w:left="0" w:firstLine="241"/>
        <w:spacing w:line="360" w:lineRule="auto"/>
        <w:rPr>
          <w:rFonts w:hint="eastAsia" w:ascii="宋体" w:hAnsi="宋体" w:eastAsia="宋体" w:cs="宋体"/>
          <w:b/>
          <w:sz w:val="24"/>
          <w:szCs w:val="24"/>
          <w:highlight w:val="none"/>
        </w:rPr>
      </w:pPr>
      <w:r>
        <w:rPr>
          <w:rFonts w:hint="eastAsia" w:ascii="宋体" w:hAnsi="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lang w:val="en-US"/>
        </w:rPr>
        <w:t xml:space="preserve">、凡涉及磋商采购文件的补充说明和修改，均以</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rPr>
        <w:t xml:space="preserve">江苏政府采购网、苏州市政府采购</w:t>
      </w:r>
      <w:r>
        <w:rPr>
          <w:rFonts w:hint="eastAsia" w:ascii="宋体" w:hAnsi="宋体" w:cs="宋体"/>
          <w:b/>
          <w:bCs/>
          <w:color w:val="000000"/>
          <w:sz w:val="24"/>
          <w:szCs w:val="24"/>
          <w:highlight w:val="none"/>
          <w:lang w:val="en-US" w:eastAsia="zh-CN"/>
        </w:rPr>
        <w:t xml:space="preserve">、中国政府采购网</w:t>
      </w:r>
      <w:r>
        <w:rPr>
          <w:rFonts w:hint="eastAsia" w:ascii="宋体" w:hAnsi="宋体" w:eastAsia="宋体" w:cs="宋体"/>
          <w:b/>
          <w:bCs/>
          <w:color w:val="000000"/>
          <w:sz w:val="24"/>
          <w:szCs w:val="24"/>
          <w:highlight w:val="none"/>
          <w:lang w:val="en-US"/>
        </w:rPr>
        <w:t xml:space="preserve">”网上补充通知为准。</w:t>
      </w: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lang w:val="en-US"/>
        </w:rPr>
        <w:t xml:space="preserve">                     </w:t>
      </w:r>
      <w:bookmarkEnd w:id="8"/>
      <w:r/>
      <w:bookmarkEnd w:id="9"/>
      <w:r/>
      <w:bookmarkStart w:id="10" w:name="_Toc409435041"/>
      <w:r>
        <w:rPr>
          <w:rFonts w:hint="eastAsia" w:ascii="宋体" w:hAnsi="宋体" w:eastAsia="宋体" w:cs="宋体"/>
          <w:b/>
          <w:sz w:val="44"/>
          <w:szCs w:val="44"/>
          <w:highlight w:val="none"/>
        </w:rPr>
        <w:t xml:space="preserve">第四章  主要合同条款</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甲方（需方）： </w:t>
      </w:r>
      <w:r/>
    </w:p>
    <w:p>
      <w:pPr>
        <w:spacing w:line="360" w:lineRule="auto"/>
        <w:tabs>
          <w:tab w:val="left" w:pos="3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乙方（供方）：</w:t>
      </w:r>
      <w:r/>
    </w:p>
    <w:p>
      <w:pPr>
        <w:spacing w:line="360" w:lineRule="auto"/>
        <w:tabs>
          <w:tab w:val="left" w:pos="3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p>
    <w:p>
      <w:pPr>
        <w:spacing w:line="360" w:lineRule="auto"/>
        <w:tabs>
          <w:tab w:val="left" w:pos="3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p>
    <w:p>
      <w:pPr>
        <w:spacing w:line="360" w:lineRule="auto"/>
        <w:tabs>
          <w:tab w:val="left" w:pos="3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ind w:firstLine="480"/>
        <w:spacing w:line="360" w:lineRule="auto"/>
        <w:tabs>
          <w:tab w:val="left" w:pos="3600" w:leader="none"/>
        </w:tabs>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根据采购</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lang w:val="en-US" w:eastAsia="zh-CN"/>
        </w:rPr>
        <w:t xml:space="preserve">JSZC-320500-WYDL-C2025-0037</w:t>
      </w:r>
      <w:r>
        <w:rPr>
          <w:rFonts w:hint="eastAsia" w:ascii="宋体" w:hAnsi="宋体" w:eastAsia="宋体" w:cs="宋体"/>
          <w:color w:val="auto"/>
          <w:sz w:val="24"/>
          <w:szCs w:val="24"/>
          <w:highlight w:val="none"/>
        </w:rPr>
        <w:t xml:space="preserve">号响应采购文件及成交通知书，甲乙双方就此次成交的</w:t>
      </w:r>
      <w:r>
        <w:rPr>
          <w:rFonts w:hint="eastAsia" w:ascii="宋体" w:hAnsi="宋体" w:eastAsia="宋体" w:cs="宋体"/>
          <w:color w:val="auto"/>
          <w:sz w:val="24"/>
          <w:szCs w:val="24"/>
          <w:highlight w:val="none"/>
          <w:u w:val="single"/>
          <w:lang w:eastAsia="zh-CN"/>
        </w:rPr>
        <w:t xml:space="preserve">苏州市体育监管保障中心健身指导站对外服务</w:t>
      </w:r>
      <w:r>
        <w:rPr>
          <w:rFonts w:hint="eastAsia" w:ascii="宋体" w:hAnsi="宋体" w:eastAsia="宋体" w:cs="宋体"/>
          <w:color w:val="auto"/>
          <w:sz w:val="24"/>
          <w:szCs w:val="24"/>
          <w:highlight w:val="none"/>
        </w:rPr>
        <w:t xml:space="preserve">服务事宜，签订本合同书。</w:t>
      </w:r>
      <w:r/>
    </w:p>
    <w:p>
      <w:pPr>
        <w:ind w:firstLine="482"/>
        <w:spacing w:line="360" w:lineRule="auto"/>
        <w:rPr>
          <w:rFonts w:hint="eastAsia" w:ascii="宋体" w:hAnsi="宋体" w:eastAsia="宋体" w:cs="仿宋_GB2312"/>
          <w:b/>
          <w:color w:val="auto"/>
          <w:sz w:val="24"/>
          <w:szCs w:val="24"/>
          <w:highlight w:val="none"/>
        </w:rPr>
      </w:pPr>
      <w:r>
        <w:rPr>
          <w:rFonts w:hint="eastAsia" w:ascii="宋体" w:hAnsi="宋体" w:eastAsia="宋体" w:cs="仿宋_GB2312"/>
          <w:b/>
          <w:color w:val="auto"/>
          <w:sz w:val="24"/>
          <w:szCs w:val="24"/>
          <w:highlight w:val="none"/>
        </w:rPr>
        <w:t xml:space="preserve">1、合同价格：</w:t>
      </w:r>
      <w:r/>
    </w:p>
    <w:p>
      <w:pPr>
        <w:ind w:firstLine="480"/>
        <w:spacing w:line="360" w:lineRule="auto"/>
        <w:tabs>
          <w:tab w:val="left" w:pos="567" w:leader="none"/>
        </w:tabs>
        <w:rPr>
          <w:rFonts w:hint="eastAsia" w:ascii="宋体" w:hAnsi="宋体" w:eastAsia="宋体" w:cs="Times New Roman"/>
          <w:color w:val="auto"/>
          <w:sz w:val="24"/>
          <w:szCs w:val="24"/>
          <w:highlight w:val="none"/>
          <w:lang w:val="zh-CN"/>
        </w:rPr>
      </w:pPr>
      <w:r>
        <w:rPr>
          <w:rFonts w:hint="eastAsia" w:ascii="宋体" w:hAnsi="宋体" w:eastAsia="宋体" w:cs="仿宋_GB2312"/>
          <w:color w:val="auto"/>
          <w:sz w:val="24"/>
          <w:szCs w:val="24"/>
          <w:highlight w:val="none"/>
        </w:rPr>
        <w:t xml:space="preserve">1.1合同价格（大写）人民币</w:t>
      </w:r>
      <w:r>
        <w:rPr>
          <w:rFonts w:hint="eastAsia" w:ascii="宋体" w:hAnsi="宋体" w:eastAsia="宋体" w:cs="仿宋_GB2312"/>
          <w:color w:val="auto"/>
          <w:sz w:val="24"/>
          <w:szCs w:val="24"/>
          <w:highlight w:val="none"/>
          <w:u w:val="single"/>
        </w:rPr>
        <w:t xml:space="preserve">           元整</w:t>
      </w:r>
      <w:r>
        <w:rPr>
          <w:rFonts w:hint="eastAsia" w:ascii="宋体" w:hAnsi="宋体" w:eastAsia="宋体" w:cs="仿宋_GB2312"/>
          <w:color w:val="auto"/>
          <w:sz w:val="24"/>
          <w:szCs w:val="24"/>
          <w:highlight w:val="none"/>
        </w:rPr>
        <w:t xml:space="preserve">（￥</w:t>
      </w:r>
      <w:r>
        <w:rPr>
          <w:rFonts w:hint="eastAsia" w:ascii="宋体" w:hAnsi="宋体" w:eastAsia="宋体" w:cs="仿宋_GB2312"/>
          <w:color w:val="auto"/>
          <w:sz w:val="24"/>
          <w:szCs w:val="24"/>
          <w:highlight w:val="none"/>
          <w:u w:val="single"/>
        </w:rPr>
        <w:t xml:space="preserve">        </w:t>
      </w:r>
      <w:r>
        <w:rPr>
          <w:rFonts w:hint="eastAsia" w:ascii="宋体" w:hAnsi="宋体" w:eastAsia="宋体" w:cs="仿宋_GB2312"/>
          <w:color w:val="auto"/>
          <w:sz w:val="24"/>
          <w:szCs w:val="24"/>
          <w:highlight w:val="none"/>
        </w:rPr>
        <w:t xml:space="preserve">.00）合同价格</w:t>
      </w:r>
      <w:r>
        <w:rPr>
          <w:rFonts w:hint="eastAsia" w:hAnsi="宋体" w:eastAsia="宋体"/>
          <w:color w:val="auto"/>
          <w:sz w:val="24"/>
          <w:szCs w:val="24"/>
          <w:highlight w:val="none"/>
        </w:rPr>
        <w:t xml:space="preserve">全部服务所需的</w:t>
      </w:r>
      <w:r>
        <w:rPr>
          <w:rFonts w:hint="default" w:hAnsi="宋体" w:eastAsia="宋体"/>
          <w:color w:val="auto"/>
          <w:sz w:val="24"/>
          <w:szCs w:val="24"/>
          <w:highlight w:val="none"/>
        </w:rPr>
        <w:t xml:space="preserve">包括</w:t>
      </w:r>
      <w:r>
        <w:rPr>
          <w:rFonts w:hint="eastAsia" w:hAnsi="宋体" w:eastAsia="宋体"/>
          <w:color w:val="auto"/>
          <w:sz w:val="24"/>
          <w:szCs w:val="24"/>
          <w:highlight w:val="none"/>
        </w:rPr>
        <w:t xml:space="preserve">但不限于</w:t>
      </w:r>
      <w:r>
        <w:rPr>
          <w:rFonts w:hint="eastAsia" w:ascii="宋体" w:hAnsi="宋体" w:eastAsia="宋体" w:cs="Times New Roman"/>
          <w:color w:val="auto"/>
          <w:sz w:val="24"/>
          <w:szCs w:val="24"/>
          <w:highlight w:val="none"/>
          <w:lang w:val="en-US" w:eastAsia="zh-CN"/>
        </w:rPr>
        <w:t xml:space="preserve">本项目服务过程的人工、工资、材料费、通讯费、水电费、交通费、耗材费、培训、管理、保险、劳保、利润、税金、审计、代理服务费、推广、视频发布、讲座、专家费、场所及测试仪器的维修保养、在服务期间举办活动等费用、政策性文件规定及合同包含的所有风险、责任等完成本项目的各项应有费用，甲方不再支付其他任何费用。除非因特殊原因并经甲乙双方协商同意，否则合同价格不做调整。在合同实施期间，该合同金额不因市场价格变化因素变动。</w:t>
      </w:r>
      <w:r/>
    </w:p>
    <w:p>
      <w:pPr>
        <w:ind w:firstLine="480"/>
        <w:spacing w:line="360" w:lineRule="auto"/>
        <w:tabs>
          <w:tab w:val="left" w:pos="567" w:leader="none"/>
        </w:tabs>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1.2根据现行税法对甲方征收的与本合同有关的一切税费均由甲方承担；根据现行税法对乙方征收的与本合同有关的一切税费均由乙方承担。</w:t>
      </w:r>
      <w:r/>
    </w:p>
    <w:p>
      <w:pPr>
        <w:ind w:firstLine="482"/>
        <w:spacing w:line="360" w:lineRule="auto"/>
        <w:tabs>
          <w:tab w:val="left" w:pos="540" w:leader="none"/>
        </w:tabs>
        <w:rPr>
          <w:rFonts w:hint="eastAsia" w:ascii="宋体" w:hAnsi="宋体" w:eastAsia="宋体" w:cs="仿宋_GB2312"/>
          <w:b/>
          <w:color w:val="auto"/>
          <w:sz w:val="24"/>
          <w:szCs w:val="24"/>
          <w:highlight w:val="none"/>
        </w:rPr>
      </w:pPr>
      <w:r>
        <w:rPr>
          <w:rFonts w:hint="eastAsia" w:ascii="宋体" w:hAnsi="宋体" w:eastAsia="宋体" w:cs="仿宋_GB2312"/>
          <w:b/>
          <w:color w:val="auto"/>
          <w:sz w:val="24"/>
          <w:szCs w:val="24"/>
          <w:highlight w:val="none"/>
        </w:rPr>
        <w:t xml:space="preserve">2、服务范围</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2.1甲方聘请乙方提供以下服务：</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2.1.1本合同项下的服务指：</w:t>
      </w:r>
      <w:r>
        <w:rPr>
          <w:rFonts w:hint="eastAsia" w:ascii="宋体" w:hAnsi="宋体" w:eastAsia="宋体" w:cs="宋体"/>
          <w:color w:val="auto"/>
          <w:sz w:val="24"/>
          <w:szCs w:val="24"/>
          <w:highlight w:val="none"/>
          <w:lang w:eastAsia="zh-CN"/>
        </w:rPr>
        <w:t xml:space="preserve">苏州市体育监管保障中心健身指导站对外服务</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2.1.2项目概况（详见磋商采购文件）。</w:t>
      </w:r>
      <w:r/>
    </w:p>
    <w:p>
      <w:pPr>
        <w:ind w:firstLine="47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2.1.3服务期限：</w:t>
      </w:r>
      <w:r>
        <w:rPr>
          <w:rFonts w:hint="eastAsia" w:ascii="宋体" w:hAnsi="宋体" w:eastAsia="宋体" w:cs="宋体"/>
          <w:color w:val="auto"/>
          <w:sz w:val="24"/>
          <w:szCs w:val="24"/>
          <w:highlight w:val="none"/>
          <w:lang w:val="en-US" w:eastAsia="zh-CN"/>
        </w:rPr>
        <w:t xml:space="preserve">2025年10月31日-2026年10月31日。</w:t>
      </w:r>
      <w:r/>
    </w:p>
    <w:p>
      <w:pPr>
        <w:ind w:firstLine="482"/>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仿宋_GB2312"/>
          <w:b/>
          <w:color w:val="auto"/>
          <w:sz w:val="24"/>
          <w:szCs w:val="24"/>
          <w:highlight w:val="none"/>
        </w:rPr>
        <w:t xml:space="preserve">3、合同价格支付：</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根据《2025年“体质测定与运动健身指导站”评分表》进行考核（考核表详见合同附件），共考核三次。第一、二次考核为每6个月考核一次，最后一次考核为整个项目服务完成后的年度考核。每次考核得分95分及以上支付费用全额，95分以下，每扣1分按总额0.5%递减付款，85分以下视为未完成项目内容，不支付报酬，终止合同，并追究损失。</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3.2分三次支付相应款项：第一、二次考核合格后凭开具的有效票据各支付对应款项（即合同总金额的40%-考核所扣款项），最后一次考核合格后凭开具的有效票据支付剩余款项（即合同总金额的20%-考核所扣款项）。</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乙方要求付款应提供以下资料：</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.1合格的发票。</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.2甲乙双方签章的《政府采购合同履行验收报告》</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支付方式：银行转账。</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根据现行税法对甲方征收的与本合同有关的一切税费均由甲方承担；根据现行税法对乙方征收的与本合同有关的一切税费均由乙方承担。</w:t>
      </w:r>
      <w:r/>
    </w:p>
    <w:p>
      <w:pPr>
        <w:ind w:firstLine="482"/>
        <w:jc w:val="left"/>
        <w:spacing w:line="360" w:lineRule="auto"/>
        <w:rPr>
          <w:rFonts w:hint="eastAsia" w:ascii="宋体" w:hAnsi="宋体" w:eastAsia="宋体" w:cs="仿宋_GB2312"/>
          <w:b/>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eastAsia="宋体" w:cs="仿宋_GB2312"/>
          <w:b/>
          <w:color w:val="auto"/>
          <w:sz w:val="24"/>
          <w:szCs w:val="24"/>
          <w:highlight w:val="none"/>
        </w:rPr>
        <w:t xml:space="preserve">针对本项目乙方所配备人员情况及服务承诺：</w:t>
      </w:r>
      <w:r/>
    </w:p>
    <w:p>
      <w:pPr>
        <w:ind w:firstLine="470"/>
        <w:spacing w:line="360" w:lineRule="auto"/>
        <w:tabs>
          <w:tab w:val="left" w:pos="54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4.1针对本项目所配备人员情况：详见乙方磋商响应文件；</w:t>
      </w:r>
      <w:r/>
    </w:p>
    <w:p>
      <w:pPr>
        <w:ind w:firstLine="482"/>
        <w:spacing w:line="360" w:lineRule="auto"/>
        <w:rPr>
          <w:rFonts w:hint="eastAsia" w:ascii="宋体" w:hAnsi="宋体" w:eastAsia="宋体" w:cs="仿宋_GB2312"/>
          <w:b/>
          <w:color w:val="auto"/>
          <w:sz w:val="24"/>
          <w:szCs w:val="24"/>
          <w:highlight w:val="none"/>
        </w:rPr>
        <w:outlineLvl w:val="0"/>
      </w:pPr>
      <w:r>
        <w:rPr>
          <w:rFonts w:hint="eastAsia" w:ascii="宋体" w:hAnsi="宋体" w:eastAsia="宋体" w:cs="仿宋_GB2312"/>
          <w:b/>
          <w:color w:val="auto"/>
          <w:sz w:val="24"/>
          <w:szCs w:val="24"/>
          <w:highlight w:val="none"/>
        </w:rPr>
        <w:t xml:space="preserve">5、人员保证与变更：</w:t>
      </w:r>
      <w:r/>
    </w:p>
    <w:p>
      <w:pPr>
        <w:ind w:firstLine="480"/>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后，本项目服务人员在服务期间原则上不允许更换，如确实需要更换的，须跟</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报备。服务期间，</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有权不定期抽查服务人员与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的雇佣关系，如发现有未按时或停止缴纳社保或临时更换、增减人员未报备</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的情况，</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有权终止合同。</w:t>
      </w:r>
      <w:r/>
    </w:p>
    <w:p>
      <w:pPr>
        <w:ind w:firstLine="482"/>
        <w:spacing w:line="360" w:lineRule="auto"/>
        <w:tabs>
          <w:tab w:val="left" w:pos="540" w:leader="none"/>
        </w:tabs>
        <w:rPr>
          <w:rFonts w:hint="eastAsia" w:ascii="宋体" w:hAnsi="宋体" w:eastAsia="宋体" w:cs="仿宋_GB2312"/>
          <w:b/>
          <w:color w:val="auto"/>
          <w:sz w:val="24"/>
          <w:szCs w:val="24"/>
          <w:highlight w:val="none"/>
        </w:rPr>
      </w:pPr>
      <w:r>
        <w:rPr>
          <w:rFonts w:hint="eastAsia" w:ascii="宋体" w:hAnsi="宋体" w:eastAsia="宋体" w:cs="仿宋_GB2312"/>
          <w:b/>
          <w:color w:val="auto"/>
          <w:sz w:val="24"/>
          <w:szCs w:val="24"/>
          <w:highlight w:val="none"/>
          <w:lang w:val="en-US" w:eastAsia="zh-CN"/>
        </w:rPr>
        <w:t xml:space="preserve">6</w:t>
      </w:r>
      <w:r>
        <w:rPr>
          <w:rFonts w:hint="eastAsia" w:ascii="宋体" w:hAnsi="宋体" w:eastAsia="宋体" w:cs="仿宋_GB2312"/>
          <w:b/>
          <w:color w:val="auto"/>
          <w:sz w:val="24"/>
          <w:szCs w:val="24"/>
          <w:highlight w:val="none"/>
        </w:rPr>
        <w:t xml:space="preserve">、甲、乙双方的责任</w:t>
      </w:r>
      <w:r/>
    </w:p>
    <w:p>
      <w:pPr>
        <w:ind w:firstLine="472"/>
        <w:spacing w:line="360" w:lineRule="auto"/>
        <w:tabs>
          <w:tab w:val="left" w:pos="540" w:leader="none"/>
        </w:tabs>
        <w:rPr>
          <w:rFonts w:hint="eastAsia" w:ascii="宋体" w:hAnsi="宋体" w:eastAsia="宋体" w:cs="仿宋_GB2312"/>
          <w:b/>
          <w:color w:val="auto"/>
          <w:sz w:val="24"/>
          <w:szCs w:val="24"/>
          <w:highlight w:val="none"/>
        </w:rPr>
      </w:pP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.1甲方责任：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.1.1在合同生效后，甲方无理由要求毁约的，应向乙方偿付合同总价款的5%，作为违约金，违约金不足以补偿损失的，乙方有权要求甲方补足。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.1.2甲方逾期付款的，应按照逾期付款金额的每天万分之四支付逾期付款违约金。</w:t>
      </w:r>
      <w:r/>
    </w:p>
    <w:p>
      <w:pPr>
        <w:ind w:firstLine="47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.2乙方责任：</w:t>
      </w:r>
      <w:r/>
    </w:p>
    <w:p>
      <w:pPr>
        <w:ind w:firstLine="47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.2.1乙方不能按时提供服务（逾期超过十五天视为不能服务），或提供服务不合格从而给甲方造成影响的，应向甲方偿付合同总价款5%的违约金，违约金不足以补偿损失的甲方有权要求乙方补足。</w:t>
      </w:r>
      <w:r/>
    </w:p>
    <w:p>
      <w:pPr>
        <w:ind w:firstLine="47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.2.2乙方逾期提供服务的，应在事前与甲方和政府采购管理部门协商，甲方仍需求的，乙方应立即提供服务并应按照逾期服务部分的款项的每天万分之四支付逾期违约金，同时承担甲方因此遭致的损失费用。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、保密约定：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对在本协议下知悉的另一方的任何商业秘密均负有保密义务，任何一方在任何时候均不得向第三方披露另一方的商业秘密，非经另一方书面许可不得向任何第三方泄露。任何一方违反本条规定的，应赔偿另一方因此遭受的损失。本协议终止后，双方仍然负有本条款的保密义务。</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、合同修改：</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ind w:firstLine="482"/>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、合同的解除和转让：</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.1有下列情形之一，合同一方可以解除合同：</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.1.1因不可抗力致使不能实现合同目的，未受不可抗力影响的一方有权解除合同。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.1.2因合同一方违约导致合同不能履行，另一方有权解除合同。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.3合同的部分和全部都不得转让。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、争议解决办法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因本合同或与本合同有关的一切事项发生争议，由双方友好协商解决。协商不成的，任何一方均可选择向甲方所在地的人民法院起诉。</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、合同生效及份数</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.1本合同经双方法定（授权）代表人签字（或盖章）并盖单位公章后生效。</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.2下列文件为本合同不可分割部分：</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.2.1成交通知书；</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.2.2乙方磋商响应文件；</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.2.3磋商采购文件；</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.2.4乙方在磋商过程中所作的其他承诺、声明、书面澄清等。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.3合同一式</w:t>
      </w:r>
      <w:r>
        <w:rPr>
          <w:rFonts w:hint="eastAsia" w:ascii="宋体" w:hAnsi="宋体" w:eastAsia="宋体" w:cs="宋体"/>
          <w:color w:val="auto"/>
          <w:sz w:val="24"/>
          <w:szCs w:val="24"/>
          <w:highlight w:val="none"/>
          <w:u w:val="single"/>
          <w:lang w:eastAsia="zh-CN"/>
        </w:rPr>
        <w:t xml:space="preserve">肆</w:t>
      </w:r>
      <w:r>
        <w:rPr>
          <w:rFonts w:hint="eastAsia" w:ascii="宋体" w:hAnsi="宋体" w:eastAsia="宋体" w:cs="宋体"/>
          <w:color w:val="auto"/>
          <w:sz w:val="24"/>
          <w:szCs w:val="24"/>
          <w:highlight w:val="none"/>
        </w:rPr>
        <w:t xml:space="preserve">份，甲方</w:t>
      </w:r>
      <w:r>
        <w:rPr>
          <w:rFonts w:hint="eastAsia" w:ascii="宋体" w:hAnsi="宋体" w:eastAsia="宋体" w:cs="宋体"/>
          <w:color w:val="auto"/>
          <w:sz w:val="24"/>
          <w:szCs w:val="24"/>
          <w:highlight w:val="none"/>
          <w:u w:val="single"/>
          <w:lang w:eastAsia="zh-CN"/>
        </w:rPr>
        <w:t xml:space="preserve">壹</w:t>
      </w:r>
      <w:r>
        <w:rPr>
          <w:rFonts w:hint="eastAsia" w:ascii="宋体" w:hAnsi="宋体" w:eastAsia="宋体" w:cs="宋体"/>
          <w:color w:val="auto"/>
          <w:sz w:val="24"/>
          <w:szCs w:val="24"/>
          <w:highlight w:val="none"/>
          <w:lang w:eastAsia="zh-CN"/>
        </w:rPr>
        <w:t xml:space="preserve">份，</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份，政府采购监督管理部门</w:t>
      </w: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份，采购代理机构</w:t>
      </w: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份。</w:t>
      </w:r>
      <w:r/>
    </w:p>
    <w:tbl>
      <w:tblPr>
        <w:tblStyle w:val="955"/>
        <w:tblW w:w="0" w:type="auto"/>
        <w:jc w:val="center"/>
        <w:tblLayout w:type="fixed"/>
        <w:tblCellMar>
          <w:left w:w="108" w:type="dxa"/>
          <w:top w:w="0" w:type="dxa"/>
          <w:right w:w="108" w:type="dxa"/>
          <w:bottom w:w="0" w:type="dxa"/>
        </w:tblCellMar>
        <w:tblLook w:val="04A0" w:firstRow="1" w:lastRow="0" w:firstColumn="1" w:lastColumn="0" w:noHBand="0" w:noVBand="1"/>
      </w:tblPr>
      <w:tblGrid>
        <w:gridCol w:w="5211"/>
        <w:gridCol w:w="4371"/>
      </w:tblGrid>
      <w:tr>
        <w:trPr>
          <w:jc w:val="center"/>
          <w:trHeight w:val="297"/>
        </w:trPr>
        <w:tc>
          <w:tcPr>
            <w:tcW w:w="5211" w:type="dxa"/>
            <w:vAlign w:val="center"/>
            <w:textDirection w:val="lrTb"/>
            <w:noWrap w:val="false"/>
          </w:tcPr>
          <w:p>
            <w:pPr>
              <w:spacing w:line="360" w:lineRule="auto"/>
              <w:rPr>
                <w:rFonts w:hint="default" w:ascii="宋体" w:hAnsi="宋体" w:eastAsia="宋体" w:cs="仿宋_GB2312"/>
                <w:b w:val="0"/>
                <w:bCs w:val="0"/>
                <w:color w:val="auto"/>
                <w:sz w:val="24"/>
                <w:szCs w:val="24"/>
                <w:highlight w:val="none"/>
              </w:rPr>
            </w:pPr>
            <w:r>
              <w:rPr>
                <w:rFonts w:hint="eastAsia" w:ascii="宋体" w:hAnsi="宋体" w:eastAsia="宋体" w:cs="仿宋_GB2312"/>
                <w:b w:val="0"/>
                <w:bCs w:val="0"/>
                <w:color w:val="auto"/>
                <w:sz w:val="24"/>
                <w:szCs w:val="24"/>
                <w:highlight w:val="none"/>
              </w:rPr>
              <w:t xml:space="preserve">甲方（盖章）：</w:t>
            </w:r>
            <w:r/>
          </w:p>
        </w:tc>
        <w:tc>
          <w:tcPr>
            <w:tcW w:w="4371" w:type="dxa"/>
            <w:vAlign w:val="center"/>
            <w:textDirection w:val="lrTb"/>
            <w:noWrap w:val="false"/>
          </w:tcPr>
          <w:p>
            <w:pPr>
              <w:spacing w:line="360" w:lineRule="auto"/>
              <w:rPr>
                <w:rFonts w:hint="default"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乙方（盖章）：</w:t>
            </w:r>
            <w:r/>
          </w:p>
        </w:tc>
      </w:tr>
      <w:tr>
        <w:trPr>
          <w:jc w:val="center"/>
        </w:trPr>
        <w:tc>
          <w:tcPr>
            <w:tcW w:w="5211" w:type="dxa"/>
            <w:vAlign w:val="center"/>
            <w:textDirection w:val="lrTb"/>
            <w:noWrap w:val="false"/>
          </w:tcPr>
          <w:p>
            <w:pPr>
              <w:spacing w:line="360" w:lineRule="auto"/>
              <w:rPr>
                <w:rFonts w:hint="default" w:ascii="宋体" w:hAnsi="宋体" w:eastAsia="宋体" w:cs="仿宋_GB2312"/>
                <w:b w:val="0"/>
                <w:bCs w:val="0"/>
                <w:color w:val="auto"/>
                <w:sz w:val="24"/>
                <w:szCs w:val="24"/>
                <w:highlight w:val="none"/>
              </w:rPr>
            </w:pPr>
            <w:r>
              <w:rPr>
                <w:rFonts w:hint="eastAsia" w:ascii="宋体" w:hAnsi="宋体" w:eastAsia="宋体" w:cs="仿宋_GB2312"/>
                <w:b w:val="0"/>
                <w:bCs w:val="0"/>
                <w:color w:val="auto"/>
                <w:sz w:val="24"/>
                <w:szCs w:val="24"/>
                <w:highlight w:val="none"/>
              </w:rPr>
              <w:t xml:space="preserve">法定（授权）代表人（签字）：</w:t>
            </w:r>
            <w:r/>
          </w:p>
        </w:tc>
        <w:tc>
          <w:tcPr>
            <w:tcW w:w="4371" w:type="dxa"/>
            <w:vAlign w:val="center"/>
            <w:textDirection w:val="lrTb"/>
            <w:noWrap w:val="false"/>
          </w:tcPr>
          <w:p>
            <w:pPr>
              <w:spacing w:line="360" w:lineRule="auto"/>
              <w:rPr>
                <w:rFonts w:hint="default"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法定（授权）代表人（签字）：</w:t>
            </w:r>
            <w:r/>
          </w:p>
        </w:tc>
      </w:tr>
      <w:tr>
        <w:trPr>
          <w:jc w:val="center"/>
        </w:trPr>
        <w:tc>
          <w:tcPr>
            <w:tcW w:w="5211" w:type="dxa"/>
            <w:vAlign w:val="center"/>
            <w:textDirection w:val="lrTb"/>
            <w:noWrap w:val="false"/>
          </w:tcPr>
          <w:p>
            <w:pPr>
              <w:spacing w:line="360" w:lineRule="auto"/>
              <w:rPr>
                <w:rFonts w:hint="default" w:ascii="宋体" w:hAnsi="宋体" w:eastAsia="宋体" w:cs="仿宋_GB2312"/>
                <w:b w:val="0"/>
                <w:bCs w:val="0"/>
                <w:color w:val="auto"/>
                <w:sz w:val="24"/>
                <w:szCs w:val="24"/>
                <w:highlight w:val="none"/>
              </w:rPr>
            </w:pPr>
            <w:r>
              <w:rPr>
                <w:rFonts w:hint="eastAsia" w:ascii="宋体" w:hAnsi="宋体" w:eastAsia="宋体" w:cs="仿宋_GB2312"/>
                <w:b w:val="0"/>
                <w:bCs w:val="0"/>
                <w:color w:val="auto"/>
                <w:sz w:val="24"/>
                <w:szCs w:val="24"/>
                <w:highlight w:val="none"/>
              </w:rPr>
              <w:t xml:space="preserve">日期：</w:t>
            </w:r>
            <w:r/>
          </w:p>
        </w:tc>
        <w:tc>
          <w:tcPr>
            <w:tcW w:w="4371" w:type="dxa"/>
            <w:vAlign w:val="center"/>
            <w:textDirection w:val="lrTb"/>
            <w:noWrap w:val="false"/>
          </w:tcPr>
          <w:p>
            <w:pPr>
              <w:spacing w:line="360" w:lineRule="auto"/>
              <w:rPr>
                <w:rFonts w:hint="default"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日期：</w:t>
            </w:r>
            <w:r/>
          </w:p>
        </w:tc>
      </w:tr>
    </w:tbl>
    <w:p>
      <w:pPr>
        <w:jc w:val="center"/>
        <w:spacing w:line="360" w:lineRule="auto"/>
        <w:rPr>
          <w:rFonts w:hint="eastAsia" w:ascii="宋体" w:hAnsi="宋体" w:eastAsia="宋体" w:cs="宋体"/>
          <w:sz w:val="24"/>
          <w:szCs w:val="24"/>
          <w:highlight w:val="none"/>
          <w:lang w:eastAsia="zh-CN"/>
        </w:rPr>
        <w:sectPr>
          <w:headerReference w:type="default" r:id="rId11"/>
          <w:footerReference w:type="default" r:id="rId18"/>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sz w:val="24"/>
          <w:szCs w:val="24"/>
          <w:highlight w:val="none"/>
          <w:lang w:eastAsia="zh-CN"/>
        </w:rPr>
      </w:r>
      <w:r/>
    </w:p>
    <w:p>
      <w:pPr>
        <w:jc w:val="both"/>
        <w:spacing w:line="360" w:lineRule="auto"/>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w:t>
      </w:r>
      <w:r/>
    </w:p>
    <w:p>
      <w:pPr>
        <w:jc w:val="cente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年“体质测定与运动健身指导站”评分表</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7277100</wp:posOffset>
                </wp:positionH>
                <wp:positionV relativeFrom="paragraph">
                  <wp:posOffset>259080</wp:posOffset>
                </wp:positionV>
                <wp:extent cx="2000250" cy="0"/>
                <wp:effectExtent l="4445" t="5080" r="5080" b="4445"/>
                <wp:wrapNone/>
                <wp:docPr id="7" name="任意多边形 17"/>
                <wp:cNvGraphicFramePr/>
                <a:graphic xmlns:a="http://schemas.openxmlformats.org/drawingml/2006/main">
                  <a:graphicData uri="http://schemas.microsoft.com/office/word/2010/wordprocessingShape">
                    <wps:wsp>
                      <wps:cNvPr id="0" name=""/>
                      <wps:cNvSpPr/>
                      <wps:spPr bwMode="auto">
                        <a:xfrm>
                          <a:off x="0" y="0"/>
                          <a:ext cx="2000250"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573.0pt;mso-position-horizontal:absolute;mso-position-vertical-relative:text;margin-top:20.4pt;mso-position-vertical:absolute;width:157.5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762000</wp:posOffset>
                </wp:positionH>
                <wp:positionV relativeFrom="paragraph">
                  <wp:posOffset>259080</wp:posOffset>
                </wp:positionV>
                <wp:extent cx="2790825" cy="0"/>
                <wp:effectExtent l="4445" t="4445" r="5080" b="5080"/>
                <wp:wrapNone/>
                <wp:docPr id="8" name="任意多边形 5"/>
                <wp:cNvGraphicFramePr/>
                <a:graphic xmlns:a="http://schemas.openxmlformats.org/drawingml/2006/main">
                  <a:graphicData uri="http://schemas.microsoft.com/office/word/2010/wordprocessingShape">
                    <wps:wsp>
                      <wps:cNvPr id="0" name=""/>
                      <wps:cNvSpPr/>
                      <wps:spPr bwMode="auto">
                        <a:xfrm>
                          <a:off x="0" y="0"/>
                          <a:ext cx="2790824"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60.0pt;mso-position-horizontal:absolute;mso-position-vertical-relative:text;margin-top:20.4pt;mso-position-vertical:absolute;width:219.8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自评时间：     </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7277100</wp:posOffset>
                </wp:positionH>
                <wp:positionV relativeFrom="paragraph">
                  <wp:posOffset>257175</wp:posOffset>
                </wp:positionV>
                <wp:extent cx="2000250" cy="0"/>
                <wp:effectExtent l="4445" t="5080" r="5080" b="4445"/>
                <wp:wrapNone/>
                <wp:docPr id="9" name="任意多边形 6"/>
                <wp:cNvGraphicFramePr/>
                <a:graphic xmlns:a="http://schemas.openxmlformats.org/drawingml/2006/main">
                  <a:graphicData uri="http://schemas.microsoft.com/office/word/2010/wordprocessingShape">
                    <wps:wsp>
                      <wps:cNvPr id="0" name=""/>
                      <wps:cNvSpPr/>
                      <wps:spPr bwMode="auto">
                        <a:xfrm>
                          <a:off x="0" y="0"/>
                          <a:ext cx="2000250"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1312;o:allowoverlap:true;o:allowincell:true;mso-position-horizontal-relative:text;margin-left:573.0pt;mso-position-horizontal:absolute;mso-position-vertical-relative:text;margin-top:20.2pt;mso-position-vertical:absolute;width:157.5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b/>
          <w:sz w:val="24"/>
          <w:szCs w:val="24"/>
          <w:highlight w:val="none"/>
        </w:rPr>
        <w:t xml:space="preserve">一、自评情况（打√）</w:t>
      </w:r>
      <w:r>
        <w:rPr>
          <w:rFonts w:hint="eastAsia" w:ascii="宋体" w:hAnsi="宋体" w:eastAsia="宋体" w:cs="宋体"/>
          <w:sz w:val="24"/>
          <w:szCs w:val="24"/>
          <w:highlight w:val="none"/>
        </w:rPr>
        <w:t xml:space="preserve">                                                                复评时间：      </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79"/>
      </w:tblGrid>
      <w:tr>
        <w:trPr>
          <w:jc w:val="center"/>
          <w:trHeight w:val="151"/>
        </w:trPr>
        <w:tc>
          <w:tcPr>
            <w:tcW w:w="14679" w:type="dxa"/>
            <w:vAlign w:val="top"/>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自评情况</w:t>
            </w:r>
            <w:r/>
          </w:p>
        </w:tc>
      </w:tr>
      <w:tr>
        <w:trPr>
          <w:jc w:val="center"/>
          <w:trHeight w:val="5480"/>
        </w:trPr>
        <w:tc>
          <w:tcPr>
            <w:tcW w:w="14679" w:type="dxa"/>
            <w:vAlign w:val="top"/>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二、得分汇总表</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24"/>
        <w:gridCol w:w="1965"/>
        <w:gridCol w:w="1655"/>
        <w:gridCol w:w="1745"/>
        <w:gridCol w:w="1809"/>
        <w:gridCol w:w="3967"/>
      </w:tblGrid>
      <w:tr>
        <w:trPr>
          <w:jc w:val="center"/>
          <w:trHeight w:val="452" w:hRule="exact"/>
        </w:trPr>
        <w:tc>
          <w:tcPr>
            <w:tcW w:w="352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考核项目</w:t>
            </w:r>
            <w:r/>
          </w:p>
        </w:tc>
        <w:tc>
          <w:tcPr>
            <w:tcW w:w="196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额定分</w:t>
            </w:r>
            <w:r/>
          </w:p>
        </w:tc>
        <w:tc>
          <w:tcPr>
            <w:tcW w:w="165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自评分</w:t>
            </w:r>
            <w:r/>
          </w:p>
        </w:tc>
        <w:tc>
          <w:tcPr>
            <w:tcW w:w="174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市复查分</w:t>
            </w:r>
            <w:r/>
          </w:p>
        </w:tc>
        <w:tc>
          <w:tcPr>
            <w:tcW w:w="180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考核签名</w:t>
            </w:r>
            <w:r/>
          </w:p>
        </w:tc>
        <w:tc>
          <w:tcPr>
            <w:tcW w:w="396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结果评判说明</w:t>
            </w:r>
            <w:r/>
          </w:p>
        </w:tc>
      </w:tr>
      <w:tr>
        <w:trPr>
          <w:jc w:val="center"/>
          <w:trHeight w:val="452" w:hRule="exact"/>
        </w:trPr>
        <w:tc>
          <w:tcPr>
            <w:tcW w:w="352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1、测试仪器及开放</w:t>
            </w:r>
            <w:r/>
          </w:p>
        </w:tc>
        <w:tc>
          <w:tcPr>
            <w:tcW w:w="196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w:t>
            </w:r>
            <w:r/>
          </w:p>
        </w:tc>
        <w:tc>
          <w:tcPr>
            <w:tcW w:w="165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9" w:type="dxa"/>
            <w:vAlign w:val="center"/>
            <w:vMerge w:val="restart"/>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7" w:type="dxa"/>
            <w:vAlign w:val="center"/>
            <w:vMerge w:val="restart"/>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1.总分为各项考核实得分相加求和；各单位按总分顺序排列综合评定。</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2.考核实行积分制与扣分制相结合，按照所设考核项目要求进行评分，每项额定分扣完为止。</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1.5#为附加项，设附加分10分。总分实得分按XX+附加分统计。</w:t>
            </w:r>
            <w:r/>
          </w:p>
        </w:tc>
      </w:tr>
      <w:tr>
        <w:trPr>
          <w:jc w:val="center"/>
          <w:trHeight w:val="452" w:hRule="exact"/>
        </w:trPr>
        <w:tc>
          <w:tcPr>
            <w:tcW w:w="352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2、体质测定</w:t>
            </w:r>
            <w:r/>
          </w:p>
        </w:tc>
        <w:tc>
          <w:tcPr>
            <w:tcW w:w="1965"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165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7"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2" w:hRule="exact"/>
        </w:trPr>
        <w:tc>
          <w:tcPr>
            <w:tcW w:w="352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3、健身指导</w:t>
            </w:r>
            <w:r/>
          </w:p>
        </w:tc>
        <w:tc>
          <w:tcPr>
            <w:tcW w:w="1965"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W w:w="165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7"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2" w:hRule="exact"/>
        </w:trPr>
        <w:tc>
          <w:tcPr>
            <w:tcW w:w="352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4、组织机构</w:t>
            </w:r>
            <w:r/>
          </w:p>
        </w:tc>
        <w:tc>
          <w:tcPr>
            <w:tcW w:w="196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65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7"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2" w:hRule="exact"/>
        </w:trPr>
        <w:tc>
          <w:tcPr>
            <w:tcW w:w="352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5、人员构成及培养</w:t>
            </w:r>
            <w:r/>
          </w:p>
        </w:tc>
        <w:tc>
          <w:tcPr>
            <w:tcW w:w="196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165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7"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2" w:hRule="exact"/>
        </w:trPr>
        <w:tc>
          <w:tcPr>
            <w:tcW w:w="352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6、常效运营模式</w:t>
            </w:r>
            <w:r/>
          </w:p>
        </w:tc>
        <w:tc>
          <w:tcPr>
            <w:tcW w:w="196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65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7"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2" w:hRule="exact"/>
        </w:trPr>
        <w:tc>
          <w:tcPr>
            <w:tcW w:w="352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7、市民投诉</w:t>
            </w:r>
            <w:r/>
          </w:p>
        </w:tc>
        <w:tc>
          <w:tcPr>
            <w:tcW w:w="196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5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7"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2" w:hRule="exact"/>
        </w:trPr>
        <w:tc>
          <w:tcPr>
            <w:tcW w:w="352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  分</w:t>
            </w:r>
            <w:r/>
          </w:p>
        </w:tc>
        <w:tc>
          <w:tcPr>
            <w:tcW w:w="196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100+附加分</w:t>
            </w:r>
            <w:r/>
          </w:p>
        </w:tc>
        <w:tc>
          <w:tcPr>
            <w:tcW w:w="1655" w:type="dxa"/>
            <w:vAlign w:val="center"/>
            <w:textDirection w:val="lrTb"/>
            <w:noWrap w:val="false"/>
          </w:tcPr>
          <w:p>
            <w:pPr>
              <w:ind w:firstLine="480"/>
              <w:jc w:val="both"/>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5"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967"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三、评分细则：</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2619375</wp:posOffset>
                </wp:positionH>
                <wp:positionV relativeFrom="paragraph">
                  <wp:posOffset>262255</wp:posOffset>
                </wp:positionV>
                <wp:extent cx="638175" cy="0"/>
                <wp:effectExtent l="4445" t="4445" r="5080" b="5080"/>
                <wp:wrapNone/>
                <wp:docPr id="10" name="任意多边形 18"/>
                <wp:cNvGraphicFramePr/>
                <a:graphic xmlns:a="http://schemas.openxmlformats.org/drawingml/2006/main">
                  <a:graphicData uri="http://schemas.microsoft.com/office/word/2010/wordprocessingShape">
                    <wps:wsp>
                      <wps:cNvPr id="0" name=""/>
                      <wps:cNvSpPr/>
                      <wps:spPr bwMode="auto">
                        <a:xfrm>
                          <a:off x="0" y="0"/>
                          <a:ext cx="63817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206.2pt;mso-position-horizontal:absolute;mso-position-vertical-relative:text;margin-top:20.6pt;mso-position-vertical:absolute;width:50.2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highlight w:val="none"/>
        </w:rPr>
        <w:t xml:space="preserve">1、测试仪器设备（40分/100分）得分                   （分数=各项实得分相加）           </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4"/>
        <w:gridCol w:w="1869"/>
        <w:gridCol w:w="3465"/>
        <w:gridCol w:w="4453"/>
        <w:gridCol w:w="1154"/>
        <w:gridCol w:w="1153"/>
        <w:gridCol w:w="1319"/>
      </w:tblGrid>
      <w:tr>
        <w:trPr>
          <w:cantSplit/>
          <w:jc w:val="center"/>
          <w:trHeight w:val="397"/>
        </w:trPr>
        <w:tc>
          <w:tcPr>
            <w:tcW w:w="122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要素</w:t>
            </w:r>
            <w:r/>
          </w:p>
        </w:tc>
        <w:tc>
          <w:tcPr>
            <w:gridSpan w:val="2"/>
            <w:tcW w:w="533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W w:w="4453"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考核要求及办法</w:t>
            </w:r>
            <w:r/>
          </w:p>
        </w:tc>
        <w:tc>
          <w:tcPr>
            <w:tcW w:w="115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额定分</w:t>
            </w:r>
            <w:r/>
          </w:p>
        </w:tc>
        <w:tc>
          <w:tcPr>
            <w:tcW w:w="1153"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自评分</w:t>
            </w:r>
            <w:r/>
          </w:p>
        </w:tc>
        <w:tc>
          <w:tcPr>
            <w:tcW w:w="131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市复评分</w:t>
            </w:r>
            <w:r/>
          </w:p>
        </w:tc>
      </w:tr>
      <w:tr>
        <w:trPr>
          <w:cantSplit/>
          <w:jc w:val="center"/>
          <w:trHeight w:val="397"/>
        </w:trPr>
        <w:tc>
          <w:tcPr>
            <w:tcW w:w="122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869"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体质测试仪器</w:t>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监测器材数据准确可靠</w:t>
            </w:r>
            <w:r/>
          </w:p>
        </w:tc>
        <w:tc>
          <w:tcPr>
            <w:tcW w:w="4453"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核对仪器设备，测试结果符合相应标准，一项测试结果不准确扣1分。</w:t>
            </w:r>
            <w:r/>
          </w:p>
        </w:tc>
        <w:tc>
          <w:tcPr>
            <w:tcW w:w="115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1153"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cantSplit/>
          <w:jc w:val="center"/>
          <w:trHeight w:val="397"/>
        </w:trPr>
        <w:tc>
          <w:tcPr>
            <w:tcW w:w="1224"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869" w:type="dxa"/>
            <w:vAlign w:val="center"/>
            <w:vMerge w:val="restart"/>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保障仪器设备正常使用</w:t>
            </w:r>
            <w:r/>
          </w:p>
        </w:tc>
        <w:tc>
          <w:tcPr>
            <w:tcW w:w="3465" w:type="dxa"/>
            <w:vAlign w:val="center"/>
            <w:textDirection w:val="lrTb"/>
            <w:noWrap w:val="false"/>
          </w:tcPr>
          <w:p>
            <w:pPr>
              <w:numPr>
                <w:ilvl w:val="0"/>
                <w:numId w:val="3"/>
              </w:numPr>
              <w:contextualSpacing/>
              <w:ind w:left="480" w:hanging="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国家标准测试</w:t>
            </w:r>
            <w:r/>
          </w:p>
        </w:tc>
        <w:tc>
          <w:tcPr>
            <w:tcW w:w="4453" w:type="dxa"/>
            <w:vAlign w:val="center"/>
            <w:vMerge w:val="restart"/>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保证设备正常使用，设备因人为原因停用超过1天以上每一天扣1分。</w:t>
            </w:r>
            <w:r/>
          </w:p>
        </w:tc>
        <w:tc>
          <w:tcPr>
            <w:tcW w:w="1154"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1153" w:type="dxa"/>
            <w:vAlign w:val="center"/>
            <w:vMerge w:val="restart"/>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restart"/>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numPr>
                <w:ilvl w:val="0"/>
                <w:numId w:val="3"/>
              </w:numPr>
              <w:contextualSpacing/>
              <w:ind w:left="480" w:hanging="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体成分测试仪</w:t>
            </w:r>
            <w:r/>
          </w:p>
        </w:tc>
        <w:tc>
          <w:tcPr>
            <w:tcW w:w="4453"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numPr>
                <w:ilvl w:val="0"/>
                <w:numId w:val="3"/>
              </w:numPr>
              <w:contextualSpacing/>
              <w:ind w:left="480" w:hanging="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高血压风险评估</w:t>
            </w:r>
            <w:r/>
          </w:p>
        </w:tc>
        <w:tc>
          <w:tcPr>
            <w:tcW w:w="4453"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numPr>
                <w:ilvl w:val="0"/>
                <w:numId w:val="3"/>
              </w:numPr>
              <w:contextualSpacing/>
              <w:ind w:left="480" w:hanging="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骨密度测试</w:t>
            </w:r>
            <w:r/>
          </w:p>
        </w:tc>
        <w:tc>
          <w:tcPr>
            <w:tcW w:w="4453"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numPr>
                <w:ilvl w:val="0"/>
                <w:numId w:val="3"/>
              </w:numPr>
              <w:contextualSpacing/>
              <w:ind w:left="480" w:hanging="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动脉血管硬化测试</w:t>
            </w:r>
            <w:r/>
          </w:p>
        </w:tc>
        <w:tc>
          <w:tcPr>
            <w:tcW w:w="4453"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numPr>
                <w:ilvl w:val="0"/>
                <w:numId w:val="3"/>
              </w:numPr>
              <w:contextualSpacing/>
              <w:ind w:left="480" w:hanging="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糖尿病风险评估</w:t>
            </w:r>
            <w:r/>
          </w:p>
        </w:tc>
        <w:tc>
          <w:tcPr>
            <w:tcW w:w="4453"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869" w:type="dxa"/>
            <w:vAlign w:val="center"/>
            <w:vMerge w:val="restart"/>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开放时间和服务</w:t>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根据协议约定时间开放</w:t>
            </w:r>
            <w:r/>
          </w:p>
        </w:tc>
        <w:tc>
          <w:tcPr>
            <w:tcW w:w="4453" w:type="dxa"/>
            <w:vAlign w:val="center"/>
            <w:vMerge w:val="restart"/>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开放时间少于协议约定每一天扣1分。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及时反馈测试结果，进行相关健身指导。</w:t>
            </w:r>
            <w:r/>
          </w:p>
        </w:tc>
        <w:tc>
          <w:tcPr>
            <w:tcW w:w="1154"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1153" w:type="dxa"/>
            <w:vAlign w:val="center"/>
            <w:vMerge w:val="restart"/>
            <w:textDirection w:val="lrTb"/>
            <w:noWrap w:val="false"/>
          </w:tcPr>
          <w:p>
            <w:pPr>
              <w:ind w:firstLine="24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restart"/>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cantSplit/>
          <w:jc w:val="center"/>
          <w:trHeight w:val="90"/>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提供测试结果</w:t>
            </w:r>
            <w:r/>
          </w:p>
        </w:tc>
        <w:tc>
          <w:tcPr>
            <w:tcW w:w="4453"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提供运动指导</w:t>
            </w:r>
            <w:r/>
          </w:p>
        </w:tc>
        <w:tc>
          <w:tcPr>
            <w:tcW w:w="4453"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869" w:type="dxa"/>
            <w:vAlign w:val="center"/>
            <w:vMerge w:val="restart"/>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测试数据建档管理</w:t>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国民体质测试系统</w:t>
            </w:r>
            <w:r/>
          </w:p>
        </w:tc>
        <w:tc>
          <w:tcPr>
            <w:tcW w:w="4453" w:type="dxa"/>
            <w:vAlign w:val="center"/>
            <w:vMerge w:val="restart"/>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测试人员建档，资料数据齐全。</w:t>
            </w:r>
            <w:r/>
          </w:p>
        </w:tc>
        <w:tc>
          <w:tcPr>
            <w:tcW w:w="1154"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c>
          <w:tcPr>
            <w:tcW w:w="1153" w:type="dxa"/>
            <w:vAlign w:val="center"/>
            <w:vMerge w:val="restart"/>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restart"/>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体质健康信息管理平台</w:t>
            </w:r>
            <w:r/>
          </w:p>
        </w:tc>
        <w:tc>
          <w:tcPr>
            <w:tcW w:w="4453"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restart"/>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869" w:type="dxa"/>
            <w:vAlign w:val="center"/>
            <w:vMerge w:val="restart"/>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有专家现场咨询</w:t>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运动损伤</w:t>
            </w:r>
            <w:r/>
          </w:p>
        </w:tc>
        <w:tc>
          <w:tcPr>
            <w:tcW w:w="4453" w:type="dxa"/>
            <w:vAlign w:val="center"/>
            <w:vMerge w:val="restart"/>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满一个月加3.33分。</w:t>
            </w:r>
            <w:r/>
          </w:p>
        </w:tc>
        <w:tc>
          <w:tcPr>
            <w:tcW w:w="1154" w:type="dxa"/>
            <w:vAlign w:val="center"/>
            <w:vMerge w:val="restart"/>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附加分  10分</w:t>
            </w:r>
            <w:r/>
          </w:p>
        </w:tc>
        <w:tc>
          <w:tcPr>
            <w:tcW w:w="1153" w:type="dxa"/>
            <w:vAlign w:val="center"/>
            <w:vMerge w:val="restart"/>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restart"/>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运动康复</w:t>
            </w:r>
            <w:r/>
          </w:p>
        </w:tc>
        <w:tc>
          <w:tcPr>
            <w:tcW w:w="44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膳食营养</w:t>
            </w:r>
            <w:r/>
          </w:p>
        </w:tc>
        <w:tc>
          <w:tcPr>
            <w:tcW w:w="44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3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科学健身方法</w:t>
            </w:r>
            <w:r/>
          </w:p>
        </w:tc>
        <w:tc>
          <w:tcPr>
            <w:tcW w:w="44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7"/>
        </w:trPr>
        <w:tc>
          <w:tcPr>
            <w:tcW w:w="122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9" w:type="dxa"/>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6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报告解读</w:t>
            </w:r>
            <w:r/>
          </w:p>
        </w:tc>
        <w:tc>
          <w:tcPr>
            <w:tcW w:w="44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4"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3"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9" w:type="dxa"/>
            <w:vAlign w:val="center"/>
            <w:vMerge w:val="continue"/>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1.1体质测试仪器考核内容为国民体质测试基本仪器，含身高测试仪、体重测试仪、肺活量测试仪、握力测试仪、坐位体前屈测试仪、闭眼单脚站立测试仪、反应时测试仪、纵跳测试仪、仰卧起坐测试仪、俯卧撑测试仪、台阶试验评定指数测试仪。</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2371725</wp:posOffset>
                </wp:positionH>
                <wp:positionV relativeFrom="paragraph">
                  <wp:posOffset>262890</wp:posOffset>
                </wp:positionV>
                <wp:extent cx="638175" cy="0"/>
                <wp:effectExtent l="4445" t="4445" r="5080" b="5080"/>
                <wp:wrapNone/>
                <wp:docPr id="11" name="任意多边形 8"/>
                <wp:cNvGraphicFramePr/>
                <a:graphic xmlns:a="http://schemas.openxmlformats.org/drawingml/2006/main">
                  <a:graphicData uri="http://schemas.microsoft.com/office/word/2010/wordprocessingShape">
                    <wps:wsp>
                      <wps:cNvPr id="0" name=""/>
                      <wps:cNvSpPr/>
                      <wps:spPr bwMode="auto">
                        <a:xfrm>
                          <a:off x="0" y="0"/>
                          <a:ext cx="63817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186.8pt;mso-position-horizontal:absolute;mso-position-vertical-relative:text;margin-top:20.7pt;mso-position-vertical:absolute;width:50.2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highlight w:val="none"/>
        </w:rPr>
        <w:t xml:space="preserve">2、体质测定（18分/100分）得分                   （分数=各项实得分相加）             </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3400"/>
        <w:gridCol w:w="5763"/>
        <w:gridCol w:w="1320"/>
        <w:gridCol w:w="1482"/>
        <w:gridCol w:w="1318"/>
      </w:tblGrid>
      <w:tr>
        <w:trPr>
          <w:cantSplit/>
          <w:jc w:val="center"/>
          <w:trHeight w:val="397"/>
        </w:trPr>
        <w:tc>
          <w:tcPr>
            <w:tcW w:w="138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要素</w:t>
            </w:r>
            <w:r/>
          </w:p>
        </w:tc>
        <w:tc>
          <w:tcPr>
            <w:tcW w:w="3400"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W w:w="5763"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考核要求及办法</w:t>
            </w:r>
            <w:r/>
          </w:p>
        </w:tc>
        <w:tc>
          <w:tcPr>
            <w:tcW w:w="1320"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额定分</w:t>
            </w:r>
            <w:r/>
          </w:p>
        </w:tc>
        <w:tc>
          <w:tcPr>
            <w:tcW w:w="148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自评分</w:t>
            </w:r>
            <w:r/>
          </w:p>
        </w:tc>
        <w:tc>
          <w:tcPr>
            <w:tcW w:w="131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市复评分</w:t>
            </w:r>
            <w:r/>
          </w:p>
        </w:tc>
      </w:tr>
      <w:tr>
        <w:trPr>
          <w:jc w:val="center"/>
          <w:trHeight w:val="397"/>
        </w:trPr>
        <w:tc>
          <w:tcPr>
            <w:tcW w:w="138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W w:w="340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每半年</w:t>
            </w:r>
            <w:r>
              <w:rPr>
                <w:rFonts w:hint="eastAsia" w:ascii="宋体" w:hAnsi="宋体" w:eastAsia="宋体" w:cs="宋体"/>
                <w:sz w:val="24"/>
                <w:szCs w:val="24"/>
                <w:highlight w:val="none"/>
              </w:rPr>
              <w:t xml:space="preserve">能够完成不少于</w:t>
            </w:r>
            <w:r>
              <w:rPr>
                <w:rFonts w:hint="eastAsia" w:ascii="宋体" w:hAnsi="宋体" w:eastAsia="宋体" w:cs="宋体"/>
                <w:sz w:val="24"/>
                <w:szCs w:val="24"/>
                <w:highlight w:val="none"/>
                <w:lang w:val="en-US" w:eastAsia="zh-CN"/>
              </w:rPr>
              <w:t xml:space="preserve">4000</w:t>
            </w:r>
            <w:r>
              <w:rPr>
                <w:rFonts w:hint="eastAsia" w:ascii="宋体" w:hAnsi="宋体" w:eastAsia="宋体" w:cs="宋体"/>
                <w:sz w:val="24"/>
                <w:szCs w:val="24"/>
                <w:highlight w:val="none"/>
              </w:rPr>
              <w:t xml:space="preserve">人的体质测试，</w:t>
            </w:r>
            <w:r>
              <w:rPr>
                <w:rFonts w:hint="eastAsia" w:ascii="宋体" w:hAnsi="宋体" w:eastAsia="宋体" w:cs="宋体"/>
                <w:sz w:val="24"/>
                <w:szCs w:val="24"/>
                <w:highlight w:val="none"/>
                <w:lang w:val="zh-CN"/>
              </w:rPr>
              <w:t xml:space="preserve">有效数据样本量比例不少于80%，提供科学健身指导</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体能康复指导服务。</w:t>
            </w:r>
            <w:r/>
          </w:p>
        </w:tc>
        <w:tc>
          <w:tcPr>
            <w:tcW w:w="5763"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能够准确采集数据，全面完成上级业务部门下达的工作目标任务，完成质量好，有完整记录，报送数据材料及时。</w:t>
            </w:r>
            <w:r/>
          </w:p>
        </w:tc>
        <w:tc>
          <w:tcPr>
            <w:tcW w:w="1320"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c>
          <w:tcPr>
            <w:tcW w:w="1482" w:type="dxa"/>
            <w:vAlign w:val="center"/>
            <w:textDirection w:val="lrTb"/>
            <w:noWrap w:val="false"/>
          </w:tcPr>
          <w:p>
            <w:pPr>
              <w:ind w:firstLine="24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8"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397"/>
        </w:trPr>
        <w:tc>
          <w:tcPr>
            <w:tcW w:w="138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W w:w="340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现场测试考核</w:t>
            </w:r>
            <w:r/>
          </w:p>
        </w:tc>
        <w:tc>
          <w:tcPr>
            <w:tcW w:w="5763"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现场进行模拟测试并出具评估报告。如现场测试不符合相应规范要求，本项目不得分。</w:t>
            </w:r>
            <w:r/>
          </w:p>
        </w:tc>
        <w:tc>
          <w:tcPr>
            <w:tcW w:w="1320"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3分</w:t>
            </w:r>
            <w:r/>
          </w:p>
        </w:tc>
        <w:tc>
          <w:tcPr>
            <w:tcW w:w="1482"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18"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bl>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2305050</wp:posOffset>
                </wp:positionH>
                <wp:positionV relativeFrom="paragraph">
                  <wp:posOffset>268605</wp:posOffset>
                </wp:positionV>
                <wp:extent cx="638175" cy="0"/>
                <wp:effectExtent l="4445" t="4445" r="5080" b="5080"/>
                <wp:wrapNone/>
                <wp:docPr id="12" name="任意多边形 9"/>
                <wp:cNvGraphicFramePr/>
                <a:graphic xmlns:a="http://schemas.openxmlformats.org/drawingml/2006/main">
                  <a:graphicData uri="http://schemas.microsoft.com/office/word/2010/wordprocessingShape">
                    <wps:wsp>
                      <wps:cNvPr id="0" name=""/>
                      <wps:cNvSpPr/>
                      <wps:spPr bwMode="auto">
                        <a:xfrm>
                          <a:off x="0" y="0"/>
                          <a:ext cx="63817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181.5pt;mso-position-horizontal:absolute;mso-position-vertical-relative:text;margin-top:21.1pt;mso-position-vertical:absolute;width:50.2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highlight w:val="none"/>
        </w:rPr>
        <w:t xml:space="preserve">3、健身指导（12分/100分）得分                   （分数=各项实得分相加）              </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431"/>
        <w:gridCol w:w="5802"/>
        <w:gridCol w:w="1337"/>
        <w:gridCol w:w="1489"/>
        <w:gridCol w:w="1283"/>
      </w:tblGrid>
      <w:tr>
        <w:trPr>
          <w:jc w:val="center"/>
          <w:trHeight w:val="397"/>
        </w:trPr>
        <w:tc>
          <w:tcPr>
            <w:tcW w:w="1353"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要素</w:t>
            </w:r>
            <w:r/>
          </w:p>
        </w:tc>
        <w:tc>
          <w:tcPr>
            <w:tcW w:w="343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W w:w="580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考核要求及办法</w:t>
            </w:r>
            <w:r/>
          </w:p>
        </w:tc>
        <w:tc>
          <w:tcPr>
            <w:tcW w:w="13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额定分</w:t>
            </w:r>
            <w:r/>
          </w:p>
        </w:tc>
        <w:tc>
          <w:tcPr>
            <w:tcW w:w="148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自评分</w:t>
            </w:r>
            <w:r/>
          </w:p>
        </w:tc>
        <w:tc>
          <w:tcPr>
            <w:tcW w:w="1283"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市复评分</w:t>
            </w:r>
            <w:r/>
          </w:p>
        </w:tc>
      </w:tr>
      <w:tr>
        <w:trPr>
          <w:jc w:val="center"/>
          <w:trHeight w:val="397"/>
        </w:trPr>
        <w:tc>
          <w:tcPr>
            <w:tcW w:w="1353"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p>
        </w:tc>
        <w:tc>
          <w:tcPr>
            <w:tcW w:w="3431" w:type="dxa"/>
            <w:vAlign w:val="center"/>
            <w:textDirection w:val="lrTb"/>
            <w:noWrap w:val="false"/>
          </w:tcPr>
          <w:p>
            <w:pPr>
              <w:jc w:val="left"/>
              <w:spacing w:line="360" w:lineRule="auto"/>
              <w:widowControl/>
              <w:rPr>
                <w:rFonts w:hint="eastAsia"/>
                <w:highlight w:val="none"/>
              </w:rPr>
            </w:pPr>
            <w:r>
              <w:rPr>
                <w:rFonts w:hint="eastAsia" w:ascii="宋体" w:hAnsi="宋体" w:eastAsia="宋体" w:cs="宋体"/>
                <w:sz w:val="24"/>
                <w:szCs w:val="24"/>
                <w:highlight w:val="none"/>
                <w:lang w:eastAsia="zh-CN"/>
              </w:rPr>
              <w:t xml:space="preserve">每半年</w:t>
            </w:r>
            <w:r>
              <w:rPr>
                <w:rFonts w:hint="eastAsia" w:ascii="宋体" w:hAnsi="宋体" w:eastAsia="宋体" w:cs="宋体"/>
                <w:sz w:val="24"/>
                <w:szCs w:val="24"/>
                <w:highlight w:val="none"/>
              </w:rPr>
              <w:t xml:space="preserve">能够对</w:t>
            </w: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rPr>
              <w:t xml:space="preserve">人以上的受试者</w:t>
            </w:r>
            <w:r>
              <w:rPr>
                <w:rFonts w:hint="eastAsia" w:ascii="宋体" w:hAnsi="宋体" w:eastAsia="宋体" w:cs="宋体"/>
                <w:sz w:val="24"/>
                <w:szCs w:val="24"/>
                <w:highlight w:val="none"/>
              </w:rPr>
              <w:t xml:space="preserve">进行科学健身指导的纵向跟踪，建立跟踪信息数据库档案，提供易于执行的运动健身方案。</w:t>
            </w:r>
            <w:r/>
          </w:p>
        </w:tc>
        <w:tc>
          <w:tcPr>
            <w:tcW w:w="5802"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现场考核试点单位实施情况及能力、审核档案样本及健身方案。1项不符合扣1分。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电话核实受试者跟踪情况，出现虚假情况不得分。</w:t>
            </w:r>
            <w:r/>
          </w:p>
        </w:tc>
        <w:tc>
          <w:tcPr>
            <w:tcW w:w="13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c>
          <w:tcPr>
            <w:tcW w:w="1489"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3"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397"/>
        </w:trPr>
        <w:tc>
          <w:tcPr>
            <w:tcW w:w="1353"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p>
        </w:tc>
        <w:tc>
          <w:tcPr>
            <w:tcW w:w="3431"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开展健身科普知识讲座</w:t>
            </w:r>
            <w:r/>
          </w:p>
        </w:tc>
        <w:tc>
          <w:tcPr>
            <w:tcW w:w="5802"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申请单位能够充分发挥示范站点的带动作用，开展健</w:t>
            </w:r>
            <w:r>
              <w:rPr>
                <w:rFonts w:hint="eastAsia" w:ascii="宋体" w:hAnsi="宋体" w:eastAsia="宋体" w:cs="宋体"/>
                <w:sz w:val="24"/>
                <w:szCs w:val="24"/>
                <w:highlight w:val="none"/>
                <w:lang w:val="en-US" w:eastAsia="zh-CN"/>
              </w:rPr>
              <w:t xml:space="preserve">针对周围社区居民群众的健康管理、慢病运动干预、运动风险评估、科学健身指导等技能培训和科学健身讲座服务</w:t>
            </w: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eastAsia="zh-CN"/>
              </w:rPr>
              <w:t xml:space="preserve">半年不少于</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覆盖人群不少于200人，培训资料须留档保存。</w:t>
            </w:r>
            <w:r>
              <w:rPr>
                <w:rFonts w:hint="eastAsia" w:ascii="宋体" w:hAnsi="宋体" w:eastAsia="宋体" w:cs="宋体"/>
                <w:sz w:val="24"/>
                <w:szCs w:val="24"/>
                <w:highlight w:val="none"/>
              </w:rPr>
              <w:t xml:space="preserve">根据检查情况酌情给分。</w:t>
            </w:r>
            <w:r/>
          </w:p>
        </w:tc>
        <w:tc>
          <w:tcPr>
            <w:tcW w:w="13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w:t>
            </w:r>
            <w:r/>
          </w:p>
        </w:tc>
        <w:tc>
          <w:tcPr>
            <w:tcW w:w="1489"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3"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397"/>
        </w:trPr>
        <w:tc>
          <w:tcPr>
            <w:tcW w:w="1353"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w:t>
            </w:r>
            <w:r/>
          </w:p>
        </w:tc>
        <w:tc>
          <w:tcPr>
            <w:tcW w:w="3431"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发布科学健身指导科普视频</w:t>
            </w:r>
            <w:r/>
          </w:p>
        </w:tc>
        <w:tc>
          <w:tcPr>
            <w:tcW w:w="5802"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每半年视频数量不少于5条，视频内容覆盖中老年人群、慢病人群及青少年人群的健康管理。</w:t>
            </w:r>
            <w:r/>
          </w:p>
        </w:tc>
        <w:tc>
          <w:tcPr>
            <w:tcW w:w="13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p>
        </w:tc>
        <w:tc>
          <w:tcPr>
            <w:tcW w:w="1489"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283" w:type="dxa"/>
            <w:vAlign w:val="center"/>
            <w:textDirection w:val="lrTb"/>
            <w:noWrap w:val="false"/>
          </w:tcPr>
          <w:p>
            <w:pPr>
              <w:ind w:firstLine="48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分</w:t>
            </w:r>
            <w:r/>
          </w:p>
        </w:tc>
      </w:tr>
      <w:tr>
        <w:trPr>
          <w:jc w:val="center"/>
          <w:trHeight w:val="397"/>
        </w:trPr>
        <w:tc>
          <w:tcPr>
            <w:tcW w:w="1353"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w:t>
            </w:r>
            <w:r/>
          </w:p>
        </w:tc>
        <w:tc>
          <w:tcPr>
            <w:tcW w:w="3431"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“运动处方”推广和应用项目</w:t>
            </w:r>
            <w:r/>
          </w:p>
        </w:tc>
        <w:tc>
          <w:tcPr>
            <w:tcW w:w="5802"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联合社区街道，周边企事业单位开展针对特定人群（如慢性病患者、青少年、职业人群等）的“运动处方”推广和应用项目</w:t>
            </w:r>
            <w:r/>
          </w:p>
        </w:tc>
        <w:tc>
          <w:tcPr>
            <w:tcW w:w="13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1分</w:t>
            </w:r>
            <w:r/>
          </w:p>
        </w:tc>
        <w:tc>
          <w:tcPr>
            <w:tcW w:w="1489"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283" w:type="dxa"/>
            <w:vAlign w:val="center"/>
            <w:textDirection w:val="lrTb"/>
            <w:noWrap w:val="false"/>
          </w:tcPr>
          <w:p>
            <w:pPr>
              <w:ind w:firstLine="48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分</w:t>
            </w:r>
            <w:r/>
          </w:p>
        </w:tc>
      </w:tr>
    </w:tbl>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2276475</wp:posOffset>
                </wp:positionH>
                <wp:positionV relativeFrom="paragraph">
                  <wp:posOffset>264795</wp:posOffset>
                </wp:positionV>
                <wp:extent cx="638175" cy="0"/>
                <wp:effectExtent l="4445" t="4445" r="5080" b="5080"/>
                <wp:wrapNone/>
                <wp:docPr id="13" name="任意多边形 10"/>
                <wp:cNvGraphicFramePr/>
                <a:graphic xmlns:a="http://schemas.openxmlformats.org/drawingml/2006/main">
                  <a:graphicData uri="http://schemas.microsoft.com/office/word/2010/wordprocessingShape">
                    <wps:wsp>
                      <wps:cNvPr id="0" name=""/>
                      <wps:cNvSpPr/>
                      <wps:spPr bwMode="auto">
                        <a:xfrm>
                          <a:off x="0" y="0"/>
                          <a:ext cx="63817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179.2pt;mso-position-horizontal:absolute;mso-position-vertical-relative:text;margin-top:20.8pt;mso-position-vertical:absolute;width:50.2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highlight w:val="none"/>
        </w:rPr>
        <w:t xml:space="preserve">4、组织机构（8分/100分）得分                     （分数=各项实得分相加）             </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464"/>
        <w:gridCol w:w="5778"/>
        <w:gridCol w:w="1332"/>
        <w:gridCol w:w="1482"/>
        <w:gridCol w:w="1294"/>
      </w:tblGrid>
      <w:tr>
        <w:trPr>
          <w:jc w:val="center"/>
          <w:trHeight w:val="20"/>
        </w:trPr>
        <w:tc>
          <w:tcPr>
            <w:tcW w:w="1316"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要素</w:t>
            </w:r>
            <w:r/>
          </w:p>
        </w:tc>
        <w:tc>
          <w:tcPr>
            <w:tcW w:w="346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W w:w="577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考核要求及办法</w:t>
            </w:r>
            <w:r/>
          </w:p>
        </w:tc>
        <w:tc>
          <w:tcPr>
            <w:tcW w:w="133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额定分</w:t>
            </w:r>
            <w:r/>
          </w:p>
        </w:tc>
        <w:tc>
          <w:tcPr>
            <w:tcW w:w="148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自评分</w:t>
            </w:r>
            <w:r/>
          </w:p>
        </w:tc>
        <w:tc>
          <w:tcPr>
            <w:tcW w:w="129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市复评分</w:t>
            </w:r>
            <w:r/>
          </w:p>
        </w:tc>
      </w:tr>
      <w:tr>
        <w:trPr>
          <w:jc w:val="center"/>
          <w:trHeight w:val="20"/>
        </w:trPr>
        <w:tc>
          <w:tcPr>
            <w:tcW w:w="1316"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p>
        </w:tc>
        <w:tc>
          <w:tcPr>
            <w:tcW w:w="346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成立完整的组织管理机构。人员安排合理。完善的规章制度。</w:t>
            </w:r>
            <w:r/>
          </w:p>
        </w:tc>
        <w:tc>
          <w:tcPr>
            <w:tcW w:w="577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查阅相关文件、资料等。</w:t>
            </w:r>
            <w:r/>
          </w:p>
        </w:tc>
        <w:tc>
          <w:tcPr>
            <w:tcW w:w="133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c>
          <w:tcPr>
            <w:tcW w:w="1482"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4"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20"/>
        </w:trPr>
        <w:tc>
          <w:tcPr>
            <w:tcW w:w="1316"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w:t>
            </w:r>
            <w:r/>
          </w:p>
        </w:tc>
        <w:tc>
          <w:tcPr>
            <w:tcW w:w="346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岗位设置情况：岗位设置合理，职责明确，运行有效。</w:t>
            </w:r>
            <w:r/>
          </w:p>
        </w:tc>
        <w:tc>
          <w:tcPr>
            <w:tcW w:w="577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查看岗位职责及工作运行情况。岗位设置不全或不合理酌情扣分。</w:t>
            </w:r>
            <w:r/>
          </w:p>
        </w:tc>
        <w:tc>
          <w:tcPr>
            <w:tcW w:w="133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3分</w:t>
            </w:r>
            <w:r/>
          </w:p>
        </w:tc>
        <w:tc>
          <w:tcPr>
            <w:tcW w:w="1482"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94"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bl>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2352675</wp:posOffset>
                </wp:positionH>
                <wp:positionV relativeFrom="paragraph">
                  <wp:posOffset>257175</wp:posOffset>
                </wp:positionV>
                <wp:extent cx="638175" cy="0"/>
                <wp:effectExtent l="4445" t="4445" r="5080" b="5080"/>
                <wp:wrapNone/>
                <wp:docPr id="14" name="任意多边形 11"/>
                <wp:cNvGraphicFramePr/>
                <a:graphic xmlns:a="http://schemas.openxmlformats.org/drawingml/2006/main">
                  <a:graphicData uri="http://schemas.microsoft.com/office/word/2010/wordprocessingShape">
                    <wps:wsp>
                      <wps:cNvPr id="0" name=""/>
                      <wps:cNvSpPr/>
                      <wps:spPr bwMode="auto">
                        <a:xfrm>
                          <a:off x="0" y="0"/>
                          <a:ext cx="63817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185.2pt;mso-position-horizontal:absolute;mso-position-vertical-relative:text;margin-top:20.2pt;mso-position-vertical:absolute;width:50.2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highlight w:val="none"/>
        </w:rPr>
        <w:t xml:space="preserve">5、人员构成（16分/100分）得分                   （分数=各项实得分相加）             </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8"/>
        <w:gridCol w:w="2780"/>
        <w:gridCol w:w="6344"/>
        <w:gridCol w:w="1341"/>
        <w:gridCol w:w="1491"/>
        <w:gridCol w:w="1419"/>
      </w:tblGrid>
      <w:tr>
        <w:trPr>
          <w:jc w:val="center"/>
          <w:trHeight w:val="20"/>
        </w:trPr>
        <w:tc>
          <w:tcPr>
            <w:tcW w:w="131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要素</w:t>
            </w:r>
            <w:r/>
          </w:p>
        </w:tc>
        <w:tc>
          <w:tcPr>
            <w:tcW w:w="2780"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W w:w="634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考核要求及办法</w:t>
            </w:r>
            <w:r/>
          </w:p>
        </w:tc>
        <w:tc>
          <w:tcPr>
            <w:tcW w:w="134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额定分</w:t>
            </w:r>
            <w:r/>
          </w:p>
        </w:tc>
        <w:tc>
          <w:tcPr>
            <w:tcW w:w="149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自评分</w:t>
            </w:r>
            <w:r/>
          </w:p>
        </w:tc>
        <w:tc>
          <w:tcPr>
            <w:tcW w:w="141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市复评分</w:t>
            </w:r>
            <w:r/>
          </w:p>
        </w:tc>
      </w:tr>
      <w:tr>
        <w:trPr>
          <w:jc w:val="center"/>
          <w:trHeight w:val="20"/>
        </w:trPr>
        <w:tc>
          <w:tcPr>
            <w:tcW w:w="131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p>
        </w:tc>
        <w:tc>
          <w:tcPr>
            <w:tcW w:w="278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管理人员：</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人，负责总体运行</w:t>
            </w:r>
            <w:r/>
          </w:p>
        </w:tc>
        <w:tc>
          <w:tcPr>
            <w:tcW w:w="63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查看日常管理工作运行情况。管理人员岗位职责、考核、激励约束机制明确、站点日常管理有序，管理制度健全，责任落实。</w:t>
            </w:r>
            <w:r/>
          </w:p>
        </w:tc>
        <w:tc>
          <w:tcPr>
            <w:tcW w:w="134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3分</w:t>
            </w:r>
            <w:r/>
          </w:p>
        </w:tc>
        <w:tc>
          <w:tcPr>
            <w:tcW w:w="1491"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9"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20"/>
        </w:trPr>
        <w:tc>
          <w:tcPr>
            <w:tcW w:w="131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w:t>
            </w:r>
            <w:r/>
          </w:p>
        </w:tc>
        <w:tc>
          <w:tcPr>
            <w:tcW w:w="278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测试人员：</w:t>
            </w:r>
            <w:r/>
          </w:p>
        </w:tc>
        <w:tc>
          <w:tcPr>
            <w:tcW w:w="63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测试人员能按照测试规范熟练操作测试设备，保证测试数据准确，测试流程顺畅，能处理排除一些简单的设备故障。</w:t>
            </w:r>
            <w:r/>
          </w:p>
        </w:tc>
        <w:tc>
          <w:tcPr>
            <w:tcW w:w="134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w:t>
            </w:r>
            <w:r/>
          </w:p>
        </w:tc>
        <w:tc>
          <w:tcPr>
            <w:tcW w:w="1491"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9"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20"/>
        </w:trPr>
        <w:tc>
          <w:tcPr>
            <w:tcW w:w="131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w:t>
            </w:r>
            <w:r/>
          </w:p>
        </w:tc>
        <w:tc>
          <w:tcPr>
            <w:tcW w:w="278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研究人员：</w:t>
            </w:r>
            <w:r/>
          </w:p>
        </w:tc>
        <w:tc>
          <w:tcPr>
            <w:tcW w:w="63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负责数据分析、评价咨询、科普讲座等工作。</w:t>
            </w:r>
            <w:r>
              <w:rPr>
                <w:rFonts w:hint="eastAsia" w:ascii="宋体" w:hAnsi="宋体" w:eastAsia="宋体" w:cs="宋体"/>
                <w:sz w:val="24"/>
                <w:szCs w:val="24"/>
                <w:highlight w:val="none"/>
                <w:lang w:eastAsia="zh-CN"/>
              </w:rPr>
              <w:t xml:space="preserve">至少有1名</w:t>
            </w:r>
            <w:r>
              <w:rPr>
                <w:rFonts w:hint="eastAsia" w:ascii="宋体" w:hAnsi="宋体" w:eastAsia="宋体" w:cs="宋体"/>
                <w:sz w:val="24"/>
                <w:szCs w:val="24"/>
                <w:highlight w:val="none"/>
              </w:rPr>
              <w:t xml:space="preserve">医生，具有从事一般医学体检和急性运动伤害处置能力。</w:t>
            </w:r>
            <w:r/>
          </w:p>
        </w:tc>
        <w:tc>
          <w:tcPr>
            <w:tcW w:w="134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3分</w:t>
            </w:r>
            <w:r/>
          </w:p>
        </w:tc>
        <w:tc>
          <w:tcPr>
            <w:tcW w:w="1491"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9"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20"/>
        </w:trPr>
        <w:tc>
          <w:tcPr>
            <w:tcW w:w="131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w:t>
            </w:r>
            <w:r/>
          </w:p>
        </w:tc>
        <w:tc>
          <w:tcPr>
            <w:tcW w:w="278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专、兼职网络工程师</w:t>
            </w:r>
            <w:r/>
          </w:p>
        </w:tc>
        <w:tc>
          <w:tcPr>
            <w:tcW w:w="63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能够负责网络系统运行，计算机维护。</w:t>
            </w:r>
            <w:r/>
          </w:p>
        </w:tc>
        <w:tc>
          <w:tcPr>
            <w:tcW w:w="134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1分</w:t>
            </w:r>
            <w:r/>
          </w:p>
        </w:tc>
        <w:tc>
          <w:tcPr>
            <w:tcW w:w="1491"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9"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20"/>
        </w:trPr>
        <w:tc>
          <w:tcPr>
            <w:tcW w:w="131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w:t>
            </w:r>
            <w:r/>
          </w:p>
        </w:tc>
        <w:tc>
          <w:tcPr>
            <w:tcW w:w="278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志愿者队伍、社会体育指导员</w:t>
            </w:r>
            <w:r/>
          </w:p>
        </w:tc>
        <w:tc>
          <w:tcPr>
            <w:tcW w:w="63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指导站人员中志愿者和社会体育指导员若干</w:t>
            </w:r>
            <w:r/>
          </w:p>
        </w:tc>
        <w:tc>
          <w:tcPr>
            <w:tcW w:w="134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3分</w:t>
            </w:r>
            <w:r/>
          </w:p>
        </w:tc>
        <w:tc>
          <w:tcPr>
            <w:tcW w:w="1491"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9"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20"/>
        </w:trPr>
        <w:tc>
          <w:tcPr>
            <w:tcW w:w="1318"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w:t>
            </w:r>
            <w:r/>
          </w:p>
        </w:tc>
        <w:tc>
          <w:tcPr>
            <w:tcW w:w="278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人员培养</w:t>
            </w:r>
            <w:r/>
          </w:p>
        </w:tc>
        <w:tc>
          <w:tcPr>
            <w:tcW w:w="63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建立专业培训制度，分批、分层次组织人员参加国民体质检测、全民健身服务、运动与营养指导等方面的专业培训，提高专业素质，并获得各级证书</w:t>
            </w:r>
            <w:r/>
          </w:p>
        </w:tc>
        <w:tc>
          <w:tcPr>
            <w:tcW w:w="134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2分</w:t>
            </w:r>
            <w:r/>
          </w:p>
        </w:tc>
        <w:tc>
          <w:tcPr>
            <w:tcW w:w="1491"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9"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bl>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2771775</wp:posOffset>
                </wp:positionH>
                <wp:positionV relativeFrom="paragraph">
                  <wp:posOffset>257810</wp:posOffset>
                </wp:positionV>
                <wp:extent cx="638175" cy="0"/>
                <wp:effectExtent l="4445" t="4445" r="5080" b="5080"/>
                <wp:wrapNone/>
                <wp:docPr id="15" name="任意多边形 12"/>
                <wp:cNvGraphicFramePr/>
                <a:graphic xmlns:a="http://schemas.openxmlformats.org/drawingml/2006/main">
                  <a:graphicData uri="http://schemas.microsoft.com/office/word/2010/wordprocessingShape">
                    <wps:wsp>
                      <wps:cNvPr id="0" name=""/>
                      <wps:cNvSpPr/>
                      <wps:spPr bwMode="auto">
                        <a:xfrm>
                          <a:off x="0" y="0"/>
                          <a:ext cx="63817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1312;o:allowoverlap:true;o:allowincell:true;mso-position-horizontal-relative:text;margin-left:218.2pt;mso-position-horizontal:absolute;mso-position-vertical-relative:text;margin-top:20.3pt;mso-position-vertical:absolute;width:50.2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highlight w:val="none"/>
        </w:rPr>
        <w:t xml:space="preserve">6、常效化运营模式（6分/100分）得分                    （分数=各项实得分相加）            </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672"/>
        <w:gridCol w:w="6394"/>
        <w:gridCol w:w="1311"/>
        <w:gridCol w:w="1475"/>
        <w:gridCol w:w="1473"/>
      </w:tblGrid>
      <w:tr>
        <w:trPr>
          <w:jc w:val="center"/>
          <w:trHeight w:val="20"/>
        </w:trPr>
        <w:tc>
          <w:tcPr>
            <w:tcW w:w="138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要素</w:t>
            </w:r>
            <w:r/>
          </w:p>
        </w:tc>
        <w:tc>
          <w:tcPr>
            <w:tcW w:w="267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W w:w="639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考核要求及办法</w:t>
            </w:r>
            <w:r/>
          </w:p>
        </w:tc>
        <w:tc>
          <w:tcPr>
            <w:tcW w:w="131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额定分</w:t>
            </w:r>
            <w:r/>
          </w:p>
        </w:tc>
        <w:tc>
          <w:tcPr>
            <w:tcW w:w="147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自评分</w:t>
            </w:r>
            <w:r/>
          </w:p>
        </w:tc>
        <w:tc>
          <w:tcPr>
            <w:tcW w:w="1473"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市复评分</w:t>
            </w:r>
            <w:r/>
          </w:p>
        </w:tc>
      </w:tr>
      <w:tr>
        <w:trPr>
          <w:jc w:val="center"/>
          <w:trHeight w:val="20"/>
        </w:trPr>
        <w:tc>
          <w:tcPr>
            <w:tcW w:w="138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w:t>
            </w:r>
            <w:r/>
          </w:p>
        </w:tc>
        <w:tc>
          <w:tcPr>
            <w:tcW w:w="2672"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建立常效化运营模式</w:t>
            </w:r>
            <w:r/>
          </w:p>
        </w:tc>
        <w:tc>
          <w:tcPr>
            <w:tcW w:w="639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形成具有长效化运营的制度和措施。</w:t>
            </w:r>
            <w:r/>
          </w:p>
        </w:tc>
        <w:tc>
          <w:tcPr>
            <w:tcW w:w="131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w:t>
            </w:r>
            <w:r/>
          </w:p>
        </w:tc>
        <w:tc>
          <w:tcPr>
            <w:tcW w:w="1475"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3"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r>
        <w:trPr>
          <w:jc w:val="center"/>
          <w:trHeight w:val="20"/>
        </w:trPr>
        <w:tc>
          <w:tcPr>
            <w:tcW w:w="138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w:t>
            </w:r>
            <w:r/>
          </w:p>
        </w:tc>
        <w:tc>
          <w:tcPr>
            <w:tcW w:w="2672"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数据上传与平台运用</w:t>
            </w:r>
            <w:r/>
          </w:p>
        </w:tc>
        <w:tc>
          <w:tcPr>
            <w:tcW w:w="639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能向国民体质监测登陆平台上传数据、能在当地科学健身指导平台上登陆运用</w:t>
            </w:r>
            <w:r/>
          </w:p>
        </w:tc>
        <w:tc>
          <w:tcPr>
            <w:tcW w:w="131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2分</w:t>
            </w:r>
            <w:r/>
          </w:p>
        </w:tc>
        <w:tc>
          <w:tcPr>
            <w:tcW w:w="1475"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3"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w:t>
            </w:r>
            <w:r/>
          </w:p>
        </w:tc>
      </w:tr>
    </w:tbl>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1524000</wp:posOffset>
                </wp:positionH>
                <wp:positionV relativeFrom="paragraph">
                  <wp:posOffset>246380</wp:posOffset>
                </wp:positionV>
                <wp:extent cx="638175" cy="0"/>
                <wp:effectExtent l="4445" t="4445" r="5080" b="5080"/>
                <wp:wrapNone/>
                <wp:docPr id="16" name="任意多边形 13"/>
                <wp:cNvGraphicFramePr/>
                <a:graphic xmlns:a="http://schemas.openxmlformats.org/drawingml/2006/main">
                  <a:graphicData uri="http://schemas.microsoft.com/office/word/2010/wordprocessingShape">
                    <wps:wsp>
                      <wps:cNvPr id="0" name=""/>
                      <wps:cNvSpPr/>
                      <wps:spPr bwMode="auto">
                        <a:xfrm>
                          <a:off x="0" y="0"/>
                          <a:ext cx="63817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120.0pt;mso-position-horizontal:absolute;mso-position-vertical-relative:text;margin-top:19.4pt;mso-position-vertical:absolute;width:50.2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highlight w:val="none"/>
        </w:rPr>
        <w:t xml:space="preserve">7、对外服务考核得分        </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661"/>
        <w:gridCol w:w="6382"/>
        <w:gridCol w:w="1312"/>
        <w:gridCol w:w="1474"/>
        <w:gridCol w:w="1473"/>
      </w:tblGrid>
      <w:tr>
        <w:trPr>
          <w:jc w:val="center"/>
          <w:trHeight w:val="20"/>
        </w:trPr>
        <w:tc>
          <w:tcPr>
            <w:tcW w:w="1410"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要素</w:t>
            </w:r>
            <w:r/>
          </w:p>
        </w:tc>
        <w:tc>
          <w:tcPr>
            <w:tcW w:w="2661"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W w:w="638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考核要求及办法</w:t>
            </w:r>
            <w:r/>
          </w:p>
        </w:tc>
        <w:tc>
          <w:tcPr>
            <w:tcW w:w="131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额定分</w:t>
            </w:r>
            <w:r/>
          </w:p>
        </w:tc>
        <w:tc>
          <w:tcPr>
            <w:tcW w:w="147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自评分</w:t>
            </w:r>
            <w:r/>
          </w:p>
        </w:tc>
        <w:tc>
          <w:tcPr>
            <w:tcW w:w="1473"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市复评分</w:t>
            </w:r>
            <w:r/>
          </w:p>
        </w:tc>
      </w:tr>
      <w:tr>
        <w:trPr>
          <w:jc w:val="center"/>
          <w:trHeight w:val="20"/>
        </w:trPr>
        <w:tc>
          <w:tcPr>
            <w:tcW w:w="1410"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w:t>
            </w:r>
            <w:r/>
          </w:p>
        </w:tc>
        <w:tc>
          <w:tcPr>
            <w:tcW w:w="2661"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市民投诉</w:t>
            </w:r>
            <w:r/>
          </w:p>
        </w:tc>
        <w:tc>
          <w:tcPr>
            <w:tcW w:w="6382"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市民有投诉经查实每一次总分上扣5分</w:t>
            </w:r>
            <w:r/>
          </w:p>
        </w:tc>
        <w:tc>
          <w:tcPr>
            <w:tcW w:w="1312" w:type="dxa"/>
            <w:vAlign w:val="center"/>
            <w:textDirection w:val="lrTb"/>
            <w:noWrap w:val="false"/>
          </w:tcPr>
          <w:p>
            <w:pPr>
              <w:ind w:firstLine="36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  </w:t>
            </w:r>
            <w:r/>
          </w:p>
        </w:tc>
        <w:tc>
          <w:tcPr>
            <w:tcW w:w="1474" w:type="dxa"/>
            <w:vAlign w:val="center"/>
            <w:textDirection w:val="lrTb"/>
            <w:noWrap w:val="false"/>
          </w:tcPr>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3" w:type="dxa"/>
            <w:vAlign w:val="center"/>
            <w:textDirection w:val="lrTb"/>
            <w:noWrap w:val="false"/>
          </w:tcPr>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both"/>
        <w:spacing w:line="360" w:lineRule="auto"/>
        <w:rPr>
          <w:rFonts w:hint="eastAsia" w:ascii="宋体" w:hAnsi="宋体" w:eastAsia="宋体" w:cs="宋体"/>
          <w:sz w:val="24"/>
          <w:szCs w:val="24"/>
          <w:highlight w:val="none"/>
          <w:lang w:eastAsia="zh-CN"/>
        </w:rPr>
        <w:sectPr>
          <w:footnotePr/>
          <w:endnotePr/>
          <w:type w:val="nextPage"/>
          <w:pgSz w:w="16838" w:h="11906" w:orient="landscape"/>
          <w:pgMar w:top="1134" w:right="1134" w:bottom="1134" w:left="1134" w:header="851" w:footer="992" w:gutter="0"/>
          <w:cols w:num="1" w:sep="0" w:space="1701" w:equalWidth="1"/>
          <w:docGrid w:linePitch="360"/>
        </w:sectPr>
      </w:pPr>
      <w:r>
        <w:rPr>
          <w:rFonts w:hint="eastAsia" w:ascii="宋体" w:hAnsi="宋体" w:eastAsia="宋体" w:cs="宋体"/>
          <w:sz w:val="24"/>
          <w:szCs w:val="24"/>
          <w:highlight w:val="none"/>
          <w:lang w:eastAsia="zh-CN"/>
        </w:rPr>
      </w:r>
      <w:r/>
    </w:p>
    <w:p>
      <w:pPr>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第五章 </w:t>
      </w:r>
      <w:bookmarkEnd w:id="10"/>
      <w:r>
        <w:rPr>
          <w:rFonts w:hint="eastAsia" w:ascii="宋体" w:hAnsi="宋体" w:eastAsia="宋体" w:cs="宋体"/>
          <w:b/>
          <w:color w:val="000000"/>
          <w:sz w:val="44"/>
          <w:szCs w:val="44"/>
          <w:highlight w:val="none"/>
        </w:rPr>
        <w:t xml:space="preserve">磋商评审标准</w:t>
      </w:r>
      <w:r/>
    </w:p>
    <w:p>
      <w:pPr>
        <w:ind w:firstLine="241"/>
        <w:jc w:val="left"/>
        <w:spacing w:line="360" w:lineRule="auto"/>
        <w:tabs>
          <w:tab w:val="left" w:pos="567"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一、评审方法</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1、本次招标评标采用综合评分法，即在满足采购文件实质性要求前提下，按照采购文件中规定的评分标准和各项因素进行综合评审后，以评标总得分最高的响应单位确定为成交单位。</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进入评审的实质性响应且具有得标权的供应商不得少于三家，如不足三家，认定该采购失败。</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评标委员会各成员独立对每个进入打分程序的有效响应单位的标书技术部分以打分的形式进行评审和评价，将评委对响应文件评审内容的评分按算术平均法汇总，计算出每个响应单位的评审得分（保留小数点后两位，四舍五入）。技术、价格评审得分即为响应单位的评标总得分。</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bidi="ar-SA"/>
        </w:rPr>
        <w:t xml:space="preserve">3、若在选取成交单位时出现评分总得分并列情况，则由代理机构组织评标委员会以抽签方式确定成交候选人。</w:t>
      </w:r>
      <w:r/>
    </w:p>
    <w:p>
      <w:pPr>
        <w:pStyle w:val="1235"/>
        <w:ind w:firstLine="241"/>
        <w:spacing w:line="360" w:lineRule="auto"/>
        <w:rPr>
          <w:rFonts w:hint="eastAsia" w:ascii="宋体" w:hAnsi="宋体" w:eastAsia="宋体" w:cs="宋体"/>
          <w:b/>
          <w:bCs/>
          <w:color w:val="000000"/>
          <w:sz w:val="24"/>
          <w:szCs w:val="24"/>
          <w:highlight w:val="none"/>
          <w:lang w:eastAsia="zh-CN"/>
        </w:rPr>
        <w:outlineLvl w:val="0"/>
      </w:pPr>
      <w:r>
        <w:rPr>
          <w:rFonts w:hint="eastAsia"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评分标准</w:t>
      </w:r>
      <w:r>
        <w:rPr>
          <w:rFonts w:hint="eastAsia"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（满分</w:t>
      </w:r>
      <w:r>
        <w:rPr>
          <w:rFonts w:hint="eastAsia" w:ascii="宋体" w:hAnsi="宋体" w:eastAsia="宋体" w:cs="宋体"/>
          <w:b/>
          <w:bCs/>
          <w:color w:val="000000"/>
          <w:sz w:val="24"/>
          <w:szCs w:val="24"/>
          <w:highlight w:val="none"/>
          <w:lang w:val="en-US" w:eastAsia="zh-CN"/>
        </w:rPr>
        <w:t xml:space="preserve">100分</w:t>
      </w:r>
      <w:r>
        <w:rPr>
          <w:rFonts w:hint="eastAsia" w:ascii="宋体" w:hAnsi="宋体" w:eastAsia="宋体" w:cs="宋体"/>
          <w:b/>
          <w:bCs/>
          <w:color w:val="000000"/>
          <w:sz w:val="24"/>
          <w:szCs w:val="24"/>
          <w:highlight w:val="none"/>
          <w:lang w:eastAsia="zh-CN"/>
        </w:rPr>
        <w:t xml:space="preserve">）</w:t>
      </w:r>
      <w:r/>
    </w:p>
    <w:p>
      <w:pPr>
        <w:ind w:firstLine="241"/>
        <w:spacing w:line="360"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（一）价格得分：（满分</w:t>
      </w:r>
      <w:r>
        <w:rPr>
          <w:rFonts w:hint="eastAsia" w:ascii="宋体" w:hAnsi="宋体" w:eastAsia="宋体"/>
          <w:b/>
          <w:bCs/>
          <w:sz w:val="24"/>
          <w:highlight w:val="none"/>
          <w:lang w:val="en-US" w:eastAsia="zh-CN"/>
        </w:rPr>
        <w:t xml:space="preserve">10</w:t>
      </w:r>
      <w:r>
        <w:rPr>
          <w:rFonts w:hint="eastAsia" w:ascii="宋体" w:hAnsi="宋体" w:eastAsia="宋体" w:cs="宋体"/>
          <w:b/>
          <w:bCs/>
          <w:sz w:val="24"/>
          <w:highlight w:val="none"/>
        </w:rPr>
        <w:t xml:space="preserve">分</w:t>
      </w:r>
      <w:r>
        <w:rPr>
          <w:rFonts w:hint="eastAsia" w:ascii="宋体" w:hAnsi="宋体" w:eastAsia="宋体" w:cs="宋体"/>
          <w:b/>
          <w:bCs/>
          <w:color w:val="000000"/>
          <w:sz w:val="24"/>
          <w:szCs w:val="24"/>
          <w:highlight w:val="none"/>
          <w:lang w:val="en-US" w:eastAsia="zh-CN"/>
        </w:rPr>
        <w:t xml:space="preserve">）</w:t>
      </w:r>
      <w:r/>
    </w:p>
    <w:p>
      <w:pPr>
        <w:ind w:firstLine="480"/>
        <w:spacing w:line="360" w:lineRule="auto"/>
        <w:tabs>
          <w:tab w:val="left" w:pos="567" w:leader="none"/>
        </w:tabs>
        <w:rPr>
          <w:rFonts w:ascii="宋体" w:hAnsi="宋体" w:eastAsia="宋体" w:cs="仿宋"/>
          <w:color w:val="auto"/>
          <w:sz w:val="24"/>
          <w:szCs w:val="24"/>
          <w:highlight w:val="none"/>
        </w:rPr>
      </w:pPr>
      <w:r/>
      <w:bookmarkStart w:id="11" w:name="OLE_LINK7"/>
      <w:r>
        <w:rPr>
          <w:rFonts w:hint="eastAsia" w:ascii="宋体" w:hAnsi="宋体" w:eastAsia="宋体" w:cs="仿宋"/>
          <w:color w:val="auto"/>
          <w:sz w:val="24"/>
          <w:szCs w:val="24"/>
          <w:highlight w:val="none"/>
        </w:rPr>
        <w:t xml:space="preserve">1、磋商报价（即最后报价）不超过</w:t>
      </w:r>
      <w:r>
        <w:rPr>
          <w:rFonts w:hint="eastAsia" w:ascii="宋体" w:hAnsi="宋体" w:eastAsia="宋体" w:cs="仿宋"/>
          <w:color w:val="auto"/>
          <w:sz w:val="24"/>
          <w:szCs w:val="24"/>
          <w:highlight w:val="none"/>
          <w:lang w:val="en-US" w:eastAsia="zh-CN"/>
        </w:rPr>
        <w:t xml:space="preserve">预算金额</w:t>
      </w:r>
      <w:r>
        <w:rPr>
          <w:rFonts w:hint="eastAsia" w:ascii="宋体" w:hAnsi="宋体" w:eastAsia="宋体" w:cs="仿宋"/>
          <w:color w:val="auto"/>
          <w:sz w:val="24"/>
          <w:szCs w:val="24"/>
          <w:highlight w:val="none"/>
        </w:rPr>
        <w:t xml:space="preserve">的，为有效磋商报价。超出此范围的磋商报价为无效报价。无效报价的磋商文件不进行评审，也不得成交</w:t>
      </w:r>
      <w:r>
        <w:rPr>
          <w:rFonts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rPr>
        <w:t xml:space="preserve">2、价格得分计算方法：根据各响应单位通过符合性审查的有效磋商报价（即最终报价）中的最低价作为评审基准价。</w:t>
      </w:r>
      <w:r>
        <w:rPr>
          <w:rFonts w:hint="eastAsia" w:ascii="宋体" w:hAnsi="宋体" w:eastAsia="宋体" w:cs="宋体"/>
          <w:b/>
          <w:bCs/>
          <w:sz w:val="24"/>
          <w:szCs w:val="24"/>
          <w:highlight w:val="none"/>
        </w:rPr>
        <w:t xml:space="preserve">（本项目专门面向中小企业采购，</w:t>
      </w:r>
      <w:r>
        <w:rPr>
          <w:rFonts w:hint="eastAsia" w:ascii="宋体" w:hAnsi="宋体" w:eastAsia="宋体" w:cs="宋体"/>
          <w:b/>
          <w:bCs/>
          <w:sz w:val="24"/>
          <w:szCs w:val="24"/>
          <w:highlight w:val="none"/>
        </w:rPr>
        <w:t xml:space="preserve">不再执行价格评审优惠的扶持政策。</w:t>
      </w:r>
      <w:r>
        <w:rPr>
          <w:rFonts w:hint="eastAsia" w:ascii="宋体" w:hAnsi="宋体" w:eastAsia="宋体" w:cs="宋体"/>
          <w:b/>
          <w:bCs/>
          <w:sz w:val="24"/>
          <w:szCs w:val="24"/>
          <w:highlight w:val="none"/>
          <w:lang w:eastAsia="zh-CN"/>
        </w:rPr>
        <w:t xml:space="preserve">）</w:t>
      </w:r>
      <w:r/>
    </w:p>
    <w:p>
      <w:pPr>
        <w:ind w:firstLine="480"/>
        <w:spacing w:line="360" w:lineRule="auto"/>
        <w:tabs>
          <w:tab w:val="left" w:pos="567"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3、其他响应单位的价格分按照下列公式计算（计算结果四舍五入保留两位小数）</w:t>
      </w:r>
      <w:r/>
    </w:p>
    <w:p>
      <w:pPr>
        <w:ind w:firstLine="480"/>
        <w:spacing w:line="360" w:lineRule="auto"/>
        <w:tabs>
          <w:tab w:val="left" w:pos="567" w:leader="none"/>
        </w:tabs>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磋商报价得分=(评审基准价／磋商报价)×</w:t>
      </w:r>
      <w:r>
        <w:rPr>
          <w:rFonts w:hint="eastAsia" w:ascii="宋体" w:hAnsi="宋体" w:eastAsia="宋体" w:cs="仿宋"/>
          <w:color w:val="auto"/>
          <w:sz w:val="24"/>
          <w:szCs w:val="24"/>
          <w:highlight w:val="none"/>
          <w:lang w:val="en-US" w:eastAsia="zh-CN"/>
        </w:rPr>
        <w:t xml:space="preserve">10</w:t>
      </w:r>
      <w:r>
        <w:rPr>
          <w:rFonts w:hint="eastAsia" w:ascii="宋体" w:hAnsi="宋体" w:eastAsia="宋体" w:cs="仿宋"/>
          <w:color w:val="auto"/>
          <w:sz w:val="24"/>
          <w:szCs w:val="24"/>
          <w:highlight w:val="none"/>
        </w:rPr>
        <w:t xml:space="preserve">%×100。</w:t>
      </w:r>
      <w:r/>
    </w:p>
    <w:p>
      <w:pPr>
        <w:ind w:firstLine="241"/>
        <w:jc w:val="left"/>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eastAsia="zh-CN"/>
        </w:rPr>
        <w:t xml:space="preserve">（二）</w:t>
      </w:r>
      <w:r>
        <w:rPr>
          <w:rFonts w:hint="eastAsia" w:ascii="宋体" w:hAnsi="宋体" w:eastAsia="宋体" w:cs="宋体"/>
          <w:b/>
          <w:sz w:val="24"/>
          <w:szCs w:val="24"/>
          <w:highlight w:val="none"/>
        </w:rPr>
        <w:t xml:space="preserve">服务实施方案</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满分</w:t>
      </w:r>
      <w:r>
        <w:rPr>
          <w:rFonts w:hint="eastAsia" w:ascii="宋体" w:hAnsi="宋体" w:eastAsia="宋体" w:cs="宋体"/>
          <w:b/>
          <w:sz w:val="24"/>
          <w:szCs w:val="24"/>
          <w:highlight w:val="none"/>
          <w:lang w:val="en-US" w:eastAsia="zh-CN"/>
        </w:rPr>
        <w:t xml:space="preserve">30</w:t>
      </w:r>
      <w:r>
        <w:rPr>
          <w:rFonts w:hint="eastAsia" w:ascii="宋体" w:hAnsi="宋体" w:eastAsia="宋体" w:cs="宋体"/>
          <w:b/>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根据响应单位提供的项目整体实施方案（是否建立了细化、合理的工作制度及服务方案）综合比较打分：方案完整，合理可行的得10分；方案较完整，较合理可行的得7分；方案不完整，合理性可行性有所欠缺的得4分；未提供不得分。   </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人员配备方案及职责划分：方案完善、职责划分明确合理、专业性强、操作性高的得10分；方案较完整、职责划分较为合理、专业性较强、操作性较高的得7分；方案不够完整、职责划分不够合理、专业性一般、操作性差的得4分；未提供不得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根据响应单位提供的健身指导方案（包括全年测试人次、有效数据样本量比例等）综合比较打分：方案完整，合理可行的得10分；方案较完整，较合理可行的得7分；方案不完整，合理性可行性有所欠缺的得4分；未提供不得分。</w:t>
      </w:r>
      <w:r/>
    </w:p>
    <w:p>
      <w:pPr>
        <w:ind w:firstLine="241"/>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（三）科学健身推广方案：（满分10分）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本项目科学健身推广方案（根据服务要求建立科学、有效的推广方案，拍摄健身视频、讲座等）综合比较打分：方案完善、活动丰富、合理可行的得10分；方案较完整、活动较丰富、较合理可行的得7分；方案不完整、活动类型单一、可行性有所欠缺的得4分；未提供不得分。  </w:t>
      </w:r>
      <w:r/>
    </w:p>
    <w:p>
      <w:pPr>
        <w:ind w:firstLine="241"/>
        <w:jc w:val="left"/>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eastAsia="zh-CN"/>
        </w:rPr>
        <w:t xml:space="preserve">（四）服务保障方案：</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满分</w:t>
      </w:r>
      <w:r>
        <w:rPr>
          <w:rFonts w:hint="eastAsia" w:ascii="宋体" w:hAnsi="宋体" w:eastAsia="宋体" w:cs="宋体"/>
          <w:b/>
          <w:sz w:val="24"/>
          <w:szCs w:val="24"/>
          <w:highlight w:val="none"/>
          <w:lang w:val="en-US" w:eastAsia="zh-CN"/>
        </w:rPr>
        <w:t xml:space="preserve">36</w:t>
      </w:r>
      <w:r>
        <w:rPr>
          <w:rFonts w:hint="eastAsia" w:ascii="宋体" w:hAnsi="宋体" w:eastAsia="宋体" w:cs="宋体"/>
          <w:b/>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1、针对本项目指导站内测试器材的管理、维护等方案综合比较打分：方案完整，合理可行的得10分；方案较完整，较合理可行的得7分；方案不完整，合理性可行性有所欠缺的得4分；未提供不得分。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针对本项目数据分析整理方案（建立健全的数据管理和原始测试卡片的管理，能按期、按质提供分析报告等）综合比较打分：方案完整，合理可行的得10分；方案较完整，较合理可行的得7分；方案不完整，合理性可行性有所欠缺的得4分；未提供不得分。</w:t>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3、针对本项目测试数据的保密措施综合比较打分：保密措施全面、合理可行的得8分；保密措施较全面，较合理可行的得5分；保密措施不全面，合理性可行性有所欠缺的得2分；未提供不得分。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针对本项目人员培训方案综合比较打分：培训方案符合项目特点、安排科学合理，可行性高的得8分；培训方案较符合项目特点、安排合理的得5分；培训方案不符合本项目特点、安排不合理的得2分；未提供不得分。</w:t>
      </w:r>
      <w:r/>
    </w:p>
    <w:p>
      <w:pPr>
        <w:ind w:firstLine="241"/>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sz w:val="24"/>
          <w:szCs w:val="24"/>
          <w:highlight w:val="none"/>
        </w:rPr>
        <w:t xml:space="preserve">拟投入本项目人员比较：（</w:t>
      </w:r>
      <w:r>
        <w:rPr>
          <w:rFonts w:hint="eastAsia" w:ascii="宋体" w:hAnsi="宋体" w:eastAsia="宋体" w:cs="宋体"/>
          <w:b/>
          <w:sz w:val="24"/>
          <w:szCs w:val="24"/>
          <w:highlight w:val="none"/>
          <w:lang w:eastAsia="zh-CN"/>
        </w:rPr>
        <w:t xml:space="preserve">满分</w:t>
      </w:r>
      <w:r>
        <w:rPr>
          <w:rFonts w:hint="eastAsia" w:ascii="宋体" w:hAnsi="宋体" w:eastAsia="宋体" w:cs="宋体"/>
          <w:b/>
          <w:sz w:val="24"/>
          <w:szCs w:val="24"/>
          <w:highlight w:val="none"/>
          <w:lang w:val="en-US" w:eastAsia="zh-CN"/>
        </w:rPr>
        <w:t xml:space="preserve">14</w:t>
      </w:r>
      <w:r>
        <w:rPr>
          <w:rFonts w:hint="eastAsia" w:ascii="宋体" w:hAnsi="宋体" w:eastAsia="宋体" w:cs="宋体"/>
          <w:b/>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1、响应单位针对本项目配备的专职项目负责人：具有健康、医学、健身等相关专业管理知识、具有相关项目实际管理经验的得3分。</w:t>
      </w:r>
      <w:r/>
    </w:p>
    <w:p>
      <w:pPr>
        <w:numPr>
          <w:ilvl w:val="0"/>
          <w:numId w:val="6"/>
        </w:num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项目团队中（除专职项目负责人外），有从事相关科学健身指导工作满3年及以上的得3分；2年（含）-3年（不含）的得2分；1年及以下的得1分。</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3、项目团队中（除专职项目负责人外），具有运动人体科学、体能运动康复、科学健身指导、医学知识等相关专业，每提供1人得2分，最高8分。(人员不重复得分，需提供相关证书)</w:t>
      </w:r>
      <w:r/>
    </w:p>
    <w:p>
      <w:pPr>
        <w:ind w:firstLine="482"/>
        <w:jc w:val="left"/>
        <w:spacing w:line="360" w:lineRule="auto"/>
        <w:rPr>
          <w:rFonts w:hint="eastAsia" w:ascii="宋体" w:hAnsi="宋体" w:eastAsia="宋体" w:cs="宋体"/>
          <w:b/>
          <w:color w:val="000000"/>
          <w:sz w:val="44"/>
          <w:szCs w:val="44"/>
          <w:highlight w:val="none"/>
        </w:rPr>
      </w:pPr>
      <w:r>
        <w:rPr>
          <w:rFonts w:hint="eastAsia" w:ascii="宋体" w:hAnsi="宋体" w:eastAsia="宋体" w:cs="宋体"/>
          <w:b/>
          <w:bCs/>
          <w:sz w:val="24"/>
          <w:szCs w:val="24"/>
          <w:highlight w:val="none"/>
          <w:lang w:val="en-US" w:eastAsia="zh-CN"/>
        </w:rPr>
        <w:t xml:space="preserve">注：以上1-3项评分，响应文件中需提供相关人员证明材料及响应单位为其缴纳的响应截止时间前近三个月任意一个月的社保证明扫描件，未提供不得分。</w:t>
      </w:r>
      <w:bookmarkEnd w:id="11"/>
      <w:r/>
      <w:r/>
    </w:p>
    <w:p>
      <w:pPr>
        <w:jc w:val="center"/>
        <w:spacing w:line="360" w:lineRule="auto"/>
        <w:tabs>
          <w:tab w:val="left" w:pos="567" w:leader="none"/>
        </w:tabs>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第六章 响应文件格式</w:t>
      </w:r>
      <w:r/>
    </w:p>
    <w:p>
      <w:pPr>
        <w:pStyle w:val="1153"/>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对本章所有的格式 ，磋商响应单位可根据自身情况进行补充和修改，但补充和修改不得造成与本格式内容有实质性的违背。</w:t>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ind w:left="0"/>
        <w:jc w:val="left"/>
        <w:spacing w:line="360" w:lineRule="auto"/>
        <w:widowControl/>
        <w:rPr>
          <w:rFonts w:ascii="宋体" w:hAnsi="宋体" w:eastAsia="宋体" w:cs="Times New Roman"/>
          <w:b/>
          <w:color w:val="auto"/>
          <w:sz w:val="24"/>
          <w:szCs w:val="24"/>
          <w:highlight w:val="none"/>
        </w:rPr>
      </w:pP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磋商报价表</w:t>
      </w:r>
      <w:r/>
    </w:p>
    <w:p>
      <w:pPr>
        <w:pageBreakBefore w:val="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b/>
          <w:color w:val="auto"/>
          <w:sz w:val="24"/>
          <w:szCs w:val="24"/>
          <w:highlight w:val="none"/>
        </w:rPr>
        <w:t xml:space="preserve">磋商报价表</w:t>
      </w:r>
      <w:r/>
    </w:p>
    <w:tbl>
      <w:tblPr>
        <w:tblStyle w:val="955"/>
        <w:tblW w:w="9733" w:type="dxa"/>
        <w:jc w:val="center"/>
        <w:tblLayout w:type="fixed"/>
        <w:tblCellMar>
          <w:left w:w="108" w:type="dxa"/>
          <w:top w:w="0" w:type="dxa"/>
          <w:right w:w="108" w:type="dxa"/>
          <w:bottom w:w="0" w:type="dxa"/>
        </w:tblCellMar>
        <w:tblLook w:val="04A0" w:firstRow="1" w:lastRow="0" w:firstColumn="1" w:lastColumn="0" w:noHBand="0" w:noVBand="1"/>
      </w:tblPr>
      <w:tblGrid>
        <w:gridCol w:w="799"/>
        <w:gridCol w:w="3429"/>
        <w:gridCol w:w="3107"/>
        <w:gridCol w:w="2398"/>
      </w:tblGrid>
      <w:tr>
        <w:trPr>
          <w:jc w:val="center"/>
          <w:trHeight w:val="789"/>
        </w:trPr>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3429"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107"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398"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jc w:val="center"/>
          <w:trHeight w:val="616"/>
        </w:trPr>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429"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苏州市体育监管保障中心健身指导站对外服务</w:t>
            </w:r>
            <w:r/>
          </w:p>
        </w:tc>
        <w:tc>
          <w:tcPr>
            <w:tcBorders>
              <w:top w:val="single" w:color="auto" w:sz="4" w:space="0"/>
              <w:left w:val="single" w:color="auto" w:sz="4" w:space="0"/>
              <w:bottom w:val="single" w:color="auto" w:sz="4" w:space="0"/>
              <w:right w:val="single" w:color="auto" w:sz="4" w:space="0"/>
            </w:tcBorders>
            <w:tcW w:w="3107"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98"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0"/>
        </w:trPr>
        <w:tc>
          <w:tcPr>
            <w:gridSpan w:val="4"/>
            <w:tcBorders>
              <w:top w:val="single" w:color="auto" w:sz="4" w:space="0"/>
              <w:left w:val="single" w:color="auto" w:sz="4" w:space="0"/>
              <w:bottom w:val="single" w:color="auto" w:sz="4" w:space="0"/>
              <w:right w:val="single" w:color="auto" w:sz="4" w:space="0"/>
            </w:tcBorders>
            <w:tcW w:w="9733" w:type="dxa"/>
            <w:vAlign w:val="center"/>
            <w:textDirection w:val="lrTb"/>
            <w:noWrap w:val="false"/>
          </w:tcPr>
          <w:p>
            <w:pPr>
              <w:ind w:left="0"/>
              <w:jc w:val="left"/>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响应总报价：               </w:t>
            </w:r>
            <w:r/>
          </w:p>
        </w:tc>
      </w:tr>
    </w:tbl>
    <w:p>
      <w:pPr>
        <w:ind w:firstLine="480"/>
        <w:jc w:val="both"/>
        <w:spacing w:line="360" w:lineRule="auto"/>
        <w:widowControl w:val="off"/>
        <w:rPr>
          <w:rFonts w:hint="eastAsia" w:ascii="宋体" w:hAnsi="宋体" w:eastAsia="宋体" w:cs="宋体"/>
          <w:b w:val="0"/>
          <w:bCs w:val="0"/>
          <w:sz w:val="24"/>
          <w:szCs w:val="24"/>
          <w:highlight w:val="none"/>
          <w:lang w:val="zh-CN" w:eastAsia="zh-CN" w:bidi="ar-SA"/>
        </w:rPr>
      </w:pPr>
      <w:r>
        <w:rPr>
          <w:rFonts w:hint="eastAsia" w:ascii="宋体" w:hAnsi="宋体" w:eastAsia="宋体" w:cs="宋体"/>
          <w:b w:val="0"/>
          <w:bCs w:val="0"/>
          <w:sz w:val="24"/>
          <w:szCs w:val="24"/>
          <w:highlight w:val="none"/>
          <w:lang w:val="zh-CN" w:eastAsia="zh-CN" w:bidi="ar-SA"/>
        </w:rPr>
        <w:t xml:space="preserve">注：</w:t>
      </w:r>
      <w:r/>
    </w:p>
    <w:p>
      <w:pPr>
        <w:pStyle w:val="1153"/>
        <w:ind w:firstLine="48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磋商报价应包括但不限于本项目服务过程的人工、工资、材料费、通讯费、水电费、交通费、耗材费、培训、管理、保险、劳保、利润、税金、审计、代理服务费、推广、视频发布、讲座、专家费、场所及测试仪器的维修保养、在服务期间举办活动等费用、政策性文件规定及合同包含的所有风险、责任等完成本项目的各项应有费用，采购单位不再支付其他任何费用。</w:t>
      </w:r>
      <w:r/>
    </w:p>
    <w:p>
      <w:pPr>
        <w:pStyle w:val="1153"/>
        <w:ind w:firstLine="48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r>
      <w:r/>
    </w:p>
    <w:p>
      <w:pPr>
        <w:ind w:firstLine="436"/>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响应单位：（单位公章）</w:t>
      </w:r>
      <w:r/>
    </w:p>
    <w:p>
      <w:pPr>
        <w:ind w:firstLine="436"/>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法定代表人或委托代理人：（签字或盖章）</w:t>
      </w:r>
      <w:r/>
    </w:p>
    <w:p>
      <w:pPr>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日期：      年    月    日</w:t>
      </w:r>
      <w:r/>
    </w:p>
    <w:p>
      <w:pPr>
        <w:pStyle w:val="1153"/>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auto"/>
          <w:sz w:val="24"/>
          <w:szCs w:val="24"/>
          <w:highlight w:val="none"/>
          <w:lang w:eastAsia="zh-CN"/>
        </w:rPr>
        <w:br w:type="page" w:clear="all"/>
      </w:r>
      <w:r/>
    </w:p>
    <w:p>
      <w:pPr>
        <w:ind w:left="0"/>
        <w:jc w:val="left"/>
        <w:spacing w:line="360" w:lineRule="auto"/>
        <w:widowControl/>
        <w:rPr>
          <w:rFonts w:hint="eastAsia" w:ascii="宋体" w:hAnsi="宋体" w:eastAsia="宋体" w:cs="Times New Roman"/>
          <w:b/>
          <w:sz w:val="24"/>
          <w:szCs w:val="22"/>
          <w:highlight w:val="none"/>
        </w:rPr>
      </w:pP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分项报价明细表</w:t>
      </w:r>
      <w:r/>
    </w:p>
    <w:p>
      <w:pPr>
        <w:ind w:firstLine="482"/>
        <w:jc w:val="center"/>
        <w:spacing w:before="46" w:after="46" w:line="360" w:lineRule="auto"/>
        <w:rPr>
          <w:rFonts w:hint="default" w:ascii="宋体" w:hAnsi="宋体" w:eastAsia="宋体" w:cs="Times New Roman"/>
          <w:b/>
          <w:sz w:val="24"/>
          <w:szCs w:val="22"/>
          <w:highlight w:val="none"/>
          <w:lang w:val="zh-CN"/>
        </w:rPr>
      </w:pPr>
      <w:r>
        <w:rPr>
          <w:rFonts w:hint="eastAsia" w:ascii="宋体" w:hAnsi="宋体" w:eastAsia="宋体" w:cs="Times New Roman"/>
          <w:b/>
          <w:sz w:val="24"/>
          <w:szCs w:val="22"/>
          <w:highlight w:val="none"/>
        </w:rPr>
        <w:t xml:space="preserve">分项报价明细表</w:t>
      </w:r>
      <w:r/>
    </w:p>
    <w:tbl>
      <w:tblPr>
        <w:tblStyle w:val="955"/>
        <w:tblW w:w="49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018"/>
        <w:gridCol w:w="3454"/>
        <w:gridCol w:w="3039"/>
        <w:gridCol w:w="2107"/>
      </w:tblGrid>
      <w:tr>
        <w:trPr>
          <w:cantSplit/>
          <w:jc w:val="center"/>
          <w:trHeight w:val="523"/>
        </w:trPr>
        <w:tc>
          <w:tcPr>
            <w:tcW w:w="529" w:type="pct"/>
            <w:vAlign w:val="center"/>
            <w:textDirection w:val="lrTb"/>
            <w:noWrap w:val="false"/>
          </w:tcPr>
          <w:p>
            <w:pPr>
              <w:jc w:val="center"/>
              <w:rPr>
                <w:rFonts w:hint="default" w:ascii="宋体" w:hAnsi="宋体" w:eastAsia="宋体" w:cs="Times New Roman"/>
                <w:sz w:val="24"/>
                <w:szCs w:val="22"/>
                <w:highlight w:val="none"/>
              </w:rPr>
            </w:pPr>
            <w:r>
              <w:rPr>
                <w:rFonts w:hint="eastAsia" w:ascii="宋体" w:hAnsi="宋体" w:eastAsia="宋体" w:cs="Times New Roman"/>
                <w:sz w:val="24"/>
                <w:szCs w:val="22"/>
                <w:highlight w:val="none"/>
              </w:rPr>
              <w:t xml:space="preserve">序号</w:t>
            </w:r>
            <w:r/>
          </w:p>
        </w:tc>
        <w:tc>
          <w:tcPr>
            <w:tcW w:w="1795" w:type="pct"/>
            <w:vAlign w:val="center"/>
            <w:textDirection w:val="lrTb"/>
            <w:noWrap w:val="false"/>
          </w:tcPr>
          <w:p>
            <w:pPr>
              <w:jc w:val="center"/>
              <w:rPr>
                <w:rFonts w:hint="eastAsia" w:ascii="宋体" w:hAnsi="宋体" w:eastAsia="宋体" w:cs="Times New Roman"/>
                <w:sz w:val="24"/>
                <w:szCs w:val="22"/>
                <w:highlight w:val="none"/>
                <w:lang w:eastAsia="zh-CN"/>
              </w:rPr>
            </w:pPr>
            <w:r>
              <w:rPr>
                <w:rFonts w:hint="eastAsia" w:ascii="宋体" w:hAnsi="宋体" w:eastAsia="宋体" w:cs="Times New Roman"/>
                <w:sz w:val="24"/>
                <w:szCs w:val="22"/>
                <w:highlight w:val="none"/>
                <w:lang w:eastAsia="zh-CN"/>
              </w:rPr>
              <w:t xml:space="preserve">费用明细</w:t>
            </w:r>
            <w:r/>
          </w:p>
        </w:tc>
        <w:tc>
          <w:tcPr>
            <w:tcW w:w="1579" w:type="pct"/>
            <w:vAlign w:val="center"/>
            <w:textDirection w:val="lrTb"/>
            <w:noWrap w:val="false"/>
          </w:tcPr>
          <w:p>
            <w:pPr>
              <w:jc w:val="center"/>
              <w:rPr>
                <w:rFonts w:hint="default" w:ascii="宋体" w:hAnsi="宋体" w:eastAsia="宋体" w:cs="Times New Roman"/>
                <w:sz w:val="24"/>
                <w:szCs w:val="22"/>
                <w:highlight w:val="none"/>
              </w:rPr>
            </w:pPr>
            <w:r>
              <w:rPr>
                <w:rFonts w:hint="eastAsia" w:ascii="宋体" w:hAnsi="宋体" w:eastAsia="宋体" w:cs="Times New Roman"/>
                <w:sz w:val="24"/>
                <w:szCs w:val="22"/>
                <w:highlight w:val="none"/>
              </w:rPr>
              <w:t xml:space="preserve">金额</w:t>
            </w:r>
            <w:r/>
          </w:p>
        </w:tc>
        <w:tc>
          <w:tcPr>
            <w:tcW w:w="1095" w:type="pct"/>
            <w:vAlign w:val="center"/>
            <w:textDirection w:val="lrTb"/>
            <w:noWrap w:val="false"/>
          </w:tcPr>
          <w:p>
            <w:pPr>
              <w:jc w:val="center"/>
              <w:rPr>
                <w:rFonts w:hint="default" w:ascii="宋体" w:hAnsi="宋体" w:eastAsia="宋体" w:cs="仿宋_GB2312"/>
                <w:sz w:val="24"/>
                <w:szCs w:val="22"/>
                <w:highlight w:val="none"/>
              </w:rPr>
            </w:pPr>
            <w:r>
              <w:rPr>
                <w:rFonts w:hint="eastAsia" w:ascii="宋体" w:hAnsi="宋体" w:eastAsia="宋体" w:cs="仿宋_GB2312"/>
                <w:sz w:val="24"/>
                <w:szCs w:val="22"/>
                <w:highlight w:val="none"/>
              </w:rPr>
              <w:t xml:space="preserve">备注</w:t>
            </w:r>
            <w:r/>
          </w:p>
        </w:tc>
      </w:tr>
      <w:tr>
        <w:trPr>
          <w:cantSplit/>
          <w:jc w:val="center"/>
          <w:trHeight w:val="523"/>
        </w:trPr>
        <w:tc>
          <w:tcPr>
            <w:tcW w:w="529" w:type="pct"/>
            <w:vAlign w:val="center"/>
            <w:textDirection w:val="lrTb"/>
            <w:noWrap w:val="false"/>
          </w:tcPr>
          <w:p>
            <w:pPr>
              <w:jc w:val="center"/>
              <w:rPr>
                <w:rFonts w:hint="default" w:ascii="宋体" w:hAnsi="宋体" w:eastAsia="宋体" w:cs="仿宋_GB2312"/>
                <w:sz w:val="24"/>
                <w:szCs w:val="22"/>
                <w:highlight w:val="none"/>
              </w:rPr>
            </w:pPr>
            <w:r>
              <w:rPr>
                <w:rFonts w:hint="eastAsia" w:ascii="宋体" w:hAnsi="宋体" w:eastAsia="宋体" w:cs="仿宋_GB2312"/>
                <w:sz w:val="24"/>
                <w:szCs w:val="22"/>
                <w:highlight w:val="none"/>
              </w:rPr>
              <w:t xml:space="preserve">1</w:t>
            </w:r>
            <w:r/>
          </w:p>
        </w:tc>
        <w:tc>
          <w:tcPr>
            <w:tcW w:w="1795" w:type="pct"/>
            <w:vAlign w:val="center"/>
            <w:textDirection w:val="lrTb"/>
            <w:noWrap w:val="false"/>
          </w:tcPr>
          <w:p>
            <w:pPr>
              <w:jc w:val="center"/>
              <w:spacing w:before="100" w:beforeAutospacing="1" w:after="100" w:afterAutospacing="1"/>
              <w:rPr>
                <w:rFonts w:hint="default" w:ascii="宋体" w:hAnsi="宋体" w:eastAsia="宋体" w:cs="Times New Roman"/>
                <w:sz w:val="24"/>
                <w:szCs w:val="22"/>
                <w:highlight w:val="none"/>
              </w:rPr>
            </w:pPr>
            <w:r>
              <w:rPr>
                <w:rFonts w:hint="default" w:ascii="宋体" w:hAnsi="宋体" w:eastAsia="宋体" w:cs="Times New Roman"/>
                <w:sz w:val="24"/>
                <w:szCs w:val="22"/>
                <w:highlight w:val="none"/>
              </w:rPr>
            </w:r>
            <w:r/>
          </w:p>
        </w:tc>
        <w:tc>
          <w:tcPr>
            <w:tcW w:w="1579"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095"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r>
      <w:tr>
        <w:trPr>
          <w:cantSplit/>
          <w:jc w:val="center"/>
          <w:trHeight w:val="523"/>
        </w:trPr>
        <w:tc>
          <w:tcPr>
            <w:tcW w:w="529" w:type="pct"/>
            <w:vAlign w:val="center"/>
            <w:textDirection w:val="lrTb"/>
            <w:noWrap w:val="false"/>
          </w:tcPr>
          <w:p>
            <w:pPr>
              <w:jc w:val="center"/>
              <w:rPr>
                <w:rFonts w:hint="default" w:ascii="宋体" w:hAnsi="宋体" w:eastAsia="宋体" w:cs="仿宋_GB2312"/>
                <w:sz w:val="24"/>
                <w:szCs w:val="22"/>
                <w:highlight w:val="none"/>
              </w:rPr>
            </w:pPr>
            <w:r>
              <w:rPr>
                <w:rFonts w:hint="eastAsia" w:ascii="宋体" w:hAnsi="宋体" w:eastAsia="宋体" w:cs="仿宋_GB2312"/>
                <w:sz w:val="24"/>
                <w:szCs w:val="22"/>
                <w:highlight w:val="none"/>
              </w:rPr>
              <w:t xml:space="preserve">2</w:t>
            </w:r>
            <w:r/>
          </w:p>
        </w:tc>
        <w:tc>
          <w:tcPr>
            <w:tcW w:w="1795" w:type="pct"/>
            <w:vAlign w:val="center"/>
            <w:textDirection w:val="lrTb"/>
            <w:noWrap w:val="false"/>
          </w:tcPr>
          <w:p>
            <w:pPr>
              <w:jc w:val="center"/>
              <w:spacing w:before="100" w:beforeAutospacing="1" w:after="100" w:afterAutospacing="1"/>
              <w:rPr>
                <w:rFonts w:hint="default" w:ascii="宋体" w:hAnsi="宋体" w:eastAsia="宋体" w:cs="Times New Roman"/>
                <w:sz w:val="24"/>
                <w:szCs w:val="22"/>
                <w:highlight w:val="none"/>
              </w:rPr>
            </w:pPr>
            <w:r>
              <w:rPr>
                <w:rFonts w:hint="default" w:ascii="宋体" w:hAnsi="宋体" w:eastAsia="宋体" w:cs="Times New Roman"/>
                <w:sz w:val="24"/>
                <w:szCs w:val="22"/>
                <w:highlight w:val="none"/>
              </w:rPr>
            </w:r>
            <w:r/>
          </w:p>
        </w:tc>
        <w:tc>
          <w:tcPr>
            <w:tcW w:w="1579"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095"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r>
      <w:tr>
        <w:trPr>
          <w:cantSplit/>
          <w:jc w:val="center"/>
          <w:trHeight w:val="523"/>
        </w:trPr>
        <w:tc>
          <w:tcPr>
            <w:tcW w:w="529" w:type="pct"/>
            <w:vAlign w:val="center"/>
            <w:textDirection w:val="lrTb"/>
            <w:noWrap w:val="false"/>
          </w:tcPr>
          <w:p>
            <w:pPr>
              <w:jc w:val="center"/>
              <w:rPr>
                <w:rFonts w:hint="default" w:ascii="宋体" w:hAnsi="宋体" w:eastAsia="宋体" w:cs="仿宋_GB2312"/>
                <w:sz w:val="24"/>
                <w:szCs w:val="22"/>
                <w:highlight w:val="none"/>
              </w:rPr>
            </w:pPr>
            <w:r>
              <w:rPr>
                <w:rFonts w:hint="eastAsia" w:ascii="宋体" w:hAnsi="宋体" w:eastAsia="宋体" w:cs="仿宋_GB2312"/>
                <w:sz w:val="24"/>
                <w:szCs w:val="22"/>
                <w:highlight w:val="none"/>
              </w:rPr>
              <w:t xml:space="preserve">3</w:t>
            </w:r>
            <w:r/>
          </w:p>
        </w:tc>
        <w:tc>
          <w:tcPr>
            <w:tcW w:w="1795" w:type="pct"/>
            <w:vAlign w:val="center"/>
            <w:textDirection w:val="lrTb"/>
            <w:noWrap w:val="false"/>
          </w:tcPr>
          <w:p>
            <w:pPr>
              <w:jc w:val="center"/>
              <w:spacing w:before="100" w:beforeAutospacing="1" w:after="100" w:afterAutospacing="1"/>
              <w:rPr>
                <w:rFonts w:hint="default" w:ascii="宋体" w:hAnsi="宋体" w:eastAsia="宋体" w:cs="Times New Roman"/>
                <w:sz w:val="24"/>
                <w:szCs w:val="22"/>
                <w:highlight w:val="none"/>
              </w:rPr>
            </w:pPr>
            <w:r>
              <w:rPr>
                <w:rFonts w:hint="default" w:ascii="宋体" w:hAnsi="宋体" w:eastAsia="宋体" w:cs="Times New Roman"/>
                <w:sz w:val="24"/>
                <w:szCs w:val="22"/>
                <w:highlight w:val="none"/>
              </w:rPr>
            </w:r>
            <w:r/>
          </w:p>
        </w:tc>
        <w:tc>
          <w:tcPr>
            <w:tcW w:w="1579"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095"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r>
      <w:tr>
        <w:trPr>
          <w:cantSplit/>
          <w:jc w:val="center"/>
          <w:trHeight w:val="523"/>
        </w:trPr>
        <w:tc>
          <w:tcPr>
            <w:tcW w:w="529" w:type="pct"/>
            <w:vAlign w:val="center"/>
            <w:textDirection w:val="lrTb"/>
            <w:noWrap w:val="false"/>
          </w:tcPr>
          <w:p>
            <w:pPr>
              <w:jc w:val="center"/>
              <w:rPr>
                <w:rFonts w:hint="default" w:ascii="宋体" w:hAnsi="宋体" w:eastAsia="宋体" w:cs="仿宋_GB2312"/>
                <w:sz w:val="24"/>
                <w:szCs w:val="22"/>
                <w:highlight w:val="none"/>
              </w:rPr>
            </w:pPr>
            <w:r>
              <w:rPr>
                <w:rFonts w:hint="eastAsia" w:ascii="宋体" w:hAnsi="宋体" w:eastAsia="宋体" w:cs="仿宋_GB2312"/>
                <w:sz w:val="24"/>
                <w:szCs w:val="22"/>
                <w:highlight w:val="none"/>
              </w:rPr>
              <w:t xml:space="preserve">4</w:t>
            </w:r>
            <w:r/>
          </w:p>
        </w:tc>
        <w:tc>
          <w:tcPr>
            <w:tcW w:w="1795" w:type="pct"/>
            <w:vAlign w:val="center"/>
            <w:textDirection w:val="lrTb"/>
            <w:noWrap w:val="false"/>
          </w:tcPr>
          <w:p>
            <w:pPr>
              <w:jc w:val="center"/>
              <w:spacing w:before="100" w:beforeAutospacing="1" w:after="100" w:afterAutospacing="1"/>
              <w:rPr>
                <w:rFonts w:hint="default" w:ascii="宋体" w:hAnsi="宋体" w:eastAsia="宋体" w:cs="Times New Roman"/>
                <w:sz w:val="24"/>
                <w:szCs w:val="22"/>
                <w:highlight w:val="none"/>
              </w:rPr>
            </w:pPr>
            <w:r>
              <w:rPr>
                <w:rFonts w:hint="default" w:ascii="宋体" w:hAnsi="宋体" w:eastAsia="宋体" w:cs="Times New Roman"/>
                <w:sz w:val="24"/>
                <w:szCs w:val="22"/>
                <w:highlight w:val="none"/>
              </w:rPr>
            </w:r>
            <w:r/>
          </w:p>
        </w:tc>
        <w:tc>
          <w:tcPr>
            <w:tcW w:w="1579"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095"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r>
      <w:tr>
        <w:trPr>
          <w:cantSplit/>
          <w:jc w:val="center"/>
          <w:trHeight w:val="524"/>
        </w:trPr>
        <w:tc>
          <w:tcPr>
            <w:tcW w:w="529" w:type="pct"/>
            <w:vAlign w:val="center"/>
            <w:textDirection w:val="lrTb"/>
            <w:noWrap w:val="false"/>
          </w:tcPr>
          <w:p>
            <w:pPr>
              <w:jc w:val="center"/>
              <w:rPr>
                <w:rFonts w:hint="default" w:ascii="宋体" w:hAnsi="宋体" w:eastAsia="宋体" w:cs="仿宋_GB2312"/>
                <w:sz w:val="24"/>
                <w:szCs w:val="22"/>
                <w:highlight w:val="none"/>
              </w:rPr>
            </w:pPr>
            <w:r>
              <w:rPr>
                <w:rFonts w:hint="eastAsia" w:ascii="宋体" w:hAnsi="宋体" w:eastAsia="宋体" w:cs="仿宋_GB2312"/>
                <w:sz w:val="24"/>
                <w:szCs w:val="22"/>
                <w:highlight w:val="none"/>
              </w:rPr>
              <w:t xml:space="preserve">5</w:t>
            </w:r>
            <w:r/>
          </w:p>
        </w:tc>
        <w:tc>
          <w:tcPr>
            <w:tcW w:w="1795" w:type="pct"/>
            <w:vAlign w:val="center"/>
            <w:textDirection w:val="lrTb"/>
            <w:noWrap w:val="false"/>
          </w:tcPr>
          <w:p>
            <w:pPr>
              <w:jc w:val="center"/>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579"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095"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r>
      <w:tr>
        <w:trPr>
          <w:cantSplit/>
          <w:jc w:val="center"/>
          <w:trHeight w:val="523"/>
        </w:trPr>
        <w:tc>
          <w:tcPr>
            <w:tcW w:w="529" w:type="pct"/>
            <w:vAlign w:val="center"/>
            <w:textDirection w:val="lrTb"/>
            <w:noWrap w:val="false"/>
          </w:tcPr>
          <w:p>
            <w:pPr>
              <w:jc w:val="center"/>
              <w:rPr>
                <w:rFonts w:hint="default" w:ascii="宋体" w:hAnsi="宋体" w:eastAsia="宋体" w:cs="仿宋_GB2312"/>
                <w:sz w:val="24"/>
                <w:szCs w:val="22"/>
                <w:highlight w:val="none"/>
              </w:rPr>
            </w:pPr>
            <w:r>
              <w:rPr>
                <w:rFonts w:hint="eastAsia" w:ascii="宋体" w:hAnsi="宋体" w:eastAsia="宋体" w:cs="仿宋_GB2312"/>
                <w:sz w:val="24"/>
                <w:szCs w:val="22"/>
                <w:highlight w:val="none"/>
              </w:rPr>
              <w:t xml:space="preserve">6</w:t>
            </w:r>
            <w:r/>
          </w:p>
        </w:tc>
        <w:tc>
          <w:tcPr>
            <w:tcW w:w="1795" w:type="pct"/>
            <w:vAlign w:val="center"/>
            <w:textDirection w:val="lrTb"/>
            <w:noWrap w:val="false"/>
          </w:tcPr>
          <w:p>
            <w:pPr>
              <w:jc w:val="center"/>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579"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095"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r>
      <w:tr>
        <w:trPr>
          <w:cantSplit/>
          <w:jc w:val="center"/>
          <w:trHeight w:val="523"/>
        </w:trPr>
        <w:tc>
          <w:tcPr>
            <w:tcW w:w="529" w:type="pct"/>
            <w:vAlign w:val="center"/>
            <w:textDirection w:val="lrTb"/>
            <w:noWrap w:val="false"/>
          </w:tcPr>
          <w:p>
            <w:pPr>
              <w:jc w:val="center"/>
              <w:rPr>
                <w:rFonts w:hint="default" w:ascii="宋体" w:hAnsi="宋体" w:eastAsia="宋体" w:cs="仿宋_GB2312"/>
                <w:sz w:val="24"/>
                <w:szCs w:val="22"/>
                <w:highlight w:val="none"/>
                <w:lang w:val="en-US" w:eastAsia="zh-CN"/>
              </w:rPr>
            </w:pPr>
            <w:r>
              <w:rPr>
                <w:rFonts w:hint="eastAsia" w:ascii="宋体" w:hAnsi="宋体" w:eastAsia="宋体" w:cs="仿宋_GB2312"/>
                <w:sz w:val="24"/>
                <w:szCs w:val="22"/>
                <w:highlight w:val="none"/>
                <w:lang w:val="en-US" w:eastAsia="zh-CN"/>
              </w:rPr>
              <w:t xml:space="preserve">...</w:t>
            </w:r>
            <w:r/>
          </w:p>
        </w:tc>
        <w:tc>
          <w:tcPr>
            <w:tcW w:w="1795" w:type="pct"/>
            <w:vAlign w:val="center"/>
            <w:textDirection w:val="lrTb"/>
            <w:noWrap w:val="false"/>
          </w:tcPr>
          <w:p>
            <w:pPr>
              <w:jc w:val="center"/>
              <w:rPr>
                <w:rFonts w:hint="default" w:ascii="宋体" w:hAnsi="宋体" w:eastAsia="宋体" w:cs="Times New Roman"/>
                <w:sz w:val="24"/>
                <w:szCs w:val="22"/>
                <w:highlight w:val="none"/>
              </w:rPr>
            </w:pPr>
            <w:r>
              <w:rPr>
                <w:rFonts w:hint="default" w:ascii="宋体" w:hAnsi="宋体" w:eastAsia="宋体" w:cs="Times New Roman"/>
                <w:sz w:val="24"/>
                <w:szCs w:val="22"/>
                <w:highlight w:val="none"/>
              </w:rPr>
            </w:r>
            <w:r/>
          </w:p>
        </w:tc>
        <w:tc>
          <w:tcPr>
            <w:tcW w:w="1579"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095"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r>
      <w:tr>
        <w:trPr>
          <w:cantSplit/>
          <w:jc w:val="center"/>
          <w:trHeight w:val="523"/>
        </w:trPr>
        <w:tc>
          <w:tcPr>
            <w:gridSpan w:val="2"/>
            <w:tcW w:w="2324"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eastAsia" w:ascii="宋体" w:hAnsi="宋体" w:eastAsia="宋体" w:cs="仿宋_GB2312"/>
                <w:sz w:val="24"/>
                <w:szCs w:val="22"/>
                <w:highlight w:val="none"/>
              </w:rPr>
              <w:t xml:space="preserve">合计金额</w:t>
            </w:r>
            <w:r/>
          </w:p>
        </w:tc>
        <w:tc>
          <w:tcPr>
            <w:tcW w:w="1579"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c>
          <w:tcPr>
            <w:tcW w:w="1095" w:type="pct"/>
            <w:vAlign w:val="center"/>
            <w:textDirection w:val="lrTb"/>
            <w:noWrap w:val="false"/>
          </w:tcPr>
          <w:p>
            <w:pPr>
              <w:jc w:val="center"/>
              <w:spacing w:line="360" w:lineRule="auto"/>
              <w:rPr>
                <w:rFonts w:hint="default" w:ascii="宋体" w:hAnsi="宋体" w:eastAsia="宋体" w:cs="仿宋_GB2312"/>
                <w:sz w:val="24"/>
                <w:szCs w:val="22"/>
                <w:highlight w:val="none"/>
              </w:rPr>
            </w:pPr>
            <w:r>
              <w:rPr>
                <w:rFonts w:hint="default" w:ascii="宋体" w:hAnsi="宋体" w:eastAsia="宋体" w:cs="仿宋_GB2312"/>
                <w:sz w:val="24"/>
                <w:szCs w:val="22"/>
                <w:highlight w:val="none"/>
              </w:rPr>
            </w:r>
            <w:r/>
          </w:p>
        </w:tc>
      </w:tr>
    </w:tbl>
    <w:p>
      <w:pPr>
        <w:ind w:firstLine="480"/>
        <w:spacing w:line="360" w:lineRule="auto"/>
        <w:rPr>
          <w:rFonts w:hint="default" w:ascii="宋体" w:hAnsi="宋体" w:eastAsia="宋体" w:cs="Times New Roman"/>
          <w:sz w:val="24"/>
          <w:szCs w:val="22"/>
          <w:highlight w:val="none"/>
        </w:rPr>
      </w:pPr>
      <w:r>
        <w:rPr>
          <w:rFonts w:hint="eastAsia" w:ascii="宋体" w:hAnsi="宋体" w:eastAsia="宋体" w:cs="Times New Roman"/>
          <w:sz w:val="24"/>
          <w:szCs w:val="22"/>
          <w:highlight w:val="none"/>
        </w:rPr>
        <w:t xml:space="preserve">注：此表“合计金额”与磋商报价表“项目总价”须保持一致，否则以磋商报价表价格为准。可根据需要自行调整。</w:t>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rPr>
          <w:rFonts w:hint="eastAsia" w:ascii="Calibri" w:hAnsi="Calibri" w:eastAsia="宋体" w:cs="Times New Roman"/>
          <w:b/>
          <w:bCs/>
          <w:sz w:val="24"/>
          <w:szCs w:val="24"/>
          <w:highlight w:val="none"/>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w:t>
      </w:r>
      <w:r>
        <w:rPr>
          <w:rFonts w:hint="eastAsia" w:ascii="Calibri" w:hAnsi="Calibri" w:eastAsia="宋体" w:cs="Times New Roman"/>
          <w:b/>
          <w:bCs/>
          <w:sz w:val="24"/>
          <w:szCs w:val="24"/>
          <w:highlight w:val="none"/>
        </w:rPr>
        <w:t xml:space="preserve">财务状况报告</w:t>
      </w:r>
      <w:r/>
    </w:p>
    <w:p>
      <w:pPr>
        <w:jc w:val="center"/>
        <w:keepLines w:val="0"/>
        <w:keepNext w:val="0"/>
        <w:pageBreakBefore w:val="0"/>
        <w:spacing w:line="360" w:lineRule="auto"/>
        <w:widowControl w:val="off"/>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Calibri" w:hAnsi="Calibri" w:eastAsia="宋体" w:cs="Times New Roman"/>
          <w:b/>
          <w:bCs/>
          <w:sz w:val="24"/>
          <w:szCs w:val="24"/>
          <w:highlight w:val="none"/>
        </w:rPr>
        <w:t xml:space="preserve">财务状况报告</w:t>
      </w:r>
      <w:r/>
    </w:p>
    <w:p>
      <w:pPr>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hint="default" w:ascii="宋体" w:hAnsi="宋体" w:eastAsia="宋体" w:cs="Times New Roman"/>
          <w:bCs/>
          <w:color w:val="auto"/>
          <w:sz w:val="24"/>
          <w:szCs w:val="24"/>
          <w:highlight w:val="none"/>
          <w:u w:val="single"/>
        </w:rPr>
        <w:t xml:space="preserve">采购代理机构名称</w:t>
      </w:r>
      <w:r>
        <w:rPr>
          <w:rFonts w:hint="eastAsia" w:ascii="宋体" w:hAnsi="宋体" w:eastAsia="宋体" w:cs="宋体"/>
          <w:sz w:val="24"/>
          <w:szCs w:val="24"/>
          <w:highlight w:val="none"/>
          <w:u w:val="singl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现附上我方</w:t>
      </w:r>
      <w:r>
        <w:rPr>
          <w:rFonts w:hint="eastAsia" w:ascii="宋体" w:hAnsi="宋体" w:eastAsia="宋体" w:cs="宋体"/>
          <w:sz w:val="24"/>
          <w:szCs w:val="24"/>
          <w:highlight w:val="none"/>
          <w:u w:val="single"/>
        </w:rPr>
        <w:t xml:space="preserve">(口</w:t>
      </w:r>
      <w:r>
        <w:rPr>
          <w:rFonts w:hint="eastAsia" w:ascii="宋体" w:hAnsi="宋体" w:eastAsia="宋体" w:cs="宋体"/>
          <w:sz w:val="24"/>
          <w:szCs w:val="24"/>
          <w:highlight w:val="none"/>
          <w:u w:val="single"/>
          <w:lang w:val="en-US" w:eastAsia="zh-CN"/>
        </w:rPr>
        <w:t xml:space="preserve">2024年</w:t>
      </w:r>
      <w:r>
        <w:rPr>
          <w:rFonts w:hint="eastAsia" w:ascii="宋体" w:hAnsi="宋体" w:eastAsia="宋体" w:cs="宋体"/>
          <w:sz w:val="24"/>
          <w:szCs w:val="24"/>
          <w:highlight w:val="none"/>
          <w:u w:val="single"/>
        </w:rPr>
        <w:t xml:space="preserve">财务报表</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或 口</w:t>
      </w:r>
      <w:r>
        <w:rPr>
          <w:rFonts w:hint="eastAsia" w:ascii="宋体" w:hAnsi="宋体" w:eastAsia="宋体" w:cs="宋体"/>
          <w:sz w:val="24"/>
          <w:szCs w:val="24"/>
          <w:highlight w:val="none"/>
          <w:u w:val="single"/>
          <w:lang w:val="en-US" w:eastAsia="zh-CN"/>
        </w:rPr>
        <w:t xml:space="preserve">最近一期</w:t>
      </w:r>
      <w:r>
        <w:rPr>
          <w:rFonts w:hint="eastAsia" w:ascii="宋体" w:hAnsi="宋体" w:eastAsia="宋体" w:cs="宋体"/>
          <w:sz w:val="24"/>
          <w:szCs w:val="24"/>
          <w:highlight w:val="none"/>
          <w:u w:val="single"/>
        </w:rPr>
        <w:t xml:space="preserve">经审计的财务报告</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或</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口资信证明)</w:t>
      </w:r>
      <w:r>
        <w:rPr>
          <w:rFonts w:hint="eastAsia" w:ascii="宋体" w:hAnsi="宋体" w:eastAsia="宋体" w:cs="宋体"/>
          <w:sz w:val="24"/>
          <w:szCs w:val="24"/>
          <w:highlight w:val="none"/>
        </w:rPr>
        <w:t xml:space="preserve">复印件或扫描件，我方提供的证明材料真实有效，否则我方负全部责任。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★注意事项: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请</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按照自身实际情况编制填写，在相应的“口”中打“√”，并按照以下要求提供相应证明资料:</w:t>
      </w:r>
      <w:r/>
    </w:p>
    <w:p>
      <w:pPr>
        <w:ind w:firstLine="480"/>
        <w:jc w:val="both"/>
        <w:keepLines w:val="0"/>
        <w:keepNext w:val="0"/>
        <w:pageBreakBefore w:val="0"/>
        <w:spacing w:line="360" w:lineRule="auto"/>
        <w:widowControl/>
        <w:rPr>
          <w:rFonts w:hint="eastAsia" w:ascii="Calibri" w:hAnsi="Calibri" w:eastAsia="宋体" w:cs="Calibri"/>
          <w:sz w:val="21"/>
          <w:szCs w:val="21"/>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)审计报告</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bidi="ar-SA"/>
        </w:rPr>
        <w:t xml:space="preserve">最近一期经审计的财务报告可提供2024年经审计的财务报告，若2024年财务报告尚未经审计出具，可提供2023年经审计的财务报告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)成立年限不足1年的</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，提供资信证明复印件或扫描件;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提供的相应证明材料复印件或扫描件均应符合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内容完整、清晰、整洁，并由</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加盖其单位公章。</w:t>
      </w: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响应单位盖</w:t>
      </w:r>
      <w:r>
        <w:rPr>
          <w:rFonts w:hint="eastAsia" w:ascii="宋体" w:hAnsi="宋体" w:eastAsia="宋体" w:cs="宋体"/>
          <w:sz w:val="24"/>
          <w:szCs w:val="24"/>
          <w:highlight w:val="none"/>
        </w:rPr>
        <w:t xml:space="preserve">章:</w:t>
      </w:r>
      <w:r/>
    </w:p>
    <w:p>
      <w:pPr>
        <w:jc w:val="both"/>
        <w:keepLines w:val="0"/>
        <w:keepNext w:val="0"/>
        <w:pageBreakBefore w:val="0"/>
        <w:spacing w:line="48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法定代表人或委托代理人：（签字或盖章）</w:t>
      </w:r>
      <w:r/>
    </w:p>
    <w:p>
      <w:pPr>
        <w:jc w:val="both"/>
        <w:keepLines w:val="0"/>
        <w:keepNext w:val="0"/>
        <w:pageBreakBefore w:val="0"/>
        <w:spacing w:line="48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lang w:val="en-US" w:eastAsia="zh-CN"/>
        </w:rPr>
        <w:t xml:space="preserve">    年   月   日</w:t>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ageBreakBefore/>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依法缴纳税收证明材料</w:t>
      </w:r>
      <w:r/>
    </w:p>
    <w:p>
      <w:pPr>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依法缴纳税收证明材料</w:t>
      </w:r>
      <w:r/>
    </w:p>
    <w:p>
      <w:pPr>
        <w:jc w:val="lef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致:</w:t>
      </w:r>
      <w:r>
        <w:rPr>
          <w:rFonts w:hint="eastAsia" w:ascii="宋体" w:hAnsi="宋体" w:eastAsia="宋体" w:cs="宋体"/>
          <w:sz w:val="24"/>
          <w:szCs w:val="24"/>
          <w:highlight w:val="none"/>
          <w:u w:val="single"/>
          <w:lang w:val="en-US" w:eastAsia="zh-CN"/>
        </w:rPr>
        <w:t xml:space="preserve">(招标单位或采购代理机构)</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1.依法缴纳税收的响应单位</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日期间我方依法缴纳的税收凭据复印件，证明材料真实有效，否则我方负全部责任。</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2.依法免税的响应单位</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）现附上我方依法免税证明材料复印件，证明材料真实有效，否则我方负全部责任。</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★注意事项: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1、请响应单位根据实际情况填写，在相应的(  )中打“√”，并按照本格式的要求提供相应证明材料的复印件。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2、响应单位提供的税收凭据复印件应符合下列规定：</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2.1响应文件递交截止时间前(不含截止时间的当月)已依法缴纳税收的响应单位，提供响应文件递交截止时间前六个月(不含截止时间的当月)中任一月份的税收凭据复印件。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2.2响应文件递交截止时间的当月成立且已依法缴纳税收的响应单位，提供截止时间当月的税收凭据复印件。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2.3响应文件递交截止时间的当月成立但因税务机关原因而尚未依法缴纳税收的响应单位，提供依法缴纳税收承诺书原件(格式自拟)，该承诺书视同税收凭据。</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3、响应单位提供的相应证明材料复印件均应符合：内容完整、清晰、整洁，并由响应单位加盖其单位公章。</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“依法缴纳税收证明材料”</w:t>
      </w:r>
      <w:r>
        <w:rPr>
          <w:rFonts w:hint="eastAsia" w:ascii="宋体" w:hAnsi="宋体" w:eastAsia="宋体" w:cs="宋体"/>
          <w:sz w:val="24"/>
          <w:szCs w:val="24"/>
          <w:highlight w:val="none"/>
          <w:lang w:val="en-US" w:eastAsia="zh-CN"/>
        </w:rPr>
        <w:t xml:space="preserve">有欠缴记录的，视为</w:t>
      </w:r>
      <w:r>
        <w:rPr>
          <w:rFonts w:hint="eastAsia" w:ascii="宋体" w:hAnsi="宋体" w:eastAsia="宋体" w:cs="宋体"/>
          <w:b/>
          <w:bCs/>
          <w:sz w:val="24"/>
          <w:szCs w:val="24"/>
          <w:highlight w:val="none"/>
          <w:lang w:val="en-US" w:eastAsia="zh-CN"/>
        </w:rPr>
        <w:t xml:space="preserve">未依法缴纳税收</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  期:    年  月  日</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依法缴纳社会保障资金证明材料</w:t>
      </w:r>
      <w:r/>
    </w:p>
    <w:p>
      <w:pPr>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依法缴纳社会保障资金证明材料</w:t>
      </w:r>
      <w:r/>
    </w:p>
    <w:p>
      <w:pPr>
        <w:jc w:val="lef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致:</w:t>
      </w:r>
      <w:r>
        <w:rPr>
          <w:rFonts w:hint="eastAsia" w:ascii="宋体" w:hAnsi="宋体" w:eastAsia="宋体" w:cs="宋体"/>
          <w:sz w:val="24"/>
          <w:szCs w:val="24"/>
          <w:highlight w:val="none"/>
          <w:u w:val="single"/>
          <w:lang w:val="en-US" w:eastAsia="zh-CN"/>
        </w:rPr>
        <w:t xml:space="preserve">(招标单位或采购代理机构)</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1.依法缴纳社会保障资金的响应单位</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日我方依法缴纳的社会保险凭据复印件，证明材料真实有效，否则我方负全部责任。</w:t>
      </w:r>
      <w:r/>
    </w:p>
    <w:p>
      <w:pPr>
        <w:numPr>
          <w:ilvl w:val="0"/>
          <w:numId w:val="7"/>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依法不需要缴纳社会保障资金的响应单位</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)现附上我方依法不需要缴纳社会保障资金证明材料复印件，证明材料真实有效，否则我方负全部责任。</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★注意事项: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1、请响应单位根据实际情况填写，在相应的( )中打“√”，并按照本格式的要求提供相应证明材料的复印件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2、响应单位提供的社会保险凭据复印件应符合下列规定：</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2.1响应文件递交截止时间前(不含截止时间的当月)已依法缴纳社会保障资金的投标供应商，提供响应文件递交截止时间前六个月(不含截止时间的当月)中任一月份的社会保险凭据复印件。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2.2响应文件递交截止时间的当月成立且已依法缴纳社会保障资金的供应商，提供响应文件递交截止时间当月的社会保险凭据复印件。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3、响应单位提供的相应证明材料复印件均应符合：内容完整、清晰、整洁，并由供应商加盖其单位公章。</w:t>
      </w:r>
      <w:r/>
    </w:p>
    <w:p>
      <w:pPr>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“依法缴纳社会保障资金证明材料”</w:t>
      </w:r>
      <w:r>
        <w:rPr>
          <w:rFonts w:hint="eastAsia" w:ascii="宋体" w:hAnsi="宋体" w:eastAsia="宋体" w:cs="宋体"/>
          <w:sz w:val="24"/>
          <w:szCs w:val="24"/>
          <w:highlight w:val="none"/>
          <w:lang w:val="en-US" w:eastAsia="zh-CN"/>
        </w:rPr>
        <w:t xml:space="preserve">有欠缴记录的，视为</w:t>
      </w:r>
      <w:r>
        <w:rPr>
          <w:rFonts w:hint="eastAsia" w:ascii="宋体" w:hAnsi="宋体" w:eastAsia="宋体" w:cs="宋体"/>
          <w:b/>
          <w:bCs/>
          <w:sz w:val="24"/>
          <w:szCs w:val="24"/>
          <w:highlight w:val="none"/>
          <w:lang w:val="en-US" w:eastAsia="zh-CN"/>
        </w:rPr>
        <w:t xml:space="preserve">未依法缴纳社会保障资金。</w:t>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  期:    年   月  日</w:t>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具备履行合同所必需设备和专业技术能力证明材料声明函</w:t>
      </w:r>
      <w:r/>
    </w:p>
    <w:p>
      <w:pPr>
        <w:jc w:val="left"/>
        <w:keepLines w:val="0"/>
        <w:keepNext w:val="0"/>
        <w:pageBreakBefore w:val="0"/>
        <w:spacing w:line="360" w:lineRule="auto"/>
        <w:widowControl w:val="off"/>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r>
      <w:r/>
    </w:p>
    <w:p>
      <w:pPr>
        <w:ind w:left="851" w:firstLine="480"/>
        <w:jc w:val="both"/>
        <w:keepLines/>
        <w:spacing w:before="0" w:line="440" w:lineRule="exact"/>
        <w:widowControl w:val="off"/>
        <w:rPr>
          <w:rFonts w:hint="default" w:ascii="Calibri" w:hAnsi="Calibri" w:eastAsia="宋体" w:cs="Times New Roman"/>
          <w:b w:val="0"/>
          <w:bCs w:val="0"/>
          <w:color w:val="auto"/>
          <w:sz w:val="24"/>
          <w:szCs w:val="20"/>
          <w:highlight w:val="none"/>
          <w:lang w:val="en-US" w:eastAsia="zh-CN" w:bidi="ar-SA"/>
        </w:rPr>
      </w:pPr>
      <w:r>
        <w:rPr>
          <w:rFonts w:hint="default" w:ascii="Calibri" w:hAnsi="Calibri" w:eastAsia="宋体" w:cs="Times New Roman"/>
          <w:b w:val="0"/>
          <w:bCs w:val="0"/>
          <w:color w:val="auto"/>
          <w:sz w:val="24"/>
          <w:szCs w:val="20"/>
          <w:highlight w:val="none"/>
          <w:lang w:val="en-US" w:eastAsia="zh-CN" w:bidi="ar-SA"/>
        </w:rPr>
      </w:r>
      <w:r/>
    </w:p>
    <w:p>
      <w:pPr>
        <w:jc w:val="cente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具备履行合同所必需设备和专业技术能力证明材料声明函</w:t>
      </w:r>
      <w:r/>
    </w:p>
    <w:p>
      <w:pPr>
        <w:jc w:val="left"/>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lang w:val="en-US" w:eastAsia="zh-CN"/>
        </w:rPr>
        <w:t xml:space="preserve">致:</w:t>
      </w:r>
      <w:r>
        <w:rPr>
          <w:rFonts w:hint="default" w:ascii="宋体" w:hAnsi="宋体" w:eastAsia="宋体" w:cs="宋体"/>
          <w:sz w:val="24"/>
          <w:szCs w:val="24"/>
          <w:highlight w:val="none"/>
          <w:u w:val="single"/>
          <w:lang w:val="en-US" w:eastAsia="zh-CN"/>
        </w:rPr>
        <w:t xml:space="preserve">(招标单位或采购代理机构)</w:t>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我方具备履行合同所必需的设备和专业技术能力，并对本声明承诺的真实性负责</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否则产生不利后果由我方承担责任。</w:t>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特此声明。</w:t>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投标单位盖章:</w:t>
      </w:r>
      <w:r/>
    </w:p>
    <w:p>
      <w:pPr>
        <w:ind w:firstLine="480"/>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  期:    年  月  日</w:t>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参加政府采购活动前三年内在经营活动中没有重大违法记录书面声明</w:t>
      </w:r>
      <w:r/>
    </w:p>
    <w:p>
      <w:pPr>
        <w:jc w:val="left"/>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r>
      <w:r/>
    </w:p>
    <w:p>
      <w:pPr>
        <w:ind w:left="851" w:firstLine="482"/>
        <w:jc w:val="both"/>
        <w:keepLines/>
        <w:spacing w:before="0" w:line="440" w:lineRule="exact"/>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rPr>
          <w:rFonts w:hint="default" w:ascii="宋体" w:hAnsi="Times New Roman" w:eastAsia="宋体" w:cs="Times New Roman"/>
          <w:sz w:val="34"/>
          <w:highlight w:val="none"/>
          <w:lang w:val="en-US" w:eastAsia="zh-CN"/>
        </w:rPr>
      </w:pPr>
      <w:r>
        <w:rPr>
          <w:rFonts w:hint="default" w:ascii="宋体" w:hAnsi="Times New Roman" w:eastAsia="宋体" w:cs="Times New Roman"/>
          <w:sz w:val="34"/>
          <w:highlight w:val="none"/>
          <w:lang w:val="en-US" w:eastAsia="zh-CN"/>
        </w:rPr>
      </w:r>
      <w:r/>
    </w:p>
    <w:p>
      <w:pPr>
        <w:jc w:val="cente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参加</w:t>
      </w:r>
      <w:r>
        <w:rPr>
          <w:rFonts w:hint="eastAsia" w:ascii="宋体" w:hAnsi="宋体" w:eastAsia="宋体" w:cs="宋体"/>
          <w:b/>
          <w:bCs/>
          <w:sz w:val="24"/>
          <w:szCs w:val="24"/>
          <w:highlight w:val="none"/>
          <w:lang w:val="en-US" w:eastAsia="zh-CN"/>
        </w:rPr>
        <w:t xml:space="preserve">政府</w:t>
      </w:r>
      <w:r>
        <w:rPr>
          <w:rFonts w:hint="default" w:ascii="宋体" w:hAnsi="宋体" w:eastAsia="宋体" w:cs="宋体"/>
          <w:b/>
          <w:bCs/>
          <w:sz w:val="24"/>
          <w:szCs w:val="24"/>
          <w:highlight w:val="none"/>
          <w:lang w:val="en-US" w:eastAsia="zh-CN"/>
        </w:rPr>
        <w:t xml:space="preserve">采购活动前三年内在经营活动中没有重大违法记录书面声明</w:t>
      </w:r>
      <w:r/>
    </w:p>
    <w:p>
      <w:pPr>
        <w:jc w:val="left"/>
        <w:keepLines w:val="0"/>
        <w:keepNext w:val="0"/>
        <w:pageBreakBefore w:val="0"/>
        <w:spacing w:line="360" w:lineRule="auto"/>
        <w:widowControl w:val="off"/>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lang w:val="en-US" w:eastAsia="zh-CN"/>
        </w:rPr>
        <w:t xml:space="preserve">致:</w:t>
      </w:r>
      <w:r>
        <w:rPr>
          <w:rFonts w:hint="default" w:ascii="宋体" w:hAnsi="宋体" w:eastAsia="宋体" w:cs="宋体"/>
          <w:sz w:val="24"/>
          <w:szCs w:val="24"/>
          <w:highlight w:val="none"/>
          <w:u w:val="single"/>
          <w:lang w:val="en-US" w:eastAsia="zh-CN"/>
        </w:rPr>
        <w:t xml:space="preserve">(招标单位或采购代理机构)</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参加政府采购活动前三年内，我方在经营活动中没有重大违法记录</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特此声明。</w:t>
      </w:r>
      <w:r/>
    </w:p>
    <w:p>
      <w:pPr>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★注意事项:</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“重大违法记录”指供应商因违法经营受到刑事处罚或责令停产停业、吊销许可证或执照、较大数额罚款等行政处罚。</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请供应商根据实际情况进行声明，</w:t>
      </w:r>
      <w:r>
        <w:rPr>
          <w:rFonts w:hint="default" w:ascii="宋体" w:hAnsi="宋体" w:eastAsia="宋体" w:cs="宋体"/>
          <w:b/>
          <w:bCs/>
          <w:sz w:val="24"/>
          <w:szCs w:val="24"/>
          <w:highlight w:val="none"/>
          <w:lang w:val="en-US" w:eastAsia="zh-CN"/>
        </w:rPr>
        <w:t xml:space="preserve">若声明不真实，视为提供虚假材料</w:t>
      </w:r>
      <w:r>
        <w:rPr>
          <w:rFonts w:hint="default" w:ascii="宋体" w:hAnsi="宋体" w:eastAsia="宋体" w:cs="宋体"/>
          <w:sz w:val="24"/>
          <w:szCs w:val="24"/>
          <w:highlight w:val="none"/>
          <w:lang w:val="en-US" w:eastAsia="zh-CN"/>
        </w:rPr>
        <w:t xml:space="preserve">。</w:t>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投标单位盖章:</w:t>
      </w:r>
      <w:r/>
    </w:p>
    <w:p>
      <w:pPr>
        <w:ind w:firstLine="480"/>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  期:    年  月  日</w:t>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ind w:left="296" w:firstLine="600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rPr>
          <w:rFonts w:hint="default" w:ascii="宋体" w:hAnsi="宋体" w:eastAsia="宋体" w:cs="Times New Roman"/>
          <w:color w:val="auto"/>
          <w:sz w:val="34"/>
          <w:szCs w:val="24"/>
          <w:highlight w:val="none"/>
        </w:rPr>
      </w:pPr>
      <w:r>
        <w:rPr>
          <w:rFonts w:hint="default" w:ascii="宋体" w:hAnsi="宋体" w:eastAsia="宋体" w:cs="Times New Roman"/>
          <w:color w:val="auto"/>
          <w:sz w:val="34"/>
          <w:szCs w:val="24"/>
          <w:highlight w:val="none"/>
        </w:rPr>
      </w:r>
      <w:r/>
    </w:p>
    <w:p>
      <w:pPr>
        <w:rPr>
          <w:rFonts w:hint="default" w:ascii="宋体" w:hAnsi="宋体" w:eastAsia="宋体" w:cs="Times New Roman"/>
          <w:color w:val="auto"/>
          <w:sz w:val="34"/>
          <w:szCs w:val="24"/>
          <w:highlight w:val="none"/>
        </w:rPr>
      </w:pPr>
      <w:r>
        <w:rPr>
          <w:rFonts w:hint="default" w:ascii="宋体" w:hAnsi="宋体" w:eastAsia="宋体" w:cs="Times New Roman"/>
          <w:color w:val="auto"/>
          <w:sz w:val="34"/>
          <w:szCs w:val="24"/>
          <w:highlight w:val="none"/>
        </w:rPr>
      </w:r>
      <w:r/>
    </w:p>
    <w:p>
      <w:pPr>
        <w:rPr>
          <w:rFonts w:hint="default" w:ascii="宋体" w:hAnsi="宋体" w:eastAsia="宋体" w:cs="Times New Roman"/>
          <w:color w:val="auto"/>
          <w:sz w:val="34"/>
          <w:szCs w:val="24"/>
          <w:highlight w:val="none"/>
        </w:rPr>
      </w:pPr>
      <w:r>
        <w:rPr>
          <w:rFonts w:hint="default" w:ascii="宋体" w:hAnsi="宋体" w:eastAsia="宋体" w:cs="Times New Roman"/>
          <w:color w:val="auto"/>
          <w:sz w:val="34"/>
          <w:szCs w:val="24"/>
          <w:highlight w:val="none"/>
        </w:rPr>
      </w:r>
      <w:r/>
    </w:p>
    <w:p>
      <w:pPr>
        <w:rPr>
          <w:rFonts w:hint="default" w:ascii="宋体" w:hAnsi="宋体" w:eastAsia="宋体" w:cs="Times New Roman"/>
          <w:color w:val="auto"/>
          <w:sz w:val="34"/>
          <w:szCs w:val="24"/>
          <w:highlight w:val="none"/>
        </w:rPr>
      </w:pPr>
      <w:r>
        <w:rPr>
          <w:rFonts w:hint="default" w:ascii="宋体" w:hAnsi="宋体" w:eastAsia="宋体" w:cs="Times New Roman"/>
          <w:color w:val="auto"/>
          <w:sz w:val="34"/>
          <w:szCs w:val="24"/>
          <w:highlight w:val="none"/>
        </w:rPr>
      </w:r>
      <w:r/>
    </w:p>
    <w:p>
      <w:pPr>
        <w:rPr>
          <w:rFonts w:hint="default" w:ascii="宋体" w:hAnsi="宋体" w:eastAsia="宋体" w:cs="Times New Roman"/>
          <w:color w:val="auto"/>
          <w:sz w:val="34"/>
          <w:szCs w:val="24"/>
          <w:highlight w:val="none"/>
        </w:rPr>
      </w:pPr>
      <w:r>
        <w:rPr>
          <w:rFonts w:hint="default" w:ascii="宋体" w:hAnsi="宋体" w:eastAsia="宋体" w:cs="Times New Roman"/>
          <w:color w:val="auto"/>
          <w:sz w:val="34"/>
          <w:szCs w:val="24"/>
          <w:highlight w:val="none"/>
        </w:rPr>
      </w:r>
      <w:r/>
    </w:p>
    <w:p>
      <w:pPr>
        <w:ind w:left="57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投标单位与其他单位存在控股、管理关系情况表</w:t>
      </w:r>
      <w:r/>
    </w:p>
    <w:p>
      <w:pPr>
        <w:ind w:left="570"/>
        <w:spacing w:line="520" w:lineRule="exact"/>
        <w:rPr>
          <w:rFonts w:hint="default" w:ascii="方正仿宋简体" w:hAnsi="创艺简仿宋" w:eastAsia="方正仿宋简体" w:cs="Times New Roman"/>
          <w:color w:val="auto"/>
          <w:sz w:val="24"/>
          <w:highlight w:val="none"/>
        </w:rPr>
      </w:pPr>
      <w:r>
        <w:rPr>
          <w:rFonts w:hint="default" w:ascii="方正仿宋简体" w:hAnsi="创艺简仿宋" w:eastAsia="方正仿宋简体" w:cs="Times New Roman"/>
          <w:color w:val="auto"/>
          <w:sz w:val="24"/>
          <w:highlight w:val="none"/>
        </w:rPr>
      </w:r>
      <w:r/>
    </w:p>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与其他单位存在控股、管理关系情况表</w:t>
      </w:r>
      <w:r/>
    </w:p>
    <w:tbl>
      <w:tblPr>
        <w:tblStyle w:val="95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pct"/>
            <w:vAlign w:val="center"/>
            <w:textDirection w:val="lrTb"/>
            <w:noWrap/>
          </w:tcPr>
          <w:p>
            <w:pPr>
              <w:jc w:val="center"/>
              <w:spacing w:line="312" w:lineRule="auto"/>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与</w:t>
            </w:r>
            <w:r>
              <w:rPr>
                <w:rFonts w:hint="eastAsia" w:ascii="宋体" w:hAnsi="宋体" w:eastAsia="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存在控股、管理关系的单位名称</w:t>
            </w:r>
            <w:r/>
          </w:p>
        </w:tc>
        <w:tc>
          <w:tcPr>
            <w:tcW w:w="2108" w:type="pct"/>
            <w:vAlign w:val="center"/>
            <w:textDirection w:val="lrTb"/>
            <w:noWrap/>
          </w:tcPr>
          <w:p>
            <w:pPr>
              <w:jc w:val="center"/>
              <w:spacing w:line="312" w:lineRule="auto"/>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控股、管理关系情况说明</w:t>
            </w:r>
            <w:r/>
          </w:p>
        </w:tc>
      </w:tr>
      <w:tr>
        <w:trPr>
          <w:trHeight w:val="850"/>
        </w:trPr>
        <w:tc>
          <w:tcPr>
            <w:tcW w:w="2891"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W w:w="2108"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trHeight w:val="850"/>
        </w:trPr>
        <w:tc>
          <w:tcPr>
            <w:tcW w:w="2891"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W w:w="2108"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trHeight w:val="850"/>
        </w:trPr>
        <w:tc>
          <w:tcPr>
            <w:tcW w:w="2891"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W w:w="2108"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trHeight w:val="850"/>
        </w:trPr>
        <w:tc>
          <w:tcPr>
            <w:tcW w:w="2891"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W w:w="2108"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trHeight w:val="850"/>
        </w:trPr>
        <w:tc>
          <w:tcPr>
            <w:tcW w:w="2891"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W w:w="2108"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trHeight w:val="850"/>
        </w:trPr>
        <w:tc>
          <w:tcPr>
            <w:tcW w:w="2891"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W w:w="2108" w:type="pct"/>
            <w:vAlign w:val="center"/>
            <w:textDirection w:val="lrTb"/>
            <w:noWrap/>
          </w:tcPr>
          <w:p>
            <w:pPr>
              <w:ind w:firstLine="422"/>
              <w:jc w:val="center"/>
              <w:spacing w:line="312"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bl>
    <w:p>
      <w:pPr>
        <w:ind w:firstLine="422"/>
        <w:jc w:val="left"/>
        <w:spacing w:line="312" w:lineRule="auto"/>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应当按实填写所有与之有控股、管理关系的情况</w:t>
      </w:r>
      <w:r/>
    </w:p>
    <w:p>
      <w:pPr>
        <w:ind w:firstLine="422"/>
        <w:jc w:val="left"/>
        <w:spacing w:line="312" w:lineRule="auto"/>
        <w:widowControl/>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ind w:firstLine="200"/>
        <w:jc w:val="left"/>
        <w:spacing w:line="48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：（单位公章）</w:t>
      </w:r>
      <w:r/>
    </w:p>
    <w:p>
      <w:pPr>
        <w:ind w:firstLine="20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200"/>
        <w:jc w:val="left"/>
        <w:spacing w:line="480" w:lineRule="auto"/>
        <w:rPr>
          <w:rFonts w:hint="default" w:ascii="宋体" w:hAnsi="宋体" w:eastAsia="宋体" w:cs="宋体"/>
          <w:color w:val="auto"/>
          <w:sz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153"/>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53"/>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79"/>
        <w:numPr>
          <w:ilvl w:val="0"/>
          <w:numId w:val="0"/>
        </w:numPr>
        <w:jc w:val="left"/>
        <w:spacing w:before="80" w:after="120" w:line="360" w:lineRule="auto"/>
        <w:widowControl w:val="off"/>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79"/>
        <w:numPr>
          <w:ilvl w:val="0"/>
          <w:numId w:val="0"/>
        </w:numPr>
        <w:jc w:val="left"/>
        <w:spacing w:before="80" w:after="120" w:line="360" w:lineRule="auto"/>
        <w:widowControl w:val="off"/>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79"/>
        <w:numPr>
          <w:ilvl w:val="0"/>
          <w:numId w:val="0"/>
        </w:numPr>
        <w:jc w:val="left"/>
        <w:spacing w:before="80" w:after="120" w:line="360" w:lineRule="auto"/>
        <w:widowControl w:val="off"/>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：中小微企业声明函</w:t>
      </w:r>
      <w:r/>
    </w:p>
    <w:p>
      <w:pPr>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中小微企业声明函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w:t>
      </w:r>
      <w:r>
        <w:rPr>
          <w:rFonts w:hint="eastAsia" w:ascii="宋体" w:hAnsi="宋体" w:eastAsia="宋体" w:cs="宋体"/>
          <w:color w:val="000000"/>
          <w:sz w:val="24"/>
          <w:szCs w:val="24"/>
          <w:highlight w:val="none"/>
          <w:lang w:eastAsia="zh-CN"/>
        </w:rPr>
        <w:t xml:space="preserve">施工单位</w:t>
      </w:r>
      <w:r>
        <w:rPr>
          <w:rFonts w:hint="eastAsia" w:ascii="宋体" w:hAnsi="宋体" w:eastAsia="宋体" w:cs="宋体"/>
          <w:color w:val="000000"/>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p>
    <w:p>
      <w:pPr>
        <w:numPr>
          <w:ilvl w:val="0"/>
          <w:numId w:val="8"/>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p>
    <w:p>
      <w:pPr>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p>
    <w:p>
      <w:pPr>
        <w:ind w:firstLine="420"/>
        <w:jc w:val="both"/>
        <w:widowControl w:val="off"/>
        <w:rPr>
          <w:rFonts w:hint="eastAsia" w:ascii="宋体" w:hAnsi="宋体" w:eastAsia="宋体" w:cs="宋体"/>
          <w:color w:val="000000"/>
          <w:sz w:val="21"/>
          <w:highlight w:val="none"/>
          <w:lang w:val="zh-CN" w:eastAsia="zh-CN" w:bidi="ar-SA"/>
        </w:rPr>
      </w:pPr>
      <w:r>
        <w:rPr>
          <w:rFonts w:hint="eastAsia" w:ascii="宋体" w:hAnsi="宋体" w:eastAsia="宋体" w:cs="宋体"/>
          <w:color w:val="000000"/>
          <w:sz w:val="21"/>
          <w:highlight w:val="none"/>
          <w:lang w:val="zh-CN" w:eastAsia="zh-CN" w:bidi="ar-SA"/>
        </w:rPr>
      </w:r>
      <w:r/>
    </w:p>
    <w:p>
      <w:pPr>
        <w:ind w:firstLine="506"/>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备注： </w:t>
      </w:r>
      <w:r/>
    </w:p>
    <w:p>
      <w:pPr>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 从业人员、营业收入、资产总额填报上一年度数据，无上一年度数据的新成立企业可不填报； </w:t>
      </w:r>
      <w:r/>
    </w:p>
    <w:p>
      <w:pPr>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2、 若供应商提供的“中小企业声明函”内容不实的，属于提供虚假材料谋取中标、成交，依照《中华人民共和国政府采购法》等国家有关规定追究相应责任； </w:t>
      </w:r>
      <w:r/>
    </w:p>
    <w:p>
      <w:pPr>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p>
    <w:p>
      <w:pPr>
        <w:ind w:firstLine="5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pacing w:val="6"/>
          <w:sz w:val="24"/>
          <w:szCs w:val="24"/>
          <w:highlight w:val="none"/>
        </w:rPr>
        <w:t xml:space="preserve">4、需上传加盖公章的原件彩色(扫描)件或电子盖章至电子投标（响应）文件中，否则视为未提供。 </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附：中小企业划型标准规定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w:t>
      </w:r>
      <w:r>
        <w:rPr>
          <w:rFonts w:hint="eastAsia" w:ascii="宋体" w:hAnsi="宋体" w:eastAsia="宋体" w:cs="宋体"/>
          <w:b/>
          <w:bCs/>
          <w:color w:val="000000"/>
          <w:sz w:val="24"/>
          <w:szCs w:val="24"/>
          <w:highlight w:val="none"/>
          <w:lang w:eastAsia="zh-CN"/>
        </w:rPr>
        <w:t xml:space="preserve">租赁和商业服务业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：残疾人福利性单位声明函</w:t>
      </w:r>
      <w:r/>
    </w:p>
    <w:p>
      <w:pPr>
        <w:spacing w:line="580" w:lineRule="exact"/>
        <w:rPr>
          <w:rFonts w:hint="eastAsia" w:ascii="宋体" w:hAnsi="宋体" w:eastAsia="宋体" w:cs="宋体"/>
          <w:b/>
          <w:color w:val="000000"/>
          <w:spacing w:val="6"/>
          <w:sz w:val="32"/>
          <w:szCs w:val="32"/>
          <w:highlight w:val="none"/>
        </w:rPr>
      </w:pPr>
      <w:r>
        <w:rPr>
          <w:rFonts w:hint="eastAsia" w:ascii="宋体" w:hAnsi="宋体" w:eastAsia="宋体" w:cs="宋体"/>
          <w:b/>
          <w:color w:val="000000"/>
          <w:spacing w:val="6"/>
          <w:sz w:val="32"/>
          <w:szCs w:val="32"/>
          <w:highlight w:val="none"/>
        </w:rPr>
      </w:r>
      <w:r/>
    </w:p>
    <w:p>
      <w:pPr>
        <w:jc w:val="center"/>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r/>
    </w:p>
    <w:p>
      <w:pPr>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单位的_____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p>
    <w:p>
      <w:pPr>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ind w:right="1560" w:firstLine="504"/>
        <w:jc w:val="right"/>
        <w:spacing w:line="58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p>
    <w:p>
      <w:pPr>
        <w:ind w:firstLine="504"/>
        <w:jc w:val="center"/>
        <w:spacing w:line="4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p>
    <w:p>
      <w:pPr>
        <w:rPr>
          <w:rFonts w:hint="eastAsia" w:ascii="宋体" w:hAnsi="宋体" w:eastAsia="宋体" w:cs="宋体"/>
          <w:b/>
          <w:bCs/>
          <w:color w:val="000000"/>
          <w:spacing w:val="-10"/>
          <w:sz w:val="30"/>
          <w:szCs w:val="3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：监狱企业声明函</w:t>
      </w:r>
      <w:r/>
    </w:p>
    <w:p>
      <w:pPr>
        <w:spacing w:line="360" w:lineRule="auto"/>
        <w:rPr>
          <w:rFonts w:hint="eastAsia" w:ascii="宋体" w:hAnsi="宋体" w:eastAsia="宋体" w:cs="宋体"/>
          <w:b/>
          <w:color w:val="000000"/>
          <w:sz w:val="30"/>
          <w:szCs w:val="30"/>
          <w:highlight w:val="none"/>
          <w:lang w:val="zh-CN"/>
        </w:rPr>
      </w:pPr>
      <w:r>
        <w:rPr>
          <w:rFonts w:hint="eastAsia" w:ascii="宋体" w:hAnsi="宋体" w:eastAsia="宋体" w:cs="宋体"/>
          <w:b/>
          <w:color w:val="000000"/>
          <w:sz w:val="30"/>
          <w:szCs w:val="30"/>
          <w:highlight w:val="none"/>
          <w:lang w:val="zh-CN"/>
        </w:rPr>
      </w:r>
      <w:r/>
    </w:p>
    <w:p>
      <w:pPr>
        <w:jc w:val="center"/>
        <w:spacing w:line="580" w:lineRule="exact"/>
        <w:rPr>
          <w:rFonts w:hint="eastAsia" w:ascii="宋体" w:hAnsi="宋体" w:eastAsia="宋体" w:cs="宋体"/>
          <w:b/>
          <w:color w:val="000000"/>
          <w:spacing w:val="6"/>
          <w:sz w:val="24"/>
          <w:szCs w:val="24"/>
          <w:highlight w:val="none"/>
          <w:lang w:val="zh-CN"/>
        </w:rPr>
      </w:pPr>
      <w:r>
        <w:rPr>
          <w:rFonts w:hint="eastAsia" w:ascii="宋体" w:hAnsi="宋体" w:eastAsia="宋体" w:cs="宋体"/>
          <w:b/>
          <w:color w:val="000000"/>
          <w:spacing w:val="6"/>
          <w:sz w:val="24"/>
          <w:szCs w:val="24"/>
          <w:highlight w:val="none"/>
          <w:lang w:val="zh-CN"/>
        </w:rPr>
        <w:t xml:space="preserve">监狱企业声明函</w:t>
      </w:r>
      <w:r/>
    </w:p>
    <w:p>
      <w:pPr>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提供本企业（单位）的货物。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（1）本企业（单位）（请填写：是、不是）监狱企业。后附省级以上监狱管理局、戒毒管理局（含新疆生产建设兵团）出具的属于监狱企业的证明文件。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本企业（单位）对上述声明的真实性负责。如有虚假，将依法承担相应责任。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560" w:firstLine="480"/>
        <w:jc w:val="right"/>
        <w:spacing w:line="360" w:lineRule="auto"/>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p>
    <w:p>
      <w:pPr>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highlight w:val="none"/>
        </w:rPr>
        <w:br w:type="page" w:clear="all"/>
      </w:r>
      <w:r/>
    </w:p>
    <w:p>
      <w:pPr>
        <w:pStyle w:val="1153"/>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格式</w:t>
      </w:r>
      <w:r>
        <w:rPr>
          <w:rFonts w:hint="eastAsia" w:ascii="宋体" w:hAnsi="宋体" w:eastAsia="宋体" w:cs="宋体"/>
          <w:b/>
          <w:color w:val="000000"/>
          <w:szCs w:val="24"/>
          <w:highlight w:val="none"/>
          <w:lang w:val="en-US" w:eastAsia="zh-CN"/>
        </w:rPr>
        <w:t xml:space="preserve">12</w:t>
      </w:r>
      <w:r>
        <w:rPr>
          <w:rFonts w:hint="eastAsia" w:ascii="宋体" w:hAnsi="宋体" w:eastAsia="宋体" w:cs="宋体"/>
          <w:b/>
          <w:color w:val="000000"/>
          <w:szCs w:val="24"/>
          <w:highlight w:val="none"/>
        </w:rPr>
        <w:t xml:space="preserve">：资格文件的声明函</w:t>
      </w:r>
      <w:r/>
    </w:p>
    <w:p>
      <w:pPr>
        <w:pStyle w:val="1153"/>
        <w:ind w:firstLine="200"/>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53"/>
        <w:ind w:firstLine="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jc w:val="cente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资格文件的声明函</w:t>
      </w:r>
      <w:r/>
    </w:p>
    <w:p>
      <w:pPr>
        <w:pStyle w:val="1153"/>
        <w:ind w:firstLine="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w:t>
      </w:r>
      <w:r/>
    </w:p>
    <w:p>
      <w:pPr>
        <w:pStyle w:val="1153"/>
        <w:ind w:firstLine="20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198"/>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本公司愿就由贵公司组织实施的编号为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号磋商活动进行响应。本公司所提交的响应文件中所有关于响应文件、证明和陈述均是真实的、准确的、有效的。若与真实情况不符，本公司愿意承担由此而产生的一切后果。</w:t>
      </w:r>
      <w:r/>
    </w:p>
    <w:p>
      <w:pPr>
        <w:pStyle w:val="1153"/>
        <w:ind w:firstLine="198"/>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法定代表人或委托代理人：（签字或盖章）</w:t>
      </w:r>
      <w:r/>
    </w:p>
    <w:p>
      <w:pPr>
        <w:pStyle w:val="1153"/>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响应单位（单位公章）：</w:t>
      </w:r>
      <w:r/>
    </w:p>
    <w:p>
      <w:pPr>
        <w:pStyle w:val="1153"/>
        <w:ind w:firstLine="2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日 期：    年     月   日</w:t>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3"/>
        <w:ind w:firstLine="0"/>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格式</w:t>
      </w:r>
      <w:r>
        <w:rPr>
          <w:rFonts w:hint="eastAsia" w:ascii="宋体" w:hAnsi="宋体" w:eastAsia="宋体" w:cs="宋体"/>
          <w:b/>
          <w:color w:val="000000"/>
          <w:szCs w:val="24"/>
          <w:highlight w:val="none"/>
          <w:lang w:val="en-US" w:eastAsia="zh-CN"/>
        </w:rPr>
        <w:t xml:space="preserve">13</w:t>
      </w:r>
      <w:r>
        <w:rPr>
          <w:rFonts w:hint="eastAsia" w:ascii="宋体" w:hAnsi="宋体" w:eastAsia="宋体" w:cs="宋体"/>
          <w:b/>
          <w:color w:val="000000"/>
          <w:szCs w:val="24"/>
          <w:highlight w:val="none"/>
        </w:rPr>
        <w:t xml:space="preserve">：磋商响应单位情况表</w:t>
      </w:r>
      <w:r/>
    </w:p>
    <w:p>
      <w:pPr>
        <w:pStyle w:val="1153"/>
        <w:ind w:firstLine="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jc w:val="center"/>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磋商响应单位情况表</w:t>
      </w:r>
      <w:r/>
    </w:p>
    <w:p>
      <w:pPr>
        <w:pStyle w:val="1153"/>
        <w:ind w:firstLine="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p>
    <w:tbl>
      <w:tblPr>
        <w:tblStyle w:val="95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1"/>
        <w:gridCol w:w="1919"/>
        <w:gridCol w:w="1559"/>
        <w:gridCol w:w="2694"/>
      </w:tblGrid>
      <w:tr>
        <w:trPr>
          <w:cantSplit/>
          <w:jc w:val="center"/>
          <w:trHeight w:val="446"/>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w:t>
            </w:r>
            <w:r/>
          </w:p>
        </w:tc>
        <w:tc>
          <w:tcPr>
            <w:tcW w:w="1919"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59"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成立日期</w:t>
            </w:r>
            <w:r/>
          </w:p>
        </w:tc>
        <w:tc>
          <w:tcPr>
            <w:tcW w:w="2694"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jc w:val="center"/>
          <w:trHeight w:val="410"/>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注册地址</w:t>
            </w:r>
            <w:r/>
          </w:p>
        </w:tc>
        <w:tc>
          <w:tcPr>
            <w:tcW w:w="1919"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59"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注册资金</w:t>
            </w:r>
            <w:r/>
          </w:p>
        </w:tc>
        <w:tc>
          <w:tcPr>
            <w:tcW w:w="2694"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jc w:val="center"/>
          <w:trHeight w:val="422"/>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企业资质等级</w:t>
            </w:r>
            <w:r/>
          </w:p>
        </w:tc>
        <w:tc>
          <w:tcPr>
            <w:tcW w:w="1919" w:type="dxa"/>
            <w:vAlign w:val="bottom"/>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59"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员工总人数</w:t>
            </w:r>
            <w:r/>
          </w:p>
        </w:tc>
        <w:tc>
          <w:tcPr>
            <w:tcW w:w="2694" w:type="dxa"/>
            <w:vAlign w:val="bottom"/>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jc w:val="center"/>
          <w:trHeight w:val="570"/>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资产总计</w:t>
            </w:r>
            <w:r/>
          </w:p>
        </w:tc>
        <w:tc>
          <w:tcPr>
            <w:tcW w:w="1919" w:type="dxa"/>
            <w:vAlign w:val="bottom"/>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万元</w:t>
            </w:r>
            <w:r/>
          </w:p>
        </w:tc>
        <w:tc>
          <w:tcPr>
            <w:tcW w:w="1559"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营业收入</w:t>
            </w:r>
            <w:r/>
          </w:p>
        </w:tc>
        <w:tc>
          <w:tcPr>
            <w:tcW w:w="2694" w:type="dxa"/>
            <w:vAlign w:val="bottom"/>
            <w:textDirection w:val="lrTb"/>
            <w:noWrap w:val="false"/>
          </w:tcPr>
          <w:p>
            <w:pPr>
              <w:pStyle w:val="115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年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万元</w:t>
            </w:r>
            <w:r/>
          </w:p>
        </w:tc>
      </w:tr>
      <w:tr>
        <w:trPr>
          <w:cantSplit/>
          <w:jc w:val="center"/>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实现利润</w:t>
            </w:r>
            <w:r/>
          </w:p>
        </w:tc>
        <w:tc>
          <w:tcPr>
            <w:tcW w:w="1919" w:type="dxa"/>
            <w:vAlign w:val="bottom"/>
            <w:textDirection w:val="lrTb"/>
            <w:noWrap w:val="false"/>
          </w:tcPr>
          <w:p>
            <w:pPr>
              <w:pStyle w:val="1153"/>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万</w:t>
            </w:r>
            <w:r>
              <w:rPr>
                <w:rFonts w:hint="eastAsia" w:ascii="宋体" w:hAnsi="宋体" w:eastAsia="宋体" w:cs="宋体"/>
                <w:color w:val="000000"/>
                <w:szCs w:val="24"/>
                <w:highlight w:val="none"/>
              </w:rPr>
              <w:t xml:space="preserve">元</w:t>
            </w:r>
            <w:r/>
          </w:p>
        </w:tc>
        <w:tc>
          <w:tcPr>
            <w:tcW w:w="1559"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营业面积（含厂房面积）</w:t>
            </w:r>
            <w:r/>
          </w:p>
        </w:tc>
        <w:tc>
          <w:tcPr>
            <w:tcW w:w="2694" w:type="dxa"/>
            <w:vAlign w:val="bottom"/>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平方米</w:t>
            </w:r>
            <w:r/>
          </w:p>
        </w:tc>
      </w:tr>
      <w:tr>
        <w:trPr>
          <w:cantSplit/>
          <w:jc w:val="center"/>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单位简历及内设机构情况</w:t>
            </w:r>
            <w:r/>
          </w:p>
        </w:tc>
        <w:tc>
          <w:tcPr>
            <w:gridSpan w:val="3"/>
            <w:tcW w:w="6172"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jc w:val="center"/>
          <w:trHeight w:val="488"/>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单位优势及特长</w:t>
            </w:r>
            <w:r/>
          </w:p>
        </w:tc>
        <w:tc>
          <w:tcPr>
            <w:gridSpan w:val="3"/>
            <w:tcW w:w="6172"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jc w:val="center"/>
          <w:trHeight w:val="1069"/>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商业信誉和健全的财务会计制度介绍</w:t>
            </w:r>
            <w:r/>
          </w:p>
        </w:tc>
        <w:tc>
          <w:tcPr>
            <w:gridSpan w:val="3"/>
            <w:tcW w:w="6172"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jc w:val="center"/>
          <w:trHeight w:val="1023"/>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履行合同所必需的设备和专业技术能力情况</w:t>
            </w:r>
            <w:r/>
          </w:p>
        </w:tc>
        <w:tc>
          <w:tcPr>
            <w:gridSpan w:val="3"/>
            <w:tcW w:w="6172"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jc w:val="center"/>
          <w:trHeight w:val="748"/>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依法缴纳税收和社会保障资金情况</w:t>
            </w:r>
            <w:r/>
          </w:p>
        </w:tc>
        <w:tc>
          <w:tcPr>
            <w:gridSpan w:val="3"/>
            <w:tcW w:w="6172"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jc w:val="center"/>
          <w:trHeight w:val="1257"/>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参加采购活动前三年内，在经营活动中有无重大违法记录</w:t>
            </w:r>
            <w:r/>
          </w:p>
        </w:tc>
        <w:tc>
          <w:tcPr>
            <w:gridSpan w:val="3"/>
            <w:tcW w:w="6172"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jc w:val="center"/>
          <w:trHeight w:val="560"/>
        </w:trPr>
        <w:tc>
          <w:tcPr>
            <w:tcW w:w="2901" w:type="dxa"/>
            <w:vAlign w:val="center"/>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其他需要说明的情况</w:t>
            </w:r>
            <w:r/>
          </w:p>
        </w:tc>
        <w:tc>
          <w:tcPr>
            <w:gridSpan w:val="3"/>
            <w:tcW w:w="6172" w:type="dxa"/>
            <w:vAlign w:val="top"/>
            <w:textDirection w:val="lrTb"/>
            <w:noWrap w:val="false"/>
          </w:tcPr>
          <w:p>
            <w:pPr>
              <w:pStyle w:val="1153"/>
              <w:ind w:firstLine="20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153"/>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p>
    <w:p>
      <w:pPr>
        <w:pStyle w:val="1153"/>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响应单位（公章）：</w:t>
      </w:r>
      <w:r/>
    </w:p>
    <w:p>
      <w:pPr>
        <w:pStyle w:val="1153"/>
        <w:ind w:firstLine="240"/>
        <w:spacing w:line="360" w:lineRule="auto"/>
        <w:rPr>
          <w:rFonts w:hint="eastAsia" w:ascii="宋体" w:hAnsi="宋体" w:eastAsia="宋体" w:cs="宋体"/>
          <w:b/>
          <w:color w:val="000000"/>
          <w:szCs w:val="24"/>
          <w:highlight w:val="none"/>
        </w:rPr>
      </w:pPr>
      <w:r>
        <w:rPr>
          <w:rFonts w:hint="eastAsia" w:ascii="宋体" w:hAnsi="宋体" w:eastAsia="宋体" w:cs="宋体"/>
          <w:color w:val="000000"/>
          <w:szCs w:val="24"/>
          <w:highlight w:val="none"/>
        </w:rPr>
        <w:t xml:space="preserve">日期：    年   月   日</w:t>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3"/>
        <w:ind w:firstLine="0"/>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格式</w:t>
      </w:r>
      <w:r>
        <w:rPr>
          <w:rFonts w:hint="eastAsia" w:ascii="宋体" w:hAnsi="宋体" w:eastAsia="宋体" w:cs="宋体"/>
          <w:b/>
          <w:color w:val="000000"/>
          <w:szCs w:val="24"/>
          <w:highlight w:val="none"/>
          <w:lang w:val="en-US" w:eastAsia="zh-CN"/>
        </w:rPr>
        <w:t xml:space="preserve">14</w:t>
      </w:r>
      <w:r>
        <w:rPr>
          <w:rFonts w:hint="eastAsia" w:ascii="宋体" w:hAnsi="宋体" w:eastAsia="宋体" w:cs="宋体"/>
          <w:b/>
          <w:color w:val="000000"/>
          <w:szCs w:val="24"/>
          <w:highlight w:val="none"/>
        </w:rPr>
        <w:t xml:space="preserve">：法定代表人/负责人授权委托书</w:t>
      </w:r>
      <w:r/>
    </w:p>
    <w:p>
      <w:pPr>
        <w:pStyle w:val="1153"/>
        <w:ind w:firstLine="20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ind w:firstLine="20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jc w:val="center"/>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法定代表人/负责人授权委托书</w:t>
      </w:r>
      <w:r/>
    </w:p>
    <w:p>
      <w:pPr>
        <w:pStyle w:val="1153"/>
        <w:ind w:firstLine="200"/>
        <w:jc w:val="both"/>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（磋商响应单位名称）</w:t>
      </w:r>
      <w:r>
        <w:rPr>
          <w:rFonts w:hint="eastAsia" w:ascii="宋体" w:hAnsi="宋体" w:eastAsia="宋体" w:cs="宋体"/>
          <w:color w:val="000000"/>
          <w:sz w:val="24"/>
          <w:szCs w:val="24"/>
          <w:highlight w:val="none"/>
        </w:rPr>
        <w:t xml:space="preserve">的法定代表人/负责人，现授权委托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（采购代理机构）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（磋商编号）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磋商活动。授权代表在磋商活动过程中所签署的一切文件和处理与这有关的一切事务，我均予以承认。</w:t>
      </w:r>
      <w:r/>
    </w:p>
    <w:p>
      <w:p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授权代表无转委托权。特此委托。</w:t>
      </w:r>
      <w:r/>
    </w:p>
    <w:p>
      <w:pPr>
        <w:ind w:firstLine="20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153"/>
        <w:ind w:firstLine="200"/>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响应单位：（单位公章）</w:t>
      </w:r>
      <w:r/>
    </w:p>
    <w:p>
      <w:pPr>
        <w:pStyle w:val="1153"/>
        <w:ind w:firstLine="200"/>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p>
    <w:p>
      <w:pPr>
        <w:pStyle w:val="1153"/>
        <w:ind w:firstLine="200"/>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64"/>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w:t>
      </w:r>
      <w:r>
        <w:rPr>
          <w:rFonts w:hint="eastAsia" w:hAnsi="宋体" w:eastAsia="宋体" w:cs="宋体"/>
          <w:b/>
          <w:color w:val="000000"/>
          <w:sz w:val="24"/>
          <w:szCs w:val="24"/>
          <w:highlight w:val="none"/>
          <w:lang w:val="en-US" w:eastAsia="zh-CN"/>
        </w:rPr>
        <w:t xml:space="preserve">15</w:t>
      </w:r>
      <w:r>
        <w:rPr>
          <w:rFonts w:hint="eastAsia" w:ascii="宋体" w:hAnsi="宋体" w:eastAsia="宋体" w:cs="宋体"/>
          <w:b/>
          <w:color w:val="000000"/>
          <w:sz w:val="24"/>
          <w:szCs w:val="24"/>
          <w:highlight w:val="none"/>
        </w:rPr>
        <w:t xml:space="preserve">：磋商响应函</w:t>
      </w:r>
      <w:r/>
    </w:p>
    <w:p>
      <w:pPr>
        <w:ind w:firstLine="482"/>
        <w:jc w:val="center"/>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磋商响应函</w:t>
      </w:r>
      <w:r/>
    </w:p>
    <w:p>
      <w:pPr>
        <w:ind w:firstLine="482"/>
        <w:jc w:val="center"/>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b/>
          <w:color w:val="000000"/>
          <w:sz w:val="24"/>
          <w:szCs w:val="24"/>
          <w:highlight w:val="none"/>
          <w:u w:val="single"/>
          <w:lang w:val="en-US" w:eastAsia="zh-CN" w:bidi="ar-SA"/>
        </w:rPr>
        <w:t xml:space="preserve">（采购代理机构）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我们收到贵公司</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b/>
          <w:color w:val="000000"/>
          <w:sz w:val="24"/>
          <w:szCs w:val="24"/>
          <w:highlight w:val="none"/>
          <w:u w:val="single"/>
          <w:lang w:val="en-US" w:eastAsia="zh-CN" w:bidi="ar-SA"/>
        </w:rPr>
        <w:t xml:space="preserve">（磋商编号）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号磋商文件，经仔细阅读和研究，我们决定参加磋商活动。</w:t>
      </w:r>
      <w:r/>
    </w:p>
    <w:p>
      <w:pPr>
        <w:ind w:firstLine="482"/>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rPr>
        <w:t xml:space="preserve">一、我方同意：</w:t>
      </w:r>
      <w:r/>
    </w:p>
    <w:p>
      <w:pPr>
        <w:ind w:firstLine="480"/>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1、我们愿意按照磋商文件的一切要求，完成该项目的全部内容。</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2、如果我们的磋商响应文件被接受，我们将严格履行磋商文件中规定的每一项要求，按期、按质、按量履行合同的义务。</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3、我们已详细阅读全部磋商文件，包括更正公告(如有)，对磋商文件及更正公告(如有)无任何异议。我们完全理解并同意放弃对这方面有不明及误解的权力。</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4、我们同意按磋商文件中的规定，本响应文件的有效期限自提交响应文件截止时间之日</w:t>
      </w:r>
      <w:r>
        <w:rPr>
          <w:rFonts w:hint="eastAsia" w:ascii="宋体" w:hAnsi="宋体" w:eastAsia="宋体" w:cs="宋体"/>
          <w:color w:val="000000"/>
          <w:sz w:val="24"/>
          <w:szCs w:val="24"/>
          <w:highlight w:val="none"/>
          <w:u w:val="single"/>
          <w:lang w:val="en-US" w:eastAsia="zh-CN" w:bidi="ar-SA"/>
        </w:rPr>
        <w:t xml:space="preserve">90</w:t>
      </w:r>
      <w:r>
        <w:rPr>
          <w:rFonts w:hint="eastAsia" w:ascii="宋体" w:hAnsi="宋体" w:eastAsia="宋体" w:cs="宋体"/>
          <w:color w:val="000000"/>
          <w:sz w:val="24"/>
          <w:szCs w:val="24"/>
          <w:highlight w:val="none"/>
          <w:lang w:val="en-US" w:eastAsia="zh-CN" w:bidi="ar-SA"/>
        </w:rPr>
        <w:t xml:space="preserve">天。</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5、我们愿意提供磋商采购单位在磋商文件中要求的所有资料。</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6、我们愿意遵守磋商文件中所列的收费标准。</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7、我们承诺该响应文件在磋商开始后的全过程中保持有效，不作任何更改和变动。</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8、我们承诺我公司符合磋商文件磋商响应单位须知中“合格磋商响应单位的基本、特定条件”的要求，若与真实情况不符，本公司愿意承担由此而产生的一切后果。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9、我们同意在响应文件中提交《响应保证承诺书》。</w:t>
      </w:r>
      <w:r/>
    </w:p>
    <w:p>
      <w:pPr>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二、如果我方能中标，我方郑重承诺：</w:t>
      </w:r>
      <w:r/>
    </w:p>
    <w:p>
      <w:pPr>
        <w:ind w:left="691" w:hanging="21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我方同意</w:t>
      </w:r>
      <w:r>
        <w:rPr>
          <w:rFonts w:hint="eastAsia" w:ascii="宋体" w:hAnsi="宋体" w:eastAsia="宋体" w:cs="宋体"/>
          <w:color w:val="000000"/>
          <w:sz w:val="24"/>
          <w:szCs w:val="24"/>
          <w:highlight w:val="none"/>
          <w:lang w:val="zh-CN" w:eastAsia="zh-CN"/>
        </w:rPr>
        <w:t xml:space="preserve">苏州市体育监管保障中心</w:t>
      </w:r>
      <w:r>
        <w:rPr>
          <w:rFonts w:hint="eastAsia" w:ascii="宋体" w:hAnsi="宋体" w:eastAsia="宋体" w:cs="宋体"/>
          <w:color w:val="000000"/>
          <w:sz w:val="24"/>
          <w:szCs w:val="24"/>
          <w:highlight w:val="none"/>
          <w:lang w:val="zh-CN"/>
        </w:rPr>
        <w:t xml:space="preserve">关于违约责任的认定方式和相关对违约责任的处罚；在承接业务过程中，如我方违约，我方愿意承担相应违约责任；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愿意在签订合同时按采购文件的规定支付中标服务费。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所有有关磋商文件的函电，请按下列地址联系：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                         邮箱：</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响应单位：（公章）</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法定代表人或委托代理人：（签字或盖章）</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p>
    <w:p>
      <w:pPr>
        <w:pStyle w:val="1153"/>
        <w:ind w:firstLine="240"/>
        <w:spacing w:line="360" w:lineRule="auto"/>
        <w:rPr>
          <w:rFonts w:hint="eastAsia" w:ascii="宋体" w:hAnsi="宋体" w:eastAsia="宋体" w:cs="宋体"/>
          <w:b/>
          <w:color w:val="000000"/>
          <w:szCs w:val="24"/>
          <w:highlight w:val="none"/>
        </w:rPr>
      </w:pPr>
      <w:r>
        <w:rPr>
          <w:rFonts w:hint="eastAsia" w:ascii="宋体" w:hAnsi="宋体" w:eastAsia="宋体" w:cs="宋体"/>
          <w:color w:val="000000"/>
          <w:szCs w:val="24"/>
          <w:highlight w:val="none"/>
        </w:rPr>
        <w:br w:type="page" w:clear="all"/>
      </w:r>
      <w:bookmarkStart w:id="12" w:name="OLE_LINK9"/>
      <w:r/>
      <w:bookmarkEnd w:id="12"/>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16</w:t>
      </w:r>
      <w:r>
        <w:rPr>
          <w:rFonts w:hint="eastAsia" w:ascii="宋体" w:hAnsi="宋体" w:eastAsia="宋体" w:cs="宋体"/>
          <w:b/>
          <w:color w:val="000000"/>
          <w:sz w:val="24"/>
          <w:szCs w:val="24"/>
          <w:highlight w:val="none"/>
        </w:rPr>
        <w:t xml:space="preserve">：响应保证承诺书</w:t>
      </w:r>
      <w:r/>
    </w:p>
    <w:p>
      <w:pPr>
        <w:ind w:firstLine="482"/>
        <w:jc w:val="center"/>
        <w:spacing w:line="5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响应保证承诺书</w:t>
      </w:r>
      <w:r/>
    </w:p>
    <w:p>
      <w:pPr>
        <w:ind w:firstLine="482"/>
        <w:spacing w:line="58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致：</w:t>
      </w:r>
      <w:r>
        <w:rPr>
          <w:rFonts w:hint="eastAsia" w:ascii="宋体" w:hAnsi="宋体" w:eastAsia="宋体" w:cs="宋体"/>
          <w:b/>
          <w:bCs/>
          <w:color w:val="000000"/>
          <w:sz w:val="24"/>
          <w:szCs w:val="24"/>
          <w:highlight w:val="none"/>
          <w:u w:val="single"/>
        </w:rPr>
        <w:t xml:space="preserve">苏州伟亚工程项目管理咨询有限公司</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（项目名称和采购编号）</w:t>
      </w:r>
      <w:r>
        <w:rPr>
          <w:rFonts w:hint="eastAsia" w:ascii="宋体" w:hAnsi="宋体" w:eastAsia="宋体" w:cs="宋体"/>
          <w:color w:val="000000"/>
          <w:sz w:val="24"/>
          <w:szCs w:val="24"/>
          <w:highlight w:val="none"/>
        </w:rPr>
        <w:t xml:space="preserve">的响应,并做出如下承诺：</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一、除不可抗力外，我单位如果发生以下行为，将在行为发生的10个工作日内，向贵方（或采购人）支付本采购文件公布的预算金额（或最高限价）的2%作为违约赔偿金。</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1.自响应截止时间至本项目发布成交公告为止，撤销响应；</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2.成交后不依法与采购人签订合同；</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成交后不按本采购文件规定向贵方缴纳采购代理费。</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响应单位：（盖公章）</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w:t>
      </w:r>
      <w:r/>
    </w:p>
    <w:p>
      <w:pPr>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ind w:firstLine="200"/>
        <w:jc w:val="both"/>
        <w:rPr>
          <w:rFonts w:hint="eastAsia" w:ascii="宋体" w:hAnsi="宋体" w:eastAsia="宋体" w:cs="宋体"/>
          <w:color w:val="000000"/>
          <w:sz w:val="21"/>
          <w:highlight w:val="none"/>
          <w:lang w:val="en-US" w:eastAsia="zh-CN" w:bidi="ar-SA"/>
        </w:rPr>
      </w:pPr>
      <w:r>
        <w:rPr>
          <w:rFonts w:hint="eastAsia" w:ascii="宋体" w:hAnsi="宋体" w:eastAsia="宋体" w:cs="宋体"/>
          <w:color w:val="000000"/>
          <w:sz w:val="21"/>
          <w:highlight w:val="none"/>
          <w:lang w:val="en-US" w:eastAsia="zh-CN" w:bidi="ar-SA"/>
        </w:rPr>
      </w:r>
      <w:r/>
    </w:p>
    <w:p>
      <w:pPr>
        <w:pStyle w:val="987"/>
        <w:ind w:left="0"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20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color w:val="000000"/>
          <w:szCs w:val="24"/>
          <w:highlight w:val="none"/>
        </w:rPr>
        <w:br w:type="page" w:clear="all"/>
      </w:r>
      <w:r/>
    </w:p>
    <w:p>
      <w:pPr>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17</w:t>
      </w:r>
      <w:r>
        <w:rPr>
          <w:rFonts w:hint="eastAsia" w:ascii="宋体" w:hAnsi="宋体" w:eastAsia="宋体" w:cs="宋体"/>
          <w:b/>
          <w:color w:val="000000"/>
          <w:sz w:val="24"/>
          <w:szCs w:val="24"/>
          <w:highlight w:val="none"/>
        </w:rPr>
        <w:t xml:space="preserve">：服务要求偏离表、商务条款偏离表</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（1）服务要求偏离表</w:t>
      </w:r>
      <w:r/>
    </w:p>
    <w:p>
      <w:pPr>
        <w:ind w:firstLine="24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项目编号：                                                  </w:t>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1701"/>
        <w:gridCol w:w="1701"/>
        <w:gridCol w:w="1743"/>
        <w:gridCol w:w="1801"/>
        <w:gridCol w:w="1211"/>
      </w:tblGrid>
      <w:tr>
        <w:trPr>
          <w:jc w:val="center"/>
        </w:trPr>
        <w:tc>
          <w:tcPr>
            <w:tcW w:w="1284" w:type="dxa"/>
            <w:vAlign w:val="center"/>
            <w:textDirection w:val="lrTb"/>
            <w:noWrap w:val="false"/>
          </w:tcPr>
          <w:p>
            <w:pPr>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701" w:type="dxa"/>
            <w:vAlign w:val="center"/>
            <w:textDirection w:val="lrTb"/>
            <w:noWrap w:val="false"/>
          </w:tcPr>
          <w:p>
            <w:pPr>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采购内容</w:t>
            </w:r>
            <w:r/>
          </w:p>
        </w:tc>
        <w:tc>
          <w:tcPr>
            <w:tcW w:w="1701" w:type="dxa"/>
            <w:vAlign w:val="center"/>
            <w:textDirection w:val="lrTb"/>
            <w:noWrap w:val="false"/>
          </w:tcPr>
          <w:p>
            <w:pPr>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p>
        </w:tc>
        <w:tc>
          <w:tcPr>
            <w:tcW w:w="1743" w:type="dxa"/>
            <w:vAlign w:val="center"/>
            <w:textDirection w:val="lrTb"/>
            <w:noWrap w:val="false"/>
          </w:tcPr>
          <w:p>
            <w:pPr>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p>
        </w:tc>
        <w:tc>
          <w:tcPr>
            <w:tcW w:w="1801" w:type="dxa"/>
            <w:vAlign w:val="center"/>
            <w:textDirection w:val="lrTb"/>
            <w:noWrap w:val="false"/>
          </w:tcPr>
          <w:p>
            <w:pPr>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p>
        </w:tc>
        <w:tc>
          <w:tcPr>
            <w:tcW w:w="1211" w:type="dxa"/>
            <w:vAlign w:val="center"/>
            <w:textDirection w:val="lrTb"/>
            <w:noWrap w:val="false"/>
          </w:tcPr>
          <w:p>
            <w:pPr>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tc>
      </w:tr>
      <w:tr>
        <w:trPr>
          <w:jc w:val="center"/>
        </w:trPr>
        <w:tc>
          <w:tcPr>
            <w:tcW w:w="1284" w:type="dxa"/>
            <w:vAlign w:val="center"/>
            <w:textDirection w:val="lrTb"/>
            <w:noWrap w:val="false"/>
          </w:tcPr>
          <w:p>
            <w:pPr>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3"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284" w:type="dxa"/>
            <w:vAlign w:val="center"/>
            <w:textDirection w:val="lrTb"/>
            <w:noWrap w:val="false"/>
          </w:tcPr>
          <w:p>
            <w:pPr>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3"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284" w:type="dxa"/>
            <w:vAlign w:val="center"/>
            <w:textDirection w:val="lrTb"/>
            <w:noWrap w:val="false"/>
          </w:tcPr>
          <w:p>
            <w:pPr>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3"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284" w:type="dxa"/>
            <w:vAlign w:val="center"/>
            <w:textDirection w:val="lrTb"/>
            <w:noWrap w:val="false"/>
          </w:tcPr>
          <w:p>
            <w:pPr>
              <w:jc w:val="center"/>
              <w:spacing w:before="156" w:after="156"/>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3"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284"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3"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1" w:type="dxa"/>
            <w:vAlign w:val="center"/>
            <w:textDirection w:val="lrTb"/>
            <w:noWrap w:val="false"/>
          </w:tcPr>
          <w:p>
            <w:pP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0" w:firstLine="482"/>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注：响应单位所投服务与采购文件的规定有偏离的，应在此表“偏离/响应”中填写“偏离”。没有偏离的，应在表中填写“无偏离”或“响应”。</w:t>
      </w:r>
      <w:r/>
    </w:p>
    <w:p>
      <w:pPr>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p>
    <w:p>
      <w:pPr>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法定代表人或委托代理人：（签字或盖章）</w:t>
      </w:r>
      <w:r/>
    </w:p>
    <w:p>
      <w:pPr>
        <w:ind w:firstLine="200"/>
        <w:jc w:val="left"/>
        <w:spacing w:line="360" w:lineRule="auto"/>
        <w:widowControl w:val="off"/>
        <w:rPr>
          <w:rFonts w:hint="eastAsia" w:ascii="宋体" w:hAnsi="宋体" w:eastAsia="宋体" w:cs="宋体"/>
          <w:b/>
          <w:color w:val="000000"/>
          <w:spacing w:val="20"/>
          <w:sz w:val="24"/>
          <w:szCs w:val="24"/>
          <w:highlight w:val="none"/>
        </w:rPr>
      </w:pPr>
      <w:r>
        <w:rPr>
          <w:rFonts w:hint="eastAsia" w:ascii="宋体" w:hAnsi="宋体" w:eastAsia="宋体" w:cs="宋体"/>
          <w:color w:val="000000"/>
          <w:sz w:val="24"/>
          <w:szCs w:val="24"/>
          <w:highlight w:val="none"/>
          <w:lang w:val="en-US" w:eastAsia="zh-CN" w:bidi="ar-SA"/>
        </w:rPr>
        <w:t xml:space="preserve">日期：      年    月    日</w:t>
      </w:r>
      <w:r/>
    </w:p>
    <w:p>
      <w:pPr>
        <w:numPr>
          <w:ilvl w:val="0"/>
          <w:numId w:val="0"/>
        </w:numPr>
        <w:jc w:val="center"/>
        <w:spacing w:line="48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lang w:val="en-US" w:eastAsia="zh-CN"/>
        </w:rPr>
        <w:t xml:space="preserve">2</w:t>
      </w: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rPr>
        <w:t xml:space="preserve">商务条款偏离表</w:t>
      </w:r>
      <w:r/>
    </w:p>
    <w:p>
      <w:pPr>
        <w:numPr>
          <w:ilvl w:val="0"/>
          <w:numId w:val="0"/>
        </w:numPr>
        <w:ind w:left="570" w:firstLine="480"/>
        <w:jc w:val="both"/>
        <w:spacing w:line="520" w:lineRule="exact"/>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                                                  </w:t>
      </w:r>
      <w:r/>
    </w:p>
    <w:tbl>
      <w:tblPr>
        <w:tblStyle w:val="95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jc w:val="center"/>
          <w:trHeight w:val="454"/>
          <w:tblHeader/>
        </w:trPr>
        <w:tc>
          <w:tcPr>
            <w:tcW w:w="708"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297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采购要求</w:t>
            </w:r>
            <w:r/>
          </w:p>
        </w:tc>
        <w:tc>
          <w:tcPr>
            <w:tcW w:w="1959"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p>
        </w:tc>
        <w:tc>
          <w:tcPr>
            <w:tcW w:w="1842"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偏离说明</w:t>
            </w:r>
            <w:r/>
          </w:p>
        </w:tc>
        <w:tc>
          <w:tcPr>
            <w:tcW w:w="157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cantSplit/>
          <w:jc w:val="center"/>
          <w:trHeight w:val="454"/>
        </w:trPr>
        <w:tc>
          <w:tcPr>
            <w:tcW w:w="708"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2970"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jc w:val="center"/>
          <w:trHeight w:val="454"/>
        </w:trPr>
        <w:tc>
          <w:tcPr>
            <w:tcW w:w="708"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2970"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jc w:val="center"/>
          <w:trHeight w:val="454"/>
        </w:trPr>
        <w:tc>
          <w:tcPr>
            <w:tcW w:w="708"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tcW w:w="2970"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jc w:val="center"/>
          <w:trHeight w:val="454"/>
        </w:trPr>
        <w:tc>
          <w:tcPr>
            <w:tcW w:w="708" w:type="dxa"/>
            <w:vAlign w:val="center"/>
            <w:textDirection w:val="lrTb"/>
            <w:noWrap w:val="false"/>
          </w:tcPr>
          <w:p>
            <w:pPr>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2970"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注：响应单位的响应文件（除服务要求部分）与采购文件规定的有偏离的，应在此表“偏离说明”中填写“偏离”。没有偏离的，应在表中填写“无偏离”。</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法定代表人或委托代理人：（签字或盖章）</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：人员配置一览表</w:t>
      </w:r>
      <w:r/>
    </w:p>
    <w:p>
      <w:pPr>
        <w:ind w:firstLine="0"/>
        <w:jc w:val="center"/>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360" w:lineRule="auto"/>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 xml:space="preserve">(1)人员配置一览表</w:t>
      </w:r>
      <w:r/>
    </w:p>
    <w:p>
      <w:pPr>
        <w:ind w:firstLine="2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磋商项目名称：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磋商编号：                          </w:t>
      </w:r>
      <w:r/>
    </w:p>
    <w:tbl>
      <w:tblPr>
        <w:tblStyle w:val="955"/>
        <w:tblW w:w="47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680"/>
        <w:gridCol w:w="1281"/>
        <w:gridCol w:w="1160"/>
        <w:gridCol w:w="1050"/>
        <w:gridCol w:w="1198"/>
        <w:gridCol w:w="1124"/>
      </w:tblGrid>
      <w:tr>
        <w:trPr>
          <w:jc w:val="center"/>
          <w:trHeight w:val="664"/>
        </w:trPr>
        <w:tc>
          <w:tcPr>
            <w:tcW w:w="839" w:type="dxa"/>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2680" w:type="dxa"/>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在本项目中负责的岗位</w:t>
            </w:r>
            <w:r/>
          </w:p>
        </w:tc>
        <w:tc>
          <w:tcPr>
            <w:tcW w:w="1281" w:type="dxa"/>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姓名</w:t>
            </w:r>
            <w:r/>
          </w:p>
        </w:tc>
        <w:tc>
          <w:tcPr>
            <w:tcW w:w="1160" w:type="dxa"/>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性别</w:t>
            </w:r>
            <w:r/>
          </w:p>
        </w:tc>
        <w:tc>
          <w:tcPr>
            <w:tcW w:w="1050" w:type="dxa"/>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年龄</w:t>
            </w:r>
            <w:r/>
          </w:p>
        </w:tc>
        <w:tc>
          <w:tcPr>
            <w:tcW w:w="1198" w:type="dxa"/>
            <w:vAlign w:val="center"/>
            <w:textDirection w:val="lrTb"/>
            <w:noWrap w:val="false"/>
          </w:tcPr>
          <w:p>
            <w:pPr>
              <w:jc w:val="center"/>
              <w:spacing w:line="24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专业</w:t>
            </w:r>
            <w:r/>
          </w:p>
        </w:tc>
        <w:tc>
          <w:tcPr>
            <w:tcW w:w="1124" w:type="dxa"/>
            <w:vAlign w:val="center"/>
            <w:textDirection w:val="lrTb"/>
            <w:noWrap w:val="false"/>
          </w:tcPr>
          <w:p>
            <w:pPr>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cantSplit/>
          <w:jc w:val="center"/>
          <w:trHeight w:val="495"/>
        </w:trPr>
        <w:tc>
          <w:tcPr>
            <w:tcW w:w="839"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268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5"/>
        </w:trPr>
        <w:tc>
          <w:tcPr>
            <w:tcW w:w="839"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268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5"/>
        </w:trPr>
        <w:tc>
          <w:tcPr>
            <w:tcW w:w="839"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268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5"/>
        </w:trPr>
        <w:tc>
          <w:tcPr>
            <w:tcW w:w="839"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268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5"/>
        </w:trPr>
        <w:tc>
          <w:tcPr>
            <w:tcW w:w="839"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0"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5"/>
        </w:trPr>
        <w:tc>
          <w:tcPr>
            <w:tcW w:w="839"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0"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5"/>
        </w:trPr>
        <w:tc>
          <w:tcPr>
            <w:tcW w:w="839"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5"/>
        </w:trPr>
        <w:tc>
          <w:tcPr>
            <w:tcW w:w="839"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5"/>
        </w:trPr>
        <w:tc>
          <w:tcPr>
            <w:tcW w:w="839"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95"/>
        </w:trPr>
        <w:tc>
          <w:tcPr>
            <w:tcW w:w="839"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9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280"/>
        <w:spacing w:line="360" w:lineRule="auto"/>
        <w:rPr>
          <w:rFonts w:hint="eastAsia" w:ascii="宋体" w:hAnsi="宋体" w:eastAsia="宋体" w:cs="宋体"/>
          <w:spacing w:val="20"/>
          <w:sz w:val="24"/>
          <w:szCs w:val="24"/>
          <w:highlight w:val="none"/>
          <w:lang w:eastAsia="zh-CN"/>
        </w:rPr>
      </w:pPr>
      <w:r>
        <w:rPr>
          <w:rFonts w:hint="eastAsia" w:ascii="宋体" w:hAnsi="宋体" w:eastAsia="宋体" w:cs="宋体"/>
          <w:spacing w:val="20"/>
          <w:sz w:val="24"/>
          <w:szCs w:val="24"/>
          <w:highlight w:val="none"/>
          <w:lang w:eastAsia="zh-CN"/>
        </w:rPr>
        <w:t xml:space="preserve">注：</w:t>
      </w:r>
      <w:r/>
    </w:p>
    <w:p>
      <w:pPr>
        <w:numPr>
          <w:ilvl w:val="0"/>
          <w:numId w:val="0"/>
        </w:numPr>
        <w:ind w:firstLine="560"/>
        <w:spacing w:line="360" w:lineRule="auto"/>
        <w:rPr>
          <w:rFonts w:hint="eastAsia" w:ascii="宋体" w:hAnsi="宋体" w:eastAsia="宋体" w:cs="宋体"/>
          <w:spacing w:val="20"/>
          <w:sz w:val="24"/>
          <w:szCs w:val="24"/>
          <w:highlight w:val="none"/>
          <w:lang w:val="en-US" w:eastAsia="zh-CN"/>
        </w:rPr>
      </w:pPr>
      <w:r>
        <w:rPr>
          <w:rFonts w:hint="eastAsia" w:ascii="宋体" w:hAnsi="宋体" w:eastAsia="宋体" w:cs="宋体"/>
          <w:spacing w:val="20"/>
          <w:sz w:val="24"/>
          <w:szCs w:val="24"/>
          <w:highlight w:val="none"/>
          <w:lang w:val="en-US" w:eastAsia="zh-CN"/>
        </w:rPr>
        <w:t xml:space="preserve">（1）项目团队中至少有一名人员为社会体育指导员</w:t>
      </w:r>
      <w:r>
        <w:rPr>
          <w:rFonts w:hint="eastAsia" w:ascii="宋体" w:hAnsi="宋体" w:eastAsia="宋体" w:cs="宋体"/>
          <w:b/>
          <w:bCs/>
          <w:spacing w:val="20"/>
          <w:sz w:val="24"/>
          <w:szCs w:val="24"/>
          <w:highlight w:val="none"/>
          <w:lang w:val="en-US" w:eastAsia="zh-CN"/>
        </w:rPr>
        <w:t xml:space="preserve">（响应文件中须提供证书扫描件，未提供视为不实质性响应）</w:t>
      </w:r>
      <w:r>
        <w:rPr>
          <w:rFonts w:hint="eastAsia" w:ascii="宋体" w:hAnsi="宋体" w:eastAsia="宋体" w:cs="宋体"/>
          <w:spacing w:val="20"/>
          <w:sz w:val="24"/>
          <w:szCs w:val="24"/>
          <w:highlight w:val="none"/>
          <w:lang w:val="en-US" w:eastAsia="zh-CN"/>
        </w:rPr>
        <w:t xml:space="preserve">。</w:t>
      </w:r>
      <w:r/>
    </w:p>
    <w:p>
      <w:pPr>
        <w:numPr>
          <w:ilvl w:val="0"/>
          <w:numId w:val="0"/>
        </w:numPr>
        <w:ind w:firstLine="560"/>
        <w:spacing w:line="360" w:lineRule="auto"/>
        <w:rPr>
          <w:rFonts w:hint="eastAsia" w:ascii="宋体" w:hAnsi="宋体" w:eastAsia="宋体" w:cs="宋体"/>
          <w:spacing w:val="20"/>
          <w:sz w:val="24"/>
          <w:szCs w:val="24"/>
          <w:highlight w:val="none"/>
          <w:lang w:eastAsia="zh-CN"/>
        </w:rPr>
      </w:pPr>
      <w:r>
        <w:rPr>
          <w:rFonts w:hint="eastAsia" w:ascii="宋体" w:hAnsi="宋体" w:eastAsia="宋体" w:cs="宋体"/>
          <w:spacing w:val="20"/>
          <w:sz w:val="24"/>
          <w:szCs w:val="24"/>
          <w:highlight w:val="none"/>
          <w:lang w:eastAsia="zh-CN"/>
        </w:rPr>
        <w:t xml:space="preserve">（</w:t>
      </w:r>
      <w:r>
        <w:rPr>
          <w:rFonts w:hint="eastAsia" w:ascii="宋体" w:hAnsi="宋体" w:eastAsia="宋体" w:cs="宋体"/>
          <w:spacing w:val="20"/>
          <w:sz w:val="24"/>
          <w:szCs w:val="24"/>
          <w:highlight w:val="none"/>
          <w:lang w:val="en-US" w:eastAsia="zh-CN"/>
        </w:rPr>
        <w:t xml:space="preserve">2</w:t>
      </w:r>
      <w:r>
        <w:rPr>
          <w:rFonts w:hint="eastAsia" w:ascii="宋体" w:hAnsi="宋体" w:eastAsia="宋体" w:cs="宋体"/>
          <w:spacing w:val="20"/>
          <w:sz w:val="24"/>
          <w:szCs w:val="24"/>
          <w:highlight w:val="none"/>
          <w:lang w:eastAsia="zh-CN"/>
        </w:rPr>
        <w:t xml:space="preserve">）表格不够填写可添加，或自拟格式。</w:t>
      </w:r>
      <w:r/>
    </w:p>
    <w:p>
      <w:pPr>
        <w:ind w:firstLine="28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p>
      <w:pPr>
        <w:ind w:firstLine="28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t xml:space="preserve">磋商响应单位（盖章）：    </w:t>
      </w:r>
      <w:r/>
    </w:p>
    <w:p>
      <w:pPr>
        <w:ind w:firstLine="28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t xml:space="preserve">法定代表人或委托代理人：（签字或盖章）                   </w:t>
      </w:r>
      <w:r/>
    </w:p>
    <w:p>
      <w:pPr>
        <w:ind w:firstLine="280"/>
        <w:spacing w:line="360" w:lineRule="auto"/>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t xml:space="preserve">日期：</w:t>
      </w:r>
      <w:r/>
    </w:p>
    <w:p>
      <w:pPr>
        <w:ind w:firstLine="480"/>
        <w:spacing w:line="360" w:lineRule="auto"/>
        <w:rPr>
          <w:rFonts w:hint="eastAsia" w:ascii="宋体" w:hAnsi="宋体" w:eastAsia="宋体" w:cs="宋体"/>
          <w:sz w:val="24"/>
          <w:szCs w:val="24"/>
          <w:highlight w:val="none"/>
        </w:rPr>
      </w:pPr>
      <w:r/>
      <w:bookmarkStart w:id="13" w:name="_Toc377652978"/>
      <w:r/>
      <w:bookmarkStart w:id="14" w:name="_Toc348784828"/>
      <w:r/>
      <w:bookmarkStart w:id="15" w:name="_Toc34878501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00"/>
        <w:jc w:val="both"/>
        <w:rPr>
          <w:rFonts w:hint="eastAsia" w:ascii="宋体" w:hAnsi="Times New Roman" w:eastAsia="宋体" w:cs="Times New Roman"/>
          <w:sz w:val="21"/>
          <w:highlight w:val="none"/>
          <w:lang w:val="en-US" w:eastAsia="zh-CN" w:bidi="ar-SA"/>
        </w:rPr>
      </w:pPr>
      <w:r>
        <w:rPr>
          <w:rFonts w:hint="eastAsia" w:ascii="宋体" w:hAnsi="Times New Roman" w:eastAsia="宋体" w:cs="Times New Roman"/>
          <w:sz w:val="21"/>
          <w:highlight w:val="none"/>
          <w:lang w:val="en-US" w:eastAsia="zh-CN" w:bidi="ar-SA"/>
        </w:rPr>
      </w:r>
      <w:bookmarkEnd w:id="13"/>
      <w:bookmarkEnd w:id="14"/>
      <w:bookmarkEnd w:id="15"/>
      <w:r/>
    </w:p>
    <w:p>
      <w:pPr>
        <w:jc w:val="center"/>
        <w:spacing w:line="360" w:lineRule="auto"/>
        <w:rPr>
          <w:rFonts w:hint="default" w:ascii="宋体" w:hAnsi="宋体" w:eastAsia="宋体" w:cs="宋体"/>
          <w:b/>
          <w:bCs/>
          <w:spacing w:val="20"/>
          <w:sz w:val="24"/>
          <w:szCs w:val="24"/>
          <w:highlight w:val="none"/>
        </w:rPr>
        <w:outlineLvl w:val="1"/>
      </w:pPr>
      <w:r>
        <w:rPr>
          <w:rFonts w:hint="eastAsia" w:ascii="宋体" w:hAnsi="宋体" w:eastAsia="宋体" w:cs="宋体"/>
          <w:b/>
          <w:bCs/>
          <w:spacing w:val="20"/>
          <w:sz w:val="24"/>
          <w:szCs w:val="24"/>
          <w:highlight w:val="none"/>
          <w:lang w:val="en-US" w:eastAsia="zh-CN"/>
        </w:rPr>
        <w:t xml:space="preserve">(2)</w:t>
      </w:r>
      <w:r>
        <w:rPr>
          <w:rFonts w:hint="eastAsia" w:ascii="宋体" w:hAnsi="宋体" w:eastAsia="宋体" w:cs="宋体"/>
          <w:b/>
          <w:bCs/>
          <w:spacing w:val="20"/>
          <w:sz w:val="24"/>
          <w:szCs w:val="24"/>
          <w:highlight w:val="none"/>
        </w:rPr>
        <w:t xml:space="preserve">拟投入本项目</w:t>
      </w:r>
      <w:r>
        <w:rPr>
          <w:rFonts w:hint="eastAsia" w:ascii="宋体" w:hAnsi="宋体" w:eastAsia="宋体" w:cs="宋体"/>
          <w:b/>
          <w:bCs/>
          <w:spacing w:val="20"/>
          <w:sz w:val="24"/>
          <w:szCs w:val="24"/>
          <w:highlight w:val="none"/>
          <w:lang w:eastAsia="zh-CN"/>
        </w:rPr>
        <w:t xml:space="preserve">专职项目</w:t>
      </w:r>
      <w:r>
        <w:rPr>
          <w:rFonts w:hint="eastAsia" w:ascii="宋体" w:hAnsi="宋体" w:eastAsia="宋体" w:cs="宋体"/>
          <w:b/>
          <w:bCs/>
          <w:spacing w:val="20"/>
          <w:sz w:val="24"/>
          <w:szCs w:val="24"/>
          <w:highlight w:val="none"/>
        </w:rPr>
        <w:t xml:space="preserve">负责人情况表</w:t>
      </w:r>
      <w:r/>
    </w:p>
    <w:tbl>
      <w:tblPr>
        <w:tblStyle w:val="9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185"/>
        <w:gridCol w:w="1417"/>
      </w:tblGrid>
      <w:tr>
        <w:trPr>
          <w:cantSplit/>
          <w:jc w:val="center"/>
          <w:trHeight w:val="729"/>
        </w:trPr>
        <w:tc>
          <w:tcPr>
            <w:tcW w:w="628" w:type="dxa"/>
            <w:vAlign w:val="center"/>
            <w:textDirection w:val="lrTb"/>
            <w:noWrap w:val="false"/>
          </w:tcPr>
          <w:p>
            <w:pPr>
              <w:jc w:val="cente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851" w:type="dxa"/>
            <w:vAlign w:val="center"/>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姓    名</w:t>
            </w:r>
            <w:r/>
          </w:p>
        </w:tc>
        <w:tc>
          <w:tcPr>
            <w:gridSpan w:val="2"/>
            <w:tcW w:w="2394" w:type="dxa"/>
            <w:vAlign w:val="center"/>
            <w:textDirection w:val="lrTb"/>
            <w:noWrap w:val="false"/>
          </w:tcPr>
          <w:p>
            <w:pPr>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W w:w="1083" w:type="dxa"/>
            <w:vAlign w:val="center"/>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性   别</w:t>
            </w:r>
            <w:r/>
          </w:p>
        </w:tc>
        <w:tc>
          <w:tcPr>
            <w:gridSpan w:val="2"/>
            <w:tcW w:w="2602" w:type="dxa"/>
            <w:vAlign w:val="center"/>
            <w:textDirection w:val="lrTb"/>
            <w:noWrap w:val="false"/>
          </w:tcPr>
          <w:p>
            <w:pPr>
              <w:rPr>
                <w:rFonts w:hint="default" w:ascii="宋体" w:hAnsi="宋体" w:eastAsia="宋体" w:cs="宋体"/>
                <w:sz w:val="24"/>
                <w:szCs w:val="24"/>
                <w:highlight w:val="none"/>
              </w:rPr>
            </w:pPr>
            <w:r>
              <w:rPr>
                <w:rFonts w:hint="default" w:ascii="宋体" w:hAnsi="宋体" w:eastAsia="宋体" w:cs="宋体"/>
                <w:sz w:val="24"/>
                <w:szCs w:val="24"/>
                <w:highlight w:val="none"/>
              </w:rPr>
            </w:r>
            <w:r/>
          </w:p>
        </w:tc>
      </w:tr>
      <w:tr>
        <w:trPr>
          <w:cantSplit/>
          <w:jc w:val="center"/>
          <w:trHeight w:val="714"/>
        </w:trPr>
        <w:tc>
          <w:tcPr>
            <w:tcW w:w="628" w:type="dxa"/>
            <w:vAlign w:val="center"/>
            <w:textDirection w:val="lrTb"/>
            <w:noWrap w:val="false"/>
          </w:tcPr>
          <w:p>
            <w:pPr>
              <w:jc w:val="cente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851" w:type="dxa"/>
            <w:vAlign w:val="center"/>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公司职务</w:t>
            </w:r>
            <w:r/>
          </w:p>
        </w:tc>
        <w:tc>
          <w:tcPr>
            <w:gridSpan w:val="2"/>
            <w:tcW w:w="2394" w:type="dxa"/>
            <w:vAlign w:val="center"/>
            <w:textDirection w:val="lrTb"/>
            <w:noWrap w:val="false"/>
          </w:tcPr>
          <w:p>
            <w:pPr>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W w:w="1083" w:type="dxa"/>
            <w:vAlign w:val="center"/>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项目职务</w:t>
            </w:r>
            <w:r/>
          </w:p>
        </w:tc>
        <w:tc>
          <w:tcPr>
            <w:gridSpan w:val="2"/>
            <w:tcW w:w="2602" w:type="dxa"/>
            <w:vAlign w:val="center"/>
            <w:textDirection w:val="lrTb"/>
            <w:noWrap w:val="false"/>
          </w:tcPr>
          <w:p>
            <w:pPr>
              <w:rPr>
                <w:rFonts w:hint="default" w:ascii="宋体" w:hAnsi="宋体" w:eastAsia="宋体" w:cs="宋体"/>
                <w:sz w:val="24"/>
                <w:szCs w:val="24"/>
                <w:highlight w:val="none"/>
              </w:rPr>
            </w:pPr>
            <w:r>
              <w:rPr>
                <w:rFonts w:hint="default" w:ascii="宋体" w:hAnsi="宋体" w:eastAsia="宋体" w:cs="宋体"/>
                <w:sz w:val="24"/>
                <w:szCs w:val="24"/>
                <w:highlight w:val="none"/>
              </w:rPr>
            </w:r>
            <w:r/>
          </w:p>
        </w:tc>
      </w:tr>
      <w:tr>
        <w:trPr>
          <w:jc w:val="center"/>
          <w:trHeight w:val="675"/>
        </w:trPr>
        <w:tc>
          <w:tcPr>
            <w:tcW w:w="628" w:type="dxa"/>
            <w:vAlign w:val="center"/>
            <w:textDirection w:val="lrTb"/>
            <w:noWrap w:val="false"/>
          </w:tcPr>
          <w:p>
            <w:pPr>
              <w:jc w:val="cente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851" w:type="dxa"/>
            <w:vAlign w:val="center"/>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身份证号码</w:t>
            </w:r>
            <w:r/>
          </w:p>
        </w:tc>
        <w:tc>
          <w:tcPr>
            <w:gridSpan w:val="3"/>
            <w:tcW w:w="3477" w:type="dxa"/>
            <w:vAlign w:val="center"/>
            <w:textDirection w:val="lrTb"/>
            <w:noWrap w:val="false"/>
          </w:tcPr>
          <w:p>
            <w:pPr>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W w:w="1185" w:type="dxa"/>
            <w:vAlign w:val="center"/>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出生年月</w:t>
            </w:r>
            <w:r/>
          </w:p>
        </w:tc>
        <w:tc>
          <w:tcPr>
            <w:tcW w:w="1417" w:type="dxa"/>
            <w:vAlign w:val="center"/>
            <w:textDirection w:val="lrTb"/>
            <w:noWrap w:val="false"/>
          </w:tcPr>
          <w:p>
            <w:pPr>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年   月</w:t>
            </w:r>
            <w:r/>
          </w:p>
        </w:tc>
      </w:tr>
      <w:tr>
        <w:trPr>
          <w:jc w:val="center"/>
          <w:trHeight w:val="765"/>
        </w:trPr>
        <w:tc>
          <w:tcPr>
            <w:tcW w:w="628" w:type="dxa"/>
            <w:vAlign w:val="center"/>
            <w:textDirection w:val="lrTb"/>
            <w:noWrap w:val="false"/>
          </w:tcPr>
          <w:p>
            <w:pPr>
              <w:jc w:val="cente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gridSpan w:val="2"/>
            <w:tcW w:w="3180" w:type="dxa"/>
            <w:vAlign w:val="center"/>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gridSpan w:val="2"/>
            <w:tcW w:w="2148" w:type="dxa"/>
            <w:vAlign w:val="center"/>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传真：</w:t>
            </w:r>
            <w:r/>
          </w:p>
        </w:tc>
        <w:tc>
          <w:tcPr>
            <w:gridSpan w:val="2"/>
            <w:tcW w:w="2602" w:type="dxa"/>
            <w:vAlign w:val="center"/>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r>
      <w:tr>
        <w:trPr>
          <w:cantSplit/>
          <w:jc w:val="center"/>
          <w:trHeight w:val="645"/>
        </w:trPr>
        <w:tc>
          <w:tcPr>
            <w:tcW w:w="628" w:type="dxa"/>
            <w:vAlign w:val="center"/>
            <w:textDirection w:val="lrTb"/>
            <w:noWrap w:val="false"/>
          </w:tcPr>
          <w:p>
            <w:pPr>
              <w:jc w:val="cente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gridSpan w:val="6"/>
            <w:tcW w:w="7930" w:type="dxa"/>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从事专业工作年限：</w:t>
            </w:r>
            <w:r/>
          </w:p>
        </w:tc>
      </w:tr>
      <w:tr>
        <w:trPr>
          <w:cantSplit/>
          <w:jc w:val="center"/>
          <w:trHeight w:val="625"/>
        </w:trPr>
        <w:tc>
          <w:tcPr>
            <w:tcW w:w="628" w:type="dxa"/>
            <w:vAlign w:val="center"/>
            <w:textDirection w:val="lrTb"/>
            <w:noWrap w:val="false"/>
          </w:tcPr>
          <w:p>
            <w:pPr>
              <w:jc w:val="cente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gridSpan w:val="6"/>
            <w:tcW w:w="7930" w:type="dxa"/>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拥有的职称、专业资格：</w:t>
            </w:r>
            <w:r/>
          </w:p>
        </w:tc>
      </w:tr>
      <w:tr>
        <w:trPr>
          <w:cantSplit/>
          <w:jc w:val="center"/>
          <w:trHeight w:val="1315"/>
        </w:trPr>
        <w:tc>
          <w:tcPr>
            <w:tcW w:w="628" w:type="dxa"/>
            <w:vAlign w:val="center"/>
            <w:textDirection w:val="lrTb"/>
            <w:noWrap w:val="false"/>
          </w:tcPr>
          <w:p>
            <w:pPr>
              <w:jc w:val="cente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gridSpan w:val="6"/>
            <w:tcW w:w="7930" w:type="dxa"/>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相关项目经验和曾获得奖励情况：</w:t>
            </w:r>
            <w:r/>
          </w:p>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1、___________________________________  </w:t>
            </w:r>
            <w:r/>
          </w:p>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 __________________________________</w:t>
            </w:r>
            <w:r/>
          </w:p>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1133"/>
        </w:trPr>
        <w:tc>
          <w:tcPr>
            <w:tcW w:w="628" w:type="dxa"/>
            <w:vAlign w:val="center"/>
            <w:textDirection w:val="lrTb"/>
            <w:noWrap w:val="false"/>
          </w:tcPr>
          <w:p>
            <w:pPr>
              <w:jc w:val="cente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gridSpan w:val="6"/>
            <w:tcW w:w="7930" w:type="dxa"/>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本公司承诺：</w:t>
            </w:r>
            <w:r/>
          </w:p>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该项目负责人在我单位已任职且在从业经历中没有任何违法、违规而被查处的不良记录。</w:t>
            </w:r>
            <w:r/>
          </w:p>
        </w:tc>
      </w:tr>
      <w:tr>
        <w:trPr>
          <w:jc w:val="center"/>
          <w:trHeight w:val="1109"/>
        </w:trPr>
        <w:tc>
          <w:tcPr>
            <w:tcW w:w="628" w:type="dxa"/>
            <w:vAlign w:val="center"/>
            <w:textDirection w:val="lrTb"/>
            <w:noWrap w:val="false"/>
          </w:tcPr>
          <w:p>
            <w:pPr>
              <w:jc w:val="cente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gridSpan w:val="6"/>
            <w:tcW w:w="7930" w:type="dxa"/>
            <w:textDirection w:val="lrTb"/>
            <w:noWrap w:val="false"/>
          </w:tcPr>
          <w:p>
            <w:pPr>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p>
          <w:p>
            <w:pPr>
              <w:rPr>
                <w:rFonts w:hint="default" w:ascii="宋体" w:hAnsi="宋体" w:eastAsia="宋体" w:cs="宋体"/>
                <w:sz w:val="24"/>
                <w:szCs w:val="24"/>
                <w:highlight w:val="none"/>
              </w:rPr>
            </w:pPr>
            <w:r>
              <w:rPr>
                <w:rFonts w:hint="default" w:ascii="宋体" w:hAnsi="宋体" w:eastAsia="宋体" w:cs="宋体"/>
                <w:sz w:val="24"/>
                <w:szCs w:val="24"/>
                <w:highlight w:val="none"/>
              </w:rPr>
            </w:r>
            <w:r/>
          </w:p>
        </w:tc>
      </w:tr>
    </w:tbl>
    <w:p>
      <w:pPr>
        <w:spacing w:line="360" w:lineRule="auto"/>
        <w:rPr>
          <w:rFonts w:hint="default" w:ascii="宋体" w:hAnsi="宋体" w:eastAsia="宋体" w:cs="宋体"/>
          <w:b/>
          <w:sz w:val="24"/>
          <w:szCs w:val="24"/>
          <w:highlight w:val="none"/>
        </w:rPr>
      </w:pPr>
      <w:r>
        <w:rPr>
          <w:rFonts w:hint="default" w:ascii="宋体" w:hAnsi="宋体" w:eastAsia="宋体" w:cs="宋体"/>
          <w:b/>
          <w:sz w:val="24"/>
          <w:szCs w:val="24"/>
          <w:highlight w:val="none"/>
        </w:rPr>
      </w:r>
      <w:r/>
    </w:p>
    <w:p>
      <w:pPr>
        <w:ind w:firstLine="720"/>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p>
    <w:p>
      <w:pPr>
        <w:ind w:firstLine="720"/>
        <w:rPr>
          <w:rFonts w:hint="default" w:ascii="宋体" w:hAnsi="宋体" w:eastAsia="宋体" w:cs="宋体"/>
          <w:sz w:val="24"/>
          <w:szCs w:val="24"/>
          <w:highlight w:val="none"/>
        </w:rPr>
      </w:pPr>
      <w:r>
        <w:rPr>
          <w:rFonts w:hint="default" w:ascii="宋体" w:hAnsi="宋体" w:eastAsia="宋体" w:cs="宋体"/>
          <w:sz w:val="24"/>
          <w:szCs w:val="24"/>
          <w:highlight w:val="none"/>
        </w:rPr>
      </w:r>
      <w:r/>
    </w:p>
    <w:p>
      <w:pPr>
        <w:ind w:firstLine="72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法定代表人或委托代理人：（签字或盖章）</w:t>
      </w:r>
      <w:r/>
    </w:p>
    <w:p>
      <w:pPr>
        <w:ind w:firstLine="720"/>
        <w:jc w:val="left"/>
        <w:spacing w:line="360" w:lineRule="auto"/>
        <w:rPr>
          <w:rFonts w:hint="default" w:ascii="宋体" w:hAnsi="宋体" w:eastAsia="宋体" w:cs="宋体"/>
          <w:b/>
          <w:bCs/>
          <w:sz w:val="24"/>
          <w:szCs w:val="24"/>
          <w:highlight w:val="none"/>
        </w:rPr>
      </w:pPr>
      <w:r>
        <w:rPr>
          <w:rFonts w:hint="eastAsia" w:ascii="宋体" w:hAnsi="宋体" w:eastAsia="宋体" w:cs="宋体"/>
          <w:sz w:val="24"/>
          <w:szCs w:val="24"/>
          <w:highlight w:val="none"/>
        </w:rPr>
        <w:t xml:space="preserve">日   期：      年      月     日</w:t>
      </w:r>
      <w:r/>
    </w:p>
    <w:p>
      <w:pPr>
        <w:pStyle w:val="986"/>
        <w:ind w:left="0"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headerReference w:type="default" r:id="rId12"/>
      <w:footerReference w:type="default" r:id="rId19"/>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黑体">
    <w:panose1 w:val="02010609060101010101"/>
  </w:font>
  <w:font w:name="Tms Rmn">
    <w:panose1 w:val="020B0503020202020204"/>
  </w:font>
  <w:font w:name="Calibri">
    <w:panose1 w:val="020F0502020204030204"/>
  </w:font>
  <w:font w:name="Courier New">
    <w:panose1 w:val="02070309020205020404"/>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right="359" w:firstLine="342"/>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201"/>
      </w:rPr>
      <w:framePr w:wrap="around" w:vAnchor="text" w:hAnchor="margin" w:xAlign="right" w:yAlign="top"/>
    </w:pPr>
    <w:r>
      <w:fldChar w:fldCharType="begin"/>
    </w:r>
    <w:r>
      <w:rPr>
        <w:rStyle w:val="1201"/>
      </w:rPr>
      <w:instrText xml:space="preserve">PAGE  </w:instrText>
    </w:r>
    <w:r>
      <w:fldChar w:fldCharType="end"/>
    </w:r>
    <w:r/>
  </w:p>
  <w:p>
    <w:pPr>
      <w:pStyle w:val="117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right="359" w:firstLine="342"/>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40" w:lineRule="auto"/>
      <w:widowControl w:val="off"/>
      <w:tabs>
        <w:tab w:val="center" w:pos="4153" w:leader="none"/>
        <w:tab w:val="right" w:pos="8306" w:leader="none"/>
      </w:tabs>
      <w:rPr>
        <w:rFonts w:ascii="等线" w:hAnsi="等线" w:eastAsia="等线"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56</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56</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58</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both"/>
      <w:rPr>
        <w:rFonts w:hint="eastAsia" w:ascii="宋体" w:hAnsi="宋体" w:eastAsia="宋体"/>
        <w:szCs w:val="18"/>
      </w:rPr>
    </w:pPr>
    <w:r>
      <w:rPr>
        <w:rFonts w:hint="eastAsia" w:ascii="宋体" w:hAnsi="宋体" w:eastAsia="宋体"/>
        <w:szCs w:val="18"/>
      </w:rPr>
      <w:t xml:space="preserve">苏州伟亚工程项目管理咨询有限公司                                  采购编号： </w:t>
    </w:r>
    <w:r>
      <w:rPr>
        <w:rFonts w:hint="eastAsia" w:ascii="宋体" w:hAnsi="宋体" w:eastAsia="宋体"/>
        <w:szCs w:val="18"/>
        <w:lang w:eastAsia="zh-CN"/>
      </w:rPr>
      <w:t xml:space="preserve">JSZC-320500-WYDL-C2025-0037</w:t>
    </w:r>
    <w:r>
      <w:rPr>
        <w:rFonts w:hint="eastAsia" w:ascii="宋体" w:hAnsi="宋体" w:eastAsia="宋体"/>
        <w:szCs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both"/>
    </w:pPr>
    <w:r>
      <w:rPr>
        <w:rFonts w:hint="eastAsia" w:ascii="宋体" w:hAnsi="宋体" w:eastAsia="宋体"/>
        <w:szCs w:val="18"/>
      </w:rPr>
      <w:t xml:space="preserve">苏州伟亚工程项目管理咨询有限公司                                  采购编号： </w:t>
    </w:r>
    <w:r>
      <w:rPr>
        <w:rFonts w:hint="eastAsia" w:ascii="宋体" w:hAnsi="宋体" w:eastAsia="宋体"/>
        <w:szCs w:val="18"/>
        <w:lang w:eastAsia="zh-CN"/>
      </w:rPr>
      <w:t xml:space="preserve">JSZC-320500-WYDL-C2025-0037</w:t>
    </w:r>
    <w:r>
      <w:rPr>
        <w:rFonts w:hint="eastAsia" w:ascii="宋体" w:hAnsi="宋体" w:eastAsia="宋体"/>
        <w:szCs w:val="18"/>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ascii="Calibri" w:hAnsi="Calibri" w:eastAsia="宋体" w:cs="Times New Roman"/>
        <w:sz w:val="18"/>
        <w:szCs w:val="18"/>
        <w:lang w:val="en-US" w:eastAsia="zh-CN" w:bidi="ar-SA"/>
      </w:rPr>
      <w:pBdr>
        <w:bottom w:val="single" w:color="000000" w:sz="6" w:space="0"/>
      </w:pBdr>
    </w:pPr>
    <w:r>
      <w:rPr>
        <w:rFonts w:hint="eastAsia" w:ascii="宋体" w:hAnsi="宋体" w:eastAsia="宋体"/>
        <w:sz w:val="18"/>
        <w:szCs w:val="18"/>
      </w:rPr>
      <w:t xml:space="preserve">苏州伟亚工程项目管理咨询有限公司 </w:t>
    </w:r>
    <w:r>
      <w:rPr>
        <w:rFonts w:hint="eastAsia" w:ascii="宋体" w:hAnsi="宋体" w:eastAsia="宋体"/>
        <w:szCs w:val="18"/>
        <w:lang w:val="en-US" w:eastAsia="zh-CN"/>
      </w:rPr>
      <w:t xml:space="preserve">                       </w:t>
    </w:r>
    <w:r>
      <w:rPr>
        <w:rFonts w:hint="eastAsia" w:ascii="宋体" w:hAnsi="宋体" w:eastAsia="宋体"/>
        <w:sz w:val="18"/>
        <w:szCs w:val="18"/>
      </w:rPr>
      <w:t xml:space="preserve">采购编号： </w:t>
    </w:r>
    <w:r>
      <w:rPr>
        <w:rFonts w:hint="eastAsia" w:ascii="宋体" w:hAnsi="宋体" w:eastAsia="宋体"/>
        <w:sz w:val="18"/>
        <w:szCs w:val="18"/>
        <w:lang w:eastAsia="zh-CN"/>
      </w:rPr>
      <w:t xml:space="preserve">JSZC-320500-WYDL-C2025-0037</w:t>
    </w:r>
    <w:r>
      <w:rPr>
        <w:rFonts w:hint="eastAsia" w:ascii="宋体" w:hAnsi="宋体" w:eastAsia="宋体"/>
        <w:sz w:val="18"/>
        <w:szCs w:val="18"/>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ascii="Calibri" w:hAnsi="Calibri" w:eastAsia="宋体" w:cs="Times New Roman"/>
        <w:sz w:val="18"/>
        <w:szCs w:val="18"/>
        <w:lang w:val="en-US" w:eastAsia="zh-CN" w:bidi="ar-SA"/>
      </w:rPr>
      <w:pBdr>
        <w:bottom w:val="single" w:color="000000" w:sz="6" w:space="0"/>
      </w:pBdr>
    </w:pPr>
    <w:r>
      <w:rPr>
        <w:rFonts w:hint="eastAsia" w:ascii="宋体" w:hAnsi="宋体" w:eastAsia="宋体"/>
        <w:sz w:val="18"/>
        <w:szCs w:val="18"/>
      </w:rPr>
      <w:t xml:space="preserve">苏州伟亚工程项目管理咨询有限公司 </w:t>
    </w:r>
    <w:r>
      <w:rPr>
        <w:rFonts w:hint="eastAsia" w:ascii="宋体" w:hAnsi="宋体" w:eastAsia="宋体"/>
        <w:szCs w:val="18"/>
        <w:lang w:val="en-US" w:eastAsia="zh-CN"/>
      </w:rPr>
      <w:t xml:space="preserve">                       </w:t>
    </w:r>
    <w:r>
      <w:rPr>
        <w:rFonts w:hint="eastAsia" w:ascii="宋体" w:hAnsi="宋体" w:eastAsia="宋体"/>
        <w:sz w:val="18"/>
        <w:szCs w:val="18"/>
      </w:rPr>
      <w:t xml:space="preserve">采购编号： </w:t>
    </w:r>
    <w:r>
      <w:rPr>
        <w:rFonts w:hint="eastAsia" w:ascii="宋体" w:hAnsi="宋体" w:eastAsia="宋体"/>
        <w:sz w:val="18"/>
        <w:szCs w:val="18"/>
        <w:lang w:eastAsia="zh-CN"/>
      </w:rPr>
      <w:t xml:space="preserve">JSZC-320500-WYDL-C2025-0037</w:t>
    </w:r>
    <w:r>
      <w:rPr>
        <w:rFonts w:hint="eastAsia" w:ascii="宋体" w:hAnsi="宋体" w:eastAsia="宋体"/>
        <w:sz w:val="18"/>
        <w:szCs w:val="18"/>
      </w:rPr>
      <w:t xml:space="preserve">号</w:t>
    </w:r>
    <w:r/>
  </w:p>
  <w:p>
    <w:pPr>
      <w:jc w:val="left"/>
      <w:spacing w:line="240" w:lineRule="auto"/>
      <w:widowControl w:val="off"/>
      <w:tabs>
        <w:tab w:val="center" w:pos="4153" w:leader="none"/>
        <w:tab w:val="right" w:pos="8306" w:leader="none"/>
      </w:tabs>
      <w:rPr>
        <w:rFonts w:hint="eastAsia" w:ascii="宋体" w:hAnsi="宋体" w:eastAsia="宋体" w:cs="宋体"/>
        <w:sz w:val="18"/>
        <w:szCs w:val="18"/>
        <w:u w:val="single"/>
        <w:lang w:val="en-US" w:eastAsia="zh-CN" w:bidi="ar-SA"/>
      </w:rPr>
    </w:pPr>
    <w:r>
      <w:rPr>
        <w:rFonts w:hint="eastAsia" w:ascii="宋体" w:hAnsi="宋体" w:eastAsia="宋体" w:cs="宋体"/>
        <w:sz w:val="18"/>
        <w:szCs w:val="18"/>
        <w:u w:val="single"/>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3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0"/>
  </w:num>
  <w:num w:numId="5">
    <w:abstractNumId w:val="7"/>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default="1">
    <w:name w:val="Normal"/>
    <w:next w:val="956"/>
    <w:link w:val="1270"/>
    <w:uiPriority w:val="0"/>
    <w:qFormat/>
    <w:pPr>
      <w:jc w:val="both"/>
      <w:widowControl w:val="off"/>
    </w:pPr>
    <w:rPr>
      <w:rFonts w:hint="default" w:ascii="Times New Roman" w:hAnsi="Times New Roman" w:eastAsia="楷体_GB2312" w:cs="Times New Roman"/>
      <w:sz w:val="26"/>
      <w:lang w:val="en-US" w:eastAsia="zh-CN" w:bidi="ar-SA"/>
    </w:rPr>
  </w:style>
  <w:style w:type="paragraph" w:styleId="945">
    <w:name w:val="Heading 1"/>
    <w:basedOn w:val="944"/>
    <w:next w:val="944"/>
    <w:link w:val="991"/>
    <w:uiPriority w:val="9"/>
    <w:qFormat/>
    <w:pPr>
      <w:keepLines/>
      <w:keepNext/>
      <w:spacing w:before="480" w:after="200"/>
      <w:outlineLvl w:val="0"/>
    </w:pPr>
    <w:rPr>
      <w:rFonts w:ascii="Arial" w:hAnsi="Arial" w:eastAsia="Arial" w:cs="Arial"/>
      <w:sz w:val="40"/>
      <w:szCs w:val="40"/>
    </w:rPr>
  </w:style>
  <w:style w:type="paragraph" w:styleId="946">
    <w:name w:val="Heading 2"/>
    <w:basedOn w:val="944"/>
    <w:next w:val="944"/>
    <w:link w:val="992"/>
    <w:uiPriority w:val="9"/>
    <w:unhideWhenUsed/>
    <w:qFormat/>
    <w:pPr>
      <w:keepLines/>
      <w:keepNext/>
      <w:spacing w:before="360" w:after="200"/>
      <w:outlineLvl w:val="1"/>
    </w:pPr>
    <w:rPr>
      <w:rFonts w:ascii="Arial" w:hAnsi="Arial" w:eastAsia="Arial" w:cs="Arial"/>
      <w:sz w:val="34"/>
    </w:rPr>
  </w:style>
  <w:style w:type="paragraph" w:styleId="947">
    <w:name w:val="Heading 3"/>
    <w:basedOn w:val="944"/>
    <w:next w:val="944"/>
    <w:link w:val="993"/>
    <w:uiPriority w:val="9"/>
    <w:unhideWhenUsed/>
    <w:qFormat/>
    <w:pPr>
      <w:keepLines/>
      <w:keepNext/>
      <w:spacing w:before="320" w:after="200"/>
      <w:outlineLvl w:val="2"/>
    </w:pPr>
    <w:rPr>
      <w:rFonts w:ascii="Arial" w:hAnsi="Arial" w:eastAsia="Arial" w:cs="Arial"/>
      <w:sz w:val="30"/>
      <w:szCs w:val="30"/>
    </w:rPr>
  </w:style>
  <w:style w:type="paragraph" w:styleId="948">
    <w:name w:val="Heading 4"/>
    <w:basedOn w:val="944"/>
    <w:next w:val="944"/>
    <w:link w:val="994"/>
    <w:uiPriority w:val="9"/>
    <w:unhideWhenUsed/>
    <w:qFormat/>
    <w:pPr>
      <w:keepLines/>
      <w:keepNext/>
      <w:spacing w:before="320" w:after="200"/>
      <w:outlineLvl w:val="3"/>
    </w:pPr>
    <w:rPr>
      <w:rFonts w:ascii="Arial" w:hAnsi="Arial" w:eastAsia="Arial" w:cs="Arial"/>
      <w:b/>
      <w:bCs/>
      <w:sz w:val="26"/>
      <w:szCs w:val="26"/>
    </w:rPr>
  </w:style>
  <w:style w:type="paragraph" w:styleId="949">
    <w:name w:val="Heading 5"/>
    <w:basedOn w:val="944"/>
    <w:next w:val="944"/>
    <w:link w:val="995"/>
    <w:uiPriority w:val="9"/>
    <w:unhideWhenUsed/>
    <w:qFormat/>
    <w:pPr>
      <w:keepLines/>
      <w:keepNext/>
      <w:spacing w:before="320" w:after="200"/>
      <w:outlineLvl w:val="4"/>
    </w:pPr>
    <w:rPr>
      <w:rFonts w:ascii="Arial" w:hAnsi="Arial" w:eastAsia="Arial" w:cs="Arial"/>
      <w:b/>
      <w:bCs/>
      <w:sz w:val="24"/>
      <w:szCs w:val="24"/>
    </w:rPr>
  </w:style>
  <w:style w:type="paragraph" w:styleId="950">
    <w:name w:val="Heading 6"/>
    <w:basedOn w:val="944"/>
    <w:next w:val="944"/>
    <w:link w:val="996"/>
    <w:uiPriority w:val="9"/>
    <w:unhideWhenUsed/>
    <w:qFormat/>
    <w:pPr>
      <w:keepLines/>
      <w:keepNext/>
      <w:spacing w:before="320" w:after="200"/>
      <w:outlineLvl w:val="5"/>
    </w:pPr>
    <w:rPr>
      <w:rFonts w:ascii="Arial" w:hAnsi="Arial" w:eastAsia="Arial" w:cs="Arial"/>
      <w:b/>
      <w:bCs/>
      <w:sz w:val="22"/>
      <w:szCs w:val="22"/>
    </w:rPr>
  </w:style>
  <w:style w:type="paragraph" w:styleId="951">
    <w:name w:val="Heading 7"/>
    <w:basedOn w:val="944"/>
    <w:next w:val="944"/>
    <w:link w:val="997"/>
    <w:uiPriority w:val="9"/>
    <w:unhideWhenUsed/>
    <w:qFormat/>
    <w:pPr>
      <w:keepLines/>
      <w:keepNext/>
      <w:spacing w:before="320" w:after="200"/>
      <w:outlineLvl w:val="6"/>
    </w:pPr>
    <w:rPr>
      <w:rFonts w:ascii="Arial" w:hAnsi="Arial" w:eastAsia="Arial" w:cs="Arial"/>
      <w:b/>
      <w:bCs/>
      <w:i/>
      <w:iCs/>
      <w:sz w:val="22"/>
      <w:szCs w:val="22"/>
    </w:rPr>
  </w:style>
  <w:style w:type="paragraph" w:styleId="952">
    <w:name w:val="Heading 8"/>
    <w:basedOn w:val="944"/>
    <w:next w:val="944"/>
    <w:link w:val="998"/>
    <w:uiPriority w:val="9"/>
    <w:unhideWhenUsed/>
    <w:qFormat/>
    <w:pPr>
      <w:keepLines/>
      <w:keepNext/>
      <w:spacing w:before="320" w:after="200"/>
      <w:outlineLvl w:val="7"/>
    </w:pPr>
    <w:rPr>
      <w:rFonts w:ascii="Arial" w:hAnsi="Arial" w:eastAsia="Arial" w:cs="Arial"/>
      <w:i/>
      <w:iCs/>
      <w:sz w:val="22"/>
      <w:szCs w:val="22"/>
    </w:rPr>
  </w:style>
  <w:style w:type="paragraph" w:styleId="953">
    <w:name w:val="Heading 9"/>
    <w:basedOn w:val="944"/>
    <w:next w:val="944"/>
    <w:link w:val="999"/>
    <w:uiPriority w:val="9"/>
    <w:unhideWhenUsed/>
    <w:qFormat/>
    <w:pPr>
      <w:keepLines/>
      <w:keepNext/>
      <w:spacing w:before="320" w:after="200"/>
      <w:outlineLvl w:val="8"/>
    </w:pPr>
    <w:rPr>
      <w:rFonts w:ascii="Arial" w:hAnsi="Arial" w:eastAsia="Arial" w:cs="Arial"/>
      <w:i/>
      <w:iCs/>
      <w:sz w:val="21"/>
      <w:szCs w:val="21"/>
    </w:rPr>
  </w:style>
  <w:style w:type="character" w:styleId="954" w:default="1">
    <w:name w:val="Default Paragraph Font"/>
    <w:uiPriority w:val="1"/>
    <w:semiHidden/>
    <w:unhideWhenUsed/>
    <w:qFormat/>
  </w:style>
  <w:style w:type="table" w:styleId="955" w:default="1">
    <w:name w:val="Normal Table"/>
    <w:uiPriority w:val="99"/>
    <w:semiHidden/>
    <w:unhideWhenUsed/>
    <w:qFormat/>
    <w:tblPr>
      <w:tblCellMar>
        <w:left w:w="108" w:type="dxa"/>
        <w:top w:w="0" w:type="dxa"/>
        <w:right w:w="108" w:type="dxa"/>
        <w:bottom w:w="0" w:type="dxa"/>
      </w:tblCellMar>
    </w:tblPr>
  </w:style>
  <w:style w:type="paragraph" w:styleId="956">
    <w:name w:val="Body Text Indent"/>
    <w:basedOn w:val="944"/>
    <w:next w:val="944"/>
    <w:uiPriority w:val="0"/>
    <w:qFormat/>
    <w:pPr>
      <w:ind w:left="570"/>
      <w:spacing w:line="520" w:lineRule="exact"/>
    </w:pPr>
    <w:rPr>
      <w:rFonts w:ascii="方正仿宋简体" w:hAnsi="创艺简仿宋" w:eastAsia="方正仿宋简体"/>
      <w:sz w:val="24"/>
    </w:rPr>
  </w:style>
  <w:style w:type="paragraph" w:styleId="957">
    <w:name w:val="toc 7"/>
    <w:basedOn w:val="944"/>
    <w:next w:val="944"/>
    <w:uiPriority w:val="39"/>
    <w:unhideWhenUsed/>
    <w:qFormat/>
    <w:pPr>
      <w:ind w:left="1701" w:right="0" w:firstLine="0"/>
      <w:spacing w:after="57"/>
    </w:pPr>
  </w:style>
  <w:style w:type="paragraph" w:styleId="958">
    <w:name w:val="Normal Indent"/>
    <w:basedOn w:val="944"/>
    <w:uiPriority w:val="0"/>
    <w:qFormat/>
    <w:pPr>
      <w:ind w:left="420" w:firstLine="4772"/>
    </w:pPr>
    <w:rPr>
      <w:lang w:val="zh-CN"/>
    </w:rPr>
  </w:style>
  <w:style w:type="paragraph" w:styleId="959">
    <w:name w:val="Caption"/>
    <w:basedOn w:val="944"/>
    <w:next w:val="9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0">
    <w:name w:val="annotation text"/>
    <w:basedOn w:val="944"/>
    <w:uiPriority w:val="99"/>
    <w:semiHidden/>
    <w:unhideWhenUsed/>
    <w:qFormat/>
    <w:pPr>
      <w:jc w:val="left"/>
    </w:pPr>
  </w:style>
  <w:style w:type="paragraph" w:styleId="961">
    <w:name w:val="Body Text"/>
    <w:basedOn w:val="944"/>
    <w:next w:val="944"/>
    <w:uiPriority w:val="0"/>
    <w:qFormat/>
    <w:pPr>
      <w:spacing w:after="120" w:line="400" w:lineRule="exact"/>
    </w:pPr>
    <w:rPr>
      <w:rFonts w:ascii="宋体"/>
      <w:sz w:val="24"/>
      <w:szCs w:val="20"/>
    </w:rPr>
  </w:style>
  <w:style w:type="paragraph" w:styleId="962">
    <w:name w:val="toc 5"/>
    <w:basedOn w:val="944"/>
    <w:next w:val="944"/>
    <w:uiPriority w:val="39"/>
    <w:unhideWhenUsed/>
    <w:qFormat/>
    <w:pPr>
      <w:ind w:left="1134" w:right="0" w:firstLine="0"/>
      <w:spacing w:after="57"/>
    </w:pPr>
  </w:style>
  <w:style w:type="paragraph" w:styleId="963">
    <w:name w:val="toc 3"/>
    <w:basedOn w:val="944"/>
    <w:next w:val="944"/>
    <w:uiPriority w:val="39"/>
    <w:unhideWhenUsed/>
    <w:qFormat/>
    <w:pPr>
      <w:ind w:left="567" w:right="0" w:firstLine="0"/>
      <w:spacing w:after="57"/>
    </w:pPr>
  </w:style>
  <w:style w:type="paragraph" w:styleId="964">
    <w:name w:val="Plain Text"/>
    <w:basedOn w:val="944"/>
    <w:link w:val="1223"/>
    <w:uiPriority w:val="0"/>
    <w:qFormat/>
    <w:rPr>
      <w:rFonts w:ascii="宋体" w:hAnsi="Courier New"/>
    </w:rPr>
  </w:style>
  <w:style w:type="paragraph" w:styleId="965">
    <w:name w:val="toc 8"/>
    <w:basedOn w:val="944"/>
    <w:next w:val="944"/>
    <w:uiPriority w:val="39"/>
    <w:unhideWhenUsed/>
    <w:qFormat/>
    <w:pPr>
      <w:ind w:left="1984" w:right="0" w:firstLine="0"/>
      <w:spacing w:after="57"/>
    </w:pPr>
  </w:style>
  <w:style w:type="paragraph" w:styleId="966">
    <w:name w:val="endnote text"/>
    <w:basedOn w:val="944"/>
    <w:link w:val="1137"/>
    <w:uiPriority w:val="99"/>
    <w:semiHidden/>
    <w:unhideWhenUsed/>
    <w:qFormat/>
    <w:pPr>
      <w:spacing w:after="0" w:line="240" w:lineRule="auto"/>
    </w:pPr>
    <w:rPr>
      <w:sz w:val="20"/>
    </w:rPr>
  </w:style>
  <w:style w:type="paragraph" w:styleId="967">
    <w:name w:val="Footer"/>
    <w:basedOn w:val="944"/>
    <w:link w:val="1010"/>
    <w:uiPriority w:val="99"/>
    <w:unhideWhenUsed/>
    <w:qFormat/>
    <w:pPr>
      <w:spacing w:after="0" w:line="240" w:lineRule="auto"/>
      <w:tabs>
        <w:tab w:val="center" w:pos="7143" w:leader="none"/>
        <w:tab w:val="right" w:pos="14287" w:leader="none"/>
      </w:tabs>
    </w:pPr>
  </w:style>
  <w:style w:type="paragraph" w:styleId="968">
    <w:name w:val="envelope return"/>
    <w:basedOn w:val="944"/>
    <w:uiPriority w:val="0"/>
    <w:qFormat/>
    <w:rPr>
      <w:rFonts w:ascii="Arial" w:hAnsi="Arial"/>
    </w:rPr>
  </w:style>
  <w:style w:type="paragraph" w:styleId="969">
    <w:name w:val="Header"/>
    <w:basedOn w:val="944"/>
    <w:link w:val="1008"/>
    <w:uiPriority w:val="99"/>
    <w:unhideWhenUsed/>
    <w:qFormat/>
    <w:pPr>
      <w:spacing w:after="0" w:line="240" w:lineRule="auto"/>
      <w:tabs>
        <w:tab w:val="center" w:pos="7143" w:leader="none"/>
        <w:tab w:val="right" w:pos="14287" w:leader="none"/>
      </w:tabs>
    </w:pPr>
  </w:style>
  <w:style w:type="paragraph" w:styleId="970">
    <w:name w:val="toc 1"/>
    <w:basedOn w:val="944"/>
    <w:next w:val="944"/>
    <w:uiPriority w:val="39"/>
    <w:unhideWhenUsed/>
    <w:qFormat/>
    <w:pPr>
      <w:ind w:left="0" w:right="0" w:firstLine="0"/>
      <w:spacing w:after="57"/>
    </w:pPr>
  </w:style>
  <w:style w:type="paragraph" w:styleId="971">
    <w:name w:val="toc 4"/>
    <w:basedOn w:val="944"/>
    <w:next w:val="944"/>
    <w:uiPriority w:val="39"/>
    <w:unhideWhenUsed/>
    <w:qFormat/>
    <w:pPr>
      <w:ind w:left="850" w:right="0" w:firstLine="0"/>
      <w:spacing w:after="57"/>
    </w:pPr>
  </w:style>
  <w:style w:type="paragraph" w:styleId="972">
    <w:name w:val="Subtitle"/>
    <w:basedOn w:val="944"/>
    <w:next w:val="944"/>
    <w:link w:val="1003"/>
    <w:uiPriority w:val="11"/>
    <w:qFormat/>
    <w:pPr>
      <w:spacing w:before="200" w:after="200"/>
    </w:pPr>
    <w:rPr>
      <w:sz w:val="24"/>
      <w:szCs w:val="24"/>
    </w:rPr>
  </w:style>
  <w:style w:type="paragraph" w:styleId="973">
    <w:name w:val="footnote text"/>
    <w:basedOn w:val="944"/>
    <w:link w:val="1136"/>
    <w:uiPriority w:val="99"/>
    <w:semiHidden/>
    <w:unhideWhenUsed/>
    <w:qFormat/>
    <w:pPr>
      <w:spacing w:after="40" w:line="240" w:lineRule="auto"/>
    </w:pPr>
    <w:rPr>
      <w:sz w:val="18"/>
    </w:rPr>
  </w:style>
  <w:style w:type="paragraph" w:styleId="974">
    <w:name w:val="toc 6"/>
    <w:basedOn w:val="944"/>
    <w:next w:val="944"/>
    <w:uiPriority w:val="39"/>
    <w:unhideWhenUsed/>
    <w:qFormat/>
    <w:pPr>
      <w:ind w:left="1417" w:right="0" w:firstLine="0"/>
      <w:spacing w:after="57"/>
    </w:pPr>
  </w:style>
  <w:style w:type="paragraph" w:styleId="975">
    <w:name w:val="table of figures"/>
    <w:basedOn w:val="944"/>
    <w:next w:val="944"/>
    <w:uiPriority w:val="99"/>
    <w:unhideWhenUsed/>
    <w:qFormat/>
    <w:pPr>
      <w:spacing w:after="0" w:afterAutospacing="0"/>
    </w:pPr>
  </w:style>
  <w:style w:type="paragraph" w:styleId="976">
    <w:name w:val="toc 2"/>
    <w:basedOn w:val="944"/>
    <w:next w:val="944"/>
    <w:uiPriority w:val="39"/>
    <w:unhideWhenUsed/>
    <w:qFormat/>
    <w:pPr>
      <w:ind w:left="283" w:right="0" w:firstLine="0"/>
      <w:spacing w:after="57"/>
    </w:pPr>
  </w:style>
  <w:style w:type="paragraph" w:styleId="977">
    <w:name w:val="toc 9"/>
    <w:basedOn w:val="944"/>
    <w:next w:val="944"/>
    <w:uiPriority w:val="39"/>
    <w:unhideWhenUsed/>
    <w:qFormat/>
    <w:pPr>
      <w:ind w:left="2268" w:right="0" w:firstLine="0"/>
      <w:spacing w:after="57"/>
    </w:pPr>
  </w:style>
  <w:style w:type="paragraph" w:styleId="978">
    <w:name w:val="Title"/>
    <w:basedOn w:val="944"/>
    <w:next w:val="944"/>
    <w:link w:val="1002"/>
    <w:uiPriority w:val="10"/>
    <w:qFormat/>
    <w:pPr>
      <w:contextualSpacing/>
      <w:spacing w:before="300" w:after="200"/>
    </w:pPr>
    <w:rPr>
      <w:sz w:val="48"/>
      <w:szCs w:val="48"/>
    </w:rPr>
  </w:style>
  <w:style w:type="paragraph" w:styleId="979">
    <w:name w:val="Body Text First Indent"/>
    <w:basedOn w:val="961"/>
    <w:uiPriority w:val="0"/>
    <w:qFormat/>
    <w:pPr>
      <w:numPr>
        <w:ilvl w:val="0"/>
        <w:numId w:val="1"/>
      </w:numPr>
      <w:ind w:left="0" w:firstLine="420"/>
      <w:jc w:val="left"/>
      <w:spacing w:before="80" w:line="360" w:lineRule="auto"/>
      <w:tabs>
        <w:tab w:val="clear" w:pos="1200" w:leader="none"/>
      </w:tabs>
    </w:pPr>
    <w:rPr>
      <w:rFonts w:ascii="Calibri"/>
      <w:szCs w:val="24"/>
    </w:rPr>
  </w:style>
  <w:style w:type="paragraph" w:styleId="980">
    <w:name w:val="Body Text First Indent 2"/>
    <w:basedOn w:val="956"/>
    <w:uiPriority w:val="99"/>
    <w:unhideWhenUsed/>
    <w:qFormat/>
    <w:pPr>
      <w:ind w:firstLine="420"/>
    </w:pPr>
  </w:style>
  <w:style w:type="table" w:styleId="9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Strong"/>
    <w:basedOn w:val="954"/>
    <w:uiPriority w:val="22"/>
    <w:qFormat/>
    <w:rPr>
      <w:b/>
    </w:rPr>
  </w:style>
  <w:style w:type="character" w:styleId="983">
    <w:name w:val="endnote reference"/>
    <w:uiPriority w:val="99"/>
    <w:semiHidden/>
    <w:unhideWhenUsed/>
    <w:qFormat/>
    <w:rPr>
      <w:vertAlign w:val="superscript"/>
    </w:rPr>
  </w:style>
  <w:style w:type="character" w:styleId="984">
    <w:name w:val="Hyperlink"/>
    <w:uiPriority w:val="99"/>
    <w:unhideWhenUsed/>
    <w:qFormat/>
    <w:rPr>
      <w:color w:val="0000ff" w:themeColor="hyperlink"/>
      <w:u w:val="single"/>
      <w14:textFill>
        <w14:solidFill>
          <w14:schemeClr w14:val="hlink"/>
        </w14:solidFill>
      </w14:textFill>
    </w:rPr>
  </w:style>
  <w:style w:type="character" w:styleId="985">
    <w:name w:val="footnote reference"/>
    <w:uiPriority w:val="99"/>
    <w:unhideWhenUsed/>
    <w:qFormat/>
    <w:rPr>
      <w:vertAlign w:val="superscript"/>
    </w:rPr>
  </w:style>
  <w:style w:type="paragraph" w:styleId="986" w:customStyle="1">
    <w:name w:val="正文首行缩进 21"/>
    <w:basedOn w:val="987"/>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987" w:customStyle="1">
    <w:name w:val="正文文本缩进1"/>
    <w:basedOn w:val="944"/>
    <w:next w:val="988"/>
    <w:uiPriority w:val="0"/>
    <w:qFormat/>
    <w:pPr>
      <w:ind w:left="570"/>
      <w:spacing w:line="520" w:lineRule="exact"/>
    </w:pPr>
    <w:rPr>
      <w:rFonts w:ascii="方正仿宋简体" w:hAnsi="创艺简仿宋" w:eastAsia="方正仿宋简体"/>
      <w:sz w:val="24"/>
    </w:rPr>
  </w:style>
  <w:style w:type="paragraph" w:styleId="988" w:customStyle="1">
    <w:name w:val="寄信人地址1"/>
    <w:basedOn w:val="944"/>
    <w:uiPriority w:val="0"/>
    <w:qFormat/>
    <w:rPr>
      <w:rFonts w:ascii="Arial" w:hAnsi="Arial" w:eastAsia="楷体_GB2312" w:cs="Times New Roman"/>
      <w:sz w:val="26"/>
    </w:rPr>
  </w:style>
  <w:style w:type="paragraph" w:styleId="989" w:customStyle="1">
    <w:name w:val="段"/>
    <w:next w:val="944"/>
    <w:uiPriority w:val="0"/>
    <w:qFormat/>
    <w:pPr>
      <w:ind w:firstLine="200"/>
      <w:jc w:val="both"/>
    </w:pPr>
    <w:rPr>
      <w:rFonts w:hint="default" w:ascii="宋体" w:hAnsi="Times New Roman" w:eastAsia="宋体" w:cs="Times New Roman"/>
      <w:sz w:val="21"/>
      <w:lang w:val="en-US" w:eastAsia="zh-CN" w:bidi="ar-SA"/>
    </w:rPr>
  </w:style>
  <w:style w:type="paragraph" w:styleId="99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991" w:customStyle="1">
    <w:name w:val="Heading 1 Char"/>
    <w:link w:val="945"/>
    <w:uiPriority w:val="9"/>
    <w:qFormat/>
    <w:rPr>
      <w:rFonts w:ascii="Arial" w:hAnsi="Arial" w:eastAsia="Arial" w:cs="Arial"/>
      <w:sz w:val="40"/>
      <w:szCs w:val="40"/>
    </w:rPr>
  </w:style>
  <w:style w:type="character" w:styleId="992" w:customStyle="1">
    <w:name w:val="Heading 2 Char"/>
    <w:link w:val="946"/>
    <w:uiPriority w:val="9"/>
    <w:qFormat/>
    <w:rPr>
      <w:rFonts w:ascii="Arial" w:hAnsi="Arial" w:eastAsia="Arial" w:cs="Arial"/>
      <w:sz w:val="34"/>
    </w:rPr>
  </w:style>
  <w:style w:type="character" w:styleId="993" w:customStyle="1">
    <w:name w:val="Heading 3 Char"/>
    <w:link w:val="947"/>
    <w:uiPriority w:val="9"/>
    <w:qFormat/>
    <w:rPr>
      <w:rFonts w:ascii="Arial" w:hAnsi="Arial" w:eastAsia="Arial" w:cs="Arial"/>
      <w:sz w:val="30"/>
      <w:szCs w:val="30"/>
    </w:rPr>
  </w:style>
  <w:style w:type="character" w:styleId="994" w:customStyle="1">
    <w:name w:val="Heading 4 Char"/>
    <w:link w:val="948"/>
    <w:uiPriority w:val="9"/>
    <w:qFormat/>
    <w:rPr>
      <w:rFonts w:ascii="Arial" w:hAnsi="Arial" w:eastAsia="Arial" w:cs="Arial"/>
      <w:b/>
      <w:bCs/>
      <w:sz w:val="26"/>
      <w:szCs w:val="26"/>
    </w:rPr>
  </w:style>
  <w:style w:type="character" w:styleId="995" w:customStyle="1">
    <w:name w:val="Heading 5 Char"/>
    <w:link w:val="949"/>
    <w:uiPriority w:val="9"/>
    <w:qFormat/>
    <w:rPr>
      <w:rFonts w:ascii="Arial" w:hAnsi="Arial" w:eastAsia="Arial" w:cs="Arial"/>
      <w:b/>
      <w:bCs/>
      <w:sz w:val="24"/>
      <w:szCs w:val="24"/>
    </w:rPr>
  </w:style>
  <w:style w:type="character" w:styleId="996" w:customStyle="1">
    <w:name w:val="Heading 6 Char"/>
    <w:link w:val="950"/>
    <w:uiPriority w:val="9"/>
    <w:qFormat/>
    <w:rPr>
      <w:rFonts w:ascii="Arial" w:hAnsi="Arial" w:eastAsia="Arial" w:cs="Arial"/>
      <w:b/>
      <w:bCs/>
      <w:sz w:val="22"/>
      <w:szCs w:val="22"/>
    </w:rPr>
  </w:style>
  <w:style w:type="character" w:styleId="997" w:customStyle="1">
    <w:name w:val="Heading 7 Char"/>
    <w:link w:val="951"/>
    <w:uiPriority w:val="9"/>
    <w:qFormat/>
    <w:rPr>
      <w:rFonts w:ascii="Arial" w:hAnsi="Arial" w:eastAsia="Arial" w:cs="Arial"/>
      <w:b/>
      <w:bCs/>
      <w:i/>
      <w:iCs/>
      <w:sz w:val="22"/>
      <w:szCs w:val="22"/>
    </w:rPr>
  </w:style>
  <w:style w:type="character" w:styleId="998" w:customStyle="1">
    <w:name w:val="Heading 8 Char"/>
    <w:link w:val="952"/>
    <w:uiPriority w:val="9"/>
    <w:qFormat/>
    <w:rPr>
      <w:rFonts w:ascii="Arial" w:hAnsi="Arial" w:eastAsia="Arial" w:cs="Arial"/>
      <w:i/>
      <w:iCs/>
      <w:sz w:val="22"/>
      <w:szCs w:val="22"/>
    </w:rPr>
  </w:style>
  <w:style w:type="character" w:styleId="999" w:customStyle="1">
    <w:name w:val="Heading 9 Char"/>
    <w:link w:val="953"/>
    <w:uiPriority w:val="9"/>
    <w:qFormat/>
    <w:rPr>
      <w:rFonts w:ascii="Arial" w:hAnsi="Arial" w:eastAsia="Arial" w:cs="Arial"/>
      <w:i/>
      <w:iCs/>
      <w:sz w:val="21"/>
      <w:szCs w:val="21"/>
    </w:rPr>
  </w:style>
  <w:style w:type="paragraph" w:styleId="1000">
    <w:name w:val="List Paragraph"/>
    <w:basedOn w:val="944"/>
    <w:uiPriority w:val="34"/>
    <w:qFormat/>
    <w:pPr>
      <w:contextualSpacing/>
      <w:ind w:left="720"/>
    </w:pPr>
  </w:style>
  <w:style w:type="paragraph" w:styleId="1001">
    <w:name w:val="No Spacing"/>
    <w:uiPriority w:val="1"/>
    <w:qFormat/>
    <w:pPr>
      <w:spacing w:before="0" w:after="0" w:line="240" w:lineRule="auto"/>
    </w:pPr>
    <w:rPr>
      <w:rFonts w:hint="default" w:ascii="Times New Roman" w:hAnsi="Times New Roman" w:eastAsia="宋体" w:cs="Times New Roman"/>
    </w:rPr>
  </w:style>
  <w:style w:type="character" w:styleId="1002" w:customStyle="1">
    <w:name w:val="Title Char"/>
    <w:link w:val="978"/>
    <w:uiPriority w:val="10"/>
    <w:qFormat/>
    <w:rPr>
      <w:sz w:val="48"/>
      <w:szCs w:val="48"/>
    </w:rPr>
  </w:style>
  <w:style w:type="character" w:styleId="1003" w:customStyle="1">
    <w:name w:val="Subtitle Char"/>
    <w:link w:val="972"/>
    <w:uiPriority w:val="11"/>
    <w:qFormat/>
    <w:rPr>
      <w:sz w:val="24"/>
      <w:szCs w:val="24"/>
    </w:rPr>
  </w:style>
  <w:style w:type="paragraph" w:styleId="1004">
    <w:name w:val="Quote"/>
    <w:basedOn w:val="944"/>
    <w:next w:val="944"/>
    <w:link w:val="1005"/>
    <w:uiPriority w:val="29"/>
    <w:qFormat/>
    <w:pPr>
      <w:ind w:left="720" w:right="720"/>
    </w:pPr>
    <w:rPr>
      <w:i/>
    </w:rPr>
  </w:style>
  <w:style w:type="character" w:styleId="1005" w:customStyle="1">
    <w:name w:val="Quote Char"/>
    <w:link w:val="1004"/>
    <w:uiPriority w:val="29"/>
    <w:qFormat/>
    <w:rPr>
      <w:i/>
    </w:rPr>
  </w:style>
  <w:style w:type="paragraph" w:styleId="1006">
    <w:name w:val="Intense Quote"/>
    <w:basedOn w:val="944"/>
    <w:next w:val="944"/>
    <w:link w:val="10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Intense Quote Char"/>
    <w:link w:val="1006"/>
    <w:uiPriority w:val="30"/>
    <w:qFormat/>
    <w:rPr>
      <w:i/>
    </w:rPr>
  </w:style>
  <w:style w:type="character" w:styleId="1008" w:customStyle="1">
    <w:name w:val="Header Char"/>
    <w:link w:val="969"/>
    <w:uiPriority w:val="99"/>
    <w:qFormat/>
  </w:style>
  <w:style w:type="character" w:styleId="1009" w:customStyle="1">
    <w:name w:val="Footer Char"/>
    <w:link w:val="967"/>
    <w:uiPriority w:val="99"/>
    <w:qFormat/>
  </w:style>
  <w:style w:type="character" w:styleId="1010" w:customStyle="1">
    <w:name w:val="Caption Char"/>
    <w:link w:val="967"/>
    <w:uiPriority w:val="99"/>
    <w:qFormat/>
  </w:style>
  <w:style w:type="table" w:styleId="10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6" w:customStyle="1">
    <w:name w:val="Footnote Text Char"/>
    <w:link w:val="973"/>
    <w:uiPriority w:val="99"/>
    <w:qFormat/>
    <w:rPr>
      <w:sz w:val="18"/>
    </w:rPr>
  </w:style>
  <w:style w:type="character" w:styleId="1137" w:customStyle="1">
    <w:name w:val="Endnote Text Char"/>
    <w:link w:val="966"/>
    <w:uiPriority w:val="99"/>
    <w:qFormat/>
    <w:rPr>
      <w:sz w:val="20"/>
    </w:rPr>
  </w:style>
  <w:style w:type="paragraph" w:styleId="1138" w:customStyle="1">
    <w:name w:val="TOC Heading"/>
    <w:uiPriority w:val="39"/>
    <w:unhideWhenUsed/>
    <w:qFormat/>
    <w:rPr>
      <w:rFonts w:hint="default" w:ascii="Times New Roman" w:hAnsi="Times New Roman" w:eastAsia="宋体" w:cs="Times New Roman"/>
    </w:rPr>
  </w:style>
  <w:style w:type="paragraph" w:styleId="1139" w:customStyle="1">
    <w:name w:val="标题 11"/>
    <w:basedOn w:val="944"/>
    <w:next w:val="944"/>
    <w:uiPriority w:val="0"/>
    <w:qFormat/>
    <w:pPr>
      <w:keepLines/>
      <w:keepNext/>
      <w:spacing w:before="340" w:after="330" w:line="578" w:lineRule="auto"/>
      <w:outlineLvl w:val="0"/>
    </w:pPr>
    <w:rPr>
      <w:b/>
      <w:sz w:val="44"/>
    </w:rPr>
  </w:style>
  <w:style w:type="paragraph" w:styleId="1140" w:customStyle="1">
    <w:name w:val="标题 21"/>
    <w:basedOn w:val="944"/>
    <w:next w:val="944"/>
    <w:uiPriority w:val="0"/>
    <w:qFormat/>
    <w:pPr>
      <w:jc w:val="left"/>
      <w:keepLines/>
      <w:keepNext/>
      <w:outlineLvl w:val="1"/>
    </w:pPr>
    <w:rPr>
      <w:rFonts w:ascii="宋体" w:hAnsi="宋体"/>
      <w:b/>
    </w:rPr>
  </w:style>
  <w:style w:type="paragraph" w:styleId="1141" w:customStyle="1">
    <w:name w:val="标题 31"/>
    <w:basedOn w:val="944"/>
    <w:uiPriority w:val="0"/>
    <w:qFormat/>
    <w:pPr>
      <w:jc w:val="left"/>
      <w:keepLines/>
      <w:keepNext/>
      <w:outlineLvl w:val="2"/>
    </w:pPr>
    <w:rPr>
      <w:b/>
    </w:rPr>
  </w:style>
  <w:style w:type="paragraph" w:styleId="1142" w:customStyle="1">
    <w:name w:val="标题 41"/>
    <w:basedOn w:val="944"/>
    <w:next w:val="944"/>
    <w:uiPriority w:val="0"/>
    <w:qFormat/>
    <w:pPr>
      <w:keepLines/>
      <w:keepNext/>
      <w:spacing w:before="280" w:after="290" w:line="376" w:lineRule="auto"/>
      <w:outlineLvl w:val="3"/>
    </w:pPr>
    <w:rPr>
      <w:rFonts w:ascii="Arial" w:hAnsi="Arial" w:eastAsia="黑体"/>
      <w:b/>
      <w:bCs/>
      <w:sz w:val="28"/>
      <w:szCs w:val="28"/>
    </w:rPr>
  </w:style>
  <w:style w:type="paragraph" w:styleId="1143" w:customStyle="1">
    <w:name w:val="标题 51"/>
    <w:basedOn w:val="944"/>
    <w:next w:val="944"/>
    <w:uiPriority w:val="0"/>
    <w:qFormat/>
    <w:pPr>
      <w:jc w:val="left"/>
      <w:keepLines/>
      <w:keepNext/>
      <w:spacing w:before="280" w:after="290" w:line="376" w:lineRule="atLeast"/>
      <w:outlineLvl w:val="4"/>
    </w:pPr>
    <w:rPr>
      <w:rFonts w:ascii="宋体" w:hAnsi="Tms Rmn" w:eastAsia="宋体"/>
      <w:b/>
      <w:sz w:val="28"/>
    </w:rPr>
  </w:style>
  <w:style w:type="paragraph" w:styleId="1144" w:customStyle="1">
    <w:name w:val="标题 61"/>
    <w:basedOn w:val="944"/>
    <w:next w:val="944"/>
    <w:uiPriority w:val="0"/>
    <w:qFormat/>
    <w:pPr>
      <w:jc w:val="left"/>
      <w:keepLines/>
      <w:keepNext/>
      <w:spacing w:before="240" w:after="64" w:line="320" w:lineRule="atLeast"/>
      <w:outlineLvl w:val="5"/>
    </w:pPr>
    <w:rPr>
      <w:rFonts w:ascii="黑体" w:hAnsi="Tms Rmn" w:eastAsia="黑体"/>
      <w:b/>
      <w:sz w:val="24"/>
    </w:rPr>
  </w:style>
  <w:style w:type="paragraph" w:styleId="1145" w:customStyle="1">
    <w:name w:val="标题 71"/>
    <w:basedOn w:val="944"/>
    <w:next w:val="944"/>
    <w:uiPriority w:val="0"/>
    <w:qFormat/>
    <w:pPr>
      <w:jc w:val="left"/>
      <w:keepLines/>
      <w:keepNext/>
      <w:spacing w:before="240" w:after="64" w:line="320" w:lineRule="atLeast"/>
      <w:outlineLvl w:val="6"/>
    </w:pPr>
    <w:rPr>
      <w:rFonts w:ascii="宋体" w:hAnsi="Tms Rmn" w:eastAsia="宋体"/>
      <w:b/>
      <w:sz w:val="24"/>
    </w:rPr>
  </w:style>
  <w:style w:type="paragraph" w:styleId="1146" w:customStyle="1">
    <w:name w:val="标题 81"/>
    <w:basedOn w:val="944"/>
    <w:next w:val="944"/>
    <w:uiPriority w:val="0"/>
    <w:qFormat/>
    <w:pPr>
      <w:keepLines/>
      <w:keepNext/>
      <w:spacing w:before="240" w:after="64" w:line="320" w:lineRule="auto"/>
      <w:outlineLvl w:val="7"/>
    </w:pPr>
    <w:rPr>
      <w:rFonts w:ascii="Arial" w:hAnsi="Arial" w:eastAsia="黑体"/>
      <w:sz w:val="24"/>
      <w:szCs w:val="24"/>
    </w:rPr>
  </w:style>
  <w:style w:type="paragraph" w:styleId="1147" w:customStyle="1">
    <w:name w:val="标题 91"/>
    <w:basedOn w:val="944"/>
    <w:next w:val="944"/>
    <w:uiPriority w:val="0"/>
    <w:qFormat/>
    <w:pPr>
      <w:keepLines/>
      <w:keepNext/>
      <w:spacing w:before="240" w:after="64" w:line="320" w:lineRule="auto"/>
      <w:outlineLvl w:val="8"/>
    </w:pPr>
    <w:rPr>
      <w:rFonts w:ascii="Arial" w:hAnsi="Arial" w:eastAsia="黑体"/>
      <w:sz w:val="21"/>
      <w:szCs w:val="21"/>
    </w:rPr>
  </w:style>
  <w:style w:type="character" w:styleId="1148" w:customStyle="1">
    <w:name w:val="默认段落字体1"/>
    <w:link w:val="944"/>
    <w:uiPriority w:val="0"/>
    <w:semiHidden/>
    <w:qFormat/>
  </w:style>
  <w:style w:type="table" w:styleId="1149" w:customStyle="1">
    <w:name w:val="普通表格1"/>
    <w:uiPriority w:val="0"/>
    <w:semiHidden/>
    <w:qFormat/>
    <w:tblPr/>
  </w:style>
  <w:style w:type="paragraph" w:styleId="1150" w:customStyle="1">
    <w:name w:val="目录 71"/>
    <w:basedOn w:val="944"/>
    <w:next w:val="944"/>
    <w:uiPriority w:val="0"/>
    <w:semiHidden/>
    <w:qFormat/>
    <w:pPr>
      <w:ind w:left="2520"/>
    </w:pPr>
  </w:style>
  <w:style w:type="paragraph" w:styleId="1151" w:customStyle="1">
    <w:name w:val="索引 81"/>
    <w:basedOn w:val="944"/>
    <w:next w:val="944"/>
    <w:uiPriority w:val="0"/>
    <w:semiHidden/>
    <w:qFormat/>
    <w:pPr>
      <w:ind w:left="2940"/>
    </w:pPr>
  </w:style>
  <w:style w:type="paragraph" w:styleId="1152" w:customStyle="1">
    <w:name w:val="列表编号1"/>
    <w:basedOn w:val="944"/>
    <w:uiPriority w:val="0"/>
    <w:qFormat/>
    <w:pPr>
      <w:ind w:left="1125" w:hanging="555"/>
      <w:tabs>
        <w:tab w:val="left" w:pos="1125" w:leader="none"/>
      </w:tabs>
    </w:pPr>
    <w:rPr>
      <w:rFonts w:eastAsia="宋体"/>
      <w:sz w:val="21"/>
      <w:szCs w:val="24"/>
    </w:rPr>
  </w:style>
  <w:style w:type="paragraph" w:styleId="1153" w:customStyle="1">
    <w:name w:val="正文缩进1"/>
    <w:basedOn w:val="944"/>
    <w:next w:val="944"/>
    <w:link w:val="1154"/>
    <w:uiPriority w:val="0"/>
    <w:qFormat/>
    <w:pPr>
      <w:ind w:firstLine="420"/>
      <w:jc w:val="left"/>
    </w:pPr>
    <w:rPr>
      <w:sz w:val="24"/>
    </w:rPr>
  </w:style>
  <w:style w:type="character" w:styleId="1154" w:customStyle="1">
    <w:name w:val="正文缩进 字符"/>
    <w:link w:val="1153"/>
    <w:uiPriority w:val="0"/>
    <w:qFormat/>
    <w:rPr>
      <w:rFonts w:eastAsia="楷体_GB2312"/>
      <w:sz w:val="24"/>
      <w:lang w:val="en-US" w:eastAsia="zh-CN" w:bidi="ar-SA"/>
    </w:rPr>
  </w:style>
  <w:style w:type="paragraph" w:styleId="1155" w:customStyle="1">
    <w:name w:val="索引 51"/>
    <w:basedOn w:val="944"/>
    <w:next w:val="944"/>
    <w:uiPriority w:val="0"/>
    <w:semiHidden/>
    <w:qFormat/>
    <w:pPr>
      <w:ind w:left="1680"/>
    </w:pPr>
  </w:style>
  <w:style w:type="paragraph" w:styleId="1156" w:customStyle="1">
    <w:name w:val="文档结构图11"/>
    <w:basedOn w:val="944"/>
    <w:uiPriority w:val="0"/>
    <w:semiHidden/>
    <w:qFormat/>
    <w:pPr>
      <w:shd w:val="clear" w:color="auto" w:fill="000080"/>
    </w:pPr>
    <w:rPr>
      <w:rFonts w:eastAsia="宋体"/>
      <w:sz w:val="21"/>
    </w:rPr>
  </w:style>
  <w:style w:type="paragraph" w:styleId="1157" w:customStyle="1">
    <w:name w:val="批注文字1"/>
    <w:basedOn w:val="944"/>
    <w:uiPriority w:val="0"/>
    <w:semiHidden/>
    <w:qFormat/>
    <w:pPr>
      <w:jc w:val="left"/>
    </w:pPr>
  </w:style>
  <w:style w:type="paragraph" w:styleId="1158" w:customStyle="1">
    <w:name w:val="索引 61"/>
    <w:basedOn w:val="944"/>
    <w:next w:val="944"/>
    <w:uiPriority w:val="0"/>
    <w:semiHidden/>
    <w:qFormat/>
    <w:pPr>
      <w:ind w:left="2100"/>
    </w:pPr>
  </w:style>
  <w:style w:type="paragraph" w:styleId="1159" w:customStyle="1">
    <w:name w:val="正文文本1"/>
    <w:basedOn w:val="944"/>
    <w:next w:val="1153"/>
    <w:uiPriority w:val="0"/>
    <w:qFormat/>
    <w:pPr>
      <w:spacing w:line="400" w:lineRule="exact"/>
    </w:pPr>
    <w:rPr>
      <w:rFonts w:ascii="楷体_GB2312"/>
      <w:sz w:val="28"/>
    </w:rPr>
  </w:style>
  <w:style w:type="paragraph" w:styleId="1160" w:customStyle="1">
    <w:name w:val="文本块1"/>
    <w:basedOn w:val="944"/>
    <w:uiPriority w:val="0"/>
    <w:qFormat/>
    <w:pPr>
      <w:ind w:left="630" w:right="-609" w:firstLine="420"/>
      <w:spacing w:line="360" w:lineRule="auto"/>
    </w:pPr>
    <w:rPr>
      <w:rFonts w:hint="eastAsia" w:ascii="仿宋_GB2312" w:eastAsia="仿宋_GB2312"/>
      <w:sz w:val="21"/>
    </w:rPr>
  </w:style>
  <w:style w:type="paragraph" w:styleId="1161" w:customStyle="1">
    <w:name w:val="索引 41"/>
    <w:basedOn w:val="944"/>
    <w:next w:val="944"/>
    <w:uiPriority w:val="0"/>
    <w:semiHidden/>
    <w:qFormat/>
    <w:pPr>
      <w:ind w:left="1260"/>
    </w:pPr>
  </w:style>
  <w:style w:type="paragraph" w:styleId="1162" w:customStyle="1">
    <w:name w:val="目录 51"/>
    <w:basedOn w:val="944"/>
    <w:next w:val="944"/>
    <w:uiPriority w:val="0"/>
    <w:semiHidden/>
    <w:qFormat/>
    <w:pPr>
      <w:ind w:left="1680"/>
    </w:pPr>
  </w:style>
  <w:style w:type="paragraph" w:styleId="1163" w:customStyle="1">
    <w:name w:val="目录 31"/>
    <w:basedOn w:val="944"/>
    <w:next w:val="944"/>
    <w:uiPriority w:val="0"/>
    <w:semiHidden/>
    <w:qFormat/>
    <w:pPr>
      <w:ind w:left="840"/>
    </w:pPr>
  </w:style>
  <w:style w:type="paragraph" w:styleId="1164" w:customStyle="1">
    <w:name w:val="纯文本11"/>
    <w:basedOn w:val="944"/>
    <w:link w:val="1165"/>
    <w:uiPriority w:val="0"/>
    <w:qFormat/>
    <w:rPr>
      <w:rFonts w:ascii="宋体" w:hAnsi="Courier New"/>
    </w:rPr>
  </w:style>
  <w:style w:type="character" w:styleId="1165" w:customStyle="1">
    <w:name w:val="纯文本 字符"/>
    <w:link w:val="1164"/>
    <w:uiPriority w:val="0"/>
    <w:qFormat/>
    <w:rPr>
      <w:rFonts w:ascii="宋体" w:hAnsi="Courier New" w:eastAsia="楷体_GB2312"/>
      <w:sz w:val="26"/>
      <w:lang w:val="en-US" w:eastAsia="zh-CN" w:bidi="ar-SA"/>
    </w:rPr>
  </w:style>
  <w:style w:type="paragraph" w:styleId="1166" w:customStyle="1">
    <w:name w:val="目录 81"/>
    <w:basedOn w:val="944"/>
    <w:next w:val="944"/>
    <w:uiPriority w:val="0"/>
    <w:semiHidden/>
    <w:qFormat/>
    <w:pPr>
      <w:ind w:left="2940"/>
    </w:pPr>
  </w:style>
  <w:style w:type="paragraph" w:styleId="1167" w:customStyle="1">
    <w:name w:val="索引 31"/>
    <w:basedOn w:val="944"/>
    <w:next w:val="944"/>
    <w:uiPriority w:val="0"/>
    <w:semiHidden/>
    <w:qFormat/>
    <w:pPr>
      <w:ind w:left="840"/>
    </w:pPr>
  </w:style>
  <w:style w:type="paragraph" w:styleId="1168" w:customStyle="1">
    <w:name w:val="日期1"/>
    <w:basedOn w:val="944"/>
    <w:next w:val="944"/>
    <w:link w:val="1169"/>
    <w:uiPriority w:val="0"/>
    <w:qFormat/>
    <w:rPr>
      <w:rFonts w:ascii="宋体" w:hAnsi="宋体"/>
      <w:sz w:val="24"/>
    </w:rPr>
  </w:style>
  <w:style w:type="character" w:styleId="1169" w:customStyle="1">
    <w:name w:val="日期 字符"/>
    <w:link w:val="1168"/>
    <w:uiPriority w:val="0"/>
    <w:qFormat/>
    <w:rPr>
      <w:rFonts w:ascii="宋体" w:hAnsi="宋体" w:eastAsia="楷体_GB2312"/>
      <w:sz w:val="24"/>
    </w:rPr>
  </w:style>
  <w:style w:type="paragraph" w:styleId="1170" w:customStyle="1">
    <w:name w:val="正文文本缩进 21"/>
    <w:basedOn w:val="944"/>
    <w:link w:val="1171"/>
    <w:uiPriority w:val="0"/>
    <w:qFormat/>
    <w:pPr>
      <w:ind w:firstLine="502"/>
      <w:spacing w:line="360" w:lineRule="auto"/>
      <w:tabs>
        <w:tab w:val="left" w:pos="0" w:leader="none"/>
      </w:tabs>
    </w:pPr>
    <w:rPr>
      <w:rFonts w:ascii="宋体" w:eastAsia="宋体"/>
      <w:b/>
      <w:bCs/>
      <w:sz w:val="24"/>
    </w:rPr>
  </w:style>
  <w:style w:type="character" w:styleId="1171" w:customStyle="1">
    <w:name w:val="正文文本缩进 2 字符"/>
    <w:link w:val="1170"/>
    <w:uiPriority w:val="0"/>
    <w:qFormat/>
    <w:rPr>
      <w:rFonts w:ascii="宋体"/>
      <w:b/>
      <w:bCs/>
      <w:sz w:val="24"/>
    </w:rPr>
  </w:style>
  <w:style w:type="paragraph" w:styleId="1172" w:customStyle="1">
    <w:name w:val="尾注文本1"/>
    <w:basedOn w:val="944"/>
    <w:link w:val="1173"/>
    <w:uiPriority w:val="0"/>
    <w:qFormat/>
    <w:pPr>
      <w:jc w:val="left"/>
    </w:pPr>
  </w:style>
  <w:style w:type="character" w:styleId="1173" w:customStyle="1">
    <w:name w:val="尾注文本 字符"/>
    <w:link w:val="1172"/>
    <w:uiPriority w:val="0"/>
    <w:qFormat/>
    <w:rPr>
      <w:rFonts w:eastAsia="楷体_GB2312"/>
      <w:sz w:val="26"/>
    </w:rPr>
  </w:style>
  <w:style w:type="paragraph" w:styleId="1174" w:customStyle="1">
    <w:name w:val="批注框文本1"/>
    <w:basedOn w:val="944"/>
    <w:uiPriority w:val="0"/>
    <w:semiHidden/>
    <w:qFormat/>
    <w:rPr>
      <w:sz w:val="18"/>
      <w:szCs w:val="18"/>
    </w:rPr>
  </w:style>
  <w:style w:type="paragraph" w:styleId="1175" w:customStyle="1">
    <w:name w:val="页脚1"/>
    <w:basedOn w:val="944"/>
    <w:uiPriority w:val="0"/>
    <w:qFormat/>
    <w:pPr>
      <w:jc w:val="left"/>
      <w:tabs>
        <w:tab w:val="center" w:pos="4153" w:leader="none"/>
        <w:tab w:val="right" w:pos="8306" w:leader="none"/>
      </w:tabs>
    </w:pPr>
    <w:rPr>
      <w:sz w:val="18"/>
    </w:rPr>
  </w:style>
  <w:style w:type="paragraph" w:styleId="1176" w:customStyle="1">
    <w:name w:val="页眉1"/>
    <w:basedOn w:val="944"/>
    <w:uiPriority w:val="0"/>
    <w:qFormat/>
    <w:pPr>
      <w:jc w:val="center"/>
      <w:tabs>
        <w:tab w:val="center" w:pos="4153" w:leader="none"/>
        <w:tab w:val="right" w:pos="8306" w:leader="none"/>
      </w:tabs>
      <w:pBdr>
        <w:bottom w:val="single" w:color="000000" w:sz="6" w:space="1"/>
      </w:pBdr>
    </w:pPr>
    <w:rPr>
      <w:sz w:val="18"/>
    </w:rPr>
  </w:style>
  <w:style w:type="paragraph" w:styleId="1177" w:customStyle="1">
    <w:name w:val="目录 11"/>
    <w:basedOn w:val="944"/>
    <w:next w:val="944"/>
    <w:uiPriority w:val="39"/>
    <w:qFormat/>
    <w:pPr>
      <w:jc w:val="left"/>
    </w:pPr>
    <w:rPr>
      <w:sz w:val="24"/>
    </w:rPr>
  </w:style>
  <w:style w:type="paragraph" w:styleId="1178" w:customStyle="1">
    <w:name w:val="目录 41"/>
    <w:basedOn w:val="944"/>
    <w:next w:val="944"/>
    <w:uiPriority w:val="0"/>
    <w:semiHidden/>
    <w:qFormat/>
    <w:pPr>
      <w:ind w:left="1260"/>
    </w:pPr>
  </w:style>
  <w:style w:type="paragraph" w:styleId="1179" w:customStyle="1">
    <w:name w:val="索引标题1"/>
    <w:basedOn w:val="944"/>
    <w:next w:val="1180"/>
    <w:uiPriority w:val="0"/>
    <w:semiHidden/>
    <w:qFormat/>
  </w:style>
  <w:style w:type="paragraph" w:styleId="1180" w:customStyle="1">
    <w:name w:val="索引 11"/>
    <w:basedOn w:val="944"/>
    <w:next w:val="944"/>
    <w:uiPriority w:val="0"/>
    <w:semiHidden/>
    <w:qFormat/>
  </w:style>
  <w:style w:type="paragraph" w:styleId="1181" w:customStyle="1">
    <w:name w:val="副标题1"/>
    <w:basedOn w:val="944"/>
    <w:link w:val="1182"/>
    <w:uiPriority w:val="0"/>
    <w:qFormat/>
    <w:pPr>
      <w:jc w:val="center"/>
      <w:spacing w:before="240" w:after="60" w:line="312" w:lineRule="auto"/>
      <w:outlineLvl w:val="1"/>
    </w:pPr>
    <w:rPr>
      <w:rFonts w:ascii="Arial" w:hAnsi="Arial" w:eastAsia="宋体"/>
      <w:b/>
      <w:bCs/>
      <w:sz w:val="32"/>
      <w:szCs w:val="32"/>
    </w:rPr>
  </w:style>
  <w:style w:type="character" w:styleId="1182" w:customStyle="1">
    <w:name w:val="副标题 字符"/>
    <w:link w:val="1181"/>
    <w:uiPriority w:val="0"/>
    <w:qFormat/>
    <w:rPr>
      <w:rFonts w:ascii="Arial" w:hAnsi="Arial" w:cs="Arial"/>
      <w:b/>
      <w:bCs/>
      <w:sz w:val="32"/>
      <w:szCs w:val="32"/>
    </w:rPr>
  </w:style>
  <w:style w:type="paragraph" w:styleId="1183" w:customStyle="1">
    <w:name w:val="脚注文本1"/>
    <w:basedOn w:val="944"/>
    <w:uiPriority w:val="0"/>
    <w:semiHidden/>
    <w:qFormat/>
    <w:pPr>
      <w:jc w:val="left"/>
    </w:pPr>
    <w:rPr>
      <w:sz w:val="18"/>
    </w:rPr>
  </w:style>
  <w:style w:type="paragraph" w:styleId="1184" w:customStyle="1">
    <w:name w:val="目录 61"/>
    <w:basedOn w:val="944"/>
    <w:next w:val="944"/>
    <w:uiPriority w:val="0"/>
    <w:semiHidden/>
    <w:qFormat/>
    <w:pPr>
      <w:ind w:left="2100"/>
    </w:pPr>
  </w:style>
  <w:style w:type="paragraph" w:styleId="1185" w:customStyle="1">
    <w:name w:val="正文文本缩进 31"/>
    <w:basedOn w:val="944"/>
    <w:uiPriority w:val="0"/>
    <w:qFormat/>
    <w:pPr>
      <w:ind w:firstLine="617"/>
      <w:spacing w:line="360" w:lineRule="auto"/>
    </w:pPr>
    <w:rPr>
      <w:rFonts w:eastAsia="宋体"/>
      <w:sz w:val="24"/>
      <w:szCs w:val="24"/>
    </w:rPr>
  </w:style>
  <w:style w:type="paragraph" w:styleId="1186" w:customStyle="1">
    <w:name w:val="索引 71"/>
    <w:basedOn w:val="944"/>
    <w:next w:val="944"/>
    <w:uiPriority w:val="0"/>
    <w:semiHidden/>
    <w:qFormat/>
    <w:pPr>
      <w:ind w:left="2520"/>
    </w:pPr>
  </w:style>
  <w:style w:type="paragraph" w:styleId="1187" w:customStyle="1">
    <w:name w:val="索引 91"/>
    <w:basedOn w:val="944"/>
    <w:next w:val="944"/>
    <w:uiPriority w:val="0"/>
    <w:semiHidden/>
    <w:qFormat/>
    <w:pPr>
      <w:ind w:left="3360"/>
    </w:pPr>
  </w:style>
  <w:style w:type="paragraph" w:styleId="1188" w:customStyle="1">
    <w:name w:val="图表目录1"/>
    <w:basedOn w:val="944"/>
    <w:next w:val="944"/>
    <w:uiPriority w:val="0"/>
    <w:semiHidden/>
    <w:qFormat/>
    <w:pPr>
      <w:ind w:left="420" w:hanging="420"/>
      <w:jc w:val="left"/>
    </w:pPr>
    <w:rPr>
      <w:smallCaps/>
      <w:sz w:val="24"/>
    </w:rPr>
  </w:style>
  <w:style w:type="paragraph" w:styleId="1189" w:customStyle="1">
    <w:name w:val="目录 21"/>
    <w:basedOn w:val="944"/>
    <w:next w:val="944"/>
    <w:uiPriority w:val="0"/>
    <w:semiHidden/>
    <w:qFormat/>
    <w:pPr>
      <w:ind w:left="420"/>
    </w:pPr>
  </w:style>
  <w:style w:type="paragraph" w:styleId="1190" w:customStyle="1">
    <w:name w:val="目录 91"/>
    <w:basedOn w:val="944"/>
    <w:next w:val="944"/>
    <w:uiPriority w:val="0"/>
    <w:semiHidden/>
    <w:qFormat/>
    <w:pPr>
      <w:ind w:left="3360"/>
    </w:pPr>
  </w:style>
  <w:style w:type="paragraph" w:styleId="1191" w:customStyle="1">
    <w:name w:val="正文文本 21"/>
    <w:basedOn w:val="944"/>
    <w:uiPriority w:val="0"/>
    <w:qFormat/>
    <w:pPr>
      <w:spacing w:after="120" w:line="480" w:lineRule="auto"/>
    </w:pPr>
  </w:style>
  <w:style w:type="paragraph" w:styleId="1192" w:customStyle="1">
    <w:name w:val="HTML 预设格式1"/>
    <w:basedOn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193" w:customStyle="1">
    <w:name w:val="普通(网站)1"/>
    <w:basedOn w:val="944"/>
    <w:uiPriority w:val="99"/>
    <w:qFormat/>
    <w:pPr>
      <w:jc w:val="left"/>
      <w:spacing w:before="100" w:beforeAutospacing="1" w:after="100" w:afterAutospacing="1"/>
      <w:widowControl/>
    </w:pPr>
    <w:rPr>
      <w:rFonts w:ascii="宋体" w:hAnsi="宋体" w:eastAsia="宋体" w:cs="宋体"/>
      <w:sz w:val="24"/>
      <w:szCs w:val="24"/>
    </w:rPr>
  </w:style>
  <w:style w:type="paragraph" w:styleId="1194" w:customStyle="1">
    <w:name w:val="索引 21"/>
    <w:basedOn w:val="944"/>
    <w:next w:val="944"/>
    <w:uiPriority w:val="0"/>
    <w:semiHidden/>
    <w:qFormat/>
    <w:pPr>
      <w:ind w:left="420"/>
    </w:pPr>
  </w:style>
  <w:style w:type="paragraph" w:styleId="1195" w:customStyle="1">
    <w:name w:val="标题1"/>
    <w:basedOn w:val="944"/>
    <w:next w:val="944"/>
    <w:link w:val="1196"/>
    <w:uiPriority w:val="0"/>
    <w:qFormat/>
    <w:pPr>
      <w:jc w:val="center"/>
      <w:spacing w:before="240" w:after="60"/>
      <w:outlineLvl w:val="0"/>
    </w:pPr>
    <w:rPr>
      <w:rFonts w:ascii="等线 Light" w:hAnsi="等线 Light" w:eastAsia="宋体"/>
      <w:b/>
      <w:bCs/>
      <w:sz w:val="32"/>
      <w:szCs w:val="32"/>
    </w:rPr>
  </w:style>
  <w:style w:type="character" w:styleId="1196" w:customStyle="1">
    <w:name w:val="标题 字符"/>
    <w:link w:val="1195"/>
    <w:uiPriority w:val="0"/>
    <w:qFormat/>
    <w:rPr>
      <w:rFonts w:ascii="等线 Light" w:hAnsi="等线 Light" w:cs="Times New Roman"/>
      <w:b/>
      <w:bCs/>
      <w:sz w:val="32"/>
      <w:szCs w:val="32"/>
    </w:rPr>
  </w:style>
  <w:style w:type="paragraph" w:styleId="1197" w:customStyle="1">
    <w:name w:val="批注主题1"/>
    <w:basedOn w:val="1157"/>
    <w:next w:val="1157"/>
    <w:uiPriority w:val="0"/>
    <w:semiHidden/>
    <w:qFormat/>
    <w:rPr>
      <w:b/>
      <w:bCs/>
    </w:rPr>
  </w:style>
  <w:style w:type="paragraph" w:styleId="1198" w:customStyle="1">
    <w:name w:val="正文首行缩进1"/>
    <w:basedOn w:val="1159"/>
    <w:uiPriority w:val="0"/>
    <w:qFormat/>
    <w:pPr>
      <w:ind w:firstLine="420"/>
      <w:spacing w:after="120" w:line="240" w:lineRule="auto"/>
    </w:pPr>
    <w:rPr>
      <w:rFonts w:ascii="Times New Roman"/>
      <w:sz w:val="26"/>
    </w:rPr>
  </w:style>
  <w:style w:type="table" w:styleId="1199" w:customStyle="1">
    <w:name w:val="网格型1"/>
    <w:basedOn w:val="1149"/>
    <w:uiPriority w:val="99"/>
    <w:qFormat/>
    <w:pPr>
      <w:jc w:val="both"/>
      <w:widowControl w:val="off"/>
    </w:pPr>
    <w:tblPr/>
  </w:style>
  <w:style w:type="character" w:styleId="1200" w:customStyle="1">
    <w:name w:val="尾注引用1"/>
    <w:link w:val="944"/>
    <w:uiPriority w:val="0"/>
    <w:qFormat/>
    <w:rPr>
      <w:vertAlign w:val="superscript"/>
    </w:rPr>
  </w:style>
  <w:style w:type="character" w:styleId="1201" w:customStyle="1">
    <w:name w:val="页码1"/>
    <w:basedOn w:val="1148"/>
    <w:link w:val="944"/>
    <w:uiPriority w:val="99"/>
    <w:qFormat/>
  </w:style>
  <w:style w:type="character" w:styleId="1202" w:customStyle="1">
    <w:name w:val="已访问的超链接1"/>
    <w:link w:val="944"/>
    <w:uiPriority w:val="99"/>
    <w:qFormat/>
    <w:rPr>
      <w:color w:val="800080"/>
      <w:u w:val="single"/>
    </w:rPr>
  </w:style>
  <w:style w:type="character" w:styleId="1203" w:customStyle="1">
    <w:name w:val="超链接1"/>
    <w:link w:val="944"/>
    <w:uiPriority w:val="99"/>
    <w:qFormat/>
    <w:rPr>
      <w:color w:val="0000ff"/>
      <w:u w:val="single"/>
    </w:rPr>
  </w:style>
  <w:style w:type="character" w:styleId="1204" w:customStyle="1">
    <w:name w:val="批注引用1"/>
    <w:link w:val="944"/>
    <w:uiPriority w:val="0"/>
    <w:semiHidden/>
    <w:qFormat/>
    <w:rPr>
      <w:sz w:val="21"/>
      <w:szCs w:val="21"/>
    </w:rPr>
  </w:style>
  <w:style w:type="character" w:styleId="1205" w:customStyle="1">
    <w:name w:val="脚注引用1"/>
    <w:link w:val="944"/>
    <w:uiPriority w:val="0"/>
    <w:semiHidden/>
    <w:qFormat/>
    <w:rPr>
      <w:vertAlign w:val="superscript"/>
    </w:rPr>
  </w:style>
  <w:style w:type="paragraph" w:styleId="120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07" w:customStyle="1">
    <w:name w:val="_Style 3"/>
    <w:next w:val="1185"/>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208" w:customStyle="1">
    <w:name w:val="样式1 Char Char"/>
    <w:link w:val="1209"/>
    <w:uiPriority w:val="0"/>
    <w:qFormat/>
    <w:rPr>
      <w:rFonts w:ascii="宋体" w:hAnsi="宋体"/>
      <w:sz w:val="24"/>
      <w:szCs w:val="21"/>
    </w:rPr>
  </w:style>
  <w:style w:type="paragraph" w:styleId="1209" w:customStyle="1">
    <w:name w:val="样式1"/>
    <w:basedOn w:val="944"/>
    <w:link w:val="1208"/>
    <w:uiPriority w:val="0"/>
    <w:qFormat/>
    <w:pPr>
      <w:numPr>
        <w:ilvl w:val="0"/>
        <w:numId w:val="2"/>
      </w:numPr>
      <w:spacing w:line="360" w:lineRule="auto"/>
    </w:pPr>
    <w:rPr>
      <w:rFonts w:ascii="宋体" w:hAnsi="宋体" w:eastAsia="宋体"/>
      <w:sz w:val="24"/>
      <w:szCs w:val="21"/>
    </w:rPr>
  </w:style>
  <w:style w:type="character" w:styleId="1210" w:customStyle="1">
    <w:name w:val="标题 #2_"/>
    <w:link w:val="1211"/>
    <w:uiPriority w:val="0"/>
    <w:qFormat/>
    <w:rPr>
      <w:rFonts w:ascii="宋体"/>
      <w:b/>
      <w:bCs/>
      <w:sz w:val="23"/>
      <w:szCs w:val="23"/>
      <w:shd w:val="clear" w:color="auto" w:fill="ffffff"/>
    </w:rPr>
  </w:style>
  <w:style w:type="paragraph" w:styleId="1211" w:customStyle="1">
    <w:name w:val="标题 #21"/>
    <w:basedOn w:val="944"/>
    <w:link w:val="1210"/>
    <w:uiPriority w:val="0"/>
    <w:qFormat/>
    <w:pPr>
      <w:ind w:hanging="480"/>
      <w:jc w:val="left"/>
      <w:spacing w:before="900" w:after="240" w:line="240" w:lineRule="atLeast"/>
      <w:shd w:val="clear" w:color="auto" w:fill="ffffff"/>
      <w:outlineLvl w:val="1"/>
    </w:pPr>
    <w:rPr>
      <w:rFonts w:ascii="宋体" w:eastAsia="宋体"/>
      <w:b/>
      <w:bCs/>
      <w:sz w:val="23"/>
      <w:szCs w:val="23"/>
    </w:rPr>
  </w:style>
  <w:style w:type="character" w:styleId="1212" w:customStyle="1">
    <w:name w:val="Andy_正文 Char"/>
    <w:link w:val="1213"/>
    <w:uiPriority w:val="0"/>
    <w:qFormat/>
    <w:rPr>
      <w:rFonts w:ascii="Calibri" w:hAnsi="Calibri"/>
      <w:sz w:val="24"/>
      <w:szCs w:val="24"/>
    </w:rPr>
  </w:style>
  <w:style w:type="paragraph" w:styleId="1213" w:customStyle="1">
    <w:name w:val="Andy_正文"/>
    <w:basedOn w:val="944"/>
    <w:link w:val="1212"/>
    <w:uiPriority w:val="0"/>
    <w:qFormat/>
    <w:pPr>
      <w:ind w:firstLine="480"/>
      <w:spacing w:line="360" w:lineRule="auto"/>
    </w:pPr>
    <w:rPr>
      <w:rFonts w:ascii="Calibri" w:hAnsi="Calibri" w:eastAsia="宋体"/>
      <w:sz w:val="24"/>
      <w:szCs w:val="24"/>
    </w:rPr>
  </w:style>
  <w:style w:type="character" w:styleId="1214" w:customStyle="1">
    <w:name w:val="标题 1 Char Char"/>
    <w:link w:val="944"/>
    <w:uiPriority w:val="0"/>
    <w:qFormat/>
    <w:rPr>
      <w:rFonts w:eastAsia="宋体"/>
      <w:b/>
      <w:spacing w:val="-2"/>
      <w:sz w:val="24"/>
      <w:lang w:val="en-US" w:eastAsia="zh-CN" w:bidi="ar-SA"/>
    </w:rPr>
  </w:style>
  <w:style w:type="character" w:styleId="1215" w:customStyle="1">
    <w:name w:val="biaoti"/>
    <w:link w:val="944"/>
    <w:uiPriority w:val="0"/>
    <w:qFormat/>
  </w:style>
  <w:style w:type="character" w:styleId="1216" w:customStyle="1">
    <w:name w:val="Plain Text Char"/>
    <w:link w:val="1217"/>
    <w:uiPriority w:val="0"/>
    <w:qFormat/>
    <w:rPr>
      <w:rFonts w:ascii="宋体" w:hAnsi="Courier New" w:eastAsia="楷体_GB2312"/>
      <w:sz w:val="26"/>
    </w:rPr>
  </w:style>
  <w:style w:type="paragraph" w:styleId="1217" w:customStyle="1">
    <w:name w:val="纯文本111"/>
    <w:basedOn w:val="944"/>
    <w:link w:val="1216"/>
    <w:uiPriority w:val="0"/>
    <w:qFormat/>
    <w:rPr>
      <w:rFonts w:ascii="宋体" w:hAnsi="Courier New"/>
    </w:rPr>
  </w:style>
  <w:style w:type="character" w:styleId="1218" w:customStyle="1">
    <w:name w:val="列表段落 字符"/>
    <w:link w:val="1219"/>
    <w:uiPriority w:val="0"/>
    <w:qFormat/>
    <w:rPr>
      <w:rFonts w:eastAsia="楷体_GB2312"/>
      <w:sz w:val="26"/>
    </w:rPr>
  </w:style>
  <w:style w:type="paragraph" w:styleId="1219" w:customStyle="1">
    <w:name w:val="列表段落"/>
    <w:basedOn w:val="944"/>
    <w:link w:val="1218"/>
    <w:uiPriority w:val="0"/>
    <w:qFormat/>
    <w:pPr>
      <w:ind w:firstLine="420"/>
    </w:pPr>
  </w:style>
  <w:style w:type="character" w:styleId="1220" w:customStyle="1">
    <w:name w:val="_正文段落 Char"/>
    <w:link w:val="1221"/>
    <w:uiPriority w:val="0"/>
    <w:qFormat/>
    <w:rPr>
      <w:rFonts w:ascii="宋体" w:hAnsi="宋体"/>
      <w:sz w:val="24"/>
      <w:szCs w:val="24"/>
    </w:rPr>
  </w:style>
  <w:style w:type="paragraph" w:styleId="1221" w:customStyle="1">
    <w:name w:val="_正文段落"/>
    <w:basedOn w:val="944"/>
    <w:link w:val="1220"/>
    <w:uiPriority w:val="0"/>
    <w:qFormat/>
    <w:pPr>
      <w:ind w:firstLine="480"/>
      <w:spacing w:line="360" w:lineRule="auto"/>
    </w:pPr>
    <w:rPr>
      <w:rFonts w:ascii="宋体" w:hAnsi="宋体" w:eastAsia="宋体"/>
      <w:sz w:val="24"/>
      <w:szCs w:val="24"/>
    </w:rPr>
  </w:style>
  <w:style w:type="character" w:styleId="1222" w:customStyle="1">
    <w:name w:val="样式 宋体"/>
    <w:link w:val="944"/>
    <w:uiPriority w:val="0"/>
    <w:qFormat/>
    <w:rPr>
      <w:rFonts w:ascii="宋体" w:hAnsi="宋体" w:eastAsia="宋体"/>
      <w:sz w:val="24"/>
    </w:rPr>
  </w:style>
  <w:style w:type="character" w:styleId="1223" w:customStyle="1">
    <w:name w:val="Plain Text Char Char"/>
    <w:link w:val="964"/>
    <w:uiPriority w:val="0"/>
    <w:qFormat/>
    <w:rPr>
      <w:rFonts w:ascii="宋体" w:hAnsi="Courier New" w:eastAsia="楷体_GB2312"/>
      <w:sz w:val="26"/>
    </w:rPr>
  </w:style>
  <w:style w:type="character" w:styleId="1224" w:customStyle="1">
    <w:name w:val="ca-221"/>
    <w:link w:val="944"/>
    <w:uiPriority w:val="0"/>
    <w:qFormat/>
    <w:rPr>
      <w:rFonts w:hint="eastAsia" w:ascii="宋体" w:hAnsi="宋体" w:eastAsia="宋体"/>
      <w:color w:val="ff0000"/>
      <w:sz w:val="24"/>
      <w:szCs w:val="24"/>
    </w:rPr>
  </w:style>
  <w:style w:type="paragraph" w:styleId="1225" w:customStyle="1">
    <w:name w:val="xl45"/>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6" w:customStyle="1">
    <w:name w:val="xl55"/>
    <w:basedOn w:val="9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7" w:customStyle="1">
    <w:name w:val="Default Paragraph Font Para Char"/>
    <w:basedOn w:val="944"/>
    <w:uiPriority w:val="0"/>
    <w:semiHidden/>
    <w:qFormat/>
    <w:pPr>
      <w:jc w:val="left"/>
      <w:spacing w:after="160" w:line="240" w:lineRule="exact"/>
      <w:widowControl/>
    </w:pPr>
    <w:rPr>
      <w:rFonts w:ascii="Verdana" w:hAnsi="Verdana" w:eastAsia="宋体"/>
      <w:sz w:val="20"/>
      <w:lang w:eastAsia="en-US"/>
    </w:rPr>
  </w:style>
  <w:style w:type="paragraph" w:styleId="1228" w:customStyle="1">
    <w:name w:val="xl63"/>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29" w:customStyle="1">
    <w:name w:val="TOC 标题"/>
    <w:basedOn w:val="1139"/>
    <w:next w:val="944"/>
    <w:uiPriority w:val="39"/>
    <w:qFormat/>
    <w:pPr>
      <w:outlineLvl w:val="9"/>
    </w:pPr>
    <w:rPr>
      <w:bCs/>
      <w:szCs w:val="44"/>
    </w:rPr>
  </w:style>
  <w:style w:type="paragraph" w:styleId="1230" w:customStyle="1">
    <w:name w:val="标题3"/>
    <w:basedOn w:val="1141"/>
    <w:uiPriority w:val="0"/>
    <w:qFormat/>
    <w:pPr>
      <w:contextualSpacing/>
      <w:jc w:val="center"/>
    </w:pPr>
    <w:rPr>
      <w:rFonts w:eastAsia="黑体" w:cs="宋体"/>
      <w:bCs/>
      <w:sz w:val="28"/>
    </w:rPr>
  </w:style>
  <w:style w:type="paragraph" w:styleId="1231" w:customStyle="1">
    <w:name w:val="p0"/>
    <w:basedOn w:val="944"/>
    <w:uiPriority w:val="0"/>
    <w:qFormat/>
    <w:pPr>
      <w:jc w:val="left"/>
      <w:widowControl/>
    </w:pPr>
    <w:rPr>
      <w:rFonts w:eastAsia="宋体"/>
      <w:sz w:val="24"/>
      <w:szCs w:val="24"/>
    </w:rPr>
  </w:style>
  <w:style w:type="paragraph" w:styleId="1232" w:customStyle="1">
    <w:name w:val="xl46"/>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33" w:customStyle="1">
    <w:name w:val="xl62"/>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34" w:customStyle="1">
    <w:name w:val="xl59"/>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35" w:customStyle="1">
    <w:name w:val="纯文本2"/>
    <w:basedOn w:val="944"/>
    <w:uiPriority w:val="0"/>
    <w:qFormat/>
    <w:rPr>
      <w:rFonts w:ascii="宋体" w:hAnsi="Courier New"/>
    </w:rPr>
  </w:style>
  <w:style w:type="paragraph" w:styleId="1236" w:customStyle="1">
    <w:name w:val="xl50"/>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37" w:customStyle="1">
    <w:name w:val=" Char1 Char Char Char"/>
    <w:basedOn w:val="944"/>
    <w:uiPriority w:val="0"/>
    <w:qFormat/>
    <w:pPr>
      <w:numPr>
        <w:ilvl w:val="0"/>
        <w:numId w:val="3"/>
      </w:numPr>
    </w:pPr>
    <w:rPr>
      <w:rFonts w:eastAsia="宋体"/>
      <w:sz w:val="24"/>
      <w:szCs w:val="24"/>
    </w:rPr>
  </w:style>
  <w:style w:type="paragraph" w:styleId="1238" w:customStyle="1">
    <w:name w:val="font5"/>
    <w:basedOn w:val="944"/>
    <w:uiPriority w:val="0"/>
    <w:qFormat/>
    <w:pPr>
      <w:jc w:val="left"/>
      <w:spacing w:before="100" w:beforeAutospacing="1" w:after="100" w:afterAutospacing="1"/>
      <w:widowControl/>
    </w:pPr>
    <w:rPr>
      <w:rFonts w:hint="eastAsia" w:ascii="宋体" w:hAnsi="宋体" w:eastAsia="宋体"/>
      <w:sz w:val="18"/>
      <w:szCs w:val="18"/>
    </w:rPr>
  </w:style>
  <w:style w:type="paragraph" w:styleId="1239" w:customStyle="1">
    <w:name w:val="Char"/>
    <w:basedOn w:val="944"/>
    <w:uiPriority w:val="0"/>
    <w:qFormat/>
    <w:rPr>
      <w:rFonts w:ascii="Tahoma" w:hAnsi="Tahoma" w:eastAsia="宋体"/>
      <w:sz w:val="24"/>
    </w:rPr>
  </w:style>
  <w:style w:type="paragraph" w:styleId="1240" w:customStyle="1">
    <w:name w:val="小四 段落 宋体 Char Char Char Char Char Char"/>
    <w:basedOn w:val="1241"/>
    <w:uiPriority w:val="0"/>
    <w:qFormat/>
    <w:pPr>
      <w:ind w:firstLine="480"/>
    </w:pPr>
    <w:rPr>
      <w:rFonts w:ascii="宋体" w:hAnsi="宋体"/>
    </w:rPr>
  </w:style>
  <w:style w:type="paragraph" w:styleId="1241" w:customStyle="1">
    <w:name w:val="小四 段落 宋体 Char Char Char Char Char Char Char"/>
    <w:basedOn w:val="1152"/>
    <w:uiPriority w:val="0"/>
    <w:semiHidden/>
    <w:qFormat/>
    <w:pPr>
      <w:ind w:left="0" w:right="-33" w:firstLine="545"/>
      <w:jc w:val="left"/>
      <w:spacing w:line="360" w:lineRule="auto"/>
      <w:tabs>
        <w:tab w:val="clear" w:pos="1125" w:leader="none"/>
      </w:tabs>
    </w:pPr>
    <w:rPr>
      <w:sz w:val="24"/>
    </w:rPr>
  </w:style>
  <w:style w:type="paragraph" w:styleId="1242" w:customStyle="1">
    <w:name w:val="xl58"/>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43" w:customStyle="1">
    <w:name w:val="xl57"/>
    <w:basedOn w:val="94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44" w:customStyle="1">
    <w:name w:val="xl51"/>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45" w:customStyle="1">
    <w:name w:val="Char Char Char Char Char Char Char Char Char1 Char"/>
    <w:basedOn w:val="1156"/>
    <w:uiPriority w:val="0"/>
    <w:qFormat/>
    <w:pPr>
      <w:spacing w:line="360" w:lineRule="auto"/>
    </w:pPr>
    <w:rPr>
      <w:rFonts w:eastAsia="楷体_GB2312"/>
      <w:sz w:val="26"/>
    </w:rPr>
  </w:style>
  <w:style w:type="paragraph" w:styleId="1246" w:customStyle="1">
    <w:name w:val=" Char"/>
    <w:basedOn w:val="944"/>
    <w:uiPriority w:val="0"/>
    <w:qFormat/>
    <w:pPr>
      <w:jc w:val="left"/>
      <w:spacing w:after="160" w:line="240" w:lineRule="exact"/>
      <w:widowControl/>
    </w:pPr>
    <w:rPr>
      <w:rFonts w:ascii="Verdana" w:hAnsi="Verdana" w:eastAsia="仿宋_GB2312"/>
      <w:sz w:val="24"/>
      <w:lang w:eastAsia="en-US"/>
    </w:rPr>
  </w:style>
  <w:style w:type="paragraph" w:styleId="1247" w:customStyle="1">
    <w:name w:val="xl52"/>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48" w:customStyle="1">
    <w:name w:val="xl49"/>
    <w:basedOn w:val="944"/>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49" w:customStyle="1">
    <w:name w:val="font6"/>
    <w:basedOn w:val="944"/>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250" w:customStyle="1">
    <w:name w:val="xl54"/>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1" w:customStyle="1">
    <w:name w:val="列出段落1"/>
    <w:basedOn w:val="944"/>
    <w:uiPriority w:val="0"/>
    <w:qFormat/>
    <w:pPr>
      <w:ind w:firstLine="420"/>
    </w:pPr>
    <w:rPr>
      <w:rFonts w:ascii="Calibri" w:hAnsi="Calibri" w:eastAsia="宋体"/>
      <w:sz w:val="20"/>
    </w:rPr>
  </w:style>
  <w:style w:type="paragraph" w:styleId="1252" w:customStyle="1">
    <w:name w:val="纯文本1"/>
    <w:basedOn w:val="944"/>
    <w:uiPriority w:val="0"/>
    <w:qFormat/>
    <w:rPr>
      <w:rFonts w:ascii="宋体" w:hAnsi="Courier New" w:eastAsia="楷体_GB2312" w:cs="Times New Roman"/>
      <w:sz w:val="26"/>
      <w:szCs w:val="20"/>
    </w:rPr>
  </w:style>
  <w:style w:type="paragraph" w:styleId="1253" w:customStyle="1">
    <w:name w:val="xl48"/>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54" w:customStyle="1">
    <w:name w:val="xl65"/>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5" w:customStyle="1">
    <w:name w:val="+正文"/>
    <w:basedOn w:val="944"/>
    <w:uiPriority w:val="0"/>
    <w:qFormat/>
    <w:pPr>
      <w:ind w:firstLine="200"/>
      <w:spacing w:line="360" w:lineRule="auto"/>
    </w:pPr>
    <w:rPr>
      <w:rFonts w:eastAsia="宋体"/>
      <w:sz w:val="24"/>
    </w:rPr>
  </w:style>
  <w:style w:type="paragraph" w:styleId="1256" w:customStyle="1">
    <w:name w:val="xl60"/>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7" w:customStyle="1">
    <w:name w:val="xl61"/>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58" w:customStyle="1">
    <w:name w:val="小四 段落 宋体 Char"/>
    <w:basedOn w:val="1152"/>
    <w:uiPriority w:val="0"/>
    <w:qFormat/>
    <w:pPr>
      <w:ind w:left="0" w:right="-33" w:firstLine="480"/>
      <w:jc w:val="left"/>
      <w:spacing w:line="360" w:lineRule="auto"/>
      <w:tabs>
        <w:tab w:val="clear" w:pos="1125" w:leader="none"/>
      </w:tabs>
    </w:pPr>
    <w:rPr>
      <w:sz w:val="24"/>
    </w:rPr>
  </w:style>
  <w:style w:type="paragraph" w:styleId="1259" w:customStyle="1">
    <w:name w:val=" Char Char Char"/>
    <w:basedOn w:val="944"/>
    <w:uiPriority w:val="0"/>
    <w:qFormat/>
    <w:rPr>
      <w:rFonts w:ascii="Tahoma" w:hAnsi="Tahoma" w:eastAsia="宋体"/>
      <w:sz w:val="24"/>
    </w:rPr>
  </w:style>
  <w:style w:type="paragraph" w:styleId="1260" w:customStyle="1">
    <w:name w:val="xl66"/>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61" w:customStyle="1">
    <w:name w:val="xl53"/>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62" w:customStyle="1">
    <w:name w:val="xl64"/>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3" w:customStyle="1">
    <w:name w:val=" Char Char Char Char"/>
    <w:basedOn w:val="944"/>
    <w:uiPriority w:val="0"/>
    <w:qFormat/>
    <w:pPr>
      <w:jc w:val="left"/>
      <w:spacing w:after="160" w:line="240" w:lineRule="exact"/>
      <w:widowControl/>
    </w:pPr>
    <w:rPr>
      <w:rFonts w:eastAsia="仿宋_GB2312"/>
      <w:sz w:val="32"/>
      <w:szCs w:val="24"/>
    </w:rPr>
  </w:style>
  <w:style w:type="paragraph" w:styleId="1264" w:customStyle="1">
    <w:name w:val="xl56"/>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65" w:customStyle="1">
    <w:name w:val="xl47"/>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66" w:customStyle="1">
    <w:name w:val="纯文本21"/>
    <w:basedOn w:val="944"/>
    <w:uiPriority w:val="0"/>
    <w:qFormat/>
    <w:rPr>
      <w:rFonts w:ascii="宋体" w:hAnsi="Courier New"/>
    </w:rPr>
  </w:style>
  <w:style w:type="paragraph" w:styleId="1267" w:customStyle="1">
    <w:name w:val="纯文本3"/>
    <w:basedOn w:val="944"/>
    <w:uiPriority w:val="0"/>
    <w:qFormat/>
    <w:rPr>
      <w:rFonts w:hint="eastAsia" w:ascii="宋体" w:hAnsi="Courier New" w:eastAsia="楷体_GB2312" w:cs="Times New Roman"/>
      <w:sz w:val="28"/>
      <w:szCs w:val="20"/>
      <w:lang w:eastAsia="en-US"/>
    </w:rPr>
  </w:style>
  <w:style w:type="paragraph" w:styleId="1268" w:customStyle="1">
    <w:name w:val="正文1"/>
    <w:next w:val="944"/>
    <w:uiPriority w:val="0"/>
    <w:qFormat/>
    <w:pPr>
      <w:ind w:firstLine="200"/>
      <w:jc w:val="both"/>
      <w:widowControl w:val="off"/>
    </w:pPr>
    <w:rPr>
      <w:rFonts w:hint="default" w:ascii="Times New Roman" w:hAnsi="Times New Roman" w:eastAsia="仿宋_GB2312" w:cs="Times New Roman"/>
      <w:sz w:val="24"/>
      <w:lang w:val="en-US" w:eastAsia="zh-CN" w:bidi="ar-SA"/>
    </w:rPr>
  </w:style>
  <w:style w:type="paragraph" w:styleId="1269" w:customStyle="1">
    <w:name w:val="Plain Text1"/>
    <w:uiPriority w:val="0"/>
    <w:qFormat/>
    <w:pPr>
      <w:jc w:val="both"/>
      <w:widowControl w:val="off"/>
    </w:pPr>
    <w:rPr>
      <w:rFonts w:hint="default" w:ascii="宋体" w:hAnsi="Courier New" w:eastAsia="楷体_GB2312" w:cs="Times New Roman"/>
      <w:sz w:val="26"/>
      <w:lang w:val="en-US" w:eastAsia="zh-CN" w:bidi="ar-SA"/>
    </w:rPr>
  </w:style>
  <w:style w:type="character" w:styleId="1270" w:customStyle="1">
    <w:name w:val="font21"/>
    <w:link w:val="944"/>
    <w:uiPriority w:val="0"/>
    <w:qFormat/>
    <w:rPr>
      <w:rFonts w:hint="eastAsia" w:ascii="宋体" w:hAnsi="宋体" w:eastAsia="宋体" w:cs="宋体"/>
      <w:color w:val="000000"/>
      <w:sz w:val="20"/>
      <w:szCs w:val="20"/>
      <w:u w:val="none"/>
    </w:rPr>
  </w:style>
  <w:style w:type="paragraph" w:styleId="1271" w:customStyle="1">
    <w:name w:val="纯文本4"/>
    <w:basedOn w:val="944"/>
    <w:uiPriority w:val="0"/>
    <w:qFormat/>
    <w:rPr>
      <w:rFonts w:ascii="宋体" w:hAnsi="Courier New" w:eastAsia="楷体_GB2312" w:cs="Times New Roman"/>
      <w:sz w:val="26"/>
      <w:szCs w:val="20"/>
    </w:rPr>
  </w:style>
  <w:style w:type="paragraph" w:styleId="1272" w:customStyle="1">
    <w:name w:val="文档结构图1"/>
    <w:basedOn w:val="944"/>
    <w:next w:val="944"/>
    <w:uiPriority w:val="0"/>
    <w:qFormat/>
    <w:rPr>
      <w:rFonts w:ascii="Calibri" w:hAnsi="Calibri" w:eastAsia="宋体" w:cs="Calibri"/>
      <w:color w:val="000000"/>
      <w:szCs w:val="21"/>
    </w:rPr>
  </w:style>
  <w:style w:type="paragraph" w:styleId="1273" w:customStyle="1">
    <w:name w:val="_Style 2"/>
    <w:basedOn w:val="944"/>
    <w:uiPriority w:val="34"/>
    <w:qFormat/>
    <w:pPr>
      <w:ind w:firstLine="420"/>
    </w:pPr>
    <w:rPr>
      <w:szCs w:val="24"/>
    </w:rPr>
  </w:style>
  <w:style w:type="table" w:styleId="1274" w:customStyle="1">
    <w:name w:val="Table Normal"/>
    <w:uiPriority w:val="0"/>
    <w:unhideWhenUsed/>
    <w:qFormat/>
    <w:tblPr>
      <w:tblCellMar>
        <w:left w:w="0" w:type="dxa"/>
        <w:top w:w="0" w:type="dxa"/>
        <w:right w:w="0" w:type="dxa"/>
        <w:bottom w:w="0" w:type="dxa"/>
      </w:tblCellMar>
    </w:tblPr>
  </w:style>
  <w:style w:type="numbering" w:styleId="12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钱梅</cp:lastModifiedBy>
  <cp:revision>6</cp:revision>
  <dcterms:created xsi:type="dcterms:W3CDTF">2024-01-02T05:30:00Z</dcterms:created>
  <dcterms:modified xsi:type="dcterms:W3CDTF">2025-10-17T07:56:46Z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A3EEA6CA67684E7F86CB0D397F280EAE_13</vt:lpwstr>
  </property>
  <property fmtid="{D5CDD505-2E9C-101B-9397-08002B2CF9AE}" pid="4" name="KSOTemplateDocerSaveRecord">
    <vt:lpwstr>eyJoZGlkIjoiZDJiNjI1NjRiNmM1NDU3YzEzM2M1N2M4MWJlNDU4ZDAiLCJ1c2VySWQiOiIxNjA0NDE5NDI2In0=</vt:lpwstr>
  </property>
</Properties>
</file>