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hint="eastAsia" w:ascii="宋体" w:hAnsi="宋体"/>
          <w:b/>
          <w:bCs/>
          <w:color w:val="auto"/>
          <w:sz w:val="52"/>
          <w:highlight w:val="none"/>
        </w:rPr>
      </w:pPr>
      <w:r>
        <w:rPr>
          <w:rFonts w:hint="eastAsia" w:ascii="宋体" w:hAnsi="宋体"/>
          <w:b/>
          <w:bCs/>
          <w:color w:val="auto"/>
          <w:sz w:val="52"/>
          <w:highlight w:val="none"/>
        </w:rPr>
      </w:r>
      <w:r/>
    </w:p>
    <w:p>
      <w:pPr>
        <w:jc w:val="center"/>
        <w:tabs>
          <w:tab w:val="left" w:pos="840" w:leader="none"/>
        </w:tabs>
        <w:rPr>
          <w:rFonts w:hint="eastAsia" w:ascii="宋体" w:hAnsi="宋体"/>
          <w:b/>
          <w:bCs/>
          <w:color w:val="auto"/>
          <w:sz w:val="52"/>
          <w:highlight w:val="none"/>
        </w:rPr>
      </w:pPr>
      <w:r>
        <w:rPr>
          <w:rFonts w:hint="eastAsia" w:ascii="宋体" w:hAnsi="宋体"/>
          <w:b/>
          <w:bCs/>
          <w:color w:val="auto"/>
          <w:sz w:val="52"/>
          <w:highlight w:val="none"/>
        </w:rPr>
        <w:t xml:space="preserve">宜 兴 市 政 府 采 购</w:t>
      </w:r>
      <w:r/>
    </w:p>
    <w:p>
      <w:pPr>
        <w:jc w:val="center"/>
        <w:rPr>
          <w:rFonts w:hint="eastAsia" w:ascii="宋体" w:hAnsi="宋体"/>
          <w:b/>
          <w:bCs/>
          <w:color w:val="auto"/>
          <w:sz w:val="52"/>
          <w:highlight w:val="none"/>
        </w:rPr>
      </w:pPr>
      <w:r>
        <w:rPr>
          <w:rFonts w:hint="eastAsia" w:ascii="宋体" w:hAnsi="宋体"/>
          <w:b/>
          <w:bCs/>
          <w:color w:val="auto"/>
          <w:sz w:val="52"/>
          <w:highlight w:val="none"/>
        </w:rPr>
      </w:r>
      <w:r/>
    </w:p>
    <w:p>
      <w:pPr>
        <w:jc w:val="center"/>
        <w:rPr>
          <w:rFonts w:hint="eastAsia" w:ascii="黑体" w:hAnsi="黑体" w:eastAsia="黑体"/>
          <w:b/>
          <w:bCs/>
          <w:color w:val="auto"/>
          <w:sz w:val="96"/>
          <w:szCs w:val="96"/>
          <w:highlight w:val="none"/>
        </w:rPr>
        <w:outlineLvl w:val="0"/>
      </w:pPr>
      <w:r/>
      <w:bookmarkStart w:id="0" w:name="_Toc21720"/>
      <w:r/>
      <w:bookmarkStart w:id="1" w:name="_Toc18356"/>
      <w:r/>
      <w:bookmarkStart w:id="2" w:name="_Toc23543"/>
      <w:r/>
      <w:bookmarkStart w:id="3" w:name="_Toc7709"/>
      <w:r/>
      <w:bookmarkStart w:id="4" w:name="_Toc28470"/>
      <w:r/>
      <w:bookmarkStart w:id="5" w:name="_Toc7601"/>
      <w:r/>
      <w:bookmarkStart w:id="6" w:name="_Toc13153"/>
      <w:r/>
      <w:bookmarkStart w:id="7" w:name="_Toc17370"/>
      <w:r/>
      <w:bookmarkStart w:id="8" w:name="_Toc21369"/>
      <w:r/>
      <w:bookmarkStart w:id="9" w:name="_Toc9151"/>
      <w:r>
        <w:rPr>
          <w:rFonts w:hint="eastAsia" w:ascii="黑体" w:hAnsi="黑体" w:eastAsia="黑体"/>
          <w:b/>
          <w:bCs/>
          <w:color w:val="auto"/>
          <w:sz w:val="96"/>
          <w:szCs w:val="96"/>
          <w:highlight w:val="none"/>
        </w:rPr>
        <w:t xml:space="preserve">磋</w:t>
      </w:r>
      <w:bookmarkEnd w:id="0"/>
      <w:r/>
      <w:bookmarkEnd w:id="1"/>
      <w:r/>
      <w:bookmarkEnd w:id="2"/>
      <w:r/>
      <w:bookmarkEnd w:id="3"/>
      <w:r/>
      <w:bookmarkEnd w:id="4"/>
      <w:r/>
      <w:bookmarkEnd w:id="5"/>
      <w:r/>
      <w:bookmarkEnd w:id="6"/>
      <w:r/>
      <w:bookmarkEnd w:id="7"/>
      <w:r/>
      <w:bookmarkEnd w:id="8"/>
      <w:r/>
      <w:bookmarkEnd w:id="9"/>
      <w:r/>
      <w:r/>
    </w:p>
    <w:p>
      <w:pPr>
        <w:jc w:val="center"/>
        <w:rPr>
          <w:rFonts w:hint="eastAsia" w:ascii="黑体" w:hAnsi="黑体" w:eastAsia="黑体"/>
          <w:b/>
          <w:bCs/>
          <w:color w:val="auto"/>
          <w:sz w:val="96"/>
          <w:szCs w:val="96"/>
          <w:highlight w:val="none"/>
        </w:rPr>
        <w:outlineLvl w:val="0"/>
      </w:pPr>
      <w:r/>
      <w:bookmarkStart w:id="10" w:name="_Toc5869"/>
      <w:r/>
      <w:bookmarkStart w:id="11" w:name="_Toc8958"/>
      <w:r/>
      <w:bookmarkStart w:id="12" w:name="_Toc28737"/>
      <w:r/>
      <w:bookmarkStart w:id="13" w:name="_Toc5351"/>
      <w:r/>
      <w:bookmarkStart w:id="14" w:name="_Toc2628"/>
      <w:r/>
      <w:bookmarkStart w:id="15" w:name="_Toc23465"/>
      <w:r/>
      <w:bookmarkStart w:id="16" w:name="_Toc31343"/>
      <w:r/>
      <w:bookmarkStart w:id="17" w:name="_Toc4325"/>
      <w:r/>
      <w:bookmarkStart w:id="18" w:name="_Toc1751"/>
      <w:r/>
      <w:bookmarkStart w:id="19" w:name="_Toc12168"/>
      <w:r>
        <w:rPr>
          <w:rFonts w:hint="eastAsia" w:ascii="黑体" w:hAnsi="黑体" w:eastAsia="黑体"/>
          <w:b/>
          <w:bCs/>
          <w:color w:val="auto"/>
          <w:sz w:val="96"/>
          <w:szCs w:val="96"/>
          <w:highlight w:val="none"/>
        </w:rPr>
        <w:t xml:space="preserve">商</w:t>
      </w:r>
      <w:bookmarkEnd w:id="10"/>
      <w:r/>
      <w:bookmarkEnd w:id="11"/>
      <w:r/>
      <w:bookmarkEnd w:id="12"/>
      <w:r/>
      <w:bookmarkEnd w:id="13"/>
      <w:r/>
      <w:bookmarkEnd w:id="14"/>
      <w:r/>
      <w:bookmarkEnd w:id="15"/>
      <w:r/>
      <w:bookmarkEnd w:id="16"/>
      <w:r/>
      <w:bookmarkEnd w:id="17"/>
      <w:r/>
      <w:bookmarkEnd w:id="18"/>
      <w:r/>
      <w:bookmarkEnd w:id="19"/>
      <w:r/>
      <w:r/>
    </w:p>
    <w:p>
      <w:pPr>
        <w:jc w:val="center"/>
        <w:rPr>
          <w:rFonts w:hint="eastAsia" w:ascii="黑体" w:hAnsi="黑体" w:eastAsia="黑体"/>
          <w:b/>
          <w:bCs/>
          <w:color w:val="auto"/>
          <w:sz w:val="96"/>
          <w:szCs w:val="96"/>
          <w:highlight w:val="none"/>
        </w:rPr>
        <w:outlineLvl w:val="0"/>
      </w:pPr>
      <w:r/>
      <w:bookmarkStart w:id="20" w:name="_Toc20585"/>
      <w:r/>
      <w:bookmarkStart w:id="21" w:name="_Toc8601"/>
      <w:r/>
      <w:bookmarkStart w:id="22" w:name="_Toc15074"/>
      <w:r/>
      <w:bookmarkStart w:id="23" w:name="_Toc23468"/>
      <w:r/>
      <w:bookmarkStart w:id="24" w:name="_Toc6410"/>
      <w:r/>
      <w:bookmarkStart w:id="25" w:name="_Toc2199"/>
      <w:r/>
      <w:bookmarkStart w:id="26" w:name="_Toc10141"/>
      <w:r/>
      <w:bookmarkStart w:id="27" w:name="_Toc21588"/>
      <w:r/>
      <w:bookmarkStart w:id="28" w:name="_Toc15428"/>
      <w:r/>
      <w:bookmarkStart w:id="29" w:name="_Toc27295"/>
      <w:r>
        <w:rPr>
          <w:rFonts w:hint="eastAsia" w:ascii="黑体" w:hAnsi="黑体" w:eastAsia="黑体"/>
          <w:b/>
          <w:bCs/>
          <w:color w:val="auto"/>
          <w:sz w:val="96"/>
          <w:szCs w:val="96"/>
          <w:highlight w:val="none"/>
        </w:rPr>
        <w:t xml:space="preserve">文</w:t>
      </w:r>
      <w:bookmarkEnd w:id="20"/>
      <w:r/>
      <w:bookmarkEnd w:id="21"/>
      <w:r/>
      <w:bookmarkEnd w:id="22"/>
      <w:r/>
      <w:bookmarkEnd w:id="23"/>
      <w:r/>
      <w:bookmarkEnd w:id="24"/>
      <w:r/>
      <w:bookmarkEnd w:id="25"/>
      <w:r/>
      <w:bookmarkEnd w:id="26"/>
      <w:r/>
      <w:bookmarkEnd w:id="27"/>
      <w:r/>
      <w:bookmarkEnd w:id="28"/>
      <w:r/>
      <w:bookmarkEnd w:id="29"/>
      <w:r/>
      <w:r/>
    </w:p>
    <w:p>
      <w:pPr>
        <w:jc w:val="center"/>
        <w:rPr>
          <w:rFonts w:hint="eastAsia" w:ascii="黑体" w:hAnsi="黑体" w:eastAsia="黑体"/>
          <w:b/>
          <w:bCs/>
          <w:color w:val="auto"/>
          <w:sz w:val="96"/>
          <w:szCs w:val="96"/>
          <w:highlight w:val="none"/>
        </w:rPr>
        <w:outlineLvl w:val="0"/>
      </w:pPr>
      <w:r/>
      <w:bookmarkStart w:id="30" w:name="_Toc11971"/>
      <w:r/>
      <w:bookmarkStart w:id="31" w:name="_Toc17957"/>
      <w:r/>
      <w:bookmarkStart w:id="32" w:name="_Toc24068"/>
      <w:r/>
      <w:bookmarkStart w:id="33" w:name="_Toc29178"/>
      <w:r/>
      <w:bookmarkStart w:id="34" w:name="_Toc25591"/>
      <w:r/>
      <w:bookmarkStart w:id="35" w:name="_Toc18636"/>
      <w:r/>
      <w:bookmarkStart w:id="36" w:name="_Toc3041"/>
      <w:r/>
      <w:bookmarkStart w:id="37" w:name="_Toc21174"/>
      <w:r/>
      <w:bookmarkStart w:id="38" w:name="_Toc20696"/>
      <w:r/>
      <w:bookmarkStart w:id="39" w:name="_Toc11931"/>
      <w:r>
        <w:rPr>
          <w:rFonts w:hint="eastAsia" w:ascii="黑体" w:hAnsi="黑体" w:eastAsia="黑体"/>
          <w:b/>
          <w:bCs/>
          <w:color w:val="auto"/>
          <w:sz w:val="96"/>
          <w:szCs w:val="96"/>
          <w:highlight w:val="none"/>
        </w:rPr>
        <w:t xml:space="preserve">件</w:t>
      </w:r>
      <w:bookmarkEnd w:id="30"/>
      <w:r/>
      <w:bookmarkEnd w:id="31"/>
      <w:r/>
      <w:bookmarkEnd w:id="32"/>
      <w:r/>
      <w:bookmarkEnd w:id="33"/>
      <w:r/>
      <w:bookmarkEnd w:id="34"/>
      <w:r/>
      <w:bookmarkEnd w:id="35"/>
      <w:r/>
      <w:bookmarkEnd w:id="36"/>
      <w:r/>
      <w:bookmarkEnd w:id="37"/>
      <w:r/>
      <w:bookmarkEnd w:id="38"/>
      <w:r/>
      <w:bookmarkEnd w:id="39"/>
      <w:r/>
      <w:r/>
    </w:p>
    <w:p>
      <w:pPr>
        <w:jc w:val="center"/>
        <w:rPr>
          <w:rFonts w:hint="eastAsia" w:ascii="宋体" w:hAnsi="宋体"/>
          <w:b/>
          <w:bCs/>
          <w:color w:val="auto"/>
          <w:sz w:val="84"/>
          <w:highlight w:val="none"/>
        </w:rPr>
      </w:pPr>
      <w:r>
        <w:rPr>
          <w:rFonts w:hint="eastAsia" w:ascii="宋体" w:hAnsi="宋体"/>
          <w:b/>
          <w:bCs/>
          <w:color w:val="auto"/>
          <w:sz w:val="84"/>
          <w:highlight w:val="none"/>
        </w:rPr>
        <w:t xml:space="preserve">（电子标）</w:t>
      </w:r>
      <w:r/>
    </w:p>
    <w:p>
      <w:pPr>
        <w:jc w:val="center"/>
        <w:rPr>
          <w:rFonts w:hint="eastAsia" w:ascii="宋体" w:hAnsi="宋体"/>
          <w:color w:val="auto"/>
          <w:sz w:val="32"/>
          <w:highlight w:val="none"/>
        </w:rPr>
      </w:pPr>
      <w:r>
        <w:rPr>
          <w:rFonts w:hint="eastAsia" w:ascii="宋体" w:hAnsi="宋体"/>
          <w:color w:val="auto"/>
          <w:sz w:val="32"/>
          <w:highlight w:val="none"/>
        </w:rPr>
      </w:r>
      <w:r/>
    </w:p>
    <w:p>
      <w:pPr>
        <w:jc w:val="center"/>
        <w:rPr>
          <w:rFonts w:hint="default" w:ascii="宋体" w:hAnsi="宋体"/>
          <w:color w:val="auto"/>
          <w:sz w:val="32"/>
          <w:highlight w:val="none"/>
          <w:lang w:val="en-US" w:eastAsia="zh-CN"/>
        </w:rPr>
      </w:pPr>
      <w:r>
        <w:rPr>
          <w:rFonts w:hint="eastAsia" w:ascii="宋体" w:hAnsi="宋体"/>
          <w:color w:val="auto"/>
          <w:sz w:val="32"/>
          <w:highlight w:val="none"/>
          <w:lang w:eastAsia="zh-CN"/>
        </w:rPr>
        <w:t xml:space="preserve">项目编号:JSZC-320282-XDFH-C2024-0030</w:t>
      </w:r>
      <w:r/>
    </w:p>
    <w:p>
      <w:pPr>
        <w:jc w:val="center"/>
        <w:rPr>
          <w:rFonts w:hint="eastAsia" w:ascii="宋体" w:hAnsi="宋体" w:eastAsia="宋体"/>
          <w:color w:val="auto"/>
          <w:sz w:val="32"/>
          <w:highlight w:val="none"/>
          <w:lang w:eastAsia="zh-CN"/>
        </w:rPr>
      </w:pPr>
      <w:r>
        <w:rPr>
          <w:rFonts w:hint="eastAsia" w:ascii="宋体" w:hAnsi="宋体"/>
          <w:color w:val="auto"/>
          <w:sz w:val="32"/>
          <w:highlight w:val="none"/>
        </w:rPr>
        <w:t xml:space="preserve">采购人：</w:t>
      </w:r>
      <w:r>
        <w:rPr>
          <w:rFonts w:hint="eastAsia" w:ascii="宋体" w:hAnsi="宋体"/>
          <w:color w:val="auto"/>
          <w:sz w:val="32"/>
          <w:highlight w:val="none"/>
          <w:lang w:eastAsia="zh-CN"/>
        </w:rPr>
        <w:t xml:space="preserve">宜兴市应急管理局</w:t>
      </w:r>
      <w:r/>
    </w:p>
    <w:p>
      <w:pPr>
        <w:jc w:val="center"/>
        <w:rPr>
          <w:rFonts w:hint="eastAsia" w:ascii="宋体" w:hAnsi="宋体" w:eastAsia="宋体"/>
          <w:color w:val="auto"/>
          <w:sz w:val="32"/>
          <w:highlight w:val="none"/>
          <w:lang w:eastAsia="zh-CN"/>
        </w:rPr>
      </w:pPr>
      <w:r>
        <w:rPr>
          <w:rFonts w:hint="eastAsia" w:ascii="宋体" w:hAnsi="宋体"/>
          <w:color w:val="auto"/>
          <w:sz w:val="32"/>
          <w:highlight w:val="none"/>
        </w:rPr>
        <w:t xml:space="preserve">项目名称：</w:t>
      </w:r>
      <w:r>
        <w:rPr>
          <w:rFonts w:hint="eastAsia" w:ascii="宋体" w:hAnsi="宋体"/>
          <w:color w:val="auto"/>
          <w:sz w:val="32"/>
          <w:highlight w:val="none"/>
          <w:lang w:eastAsia="zh-CN"/>
        </w:rPr>
        <w:t xml:space="preserve">江苏省“三断”条件下应急指挥协同机制演练服务项目</w:t>
      </w:r>
      <w:r/>
    </w:p>
    <w:p>
      <w:pPr>
        <w:jc w:val="center"/>
        <w:rPr>
          <w:rFonts w:hint="eastAsia" w:ascii="宋体" w:hAnsi="宋体"/>
          <w:color w:val="auto"/>
          <w:sz w:val="32"/>
          <w:highlight w:val="none"/>
        </w:rPr>
      </w:pPr>
      <w:r>
        <w:rPr>
          <w:rFonts w:hint="eastAsia" w:ascii="宋体" w:hAnsi="宋体"/>
          <w:color w:val="auto"/>
          <w:sz w:val="32"/>
          <w:highlight w:val="none"/>
        </w:rPr>
        <w:t xml:space="preserve">采购代理机构：江苏希地丰华项目管理集团有限公司</w:t>
      </w:r>
      <w:r/>
    </w:p>
    <w:p>
      <w:pPr>
        <w:jc w:val="center"/>
        <w:rPr>
          <w:rFonts w:hint="eastAsia" w:ascii="宋体" w:hAnsi="宋体"/>
          <w:color w:val="auto"/>
          <w:sz w:val="32"/>
          <w:highlight w:val="none"/>
        </w:rPr>
      </w:pPr>
      <w:r>
        <w:rPr>
          <w:rFonts w:hint="eastAsia" w:ascii="宋体" w:hAnsi="宋体"/>
          <w:color w:val="auto"/>
          <w:sz w:val="32"/>
          <w:highlight w:val="none"/>
        </w:rPr>
        <w:t xml:space="preserve">二〇二四年十月</w:t>
      </w:r>
      <w:r/>
    </w:p>
    <w:p>
      <w:pPr>
        <w:rPr>
          <w:color w:val="auto"/>
          <w:highlight w:val="none"/>
        </w:rPr>
      </w:pPr>
      <w:r>
        <w:rPr>
          <w:color w:val="auto"/>
          <w:highlight w:val="none"/>
        </w:rPr>
      </w:r>
      <w:r/>
    </w:p>
    <w:p>
      <w:pPr>
        <w:jc w:val="center"/>
        <w:rPr>
          <w:rStyle w:val="759"/>
          <w:rFonts w:eastAsia="黑体"/>
          <w:bCs/>
          <w:color w:val="auto"/>
          <w:sz w:val="48"/>
          <w:highlight w:val="none"/>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759"/>
          <w:rFonts w:eastAsia="黑体"/>
          <w:bCs/>
          <w:color w:val="auto"/>
          <w:sz w:val="48"/>
          <w:highlight w:val="none"/>
        </w:rPr>
      </w:pPr>
      <w:r>
        <w:rPr>
          <w:rFonts w:eastAsia="黑体"/>
          <w:bCs/>
          <w:color w:val="auto"/>
          <w:sz w:val="48"/>
          <w:highlight w:val="none"/>
        </w:rPr>
      </w:r>
      <w:r/>
    </w:p>
    <w:p>
      <w:pPr>
        <w:jc w:val="center"/>
        <w:rPr>
          <w:rStyle w:val="759"/>
          <w:rFonts w:eastAsia="黑体"/>
          <w:bCs/>
          <w:color w:val="auto"/>
          <w:sz w:val="48"/>
          <w:highlight w:val="none"/>
        </w:rPr>
      </w:pPr>
      <w:r>
        <w:rPr>
          <w:rStyle w:val="759"/>
          <w:rFonts w:hint="eastAsia" w:eastAsia="黑体"/>
          <w:bCs/>
          <w:color w:val="auto"/>
          <w:sz w:val="48"/>
          <w:highlight w:val="none"/>
        </w:rPr>
        <w:t xml:space="preserve">目录</w:t>
      </w:r>
      <w:r/>
    </w:p>
    <w:p>
      <w:pPr>
        <w:pStyle w:val="737"/>
        <w:rPr>
          <w:color w:val="auto"/>
          <w:highlight w:val="none"/>
        </w:rPr>
      </w:pPr>
      <w:r>
        <w:rPr>
          <w:color w:val="auto"/>
          <w:highlight w:val="none"/>
        </w:rPr>
      </w:r>
      <w:r/>
    </w:p>
    <w:sdt>
      <w:sdtPr>
        <w15:appearance w15:val="boundingBox"/>
        <w15:color w:val="dbdbdb"/>
        <w:id w:val="147455551"/>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797"/>
            <w:tabs>
              <w:tab w:val="right" w:pos="9642" w:leader="dot"/>
            </w:tabs>
            <w:rPr>
              <w:color w:val="auto"/>
              <w:highlight w:val="none"/>
            </w:rPr>
          </w:pPr>
          <w:r>
            <w:rPr>
              <w:color w:val="auto"/>
              <w:sz w:val="32"/>
              <w:szCs w:val="32"/>
              <w:highlight w:val="none"/>
            </w:rPr>
            <w:fldChar w:fldCharType="begin"/>
          </w:r>
          <w:r>
            <w:rPr>
              <w:color w:val="auto"/>
              <w:sz w:val="32"/>
              <w:szCs w:val="32"/>
              <w:highlight w:val="none"/>
            </w:rPr>
            <w:instrText xml:space="preserve">TOC \o "1-1" \h \u </w:instrText>
          </w:r>
          <w:r>
            <w:rPr>
              <w:color w:val="auto"/>
              <w:sz w:val="32"/>
              <w:szCs w:val="32"/>
              <w:highlight w:val="none"/>
            </w:rPr>
            <w:fldChar w:fldCharType="separate"/>
          </w:r>
          <w:r/>
        </w:p>
        <w:p>
          <w:pPr>
            <w:pStyle w:val="797"/>
            <w:tabs>
              <w:tab w:val="right" w:pos="9642" w:leader="dot"/>
            </w:tabs>
            <w:rPr>
              <w:color w:val="auto"/>
              <w:sz w:val="30"/>
              <w:szCs w:val="30"/>
              <w:highlight w:val="none"/>
            </w:rPr>
          </w:pPr>
          <w:r>
            <w:rPr>
              <w:color w:val="auto"/>
              <w:highlight w:val="none"/>
            </w:rPr>
            <w:fldChar w:fldCharType="begin"/>
          </w:r>
          <w:r>
            <w:rPr>
              <w:color w:val="auto"/>
              <w:highlight w:val="none"/>
            </w:rPr>
            <w:instrText xml:space="preserve"> HYPERLINK \l "_Toc11660" </w:instrText>
          </w:r>
          <w:r>
            <w:rPr>
              <w:color w:val="auto"/>
              <w:highlight w:val="none"/>
            </w:rPr>
            <w:fldChar w:fldCharType="separate"/>
          </w:r>
          <w:r>
            <w:rPr>
              <w:rFonts w:hint="eastAsia" w:ascii="黑体" w:hAnsi="黑体" w:eastAsia="黑体"/>
              <w:color w:val="auto"/>
              <w:sz w:val="30"/>
              <w:szCs w:val="30"/>
              <w:highlight w:val="none"/>
            </w:rPr>
            <w:t xml:space="preserve">第一章 报价邀请函</w:t>
          </w:r>
          <w:r>
            <w:rPr>
              <w:color w:val="auto"/>
              <w:sz w:val="30"/>
              <w:szCs w:val="30"/>
              <w:highlight w:val="none"/>
            </w:rPr>
            <w:tab/>
          </w:r>
          <w:r>
            <w:rPr>
              <w:rFonts w:hint="eastAsia"/>
              <w:color w:val="auto"/>
              <w:sz w:val="30"/>
              <w:szCs w:val="30"/>
              <w:highlight w:val="none"/>
            </w:rPr>
            <w:t xml:space="preserve">-</w:t>
          </w:r>
          <w:r>
            <w:rPr>
              <w:color w:val="auto"/>
              <w:sz w:val="30"/>
              <w:szCs w:val="30"/>
              <w:highlight w:val="none"/>
            </w:rPr>
            <w:fldChar w:fldCharType="begin"/>
          </w:r>
          <w:r>
            <w:rPr>
              <w:color w:val="auto"/>
              <w:sz w:val="30"/>
              <w:szCs w:val="30"/>
              <w:highlight w:val="none"/>
            </w:rPr>
            <w:instrText xml:space="preserve"> PAGEREF _Toc11660 \h </w:instrText>
          </w:r>
          <w:r>
            <w:rPr>
              <w:color w:val="auto"/>
              <w:sz w:val="30"/>
              <w:szCs w:val="30"/>
              <w:highlight w:val="none"/>
            </w:rPr>
            <w:fldChar w:fldCharType="separate"/>
          </w:r>
          <w:r>
            <w:rPr>
              <w:color w:val="auto"/>
              <w:sz w:val="30"/>
              <w:szCs w:val="30"/>
              <w:highlight w:val="none"/>
            </w:rPr>
            <w:t xml:space="preserve">2</w:t>
          </w:r>
          <w:r>
            <w:rPr>
              <w:color w:val="auto"/>
              <w:sz w:val="30"/>
              <w:szCs w:val="30"/>
              <w:highlight w:val="none"/>
            </w:rPr>
            <w:fldChar w:fldCharType="end"/>
          </w:r>
          <w:r>
            <w:rPr>
              <w:color w:val="auto"/>
              <w:sz w:val="30"/>
              <w:szCs w:val="30"/>
              <w:highlight w:val="none"/>
            </w:rPr>
            <w:fldChar w:fldCharType="end"/>
          </w:r>
          <w:r>
            <w:rPr>
              <w:rFonts w:hint="eastAsia"/>
              <w:color w:val="auto"/>
              <w:sz w:val="30"/>
              <w:szCs w:val="30"/>
              <w:highlight w:val="none"/>
            </w:rPr>
            <w:t xml:space="preserve">-</w:t>
          </w:r>
          <w:r/>
        </w:p>
        <w:p>
          <w:pPr>
            <w:pStyle w:val="797"/>
            <w:tabs>
              <w:tab w:val="right" w:pos="9642" w:leader="dot"/>
            </w:tabs>
            <w:rPr>
              <w:color w:val="auto"/>
              <w:sz w:val="30"/>
              <w:szCs w:val="30"/>
              <w:highlight w:val="none"/>
            </w:rPr>
          </w:pPr>
          <w:r>
            <w:rPr>
              <w:color w:val="auto"/>
              <w:highlight w:val="none"/>
            </w:rPr>
            <w:fldChar w:fldCharType="begin"/>
          </w:r>
          <w:r>
            <w:rPr>
              <w:color w:val="auto"/>
              <w:highlight w:val="none"/>
            </w:rPr>
            <w:instrText xml:space="preserve"> HYPERLINK \l "_Toc24613" </w:instrText>
          </w:r>
          <w:r>
            <w:rPr>
              <w:color w:val="auto"/>
              <w:highlight w:val="none"/>
            </w:rPr>
            <w:fldChar w:fldCharType="separate"/>
          </w:r>
          <w:r>
            <w:rPr>
              <w:rFonts w:hint="eastAsia" w:ascii="黑体" w:hAnsi="黑体" w:eastAsia="黑体"/>
              <w:color w:val="auto"/>
              <w:sz w:val="30"/>
              <w:szCs w:val="30"/>
              <w:highlight w:val="none"/>
            </w:rPr>
            <w:t xml:space="preserve">第二章 供应商须知</w:t>
          </w:r>
          <w:r>
            <w:rPr>
              <w:color w:val="auto"/>
              <w:sz w:val="30"/>
              <w:szCs w:val="30"/>
              <w:highlight w:val="none"/>
            </w:rPr>
            <w:tab/>
          </w:r>
          <w:r>
            <w:rPr>
              <w:rFonts w:hint="eastAsia"/>
              <w:color w:val="auto"/>
              <w:sz w:val="30"/>
              <w:szCs w:val="30"/>
              <w:highlight w:val="none"/>
            </w:rPr>
            <w:t xml:space="preserve">-</w:t>
          </w:r>
          <w:r>
            <w:rPr>
              <w:color w:val="auto"/>
              <w:sz w:val="30"/>
              <w:szCs w:val="30"/>
              <w:highlight w:val="none"/>
            </w:rPr>
            <w:fldChar w:fldCharType="begin"/>
          </w:r>
          <w:r>
            <w:rPr>
              <w:color w:val="auto"/>
              <w:sz w:val="30"/>
              <w:szCs w:val="30"/>
              <w:highlight w:val="none"/>
            </w:rPr>
            <w:instrText xml:space="preserve"> PAGEREF _Toc24613 \h </w:instrText>
          </w:r>
          <w:r>
            <w:rPr>
              <w:color w:val="auto"/>
              <w:sz w:val="30"/>
              <w:szCs w:val="30"/>
              <w:highlight w:val="none"/>
            </w:rPr>
            <w:fldChar w:fldCharType="separate"/>
          </w:r>
          <w:r>
            <w:rPr>
              <w:color w:val="auto"/>
              <w:sz w:val="30"/>
              <w:szCs w:val="30"/>
              <w:highlight w:val="none"/>
            </w:rPr>
            <w:t xml:space="preserve">4</w:t>
          </w:r>
          <w:r>
            <w:rPr>
              <w:color w:val="auto"/>
              <w:sz w:val="30"/>
              <w:szCs w:val="30"/>
              <w:highlight w:val="none"/>
            </w:rPr>
            <w:fldChar w:fldCharType="end"/>
          </w:r>
          <w:r>
            <w:rPr>
              <w:color w:val="auto"/>
              <w:sz w:val="30"/>
              <w:szCs w:val="30"/>
              <w:highlight w:val="none"/>
            </w:rPr>
            <w:fldChar w:fldCharType="end"/>
          </w:r>
          <w:r>
            <w:rPr>
              <w:rFonts w:hint="eastAsia"/>
              <w:color w:val="auto"/>
              <w:sz w:val="30"/>
              <w:szCs w:val="30"/>
              <w:highlight w:val="none"/>
            </w:rPr>
            <w:t xml:space="preserve">-</w:t>
          </w:r>
          <w:r/>
        </w:p>
        <w:p>
          <w:pPr>
            <w:pStyle w:val="797"/>
            <w:tabs>
              <w:tab w:val="right" w:pos="9642" w:leader="dot"/>
            </w:tabs>
            <w:rPr>
              <w:color w:val="auto"/>
              <w:sz w:val="30"/>
              <w:szCs w:val="30"/>
              <w:highlight w:val="none"/>
            </w:rPr>
          </w:pPr>
          <w:r>
            <w:rPr>
              <w:color w:val="auto"/>
              <w:highlight w:val="none"/>
            </w:rPr>
            <w:fldChar w:fldCharType="begin"/>
          </w:r>
          <w:r>
            <w:rPr>
              <w:color w:val="auto"/>
              <w:highlight w:val="none"/>
            </w:rPr>
            <w:instrText xml:space="preserve"> HYPERLINK \l "_Toc18879" </w:instrText>
          </w:r>
          <w:r>
            <w:rPr>
              <w:color w:val="auto"/>
              <w:highlight w:val="none"/>
            </w:rPr>
            <w:fldChar w:fldCharType="separate"/>
          </w:r>
          <w:r>
            <w:rPr>
              <w:rFonts w:hint="eastAsia" w:ascii="黑体" w:hAnsi="黑体" w:eastAsia="黑体"/>
              <w:color w:val="auto"/>
              <w:sz w:val="30"/>
              <w:szCs w:val="30"/>
              <w:highlight w:val="none"/>
            </w:rPr>
            <w:t xml:space="preserve">第三章 项目技术要求和有关说明</w:t>
          </w:r>
          <w:r>
            <w:rPr>
              <w:color w:val="auto"/>
              <w:sz w:val="30"/>
              <w:szCs w:val="30"/>
              <w:highlight w:val="none"/>
            </w:rPr>
            <w:tab/>
          </w:r>
          <w:r>
            <w:rPr>
              <w:rFonts w:hint="eastAsia"/>
              <w:color w:val="auto"/>
              <w:sz w:val="30"/>
              <w:szCs w:val="30"/>
              <w:highlight w:val="none"/>
            </w:rPr>
            <w:t xml:space="preserve">-1</w:t>
          </w:r>
          <w:r>
            <w:rPr>
              <w:rFonts w:hint="eastAsia"/>
              <w:color w:val="auto"/>
              <w:sz w:val="30"/>
              <w:szCs w:val="30"/>
              <w:highlight w:val="none"/>
            </w:rPr>
            <w:fldChar w:fldCharType="end"/>
          </w:r>
          <w:r>
            <w:rPr>
              <w:rFonts w:hint="eastAsia"/>
              <w:color w:val="auto"/>
              <w:sz w:val="30"/>
              <w:szCs w:val="30"/>
              <w:highlight w:val="none"/>
            </w:rPr>
            <w:t xml:space="preserve">9-</w:t>
          </w:r>
          <w:r/>
        </w:p>
        <w:p>
          <w:pPr>
            <w:pStyle w:val="797"/>
            <w:tabs>
              <w:tab w:val="right" w:pos="9642" w:leader="dot"/>
            </w:tabs>
            <w:rPr>
              <w:color w:val="auto"/>
              <w:sz w:val="30"/>
              <w:szCs w:val="30"/>
              <w:highlight w:val="none"/>
            </w:rPr>
          </w:pPr>
          <w:r>
            <w:rPr>
              <w:color w:val="auto"/>
              <w:highlight w:val="none"/>
            </w:rPr>
            <w:fldChar w:fldCharType="begin"/>
          </w:r>
          <w:r>
            <w:rPr>
              <w:color w:val="auto"/>
              <w:highlight w:val="none"/>
            </w:rPr>
            <w:instrText xml:space="preserve"> HYPERLINK \l "_Toc23787" </w:instrText>
          </w:r>
          <w:r>
            <w:rPr>
              <w:color w:val="auto"/>
              <w:highlight w:val="none"/>
            </w:rPr>
            <w:fldChar w:fldCharType="separate"/>
          </w:r>
          <w:r>
            <w:rPr>
              <w:rFonts w:hint="eastAsia" w:ascii="黑体" w:hAnsi="黑体" w:eastAsia="黑体"/>
              <w:color w:val="auto"/>
              <w:sz w:val="30"/>
              <w:szCs w:val="30"/>
              <w:highlight w:val="none"/>
            </w:rPr>
            <w:t xml:space="preserve">第四章 评审方法和标准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_Toc23787 \h </w:instrText>
          </w:r>
          <w:r>
            <w:rPr>
              <w:color w:val="auto"/>
              <w:sz w:val="30"/>
              <w:szCs w:val="30"/>
              <w:highlight w:val="none"/>
            </w:rPr>
            <w:fldChar w:fldCharType="separate"/>
          </w:r>
          <w:r>
            <w:rPr>
              <w:color w:val="auto"/>
              <w:sz w:val="30"/>
              <w:szCs w:val="30"/>
              <w:highlight w:val="none"/>
            </w:rPr>
            <w:t xml:space="preserve">- 19 -</w:t>
          </w:r>
          <w:r>
            <w:rPr>
              <w:color w:val="auto"/>
              <w:sz w:val="30"/>
              <w:szCs w:val="30"/>
              <w:highlight w:val="none"/>
            </w:rPr>
            <w:fldChar w:fldCharType="end"/>
          </w:r>
          <w:r>
            <w:rPr>
              <w:color w:val="auto"/>
              <w:sz w:val="30"/>
              <w:szCs w:val="30"/>
              <w:highlight w:val="none"/>
            </w:rPr>
            <w:fldChar w:fldCharType="end"/>
          </w:r>
          <w:r/>
        </w:p>
        <w:p>
          <w:pPr>
            <w:pStyle w:val="797"/>
            <w:tabs>
              <w:tab w:val="right" w:pos="9642" w:leader="dot"/>
            </w:tabs>
            <w:rPr>
              <w:color w:val="auto"/>
              <w:sz w:val="30"/>
              <w:szCs w:val="30"/>
              <w:highlight w:val="none"/>
            </w:rPr>
          </w:pPr>
          <w:r>
            <w:rPr>
              <w:color w:val="auto"/>
              <w:highlight w:val="none"/>
            </w:rPr>
            <w:fldChar w:fldCharType="begin"/>
          </w:r>
          <w:r>
            <w:rPr>
              <w:color w:val="auto"/>
              <w:highlight w:val="none"/>
            </w:rPr>
            <w:instrText xml:space="preserve"> HYPERLINK \l "_Toc30442" </w:instrText>
          </w:r>
          <w:r>
            <w:rPr>
              <w:color w:val="auto"/>
              <w:highlight w:val="none"/>
            </w:rPr>
            <w:fldChar w:fldCharType="separate"/>
          </w:r>
          <w:r>
            <w:rPr>
              <w:rFonts w:hint="eastAsia" w:ascii="黑体" w:hAnsi="黑体" w:eastAsia="黑体"/>
              <w:color w:val="auto"/>
              <w:sz w:val="30"/>
              <w:szCs w:val="30"/>
              <w:highlight w:val="none"/>
            </w:rPr>
            <w:t xml:space="preserve">第五章 政府采购合同（格式）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_Toc30442 \h </w:instrText>
          </w:r>
          <w:r>
            <w:rPr>
              <w:color w:val="auto"/>
              <w:sz w:val="30"/>
              <w:szCs w:val="30"/>
              <w:highlight w:val="none"/>
            </w:rPr>
            <w:fldChar w:fldCharType="separate"/>
          </w:r>
          <w:r>
            <w:rPr>
              <w:color w:val="auto"/>
              <w:sz w:val="30"/>
              <w:szCs w:val="30"/>
              <w:highlight w:val="none"/>
            </w:rPr>
            <w:t xml:space="preserve">- 23 -</w:t>
          </w:r>
          <w:r>
            <w:rPr>
              <w:color w:val="auto"/>
              <w:sz w:val="30"/>
              <w:szCs w:val="30"/>
              <w:highlight w:val="none"/>
            </w:rPr>
            <w:fldChar w:fldCharType="end"/>
          </w:r>
          <w:r>
            <w:rPr>
              <w:color w:val="auto"/>
              <w:sz w:val="30"/>
              <w:szCs w:val="30"/>
              <w:highlight w:val="none"/>
            </w:rPr>
            <w:fldChar w:fldCharType="end"/>
          </w:r>
          <w:r/>
        </w:p>
        <w:p>
          <w:pPr>
            <w:pStyle w:val="797"/>
            <w:tabs>
              <w:tab w:val="right" w:pos="9642" w:leader="dot"/>
            </w:tabs>
            <w:rPr>
              <w:color w:val="auto"/>
              <w:sz w:val="30"/>
              <w:szCs w:val="30"/>
              <w:highlight w:val="none"/>
            </w:rPr>
          </w:pPr>
          <w:r>
            <w:rPr>
              <w:color w:val="auto"/>
              <w:highlight w:val="none"/>
            </w:rPr>
            <w:fldChar w:fldCharType="begin"/>
          </w:r>
          <w:r>
            <w:rPr>
              <w:color w:val="auto"/>
              <w:highlight w:val="none"/>
            </w:rPr>
            <w:instrText xml:space="preserve"> HYPERLINK \l "_Toc9241" </w:instrText>
          </w:r>
          <w:r>
            <w:rPr>
              <w:color w:val="auto"/>
              <w:highlight w:val="none"/>
            </w:rPr>
            <w:fldChar w:fldCharType="separate"/>
          </w:r>
          <w:r>
            <w:rPr>
              <w:rFonts w:hint="eastAsia" w:ascii="黑体" w:hAnsi="黑体" w:eastAsia="黑体"/>
              <w:color w:val="auto"/>
              <w:sz w:val="30"/>
              <w:szCs w:val="30"/>
              <w:highlight w:val="none"/>
            </w:rPr>
            <w:t xml:space="preserve">第六章 响应文件（格式）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_Toc9241 \h </w:instrText>
          </w:r>
          <w:r>
            <w:rPr>
              <w:color w:val="auto"/>
              <w:sz w:val="30"/>
              <w:szCs w:val="30"/>
              <w:highlight w:val="none"/>
            </w:rPr>
            <w:fldChar w:fldCharType="separate"/>
          </w:r>
          <w:r>
            <w:rPr>
              <w:color w:val="auto"/>
              <w:sz w:val="30"/>
              <w:szCs w:val="30"/>
              <w:highlight w:val="none"/>
            </w:rPr>
            <w:t xml:space="preserve">- 32 -</w:t>
          </w:r>
          <w:r>
            <w:rPr>
              <w:color w:val="auto"/>
              <w:sz w:val="30"/>
              <w:szCs w:val="30"/>
              <w:highlight w:val="none"/>
            </w:rPr>
            <w:fldChar w:fldCharType="end"/>
          </w:r>
          <w:r>
            <w:rPr>
              <w:color w:val="auto"/>
              <w:sz w:val="30"/>
              <w:szCs w:val="30"/>
              <w:highlight w:val="none"/>
            </w:rPr>
            <w:fldChar w:fldCharType="end"/>
          </w:r>
          <w:r/>
        </w:p>
        <w:p>
          <w:pPr>
            <w:pStyle w:val="737"/>
            <w:rPr>
              <w:color w:val="auto"/>
              <w:sz w:val="32"/>
              <w:szCs w:val="32"/>
              <w:highlight w:val="none"/>
            </w:rPr>
          </w:pPr>
          <w:r>
            <w:rPr>
              <w:color w:val="auto"/>
              <w:szCs w:val="32"/>
              <w:highlight w:val="none"/>
            </w:rPr>
            <w:fldChar w:fldCharType="end"/>
          </w:r>
          <w:r/>
        </w:p>
      </w:sdtContent>
    </w:sdt>
    <w:p>
      <w:pPr>
        <w:pStyle w:val="737"/>
        <w:rPr>
          <w:color w:val="auto"/>
          <w:highlight w:val="none"/>
        </w:rPr>
      </w:pPr>
      <w:r>
        <w:rPr>
          <w:color w:val="auto"/>
          <w:highlight w:val="none"/>
        </w:rPr>
      </w:r>
      <w:r/>
    </w:p>
    <w:p>
      <w:pPr>
        <w:pStyle w:val="753"/>
        <w:ind w:firstLine="200"/>
        <w:rPr>
          <w:color w:val="auto"/>
          <w:highlight w:val="none"/>
        </w:rPr>
      </w:pPr>
      <w:r>
        <w:rPr>
          <w:color w:val="auto"/>
          <w:highlight w:val="none"/>
        </w:rPr>
      </w:r>
      <w:r/>
    </w:p>
    <w:p>
      <w:pPr>
        <w:pStyle w:val="754"/>
        <w:rPr>
          <w:color w:val="auto"/>
          <w:highlight w:val="none"/>
        </w:rPr>
      </w:pPr>
      <w:r>
        <w:rPr>
          <w:color w:val="auto"/>
          <w:highlight w:val="none"/>
        </w:rPr>
      </w:r>
      <w:r/>
    </w:p>
    <w:p>
      <w:pPr>
        <w:pStyle w:val="753"/>
        <w:ind w:firstLine="200"/>
        <w:rPr>
          <w:color w:val="auto"/>
          <w:highlight w:val="none"/>
        </w:rPr>
      </w:pPr>
      <w:r>
        <w:rPr>
          <w:color w:val="auto"/>
          <w:highlight w:val="none"/>
        </w:rPr>
      </w:r>
      <w:r/>
    </w:p>
    <w:p>
      <w:pPr>
        <w:pStyle w:val="754"/>
        <w:rPr>
          <w:color w:val="auto"/>
          <w:highlight w:val="none"/>
        </w:rPr>
      </w:pPr>
      <w:r>
        <w:rPr>
          <w:color w:val="auto"/>
          <w:highlight w:val="none"/>
        </w:rPr>
      </w:r>
      <w:r/>
    </w:p>
    <w:p>
      <w:pPr>
        <w:pStyle w:val="753"/>
        <w:ind w:firstLine="200"/>
        <w:rPr>
          <w:color w:val="auto"/>
          <w:highlight w:val="none"/>
        </w:rPr>
      </w:pPr>
      <w:r>
        <w:rPr>
          <w:color w:val="auto"/>
          <w:highlight w:val="none"/>
        </w:rPr>
      </w:r>
      <w:r/>
    </w:p>
    <w:p>
      <w:pPr>
        <w:pStyle w:val="754"/>
        <w:rPr>
          <w:color w:val="auto"/>
          <w:highlight w:val="none"/>
        </w:rPr>
      </w:pPr>
      <w:r>
        <w:rPr>
          <w:color w:val="auto"/>
          <w:highlight w:val="none"/>
        </w:rPr>
      </w:r>
      <w:r/>
    </w:p>
    <w:p>
      <w:pPr>
        <w:pStyle w:val="753"/>
        <w:ind w:firstLine="200"/>
        <w:rPr>
          <w:color w:val="auto"/>
          <w:highlight w:val="none"/>
        </w:rPr>
      </w:pPr>
      <w:r>
        <w:rPr>
          <w:color w:val="auto"/>
          <w:highlight w:val="none"/>
        </w:rPr>
      </w:r>
      <w:r/>
    </w:p>
    <w:p>
      <w:pPr>
        <w:pStyle w:val="754"/>
        <w:rPr>
          <w:color w:val="auto"/>
          <w:highlight w:val="none"/>
        </w:rPr>
      </w:pPr>
      <w:r>
        <w:rPr>
          <w:color w:val="auto"/>
          <w:highlight w:val="none"/>
        </w:rPr>
      </w:r>
      <w:r/>
    </w:p>
    <w:p>
      <w:pPr>
        <w:pStyle w:val="753"/>
        <w:ind w:firstLine="200"/>
        <w:rPr>
          <w:color w:val="auto"/>
          <w:highlight w:val="none"/>
        </w:rPr>
      </w:pPr>
      <w:r>
        <w:rPr>
          <w:color w:val="auto"/>
          <w:highlight w:val="none"/>
        </w:rPr>
      </w:r>
      <w:r/>
    </w:p>
    <w:p>
      <w:pPr>
        <w:pStyle w:val="754"/>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53"/>
        <w:ind w:firstLine="200"/>
        <w:rPr>
          <w:color w:val="auto"/>
          <w:highlight w:val="none"/>
        </w:rPr>
      </w:pPr>
      <w:r>
        <w:rPr>
          <w:color w:val="auto"/>
          <w:highlight w:val="none"/>
        </w:rPr>
      </w:r>
      <w:r/>
    </w:p>
    <w:p>
      <w:pPr>
        <w:pStyle w:val="754"/>
        <w:rPr>
          <w:color w:val="auto"/>
          <w:highlight w:val="none"/>
        </w:rPr>
      </w:pPr>
      <w:r>
        <w:rPr>
          <w:color w:val="auto"/>
          <w:highlight w:val="none"/>
        </w:rPr>
      </w:r>
      <w:r/>
    </w:p>
    <w:p>
      <w:pPr>
        <w:pStyle w:val="753"/>
        <w:ind w:firstLine="200"/>
        <w:rPr>
          <w:color w:val="auto"/>
          <w:highlight w:val="none"/>
        </w:rPr>
      </w:pPr>
      <w:r>
        <w:rPr>
          <w:color w:val="auto"/>
          <w:highlight w:val="none"/>
        </w:rPr>
      </w:r>
      <w:r/>
    </w:p>
    <w:p>
      <w:pPr>
        <w:pStyle w:val="754"/>
        <w:rPr>
          <w:color w:val="auto"/>
          <w:highlight w:val="none"/>
        </w:rPr>
      </w:pPr>
      <w:r>
        <w:rPr>
          <w:color w:val="auto"/>
          <w:highlight w:val="none"/>
        </w:rPr>
      </w:r>
      <w:r/>
    </w:p>
    <w:p>
      <w:pPr>
        <w:pStyle w:val="753"/>
        <w:ind w:firstLine="200"/>
        <w:rPr>
          <w:color w:val="auto"/>
          <w:highlight w:val="none"/>
        </w:rPr>
      </w:pPr>
      <w:r>
        <w:rPr>
          <w:color w:val="auto"/>
          <w:highlight w:val="none"/>
        </w:rPr>
      </w:r>
      <w:r/>
    </w:p>
    <w:p>
      <w:pPr>
        <w:pStyle w:val="754"/>
        <w:ind w:left="0" w:firstLine="0"/>
        <w:rPr>
          <w:color w:val="auto"/>
          <w:highlight w:val="none"/>
        </w:rPr>
      </w:pPr>
      <w:r>
        <w:rPr>
          <w:color w:val="auto"/>
          <w:highlight w:val="none"/>
        </w:rPr>
      </w:r>
      <w:r/>
    </w:p>
    <w:p>
      <w:pPr>
        <w:rPr>
          <w:rFonts w:hint="eastAsia" w:ascii="黑体" w:hAnsi="黑体" w:eastAsia="黑体"/>
          <w:color w:val="auto"/>
          <w:sz w:val="28"/>
          <w:highlight w:val="none"/>
        </w:rPr>
      </w:pPr>
      <w:r/>
      <w:bookmarkStart w:id="40" w:name="_Toc67384153"/>
      <w:r/>
      <w:bookmarkStart w:id="41" w:name="_Toc21516"/>
      <w:r/>
      <w:bookmarkStart w:id="42" w:name="_Toc24924"/>
      <w:r/>
      <w:bookmarkStart w:id="43" w:name="_Toc3508"/>
      <w:r/>
      <w:bookmarkStart w:id="44" w:name="_Toc70605549"/>
      <w:r/>
      <w:bookmarkStart w:id="45" w:name="_Toc30211"/>
      <w:r/>
      <w:bookmarkStart w:id="46" w:name="_Toc66967606"/>
      <w:r/>
      <w:bookmarkStart w:id="47" w:name="_Toc555"/>
      <w:r/>
      <w:bookmarkStart w:id="48" w:name="_Toc20297"/>
      <w:r/>
      <w:bookmarkStart w:id="49" w:name="_Toc3611"/>
      <w:r/>
      <w:bookmarkStart w:id="50" w:name="_Toc17713"/>
      <w:r/>
      <w:bookmarkStart w:id="51" w:name="_Toc6815"/>
      <w:r/>
      <w:r/>
    </w:p>
    <w:p>
      <w:pPr>
        <w:jc w:val="center"/>
        <w:rPr>
          <w:rFonts w:hint="eastAsia" w:ascii="黑体" w:hAnsi="黑体" w:eastAsia="黑体"/>
          <w:color w:val="auto"/>
          <w:sz w:val="28"/>
          <w:highlight w:val="none"/>
        </w:rPr>
        <w:outlineLvl w:val="0"/>
      </w:pPr>
      <w:r/>
      <w:bookmarkStart w:id="52" w:name="_Toc29725"/>
      <w:r/>
      <w:bookmarkStart w:id="53" w:name="_Toc11660"/>
      <w:r/>
      <w:bookmarkStart w:id="54" w:name="_Toc9939"/>
      <w:r/>
      <w:bookmarkStart w:id="55" w:name="_Toc8668"/>
      <w:r>
        <w:rPr>
          <w:rFonts w:hint="eastAsia" w:ascii="黑体" w:hAnsi="黑体" w:eastAsia="黑体"/>
          <w:color w:val="auto"/>
          <w:sz w:val="28"/>
          <w:highlight w:val="none"/>
        </w:rPr>
        <w:t xml:space="preserve">第一章 报价邀请函</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8"/>
          <w:highlight w:val="none"/>
          <w:lang w:eastAsia="zh-CN"/>
        </w:rPr>
        <w:t xml:space="preserve">宜兴市应急管理局</w:t>
      </w:r>
      <w:r>
        <w:rPr>
          <w:rFonts w:hint="eastAsia" w:ascii="宋体" w:hAnsi="宋体"/>
          <w:color w:val="auto"/>
          <w:sz w:val="24"/>
          <w:szCs w:val="28"/>
          <w:highlight w:val="none"/>
        </w:rPr>
        <w:t xml:space="preserve">对</w:t>
      </w:r>
      <w:r>
        <w:rPr>
          <w:rFonts w:hint="eastAsia" w:ascii="宋体" w:hAnsi="宋体"/>
          <w:color w:val="auto"/>
          <w:sz w:val="24"/>
          <w:szCs w:val="28"/>
          <w:highlight w:val="none"/>
          <w:lang w:eastAsia="zh-CN"/>
        </w:rPr>
        <w:t xml:space="preserve">江苏省“三断”条件下应急指挥协同机制演练服务项目</w:t>
      </w:r>
      <w:r>
        <w:rPr>
          <w:rFonts w:hint="eastAsia" w:ascii="宋体" w:hAnsi="宋体"/>
          <w:color w:val="auto"/>
          <w:sz w:val="24"/>
          <w:szCs w:val="28"/>
          <w:highlight w:val="none"/>
        </w:rPr>
        <w:t xml:space="preserve">进行竞争性磋商方式采购，</w:t>
      </w:r>
      <w:r>
        <w:rPr>
          <w:rFonts w:hint="eastAsia" w:ascii="宋体" w:hAnsi="宋体"/>
          <w:bCs/>
          <w:color w:val="auto"/>
          <w:sz w:val="24"/>
          <w:szCs w:val="24"/>
          <w:highlight w:val="none"/>
        </w:rPr>
        <w:t xml:space="preserve">欢迎你单位竞争报价并提请注意下列附表中的相关事项：</w:t>
      </w:r>
      <w:r/>
    </w:p>
    <w:tbl>
      <w:tblPr>
        <w:tblStyle w:val="736"/>
        <w:tblW w:w="106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659"/>
        <w:gridCol w:w="2713"/>
        <w:gridCol w:w="6498"/>
      </w:tblGrid>
      <w:tr>
        <w:trPr/>
        <w:tc>
          <w:tcPr>
            <w:tcW w:w="735" w:type="dxa"/>
            <w:textDirection w:val="lrTb"/>
            <w:noWrap w:val="false"/>
          </w:tcPr>
          <w:p>
            <w:pPr>
              <w:jc w:val="center"/>
              <w:rPr>
                <w:rFonts w:hint="eastAsia" w:ascii="宋体" w:hAnsi="宋体"/>
                <w:bCs/>
                <w:color w:val="auto"/>
                <w:sz w:val="24"/>
                <w:szCs w:val="24"/>
                <w:highlight w:val="none"/>
              </w:rPr>
            </w:pPr>
            <w:r/>
            <w:bookmarkStart w:id="56" w:name="_Toc29543"/>
            <w:r>
              <w:rPr>
                <w:rFonts w:hint="eastAsia" w:ascii="宋体" w:hAnsi="宋体"/>
                <w:bCs/>
                <w:color w:val="auto"/>
                <w:sz w:val="24"/>
                <w:szCs w:val="24"/>
                <w:highlight w:val="none"/>
              </w:rPr>
              <w:t xml:space="preserve">序号</w:t>
            </w:r>
            <w:r/>
          </w:p>
        </w:tc>
        <w:tc>
          <w:tcPr>
            <w:tcW w:w="659" w:type="dxa"/>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9211" w:type="dxa"/>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内容</w:t>
            </w:r>
            <w:r/>
          </w:p>
        </w:tc>
      </w:tr>
      <w:tr>
        <w:trPr>
          <w:trHeight w:val="1842"/>
        </w:trPr>
        <w:tc>
          <w:tcPr>
            <w:tcW w:w="735"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65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项目信息</w:t>
            </w:r>
            <w:r/>
          </w:p>
        </w:tc>
        <w:tc>
          <w:tcPr>
            <w:gridSpan w:val="2"/>
            <w:tcW w:w="9211" w:type="dxa"/>
            <w:textDirection w:val="lrTb"/>
            <w:noWrap w:val="false"/>
          </w:tcPr>
          <w:p>
            <w:pPr>
              <w:jc w:val="left"/>
              <w:rPr>
                <w:rFonts w:ascii="宋体"/>
                <w:color w:val="auto"/>
                <w:sz w:val="24"/>
                <w:highlight w:val="none"/>
                <w:lang w:val="zh-CN"/>
              </w:rPr>
            </w:pPr>
            <w:r>
              <w:rPr>
                <w:rFonts w:hint="eastAsia" w:ascii="宋体"/>
                <w:color w:val="auto"/>
                <w:sz w:val="24"/>
                <w:highlight w:val="none"/>
                <w:lang w:val="zh-CN"/>
              </w:rPr>
              <w:t xml:space="preserve">项目名称：江苏省“三断”条件下应急指挥协同机制演练服务项目</w:t>
            </w:r>
            <w:r/>
          </w:p>
          <w:p>
            <w:pPr>
              <w:jc w:val="left"/>
              <w:rPr>
                <w:rFonts w:ascii="宋体"/>
                <w:color w:val="auto"/>
                <w:sz w:val="24"/>
                <w:highlight w:val="none"/>
                <w:lang w:val="zh-CN"/>
              </w:rPr>
            </w:pPr>
            <w:r>
              <w:rPr>
                <w:rFonts w:hint="eastAsia" w:ascii="宋体"/>
                <w:color w:val="auto"/>
                <w:sz w:val="24"/>
                <w:highlight w:val="none"/>
                <w:lang w:val="zh-CN"/>
              </w:rPr>
              <w:t xml:space="preserve">项目编号:JSZC-320282-XDFH-C2024-0030</w:t>
            </w:r>
            <w:r>
              <w:rPr>
                <w:rFonts w:hint="eastAsia" w:ascii="宋体"/>
                <w:color w:val="auto"/>
                <w:sz w:val="24"/>
                <w:highlight w:val="none"/>
              </w:rPr>
              <w:t xml:space="preserve">              </w:t>
            </w:r>
            <w:r>
              <w:rPr>
                <w:rFonts w:hint="eastAsia" w:ascii="宋体"/>
                <w:color w:val="auto"/>
                <w:sz w:val="24"/>
                <w:highlight w:val="none"/>
                <w:lang w:val="zh-CN"/>
              </w:rPr>
              <w:t xml:space="preserve">品    目：服务</w:t>
            </w:r>
            <w:r/>
          </w:p>
          <w:p>
            <w:pPr>
              <w:jc w:val="left"/>
              <w:rPr>
                <w:rFonts w:ascii="宋体"/>
                <w:color w:val="auto"/>
                <w:sz w:val="24"/>
                <w:highlight w:val="none"/>
                <w:lang w:val="zh-CN"/>
              </w:rPr>
            </w:pPr>
            <w:r>
              <w:rPr>
                <w:rFonts w:hint="eastAsia" w:ascii="宋体"/>
                <w:color w:val="auto"/>
                <w:sz w:val="24"/>
                <w:highlight w:val="none"/>
                <w:lang w:val="zh-CN"/>
              </w:rPr>
              <w:t xml:space="preserve">本项目是否专门面向中小企业：是</w:t>
            </w:r>
            <w:r/>
          </w:p>
          <w:p>
            <w:pPr>
              <w:jc w:val="left"/>
              <w:rPr>
                <w:rFonts w:ascii="宋体"/>
                <w:color w:val="auto"/>
                <w:sz w:val="24"/>
                <w:highlight w:val="none"/>
                <w:lang w:val="zh-CN"/>
              </w:rPr>
            </w:pPr>
            <w:r>
              <w:rPr>
                <w:rFonts w:hint="eastAsia" w:ascii="宋体"/>
                <w:color w:val="auto"/>
                <w:sz w:val="24"/>
                <w:highlight w:val="none"/>
                <w:lang w:val="zh-CN"/>
              </w:rPr>
              <w:t xml:space="preserve">本项目标的所属行业：其他</w:t>
            </w:r>
            <w:r>
              <w:rPr>
                <w:rFonts w:hint="eastAsia" w:ascii="宋体"/>
                <w:color w:val="auto"/>
                <w:sz w:val="24"/>
                <w:highlight w:val="none"/>
                <w:lang w:val="en-US" w:eastAsia="zh-CN"/>
              </w:rPr>
              <w:t xml:space="preserve">服务</w:t>
            </w:r>
            <w:r>
              <w:rPr>
                <w:rFonts w:hint="eastAsia" w:ascii="宋体"/>
                <w:color w:val="auto"/>
                <w:sz w:val="24"/>
                <w:highlight w:val="none"/>
              </w:rPr>
              <w:t xml:space="preserve">          </w:t>
            </w:r>
            <w:r>
              <w:rPr>
                <w:rFonts w:hint="eastAsia" w:ascii="宋体"/>
                <w:color w:val="auto"/>
                <w:sz w:val="24"/>
                <w:highlight w:val="none"/>
                <w:lang w:val="en-US" w:eastAsia="zh-CN"/>
              </w:rPr>
              <w:t xml:space="preserve">   </w:t>
            </w:r>
            <w:r>
              <w:rPr>
                <w:rFonts w:hint="eastAsia" w:ascii="宋体"/>
                <w:color w:val="auto"/>
                <w:sz w:val="24"/>
                <w:highlight w:val="none"/>
              </w:rPr>
              <w:t xml:space="preserve">   </w:t>
            </w:r>
            <w:r>
              <w:rPr>
                <w:rFonts w:hint="eastAsia" w:ascii="宋体"/>
                <w:color w:val="auto"/>
                <w:sz w:val="24"/>
                <w:highlight w:val="none"/>
                <w:lang w:val="zh-CN"/>
              </w:rPr>
              <w:t xml:space="preserve">采购方式：竞争性磋商</w:t>
            </w:r>
            <w:r/>
          </w:p>
          <w:p>
            <w:pPr>
              <w:jc w:val="left"/>
              <w:rPr>
                <w:rFonts w:ascii="宋体"/>
                <w:color w:val="auto"/>
                <w:sz w:val="24"/>
                <w:highlight w:val="none"/>
                <w:lang w:val="zh-CN"/>
              </w:rPr>
            </w:pPr>
            <w:r>
              <w:rPr>
                <w:rFonts w:hint="eastAsia" w:ascii="宋体"/>
                <w:color w:val="auto"/>
                <w:sz w:val="24"/>
                <w:highlight w:val="none"/>
                <w:lang w:val="zh-CN"/>
              </w:rPr>
              <w:t xml:space="preserve">评审方法：参照综合评分法</w:t>
            </w:r>
            <w:r/>
          </w:p>
          <w:p>
            <w:pPr>
              <w:jc w:val="left"/>
              <w:rPr>
                <w:color w:val="auto"/>
                <w:highlight w:val="none"/>
              </w:rPr>
            </w:pPr>
            <w:r>
              <w:rPr>
                <w:rFonts w:hint="eastAsia" w:ascii="宋体"/>
                <w:color w:val="auto"/>
                <w:sz w:val="24"/>
                <w:highlight w:val="none"/>
                <w:lang w:val="zh-CN"/>
              </w:rPr>
              <w:t xml:space="preserve">本项目预算为：</w:t>
            </w:r>
            <w:r>
              <w:rPr>
                <w:rFonts w:hint="eastAsia" w:ascii="宋体"/>
                <w:color w:val="auto"/>
                <w:sz w:val="24"/>
                <w:highlight w:val="none"/>
                <w:lang w:val="en-US" w:eastAsia="zh-CN"/>
              </w:rPr>
              <w:t xml:space="preserve">1700000元</w:t>
            </w:r>
            <w:r>
              <w:rPr>
                <w:rFonts w:hint="eastAsia" w:ascii="宋体"/>
                <w:color w:val="auto"/>
                <w:sz w:val="24"/>
                <w:highlight w:val="none"/>
              </w:rPr>
              <w:t xml:space="preserve">                     最高限价：同预算</w:t>
            </w:r>
            <w:r/>
          </w:p>
        </w:tc>
      </w:tr>
      <w:tr>
        <w:trPr>
          <w:trHeight w:val="3807"/>
        </w:trPr>
        <w:tc>
          <w:tcPr>
            <w:tcW w:w="735" w:type="dxa"/>
            <w:vAlign w:val="center"/>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2</w:t>
            </w:r>
            <w:r/>
          </w:p>
        </w:tc>
        <w:tc>
          <w:tcPr>
            <w:tcW w:w="659" w:type="dxa"/>
            <w:vAlign w:val="center"/>
            <w:textDirection w:val="lrTb"/>
            <w:noWrap w:val="false"/>
          </w:tcPr>
          <w:p>
            <w:pPr>
              <w:pStyle w:val="782"/>
              <w:jc w:val="center"/>
              <w:spacing w:line="276" w:lineRule="auto"/>
              <w:rPr>
                <w:b/>
                <w:bCs/>
                <w:color w:val="auto"/>
                <w:highlight w:val="none"/>
                <w:lang w:val="zh-CN"/>
              </w:rPr>
            </w:pPr>
            <w:r>
              <w:rPr>
                <w:rFonts w:hint="eastAsia"/>
                <w:b/>
                <w:bCs/>
                <w:color w:val="auto"/>
                <w:highlight w:val="none"/>
                <w:lang w:val="zh-CN"/>
              </w:rPr>
              <w:t xml:space="preserve">资</w:t>
            </w:r>
            <w:r/>
          </w:p>
          <w:p>
            <w:pPr>
              <w:pStyle w:val="782"/>
              <w:jc w:val="center"/>
              <w:spacing w:line="276" w:lineRule="auto"/>
              <w:rPr>
                <w:b/>
                <w:bCs/>
                <w:color w:val="auto"/>
                <w:highlight w:val="none"/>
                <w:lang w:val="zh-CN"/>
              </w:rPr>
            </w:pPr>
            <w:r>
              <w:rPr>
                <w:rFonts w:hint="eastAsia"/>
                <w:b/>
                <w:bCs/>
                <w:color w:val="auto"/>
                <w:highlight w:val="none"/>
                <w:lang w:val="zh-CN"/>
              </w:rPr>
              <w:t xml:space="preserve">格</w:t>
            </w:r>
            <w:r/>
          </w:p>
          <w:p>
            <w:pPr>
              <w:pStyle w:val="782"/>
              <w:jc w:val="center"/>
              <w:spacing w:line="276" w:lineRule="auto"/>
              <w:rPr>
                <w:b/>
                <w:bCs/>
                <w:color w:val="auto"/>
                <w:highlight w:val="none"/>
              </w:rPr>
            </w:pPr>
            <w:r>
              <w:rPr>
                <w:rFonts w:hint="eastAsia"/>
                <w:b/>
                <w:bCs/>
                <w:color w:val="auto"/>
                <w:highlight w:val="none"/>
              </w:rPr>
              <w:t xml:space="preserve">条</w:t>
            </w:r>
            <w:r/>
          </w:p>
          <w:p>
            <w:pPr>
              <w:pStyle w:val="782"/>
              <w:jc w:val="center"/>
              <w:spacing w:line="276" w:lineRule="auto"/>
              <w:rPr>
                <w:rFonts w:hint="eastAsia" w:hAnsi="宋体"/>
                <w:bCs/>
                <w:color w:val="auto"/>
                <w:szCs w:val="24"/>
                <w:highlight w:val="none"/>
              </w:rPr>
            </w:pPr>
            <w:r>
              <w:rPr>
                <w:rFonts w:hint="eastAsia"/>
                <w:b/>
                <w:bCs/>
                <w:color w:val="auto"/>
                <w:highlight w:val="none"/>
              </w:rPr>
              <w:t xml:space="preserve">件</w:t>
            </w:r>
            <w:r/>
          </w:p>
        </w:tc>
        <w:tc>
          <w:tcPr>
            <w:gridSpan w:val="2"/>
            <w:tcW w:w="9211" w:type="dxa"/>
            <w:vAlign w:val="center"/>
            <w:textDirection w:val="lrTb"/>
            <w:noWrap w:val="false"/>
          </w:tcPr>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p>
          <w:p>
            <w:pPr>
              <w:spacing w:line="320" w:lineRule="exact"/>
              <w:rPr>
                <w:rFonts w:hint="eastAsia" w:ascii="宋体" w:hAnsi="宋体" w:cs="宋体"/>
                <w:bCs/>
                <w:color w:val="auto"/>
                <w:sz w:val="24"/>
                <w:szCs w:val="24"/>
                <w:highlight w:val="none"/>
              </w:rPr>
            </w:pPr>
            <w:r>
              <w:rPr>
                <w:rFonts w:ascii="宋体" w:hAnsi="宋体" w:cs="宋体"/>
                <w:color w:val="auto"/>
                <w:sz w:val="24"/>
                <w:highlight w:val="none"/>
              </w:rPr>
              <w:t xml:space="preserve">3.</w:t>
            </w:r>
            <w:r>
              <w:rPr>
                <w:rFonts w:hint="eastAsia" w:ascii="宋体" w:hAnsi="宋体" w:cs="宋体"/>
                <w:bCs/>
                <w:color w:val="auto"/>
                <w:sz w:val="24"/>
                <w:szCs w:val="24"/>
                <w:highlight w:val="none"/>
              </w:rPr>
              <w:t xml:space="preserve">落实政府采购政策需满足的资格要求：本项目专门面向中小企业采购；</w:t>
            </w:r>
            <w:r/>
          </w:p>
          <w:p>
            <w:pPr>
              <w:spacing w:line="320" w:lineRule="exact"/>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本项目不接受联合体，不接受</w:t>
            </w:r>
            <w:r>
              <w:rPr>
                <w:rFonts w:hint="eastAsia" w:ascii="宋体" w:hAnsi="宋体"/>
                <w:bCs/>
                <w:color w:val="auto"/>
                <w:sz w:val="24"/>
                <w:szCs w:val="24"/>
                <w:highlight w:val="none"/>
              </w:rPr>
              <w:t xml:space="preserve">成交</w:t>
            </w:r>
            <w:r>
              <w:rPr>
                <w:rFonts w:hint="eastAsia" w:ascii="宋体" w:hAnsi="宋体"/>
                <w:bCs/>
                <w:color w:val="auto"/>
                <w:sz w:val="24"/>
                <w:szCs w:val="24"/>
                <w:highlight w:val="none"/>
                <w:lang w:val="zh-CN"/>
              </w:rPr>
              <w:t xml:space="preserve">后分包；</w:t>
            </w:r>
            <w:r/>
          </w:p>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特定资格要求：无；</w:t>
            </w:r>
            <w:r/>
          </w:p>
          <w:p>
            <w:pPr>
              <w:spacing w:line="320" w:lineRule="exact"/>
              <w:rPr>
                <w:rFonts w:hint="eastAsia" w:ascii="宋体" w:hAnsi="宋体" w:cs="宋体"/>
                <w:bCs/>
                <w:color w:val="auto"/>
                <w:sz w:val="24"/>
                <w:szCs w:val="24"/>
                <w:highlight w:val="none"/>
              </w:rPr>
            </w:pPr>
            <w:r/>
            <w:bookmarkStart w:id="57" w:name="_Hlk152312011"/>
            <w:r>
              <w:rPr>
                <w:rFonts w:hint="eastAsia" w:ascii="宋体" w:hAnsi="宋体" w:cs="宋体"/>
                <w:bCs/>
                <w:color w:val="auto"/>
                <w:sz w:val="24"/>
                <w:szCs w:val="24"/>
                <w:highlight w:val="none"/>
              </w:rPr>
              <w:t xml:space="preserve">6</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spacing w:line="240" w:lineRule="atLeast"/>
              <w:rPr>
                <w:rFonts w:hint="eastAsia" w:ascii="宋体" w:hAnsi="宋体" w:cs="宋体"/>
                <w:bCs/>
                <w:color w:val="auto"/>
                <w:sz w:val="24"/>
                <w:szCs w:val="21"/>
                <w:highlight w:val="none"/>
              </w:rPr>
            </w:pPr>
            <w:r>
              <w:rPr>
                <w:rFonts w:ascii="宋体" w:hAnsi="宋体" w:cs="宋体"/>
                <w:bCs/>
                <w:color w:val="auto"/>
                <w:sz w:val="24"/>
                <w:szCs w:val="24"/>
                <w:highlight w:val="none"/>
              </w:rPr>
              <w:t xml:space="preserve">7.</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为本采购项目提供整体设计、规范编制或者项目管理、监理、检测等服务的供应商（投标人），不得再参加本采购项目的采购活动。</w:t>
            </w:r>
            <w:bookmarkEnd w:id="57"/>
            <w:r/>
            <w:r/>
          </w:p>
        </w:tc>
      </w:tr>
      <w:tr>
        <w:trPr/>
        <w:tc>
          <w:tcPr>
            <w:tcW w:w="735"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659" w:type="dxa"/>
            <w:vAlign w:val="center"/>
            <w:textDirection w:val="lrTb"/>
            <w:noWrap w:val="false"/>
          </w:tcPr>
          <w:p>
            <w:pPr>
              <w:pStyle w:val="782"/>
              <w:jc w:val="center"/>
              <w:rPr>
                <w:b/>
                <w:bCs/>
                <w:color w:val="auto"/>
                <w:szCs w:val="22"/>
                <w:highlight w:val="none"/>
              </w:rPr>
            </w:pPr>
            <w:r>
              <w:rPr>
                <w:rFonts w:hint="eastAsia"/>
                <w:b/>
                <w:bCs/>
                <w:color w:val="auto"/>
                <w:szCs w:val="22"/>
                <w:highlight w:val="none"/>
              </w:rPr>
              <w:t xml:space="preserve">磋商</w:t>
            </w:r>
            <w:r/>
          </w:p>
          <w:p>
            <w:pPr>
              <w:jc w:val="center"/>
              <w:rPr>
                <w:rFonts w:hint="eastAsia" w:ascii="宋体" w:hAnsi="宋体"/>
                <w:bCs/>
                <w:color w:val="auto"/>
                <w:sz w:val="24"/>
                <w:szCs w:val="24"/>
                <w:highlight w:val="none"/>
              </w:rPr>
            </w:pPr>
            <w:r>
              <w:rPr>
                <w:rFonts w:hint="eastAsia"/>
                <w:b/>
                <w:bCs/>
                <w:color w:val="auto"/>
                <w:szCs w:val="22"/>
                <w:highlight w:val="none"/>
              </w:rPr>
              <w:t xml:space="preserve">文件</w:t>
            </w:r>
            <w:r/>
          </w:p>
        </w:tc>
        <w:tc>
          <w:tcPr>
            <w:gridSpan w:val="2"/>
            <w:tcW w:w="9211" w:type="dxa"/>
            <w:textDirection w:val="lrTb"/>
            <w:noWrap w:val="false"/>
          </w:tcPr>
          <w:p>
            <w:pPr>
              <w:numPr>
                <w:ilvl w:val="0"/>
                <w:numId w:val="1"/>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磋商文件的获取：首次响应文件提交截止时间前，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，应在“项目参与”中下载电子磋商文件(后缀名为“.kedt”)；可在“江苏政府采购网”采购公告附件中下载w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版磋商文件。</w:t>
            </w:r>
            <w:r/>
          </w:p>
          <w:p>
            <w:pPr>
              <w:numPr>
                <w:ilvl w:val="0"/>
                <w:numId w:val="1"/>
              </w:numPr>
              <w:jc w:val="left"/>
              <w:rPr>
                <w:rFonts w:ascii="宋体" w:hAnsi="宋体"/>
                <w:bCs/>
                <w:color w:val="auto"/>
                <w:sz w:val="24"/>
                <w:szCs w:val="24"/>
                <w:highlight w:val="none"/>
              </w:rPr>
            </w:pPr>
            <w:r>
              <w:rPr>
                <w:rFonts w:hint="eastAsia" w:ascii="宋体" w:hAnsi="宋体" w:cs="宋体"/>
                <w:bCs/>
                <w:color w:val="auto"/>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rPr>
                <w:rFonts w:hint="eastAsia"/>
                <w:color w:val="auto"/>
                <w:highlight w:val="none"/>
                <w:lang w:val="zh-CN"/>
              </w:rPr>
            </w:pPr>
            <w:r>
              <w:rPr>
                <w:rFonts w:hint="eastAsia" w:ascii="宋体" w:hAnsi="宋体" w:cs="宋体"/>
                <w:bCs/>
                <w:color w:val="auto"/>
                <w:sz w:val="24"/>
                <w:szCs w:val="21"/>
                <w:highlight w:val="none"/>
              </w:rPr>
              <w:t xml:space="preserve">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tc>
          <w:tcPr>
            <w:tcW w:w="735" w:type="dxa"/>
            <w:vAlign w:val="center"/>
            <w:textDirection w:val="lrTb"/>
            <w:noWrap w:val="false"/>
          </w:tcPr>
          <w:p>
            <w:pPr>
              <w:ind w:firstLine="240"/>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659" w:type="dxa"/>
            <w:vAlign w:val="center"/>
            <w:textDirection w:val="lrTb"/>
            <w:noWrap w:val="false"/>
          </w:tcPr>
          <w:p>
            <w:pPr>
              <w:pStyle w:val="782"/>
              <w:jc w:val="center"/>
              <w:rPr>
                <w:b/>
                <w:bCs/>
                <w:color w:val="auto"/>
                <w:szCs w:val="22"/>
                <w:highlight w:val="none"/>
                <w:lang w:val="zh-CN"/>
              </w:rPr>
            </w:pPr>
            <w:r>
              <w:rPr>
                <w:rFonts w:hint="eastAsia"/>
                <w:b/>
                <w:bCs/>
                <w:color w:val="auto"/>
                <w:szCs w:val="22"/>
                <w:highlight w:val="none"/>
                <w:lang w:val="zh-CN"/>
              </w:rPr>
              <w:t xml:space="preserve">响应</w:t>
            </w:r>
            <w:r/>
          </w:p>
          <w:p>
            <w:pPr>
              <w:jc w:val="center"/>
              <w:rPr>
                <w:rFonts w:ascii="宋体"/>
                <w:b/>
                <w:bCs/>
                <w:color w:val="auto"/>
                <w:sz w:val="24"/>
                <w:szCs w:val="22"/>
                <w:highlight w:val="none"/>
                <w:lang w:val="zh-CN"/>
              </w:rPr>
            </w:pPr>
            <w:r>
              <w:rPr>
                <w:rFonts w:hint="eastAsia" w:ascii="宋体"/>
                <w:b/>
                <w:bCs/>
                <w:color w:val="auto"/>
                <w:sz w:val="24"/>
                <w:szCs w:val="22"/>
                <w:highlight w:val="none"/>
                <w:lang w:val="zh-CN"/>
              </w:rPr>
              <w:t xml:space="preserve">文</w:t>
            </w:r>
            <w:r/>
          </w:p>
          <w:p>
            <w:pPr>
              <w:jc w:val="center"/>
              <w:rPr>
                <w:rFonts w:hint="eastAsia" w:ascii="宋体" w:hAnsi="宋体"/>
                <w:bCs/>
                <w:color w:val="auto"/>
                <w:sz w:val="24"/>
                <w:szCs w:val="24"/>
                <w:highlight w:val="none"/>
              </w:rPr>
            </w:pPr>
            <w:r>
              <w:rPr>
                <w:rFonts w:hint="eastAsia" w:ascii="宋体"/>
                <w:b/>
                <w:bCs/>
                <w:color w:val="auto"/>
                <w:sz w:val="24"/>
                <w:szCs w:val="22"/>
                <w:highlight w:val="none"/>
                <w:lang w:val="zh-CN"/>
              </w:rPr>
              <w:t xml:space="preserve">件</w:t>
            </w:r>
            <w:r/>
          </w:p>
        </w:tc>
        <w:tc>
          <w:tcPr>
            <w:gridSpan w:val="2"/>
            <w:tcW w:w="9211" w:type="dxa"/>
            <w:textDirection w:val="lrTb"/>
            <w:noWrap w:val="false"/>
          </w:tcPr>
          <w:p>
            <w:pPr>
              <w:jc w:val="left"/>
              <w:rPr>
                <w:rFonts w:ascii="宋体" w:hAnsi="宋体" w:cs="宋体"/>
                <w:bCs/>
                <w:color w:val="auto"/>
                <w:sz w:val="24"/>
                <w:szCs w:val="21"/>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响应文件制作及提交：</w:t>
            </w:r>
            <w:bookmarkStart w:id="58" w:name="_Hlk127868380"/>
            <w:r>
              <w:rPr>
                <w:rFonts w:hint="eastAsia" w:ascii="宋体" w:hAnsi="宋体" w:cs="宋体"/>
                <w:bCs/>
                <w:color w:val="auto"/>
                <w:sz w:val="24"/>
                <w:szCs w:val="21"/>
                <w:highlight w:val="none"/>
              </w:rPr>
              <w:t xml:space="preserve">将电子磋商文件导入政府采购客户端工具制作响应文件，导出加密的响应文件(后缀名为zip)，通过“苏采云”系统上传响应文件。</w:t>
            </w:r>
            <w:bookmarkEnd w:id="58"/>
            <w:r/>
            <w:r/>
          </w:p>
          <w:p>
            <w:pPr>
              <w:rPr>
                <w:rFonts w:hint="eastAsia" w:ascii="宋体" w:hAnsi="宋体"/>
                <w:bCs/>
                <w:color w:val="auto"/>
                <w:sz w:val="24"/>
                <w:szCs w:val="24"/>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rFonts w:hint="eastAsia" w:ascii="宋体" w:hAnsi="宋体"/>
                <w:bCs/>
                <w:color w:val="auto"/>
                <w:sz w:val="24"/>
                <w:szCs w:val="24"/>
                <w:highlight w:val="none"/>
              </w:rPr>
              <w:t xml:space="preserve">提交响应文件截止时间后的响应文件，恕不接受。</w:t>
            </w:r>
            <w:r/>
          </w:p>
        </w:tc>
      </w:tr>
      <w:tr>
        <w:trPr/>
        <w:tc>
          <w:tcPr>
            <w:tcW w:w="735"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659" w:type="dxa"/>
            <w:vAlign w:val="center"/>
            <w:textDirection w:val="lrTb"/>
            <w:noWrap w:val="false"/>
          </w:tcPr>
          <w:p>
            <w:pPr>
              <w:pStyle w:val="782"/>
              <w:jc w:val="center"/>
              <w:rPr>
                <w:rFonts w:hAnsi="宋体"/>
                <w:b/>
                <w:color w:val="auto"/>
                <w:szCs w:val="24"/>
                <w:highlight w:val="none"/>
              </w:rPr>
            </w:pPr>
            <w:r>
              <w:rPr>
                <w:rFonts w:hint="eastAsia" w:hAnsi="宋体"/>
                <w:b/>
                <w:color w:val="auto"/>
                <w:szCs w:val="24"/>
                <w:highlight w:val="none"/>
              </w:rPr>
              <w:t xml:space="preserve">磋商</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保</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证</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金</w:t>
            </w:r>
            <w:r/>
          </w:p>
        </w:tc>
        <w:tc>
          <w:tcPr>
            <w:gridSpan w:val="2"/>
            <w:tcW w:w="9211" w:type="dxa"/>
            <w:vAlign w:val="center"/>
            <w:textDirection w:val="lrTb"/>
            <w:noWrap w:val="false"/>
          </w:tcPr>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本项目免收磋商保证金。</w:t>
            </w:r>
            <w:r/>
          </w:p>
        </w:tc>
      </w:tr>
      <w:tr>
        <w:trPr/>
        <w:tc>
          <w:tcPr>
            <w:tcW w:w="735"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659" w:type="dxa"/>
            <w:vAlign w:val="center"/>
            <w:textDirection w:val="lrTb"/>
            <w:noWrap w:val="false"/>
          </w:tcPr>
          <w:p>
            <w:pPr>
              <w:pStyle w:val="782"/>
              <w:jc w:val="center"/>
              <w:rPr>
                <w:rFonts w:hint="eastAsia" w:hAnsi="宋体"/>
                <w:b/>
                <w:color w:val="auto"/>
                <w:szCs w:val="24"/>
                <w:highlight w:val="none"/>
              </w:rPr>
            </w:pPr>
            <w:r>
              <w:rPr>
                <w:rFonts w:hint="eastAsia" w:hAnsi="宋体"/>
                <w:b/>
                <w:color w:val="auto"/>
                <w:szCs w:val="24"/>
                <w:highlight w:val="none"/>
              </w:rPr>
              <w:t xml:space="preserve">不见面开标</w:t>
            </w:r>
            <w:r/>
          </w:p>
        </w:tc>
        <w:tc>
          <w:tcPr>
            <w:gridSpan w:val="2"/>
            <w:tcW w:w="9211" w:type="dxa"/>
            <w:textDirection w:val="lrTb"/>
            <w:noWrap w:val="false"/>
          </w:tcPr>
          <w:p>
            <w:pPr>
              <w:ind w:firstLine="480"/>
              <w:rPr>
                <w:rFonts w:ascii="宋体" w:hAnsi="宋体" w:cs="宋体"/>
                <w:bCs/>
                <w:color w:val="auto"/>
                <w:sz w:val="24"/>
                <w:szCs w:val="21"/>
                <w:highlight w:val="none"/>
              </w:rPr>
            </w:pPr>
            <w:r/>
            <w:bookmarkStart w:id="59" w:name="_Hlk127868748"/>
            <w:r>
              <w:rPr>
                <w:rFonts w:hint="eastAsia" w:ascii="宋体" w:hAnsi="宋体" w:cs="宋体"/>
                <w:bCs/>
                <w:color w:val="auto"/>
                <w:sz w:val="24"/>
                <w:szCs w:val="21"/>
                <w:highlight w:val="none"/>
              </w:rPr>
              <w:t xml:space="preserve">本项目采用远程不见面交易模式，通过“苏采云”不见面交易系统及相应的配套硬件设备（摄像头、话筒、麦克风等）完成远程解密、开标现场异议及回复、开标等交互环节。</w:t>
            </w:r>
            <w:bookmarkEnd w:id="59"/>
            <w:r/>
          </w:p>
          <w:p>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rPr>
                <w:rFonts w:hint="eastAsia" w:ascii="宋体" w:hAnsi="宋体" w:cs="宋体"/>
                <w:bCs/>
                <w:color w:val="auto"/>
                <w:sz w:val="24"/>
                <w:szCs w:val="21"/>
                <w:highlight w:val="none"/>
              </w:rPr>
            </w:pPr>
            <w:r/>
            <w:bookmarkStart w:id="60" w:name="_Hlk127868774"/>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开标当日，供应商不必抵达开标现场，仅需在任意地点通过“苏采云”系统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bookmarkEnd w:id="60"/>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供应商将无法看到解密指令、异议回复等实时情况，并承担由此导致的一切后果；</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响应文件提交截止时间后，采购人或采购代理机构将在系统内公布供应商名单，然后通过开标会议区发出响应文件解密的指令，供应商在各自地点按规定时间自行实施远程解密，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color w:val="auto"/>
                <w:sz w:val="24"/>
                <w:szCs w:val="21"/>
                <w:highlight w:val="none"/>
              </w:rPr>
              <w:t xml:space="preserve">供应商解密限定在解密时间开始起30分钟内完成。</w:t>
            </w:r>
            <w:r>
              <w:rPr>
                <w:rFonts w:hint="eastAsia" w:ascii="宋体" w:hAnsi="宋体" w:cs="宋体"/>
                <w:bCs/>
                <w:color w:val="auto"/>
                <w:sz w:val="24"/>
                <w:szCs w:val="21"/>
                <w:highlight w:val="none"/>
              </w:rPr>
              <w:t xml:space="preserve">因供应商网络与电源不稳定、未按操作手册要求配置软硬件、解密锁发生故障或用错、故意不在要求时限内完成解密等自身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响应文件在规定时间内未能解密、解密失败或解密超时，视为供应商撤销其响应文件；因电子交易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供应商应当随时关注不见面开标大厅，并按照磋商小组澄清、报价等要求在规定时间内进行响应，且承担未及时作出响应的一切后果。参与远程交互的应当为授权委托人或法人代表，中途不得随意更换，作出响应的人员将均被视为是供应商的授权委托人或法人代表。</w:t>
            </w:r>
            <w:r/>
          </w:p>
          <w:p>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采购活动时间：</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提交首次响应文件截止时间及响应文件开启时间：详见</w:t>
            </w:r>
            <w:r>
              <w:rPr>
                <w:rFonts w:hint="eastAsia" w:ascii="宋体" w:hAnsi="宋体"/>
                <w:bCs/>
                <w:color w:val="auto"/>
                <w:sz w:val="24"/>
                <w:szCs w:val="24"/>
                <w:highlight w:val="none"/>
              </w:rPr>
              <w:t xml:space="preserve">本项目</w:t>
            </w:r>
            <w:r>
              <w:rPr>
                <w:rFonts w:hint="eastAsia" w:ascii="宋体" w:hAnsi="宋体" w:cs="宋体"/>
                <w:bCs/>
                <w:color w:val="auto"/>
                <w:sz w:val="24"/>
                <w:szCs w:val="24"/>
                <w:highlight w:val="none"/>
              </w:rPr>
              <w:t xml:space="preserve">磋商公告</w:t>
            </w:r>
            <w:r/>
          </w:p>
          <w:p>
            <w:pPr>
              <w:ind w:firstLine="480"/>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确定成交供应商时间：评审结束后，详见成交结果公告。</w:t>
            </w:r>
            <w:r/>
          </w:p>
        </w:tc>
      </w:tr>
      <w:tr>
        <w:trPr>
          <w:trHeight w:val="1211"/>
        </w:trPr>
        <w:tc>
          <w:tcPr>
            <w:tcW w:w="735" w:type="dxa"/>
            <w:vAlign w:val="center"/>
            <w:vMerge w:val="restart"/>
            <w:textDirection w:val="lrTb"/>
            <w:noWrap w:val="false"/>
          </w:tcPr>
          <w:p>
            <w:pPr>
              <w:jc w:val="center"/>
              <w:rPr>
                <w:rFonts w:hint="eastAsia" w:ascii="宋体" w:hAnsi="宋体"/>
                <w:bCs/>
                <w:color w:val="auto"/>
                <w:sz w:val="24"/>
                <w:szCs w:val="24"/>
                <w:highlight w:val="none"/>
              </w:rPr>
            </w:pPr>
            <w:r/>
            <w:bookmarkStart w:id="61" w:name="OLE_LINK61"/>
            <w:r>
              <w:rPr>
                <w:rFonts w:hint="eastAsia" w:ascii="宋体" w:hAnsi="宋体"/>
                <w:bCs/>
                <w:color w:val="auto"/>
                <w:sz w:val="24"/>
                <w:szCs w:val="24"/>
                <w:highlight w:val="none"/>
              </w:rPr>
              <w:t xml:space="preserve">7</w:t>
            </w:r>
            <w:r/>
          </w:p>
        </w:tc>
        <w:tc>
          <w:tcPr>
            <w:tcW w:w="659" w:type="dxa"/>
            <w:vAlign w:val="center"/>
            <w:vMerge w:val="restart"/>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联系方式</w:t>
            </w:r>
            <w:r/>
          </w:p>
        </w:tc>
        <w:tc>
          <w:tcPr>
            <w:tcW w:w="2713" w:type="dxa"/>
            <w:vAlign w:val="center"/>
            <w:vMerge w:val="restart"/>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498" w:type="dxa"/>
            <w:vAlign w:val="center"/>
            <w:textDirection w:val="lrTb"/>
            <w:noWrap w:val="false"/>
          </w:tcPr>
          <w:p>
            <w:pPr>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项目负责人：</w:t>
            </w:r>
            <w:r>
              <w:rPr>
                <w:rFonts w:hint="eastAsia" w:ascii="宋体" w:hAnsi="宋体"/>
                <w:bCs/>
                <w:color w:val="auto"/>
                <w:sz w:val="24"/>
                <w:szCs w:val="24"/>
                <w:highlight w:val="none"/>
                <w:lang w:val="en-US" w:eastAsia="zh-CN"/>
              </w:rPr>
              <w:t xml:space="preserve">许</w:t>
            </w:r>
            <w:r>
              <w:rPr>
                <w:rFonts w:hint="eastAsia" w:ascii="宋体" w:hAnsi="宋体"/>
                <w:bCs/>
                <w:color w:val="auto"/>
                <w:sz w:val="24"/>
                <w:szCs w:val="24"/>
                <w:highlight w:val="none"/>
              </w:rPr>
              <w:t xml:space="preserve">先生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质疑受理人：</w:t>
            </w:r>
            <w:r>
              <w:rPr>
                <w:rFonts w:hint="eastAsia" w:ascii="宋体" w:hAnsi="宋体"/>
                <w:bCs/>
                <w:color w:val="auto"/>
                <w:sz w:val="24"/>
                <w:szCs w:val="24"/>
                <w:highlight w:val="none"/>
                <w:lang w:val="en-US" w:eastAsia="zh-CN"/>
              </w:rPr>
              <w:t xml:space="preserve">许</w:t>
            </w:r>
            <w:r>
              <w:rPr>
                <w:rFonts w:hint="eastAsia" w:ascii="宋体" w:hAnsi="宋体"/>
                <w:bCs/>
                <w:color w:val="auto"/>
                <w:sz w:val="24"/>
                <w:szCs w:val="24"/>
                <w:highlight w:val="none"/>
              </w:rPr>
              <w:t xml:space="preserve">先生</w:t>
            </w:r>
            <w:r/>
          </w:p>
          <w:p>
            <w:pPr>
              <w:jc w:val="left"/>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lang w:val="zh-CN"/>
              </w:rPr>
              <w:t xml:space="preserve">联系电话：</w:t>
            </w:r>
            <w:r>
              <w:rPr>
                <w:rFonts w:hint="eastAsia" w:asciiTheme="minorEastAsia" w:hAnsiTheme="minorEastAsia" w:eastAsiaTheme="minorEastAsia"/>
                <w:bCs/>
                <w:color w:val="auto"/>
                <w:sz w:val="24"/>
                <w:szCs w:val="24"/>
                <w:highlight w:val="none"/>
              </w:rPr>
              <w:t xml:space="preserve"> 0510-81729818</w:t>
            </w:r>
            <w:r/>
          </w:p>
          <w:p>
            <w:pPr>
              <w:jc w:val="left"/>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联系地址：宜兴市东山西路66号</w:t>
            </w:r>
            <w:r/>
          </w:p>
          <w:p>
            <w:pPr>
              <w:jc w:val="left"/>
              <w:rPr>
                <w:rFonts w:hint="eastAsia" w:ascii="宋体" w:hAnsi="宋体"/>
                <w:bCs/>
                <w:color w:val="auto"/>
                <w:sz w:val="24"/>
                <w:szCs w:val="24"/>
                <w:highlight w:val="none"/>
              </w:rPr>
            </w:pPr>
            <w:r>
              <w:rPr>
                <w:rFonts w:hint="eastAsia" w:asciiTheme="minorEastAsia" w:hAnsiTheme="minorEastAsia" w:eastAsiaTheme="minorEastAsia"/>
                <w:bCs/>
                <w:color w:val="auto"/>
                <w:sz w:val="24"/>
                <w:szCs w:val="24"/>
                <w:highlight w:val="none"/>
              </w:rPr>
              <w:t xml:space="preserve">邮政编码：214206</w:t>
            </w:r>
            <w:r/>
          </w:p>
        </w:tc>
      </w:tr>
      <w:tr>
        <w:trPr>
          <w:trHeight w:val="545"/>
        </w:trPr>
        <w:tc>
          <w:tcPr>
            <w:tcW w:w="735" w:type="dxa"/>
            <w:vAlign w:val="center"/>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659" w:type="dxa"/>
            <w:vAlign w:val="center"/>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2713"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6498"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联系地址：宜兴市宜城街道荆溪中路35号五局大院内</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邮政编码：214206</w:t>
            </w:r>
            <w:r/>
          </w:p>
        </w:tc>
      </w:tr>
      <w:tr>
        <w:trPr>
          <w:trHeight w:val="62"/>
        </w:trPr>
        <w:tc>
          <w:tcPr>
            <w:tcW w:w="735" w:type="dxa"/>
            <w:vAlign w:val="center"/>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659" w:type="dxa"/>
            <w:vAlign w:val="center"/>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2713"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498" w:type="dxa"/>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联系人：毛女士</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联系电话：0510-80208160</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联系地址：宜兴市新街街道龙潭西路239号</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邮政编码：214206</w:t>
            </w:r>
            <w:r/>
          </w:p>
        </w:tc>
      </w:tr>
      <w:tr>
        <w:trPr>
          <w:trHeight w:val="62"/>
        </w:trPr>
        <w:tc>
          <w:tcPr>
            <w:tcW w:w="735" w:type="dxa"/>
            <w:vAlign w:val="center"/>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659" w:type="dxa"/>
            <w:vAlign w:val="center"/>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2713"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498" w:type="dxa"/>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61"/>
            <w:r/>
          </w:p>
        </w:tc>
      </w:tr>
    </w:tbl>
    <w:p>
      <w:pPr>
        <w:jc w:val="center"/>
        <w:spacing w:line="360" w:lineRule="auto"/>
        <w:rPr>
          <w:rFonts w:hint="eastAsia" w:ascii="黑体" w:hAnsi="黑体" w:eastAsia="黑体"/>
          <w:color w:val="auto"/>
          <w:sz w:val="28"/>
          <w:highlight w:val="none"/>
        </w:rPr>
      </w:pPr>
      <w:r/>
      <w:bookmarkStart w:id="62" w:name="_Toc67384154"/>
      <w:r/>
      <w:bookmarkStart w:id="63" w:name="_Toc1862"/>
      <w:r/>
      <w:bookmarkStart w:id="64" w:name="_Toc70605550"/>
      <w:r/>
      <w:bookmarkStart w:id="65" w:name="_Toc22492"/>
      <w:r/>
      <w:bookmarkStart w:id="66" w:name="_Toc19158"/>
      <w:r/>
      <w:bookmarkStart w:id="67" w:name="_Toc16730"/>
      <w:r/>
      <w:bookmarkStart w:id="68" w:name="_Toc29520"/>
      <w:r/>
      <w:bookmarkStart w:id="69" w:name="_Toc23595"/>
      <w:r/>
      <w:bookmarkStart w:id="70" w:name="_Toc26901"/>
      <w:r/>
      <w:bookmarkStart w:id="71" w:name="_Toc517"/>
      <w:r/>
      <w:bookmarkStart w:id="72" w:name="_Toc17083"/>
      <w:r/>
      <w:bookmarkStart w:id="73" w:name="_Toc25176"/>
      <w:r/>
      <w:bookmarkStart w:id="74" w:name="_Toc66967607"/>
      <w:r/>
      <w:bookmarkStart w:id="75" w:name="_Toc25923"/>
      <w:r/>
      <w:r/>
    </w:p>
    <w:p>
      <w:pPr>
        <w:jc w:val="center"/>
        <w:spacing w:line="360" w:lineRule="auto"/>
        <w:rPr>
          <w:rFonts w:ascii="黑体" w:hAnsi="黑体" w:eastAsia="黑体"/>
          <w:color w:val="auto"/>
          <w:sz w:val="28"/>
          <w:highlight w:val="none"/>
        </w:rPr>
        <w:outlineLvl w:val="0"/>
      </w:pPr>
      <w:r/>
      <w:bookmarkStart w:id="76" w:name="_Toc24613"/>
      <w:r/>
      <w:r/>
    </w:p>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r>
      <w:r/>
    </w:p>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第二章 供应商须知</w:t>
      </w:r>
      <w:bookmarkEnd w:id="56"/>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
    </w:p>
    <w:p>
      <w:pPr>
        <w:ind w:firstLine="482"/>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《中华人民共和国政府采购法》、《中华人民共和国政府采购法实施条例》、《政府采购竞争性磋商采购方式管理暂行办法》等有关法律、法规、规章和规定等。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 “供应商”</w:t>
      </w:r>
      <w:r>
        <w:rPr>
          <w:rFonts w:hint="eastAsia" w:ascii="宋体" w:hAnsi="宋体"/>
          <w:bCs/>
          <w:color w:val="auto"/>
          <w:sz w:val="24"/>
          <w:szCs w:val="24"/>
          <w:highlight w:val="none"/>
        </w:rPr>
        <w:t xml:space="preserve">是指参加报价竞争，并符合磋商文件规定资格条件的法人、其他组织或者自然人；银行、保险、石油石化、电力、电信等有行业特殊情况的，可以以分支机构直接参加政府采购活动，其他行业分支机构通过总公司</w:t>
      </w:r>
      <w:bookmarkStart w:id="77" w:name="_Hlk164149911"/>
      <w:r>
        <w:rPr>
          <w:rFonts w:hint="eastAsia" w:ascii="宋体" w:hAnsi="宋体"/>
          <w:bCs/>
          <w:color w:val="auto"/>
          <w:sz w:val="24"/>
          <w:szCs w:val="24"/>
          <w:highlight w:val="none"/>
        </w:rPr>
        <w:t xml:space="preserve">有效</w:t>
      </w:r>
      <w:bookmarkEnd w:id="77"/>
      <w:r>
        <w:rPr>
          <w:rFonts w:hint="eastAsia" w:ascii="宋体" w:hAnsi="宋体"/>
          <w:bCs/>
          <w:color w:val="auto"/>
          <w:sz w:val="24"/>
          <w:szCs w:val="24"/>
          <w:highlight w:val="none"/>
        </w:rPr>
        <w:t xml:space="preserve">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磋商文件中的“法定代表人”是指供应商的营业执照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w:t>
      </w:r>
      <w:bookmarkStart w:id="78" w:name="_Hlk130920449"/>
      <w:r>
        <w:rPr>
          <w:rFonts w:hint="eastAsia" w:ascii="宋体" w:hAnsi="宋体"/>
          <w:bCs/>
          <w:color w:val="auto"/>
          <w:sz w:val="24"/>
          <w:szCs w:val="24"/>
          <w:highlight w:val="none"/>
          <w:lang w:val="zh-CN"/>
        </w:rPr>
        <w:t xml:space="preserve">“供应商（电子签章）”</w:t>
      </w:r>
      <w:r>
        <w:rPr>
          <w:rFonts w:hint="eastAsia" w:ascii="宋体" w:hAnsi="宋体"/>
          <w:bCs/>
          <w:color w:val="auto"/>
          <w:sz w:val="24"/>
          <w:szCs w:val="24"/>
          <w:highlight w:val="none"/>
        </w:rPr>
        <w:t xml:space="preserve">是指供应商的</w:t>
      </w:r>
      <w:bookmarkStart w:id="79" w:name="_Hlk152584062"/>
      <w:r>
        <w:rPr>
          <w:rFonts w:hint="eastAsia" w:ascii="宋体" w:hAnsi="宋体"/>
          <w:bCs/>
          <w:color w:val="auto"/>
          <w:sz w:val="24"/>
          <w:szCs w:val="24"/>
          <w:highlight w:val="none"/>
        </w:rPr>
        <w:t xml:space="preserve">电子</w:t>
      </w:r>
      <w:bookmarkEnd w:id="79"/>
      <w:r>
        <w:rPr>
          <w:rFonts w:hint="eastAsia" w:ascii="宋体" w:hAnsi="宋体"/>
          <w:bCs/>
          <w:color w:val="auto"/>
          <w:sz w:val="24"/>
          <w:szCs w:val="24"/>
          <w:highlight w:val="none"/>
        </w:rPr>
        <w:t xml:space="preserve">公章，</w:t>
      </w:r>
      <w:r>
        <w:rPr>
          <w:rFonts w:hint="eastAsia" w:ascii="宋体" w:hAnsi="宋体"/>
          <w:bCs/>
          <w:color w:val="auto"/>
          <w:sz w:val="24"/>
          <w:szCs w:val="24"/>
          <w:highlight w:val="none"/>
          <w:lang w:val="zh-CN"/>
        </w:rPr>
        <w:t xml:space="preserve">自然人报价即指自然人私章</w:t>
      </w:r>
      <w:bookmarkEnd w:id="78"/>
      <w:r>
        <w:rPr>
          <w:rFonts w:hint="eastAsia" w:ascii="宋体" w:hAnsi="宋体"/>
          <w:bCs/>
          <w:color w:val="auto"/>
          <w:sz w:val="24"/>
          <w:szCs w:val="24"/>
          <w:highlight w:val="none"/>
          <w:lang w:val="zh-CN"/>
        </w:rPr>
        <w:t xml:space="preserve">或签名</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w:t>
      </w:r>
      <w:r>
        <w:rPr>
          <w:rFonts w:hint="eastAsia" w:ascii="宋体" w:hAnsi="宋体"/>
          <w:bCs/>
          <w:color w:val="auto"/>
          <w:sz w:val="24"/>
          <w:szCs w:val="24"/>
          <w:highlight w:val="none"/>
          <w:lang w:val="zh-CN"/>
        </w:rPr>
        <w:t xml:space="preserve"> “服务”指本磋商文件中所述服务及相关产品。</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“响应”指提交报价文件并对磋商文件提出的条件和要求进行实质性回应，采购公告及采购文件中的“投标”是指磋商报价，本采购文件中的“报价”除单独列明外均指项目总报价。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“证明材料”指磋商文件中要求提供的相关材料</w:t>
      </w:r>
      <w:bookmarkStart w:id="80" w:name="_Hlk166055298"/>
      <w:r>
        <w:rPr>
          <w:rFonts w:hint="eastAsia" w:ascii="宋体" w:hAnsi="宋体"/>
          <w:bCs/>
          <w:color w:val="auto"/>
          <w:sz w:val="24"/>
          <w:szCs w:val="24"/>
          <w:highlight w:val="none"/>
          <w:lang w:val="zh-CN"/>
        </w:rPr>
        <w:t xml:space="preserve">且必须为有效的，即证明材料的完整性、真实性、出具方、有效期限、技术标准、认证范围等相关要求符合国家相关法律法规及磋商文件规定。</w:t>
      </w:r>
      <w:bookmarkEnd w:id="8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.9 </w:t>
      </w:r>
      <w:r>
        <w:rPr>
          <w:rFonts w:hint="eastAsia" w:ascii="宋体" w:hAnsi="宋体"/>
          <w:bCs/>
          <w:color w:val="auto"/>
          <w:sz w:val="24"/>
          <w:szCs w:val="24"/>
          <w:highlight w:val="none"/>
          <w:lang w:val="zh-CN"/>
        </w:rPr>
        <w:t xml:space="preserve">“报价无效”指供应商提交的响应文件不符合磋商文件或不符合采购人要求的情况，按无效响应处理。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.10 </w:t>
      </w:r>
      <w:r>
        <w:rPr>
          <w:rFonts w:hint="eastAsia" w:ascii="宋体" w:hAnsi="宋体"/>
          <w:bCs/>
          <w:color w:val="auto"/>
          <w:sz w:val="24"/>
          <w:szCs w:val="24"/>
          <w:highlight w:val="none"/>
        </w:rPr>
        <w:t xml:space="preserve">“评审因素”是指评审方法和标准中包括的价格因素、技术因素、商务因素等方面。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“正偏离”指供应商提供的服务（货物）响应情况优于磋商文件要求；“负偏离”指供应商提供的服务（货物）响应情况劣于磋商文件要求。</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2.12 本磋商文件中的招标与采购、磋商文件与采购文件、报价无效与响应无效、</w:t>
      </w:r>
      <w:r>
        <w:rPr>
          <w:rFonts w:hint="eastAsia" w:ascii="宋体" w:hAnsi="宋体"/>
          <w:bCs/>
          <w:color w:val="auto"/>
          <w:sz w:val="24"/>
          <w:szCs w:val="24"/>
          <w:highlight w:val="none"/>
        </w:rPr>
        <w:t xml:space="preserve">产品与货物、优惠政策与扶持政策，分别为同一概念或意思。</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对于专门面向中小企业采购的项目，只面向中小企业采购，且评审时不予报价扣除；对于非专门面向中小企业采购的项目，对符合规定的小微企业报价给予10%（工程项目为5%）的扣除,用扣除后的价格参与评审。</w:t>
      </w:r>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81"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81"/>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cs="宋体"/>
          <w:color w:val="auto"/>
          <w:sz w:val="24"/>
          <w:highlight w:val="none"/>
        </w:rPr>
        <w:t xml:space="preserve">可享受中小企业扶持政策的供应商应按照磋商文件要求提供中小企业声明，供应商提供的中小企业声明与实际情况不符的，不享受中小企业扶持政策。</w:t>
      </w:r>
      <w:bookmarkStart w:id="82" w:name="_Hlk163807632"/>
      <w:r>
        <w:rPr>
          <w:rFonts w:hint="eastAsia" w:ascii="宋体" w:hAnsi="宋体" w:cs="宋体"/>
          <w:color w:val="auto"/>
          <w:sz w:val="24"/>
          <w:highlight w:val="none"/>
        </w:rPr>
        <w:t xml:space="preserve">对提供《中小企业声明函》的供应商，应按照《中小企业声明函》格式准确完整填写相关内容，</w:t>
      </w:r>
      <w:bookmarkStart w:id="83"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82"/>
      <w:r/>
      <w:bookmarkEnd w:id="83"/>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符合《关于政府采购支持监狱企业发展有关问题的通知》（财库〔201</w:t>
      </w:r>
      <w:r>
        <w:rPr>
          <w:rFonts w:ascii="宋体" w:hAnsi="宋体" w:cs="宋体"/>
          <w:color w:val="auto"/>
          <w:sz w:val="24"/>
          <w:highlight w:val="none"/>
        </w:rPr>
        <w:t xml:space="preserve">4</w:t>
      </w:r>
      <w:r>
        <w:rPr>
          <w:rFonts w:hint="eastAsia" w:ascii="宋体" w:hAnsi="宋体" w:cs="宋体"/>
          <w:color w:val="auto"/>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.2.7</w:t>
      </w:r>
      <w:r>
        <w:rPr>
          <w:rFonts w:hint="eastAsia" w:ascii="宋体" w:hAnsi="宋体"/>
          <w:bCs/>
          <w:color w:val="auto"/>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若供应商同时为小微企业、残疾人福利性单位（或监狱企业），只享受一次针对小微企业的价格优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hint="eastAsia" w:ascii="宋体" w:hAnsi="宋体"/>
          <w:bCs/>
          <w:color w:val="auto"/>
          <w:sz w:val="24"/>
          <w:szCs w:val="24"/>
          <w:highlight w:val="none"/>
        </w:rPr>
      </w:pPr>
      <w:r/>
      <w:bookmarkStart w:id="84" w:name="_Hlk162251646"/>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84"/>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注：支持中小企业发展</w:t>
      </w:r>
      <w:r>
        <w:rPr>
          <w:rFonts w:hint="eastAsia" w:ascii="宋体" w:hAnsi="宋体"/>
          <w:bCs/>
          <w:color w:val="auto"/>
          <w:sz w:val="24"/>
          <w:szCs w:val="24"/>
          <w:highlight w:val="none"/>
          <w:lang w:val="zh-CN"/>
        </w:rPr>
        <w:t xml:space="preserve">及其他政府采购政策详见相关文件规定。</w:t>
      </w:r>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报价费用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供应商应自行承担所有与准备和参加报价有关的一切费用。</w:t>
      </w:r>
      <w:r/>
    </w:p>
    <w:p>
      <w:pPr>
        <w:pStyle w:val="765"/>
        <w:ind w:left="0" w:firstLine="480"/>
        <w:spacing w:line="360" w:lineRule="auto"/>
        <w:rPr>
          <w:color w:val="auto"/>
          <w:highlight w:val="none"/>
        </w:rPr>
      </w:pPr>
      <w:r>
        <w:rPr>
          <w:rFonts w:hint="eastAsia" w:ascii="宋体" w:hAnsi="宋体"/>
          <w:bCs/>
          <w:color w:val="auto"/>
          <w:sz w:val="24"/>
          <w:szCs w:val="24"/>
          <w:highlight w:val="none"/>
        </w:rPr>
        <w:t xml:space="preserve">4.2 </w:t>
      </w:r>
      <w:r>
        <w:rPr>
          <w:rFonts w:hint="eastAsia" w:ascii="宋体" w:hAnsi="宋体"/>
          <w:b/>
          <w:color w:val="auto"/>
          <w:sz w:val="24"/>
          <w:szCs w:val="24"/>
          <w:highlight w:val="none"/>
        </w:rPr>
        <w:t xml:space="preserve">本次代理采购服务费：</w:t>
      </w:r>
      <w:r>
        <w:rPr>
          <w:rFonts w:hint="eastAsia" w:ascii="宋体" w:hAnsi="宋体"/>
          <w:bCs/>
          <w:color w:val="auto"/>
          <w:sz w:val="24"/>
          <w:szCs w:val="24"/>
          <w:highlight w:val="none"/>
        </w:rPr>
        <w:t xml:space="preserve">参照国家计委计价格[2002]1980号《招标代理服务收费管理暂行办法》所规定的收费标准</w:t>
      </w:r>
      <w:r>
        <w:rPr>
          <w:rFonts w:hint="eastAsia" w:ascii="宋体" w:hAnsi="宋体"/>
          <w:bCs/>
          <w:color w:val="auto"/>
          <w:sz w:val="24"/>
          <w:szCs w:val="24"/>
          <w:highlight w:val="none"/>
          <w:lang w:val="en-US" w:eastAsia="zh-CN"/>
        </w:rPr>
        <w:t xml:space="preserve">收取，</w:t>
      </w:r>
      <w:r>
        <w:rPr>
          <w:rFonts w:hint="eastAsia" w:ascii="宋体" w:hAnsi="宋体"/>
          <w:bCs/>
          <w:color w:val="auto"/>
          <w:sz w:val="24"/>
          <w:szCs w:val="24"/>
          <w:highlight w:val="none"/>
        </w:rPr>
        <w:t xml:space="preserve">供应商自行考虑在本次报价中，由成交供应商向代理机构一次性付清。</w:t>
      </w:r>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保密要求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二、磋商文件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rPr>
          <w:rFonts w:hint="eastAsia" w:ascii="宋体" w:hAnsi="宋体"/>
          <w:b/>
          <w:color w:val="auto"/>
          <w:sz w:val="24"/>
          <w:szCs w:val="24"/>
          <w:highlight w:val="none"/>
          <w:lang w:val="zh-CN"/>
        </w:rPr>
        <w:t xml:space="preserve">磋商文件的组成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供应商应</w:t>
      </w:r>
      <w:r>
        <w:rPr>
          <w:rFonts w:ascii="宋体" w:hAnsi="宋体"/>
          <w:bCs/>
          <w:color w:val="auto"/>
          <w:sz w:val="24"/>
          <w:szCs w:val="24"/>
          <w:highlight w:val="none"/>
        </w:rPr>
        <w:t xml:space="preserve">登录“苏采云” 系统</w:t>
      </w:r>
      <w:r>
        <w:rPr>
          <w:rFonts w:hint="eastAsia" w:ascii="宋体" w:hAnsi="宋体"/>
          <w:bCs/>
          <w:color w:val="auto"/>
          <w:sz w:val="24"/>
          <w:szCs w:val="24"/>
          <w:highlight w:val="none"/>
        </w:rPr>
        <w:t xml:space="preserve">下载磋商文件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。供应商须按磋商文件要求提交资料并对磋商文件相关内容作出实质性响应，否则报价无效。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 磋商文件包括采购公告和本文件目录所列全部内容及其附件，如有缺漏，请立即与</w:t>
      </w:r>
      <w:bookmarkStart w:id="85" w:name="OLE_LINK253"/>
      <w:r>
        <w:rPr>
          <w:rFonts w:hint="eastAsia" w:ascii="宋体" w:hAnsi="宋体"/>
          <w:bCs/>
          <w:color w:val="auto"/>
          <w:sz w:val="24"/>
          <w:szCs w:val="24"/>
          <w:highlight w:val="none"/>
        </w:rPr>
        <w:t xml:space="preserve">采购人或者</w:t>
      </w:r>
      <w:bookmarkEnd w:id="85"/>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磋商文件如与竞争性磋商公告有不一致的地方，以磋商文件为准；电子响应文件制作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电子响应文件格式、说明与磋商文件格式、说明不一致的，以磋商文件格式、说明为准。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磋商文件的解释</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w:t>
      </w:r>
      <w:bookmarkStart w:id="86" w:name="OLE_LINK11"/>
      <w:r>
        <w:rPr>
          <w:rFonts w:hint="eastAsia" w:ascii="宋体" w:hAnsi="宋体"/>
          <w:bCs/>
          <w:color w:val="auto"/>
          <w:sz w:val="24"/>
          <w:szCs w:val="24"/>
          <w:highlight w:val="none"/>
        </w:rPr>
        <w:t xml:space="preserve">本磋商文件中“第三章 项目技术要求和有关说明”</w:t>
      </w:r>
      <w:bookmarkEnd w:id="86"/>
      <w:r>
        <w:rPr>
          <w:rFonts w:hint="eastAsia" w:ascii="宋体" w:hAnsi="宋体"/>
          <w:bCs/>
          <w:color w:val="auto"/>
          <w:sz w:val="24"/>
          <w:szCs w:val="24"/>
          <w:highlight w:val="none"/>
        </w:rPr>
        <w:t xml:space="preserve">和“第四章 评审方法和标准”由采购人负责解释，其他部分由</w:t>
      </w:r>
      <w:bookmarkStart w:id="87" w:name="OLE_LINK270"/>
      <w:r>
        <w:rPr>
          <w:rFonts w:hint="eastAsia" w:ascii="宋体" w:hAnsi="宋体"/>
          <w:bCs/>
          <w:color w:val="auto"/>
          <w:sz w:val="24"/>
          <w:szCs w:val="24"/>
          <w:highlight w:val="none"/>
        </w:rPr>
        <w:t xml:space="preserve">采购人和</w:t>
      </w:r>
      <w:bookmarkEnd w:id="87"/>
      <w:r>
        <w:rPr>
          <w:rFonts w:hint="eastAsia" w:ascii="宋体" w:hAnsi="宋体"/>
          <w:bCs/>
          <w:color w:val="auto"/>
          <w:sz w:val="24"/>
          <w:szCs w:val="24"/>
          <w:highlight w:val="none"/>
        </w:rPr>
        <w:t xml:space="preserve">采购代理机构负责解释。</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磋商文件的</w:t>
      </w:r>
      <w:bookmarkStart w:id="88" w:name="OLE_LINK20"/>
      <w:r>
        <w:rPr>
          <w:rFonts w:hint="eastAsia" w:ascii="宋体" w:hAnsi="宋体"/>
          <w:bCs/>
          <w:color w:val="auto"/>
          <w:sz w:val="24"/>
          <w:szCs w:val="24"/>
          <w:highlight w:val="none"/>
          <w:lang w:val="zh-CN"/>
        </w:rPr>
        <w:t xml:space="preserve">澄清、修改</w:t>
      </w:r>
      <w:bookmarkEnd w:id="88"/>
      <w:r/>
      <w:r/>
    </w:p>
    <w:p>
      <w:pPr>
        <w:ind w:firstLine="480"/>
        <w:jc w:val="left"/>
        <w:spacing w:line="360" w:lineRule="auto"/>
        <w:rPr>
          <w:rFonts w:hint="eastAsia" w:ascii="宋体"/>
          <w:color w:val="auto"/>
          <w:sz w:val="24"/>
          <w:szCs w:val="21"/>
          <w:highlight w:val="none"/>
          <w:lang w:val="zh-CN"/>
        </w:rPr>
      </w:pPr>
      <w:r>
        <w:rPr>
          <w:rFonts w:hint="eastAsia" w:ascii="宋体" w:hAnsi="宋体"/>
          <w:bCs/>
          <w:color w:val="auto"/>
          <w:sz w:val="24"/>
          <w:szCs w:val="24"/>
          <w:highlight w:val="none"/>
        </w:rPr>
        <w:t xml:space="preserve">8.1 </w:t>
      </w:r>
      <w:r>
        <w:rPr>
          <w:rFonts w:hint="eastAsia" w:ascii="宋体" w:hAns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hAnsi="宋体"/>
          <w:bCs/>
          <w:color w:val="auto"/>
          <w:sz w:val="24"/>
          <w:szCs w:val="24"/>
          <w:highlight w:val="none"/>
          <w:lang w:val="zh-CN"/>
        </w:rPr>
        <w:t xml:space="preserve">已</w:t>
      </w:r>
      <w:r>
        <w:rPr>
          <w:rFonts w:hint="eastAsia" w:ascii="宋体"/>
          <w:color w:val="auto"/>
          <w:sz w:val="24"/>
          <w:szCs w:val="21"/>
          <w:highlight w:val="none"/>
          <w:lang w:val="zh-CN"/>
        </w:rPr>
        <w:t xml:space="preserve">发出的磋商文件进行必要澄清或者修改的，将在提交响应文件截止之日</w:t>
      </w:r>
      <w:r>
        <w:rPr>
          <w:rFonts w:hint="eastAsia" w:ascii="宋体"/>
          <w:color w:val="auto"/>
          <w:sz w:val="24"/>
          <w:szCs w:val="21"/>
          <w:highlight w:val="none"/>
        </w:rPr>
        <w:t xml:space="preserve">5日</w:t>
      </w:r>
      <w:r>
        <w:rPr>
          <w:rFonts w:hint="eastAsia" w:ascii="宋体"/>
          <w:color w:val="auto"/>
          <w:sz w:val="24"/>
          <w:szCs w:val="21"/>
          <w:highlight w:val="none"/>
          <w:lang w:val="zh-CN"/>
        </w:rPr>
        <w:t xml:space="preserve">前，在原竞争性磋商公告媒体发布更正公告，并</w:t>
      </w:r>
      <w:r>
        <w:rPr>
          <w:rFonts w:ascii="宋体" w:hAnsi="宋体"/>
          <w:color w:val="auto"/>
          <w:sz w:val="24"/>
          <w:szCs w:val="21"/>
          <w:highlight w:val="none"/>
          <w:lang w:val="zh-CN"/>
        </w:rPr>
        <w:t xml:space="preserve">在系统中通知所有已获取</w:t>
      </w:r>
      <w:r>
        <w:rPr>
          <w:rFonts w:hint="eastAsia" w:ascii="宋体" w:hAnsi="宋体"/>
          <w:color w:val="auto"/>
          <w:sz w:val="24"/>
          <w:szCs w:val="21"/>
          <w:highlight w:val="none"/>
        </w:rPr>
        <w:t xml:space="preserve">磋商</w:t>
      </w:r>
      <w:r>
        <w:rPr>
          <w:rFonts w:ascii="宋体" w:hAnsi="宋体"/>
          <w:color w:val="auto"/>
          <w:sz w:val="24"/>
          <w:szCs w:val="21"/>
          <w:highlight w:val="none"/>
          <w:lang w:val="zh-CN"/>
        </w:rPr>
        <w:t xml:space="preserve">文件的潜在</w:t>
      </w:r>
      <w:r>
        <w:rPr>
          <w:rFonts w:hint="eastAsia" w:ascii="宋体" w:hAnsi="宋体"/>
          <w:color w:val="auto"/>
          <w:sz w:val="24"/>
          <w:szCs w:val="21"/>
          <w:highlight w:val="none"/>
          <w:lang w:val="zh-CN"/>
        </w:rPr>
        <w:t xml:space="preserve">供应商</w:t>
      </w:r>
      <w:r>
        <w:rPr>
          <w:rFonts w:ascii="宋体" w:hAnsi="宋体"/>
          <w:color w:val="auto"/>
          <w:sz w:val="24"/>
          <w:szCs w:val="21"/>
          <w:highlight w:val="none"/>
          <w:lang w:val="zh-CN"/>
        </w:rPr>
        <w:t xml:space="preserve">, </w:t>
      </w:r>
      <w:r>
        <w:rPr>
          <w:rFonts w:hint="eastAsia" w:ascii="宋体" w:hAnsi="宋体"/>
          <w:color w:val="auto"/>
          <w:sz w:val="24"/>
          <w:szCs w:val="21"/>
          <w:highlight w:val="none"/>
        </w:rPr>
        <w:t xml:space="preserve">供应商</w:t>
      </w:r>
      <w:r>
        <w:rPr>
          <w:rFonts w:hint="eastAsia" w:ascii="宋体" w:hAnsi="宋体"/>
          <w:color w:val="auto"/>
          <w:sz w:val="24"/>
          <w:szCs w:val="21"/>
          <w:highlight w:val="none"/>
          <w:lang w:val="zh-CN"/>
        </w:rPr>
        <w:t xml:space="preserve">应</w:t>
      </w:r>
      <w:r>
        <w:rPr>
          <w:rFonts w:ascii="宋体" w:hAnsi="宋体"/>
          <w:color w:val="auto"/>
          <w:sz w:val="24"/>
          <w:szCs w:val="21"/>
          <w:highlight w:val="none"/>
          <w:lang w:val="zh-CN"/>
        </w:rPr>
        <w:t xml:space="preserve">登录系统查看相应内容</w:t>
      </w:r>
      <w:r>
        <w:rPr>
          <w:rFonts w:hint="eastAsia" w:ascii="宋体"/>
          <w:color w:val="auto"/>
          <w:sz w:val="24"/>
          <w:szCs w:val="21"/>
          <w:highlight w:val="none"/>
          <w:lang w:val="zh-CN"/>
        </w:rPr>
        <w:t xml:space="preserve">。不足</w:t>
      </w:r>
      <w:r>
        <w:rPr>
          <w:rFonts w:hint="eastAsia" w:ascii="宋体"/>
          <w:color w:val="auto"/>
          <w:sz w:val="24"/>
          <w:szCs w:val="21"/>
          <w:highlight w:val="none"/>
        </w:rPr>
        <w:t xml:space="preserve">5日的，</w:t>
      </w:r>
      <w:r>
        <w:rPr>
          <w:rFonts w:hint="eastAsia" w:ascii="宋体" w:hAns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bookmarkStart w:id="89" w:name="OLE_LINK7"/>
      <w:r>
        <w:rPr>
          <w:rFonts w:hint="eastAsia" w:ascii="宋体"/>
          <w:color w:val="auto"/>
          <w:sz w:val="24"/>
          <w:szCs w:val="21"/>
          <w:highlight w:val="none"/>
          <w:lang w:val="zh-CN"/>
        </w:rPr>
        <w:t xml:space="preserve">提交响应文件</w:t>
      </w:r>
      <w:bookmarkEnd w:id="89"/>
      <w:r>
        <w:rPr>
          <w:rFonts w:hint="eastAsia" w:ascii="宋体"/>
          <w:color w:val="auto"/>
          <w:sz w:val="24"/>
          <w:szCs w:val="21"/>
          <w:highlight w:val="none"/>
          <w:lang w:val="zh-CN"/>
        </w:rPr>
        <w:t xml:space="preserve">截止时间和采购活动开始时间，该澄清或者修改的内容为磋商文件的组成部分。</w:t>
      </w:r>
      <w:r>
        <w:rPr>
          <w:rFonts w:hint="eastAsia" w:ascii="宋体" w:hAnsi="宋体"/>
          <w:bCs/>
          <w:color w:val="auto"/>
          <w:sz w:val="24"/>
          <w:szCs w:val="24"/>
          <w:highlight w:val="none"/>
          <w:lang w:val="zh-CN"/>
        </w:rPr>
        <w:t xml:space="preserve">以最新发布的补充更正、澄清和修改后的磋商文件、公告信息为准。</w:t>
      </w:r>
      <w:r/>
    </w:p>
    <w:p>
      <w:pPr>
        <w:ind w:firstLine="480"/>
        <w:jc w:val="left"/>
        <w:spacing w:line="360" w:lineRule="auto"/>
        <w:rPr>
          <w:rFonts w:ascii="宋体" w:hAnsi="宋体"/>
          <w:color w:val="auto"/>
          <w:sz w:val="24"/>
          <w:szCs w:val="21"/>
          <w:highlight w:val="none"/>
          <w:lang w:val="zh-CN"/>
        </w:rPr>
      </w:pPr>
      <w:r>
        <w:rPr>
          <w:rFonts w:hint="eastAsia" w:ascii="宋体"/>
          <w:color w:val="auto"/>
          <w:sz w:val="24"/>
          <w:szCs w:val="21"/>
          <w:highlight w:val="none"/>
        </w:rPr>
        <w:t xml:space="preserve">8.2</w:t>
      </w:r>
      <w:r>
        <w:rPr>
          <w:rFonts w:ascii="宋体" w:hAnsi="宋体"/>
          <w:color w:val="auto"/>
          <w:sz w:val="24"/>
          <w:szCs w:val="21"/>
          <w:highlight w:val="none"/>
          <w:lang w:val="zh-CN"/>
        </w:rPr>
        <w:t xml:space="preserve">如澄清或修改公告有重新发布电子</w:t>
      </w:r>
      <w:r>
        <w:rPr>
          <w:rFonts w:hint="eastAsia" w:ascii="宋体" w:hAnsi="宋体"/>
          <w:color w:val="auto"/>
          <w:sz w:val="24"/>
          <w:szCs w:val="21"/>
          <w:highlight w:val="none"/>
        </w:rPr>
        <w:t xml:space="preserve">磋商</w:t>
      </w:r>
      <w:r>
        <w:rPr>
          <w:rFonts w:ascii="宋体" w:hAnsi="宋体"/>
          <w:color w:val="auto"/>
          <w:sz w:val="24"/>
          <w:szCs w:val="21"/>
          <w:highlight w:val="none"/>
          <w:lang w:val="zh-CN"/>
        </w:rPr>
        <w:t xml:space="preserve">文件的，</w:t>
      </w:r>
      <w:r>
        <w:rPr>
          <w:rFonts w:hint="eastAsia" w:ascii="宋体" w:hAnsi="宋体"/>
          <w:color w:val="auto"/>
          <w:sz w:val="24"/>
          <w:szCs w:val="21"/>
          <w:highlight w:val="none"/>
        </w:rPr>
        <w:t xml:space="preserve">供应商</w:t>
      </w:r>
      <w:r>
        <w:rPr>
          <w:rFonts w:ascii="宋体" w:hAnsi="宋体"/>
          <w:color w:val="auto"/>
          <w:sz w:val="24"/>
          <w:szCs w:val="21"/>
          <w:highlight w:val="none"/>
          <w:lang w:val="zh-CN"/>
        </w:rPr>
        <w:t xml:space="preserve">应下载最新发布的电子</w:t>
      </w:r>
      <w:r>
        <w:rPr>
          <w:rFonts w:hint="eastAsia" w:ascii="宋体" w:hAnsi="宋体"/>
          <w:color w:val="auto"/>
          <w:sz w:val="24"/>
          <w:szCs w:val="21"/>
          <w:highlight w:val="none"/>
        </w:rPr>
        <w:t xml:space="preserve">磋商</w:t>
      </w:r>
      <w:r>
        <w:rPr>
          <w:rFonts w:ascii="宋体" w:hAnsi="宋体"/>
          <w:color w:val="auto"/>
          <w:sz w:val="24"/>
          <w:szCs w:val="21"/>
          <w:highlight w:val="none"/>
          <w:lang w:val="zh-CN"/>
        </w:rPr>
        <w:t xml:space="preserve">文件制作</w:t>
      </w:r>
      <w:r>
        <w:rPr>
          <w:rFonts w:hint="eastAsia" w:ascii="宋体" w:hAnsi="宋体"/>
          <w:color w:val="auto"/>
          <w:sz w:val="24"/>
          <w:szCs w:val="21"/>
          <w:highlight w:val="none"/>
        </w:rPr>
        <w:t xml:space="preserve">响应</w:t>
      </w:r>
      <w:r>
        <w:rPr>
          <w:rFonts w:ascii="宋体" w:hAnsi="宋体"/>
          <w:color w:val="auto"/>
          <w:sz w:val="24"/>
          <w:szCs w:val="21"/>
          <w:highlight w:val="none"/>
          <w:lang w:val="zh-CN"/>
        </w:rPr>
        <w:t xml:space="preserve">文件。</w:t>
      </w:r>
      <w:bookmarkStart w:id="90" w:name="_Hlk160612498"/>
      <w:r>
        <w:rPr>
          <w:rFonts w:ascii="宋体" w:hAnsi="宋体"/>
          <w:bCs/>
          <w:color w:val="auto"/>
          <w:sz w:val="24"/>
          <w:szCs w:val="24"/>
          <w:highlight w:val="none"/>
          <w:lang w:val="zh-CN"/>
        </w:rPr>
        <w:t xml:space="preserve">因</w:t>
      </w:r>
      <w:r>
        <w:rPr>
          <w:rFonts w:hint="eastAsia" w:ascii="宋体" w:hAnsi="宋体"/>
          <w:color w:val="auto"/>
          <w:sz w:val="24"/>
          <w:szCs w:val="21"/>
          <w:highlight w:val="none"/>
        </w:rPr>
        <w:t xml:space="preserve">供应商</w:t>
      </w:r>
      <w:r>
        <w:rPr>
          <w:rFonts w:hint="eastAsia" w:ascii="宋体" w:hAnsi="宋体"/>
          <w:bCs/>
          <w:color w:val="auto"/>
          <w:sz w:val="24"/>
          <w:szCs w:val="24"/>
          <w:highlight w:val="none"/>
          <w:lang w:val="zh-CN"/>
        </w:rPr>
        <w:t xml:space="preserve">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更正公告、未及时更新上传响应文件导致其提交的响应文件不符合要求的，造成的损失及风险由</w:t>
      </w:r>
      <w:r>
        <w:rPr>
          <w:rFonts w:hint="eastAsia" w:ascii="宋体" w:hAnsi="宋体"/>
          <w:color w:val="auto"/>
          <w:sz w:val="24"/>
          <w:szCs w:val="21"/>
          <w:highlight w:val="none"/>
        </w:rPr>
        <w:t xml:space="preserve">供应商</w:t>
      </w:r>
      <w:r>
        <w:rPr>
          <w:rFonts w:hint="eastAsia" w:ascii="宋体" w:hAnsi="宋体"/>
          <w:bCs/>
          <w:color w:val="auto"/>
          <w:sz w:val="24"/>
          <w:szCs w:val="24"/>
          <w:highlight w:val="none"/>
          <w:lang w:val="zh-CN"/>
        </w:rPr>
        <w:t xml:space="preserve">自行承担。</w:t>
      </w:r>
      <w:bookmarkEnd w:id="90"/>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三、响应文件</w:t>
      </w:r>
      <w:r/>
    </w:p>
    <w:p>
      <w:pPr>
        <w:ind w:firstLine="482"/>
        <w:jc w:val="left"/>
        <w:spacing w:line="360" w:lineRule="auto"/>
        <w:rPr>
          <w:rFonts w:hint="eastAsia" w:ascii="宋体" w:hAnsi="宋体"/>
          <w:b/>
          <w:color w:val="auto"/>
          <w:sz w:val="24"/>
          <w:szCs w:val="24"/>
          <w:highlight w:val="none"/>
        </w:rPr>
      </w:pPr>
      <w:r/>
      <w:bookmarkStart w:id="91" w:name="_Hlk151560628"/>
      <w:r/>
      <w:bookmarkStart w:id="92" w:name="OLE_LINK100"/>
      <w:r>
        <w:rPr>
          <w:rFonts w:hint="eastAsia" w:ascii="宋体" w:hAnsi="宋体"/>
          <w:b/>
          <w:color w:val="auto"/>
          <w:sz w:val="24"/>
          <w:szCs w:val="24"/>
          <w:highlight w:val="none"/>
        </w:rPr>
        <w:t xml:space="preserve">9、响应文件的组成</w:t>
      </w:r>
      <w:r/>
    </w:p>
    <w:p>
      <w:pPr>
        <w:ind w:firstLine="480"/>
        <w:jc w:val="left"/>
        <w:spacing w:line="360" w:lineRule="auto"/>
        <w:rPr>
          <w:rFonts w:hint="eastAsia" w:ascii="宋体" w:hAnsi="宋体"/>
          <w:bCs/>
          <w:color w:val="auto"/>
          <w:sz w:val="24"/>
          <w:szCs w:val="21"/>
          <w:highlight w:val="none"/>
          <w:lang w:val="zh-CN"/>
        </w:rPr>
      </w:pPr>
      <w:r/>
      <w:bookmarkStart w:id="93" w:name="OLE_LINK8"/>
      <w:r/>
      <w:bookmarkStart w:id="94" w:name="OLE_LINK114"/>
      <w:r>
        <w:rPr>
          <w:rFonts w:hint="eastAsia" w:ascii="宋体" w:hAnsi="宋体"/>
          <w:bCs/>
          <w:color w:val="auto"/>
          <w:sz w:val="24"/>
          <w:szCs w:val="21"/>
          <w:highlight w:val="none"/>
          <w:lang w:val="zh-CN"/>
        </w:rPr>
        <w:t xml:space="preserve">（1）磋商报价表</w:t>
      </w:r>
      <w:bookmarkEnd w:id="93"/>
      <w:r/>
    </w:p>
    <w:p>
      <w:pPr>
        <w:ind w:firstLine="48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95" w:name="_Hlk139968547"/>
      <w:r>
        <w:rPr>
          <w:rFonts w:hint="eastAsia" w:ascii="宋体" w:hAnsi="宋体"/>
          <w:bCs/>
          <w:color w:val="auto"/>
          <w:sz w:val="24"/>
          <w:szCs w:val="24"/>
          <w:highlight w:val="none"/>
          <w:lang w:val="zh-CN"/>
        </w:rPr>
        <w:t xml:space="preserve">①资格声明函：</w:t>
      </w:r>
      <w:bookmarkStart w:id="96" w:name="_Hlk151448601"/>
      <w:r>
        <w:rPr>
          <w:rFonts w:hint="eastAsia" w:ascii="宋体" w:hAnsi="宋体"/>
          <w:bCs/>
          <w:color w:val="auto"/>
          <w:sz w:val="24"/>
          <w:szCs w:val="24"/>
          <w:highlight w:val="none"/>
          <w:lang w:val="zh-CN"/>
        </w:rPr>
        <w:t xml:space="preserve">提供《关于资格的声明函》；</w:t>
      </w:r>
      <w:bookmarkEnd w:id="96"/>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②被授权代表身份证明1</w:t>
      </w:r>
      <w:bookmarkStart w:id="97" w:name="_Hlk163378222"/>
      <w:r>
        <w:rPr>
          <w:rFonts w:hint="eastAsia" w:ascii="宋体" w:hAnsi="宋体"/>
          <w:bCs/>
          <w:color w:val="auto"/>
          <w:sz w:val="24"/>
          <w:szCs w:val="24"/>
          <w:highlight w:val="none"/>
          <w:lang w:val="zh-CN"/>
        </w:rPr>
        <w:t xml:space="preserve">（授权委托书）</w:t>
      </w:r>
      <w:bookmarkEnd w:id="97"/>
      <w:r>
        <w:rPr>
          <w:rFonts w:hint="eastAsia" w:ascii="宋体" w:hAnsi="宋体"/>
          <w:bCs/>
          <w:color w:val="auto"/>
          <w:sz w:val="24"/>
          <w:szCs w:val="24"/>
          <w:highlight w:val="none"/>
          <w:lang w:val="zh-CN"/>
        </w:rPr>
        <w:t xml:space="preserve">：提供供应商法定代表人授权委托书（法定代表人亲自参加的无需提供）；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③被授权代表身份证明2（社保）：</w:t>
      </w:r>
      <w:bookmarkStart w:id="98" w:name="_Hlk155260749"/>
      <w:r>
        <w:rPr>
          <w:rFonts w:hint="eastAsia" w:ascii="宋体" w:hAnsi="宋体"/>
          <w:bCs/>
          <w:color w:val="auto"/>
          <w:sz w:val="24"/>
          <w:szCs w:val="24"/>
          <w:highlight w:val="none"/>
          <w:lang w:val="zh-CN"/>
        </w:rPr>
        <w:t xml:space="preserve">提供供应商为本项目被授权代表缴纳的近六个月内任意一个月份的社保证明</w:t>
      </w:r>
      <w:bookmarkEnd w:id="98"/>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④具有独立承担民事责任的能力：提供供应商营业执照或法人（登记）证书，供应商为自然人的提供自然人身份证；</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具有良好的商业信誉和健全的财务会计制度：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⑥有依法缴纳税收的良好记录：供应商依法缴纳近十二个月中任意一个月份税收的相关材料（提供相关主管部门证明或银行代扣证明）；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⑦有依法缴纳社会保障资金的良好记录：供应商依法缴纳近十二个月中任意一个月份社会保障资金的相关材料（提供相关主管部门证明或银行代扣证明）；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若供应商企业信息已录入以上网站的，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若供应商企业信息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录入以上网站的，以供应商</w:t>
      </w:r>
      <w:bookmarkStart w:id="99" w:name="_Hlk139976635"/>
      <w:r>
        <w:rPr>
          <w:rFonts w:hint="eastAsia" w:ascii="宋体" w:hAnsi="宋体"/>
          <w:bCs/>
          <w:color w:val="auto"/>
          <w:sz w:val="24"/>
          <w:szCs w:val="24"/>
          <w:highlight w:val="none"/>
          <w:lang w:val="zh-CN"/>
        </w:rPr>
        <w:t xml:space="preserve">提供的资格声明函中作出的无不良信用记录承诺为准</w:t>
      </w:r>
      <w:bookmarkEnd w:id="99"/>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100" w:name="_Hlk151448642"/>
      <w:r>
        <w:rPr>
          <w:rFonts w:hint="eastAsia" w:ascii="宋体" w:hAnsi="宋体"/>
          <w:bCs/>
          <w:color w:val="auto"/>
          <w:sz w:val="24"/>
          <w:szCs w:val="24"/>
          <w:highlight w:val="none"/>
          <w:lang w:val="zh-CN"/>
        </w:rPr>
        <w:t xml:space="preserve">⑨联合体：如采购人要求组成联合体或采购人允许组成联合体且供应商组成联合体的，应提供有效的联合体协议书，否则无需提供；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⑩分包：如采购人要求分包或采购人允许分包且供应商有分包意向的，应提供有效的分包情况说明，否则无需提供；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ascii="Cambria Math" w:hAnsi="Cambria Math" w:cs="Cambria Math"/>
          <w:bCs/>
          <w:color w:val="auto"/>
          <w:sz w:val="24"/>
          <w:szCs w:val="24"/>
          <w:highlight w:val="none"/>
          <w:lang w:val="zh-CN"/>
        </w:rPr>
        <w:t xml:space="preserve">⑪</w:t>
      </w:r>
      <w:r>
        <w:rPr>
          <w:rFonts w:hint="eastAsia" w:ascii="宋体" w:hAnsi="宋体"/>
          <w:bCs/>
          <w:color w:val="auto"/>
          <w:sz w:val="24"/>
          <w:szCs w:val="24"/>
          <w:highlight w:val="none"/>
          <w:lang w:val="zh-CN"/>
        </w:rPr>
        <w:t xml:space="preserve">中小企业声明：如专门面向中小企业采购的，供应商应提供有效的《中小企业声明函》或《残疾人福利性单位声明函》或监狱企业的证明文件，否则此处无需提供；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ascii="Cambria Math" w:hAnsi="Cambria Math" w:cs="Cambria Math"/>
          <w:bCs/>
          <w:color w:val="auto"/>
          <w:sz w:val="24"/>
          <w:szCs w:val="24"/>
          <w:highlight w:val="none"/>
          <w:lang w:val="zh-CN"/>
        </w:rPr>
        <w:t xml:space="preserve">⑫</w:t>
      </w:r>
      <w:r>
        <w:rPr>
          <w:rFonts w:hint="eastAsia" w:ascii="宋体" w:hAnsi="宋体" w:cs="宋体"/>
          <w:bCs/>
          <w:color w:val="auto"/>
          <w:sz w:val="24"/>
          <w:szCs w:val="24"/>
          <w:highlight w:val="none"/>
        </w:rPr>
        <w:t xml:space="preserve">特定资格要求</w:t>
      </w:r>
      <w:r>
        <w:rPr>
          <w:rFonts w:hint="eastAsia" w:ascii="宋体" w:hAnsi="宋体"/>
          <w:bCs/>
          <w:color w:val="auto"/>
          <w:sz w:val="24"/>
          <w:szCs w:val="24"/>
          <w:highlight w:val="none"/>
          <w:lang w:val="zh-CN"/>
        </w:rPr>
        <w:t xml:space="preserve">：无。</w:t>
      </w:r>
      <w:bookmarkEnd w:id="100"/>
      <w:r/>
    </w:p>
    <w:p>
      <w:pPr>
        <w:ind w:firstLine="48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注：以上近六个月、近十二个月是从提交响应文件截止日向前推算（不含响应文件提交截止当月）；</w:t>
      </w:r>
      <w:bookmarkStart w:id="101"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101"/>
      <w:r>
        <w:rPr>
          <w:rFonts w:hint="eastAsia" w:ascii="宋体" w:hAnsi="宋体"/>
          <w:bCs/>
          <w:color w:val="auto"/>
          <w:sz w:val="24"/>
          <w:szCs w:val="24"/>
          <w:highlight w:val="none"/>
        </w:rPr>
        <w:t xml:space="preserve">前三年是从提交响应文件截止日（含）向前推算，一年按3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供应商</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95"/>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（3）符合条件</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①响应函</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②明细报价表</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③项目技术要求偏离表</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④项目人员配置清单</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⑤服务内容详细说明（格式自拟）</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left="482" w:firstLine="12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(6) 技术商务部分评分导读表</w:t>
      </w:r>
      <w:bookmarkEnd w:id="94"/>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上述（2）和（3）内容供应商应按要求提供有效证明材料，否则报价无效，相关材料格式见“第六章 响应文件（格式）”。若未提供</w:t>
      </w:r>
      <w:r>
        <w:rPr>
          <w:rFonts w:hint="eastAsia" w:ascii="宋体" w:hAnsi="宋体"/>
          <w:bCs/>
          <w:color w:val="auto"/>
          <w:sz w:val="24"/>
          <w:szCs w:val="24"/>
          <w:highlight w:val="none"/>
          <w:lang w:val="zh-CN"/>
        </w:rPr>
        <w:t xml:space="preserve">被授权代表授权委托书及社保证明的，视为供应商法定代表人亲自参加。</w:t>
      </w:r>
      <w:r>
        <w:rPr>
          <w:rFonts w:hint="eastAsia" w:ascii="宋体" w:hAnsi="宋体"/>
          <w:bCs/>
          <w:color w:val="auto"/>
          <w:sz w:val="24"/>
          <w:szCs w:val="24"/>
          <w:highlight w:val="none"/>
        </w:rPr>
        <w:t xml:space="preserve">如上述资格证明文件遇年检、换证，则必须提供法定年检、换证单位出具的有效证明。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具有良好的商业信誉和健全的财务会计制度仅针对供应商为非自然人。</w:t>
      </w:r>
      <w:r>
        <w:rPr>
          <w:rFonts w:hint="eastAsia" w:ascii="宋体" w:hAnsi="宋体"/>
          <w:bCs/>
          <w:color w:val="auto"/>
          <w:sz w:val="24"/>
          <w:szCs w:val="24"/>
          <w:highlight w:val="none"/>
        </w:rPr>
        <w:t xml:space="preserve">如上述“（</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）资格条件”第③、⑥、⑦项，依法免税或</w:t>
      </w:r>
      <w:bookmarkStart w:id="102" w:name="OLE_LINK19"/>
      <w:r>
        <w:rPr>
          <w:rFonts w:hint="eastAsia" w:ascii="宋体" w:hAnsi="宋体"/>
          <w:bCs/>
          <w:color w:val="auto"/>
          <w:sz w:val="24"/>
          <w:szCs w:val="24"/>
          <w:highlight w:val="none"/>
        </w:rPr>
        <w:t xml:space="preserve">不需要缴纳社会保障资金</w:t>
      </w:r>
      <w:bookmarkEnd w:id="102"/>
      <w:r>
        <w:rPr>
          <w:rFonts w:hint="eastAsia" w:ascii="宋体" w:hAnsi="宋体"/>
          <w:bCs/>
          <w:color w:val="auto"/>
          <w:sz w:val="24"/>
          <w:szCs w:val="24"/>
          <w:highlight w:val="none"/>
        </w:rPr>
        <w:t xml:space="preserve">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审依据。供应商在响应文件中提交的以人事代理、控股子公司等代收代缴形式缴纳社保的证明，属于无效证明文件。</w:t>
      </w:r>
      <w:bookmarkEnd w:id="91"/>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10、报价</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1所有采购活动均以人民币报价。供应商的报价应遵守《中华人民共和国价格法》。同时，根据《中华人民共和国政府采购法》第二条的规定，为保证公平竞争，如有货物主体部分的赠与行为，其报价将被认定为无效报价。</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供应商所报的各分项单价在合同履行过程中是固定不变的，不得以任何理由予以变更。任何包含价格调整要求的报价，将被认定为无效报价。</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每种货物只能有一个报价。采购人不接受具有附加条件的报价。</w:t>
      </w:r>
      <w:bookmarkEnd w:id="92"/>
      <w:r>
        <w:rPr>
          <w:rFonts w:hint="eastAsia" w:ascii="宋体" w:hAnsi="宋体"/>
          <w:bCs/>
          <w:color w:val="auto"/>
          <w:sz w:val="24"/>
          <w:szCs w:val="24"/>
          <w:highlight w:val="none"/>
          <w:lang w:val="zh-CN"/>
        </w:rPr>
        <w:t xml:space="preserve">10.1 所有采购活动均以人民币报价。供应商的报价应遵守《中华人民共和国价格法》。同时，根据《中华人民共和国政府采购法》第二条的规定，为保证公平竞争，如有货物主体部分的赠与行为，其报价将被认定为报价无效。</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报价应包含完成本服务项目发生的所有含税费用、支付给员工的工资和国家强制缴纳的各种社会保障资金，以及供应商认为需要的其他费用等。</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10.3 供应商所报的各分项单价在合同履行过程中是固定不变的，不得以任何理由予以变更。任何包含价格调整要求的报价，将被认定为报价无效。</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10.4 每种服务及货物只能有一个报价。采购人不接受具有附加条件的报价。</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11、响应文件的制作</w:t>
      </w:r>
      <w:r/>
    </w:p>
    <w:p>
      <w:pPr>
        <w:ind w:firstLine="480"/>
        <w:jc w:val="left"/>
        <w:spacing w:line="360" w:lineRule="auto"/>
        <w:rPr>
          <w:rFonts w:hint="eastAsia" w:ascii="宋体" w:hAnsi="宋体"/>
          <w:bCs/>
          <w:color w:val="auto"/>
          <w:sz w:val="24"/>
          <w:szCs w:val="24"/>
          <w:highlight w:val="none"/>
          <w:lang w:val="zh-CN"/>
        </w:rPr>
      </w:pPr>
      <w:r/>
      <w:bookmarkStart w:id="103" w:name="_Toc1252"/>
      <w:r/>
      <w:bookmarkStart w:id="104" w:name="_Toc6050"/>
      <w:r/>
      <w:bookmarkStart w:id="105" w:name="_Toc66967608"/>
      <w:r/>
      <w:bookmarkStart w:id="106" w:name="_Toc30059"/>
      <w:r/>
      <w:bookmarkStart w:id="107" w:name="_Toc67384155"/>
      <w:r/>
      <w:bookmarkStart w:id="108" w:name="_Toc23122"/>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供应商所使用的计量单位应为国家法定计量单位。</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如供应商对磋商文件的相关内容有不同意见的偏离，应在响应文件中详细说明偏离的情况，如未明确作出偏离情况的说明，则视同</w:t>
      </w:r>
      <w:r>
        <w:rPr>
          <w:rFonts w:hint="eastAsia" w:ascii="宋体" w:hAnsi="宋体"/>
          <w:bCs/>
          <w:color w:val="auto"/>
          <w:sz w:val="24"/>
          <w:szCs w:val="24"/>
          <w:highlight w:val="none"/>
        </w:rPr>
        <w:t xml:space="preserve">供应商承诺实质性响应磋商文件的要求。</w:t>
      </w:r>
      <w:r/>
    </w:p>
    <w:p>
      <w:pPr>
        <w:ind w:firstLine="480"/>
        <w:jc w:val="left"/>
        <w:spacing w:line="360" w:lineRule="auto"/>
        <w:rPr>
          <w:rFonts w:ascii="宋体" w:hAnsi="宋体"/>
          <w:bCs/>
          <w:color w:val="auto"/>
          <w:sz w:val="24"/>
          <w:szCs w:val="24"/>
          <w:highlight w:val="none"/>
          <w:lang w:val="zh-CN"/>
        </w:rPr>
      </w:pPr>
      <w:r/>
      <w:bookmarkStart w:id="109"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不因响应文件的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而否决响应。本磋商文件中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w:t>
      </w:r>
      <w:r>
        <w:rPr>
          <w:rFonts w:ascii="宋体" w:hAnsi="宋体"/>
          <w:bCs/>
          <w:color w:val="auto"/>
          <w:sz w:val="24"/>
          <w:szCs w:val="24"/>
          <w:highlight w:val="none"/>
          <w:lang w:val="zh-CN"/>
        </w:rPr>
        <w:t xml:space="preserve">供应商在</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若供应商无法提供原件扫描件的，可以以电子照片、截图等其他方式提供。无论以何种方式提供的证明材料，彩色、黑白均认可，但必须保证证明材料的清晰完整、真实有效，</w:t>
      </w:r>
      <w:bookmarkStart w:id="110" w:name="_Hlk166503004"/>
      <w:r/>
      <w:bookmarkStart w:id="111" w:name="_Hlk160719877"/>
      <w:r>
        <w:rPr>
          <w:rFonts w:ascii="宋体" w:hAnsi="宋体"/>
          <w:bCs/>
          <w:color w:val="auto"/>
          <w:sz w:val="24"/>
          <w:szCs w:val="24"/>
          <w:highlight w:val="none"/>
          <w:lang w:val="zh-CN"/>
        </w:rPr>
        <w:t xml:space="preserve">否则由供应商</w:t>
      </w:r>
      <w:r>
        <w:rPr>
          <w:rFonts w:hint="eastAsia" w:ascii="宋体" w:hAnsi="宋体"/>
          <w:bCs/>
          <w:color w:val="auto"/>
          <w:sz w:val="24"/>
          <w:szCs w:val="24"/>
          <w:highlight w:val="none"/>
          <w:lang w:val="zh-CN"/>
        </w:rPr>
        <w:t xml:space="preserve">自行承担证明材料被判定为无效的风险</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供应商提供的相关材料中的相关名称、表述等与采购需求、评审标准不一致，磋商小组认为其实质相同的视作等同。</w:t>
      </w:r>
      <w:bookmarkEnd w:id="110"/>
      <w:r>
        <w:rPr>
          <w:rFonts w:hint="eastAsia" w:ascii="宋体" w:hAnsi="宋体"/>
          <w:bCs/>
          <w:color w:val="auto"/>
          <w:sz w:val="24"/>
          <w:szCs w:val="24"/>
          <w:highlight w:val="none"/>
          <w:lang w:val="zh-CN"/>
        </w:rPr>
        <w:t xml:space="preserve">若供应商提交的响应文件格式与磋商文件中的不一致，但必要的评审所需信息不影响评审判断的，视为符合要求，否则报价无效。</w:t>
      </w:r>
      <w:bookmarkEnd w:id="111"/>
      <w:r/>
      <w:r/>
    </w:p>
    <w:p>
      <w:pPr>
        <w:ind w:firstLine="480"/>
        <w:jc w:val="left"/>
        <w:spacing w:line="360" w:lineRule="auto"/>
        <w:rPr>
          <w:rFonts w:hint="eastAsia"/>
          <w:color w:val="auto"/>
          <w:highlight w:val="none"/>
        </w:rPr>
      </w:pPr>
      <w:r/>
      <w:bookmarkStart w:id="112"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供应商提交的响应文件中加盖的电子签章，均视为经供应商法定代表人同意或授权。</w:t>
      </w:r>
      <w:bookmarkEnd w:id="112"/>
      <w:r/>
      <w:bookmarkEnd w:id="109"/>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2</w:t>
      </w:r>
      <w:r>
        <w:rPr>
          <w:rFonts w:hint="eastAsia" w:ascii="宋体" w:hAnsi="宋体"/>
          <w:bCs/>
          <w:color w:val="auto"/>
          <w:sz w:val="24"/>
          <w:szCs w:val="24"/>
          <w:highlight w:val="none"/>
          <w:lang w:val="zh-CN"/>
        </w:rPr>
        <w:t xml:space="preserve">、电子响应文件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12.1 </w:t>
      </w:r>
      <w:r>
        <w:rPr>
          <w:rFonts w:hint="eastAsia" w:ascii="宋体" w:hAnsi="宋体"/>
          <w:bCs/>
          <w:color w:val="auto"/>
          <w:sz w:val="24"/>
          <w:szCs w:val="24"/>
          <w:highlight w:val="none"/>
          <w:lang w:val="zh-CN"/>
        </w:rPr>
        <w:t xml:space="preserve">供应商应通过响应文件制作软件使用数字认证证书对响应文件进行合成、电子签章及加密打包，并</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磋商文件</w:t>
      </w:r>
      <w:r>
        <w:rPr>
          <w:rFonts w:ascii="宋体" w:hAnsi="宋体"/>
          <w:bCs/>
          <w:color w:val="auto"/>
          <w:sz w:val="24"/>
          <w:szCs w:val="24"/>
          <w:highlight w:val="none"/>
          <w:lang w:val="zh-CN"/>
        </w:rPr>
        <w:t xml:space="preserve">规定的截止时间前，通过</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编制软件或登录“苏采云”系统在规定时间内完成提交，时间以电子交易平台时间为准。</w:t>
      </w:r>
      <w:r>
        <w:rPr>
          <w:rFonts w:hint="eastAsia" w:ascii="宋体" w:hAnsi="宋体"/>
          <w:bCs/>
          <w:color w:val="auto"/>
          <w:sz w:val="24"/>
          <w:szCs w:val="24"/>
          <w:highlight w:val="none"/>
          <w:lang w:val="zh-CN"/>
        </w:rPr>
        <w:t xml:space="preserve">具体流程如下：将后缀名为“.kedt”的磋商文件导入政府采购客户端工具--制作响应文件--导出加密的响应文件(后缀名为zip) --通过“苏采云”系统上传响应文件。（详见《江苏省政府采购交易系统（苏采云）供应商操作手册》）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，“苏采云”平台将拒绝接收。供应商应充分考虑网络环境、网络带宽等风险因素。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12.3 提交完成后至解密前，供应商不能对加密响应文件时所使用的数字认证证书进行更新、续费，否则可能引起的</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解密失败等相关后果由供应商自行承担（友情提示：若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已领取副锁（含多把副锁）请注意正副锁的使用差别）。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因不可抗力事件造成的（线上、线下）响应文件的损坏、丢失的，采购代理不承担责任。 </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3</w:t>
      </w:r>
      <w:r>
        <w:rPr>
          <w:rFonts w:hint="eastAsia" w:ascii="宋体" w:hAnsi="宋体"/>
          <w:bCs/>
          <w:color w:val="auto"/>
          <w:sz w:val="24"/>
          <w:szCs w:val="24"/>
          <w:highlight w:val="none"/>
          <w:lang w:val="zh-CN"/>
        </w:rPr>
        <w:t xml:space="preserve">、响应文件的拒收：在磋商文件要求的提交截止时间之后提交的响应文件和磋商文件规定拒收情形的将被拒收。</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、响应文件的真实性</w:t>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供应商（含成交供应商）应对其响应文件中提供的所有材料的真实性负责。</w:t>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113" w:name="OLE_LINK31"/>
      <w:r>
        <w:rPr>
          <w:rFonts w:hint="eastAsia" w:ascii="宋体" w:hAnsi="宋体"/>
          <w:color w:val="auto"/>
          <w:sz w:val="24"/>
          <w:szCs w:val="28"/>
          <w:highlight w:val="none"/>
        </w:rPr>
        <w:t xml:space="preserve">如采购人、采购代理机构、磋商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113"/>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bookmarkStart w:id="114" w:name="OLE_LINK32"/>
      <w:r>
        <w:rPr>
          <w:rFonts w:hint="eastAsia" w:ascii="宋体" w:hAnsi="宋体"/>
          <w:bCs/>
          <w:color w:val="auto"/>
          <w:sz w:val="24"/>
          <w:szCs w:val="24"/>
          <w:highlight w:val="none"/>
          <w:lang w:val="zh-CN"/>
        </w:rPr>
        <w:t xml:space="preserve">15、响应文件的有效期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响应文件的有效期为提交响应文件截止之日起的60天（含截止当日）。在特殊情况下，采购人、采购代理机构可与供应商协商延长响应文件的有效期。</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16、响应文件的补充、修改或撤回</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16</w:t>
      </w:r>
      <w:r>
        <w:rPr>
          <w:rFonts w:hint="eastAsia" w:ascii="宋体" w:hAnsi="宋体"/>
          <w:bCs/>
          <w:color w:val="auto"/>
          <w:sz w:val="24"/>
          <w:szCs w:val="24"/>
          <w:highlight w:val="none"/>
          <w:lang w:val="zh-CN"/>
        </w:rPr>
        <w:t xml:space="preserve">.1 供应商在提交响应文件截止时间前，可以对所提交的响应文件进行</w:t>
      </w:r>
      <w:bookmarkStart w:id="115" w:name="OLE_LINK12"/>
      <w:r>
        <w:rPr>
          <w:rFonts w:hint="eastAsia" w:ascii="宋体" w:hAnsi="宋体"/>
          <w:bCs/>
          <w:color w:val="auto"/>
          <w:sz w:val="24"/>
          <w:szCs w:val="24"/>
          <w:highlight w:val="none"/>
          <w:lang w:val="zh-CN"/>
        </w:rPr>
        <w:t xml:space="preserve">补充、修改或撤回</w:t>
      </w:r>
      <w:bookmarkEnd w:id="115"/>
      <w:r>
        <w:rPr>
          <w:rFonts w:hint="eastAsia" w:ascii="宋体" w:hAnsi="宋体"/>
          <w:bCs/>
          <w:color w:val="auto"/>
          <w:sz w:val="24"/>
          <w:szCs w:val="24"/>
          <w:highlight w:val="none"/>
          <w:lang w:val="zh-CN"/>
        </w:rPr>
        <w:t xml:space="preserve">。补充、修改的内容应当按照磋商文件要求签署、电子签章后，并作为响应文件的组成部分。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16.2 在提交响应文件截止时间之后，采购人、采购代理机构、磋商小组不接受供应商主动对其响应文件做任何补充、修改。</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17、报价无效的确认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17.1 </w:t>
      </w:r>
      <w:r>
        <w:rPr>
          <w:rFonts w:hint="eastAsia" w:ascii="宋体" w:hAnsi="宋体"/>
          <w:bCs/>
          <w:color w:val="auto"/>
          <w:sz w:val="24"/>
          <w:szCs w:val="24"/>
          <w:highlight w:val="none"/>
          <w:lang w:val="zh-CN"/>
        </w:rPr>
        <w:t xml:space="preserve">供应商有下列情况之一者，其报价无效：</w:t>
      </w:r>
      <w:bookmarkEnd w:id="114"/>
      <w:r/>
    </w:p>
    <w:p>
      <w:pPr>
        <w:numPr>
          <w:ilvl w:val="0"/>
          <w:numId w:val="4"/>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116" w:name="_Hlk160720948"/>
      <w:r>
        <w:rPr>
          <w:rFonts w:hint="eastAsia" w:ascii="宋体" w:hAnsi="宋体" w:cs="宋体"/>
          <w:color w:val="auto"/>
          <w:sz w:val="24"/>
          <w:szCs w:val="24"/>
          <w:highlight w:val="none"/>
        </w:rPr>
        <w:t xml:space="preserve">响应文件未按磋商文件</w:t>
      </w:r>
      <w:r>
        <w:rPr>
          <w:rFonts w:hint="eastAsia" w:ascii="宋体" w:hAnsi="宋体" w:cs="宋体"/>
          <w:bCs/>
          <w:color w:val="auto"/>
          <w:sz w:val="24"/>
          <w:szCs w:val="24"/>
          <w:highlight w:val="none"/>
        </w:rPr>
        <w:t xml:space="preserve">规定签署或电子签章的；</w:t>
      </w:r>
      <w:bookmarkEnd w:id="116"/>
      <w:r/>
    </w:p>
    <w:p>
      <w:pPr>
        <w:numPr>
          <w:ilvl w:val="0"/>
          <w:numId w:val="4"/>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不具备磋商文件中“供应商参加本次政府采购活动</w:t>
      </w:r>
      <w:r>
        <w:rPr>
          <w:rFonts w:hint="eastAsia" w:ascii="宋体" w:hAnsi="宋体" w:cs="宋体"/>
          <w:color w:val="auto"/>
          <w:sz w:val="24"/>
          <w:szCs w:val="24"/>
          <w:highlight w:val="none"/>
          <w:lang w:val="zh-CN"/>
        </w:rPr>
        <w:t xml:space="preserve">应具备的资格条件</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lang w:val="zh-CN"/>
        </w:rPr>
        <w:t xml:space="preserve">或未按磋商文件规定的要求提供有效资格证明文件的；</w:t>
      </w:r>
      <w:r/>
    </w:p>
    <w:p>
      <w:pPr>
        <w:numPr>
          <w:ilvl w:val="0"/>
          <w:numId w:val="4"/>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响应文件中有采购文件未允许提供的选择性内容的</w:t>
      </w:r>
      <w:r/>
    </w:p>
    <w:p>
      <w:pPr>
        <w:numPr>
          <w:ilvl w:val="0"/>
          <w:numId w:val="4"/>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响应文件含有采购人不能接受的附加条件的；</w:t>
      </w:r>
      <w:r/>
    </w:p>
    <w:p>
      <w:pPr>
        <w:numPr>
          <w:ilvl w:val="0"/>
          <w:numId w:val="4"/>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报价</w:t>
      </w:r>
      <w:r>
        <w:rPr>
          <w:rFonts w:hint="eastAsia" w:ascii="宋体" w:hAnsi="宋体" w:cs="宋体"/>
          <w:color w:val="auto"/>
          <w:sz w:val="24"/>
          <w:szCs w:val="24"/>
          <w:highlight w:val="none"/>
        </w:rPr>
        <w:t xml:space="preserve">超过磋商文件中规定的</w:t>
      </w:r>
      <w:bookmarkStart w:id="117"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117"/>
      <w:r>
        <w:rPr>
          <w:rFonts w:hint="eastAsia" w:ascii="宋体" w:hAnsi="宋体" w:cs="宋体"/>
          <w:color w:val="auto"/>
          <w:sz w:val="24"/>
          <w:szCs w:val="24"/>
          <w:highlight w:val="none"/>
        </w:rPr>
        <w:t xml:space="preserve">预算金额或者最高限价的</w:t>
      </w:r>
      <w:r>
        <w:rPr>
          <w:rFonts w:hint="eastAsia" w:ascii="宋体" w:hAnsi="宋体" w:cs="宋体"/>
          <w:color w:val="auto"/>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响应文件报价</w:t>
      </w:r>
      <w:r>
        <w:rPr>
          <w:rFonts w:hint="eastAsia" w:ascii="宋体" w:hAnsi="宋体" w:cs="宋体"/>
          <w:color w:val="auto"/>
          <w:sz w:val="24"/>
          <w:szCs w:val="24"/>
          <w:highlight w:val="none"/>
        </w:rPr>
        <w:t xml:space="preserve">出现前后不一致，且供应商拒绝修正的；</w:t>
      </w:r>
      <w:r/>
    </w:p>
    <w:p>
      <w:pPr>
        <w:numPr>
          <w:ilvl w:val="0"/>
          <w:numId w:val="4"/>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磋商小组认为供应商的报价明显低于其他通过符合性审查供应商的报价，有可能影响产品质量或者不能诚信履约，且供应商不能证明其报价合理性的；</w:t>
      </w:r>
      <w:r/>
    </w:p>
    <w:p>
      <w:pPr>
        <w:numPr>
          <w:ilvl w:val="0"/>
          <w:numId w:val="4"/>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bCs/>
          <w:color w:val="auto"/>
          <w:sz w:val="24"/>
          <w:szCs w:val="24"/>
          <w:highlight w:val="none"/>
        </w:rPr>
        <w:t xml:space="preserve">属于磋商文件“不得参加本次采购活动”的供应商的；</w:t>
      </w:r>
      <w:r/>
    </w:p>
    <w:p>
      <w:pPr>
        <w:numPr>
          <w:ilvl w:val="0"/>
          <w:numId w:val="4"/>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已提交响应文件的供应商，在提交最后报价之前，退出磋商的或未提交最终报价的；</w:t>
      </w:r>
      <w:r/>
    </w:p>
    <w:p>
      <w:pPr>
        <w:numPr>
          <w:ilvl w:val="0"/>
          <w:numId w:val="4"/>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与其他供应商串通报价的，包括但不限于以下几种情况：</w:t>
      </w:r>
      <w:r/>
    </w:p>
    <w:p>
      <w:pPr>
        <w:numPr>
          <w:ilvl w:val="0"/>
          <w:numId w:val="5"/>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不同供应商的响应文件由同一单位或者个人编制</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不同供应商委托同一单位或者个人办理报价事宜</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不同供应商的响应文件载明的项目管理成员或者联系人员为同一人</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不同供应商的响应文件异常一致或者报价呈规律性差异</w:t>
      </w:r>
      <w:r>
        <w:rPr>
          <w:rFonts w:hint="eastAsia" w:ascii="宋体" w:hAnsi="宋体"/>
          <w:bCs/>
          <w:color w:val="auto"/>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不同供应商的响应文件相互混装</w:t>
      </w:r>
      <w:r>
        <w:rPr>
          <w:rFonts w:hint="eastAsia" w:ascii="宋体" w:hAnsi="宋体"/>
          <w:bCs/>
          <w:color w:val="auto"/>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bookmarkStart w:id="118" w:name="OLE_LINK134"/>
      <w:r>
        <w:rPr>
          <w:rFonts w:hint="eastAsia" w:ascii="宋体" w:hAnsi="宋体" w:cs="宋体"/>
          <w:color w:val="auto"/>
          <w:sz w:val="24"/>
          <w:szCs w:val="24"/>
          <w:highlight w:val="none"/>
          <w:lang w:val="zh-CN"/>
        </w:rPr>
        <w:t xml:space="preserve">提供虚假材料</w:t>
      </w:r>
      <w:bookmarkStart w:id="119" w:name="OLE_LINK137"/>
      <w:r>
        <w:rPr>
          <w:rFonts w:hint="eastAsia" w:ascii="宋体" w:hAnsi="宋体" w:cs="宋体"/>
          <w:color w:val="auto"/>
          <w:sz w:val="24"/>
          <w:szCs w:val="24"/>
          <w:highlight w:val="none"/>
          <w:lang w:val="zh-CN"/>
        </w:rPr>
        <w:t xml:space="preserve">（含虚假承诺）</w:t>
      </w:r>
      <w:bookmarkEnd w:id="119"/>
      <w:r>
        <w:rPr>
          <w:rFonts w:hint="eastAsia" w:ascii="宋体" w:hAnsi="宋体" w:cs="宋体"/>
          <w:color w:val="auto"/>
          <w:sz w:val="24"/>
          <w:szCs w:val="24"/>
          <w:highlight w:val="none"/>
          <w:lang w:val="zh-CN"/>
        </w:rPr>
        <w:t xml:space="preserve">的</w:t>
      </w:r>
      <w:bookmarkEnd w:id="118"/>
      <w:r>
        <w:rPr>
          <w:rFonts w:hint="eastAsia" w:ascii="宋体" w:hAnsi="宋体" w:cs="宋体"/>
          <w:color w:val="auto"/>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bookmarkStart w:id="120" w:name="_Hlk162444543"/>
      <w:r>
        <w:rPr>
          <w:rFonts w:hint="eastAsia" w:ascii="宋体" w:hAnsi="宋体" w:cs="宋体"/>
          <w:color w:val="auto"/>
          <w:sz w:val="24"/>
          <w:szCs w:val="24"/>
          <w:highlight w:val="none"/>
          <w:lang w:val="zh-CN"/>
        </w:rPr>
        <w:t xml:space="preserve">响应文件</w:t>
      </w:r>
      <w:bookmarkStart w:id="121" w:name="_Hlk162444294"/>
      <w:r>
        <w:rPr>
          <w:rFonts w:hint="eastAsia" w:ascii="宋体" w:hAnsi="宋体" w:cs="宋体"/>
          <w:bCs/>
          <w:color w:val="auto"/>
          <w:sz w:val="24"/>
          <w:szCs w:val="24"/>
          <w:highlight w:val="none"/>
          <w:lang w:val="zh-CN"/>
        </w:rPr>
        <w:t xml:space="preserve">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122"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w:t>
      </w:r>
      <w:r>
        <w:rPr>
          <w:rFonts w:hint="eastAsia" w:ascii="宋体" w:hAnsi="宋体"/>
          <w:bCs/>
          <w:color w:val="auto"/>
          <w:sz w:val="24"/>
          <w:szCs w:val="24"/>
          <w:highlight w:val="none"/>
        </w:rPr>
        <w:t xml:space="preserve">磋商文件</w:t>
      </w:r>
      <w:r>
        <w:rPr>
          <w:rFonts w:hint="eastAsia" w:ascii="宋体" w:hAnsi="宋体" w:cs="宋体"/>
          <w:bCs/>
          <w:color w:val="auto"/>
          <w:sz w:val="24"/>
          <w:szCs w:val="24"/>
          <w:highlight w:val="none"/>
          <w:lang w:val="zh-CN"/>
        </w:rPr>
        <w:t xml:space="preserve">中规定的实质性要求，其中之一的</w:t>
      </w:r>
      <w:bookmarkEnd w:id="120"/>
      <w:r/>
      <w:bookmarkEnd w:id="121"/>
      <w:r/>
      <w:bookmarkEnd w:id="122"/>
      <w:r>
        <w:rPr>
          <w:rFonts w:hint="eastAsia" w:ascii="宋体" w:hAnsi="宋体" w:cs="宋体"/>
          <w:color w:val="auto"/>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olor w:val="auto"/>
          <w:sz w:val="24"/>
          <w:szCs w:val="28"/>
          <w:highlight w:val="none"/>
        </w:rPr>
      </w:pPr>
      <w:r>
        <w:rPr>
          <w:rFonts w:hint="eastAsia" w:ascii="宋体" w:hAnsi="宋体" w:cs="宋体"/>
          <w:color w:val="auto"/>
          <w:sz w:val="24"/>
          <w:szCs w:val="24"/>
          <w:highlight w:val="none"/>
          <w:lang w:val="zh-CN"/>
        </w:rPr>
        <w:t xml:space="preserve">法律、法规和磋商文件规定的其他无效情形。</w:t>
      </w:r>
      <w:r/>
    </w:p>
    <w:p>
      <w:pPr>
        <w:ind w:left="420"/>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w:t>
      </w:r>
      <w:bookmarkStart w:id="123" w:name="OLE_LINK21"/>
      <w:r>
        <w:rPr>
          <w:rFonts w:hint="eastAsia" w:ascii="宋体" w:hAnsi="宋体"/>
          <w:b/>
          <w:color w:val="auto"/>
          <w:sz w:val="24"/>
          <w:szCs w:val="24"/>
          <w:highlight w:val="none"/>
        </w:rPr>
        <w:t xml:space="preserve">联合体报价、</w:t>
      </w:r>
      <w:r>
        <w:rPr>
          <w:rFonts w:hint="eastAsia" w:ascii="宋体" w:hAnsi="宋体" w:cs="宋体"/>
          <w:b/>
          <w:color w:val="auto"/>
          <w:sz w:val="24"/>
          <w:szCs w:val="24"/>
          <w:highlight w:val="none"/>
        </w:rPr>
        <w:t xml:space="preserve">成交后分包</w:t>
      </w:r>
      <w:bookmarkEnd w:id="123"/>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18、联合体、成交后分包（如有）</w:t>
      </w:r>
      <w:r/>
    </w:p>
    <w:p>
      <w:pPr>
        <w:ind w:firstLine="47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18.1联合体</w:t>
      </w:r>
      <w:r/>
    </w:p>
    <w:p>
      <w:pPr>
        <w:ind w:firstLine="480"/>
        <w:jc w:val="left"/>
        <w:spacing w:line="360" w:lineRule="auto"/>
        <w:rPr>
          <w:rFonts w:hint="eastAsia" w:ascii="宋体" w:hAnsi="宋体"/>
          <w:bCs/>
          <w:color w:val="auto"/>
          <w:sz w:val="24"/>
          <w:szCs w:val="24"/>
          <w:highlight w:val="none"/>
          <w:lang w:val="zh-CN"/>
        </w:rPr>
      </w:pPr>
      <w:r/>
      <w:bookmarkStart w:id="124" w:name="OLE_LINK105"/>
      <w:r>
        <w:rPr>
          <w:rFonts w:hint="eastAsia" w:ascii="宋体" w:hAnsi="宋体"/>
          <w:bCs/>
          <w:color w:val="auto"/>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125" w:name="OLE_LINK165"/>
      <w:r>
        <w:rPr>
          <w:rFonts w:hint="eastAsia" w:ascii="宋体" w:hAnsi="宋体"/>
          <w:bCs/>
          <w:color w:val="auto"/>
          <w:sz w:val="24"/>
          <w:szCs w:val="24"/>
          <w:highlight w:val="none"/>
        </w:rPr>
        <w:t xml:space="preserve">供应商如为联合体的，</w:t>
      </w:r>
      <w:r>
        <w:rPr>
          <w:rFonts w:hint="eastAsia" w:ascii="宋体" w:hAnsi="宋体"/>
          <w:bCs/>
          <w:color w:val="auto"/>
          <w:sz w:val="24"/>
          <w:szCs w:val="24"/>
          <w:highlight w:val="none"/>
          <w:lang w:val="zh-CN"/>
        </w:rPr>
        <w:t xml:space="preserve">联合体各方应按磋商文件提供的格式签</w:t>
      </w:r>
      <w:bookmarkStart w:id="126" w:name="OLE_LINK199"/>
      <w:r>
        <w:rPr>
          <w:rFonts w:hint="eastAsia" w:ascii="宋体" w:hAnsi="宋体"/>
          <w:bCs/>
          <w:color w:val="auto"/>
          <w:sz w:val="24"/>
          <w:szCs w:val="24"/>
          <w:highlight w:val="none"/>
          <w:lang w:val="zh-CN"/>
        </w:rPr>
        <w:t xml:space="preserve">订联合体协议书</w:t>
      </w:r>
      <w:bookmarkEnd w:id="126"/>
      <w:r>
        <w:rPr>
          <w:rFonts w:hint="eastAsia" w:ascii="宋体" w:hAnsi="宋体"/>
          <w:bCs/>
          <w:color w:val="auto"/>
          <w:sz w:val="24"/>
          <w:szCs w:val="24"/>
          <w:highlight w:val="none"/>
          <w:lang w:val="zh-CN"/>
        </w:rPr>
        <w:t xml:space="preserve">，明确联合体主体单位（即牵头人）和各方的权利义务</w:t>
      </w:r>
      <w:bookmarkEnd w:id="125"/>
      <w:r/>
      <w:bookmarkStart w:id="127" w:name="OLE_LINK127"/>
      <w:r/>
      <w:bookmarkStart w:id="128" w:name="_Hlk160456332"/>
      <w:r/>
      <w:bookmarkStart w:id="129"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占合同总金额的比例。除联合体协议书外，响应文件其他地方需要供应商签名或电子签章的，只需主体单位进行签名或电子签章。</w:t>
      </w:r>
      <w:bookmarkEnd w:id="127"/>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以联合体形式参加报价的，</w:t>
      </w:r>
      <w:bookmarkStart w:id="130"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128"/>
      <w:r/>
      <w:bookmarkEnd w:id="130"/>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；联合体中有同类资质的供应商按照联合体分工承担相同工作的，按照资质等级较低的供应商确定资质等级；</w:t>
      </w:r>
      <w:bookmarkStart w:id="131"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129"/>
      <w:r/>
      <w:bookmarkEnd w:id="131"/>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olor w:val="auto"/>
          <w:sz w:val="24"/>
          <w:szCs w:val="24"/>
          <w:highlight w:val="none"/>
        </w:rPr>
        <w:t xml:space="preserve">，否则相关报价均将被认定为报价无效</w:t>
      </w:r>
      <w:r>
        <w:rPr>
          <w:rFonts w:ascii="宋体" w:hAnsi="宋体"/>
          <w:color w:val="auto"/>
          <w:sz w:val="24"/>
          <w:szCs w:val="24"/>
          <w:highlight w:val="none"/>
        </w:rPr>
        <w:t xml:space="preserve">。</w:t>
      </w:r>
      <w:bookmarkEnd w:id="124"/>
      <w:r/>
      <w:r/>
    </w:p>
    <w:p>
      <w:pPr>
        <w:ind w:firstLine="480"/>
        <w:jc w:val="left"/>
        <w:spacing w:line="360" w:lineRule="auto"/>
        <w:rPr>
          <w:rFonts w:hint="eastAsia" w:ascii="宋体"/>
          <w:color w:val="auto"/>
          <w:sz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18.2 成交后分包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供应商根据磋商文件的规定和采购项目的实际情况，拟在成交后将成交项目的非主体、非关键性工作分包的，须在响应文件中载明分包承担主体，分包承担主体应当具备相应资质条件且不得再次分包。</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五、采购活动</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19.1 </w:t>
      </w:r>
      <w:r>
        <w:rPr>
          <w:rFonts w:hint="eastAsia" w:ascii="宋体" w:hAnsi="宋体"/>
          <w:bCs/>
          <w:color w:val="auto"/>
          <w:sz w:val="24"/>
          <w:szCs w:val="24"/>
          <w:highlight w:val="none"/>
          <w:lang w:val="zh-CN"/>
        </w:rPr>
        <w:t xml:space="preserve">采购人按磋商文件规定的时间在“苏采云开标大厅”召开开标大会。</w:t>
      </w:r>
      <w:r>
        <w:rPr>
          <w:rFonts w:hint="eastAsia" w:ascii="宋体" w:hAnsi="宋体"/>
          <w:bCs/>
          <w:color w:val="auto"/>
          <w:sz w:val="24"/>
          <w:szCs w:val="24"/>
          <w:highlight w:val="none"/>
        </w:rPr>
        <w:t xml:space="preserve">供应商</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rPr>
        <w:t xml:space="preserve">报价</w:t>
      </w:r>
      <w:r>
        <w:rPr>
          <w:rFonts w:ascii="宋体" w:hAnsi="宋体"/>
          <w:bCs/>
          <w:color w:val="auto"/>
          <w:sz w:val="24"/>
          <w:szCs w:val="24"/>
          <w:highlight w:val="none"/>
          <w:lang w:val="zh-CN"/>
        </w:rPr>
        <w:t xml:space="preserve">前做好充分准备，携带 CA 数字证书准时参加。</w:t>
      </w:r>
      <w:r/>
    </w:p>
    <w:p>
      <w:pPr>
        <w:ind w:firstLine="480"/>
        <w:jc w:val="left"/>
        <w:spacing w:line="360" w:lineRule="auto"/>
        <w:rPr>
          <w:rFonts w:hint="eastAsia" w:ascii="宋体" w:hAnsi="宋体"/>
          <w:b/>
          <w:color w:val="auto"/>
          <w:sz w:val="24"/>
          <w:szCs w:val="24"/>
          <w:highlight w:val="none"/>
          <w:lang w:val="zh-CN"/>
        </w:rPr>
      </w:pPr>
      <w:r>
        <w:rPr>
          <w:rFonts w:hint="eastAsia" w:ascii="宋体" w:hAnsi="宋体"/>
          <w:bCs/>
          <w:color w:val="auto"/>
          <w:sz w:val="24"/>
          <w:szCs w:val="24"/>
          <w:highlight w:val="none"/>
          <w:lang w:val="zh-CN"/>
        </w:rPr>
        <w:t xml:space="preserve">提交响应文件或成功解密响应文件的供应商不足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19</w:t>
      </w:r>
      <w:r>
        <w:rPr>
          <w:rFonts w:ascii="宋体" w:hAnsi="宋体"/>
          <w:bCs/>
          <w:color w:val="auto"/>
          <w:sz w:val="24"/>
          <w:szCs w:val="24"/>
          <w:highlight w:val="none"/>
          <w:lang w:val="zh-CN"/>
        </w:rPr>
        <w:t xml:space="preserve">.2</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提交截止时间后，</w:t>
      </w:r>
      <w:r>
        <w:rPr>
          <w:rFonts w:hint="eastAsia" w:ascii="宋体" w:hAnsi="宋体"/>
          <w:bCs/>
          <w:color w:val="auto"/>
          <w:sz w:val="24"/>
          <w:szCs w:val="24"/>
          <w:highlight w:val="none"/>
          <w:lang w:val="zh-CN"/>
        </w:rPr>
        <w:t xml:space="preserve">在“苏采云开标大厅”开启响应文件，相关注意事项详见报价邀请函。</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20、磋商程序</w:t>
      </w:r>
      <w:r/>
    </w:p>
    <w:p>
      <w:pPr>
        <w:ind w:left="1" w:firstLine="480"/>
        <w:jc w:val="left"/>
        <w:spacing w:line="360" w:lineRule="auto"/>
        <w:tabs>
          <w:tab w:val="left" w:pos="945" w:leader="none"/>
        </w:tabs>
        <w:rPr>
          <w:rFonts w:hint="eastAsia" w:ascii="宋体" w:hAnsi="宋体"/>
          <w:bCs/>
          <w:color w:val="auto"/>
          <w:sz w:val="24"/>
          <w:szCs w:val="24"/>
          <w:highlight w:val="none"/>
        </w:rPr>
      </w:pPr>
      <w:r/>
      <w:bookmarkStart w:id="132" w:name="OLE_LINK35"/>
      <w:r>
        <w:rPr>
          <w:rFonts w:hint="eastAsia" w:ascii="宋体" w:hAnsi="宋体"/>
          <w:bCs/>
          <w:color w:val="auto"/>
          <w:sz w:val="24"/>
          <w:szCs w:val="24"/>
          <w:highlight w:val="none"/>
        </w:rPr>
        <w:t xml:space="preserve">20.1 具体评审事务由采购人依法组建的磋商小组（即评审委员会）负责</w:t>
      </w:r>
      <w:bookmarkStart w:id="133" w:name="_Hlk160096617"/>
      <w:r>
        <w:rPr>
          <w:rFonts w:hint="eastAsia" w:ascii="宋体" w:hAnsi="宋体"/>
          <w:bCs/>
          <w:color w:val="auto"/>
          <w:sz w:val="24"/>
          <w:szCs w:val="24"/>
          <w:highlight w:val="none"/>
        </w:rPr>
        <w:t xml:space="preserve">，其成员由评审专家和采购人代表组成</w:t>
      </w:r>
      <w:bookmarkEnd w:id="133"/>
      <w:r>
        <w:rPr>
          <w:rFonts w:hint="eastAsia" w:ascii="宋体" w:hAnsi="宋体"/>
          <w:bCs/>
          <w:color w:val="auto"/>
          <w:sz w:val="24"/>
          <w:szCs w:val="24"/>
          <w:highlight w:val="none"/>
        </w:rPr>
        <w:t xml:space="preserve">。 </w:t>
      </w:r>
      <w:r/>
    </w:p>
    <w:p>
      <w:pPr>
        <w:ind w:left="1" w:firstLine="480"/>
        <w:jc w:val="left"/>
        <w:spacing w:line="360" w:lineRule="auto"/>
        <w:tabs>
          <w:tab w:val="left" w:pos="945" w:leader="none"/>
        </w:tabs>
        <w:rPr>
          <w:rFonts w:hint="eastAsia" w:ascii="宋体" w:hAnsi="宋体"/>
          <w:bCs/>
          <w:color w:val="auto"/>
          <w:sz w:val="24"/>
          <w:szCs w:val="24"/>
          <w:highlight w:val="none"/>
        </w:rPr>
      </w:pPr>
      <w:r/>
      <w:bookmarkStart w:id="134" w:name="OLE_LINK98"/>
      <w:r>
        <w:rPr>
          <w:rFonts w:hint="eastAsia" w:ascii="宋体" w:hAnsi="宋体"/>
          <w:bCs/>
          <w:color w:val="auto"/>
          <w:sz w:val="24"/>
          <w:szCs w:val="24"/>
          <w:highlight w:val="none"/>
        </w:rPr>
        <w:t xml:space="preserve">20.2</w:t>
      </w:r>
      <w:bookmarkEnd w:id="134"/>
      <w:r>
        <w:rPr>
          <w:rFonts w:hint="eastAsia" w:ascii="宋体" w:hAnsi="宋体"/>
          <w:bCs/>
          <w:color w:val="auto"/>
          <w:sz w:val="24"/>
          <w:szCs w:val="24"/>
          <w:highlight w:val="none"/>
        </w:rPr>
        <w:t xml:space="preserve"> </w:t>
      </w:r>
      <w:bookmarkStart w:id="135" w:name="OLE_LINK99"/>
      <w:r>
        <w:rPr>
          <w:rFonts w:hint="eastAsia" w:ascii="宋体" w:hAnsi="宋体"/>
          <w:bCs/>
          <w:color w:val="auto"/>
          <w:sz w:val="24"/>
          <w:szCs w:val="24"/>
          <w:highlight w:val="none"/>
        </w:rPr>
        <w:t xml:space="preserve">磋商小组</w:t>
      </w:r>
      <w:bookmarkEnd w:id="135"/>
      <w:r>
        <w:rPr>
          <w:rFonts w:hint="eastAsia" w:ascii="宋体" w:hAnsi="宋体"/>
          <w:bCs/>
          <w:color w:val="auto"/>
          <w:sz w:val="24"/>
          <w:szCs w:val="24"/>
          <w:highlight w:val="none"/>
        </w:rPr>
        <w:t xml:space="preserve">按照磋商文件的要求对供应商进行资格性及符合性审查。未通过资格性或符合性审查</w:t>
      </w:r>
      <w:r>
        <w:rPr>
          <w:rFonts w:hint="eastAsia" w:ascii="宋体" w:hAnsi="宋体" w:cs="宋体"/>
          <w:color w:val="auto"/>
          <w:sz w:val="24"/>
          <w:szCs w:val="24"/>
          <w:highlight w:val="none"/>
        </w:rPr>
        <w:t xml:space="preserve">的，其报价无效。</w:t>
      </w:r>
      <w:r/>
    </w:p>
    <w:p>
      <w:pPr>
        <w:ind w:firstLine="480"/>
        <w:jc w:val="left"/>
        <w:spacing w:line="360" w:lineRule="auto"/>
        <w:rPr>
          <w:rFonts w:hint="eastAsia" w:ascii="宋体" w:hAnsi="宋体" w:cs="宋体"/>
          <w:color w:val="auto"/>
          <w:sz w:val="24"/>
          <w:szCs w:val="24"/>
          <w:highlight w:val="none"/>
        </w:rPr>
      </w:pPr>
      <w:r/>
      <w:bookmarkStart w:id="136" w:name="OLE_LINK107"/>
      <w:r>
        <w:rPr>
          <w:rFonts w:hint="eastAsia" w:ascii="宋体" w:hAnsi="宋体"/>
          <w:bCs/>
          <w:color w:val="auto"/>
          <w:sz w:val="24"/>
          <w:szCs w:val="24"/>
          <w:highlight w:val="none"/>
        </w:rPr>
        <w:t xml:space="preserve">20.2.1 </w:t>
      </w:r>
      <w:bookmarkStart w:id="137" w:name="_Hlk160107381"/>
      <w:r>
        <w:rPr>
          <w:rFonts w:hint="eastAsia" w:ascii="宋体" w:hAnsi="宋体"/>
          <w:bCs/>
          <w:color w:val="auto"/>
          <w:sz w:val="24"/>
          <w:szCs w:val="24"/>
          <w:highlight w:val="none"/>
        </w:rPr>
        <w:t xml:space="preserve">资格性审查是指磋商小组</w:t>
      </w:r>
      <w:r>
        <w:rPr>
          <w:rFonts w:hint="eastAsia" w:ascii="宋体" w:hAnsi="宋体" w:cs="宋体"/>
          <w:color w:val="auto"/>
          <w:sz w:val="24"/>
          <w:szCs w:val="24"/>
          <w:highlight w:val="none"/>
        </w:rPr>
        <w:t xml:space="preserve">按照本须知</w:t>
      </w:r>
      <w:bookmarkStart w:id="138" w:name="_Hlk160109446"/>
      <w:r>
        <w:rPr>
          <w:rFonts w:hint="eastAsia" w:ascii="宋体" w:hAnsi="宋体" w:cs="宋体"/>
          <w:color w:val="auto"/>
          <w:sz w:val="24"/>
          <w:szCs w:val="24"/>
          <w:highlight w:val="none"/>
        </w:rPr>
        <w:t xml:space="preserve">“9、响应文件的组成”中“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”的要求对供应商</w:t>
      </w:r>
      <w:bookmarkEnd w:id="138"/>
      <w:r/>
      <w:bookmarkStart w:id="139" w:name="_Hlk160109488"/>
      <w:r>
        <w:rPr>
          <w:rFonts w:hint="eastAsia" w:ascii="宋体" w:hAnsi="宋体" w:cs="宋体"/>
          <w:color w:val="auto"/>
          <w:sz w:val="24"/>
          <w:szCs w:val="24"/>
          <w:highlight w:val="none"/>
        </w:rPr>
        <w:t xml:space="preserve">响应文件中资格证明材料进行审查</w:t>
      </w:r>
      <w:bookmarkEnd w:id="137"/>
      <w:r/>
      <w:bookmarkEnd w:id="139"/>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20.2</w:t>
      </w:r>
      <w:r>
        <w:rPr>
          <w:rFonts w:hint="eastAsia" w:ascii="宋体" w:hAnsi="宋体" w:cs="宋体"/>
          <w:color w:val="auto"/>
          <w:sz w:val="24"/>
          <w:szCs w:val="24"/>
          <w:highlight w:val="none"/>
        </w:rPr>
        <w:t xml:space="preserve">.2 信用查询。</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① 查询时间：</w:t>
      </w:r>
      <w:r>
        <w:rPr>
          <w:rFonts w:hint="eastAsia" w:ascii="宋体" w:hAnsi="宋体"/>
          <w:bCs/>
          <w:color w:val="auto"/>
          <w:sz w:val="24"/>
          <w:szCs w:val="24"/>
          <w:highlight w:val="none"/>
        </w:rPr>
        <w:t xml:space="preserve">磋商小组将在资审环节查询供应商的信用记录，</w:t>
      </w:r>
      <w:r>
        <w:rPr>
          <w:rFonts w:hint="eastAsia" w:ascii="宋体" w:hAnsi="宋体" w:cs="宋体"/>
          <w:color w:val="auto"/>
          <w:sz w:val="24"/>
          <w:szCs w:val="24"/>
          <w:highlight w:val="none"/>
        </w:rPr>
        <w:t xml:space="preserve">供应商存在不良信用记录的，</w:t>
      </w:r>
      <w:bookmarkStart w:id="140" w:name="_Hlk160109404"/>
      <w:r>
        <w:rPr>
          <w:rFonts w:hint="eastAsia" w:ascii="宋体" w:hAnsi="宋体"/>
          <w:bCs/>
          <w:color w:val="auto"/>
          <w:sz w:val="24"/>
          <w:szCs w:val="24"/>
          <w:highlight w:val="none"/>
        </w:rPr>
        <w:t xml:space="preserve">资格性审查不通过，</w:t>
      </w:r>
      <w:bookmarkEnd w:id="140"/>
      <w:r>
        <w:rPr>
          <w:rFonts w:hint="eastAsia" w:ascii="宋体" w:hAnsi="宋体" w:cs="宋体"/>
          <w:color w:val="auto"/>
          <w:sz w:val="24"/>
          <w:szCs w:val="24"/>
          <w:highlight w:val="none"/>
        </w:rPr>
        <w:t xml:space="preserve">其报价将被认定为报价无效。</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 不良信用记录指：</w:t>
      </w:r>
      <w:r>
        <w:rPr>
          <w:rFonts w:hint="eastAsia" w:ascii="宋体" w:hAnsi="宋体" w:cs="宋体"/>
          <w:bCs/>
          <w:color w:val="auto"/>
          <w:sz w:val="24"/>
          <w:szCs w:val="24"/>
          <w:highlight w:val="none"/>
        </w:rPr>
        <w:t xml:space="preserve">被“信用中国”（www.creditchina.gov.cn)、中国政府采购网（www.ccgp.gov.cn）列入失信被执行人、重大税收违法案件当事人名单、政府采购严重违法失信行为记录名单（在限制期内）</w:t>
      </w:r>
      <w:r>
        <w:rPr>
          <w:rFonts w:hint="eastAsia" w:ascii="宋体" w:hAnsi="宋体" w:cs="宋体"/>
          <w:color w:val="auto"/>
          <w:sz w:val="24"/>
          <w:szCs w:val="24"/>
          <w:highlight w:val="none"/>
          <w:lang w:val="zh-CN"/>
        </w:rPr>
        <w:t xml:space="preserve">。</w:t>
      </w:r>
      <w:r>
        <w:rPr>
          <w:rFonts w:hint="eastAsia" w:ascii="宋体" w:hAnsi="宋体" w:cs="宋体"/>
          <w:bCs/>
          <w:color w:val="auto"/>
          <w:sz w:val="24"/>
          <w:szCs w:val="24"/>
          <w:highlight w:val="none"/>
        </w:rPr>
        <w:t xml:space="preserve">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报价无效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③ 查询及记录方式：</w:t>
      </w:r>
      <w:r>
        <w:rPr>
          <w:rFonts w:hint="eastAsia" w:ascii="宋体" w:hAnsi="宋体" w:cs="宋体"/>
          <w:bCs/>
          <w:color w:val="auto"/>
          <w:sz w:val="24"/>
          <w:szCs w:val="24"/>
          <w:highlight w:val="none"/>
        </w:rPr>
        <w:t xml:space="preserve">评审当日，</w:t>
      </w:r>
      <w:r>
        <w:rPr>
          <w:rFonts w:hint="eastAsia" w:ascii="宋体" w:hAnsi="宋体"/>
          <w:bCs/>
          <w:color w:val="auto"/>
          <w:sz w:val="24"/>
          <w:szCs w:val="24"/>
          <w:highlight w:val="none"/>
        </w:rPr>
        <w:t xml:space="preserve">磋商小组</w:t>
      </w:r>
      <w:r>
        <w:rPr>
          <w:rFonts w:hint="eastAsia" w:ascii="宋体" w:hAnsi="宋体" w:cs="宋体"/>
          <w:bCs/>
          <w:color w:val="auto"/>
          <w:sz w:val="24"/>
          <w:szCs w:val="24"/>
          <w:highlight w:val="none"/>
        </w:rPr>
        <w:t xml:space="preserve">在以上网站查询并打印查询结果、签字、存档备查。供应商不良信用记录以</w:t>
      </w:r>
      <w:r>
        <w:rPr>
          <w:rFonts w:hint="eastAsia" w:ascii="宋体" w:hAnsi="宋体"/>
          <w:bCs/>
          <w:color w:val="auto"/>
          <w:sz w:val="24"/>
          <w:szCs w:val="24"/>
          <w:highlight w:val="none"/>
        </w:rPr>
        <w:t xml:space="preserve">磋商小组在评审</w:t>
      </w:r>
      <w:r>
        <w:rPr>
          <w:rFonts w:hint="eastAsia" w:ascii="宋体" w:hAnsi="宋体" w:cs="宋体"/>
          <w:bCs/>
          <w:color w:val="auto"/>
          <w:sz w:val="24"/>
          <w:szCs w:val="24"/>
          <w:highlight w:val="none"/>
        </w:rPr>
        <w:t xml:space="preserve">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141" w:name="_Hlk163724827"/>
      <w:r>
        <w:rPr>
          <w:rFonts w:hint="eastAsia" w:ascii="宋体" w:hAnsi="宋体"/>
          <w:bCs/>
          <w:color w:val="auto"/>
          <w:sz w:val="24"/>
          <w:szCs w:val="24"/>
          <w:highlight w:val="none"/>
          <w:lang w:val="zh-CN"/>
        </w:rPr>
        <w:t xml:space="preserve">以供应商提供的资格声明函中作出的无不良信用记录承诺为准。</w:t>
      </w:r>
      <w:bookmarkEnd w:id="141"/>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20.2.3</w:t>
      </w:r>
      <w:bookmarkStart w:id="142" w:name="_Hlk159920454"/>
      <w:r>
        <w:rPr>
          <w:rFonts w:hint="eastAsia" w:ascii="宋体" w:hAnsi="宋体"/>
          <w:bCs/>
          <w:color w:val="auto"/>
          <w:sz w:val="24"/>
          <w:szCs w:val="24"/>
          <w:highlight w:val="none"/>
        </w:rPr>
        <w:t xml:space="preserve"> </w:t>
      </w:r>
      <w:bookmarkEnd w:id="136"/>
      <w:r>
        <w:rPr>
          <w:rFonts w:hint="eastAsia" w:ascii="宋体" w:hAnsi="宋体"/>
          <w:bCs/>
          <w:color w:val="auto"/>
          <w:sz w:val="24"/>
          <w:szCs w:val="24"/>
          <w:highlight w:val="none"/>
        </w:rPr>
        <w:t xml:space="preserve">符合性审查是指磋商小组对通过资格性审查的供应商的响应文件进行</w:t>
      </w:r>
      <w:bookmarkStart w:id="143" w:name="_Hlk159919996"/>
      <w:r>
        <w:rPr>
          <w:rFonts w:hint="eastAsia" w:ascii="宋体" w:hAnsi="宋体"/>
          <w:bCs/>
          <w:color w:val="auto"/>
          <w:sz w:val="24"/>
          <w:szCs w:val="24"/>
          <w:highlight w:val="none"/>
        </w:rPr>
        <w:t xml:space="preserve">审查，以确定其是否满足磋商文件的实质性要求。</w:t>
      </w:r>
      <w:bookmarkEnd w:id="132"/>
      <w:r/>
      <w:bookmarkEnd w:id="142"/>
      <w:r/>
      <w:bookmarkEnd w:id="143"/>
      <w:r/>
      <w:bookmarkStart w:id="144"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响应文件</w:t>
      </w:r>
      <w:r>
        <w:rPr>
          <w:rFonts w:hint="eastAsia" w:ascii="宋体" w:hAnsi="宋体" w:cs="宋体"/>
          <w:bCs/>
          <w:color w:val="auto"/>
          <w:sz w:val="24"/>
          <w:szCs w:val="24"/>
          <w:highlight w:val="none"/>
        </w:rPr>
        <w:t xml:space="preserve">的组成”</w:t>
      </w:r>
      <w:bookmarkEnd w:id="144"/>
      <w:r>
        <w:rPr>
          <w:rFonts w:hint="eastAsia" w:ascii="宋体" w:hAnsi="宋体" w:cs="宋体"/>
          <w:bCs/>
          <w:color w:val="auto"/>
          <w:sz w:val="24"/>
          <w:szCs w:val="24"/>
          <w:highlight w:val="none"/>
        </w:rPr>
        <w:t xml:space="preserve"> 中“符合条件”和磋商文件</w:t>
      </w:r>
      <w:r>
        <w:rPr>
          <w:rFonts w:hint="eastAsia" w:ascii="宋体" w:hAnsi="宋体"/>
          <w:bCs/>
          <w:color w:val="auto"/>
          <w:sz w:val="24"/>
          <w:szCs w:val="24"/>
          <w:highlight w:val="none"/>
        </w:rPr>
        <w:t xml:space="preserve">中其他实质性要求，未通过符合性审查的，其报价无效。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20.3 </w:t>
      </w:r>
      <w:r>
        <w:rPr>
          <w:rFonts w:hint="eastAsia" w:ascii="宋体"/>
          <w:color w:val="auto"/>
          <w:sz w:val="24"/>
          <w:highlight w:val="none"/>
          <w:lang w:val="zh-CN"/>
        </w:rPr>
        <w:t xml:space="preserve">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20.4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w:t>
      </w:r>
      <w:bookmarkStart w:id="145" w:name="OLE_LINK129"/>
      <w:r>
        <w:rPr>
          <w:rFonts w:hint="eastAsia" w:ascii="宋体" w:hAnsi="宋体" w:cs="宋体"/>
          <w:color w:val="auto"/>
          <w:sz w:val="24"/>
          <w:szCs w:val="24"/>
          <w:highlight w:val="none"/>
        </w:rPr>
        <w:t xml:space="preserve">若</w:t>
      </w:r>
      <w:r>
        <w:rPr>
          <w:rFonts w:hint="eastAsia" w:ascii="宋体" w:hAnsi="宋体"/>
          <w:bCs/>
          <w:color w:val="auto"/>
          <w:sz w:val="24"/>
          <w:szCs w:val="24"/>
          <w:highlight w:val="none"/>
        </w:rPr>
        <w:t xml:space="preserve">对不同文字文本响应文件的解释发生异议的，以中文文本为准。</w:t>
      </w:r>
      <w:bookmarkEnd w:id="145"/>
      <w:r/>
      <w:bookmarkStart w:id="146" w:name="_Hlk164086081"/>
      <w:r/>
      <w:bookmarkStart w:id="147" w:name="_Hlk159572925"/>
      <w:r>
        <w:rPr>
          <w:rFonts w:hint="eastAsia" w:ascii="宋体" w:hAnsi="宋体"/>
          <w:bCs/>
          <w:color w:val="auto"/>
          <w:sz w:val="24"/>
          <w:szCs w:val="24"/>
          <w:highlight w:val="none"/>
        </w:rPr>
        <w:t xml:space="preserve">供应商获得证书的时间是指发文时间或证书落款时间，若供应商同时提供了发文和证书，以发文时间为准。</w:t>
      </w:r>
      <w:bookmarkEnd w:id="146"/>
      <w:r>
        <w:rPr>
          <w:rFonts w:hint="eastAsia" w:ascii="宋体" w:hAnsi="宋体"/>
          <w:bCs/>
          <w:color w:val="auto"/>
          <w:sz w:val="24"/>
          <w:szCs w:val="24"/>
          <w:highlight w:val="none"/>
        </w:rPr>
        <w:t xml:space="preserve">同一合同项下的续签合同、补充合同不单独作为有效证明材料。除以上磋商小组</w:t>
      </w:r>
      <w:r>
        <w:rPr>
          <w:rFonts w:hint="eastAsia" w:ascii="宋体" w:hAnsi="宋体"/>
          <w:bCs/>
          <w:color w:val="auto"/>
          <w:sz w:val="24"/>
          <w:highlight w:val="none"/>
        </w:rPr>
        <w:t xml:space="preserve">要求供应商作出必要的澄清、说明或者纠正时，需要供应商提供相关证明材料外，供应商</w:t>
      </w:r>
      <w:r>
        <w:rPr>
          <w:rFonts w:hint="eastAsia" w:ascii="宋体" w:hAnsi="宋体"/>
          <w:bCs/>
          <w:color w:val="auto"/>
          <w:sz w:val="24"/>
          <w:szCs w:val="24"/>
          <w:highlight w:val="none"/>
        </w:rPr>
        <w:t xml:space="preserve">提供的</w:t>
      </w:r>
      <w:r>
        <w:rPr>
          <w:rFonts w:hint="eastAsia" w:ascii="宋体" w:hAnsi="宋体"/>
          <w:bCs/>
          <w:color w:val="auto"/>
          <w:sz w:val="24"/>
          <w:highlight w:val="none"/>
        </w:rPr>
        <w:t xml:space="preserve">响应文件以外的证明材料一概不作为评审依据。</w:t>
      </w:r>
      <w:bookmarkEnd w:id="147"/>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磋商小组要求供应商澄清、说明或者更正响应文件应当以书面形式作出</w:t>
      </w:r>
      <w:bookmarkStart w:id="148" w:name="_Hlk160096255"/>
      <w:r>
        <w:rPr>
          <w:rFonts w:hint="eastAsia" w:ascii="宋体" w:hAnsi="宋体"/>
          <w:bCs/>
          <w:color w:val="auto"/>
          <w:sz w:val="24"/>
          <w:szCs w:val="24"/>
          <w:highlight w:val="none"/>
        </w:rPr>
        <w:t xml:space="preserve">，采用不见面交易模式的，可以采用数据电文形式进行，并做好记录。</w:t>
      </w:r>
      <w:bookmarkEnd w:id="148"/>
      <w:r>
        <w:rPr>
          <w:rFonts w:hint="eastAsia" w:ascii="宋体" w:hAnsi="宋体"/>
          <w:bCs/>
          <w:color w:val="auto"/>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20.5 </w:t>
      </w:r>
      <w:bookmarkStart w:id="149" w:name="_Hlk160108948"/>
      <w:r>
        <w:rPr>
          <w:rFonts w:hint="eastAsia" w:ascii="宋体" w:hAnsi="宋体"/>
          <w:bCs/>
          <w:color w:val="auto"/>
          <w:sz w:val="24"/>
          <w:szCs w:val="24"/>
          <w:highlight w:val="none"/>
          <w:lang w:val="zh-CN"/>
        </w:rPr>
        <w:t xml:space="preserve">磋商小组确定磋商程序和磋商内</w:t>
      </w:r>
      <w:r>
        <w:rPr>
          <w:rFonts w:hint="eastAsia" w:ascii="宋体" w:hAnsi="宋体"/>
          <w:bCs/>
          <w:color w:val="auto"/>
          <w:sz w:val="24"/>
          <w:szCs w:val="24"/>
          <w:highlight w:val="none"/>
        </w:rPr>
        <w:t xml:space="preserve">容后，</w:t>
      </w:r>
      <w:bookmarkEnd w:id="149"/>
      <w:r>
        <w:rPr>
          <w:rFonts w:hint="eastAsia" w:ascii="宋体" w:hAnsi="宋体"/>
          <w:bCs/>
          <w:color w:val="auto"/>
          <w:sz w:val="24"/>
          <w:szCs w:val="24"/>
          <w:highlight w:val="none"/>
          <w:lang w:val="zh-CN"/>
        </w:rPr>
        <w:t xml:space="preserve">磋商小组所有成员集中与单一供应商分别进行磋商，并给予所有参加磋商的供应商平等的磋商机会。</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20.</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电子签章。如重新提交的响应文件不满足实质性要求，作无效响应处理。</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20.7 </w:t>
      </w:r>
      <w:r>
        <w:rPr>
          <w:rFonts w:hint="eastAsia" w:ascii="宋体" w:hAnsi="宋体"/>
          <w:bCs/>
          <w:color w:val="auto"/>
          <w:sz w:val="24"/>
          <w:szCs w:val="24"/>
          <w:highlight w:val="none"/>
          <w:lang w:val="zh-CN"/>
        </w:rPr>
        <w:t xml:space="preserve">磋商结束后，磋商小组将要求所有继续参加磋商的供应商在规定时间内</w:t>
      </w:r>
      <w:bookmarkStart w:id="150" w:name="_Hlk153891412"/>
      <w:r>
        <w:rPr>
          <w:rFonts w:hint="eastAsia" w:ascii="宋体" w:hAnsi="宋体"/>
          <w:bCs/>
          <w:color w:val="auto"/>
          <w:sz w:val="24"/>
          <w:szCs w:val="24"/>
          <w:highlight w:val="none"/>
          <w:lang w:val="zh-CN"/>
        </w:rPr>
        <w:t xml:space="preserve">通过</w:t>
      </w:r>
      <w:r>
        <w:rPr>
          <w:rFonts w:ascii="宋体" w:hAnsi="宋体"/>
          <w:bCs/>
          <w:color w:val="auto"/>
          <w:sz w:val="24"/>
          <w:szCs w:val="24"/>
          <w:highlight w:val="none"/>
        </w:rPr>
        <w:t xml:space="preserve">电子交易平台</w:t>
      </w:r>
      <w:bookmarkEnd w:id="150"/>
      <w:r>
        <w:rPr>
          <w:rFonts w:hint="eastAsia" w:ascii="宋体" w:hAnsi="宋体"/>
          <w:bCs/>
          <w:color w:val="auto"/>
          <w:sz w:val="24"/>
          <w:szCs w:val="24"/>
          <w:highlight w:val="none"/>
          <w:lang w:val="zh-CN"/>
        </w:rPr>
        <w:t xml:space="preserve">提交第2次磋商报价（即最后报价），提交最后报价的供应商不得少于3家（市场竞争不充分的科研项目以及需要扶持的科技成果转化项目，提交最后报价的供应商可以为2家）。</w:t>
      </w:r>
      <w:bookmarkStart w:id="151" w:name="_Hlk135750542"/>
      <w:r>
        <w:rPr>
          <w:rFonts w:hint="eastAsia" w:ascii="宋体" w:hAnsi="宋体"/>
          <w:b/>
          <w:color w:val="auto"/>
          <w:sz w:val="24"/>
          <w:szCs w:val="24"/>
          <w:highlight w:val="none"/>
          <w:u w:val="single"/>
          <w:lang w:val="zh-CN"/>
        </w:rPr>
        <w:t xml:space="preserve">最后报价是供应商响应文件的有效组成部分，若供应商未及时在系统中填报并确认最后报价，视为放弃磋商资格、退出磋商，其报价无效。</w:t>
      </w:r>
      <w:bookmarkEnd w:id="151"/>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20.8 </w:t>
      </w:r>
      <w:r>
        <w:rPr>
          <w:rFonts w:hint="eastAsia" w:ascii="宋体" w:hAnsi="宋体"/>
          <w:bCs/>
          <w:color w:val="auto"/>
          <w:sz w:val="24"/>
          <w:szCs w:val="24"/>
          <w:highlight w:val="none"/>
          <w:lang w:val="zh-CN"/>
        </w:rPr>
        <w:t xml:space="preserve">已提交响应文件的供应商，在提交最后报价之前，可以根据磋商情况退出磋商。退出磋商的供应商，其报价无效。</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bookmarkStart w:id="152" w:name="OLE_LINK37"/>
      <w:r>
        <w:rPr>
          <w:rFonts w:hint="eastAsia" w:ascii="宋体" w:hAnsi="宋体"/>
          <w:bCs/>
          <w:color w:val="auto"/>
          <w:sz w:val="24"/>
          <w:szCs w:val="24"/>
          <w:highlight w:val="none"/>
          <w:lang w:val="zh-CN"/>
        </w:rPr>
        <w:t xml:space="preserve">20.9 评审方法和标准。</w:t>
      </w:r>
      <w:bookmarkEnd w:id="152"/>
      <w:r/>
      <w:r/>
    </w:p>
    <w:p>
      <w:pPr>
        <w:ind w:left="1" w:firstLine="480"/>
        <w:jc w:val="left"/>
        <w:spacing w:line="360" w:lineRule="auto"/>
        <w:tabs>
          <w:tab w:val="left" w:pos="945" w:leader="none"/>
        </w:tabs>
        <w:rPr>
          <w:rFonts w:hint="eastAsia" w:ascii="宋体" w:hAnsi="宋体" w:cs="宋体"/>
          <w:color w:val="auto"/>
          <w:sz w:val="24"/>
          <w:szCs w:val="24"/>
          <w:highlight w:val="none"/>
        </w:rPr>
      </w:pPr>
      <w:r/>
      <w:bookmarkStart w:id="153" w:name="OLE_LINK90"/>
      <w:r>
        <w:rPr>
          <w:rFonts w:hint="eastAsia" w:ascii="宋体" w:hAnsi="宋体"/>
          <w:bCs/>
          <w:color w:val="auto"/>
          <w:sz w:val="24"/>
          <w:highlight w:val="none"/>
        </w:rPr>
        <w:t xml:space="preserve">20.9.1 </w:t>
      </w:r>
      <w:bookmarkStart w:id="154" w:name="OLE_LINK108"/>
      <w:r>
        <w:rPr>
          <w:rFonts w:ascii="宋体" w:hAnsi="宋体"/>
          <w:bCs/>
          <w:color w:val="auto"/>
          <w:sz w:val="24"/>
          <w:szCs w:val="24"/>
          <w:highlight w:val="none"/>
          <w:lang w:val="zh-CN"/>
        </w:rPr>
        <w:t xml:space="preserve">经磋商确定最终采购需求和提交最后报价的供应商后，由磋商小组采用综合评分法对提交最后报价的</w:t>
      </w:r>
      <w:bookmarkStart w:id="155" w:name="_Hlk139982628"/>
      <w:r>
        <w:rPr>
          <w:rFonts w:ascii="宋体" w:hAnsi="宋体"/>
          <w:bCs/>
          <w:color w:val="auto"/>
          <w:sz w:val="24"/>
          <w:szCs w:val="24"/>
          <w:highlight w:val="none"/>
          <w:lang w:val="zh-CN"/>
        </w:rPr>
        <w:t xml:space="preserve">供应商</w:t>
      </w:r>
      <w:bookmarkEnd w:id="155"/>
      <w:r>
        <w:rPr>
          <w:rFonts w:ascii="宋体" w:hAnsi="宋体"/>
          <w:bCs/>
          <w:color w:val="auto"/>
          <w:sz w:val="24"/>
          <w:szCs w:val="24"/>
          <w:highlight w:val="none"/>
          <w:lang w:val="zh-CN"/>
        </w:rPr>
        <w:t xml:space="preserve">的响应文件和最后报价进行综合评分</w:t>
      </w:r>
      <w:r>
        <w:rPr>
          <w:rFonts w:hint="eastAsia" w:ascii="宋体" w:hAnsi="宋体"/>
          <w:bCs/>
          <w:color w:val="auto"/>
          <w:sz w:val="24"/>
          <w:szCs w:val="24"/>
          <w:highlight w:val="none"/>
          <w:lang w:val="zh-CN"/>
        </w:rPr>
        <w:t xml:space="preserve">，</w:t>
      </w:r>
      <w:r>
        <w:rPr>
          <w:rFonts w:hint="eastAsia" w:ascii="宋体" w:hAnsi="宋体"/>
          <w:bCs/>
          <w:color w:val="auto"/>
          <w:sz w:val="24"/>
          <w:highlight w:val="none"/>
        </w:rPr>
        <w:t xml:space="preserve">各</w:t>
      </w:r>
      <w:r>
        <w:rPr>
          <w:rFonts w:ascii="宋体" w:hAnsi="宋体"/>
          <w:bCs/>
          <w:color w:val="auto"/>
          <w:sz w:val="24"/>
          <w:szCs w:val="24"/>
          <w:highlight w:val="none"/>
          <w:lang w:val="zh-CN"/>
        </w:rPr>
        <w:t xml:space="preserve">供应商</w:t>
      </w:r>
      <w:r>
        <w:rPr>
          <w:rFonts w:hint="eastAsia" w:ascii="宋体" w:hAnsi="宋体"/>
          <w:bCs/>
          <w:color w:val="auto"/>
          <w:sz w:val="24"/>
          <w:szCs w:val="24"/>
          <w:highlight w:val="none"/>
          <w:lang w:val="zh-CN"/>
        </w:rPr>
        <w:t xml:space="preserve">的最终得分为</w:t>
      </w:r>
      <w:r>
        <w:rPr>
          <w:rFonts w:ascii="宋体" w:hAnsi="宋体"/>
          <w:bCs/>
          <w:color w:val="auto"/>
          <w:sz w:val="24"/>
          <w:szCs w:val="24"/>
          <w:highlight w:val="none"/>
          <w:lang w:val="zh-CN"/>
        </w:rPr>
        <w:t xml:space="preserve">磋商小组</w:t>
      </w:r>
      <w:bookmarkStart w:id="156" w:name="_Hlk160721631"/>
      <w:r>
        <w:rPr>
          <w:rFonts w:hint="eastAsia" w:ascii="宋体" w:hAnsi="宋体"/>
          <w:bCs/>
          <w:color w:val="auto"/>
          <w:sz w:val="24"/>
          <w:szCs w:val="24"/>
          <w:highlight w:val="none"/>
          <w:lang w:val="zh-CN"/>
        </w:rPr>
        <w:t xml:space="preserve">所有成员</w:t>
      </w:r>
      <w:r>
        <w:rPr>
          <w:rFonts w:ascii="宋体" w:hAnsi="宋体"/>
          <w:bCs/>
          <w:color w:val="auto"/>
          <w:sz w:val="24"/>
          <w:szCs w:val="24"/>
          <w:highlight w:val="none"/>
          <w:lang w:val="zh-CN"/>
        </w:rPr>
        <w:t xml:space="preserve">综合评分</w:t>
      </w:r>
      <w:r>
        <w:rPr>
          <w:rFonts w:hint="eastAsia" w:ascii="宋体" w:hAnsi="宋体"/>
          <w:bCs/>
          <w:color w:val="auto"/>
          <w:sz w:val="24"/>
          <w:highlight w:val="none"/>
        </w:rPr>
        <w:t xml:space="preserve">后得分的算术平均值</w:t>
      </w:r>
      <w:bookmarkEnd w:id="156"/>
      <w:r>
        <w:rPr>
          <w:rFonts w:hint="eastAsia" w:ascii="宋体" w:hAnsi="宋体"/>
          <w:bCs/>
          <w:color w:val="auto"/>
          <w:sz w:val="24"/>
          <w:highlight w:val="none"/>
        </w:rPr>
        <w:t xml:space="preserve">（四舍五入保留两位小数）</w:t>
      </w:r>
      <w:r>
        <w:rPr>
          <w:rFonts w:ascii="宋体" w:hAnsi="宋体"/>
          <w:bCs/>
          <w:color w:val="auto"/>
          <w:sz w:val="24"/>
          <w:szCs w:val="24"/>
          <w:highlight w:val="none"/>
          <w:lang w:val="zh-CN"/>
        </w:rPr>
        <w:t xml:space="preserve">。</w:t>
      </w:r>
      <w:bookmarkStart w:id="157" w:name="_Hlk139982745"/>
      <w:r>
        <w:rPr>
          <w:rFonts w:ascii="宋体" w:hAnsi="宋体"/>
          <w:bCs/>
          <w:color w:val="auto"/>
          <w:sz w:val="24"/>
          <w:szCs w:val="24"/>
          <w:highlight w:val="none"/>
          <w:lang w:val="zh-CN"/>
        </w:rPr>
        <w:t xml:space="preserve">磋商小组应当根据综合评分情况按照</w:t>
      </w:r>
      <w:r>
        <w:rPr>
          <w:rFonts w:hint="eastAsia" w:ascii="宋体" w:hAnsi="宋体"/>
          <w:bCs/>
          <w:color w:val="auto"/>
          <w:sz w:val="24"/>
          <w:szCs w:val="24"/>
          <w:highlight w:val="none"/>
          <w:lang w:val="zh-CN"/>
        </w:rPr>
        <w:t xml:space="preserve">最终得分</w:t>
      </w:r>
      <w:r>
        <w:rPr>
          <w:rFonts w:ascii="宋体" w:hAnsi="宋体"/>
          <w:bCs/>
          <w:color w:val="auto"/>
          <w:sz w:val="24"/>
          <w:szCs w:val="24"/>
          <w:highlight w:val="none"/>
          <w:lang w:val="zh-CN"/>
        </w:rPr>
        <w:t xml:space="preserve">由</w:t>
      </w:r>
      <w:r>
        <w:rPr>
          <w:rFonts w:hint="eastAsia" w:ascii="宋体" w:hAnsi="宋体"/>
          <w:bCs/>
          <w:color w:val="auto"/>
          <w:sz w:val="24"/>
          <w:szCs w:val="24"/>
          <w:highlight w:val="none"/>
          <w:lang w:val="zh-CN"/>
        </w:rPr>
        <w:t xml:space="preserve">高到低顺序排列</w:t>
      </w:r>
      <w:r>
        <w:rPr>
          <w:rFonts w:ascii="宋体" w:hAnsi="宋体"/>
          <w:bCs/>
          <w:color w:val="auto"/>
          <w:sz w:val="24"/>
          <w:szCs w:val="24"/>
          <w:highlight w:val="none"/>
          <w:lang w:val="zh-CN"/>
        </w:rPr>
        <w:t xml:space="preserve">，并</w:t>
      </w:r>
      <w:r>
        <w:rPr>
          <w:rFonts w:hint="eastAsia" w:ascii="宋体" w:hAnsi="宋体"/>
          <w:bCs/>
          <w:color w:val="auto"/>
          <w:sz w:val="24"/>
          <w:szCs w:val="24"/>
          <w:highlight w:val="none"/>
          <w:lang w:val="zh-CN"/>
        </w:rPr>
        <w:t xml:space="preserve">作为成交候选人排序，</w:t>
      </w:r>
      <w:r>
        <w:rPr>
          <w:rFonts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157"/>
      <w:r>
        <w:rPr>
          <w:rFonts w:hint="eastAsia" w:ascii="宋体" w:hAnsi="宋体"/>
          <w:bCs/>
          <w:color w:val="auto"/>
          <w:sz w:val="24"/>
          <w:szCs w:val="24"/>
          <w:highlight w:val="none"/>
          <w:lang w:val="zh-CN"/>
        </w:rPr>
        <w:t xml:space="preserve">若最终得分相同，按最后原始报价由低到高顺序排列；若最终得分且最后原始报价均相同的，</w:t>
      </w:r>
      <w:bookmarkStart w:id="158" w:name="_Hlk135898070"/>
      <w:r>
        <w:rPr>
          <w:rFonts w:hint="eastAsia" w:ascii="宋体" w:hAnsi="宋体"/>
          <w:bCs/>
          <w:color w:val="auto"/>
          <w:sz w:val="24"/>
          <w:szCs w:val="24"/>
          <w:highlight w:val="none"/>
          <w:lang w:val="zh-CN"/>
        </w:rPr>
        <w:t xml:space="preserve">按照技术指标优劣</w:t>
      </w:r>
      <w:r>
        <w:rPr>
          <w:rFonts w:hint="eastAsia" w:ascii="宋体" w:hAnsi="宋体"/>
          <w:bCs/>
          <w:color w:val="auto"/>
          <w:sz w:val="24"/>
          <w:highlight w:val="none"/>
        </w:rPr>
        <w:t xml:space="preserve">确定排序。</w:t>
      </w:r>
      <w:bookmarkEnd w:id="158"/>
      <w:r>
        <w:rPr>
          <w:rFonts w:hint="eastAsia" w:ascii="宋体" w:hAnsi="宋体"/>
          <w:bCs/>
          <w:color w:val="auto"/>
          <w:sz w:val="24"/>
          <w:szCs w:val="24"/>
          <w:highlight w:val="none"/>
        </w:rPr>
        <w:t xml:space="preserve">评分标准详见“第四章 评审方法和标准”。</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cs="宋体"/>
          <w:color w:val="auto"/>
          <w:sz w:val="24"/>
          <w:szCs w:val="24"/>
          <w:highlight w:val="none"/>
        </w:rPr>
        <w:t xml:space="preserve">除了算术修正</w:t>
      </w:r>
      <w:bookmarkStart w:id="159" w:name="OLE_LINK201"/>
      <w:r>
        <w:rPr>
          <w:rFonts w:hint="eastAsia" w:ascii="宋体" w:hAnsi="宋体" w:cs="宋体"/>
          <w:color w:val="auto"/>
          <w:sz w:val="24"/>
          <w:szCs w:val="24"/>
          <w:highlight w:val="none"/>
        </w:rPr>
        <w:t xml:space="preserve">（</w:t>
      </w:r>
      <w:bookmarkStart w:id="160" w:name="OLE_LINK202"/>
      <w:r>
        <w:rPr>
          <w:rFonts w:hint="eastAsia" w:ascii="宋体" w:hAnsi="宋体" w:cs="宋体"/>
          <w:color w:val="auto"/>
          <w:sz w:val="24"/>
          <w:szCs w:val="24"/>
          <w:highlight w:val="none"/>
        </w:rPr>
        <w:t xml:space="preserve">21.9.2</w:t>
      </w:r>
      <w:bookmarkEnd w:id="160"/>
      <w:r>
        <w:rPr>
          <w:rFonts w:hint="eastAsia" w:ascii="宋体" w:hAnsi="宋体" w:cs="宋体"/>
          <w:color w:val="auto"/>
          <w:sz w:val="24"/>
          <w:szCs w:val="24"/>
          <w:highlight w:val="none"/>
        </w:rPr>
        <w:t xml:space="preserve">）</w:t>
      </w:r>
      <w:bookmarkEnd w:id="159"/>
      <w:r>
        <w:rPr>
          <w:rFonts w:hint="eastAsia" w:ascii="宋体" w:hAnsi="宋体" w:cs="宋体"/>
          <w:color w:val="auto"/>
          <w:sz w:val="24"/>
          <w:szCs w:val="24"/>
          <w:highlight w:val="none"/>
        </w:rPr>
        <w:t xml:space="preserve">和落实政府采购政策需进行的价格扣除外，不对供应商的价格进行任何调整</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如有调整，根据调整后的报价参与评审。</w:t>
      </w:r>
      <w:r/>
    </w:p>
    <w:p>
      <w:pPr>
        <w:ind w:left="420"/>
        <w:jc w:val="left"/>
        <w:spacing w:line="360" w:lineRule="auto"/>
        <w:tabs>
          <w:tab w:val="left" w:pos="945" w:leader="none"/>
        </w:tabs>
        <w:rPr>
          <w:rFonts w:hint="eastAsia" w:ascii="宋体" w:hAnsi="宋体"/>
          <w:bCs/>
          <w:color w:val="auto"/>
          <w:sz w:val="24"/>
          <w:highlight w:val="none"/>
        </w:rPr>
      </w:pPr>
      <w:r/>
      <w:bookmarkStart w:id="161" w:name="OLE_LINK38"/>
      <w:r>
        <w:rPr>
          <w:rFonts w:hint="eastAsia" w:ascii="宋体" w:hAnsi="宋体" w:cs="宋体"/>
          <w:color w:val="auto"/>
          <w:sz w:val="24"/>
          <w:szCs w:val="24"/>
          <w:highlight w:val="none"/>
        </w:rPr>
        <w:t xml:space="preserve">20.9.2 </w:t>
      </w:r>
      <w:r>
        <w:rPr>
          <w:rFonts w:hint="eastAsia" w:ascii="宋体" w:hAnsi="宋体"/>
          <w:bCs/>
          <w:color w:val="auto"/>
          <w:sz w:val="24"/>
          <w:highlight w:val="none"/>
        </w:rPr>
        <w:t xml:space="preserve">响应文件报价出现前后不一致的，除磋商文件另有规定外，按照下列规定修正：</w:t>
      </w:r>
      <w:r/>
    </w:p>
    <w:p>
      <w:pPr>
        <w:numPr>
          <w:ilvl w:val="0"/>
          <w:numId w:val="6"/>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响应文件中磋商报价表内容与响应文件中相应内容不一致的，以磋商报价表为准；</w:t>
      </w:r>
      <w:r/>
    </w:p>
    <w:p>
      <w:pPr>
        <w:numPr>
          <w:ilvl w:val="0"/>
          <w:numId w:val="6"/>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6"/>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单价金额小数点或者百分比有明显错位的，以磋商报价表的总价为准，并修改单价；</w:t>
      </w:r>
      <w:r/>
    </w:p>
    <w:p>
      <w:pPr>
        <w:numPr>
          <w:ilvl w:val="0"/>
          <w:numId w:val="6"/>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color w:val="auto"/>
          <w:sz w:val="24"/>
          <w:szCs w:val="24"/>
          <w:highlight w:val="none"/>
        </w:rPr>
        <w:t xml:space="preserve">加盖供应商电子签章，或由法定代表人或其授权的代表签字。</w:t>
      </w:r>
      <w:r>
        <w:rPr>
          <w:rFonts w:hint="eastAsia" w:ascii="宋体" w:hAnsi="宋体"/>
          <w:bCs/>
          <w:color w:val="auto"/>
          <w:sz w:val="24"/>
          <w:highlight w:val="none"/>
        </w:rPr>
        <w:t xml:space="preserve">供应商不确认的，其报价无效。</w:t>
      </w:r>
      <w:bookmarkEnd w:id="153"/>
      <w:r/>
      <w:bookmarkEnd w:id="161"/>
      <w:r/>
      <w:bookmarkEnd w:id="154"/>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20.10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磋商小组初步评审意见。</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21、确定成交供应商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21.1 </w:t>
      </w:r>
      <w:r>
        <w:rPr>
          <w:rFonts w:hint="eastAsia" w:ascii="宋体" w:hAnsi="宋体"/>
          <w:bCs/>
          <w:color w:val="auto"/>
          <w:sz w:val="24"/>
          <w:szCs w:val="24"/>
          <w:highlight w:val="none"/>
          <w:lang w:val="zh-CN"/>
        </w:rPr>
        <w:t xml:space="preserve">评审结束后，采购人依照法律规定在收到评审报告后5个工作日内，在评审报告推荐的成交候选人中</w:t>
      </w:r>
      <w:r>
        <w:rPr>
          <w:rFonts w:hint="eastAsia" w:ascii="宋体" w:hAnsi="宋体"/>
          <w:bCs/>
          <w:color w:val="auto"/>
          <w:sz w:val="24"/>
          <w:szCs w:val="24"/>
          <w:highlight w:val="none"/>
        </w:rPr>
        <w:t xml:space="preserve">按顺序</w:t>
      </w:r>
      <w:r>
        <w:rPr>
          <w:rFonts w:hint="eastAsia" w:ascii="宋体" w:hAnsi="宋体"/>
          <w:bCs/>
          <w:color w:val="auto"/>
          <w:sz w:val="24"/>
          <w:szCs w:val="24"/>
          <w:highlight w:val="none"/>
          <w:lang w:val="zh-CN"/>
        </w:rPr>
        <w:t xml:space="preserve">确定成交供应商。</w:t>
      </w:r>
      <w:r/>
    </w:p>
    <w:p>
      <w:pPr>
        <w:ind w:firstLine="480"/>
        <w:jc w:val="left"/>
        <w:spacing w:line="36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21.2 </w:t>
      </w:r>
      <w:bookmarkStart w:id="162" w:name="_Hlk132015724"/>
      <w:r>
        <w:rPr>
          <w:rFonts w:hint="eastAsia" w:ascii="宋体" w:hAnsi="宋体"/>
          <w:bCs/>
          <w:color w:val="auto"/>
          <w:sz w:val="24"/>
          <w:szCs w:val="24"/>
          <w:highlight w:val="none"/>
          <w:lang w:val="zh-CN"/>
        </w:rPr>
        <w:t xml:space="preserve">成交结果确认后，</w:t>
      </w:r>
      <w:r>
        <w:rPr>
          <w:rFonts w:hint="eastAsia" w:ascii="宋体" w:hAnsi="宋体" w:cs="宋体"/>
          <w:color w:val="auto"/>
          <w:sz w:val="24"/>
          <w:szCs w:val="24"/>
          <w:highlight w:val="none"/>
        </w:rPr>
        <w:t xml:space="preserve">采购代理机构将向成交供应商发出电子成交通知书，请成交供应商登录“苏采云” 系统及时下载成交通知书。因系统存储空间有限，自成交结果公告发布之日起30日后，“苏采云”系统不再保证提供下载成交通知书服务。</w:t>
      </w:r>
      <w:bookmarkEnd w:id="162"/>
      <w:r>
        <w:rPr>
          <w:rFonts w:hint="eastAsia" w:ascii="宋体" w:hAnsi="宋体" w:cs="宋体"/>
          <w:color w:val="auto"/>
          <w:sz w:val="24"/>
          <w:szCs w:val="24"/>
          <w:highlight w:val="none"/>
        </w:rPr>
        <w:t xml:space="preserve">因未及时下载而造成的一切后果由成交供应商自行承担。</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22、采购终止</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22.1 </w:t>
      </w:r>
      <w:r>
        <w:rPr>
          <w:rFonts w:hint="eastAsia" w:ascii="宋体" w:hAnsi="宋体"/>
          <w:bCs/>
          <w:color w:val="auto"/>
          <w:sz w:val="24"/>
          <w:szCs w:val="24"/>
          <w:highlight w:val="none"/>
          <w:lang w:val="zh-CN"/>
        </w:rPr>
        <w:t xml:space="preserve">在竞争性磋商方式采购中，出现下列情况之一的，本次采购活动终止：</w:t>
      </w:r>
      <w:r/>
    </w:p>
    <w:p>
      <w:pPr>
        <w:numPr>
          <w:ilvl w:val="0"/>
          <w:numId w:val="7"/>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因情况变化，不再符合规定的竞争性磋商方式采购方式适用情形的；</w:t>
      </w:r>
      <w:r/>
    </w:p>
    <w:p>
      <w:pPr>
        <w:numPr>
          <w:ilvl w:val="0"/>
          <w:numId w:val="7"/>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出现影响采购公正的违法、违规行为的；</w:t>
      </w:r>
      <w:r/>
    </w:p>
    <w:p>
      <w:pPr>
        <w:numPr>
          <w:ilvl w:val="0"/>
          <w:numId w:val="7"/>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除市场竞争不充分的科研项目，以及需要扶持的科技成果转化项目以外，在采购过程中符合竞争要求的供应商或者报价未超过采购预算、最高限价的供应商不足3家的。</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六、磋商保证金</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23、磋商保证金：本项目免收磋商保证金。</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w:t>
      </w:r>
      <w:r>
        <w:rPr>
          <w:rFonts w:hint="eastAsia" w:ascii="宋体" w:hAnsi="宋体"/>
          <w:b/>
          <w:color w:val="auto"/>
          <w:sz w:val="24"/>
          <w:szCs w:val="24"/>
          <w:highlight w:val="none"/>
          <w:lang w:val="zh-CN"/>
        </w:rPr>
        <w:t xml:space="preserve">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24.1 </w:t>
      </w:r>
      <w:bookmarkStart w:id="163" w:name="OLE_LINK39"/>
      <w:r>
        <w:rPr>
          <w:rFonts w:hint="eastAsia" w:ascii="宋体" w:hAnsi="宋体"/>
          <w:bCs/>
          <w:color w:val="auto"/>
          <w:sz w:val="24"/>
          <w:szCs w:val="24"/>
          <w:highlight w:val="none"/>
          <w:lang w:val="zh-CN"/>
        </w:rPr>
        <w:t xml:space="preserve">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bookmarkEnd w:id="16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24.2 </w:t>
      </w:r>
      <w:r>
        <w:rPr>
          <w:rFonts w:hint="eastAsia" w:ascii="宋体" w:hAnsi="宋体"/>
          <w:bCs/>
          <w:color w:val="auto"/>
          <w:sz w:val="24"/>
          <w:szCs w:val="24"/>
          <w:highlight w:val="none"/>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成交供应商如逾期不办理相关手续、签订合同，财政部门将依据有关规定进行处理。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24.3 </w:t>
      </w:r>
      <w:r>
        <w:rPr>
          <w:rFonts w:hint="eastAsia" w:ascii="宋体" w:hAnsi="宋体"/>
          <w:bCs/>
          <w:color w:val="auto"/>
          <w:sz w:val="24"/>
          <w:szCs w:val="24"/>
          <w:highlight w:val="none"/>
          <w:lang w:val="zh-CN"/>
        </w:rPr>
        <w:t xml:space="preserve">签订合同书及合同条款应以磋商文件和成交供应商的响应文件为依据。</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w:t>
      </w:r>
      <w:bookmarkStart w:id="164" w:name="OLE_LINK5"/>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65" w:name="OLE_LINK2"/>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成交供应商不得参加对该项</w:t>
      </w:r>
      <w:bookmarkEnd w:id="165"/>
      <w:r>
        <w:rPr>
          <w:rFonts w:hint="eastAsia" w:ascii="宋体" w:hAnsi="宋体"/>
          <w:bCs/>
          <w:color w:val="auto"/>
          <w:sz w:val="24"/>
          <w:szCs w:val="24"/>
          <w:highlight w:val="none"/>
          <w:lang w:val="zh-CN"/>
        </w:rPr>
        <w:t xml:space="preserve">目重新开展的采购活动。</w:t>
      </w:r>
      <w:bookmarkEnd w:id="164"/>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成交候选人放弃成交资格的，参照前款进行处理。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w:t>
      </w:r>
      <w:r>
        <w:rPr>
          <w:rFonts w:ascii="宋体" w:hAnsi="宋体"/>
          <w:bCs/>
          <w:color w:val="auto"/>
          <w:sz w:val="24"/>
          <w:szCs w:val="24"/>
          <w:highlight w:val="none"/>
        </w:rPr>
        <w:t xml:space="preserve">.2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八、报价行为及报价产品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26、报价行为及报价产品：</w:t>
      </w:r>
      <w:r/>
    </w:p>
    <w:p>
      <w:pPr>
        <w:numPr>
          <w:ilvl w:val="0"/>
          <w:numId w:val="8"/>
        </w:numPr>
        <w:jc w:val="left"/>
        <w:spacing w:line="360" w:lineRule="auto"/>
        <w:rPr>
          <w:rFonts w:hint="eastAsia" w:ascii="宋体" w:hAnsi="宋体"/>
          <w:bCs/>
          <w:color w:val="auto"/>
          <w:sz w:val="24"/>
          <w:szCs w:val="24"/>
          <w:highlight w:val="none"/>
          <w:lang w:val="zh-CN"/>
        </w:rPr>
      </w:pPr>
      <w:r/>
      <w:bookmarkStart w:id="166" w:name="OLE_LINK17"/>
      <w:r>
        <w:rPr>
          <w:rFonts w:hint="eastAsia" w:ascii="宋体" w:hAnsi="宋体"/>
          <w:bCs/>
          <w:color w:val="auto"/>
          <w:sz w:val="24"/>
          <w:szCs w:val="24"/>
          <w:highlight w:val="none"/>
          <w:lang w:val="zh-CN"/>
        </w:rPr>
        <w:t xml:space="preserve">供应商的行为必须遵守各项法律、法规、规章及相关制度的规定。</w:t>
      </w:r>
      <w:r/>
    </w:p>
    <w:p>
      <w:pPr>
        <w:numPr>
          <w:ilvl w:val="0"/>
          <w:numId w:val="8"/>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提供的服务及产品、产品安装（施工）等应符合国家、行业等相关标准及要求。</w:t>
      </w:r>
      <w:r/>
    </w:p>
    <w:p>
      <w:pPr>
        <w:numPr>
          <w:ilvl w:val="0"/>
          <w:numId w:val="8"/>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供应商提供的产品应是全新、未使用过的原装合格正品。</w:t>
      </w:r>
      <w:r>
        <w:rPr>
          <w:rFonts w:hint="eastAsia" w:ascii="宋体" w:hAnsi="宋体"/>
          <w:bCs/>
          <w:color w:val="auto"/>
          <w:sz w:val="24"/>
          <w:highlight w:val="none"/>
        </w:rPr>
        <w:t xml:space="preserve">供应商成交后，在供货期内如遇产品平滑（自然）升级，成交供应商应提供平滑升级商品不补差价（磋商文件中有特殊要求的除外）。</w:t>
      </w:r>
      <w:r/>
    </w:p>
    <w:p>
      <w:pPr>
        <w:numPr>
          <w:ilvl w:val="0"/>
          <w:numId w:val="8"/>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磋商文件中要求供应商出具的证书、证明等相关材料，应当能实质性证明采购需求中的相关要求，且均应在有效期限内，即有效期限应覆盖响应文件评审当日。</w:t>
      </w:r>
      <w:bookmarkEnd w:id="166"/>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和磋商文件的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以及供应商提供的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对供应商</w:t>
      </w:r>
      <w:r>
        <w:rPr>
          <w:rFonts w:hint="eastAsia" w:ascii="宋体" w:hAnsi="宋体"/>
          <w:bCs/>
          <w:color w:val="auto"/>
          <w:sz w:val="24"/>
          <w:szCs w:val="24"/>
          <w:highlight w:val="none"/>
          <w:lang w:val="zh-CN"/>
        </w:rPr>
        <w:t xml:space="preserve">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政府采购项目验收单。由采购人对成交供应商进行履约管理，并及时向成交供应商支付采购资金。</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hint="eastAsia" w:ascii="宋体" w:hAnsi="宋体"/>
          <w:bCs/>
          <w:color w:val="auto"/>
          <w:sz w:val="24"/>
          <w:szCs w:val="24"/>
          <w:highlight w:val="none"/>
        </w:rPr>
      </w:pPr>
      <w:r/>
      <w:bookmarkStart w:id="167" w:name="OLE_LINK41"/>
      <w:r/>
      <w:bookmarkStart w:id="168" w:name="OLE_LINK126"/>
      <w:r>
        <w:rPr>
          <w:rFonts w:hint="eastAsia" w:ascii="宋体" w:hAnsi="宋体"/>
          <w:bCs/>
          <w:color w:val="auto"/>
          <w:sz w:val="24"/>
          <w:szCs w:val="24"/>
          <w:highlight w:val="none"/>
        </w:rPr>
        <w:t xml:space="preserve">28、询问</w:t>
      </w:r>
      <w:r/>
    </w:p>
    <w:p>
      <w:pPr>
        <w:ind w:firstLine="480"/>
        <w:jc w:val="left"/>
        <w:spacing w:line="360" w:lineRule="auto"/>
        <w:rPr>
          <w:rFonts w:ascii="宋体" w:hAnsi="宋体"/>
          <w:bCs/>
          <w:color w:val="auto"/>
          <w:sz w:val="24"/>
          <w:szCs w:val="24"/>
          <w:highlight w:val="none"/>
          <w:lang w:val="zh-CN"/>
        </w:rPr>
      </w:pPr>
      <w:r/>
      <w:bookmarkStart w:id="169" w:name="OLE_LINK25"/>
      <w:r>
        <w:rPr>
          <w:rFonts w:hint="eastAsia" w:ascii="宋体" w:hAnsi="宋体"/>
          <w:bCs/>
          <w:color w:val="auto"/>
          <w:sz w:val="24"/>
          <w:szCs w:val="24"/>
          <w:highlight w:val="none"/>
        </w:rPr>
        <w:t xml:space="preserve">28.1 </w:t>
      </w:r>
      <w:r>
        <w:rPr>
          <w:rFonts w:hint="eastAsia" w:ascii="宋体" w:hAnsi="宋体"/>
          <w:bCs/>
          <w:color w:val="auto"/>
          <w:sz w:val="24"/>
          <w:szCs w:val="24"/>
          <w:highlight w:val="none"/>
          <w:lang w:val="zh-CN"/>
        </w:rPr>
        <w:t xml:space="preserve">供应商对采购活动事项有疑问的，可以向</w:t>
      </w:r>
      <w:bookmarkStart w:id="170" w:name="OLE_LINK24"/>
      <w:r>
        <w:rPr>
          <w:rFonts w:hint="eastAsia" w:ascii="宋体" w:hAnsi="宋体"/>
          <w:bCs/>
          <w:color w:val="auto"/>
          <w:sz w:val="24"/>
          <w:szCs w:val="24"/>
          <w:highlight w:val="none"/>
          <w:lang w:val="zh-CN"/>
        </w:rPr>
        <w:t xml:space="preserve">采购人</w:t>
      </w:r>
      <w:bookmarkEnd w:id="170"/>
      <w:r>
        <w:rPr>
          <w:rFonts w:hint="eastAsia" w:ascii="宋体" w:hAnsi="宋体"/>
          <w:bCs/>
          <w:color w:val="auto"/>
          <w:sz w:val="24"/>
          <w:szCs w:val="24"/>
          <w:highlight w:val="none"/>
          <w:lang w:val="zh-CN"/>
        </w:rPr>
        <w:t xml:space="preserve">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bookmarkEnd w:id="169"/>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28.2采购代理机构不负责向任何供应商解释评审情况。</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29、质疑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29.1</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》）。同一项目下的不同采购包，供应商只能对其参与的采购包提出质疑。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29.2质疑答复责任主体：</w:t>
      </w:r>
      <w:r/>
    </w:p>
    <w:p>
      <w:pPr>
        <w:numPr>
          <w:ilvl w:val="0"/>
          <w:numId w:val="9"/>
        </w:num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认</w:t>
      </w:r>
      <w:r>
        <w:rPr>
          <w:rFonts w:ascii="宋体" w:hAnsi="宋体"/>
          <w:bCs/>
          <w:color w:val="auto"/>
          <w:sz w:val="24"/>
          <w:szCs w:val="24"/>
          <w:highlight w:val="none"/>
        </w:rPr>
        <w:t xml:space="preserve">为</w:t>
      </w:r>
      <w:r>
        <w:rPr>
          <w:rFonts w:hint="eastAsia" w:ascii="宋体" w:hAnsi="宋体"/>
          <w:bCs/>
          <w:color w:val="auto"/>
          <w:sz w:val="24"/>
          <w:szCs w:val="24"/>
          <w:highlight w:val="none"/>
        </w:rPr>
        <w:t xml:space="preserve">磋商文件</w:t>
      </w:r>
      <w:r>
        <w:rPr>
          <w:rFonts w:ascii="宋体" w:hAnsi="宋体"/>
          <w:bCs/>
          <w:color w:val="auto"/>
          <w:sz w:val="24"/>
          <w:szCs w:val="24"/>
          <w:highlight w:val="none"/>
        </w:rPr>
        <w:t xml:space="preserve">、采购过程和成交结果使自己的权益受到损害的，</w:t>
      </w:r>
      <w:r>
        <w:rPr>
          <w:rFonts w:hint="eastAsia" w:ascii="宋体" w:hAnsi="宋体"/>
          <w:bCs/>
          <w:color w:val="auto"/>
          <w:sz w:val="24"/>
          <w:szCs w:val="24"/>
          <w:highlight w:val="none"/>
        </w:rPr>
        <w:t xml:space="preserve">可以在知道或者应当知道其权益受到损害之日起七个工作日内，</w:t>
      </w:r>
      <w:r>
        <w:rPr>
          <w:rFonts w:ascii="宋体" w:hAnsi="宋体"/>
          <w:bCs/>
          <w:color w:val="auto"/>
          <w:sz w:val="24"/>
          <w:szCs w:val="24"/>
          <w:highlight w:val="none"/>
        </w:rPr>
        <w:t xml:space="preserve">以书面形式向采购人提出质疑。</w:t>
      </w:r>
      <w:r/>
    </w:p>
    <w:p>
      <w:pPr>
        <w:numPr>
          <w:ilvl w:val="0"/>
          <w:numId w:val="9"/>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供应商认为采购程序及流程操作使自己的权益受到损害的，可以向采购人提出质疑，也可以在法律规定时间内向采购代理机构提出质疑，采购</w:t>
      </w:r>
      <w:r>
        <w:rPr>
          <w:rFonts w:hint="eastAsia" w:ascii="宋体" w:hAnsi="宋体"/>
          <w:bCs/>
          <w:color w:val="auto"/>
          <w:sz w:val="24"/>
          <w:szCs w:val="24"/>
          <w:highlight w:val="none"/>
          <w:lang w:val="zh-CN"/>
        </w:rPr>
        <w:t xml:space="preserve">代理机构就采购人委托授权范围内的事项作出答复。</w:t>
      </w:r>
      <w:r/>
    </w:p>
    <w:p>
      <w:pPr>
        <w:ind w:firstLine="42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29.3 质疑时效期间的起算：对磋商文件提出质疑的，应自</w:t>
      </w:r>
      <w:r>
        <w:rPr>
          <w:rFonts w:hint="eastAsia" w:ascii="宋体" w:hAnsi="宋体"/>
          <w:bCs/>
          <w:color w:val="auto"/>
          <w:sz w:val="24"/>
          <w:szCs w:val="24"/>
          <w:highlight w:val="none"/>
        </w:rPr>
        <w:t xml:space="preserve">磋商</w:t>
      </w:r>
      <w:r>
        <w:rPr>
          <w:rFonts w:hint="eastAsia" w:ascii="宋体" w:hAnsi="宋体"/>
          <w:bCs/>
          <w:color w:val="auto"/>
          <w:sz w:val="24"/>
          <w:szCs w:val="24"/>
          <w:highlight w:val="none"/>
          <w:lang w:val="zh-CN"/>
        </w:rPr>
        <w:t xml:space="preserve">公告期限届满之日起计算；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29.4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30、投诉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30.1</w:t>
      </w:r>
      <w:r>
        <w:rPr>
          <w:rFonts w:ascii="宋体" w:hAnsi="宋体"/>
          <w:bCs/>
          <w:color w:val="auto"/>
          <w:sz w:val="24"/>
          <w:szCs w:val="24"/>
          <w:highlight w:val="none"/>
          <w:lang w:val="zh-CN"/>
        </w:rPr>
        <w:t xml:space="preserve">质疑供应商对采购人的答复不满意或者采购人未在规定的时间内作出答复的，</w:t>
      </w:r>
      <w:bookmarkEnd w:id="167"/>
      <w:r/>
      <w:bookmarkStart w:id="171" w:name="OLE_LINK229"/>
      <w:r>
        <w:rPr>
          <w:rFonts w:ascii="宋体" w:hAnsi="宋体"/>
          <w:bCs/>
          <w:color w:val="auto"/>
          <w:sz w:val="24"/>
          <w:szCs w:val="24"/>
          <w:highlight w:val="none"/>
          <w:lang w:val="zh-CN"/>
        </w:rPr>
        <w:t xml:space="preserve">可以在答复期满后十五个工作日</w:t>
      </w:r>
      <w:bookmarkStart w:id="172" w:name="OLE_LINK111"/>
      <w:r>
        <w:rPr>
          <w:rFonts w:ascii="宋体" w:hAnsi="宋体"/>
          <w:bCs/>
          <w:color w:val="auto"/>
          <w:sz w:val="24"/>
          <w:szCs w:val="24"/>
          <w:highlight w:val="none"/>
          <w:lang w:val="zh-CN"/>
        </w:rPr>
        <w:t xml:space="preserve">内</w:t>
      </w:r>
      <w:bookmarkStart w:id="173" w:name="OLE_LINK247"/>
      <w:r>
        <w:rPr>
          <w:rFonts w:hint="eastAsia" w:ascii="宋体" w:hAnsi="宋体"/>
          <w:bCs/>
          <w:color w:val="auto"/>
          <w:sz w:val="24"/>
          <w:szCs w:val="24"/>
          <w:highlight w:val="none"/>
          <w:lang w:val="zh-CN"/>
        </w:rPr>
        <w:t xml:space="preserve">向报价邀请函中的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173"/>
      <w:r>
        <w:rPr>
          <w:rFonts w:hint="eastAsia" w:ascii="宋体" w:hAnsi="宋体"/>
          <w:bCs/>
          <w:color w:val="auto"/>
          <w:sz w:val="24"/>
          <w:szCs w:val="24"/>
          <w:highlight w:val="none"/>
          <w:lang w:val="zh-CN"/>
        </w:rPr>
        <w:t xml:space="preserve">。</w:t>
      </w:r>
      <w:bookmarkEnd w:id="168"/>
      <w:r/>
      <w:bookmarkEnd w:id="171"/>
      <w:r/>
      <w:bookmarkEnd w:id="172"/>
      <w:r/>
      <w:r/>
    </w:p>
    <w:p>
      <w:pPr>
        <w:jc w:val="center"/>
        <w:spacing w:line="360" w:lineRule="auto"/>
        <w:rPr>
          <w:rFonts w:hint="eastAsia" w:ascii="黑体" w:hAnsi="黑体" w:eastAsia="黑体"/>
          <w:color w:val="auto"/>
          <w:sz w:val="28"/>
          <w:highlight w:val="none"/>
        </w:rPr>
        <w:sectPr>
          <w:footerReference w:type="default" r:id="rId12"/>
          <w:footnotePr/>
          <w:endnotePr/>
          <w:type w:val="nextPage"/>
          <w:pgSz w:w="11910" w:h="16840" w:orient="portrait"/>
          <w:pgMar w:top="1134" w:right="1134" w:bottom="1134" w:left="1134" w:header="720" w:footer="1196" w:gutter="0"/>
          <w:pgNumType w:start="1"/>
          <w:cols w:num="1" w:sep="0" w:space="720" w:equalWidth="1"/>
          <w:docGrid w:linePitch="360"/>
        </w:sectPr>
      </w:pPr>
      <w:r>
        <w:rPr>
          <w:rFonts w:ascii="黑体" w:hAnsi="黑体" w:eastAsia="黑体"/>
          <w:color w:val="auto"/>
          <w:sz w:val="28"/>
          <w:highlight w:val="none"/>
        </w:rPr>
        <w:br w:type="page" w:clear="all"/>
      </w:r>
      <w:bookmarkEnd w:id="103"/>
      <w:r/>
      <w:bookmarkEnd w:id="104"/>
      <w:r/>
      <w:bookmarkEnd w:id="105"/>
      <w:r/>
      <w:bookmarkEnd w:id="106"/>
      <w:r/>
      <w:bookmarkEnd w:id="107"/>
      <w:r/>
      <w:r/>
    </w:p>
    <w:p>
      <w:pPr>
        <w:jc w:val="center"/>
        <w:rPr>
          <w:rFonts w:hint="eastAsia" w:ascii="黑体" w:hAnsi="黑体" w:eastAsia="黑体"/>
          <w:color w:val="auto"/>
          <w:sz w:val="28"/>
          <w:highlight w:val="none"/>
        </w:rPr>
        <w:outlineLvl w:val="0"/>
      </w:pPr>
      <w:r/>
      <w:bookmarkStart w:id="174" w:name="_Toc29555"/>
      <w:r/>
      <w:bookmarkStart w:id="175" w:name="_Toc23787"/>
      <w:r/>
      <w:bookmarkStart w:id="176" w:name="_Toc18355"/>
      <w:r/>
      <w:bookmarkStart w:id="177" w:name="_Toc9392"/>
      <w:r/>
      <w:bookmarkStart w:id="178" w:name="_Toc25173"/>
      <w:r/>
      <w:bookmarkStart w:id="179" w:name="_Toc17661"/>
      <w:r/>
      <w:bookmarkStart w:id="180" w:name="_Toc67384156"/>
      <w:r/>
      <w:bookmarkStart w:id="181" w:name="_Toc66967609"/>
      <w:r/>
      <w:bookmarkStart w:id="182" w:name="_Toc31165"/>
      <w:r/>
      <w:bookmarkStart w:id="183" w:name="_Toc2090"/>
      <w:r/>
      <w:bookmarkStart w:id="184" w:name="_Toc6551"/>
      <w:r/>
      <w:bookmarkStart w:id="185" w:name="_Toc15552"/>
      <w:r/>
      <w:bookmarkStart w:id="186" w:name="_Toc24525"/>
      <w:r/>
      <w:bookmarkStart w:id="187" w:name="_Toc18652"/>
      <w:r/>
      <w:bookmarkStart w:id="188" w:name="_Toc70605552"/>
      <w:r>
        <w:rPr>
          <w:rFonts w:hint="eastAsia" w:ascii="黑体" w:hAnsi="黑体" w:eastAsia="黑体"/>
          <w:color w:val="auto"/>
          <w:sz w:val="28"/>
          <w:highlight w:val="none"/>
        </w:rPr>
        <w:t xml:space="preserve">第三章 项目技术要求和有关说明</w:t>
      </w:r>
      <w:bookmarkEnd w:id="108"/>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宜兴市应急管理局</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江苏省“三断”条件下应急指挥协同机制演练服务项目</w:t>
      </w:r>
      <w:r>
        <w:rPr>
          <w:rFonts w:hint="eastAsia" w:ascii="宋体" w:hAnsi="宋体"/>
          <w:color w:val="auto"/>
          <w:sz w:val="24"/>
          <w:szCs w:val="24"/>
          <w:highlight w:val="none"/>
        </w:rPr>
        <w:t xml:space="preserve">。具体要求如下，供应商须提供满足以下要求的服务，不得有负偏离。</w:t>
      </w:r>
      <w:r/>
    </w:p>
    <w:p>
      <w:pPr>
        <w:spacing w:line="540" w:lineRule="exact"/>
        <w:rPr>
          <w:rFonts w:hint="eastAsia"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一、项目背景</w:t>
      </w:r>
      <w:r/>
    </w:p>
    <w:p>
      <w:pPr>
        <w:ind w:firstLine="48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为吸取外省多地因台风暴雨导致部分地区通信、交通、电力中断，个别村庄长时间“失联”的经验教训，按照“党委领导、政府主导，部门协同、军地联合，快速反应、科学应对、正确引导、社会协同”的工作原则，开展“三断”条件下应急救援协同机制实战训练，进一步锻炼队伍、磨合机制，提高救援实效，提升我省应对突发自然灾害应急处置能力，强化应急指挥和协同联动。根据《中华人民共和国突发事件应对法》《江苏省突发事件总体应急预案》等法律法规，省应急厅拟联合省有关部门和单位举办“三断”条件下应急救援协同机制演练。</w:t>
      </w:r>
      <w:r/>
    </w:p>
    <w:p>
      <w:pPr>
        <w:ind w:firstLine="48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具体服务内容：方案脚本、策划指导、导演导播、排练预演；</w:t>
      </w:r>
      <w:r>
        <w:rPr>
          <w:rFonts w:hint="default" w:ascii="宋体" w:hAnsi="宋体" w:eastAsia="宋体"/>
          <w:b w:val="0"/>
          <w:bCs/>
          <w:color w:val="auto"/>
          <w:sz w:val="24"/>
          <w:szCs w:val="24"/>
          <w:highlight w:val="none"/>
          <w:lang w:val="en-US" w:eastAsia="zh-CN"/>
        </w:rPr>
        <w:t xml:space="preserve">观摩区</w:t>
      </w:r>
      <w:r>
        <w:rPr>
          <w:rFonts w:hint="eastAsia" w:ascii="宋体" w:hAnsi="宋体" w:eastAsia="宋体"/>
          <w:b w:val="0"/>
          <w:bCs/>
          <w:color w:val="auto"/>
          <w:sz w:val="24"/>
          <w:szCs w:val="24"/>
          <w:highlight w:val="none"/>
          <w:lang w:val="en-US" w:eastAsia="zh-CN"/>
        </w:rPr>
        <w:t xml:space="preserve">布置；音视频传输、VCR拍摄制作、现场录制、后期剪辑制作等。</w:t>
      </w:r>
      <w:r/>
    </w:p>
    <w:p>
      <w:pPr>
        <w:spacing w:line="540" w:lineRule="exact"/>
        <w:rPr>
          <w:rFonts w:hint="eastAsia"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二、项目要求</w:t>
      </w:r>
      <w:r/>
    </w:p>
    <w:p>
      <w:pPr>
        <w:ind w:firstLine="24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1、策划部分</w:t>
      </w:r>
      <w:r/>
    </w:p>
    <w:p>
      <w:pPr>
        <w:ind w:firstLine="48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（1）、成立</w:t>
      </w:r>
      <w:r>
        <w:rPr>
          <w:rFonts w:hint="default" w:ascii="宋体" w:hAnsi="宋体" w:eastAsia="宋体"/>
          <w:b w:val="0"/>
          <w:bCs/>
          <w:color w:val="auto"/>
          <w:sz w:val="24"/>
          <w:szCs w:val="24"/>
          <w:highlight w:val="none"/>
          <w:lang w:val="en-US" w:eastAsia="zh-CN"/>
        </w:rPr>
        <w:t xml:space="preserve">“三断”条件下应急救援协同机制演练</w:t>
      </w:r>
      <w:r>
        <w:rPr>
          <w:rFonts w:hint="eastAsia" w:ascii="宋体" w:hAnsi="宋体" w:eastAsia="宋体"/>
          <w:b w:val="0"/>
          <w:bCs/>
          <w:color w:val="auto"/>
          <w:sz w:val="24"/>
          <w:szCs w:val="24"/>
          <w:highlight w:val="none"/>
          <w:lang w:val="en-US" w:eastAsia="zh-CN"/>
        </w:rPr>
        <w:t xml:space="preserve">策划及领导小组，确定演练场地、规模、科目。</w:t>
      </w:r>
      <w:r/>
    </w:p>
    <w:p>
      <w:pPr>
        <w:ind w:firstLine="480"/>
        <w:spacing w:line="540" w:lineRule="exact"/>
        <w:rPr>
          <w:rFonts w:hint="default"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（2）、规划演练救援现场</w:t>
      </w:r>
      <w:r>
        <w:rPr>
          <w:rFonts w:hint="default" w:ascii="宋体" w:hAnsi="宋体" w:eastAsia="宋体"/>
          <w:b w:val="0"/>
          <w:bCs/>
          <w:color w:val="auto"/>
          <w:sz w:val="24"/>
          <w:szCs w:val="24"/>
          <w:highlight w:val="none"/>
          <w:lang w:val="en-US" w:eastAsia="zh-CN"/>
        </w:rPr>
        <w:t xml:space="preserve">。</w:t>
      </w:r>
      <w:r/>
    </w:p>
    <w:p>
      <w:pPr>
        <w:ind w:firstLine="48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（3）、编制方案脚本。</w:t>
      </w:r>
      <w:r/>
    </w:p>
    <w:p>
      <w:pPr>
        <w:ind w:firstLine="24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2、物料制作</w:t>
      </w:r>
      <w:r>
        <w:rPr>
          <w:rFonts w:hint="default" w:ascii="宋体" w:hAnsi="宋体" w:eastAsia="宋体"/>
          <w:b w:val="0"/>
          <w:bCs/>
          <w:color w:val="auto"/>
          <w:sz w:val="24"/>
          <w:szCs w:val="24"/>
          <w:highlight w:val="none"/>
          <w:lang w:val="en-US" w:eastAsia="zh-CN"/>
        </w:rPr>
        <w:t xml:space="preserve">及</w:t>
      </w:r>
      <w:r>
        <w:rPr>
          <w:rFonts w:hint="eastAsia" w:ascii="宋体" w:hAnsi="宋体" w:eastAsia="宋体"/>
          <w:b w:val="0"/>
          <w:bCs/>
          <w:color w:val="auto"/>
          <w:sz w:val="24"/>
          <w:szCs w:val="24"/>
          <w:highlight w:val="none"/>
          <w:lang w:val="en-US" w:eastAsia="zh-CN"/>
        </w:rPr>
        <w:t xml:space="preserve">布置部分</w:t>
      </w:r>
      <w:r/>
    </w:p>
    <w:p>
      <w:pPr>
        <w:ind w:firstLine="48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（1）、根据演练现场环境、观摩人数等布置观摩</w:t>
      </w:r>
      <w:r>
        <w:rPr>
          <w:rFonts w:hint="default" w:ascii="宋体" w:hAnsi="宋体" w:eastAsia="宋体"/>
          <w:b w:val="0"/>
          <w:bCs/>
          <w:color w:val="auto"/>
          <w:sz w:val="24"/>
          <w:szCs w:val="24"/>
          <w:highlight w:val="none"/>
          <w:lang w:val="en-US" w:eastAsia="zh-CN"/>
        </w:rPr>
        <w:t xml:space="preserve">区</w:t>
      </w:r>
      <w:r>
        <w:rPr>
          <w:rFonts w:hint="eastAsia" w:ascii="宋体" w:hAnsi="宋体" w:eastAsia="宋体"/>
          <w:b w:val="0"/>
          <w:bCs/>
          <w:color w:val="auto"/>
          <w:sz w:val="24"/>
          <w:szCs w:val="24"/>
          <w:highlight w:val="none"/>
          <w:lang w:val="en-US" w:eastAsia="zh-CN"/>
        </w:rPr>
        <w:t xml:space="preserve">。</w:t>
      </w:r>
      <w:r/>
    </w:p>
    <w:p>
      <w:pPr>
        <w:ind w:firstLine="48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（2）、设计制作符合演练主题的物料。</w:t>
      </w:r>
      <w:r/>
    </w:p>
    <w:p>
      <w:pPr>
        <w:ind w:firstLine="24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3、音视频实时直播。</w:t>
      </w:r>
      <w:r/>
    </w:p>
    <w:p>
      <w:pPr>
        <w:ind w:firstLine="48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（1）、对正式演练全过程影像记录。</w:t>
      </w:r>
      <w:r/>
    </w:p>
    <w:p>
      <w:pPr>
        <w:ind w:firstLine="48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（2）、对正式演练全过程音视频实时传输、直播。</w:t>
      </w:r>
      <w:r/>
    </w:p>
    <w:p>
      <w:pPr>
        <w:ind w:firstLine="240"/>
        <w:spacing w:line="540" w:lineRule="exact"/>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4、演训人员食宿保障。</w:t>
      </w:r>
      <w:r/>
    </w:p>
    <w:p>
      <w:pPr>
        <w:ind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、商务要求</w:t>
      </w:r>
      <w:r/>
    </w:p>
    <w:p>
      <w:pPr>
        <w:ind w:firstLine="480"/>
        <w:spacing w:line="54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1、</w:t>
      </w:r>
      <w:r>
        <w:rPr>
          <w:rFonts w:hint="eastAsia" w:ascii="宋体" w:hAnsi="宋体"/>
          <w:b/>
          <w:color w:val="auto"/>
          <w:sz w:val="24"/>
          <w:szCs w:val="24"/>
          <w:highlight w:val="none"/>
        </w:rPr>
        <w:t xml:space="preserve">服务期限</w:t>
      </w:r>
      <w:r>
        <w:rPr>
          <w:rFonts w:hint="eastAsia" w:ascii="宋体" w:hAnsi="宋体"/>
          <w:b w:val="0"/>
          <w:bCs/>
          <w:color w:val="auto"/>
          <w:sz w:val="24"/>
          <w:szCs w:val="24"/>
          <w:highlight w:val="none"/>
        </w:rPr>
        <w:t xml:space="preserve">：</w:t>
      </w:r>
      <w:r>
        <w:rPr>
          <w:rFonts w:hint="eastAsia" w:ascii="宋体" w:hAnsi="宋体"/>
          <w:b w:val="0"/>
          <w:bCs/>
          <w:color w:val="auto"/>
          <w:sz w:val="24"/>
          <w:szCs w:val="24"/>
          <w:highlight w:val="none"/>
          <w:lang w:val="en-US" w:eastAsia="zh-CN"/>
        </w:rPr>
        <w:t xml:space="preserve">2024年12月20日前完成。</w:t>
      </w:r>
      <w:r/>
    </w:p>
    <w:p>
      <w:pPr>
        <w:ind w:firstLine="480"/>
        <w:spacing w:line="540" w:lineRule="exact"/>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服务地点</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宜兴市应急管理局</w:t>
      </w:r>
      <w:r>
        <w:rPr>
          <w:rFonts w:hint="eastAsia" w:ascii="宋体" w:hAnsi="宋体"/>
          <w:bCs/>
          <w:color w:val="auto"/>
          <w:sz w:val="24"/>
          <w:highlight w:val="none"/>
        </w:rPr>
        <w:t xml:space="preserve">指定地点。</w:t>
      </w:r>
      <w:r/>
    </w:p>
    <w:p>
      <w:pPr>
        <w:ind w:firstLine="480"/>
        <w:spacing w:line="540" w:lineRule="exact"/>
        <w:rPr>
          <w:rFonts w:hint="eastAsia" w:ascii="宋体" w:hAnsi="宋体"/>
          <w:bCs/>
          <w:color w:val="auto"/>
          <w:sz w:val="24"/>
          <w:szCs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：采购人根据国家有关规定、磋商文件、响应文件以及合同约定的内容组织验收，具体验收办法详见《宜兴市政府采购项目履约验收管理办法》（宜财办〔2016〕20号）。</w:t>
      </w:r>
      <w:r/>
    </w:p>
    <w:p>
      <w:pPr>
        <w:ind w:firstLine="480"/>
        <w:spacing w:line="540" w:lineRule="exact"/>
        <w:rPr>
          <w:rFonts w:hint="default" w:eastAsia="宋体"/>
          <w:color w:val="auto"/>
          <w:highlight w:val="none"/>
          <w:lang w:val="en-US" w:eastAsia="zh-CN"/>
        </w:rPr>
      </w:pPr>
      <w:r>
        <w:rPr>
          <w:rFonts w:hint="eastAsia" w:ascii="宋体" w:hAnsi="宋体"/>
          <w:bCs/>
          <w:color w:val="auto"/>
          <w:sz w:val="24"/>
          <w:szCs w:val="24"/>
          <w:highlight w:val="none"/>
        </w:rPr>
        <w:t xml:space="preserve">4、</w:t>
      </w:r>
      <w:r>
        <w:rPr>
          <w:rFonts w:hint="eastAsia" w:ascii="宋体" w:hAnsi="宋体"/>
          <w:b/>
          <w:color w:val="auto"/>
          <w:sz w:val="24"/>
          <w:szCs w:val="24"/>
          <w:highlight w:val="none"/>
        </w:rPr>
        <w:t xml:space="preserve">付款步骤：</w:t>
      </w:r>
      <w:bookmarkStart w:id="189" w:name="_Toc526779129"/>
      <w:r/>
      <w:bookmarkStart w:id="190" w:name="_Toc27627"/>
      <w:r/>
      <w:bookmarkStart w:id="191" w:name="_Toc23847"/>
      <w:r/>
      <w:bookmarkStart w:id="192" w:name="OLE_LINK13"/>
      <w:r/>
      <w:bookmarkStart w:id="193" w:name="OLE_LINK91"/>
      <w:r/>
      <w:bookmarkStart w:id="194" w:name="_Toc3082"/>
      <w:r>
        <w:rPr>
          <w:rFonts w:hint="eastAsia" w:ascii="宋体" w:hAnsi="宋体"/>
          <w:color w:val="auto"/>
          <w:sz w:val="24"/>
          <w:szCs w:val="24"/>
          <w:highlight w:val="none"/>
          <w:lang w:val="en-US" w:eastAsia="zh-CN"/>
        </w:rPr>
        <w:t xml:space="preserve">签订合同后10日支付30%的预付款，余款在项目完成后一次性付清。</w:t>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四</w:t>
      </w:r>
      <w:r>
        <w:rPr>
          <w:rFonts w:hint="eastAsia" w:ascii="宋体" w:hAnsi="宋体"/>
          <w:b/>
          <w:bCs/>
          <w:color w:val="auto"/>
          <w:sz w:val="24"/>
          <w:szCs w:val="24"/>
          <w:highlight w:val="none"/>
        </w:rPr>
        <w:t xml:space="preserve">、实质性要求</w:t>
      </w:r>
      <w:r/>
    </w:p>
    <w:p>
      <w:pPr>
        <w:ind w:firstLine="480"/>
        <w:spacing w:line="360" w:lineRule="auto"/>
        <w:rPr>
          <w:rFonts w:hint="eastAsia" w:ascii="黑体" w:hAnsi="黑体" w:eastAsia="黑体"/>
          <w:color w:val="auto"/>
          <w:sz w:val="28"/>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有关服务与商务条款的要求为基准要求，如供应商不能完全符合此基准要求，可高于此基准要求进行报价，采购人将不接受低于该基准要求（负偏离）的报价，供应商需对此基</w:t>
      </w:r>
      <w:r>
        <w:rPr>
          <w:rFonts w:hint="eastAsia" w:ascii="宋体" w:hAnsi="宋体"/>
          <w:color w:val="auto"/>
          <w:sz w:val="24"/>
          <w:highlight w:val="none"/>
        </w:rPr>
        <w:t xml:space="preserve">准要求作实质性响应。</w:t>
      </w:r>
      <w:bookmarkStart w:id="195" w:name="_Toc66967610"/>
      <w:r/>
      <w:bookmarkStart w:id="196" w:name="_Toc67384166"/>
      <w:r/>
      <w:bookmarkStart w:id="197" w:name="_Toc70605553"/>
      <w:r/>
      <w:bookmarkStart w:id="198" w:name="_Toc24542"/>
      <w:r/>
      <w:r/>
    </w:p>
    <w:p>
      <w:pPr>
        <w:pStyle w:val="737"/>
        <w:rPr>
          <w:color w:val="auto"/>
          <w:highlight w:val="none"/>
        </w:rPr>
      </w:pPr>
      <w:r>
        <w:rPr>
          <w:color w:val="auto"/>
          <w:highlight w:val="none"/>
        </w:rPr>
      </w:r>
      <w:r/>
    </w:p>
    <w:p>
      <w:pPr>
        <w:jc w:val="center"/>
        <w:rPr>
          <w:rFonts w:hint="eastAsia" w:ascii="黑体" w:hAnsi="黑体" w:eastAsia="黑体"/>
          <w:color w:val="auto"/>
          <w:sz w:val="28"/>
          <w:highlight w:val="none"/>
        </w:rPr>
      </w:pPr>
      <w:r/>
      <w:bookmarkStart w:id="199" w:name="_Toc82"/>
      <w:r/>
      <w:bookmarkStart w:id="200" w:name="_Toc23819"/>
      <w:r/>
      <w:r/>
    </w:p>
    <w:p>
      <w:pPr>
        <w:pStyle w:val="737"/>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37"/>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37"/>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37"/>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37"/>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37"/>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37"/>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color w:val="auto"/>
          <w:highlight w:val="none"/>
        </w:rPr>
      </w:pPr>
      <w:r>
        <w:rPr>
          <w:rFonts w:hint="eastAsia"/>
          <w:color w:val="auto"/>
          <w:highlight w:val="none"/>
        </w:rPr>
      </w:r>
      <w:r/>
    </w:p>
    <w:p>
      <w:pPr>
        <w:jc w:val="center"/>
        <w:rPr>
          <w:rFonts w:hint="eastAsia" w:ascii="黑体" w:hAnsi="黑体" w:eastAsia="黑体"/>
          <w:bCs/>
          <w:color w:val="auto"/>
          <w:sz w:val="28"/>
          <w:highlight w:val="none"/>
        </w:rPr>
        <w:outlineLvl w:val="0"/>
      </w:pPr>
      <w:r/>
      <w:bookmarkStart w:id="201" w:name="_Toc18879"/>
      <w:r/>
      <w:bookmarkStart w:id="202" w:name="_Toc70605551"/>
      <w:r/>
      <w:bookmarkStart w:id="203" w:name="_Toc10561"/>
      <w:r/>
      <w:bookmarkStart w:id="204" w:name="_Toc14763"/>
      <w:r/>
      <w:bookmarkStart w:id="205" w:name="_Toc32715"/>
      <w:r/>
      <w:bookmarkStart w:id="206" w:name="_Toc5599"/>
      <w:r/>
      <w:bookmarkStart w:id="207" w:name="_Toc24897"/>
      <w:r/>
      <w:bookmarkStart w:id="208" w:name="_Toc10033"/>
      <w:r/>
      <w:bookmarkStart w:id="209" w:name="_Toc8305"/>
      <w:r/>
      <w:bookmarkStart w:id="210" w:name="_Toc30266"/>
      <w:r/>
      <w:bookmarkStart w:id="211" w:name="_Toc11230"/>
      <w:r/>
      <w:bookmarkStart w:id="212" w:name="_Toc28038"/>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 xml:space="preserve">评审方法和标准</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一、评分项目（总分100分）</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755"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70</w:t>
            </w:r>
            <w:r/>
          </w:p>
        </w:tc>
      </w:tr>
      <w:tr>
        <w:trPr>
          <w:jc w:val="center"/>
          <w:trHeight w:val="629"/>
        </w:trPr>
        <w:tc>
          <w:tcPr>
            <w:tcW w:w="17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755"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30</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1、技术商务部分</w:t>
      </w:r>
      <w:r/>
    </w:p>
    <w:tbl>
      <w:tblPr>
        <w:tblStyle w:val="736"/>
        <w:tblpPr w:horzAnchor="page" w:tblpX="1067" w:vertAnchor="text" w:tblpY="481" w:leftFromText="180" w:topFromText="0" w:rightFromText="180" w:bottomFromText="0"/>
        <w:tblW w:w="99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670"/>
        <w:gridCol w:w="1231"/>
        <w:gridCol w:w="764"/>
        <w:gridCol w:w="5266"/>
        <w:gridCol w:w="1045"/>
      </w:tblGrid>
      <w:tr>
        <w:trPr>
          <w:cantSplit/>
          <w:trHeight w:val="1346"/>
        </w:trPr>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line="360" w:lineRule="auto"/>
              <w:rPr>
                <w:b/>
                <w:bCs/>
                <w:color w:val="auto"/>
                <w:sz w:val="24"/>
                <w:highlight w:val="none"/>
              </w:rPr>
            </w:pPr>
            <w:r>
              <w:rPr>
                <w:rFonts w:hint="eastAsia" w:ascii="宋体" w:hAnsi="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tcPr>
          <w:p>
            <w:pPr>
              <w:jc w:val="cente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266" w:type="dxa"/>
            <w:vAlign w:val="center"/>
            <w:textDirection w:val="lrTb"/>
            <w:noWrap/>
          </w:tcPr>
          <w:p>
            <w:pPr>
              <w:jc w:val="cente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jc w:val="cente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响应文件对应页码</w:t>
            </w:r>
            <w:r/>
          </w:p>
        </w:tc>
      </w:tr>
      <w:tr>
        <w:trPr>
          <w:cantSplit/>
          <w:trHeight w:val="795"/>
        </w:trPr>
        <w:tc>
          <w:tcPr>
            <w:tcBorders>
              <w:top w:val="single" w:color="auto" w:sz="4" w:space="0"/>
              <w:left w:val="single" w:color="auto" w:sz="4" w:space="0"/>
              <w:right w:val="single" w:color="auto" w:sz="4" w:space="0"/>
            </w:tcBorders>
            <w:tcW w:w="1020" w:type="dxa"/>
            <w:vAlign w:val="center"/>
            <w:vMerge w:val="restart"/>
            <w:textDirection w:val="lrTb"/>
            <w:noWrap/>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技术部分</w:t>
            </w:r>
            <w:r>
              <w:rPr>
                <w:rFonts w:hint="eastAsia" w:ascii="宋体" w:hAnsi="宋体"/>
                <w:color w:val="auto"/>
                <w:szCs w:val="21"/>
                <w:highlight w:val="none"/>
                <w:lang w:val="en-US" w:eastAsia="zh-CN"/>
              </w:rPr>
              <w:t xml:space="preserve">40</w:t>
            </w:r>
            <w:r>
              <w:rPr>
                <w:rFonts w:hint="eastAsia" w:ascii="宋体" w:hAnsi="宋体"/>
                <w:color w:val="auto"/>
                <w:szCs w:val="21"/>
                <w:highlight w:val="none"/>
              </w:rPr>
              <w:t xml:space="preserve">分</w:t>
            </w:r>
            <w:r/>
          </w:p>
        </w:tc>
        <w:tc>
          <w:tcPr>
            <w:tcBorders>
              <w:top w:val="single" w:color="auto" w:sz="4" w:space="0"/>
              <w:left w:val="single" w:color="auto" w:sz="4" w:space="0"/>
              <w:right w:val="single" w:color="auto" w:sz="4" w:space="0"/>
            </w:tcBorders>
            <w:tcW w:w="670" w:type="dxa"/>
            <w:vAlign w:val="center"/>
            <w:textDirection w:val="lrTb"/>
            <w:noWrap/>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Borders>
              <w:top w:val="single" w:color="auto" w:sz="4" w:space="0"/>
              <w:left w:val="single" w:color="auto" w:sz="4" w:space="0"/>
              <w:right w:val="single" w:color="auto" w:sz="4" w:space="0"/>
            </w:tcBorders>
            <w:tcW w:w="1231" w:type="dxa"/>
            <w:vAlign w:val="center"/>
            <w:textDirection w:val="lrTb"/>
            <w:noWrap/>
          </w:tcPr>
          <w:p>
            <w:pPr>
              <w:jc w:val="center"/>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eastAsia="宋体" w:cs="宋体"/>
                <w:color w:val="auto"/>
                <w:highlight w:val="none"/>
              </w:rPr>
              <w:t xml:space="preserve">实施方案</w:t>
            </w:r>
            <w:r/>
          </w:p>
        </w:tc>
        <w:tc>
          <w:tcPr>
            <w:tcBorders>
              <w:top w:val="single" w:color="auto" w:sz="4" w:space="0"/>
              <w:left w:val="single" w:color="auto" w:sz="4" w:space="0"/>
              <w:right w:val="single" w:color="auto" w:sz="4" w:space="0"/>
            </w:tcBorders>
            <w:tcW w:w="764" w:type="dxa"/>
            <w:vAlign w:val="center"/>
            <w:textDirection w:val="lrTb"/>
            <w:noWrap/>
          </w:tcPr>
          <w:p>
            <w:pPr>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eastAsia="宋体" w:cs="宋体"/>
                <w:color w:val="auto"/>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266" w:type="dxa"/>
            <w:vAlign w:val="center"/>
            <w:textDirection w:val="lrTb"/>
            <w:noWrap/>
          </w:tcPr>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eastAsia="宋体" w:cs="宋体"/>
                <w:color w:val="auto"/>
                <w:highlight w:val="none"/>
              </w:rPr>
              <w:t xml:space="preserve">内容包括但不限于：①项目策划</w:t>
            </w: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rPr>
              <w:t xml:space="preserve">及工作计划；②服务保障方案等。方案全面详实、安排合理得当、与现场实际情况相符、实际可操作性强的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分；实施方案较全面、安排合理、与现场实际情况较相符、实际可操作性较强的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rPr>
              <w:t xml:space="preserve">分；实施方案基本全面、安排基本合理、与现场实际情况基本相符、实际可操作性一般的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分；实施方案较笼统、考虑不全面、未结合现场实际情况、实际可操作较低的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tc>
      </w:tr>
      <w:tr>
        <w:trPr>
          <w:cantSplit/>
          <w:trHeight w:val="1008"/>
        </w:trPr>
        <w:tc>
          <w:tcPr>
            <w:tcBorders>
              <w:left w:val="single" w:color="auto" w:sz="4" w:space="0"/>
              <w:right w:val="single" w:color="auto" w:sz="4" w:space="0"/>
            </w:tcBorders>
            <w:tcW w:w="1020" w:type="dxa"/>
            <w:vAlign w:val="center"/>
            <w:vMerge w:val="continue"/>
            <w:textDirection w:val="lrTb"/>
            <w:noWrap/>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auto" w:sz="4" w:space="0"/>
              <w:right w:val="single" w:color="auto" w:sz="4" w:space="0"/>
            </w:tcBorders>
            <w:tcW w:w="670" w:type="dxa"/>
            <w:vAlign w:val="center"/>
            <w:textDirection w:val="lrTb"/>
            <w:noWrap/>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Borders>
              <w:left w:val="single" w:color="auto" w:sz="4" w:space="0"/>
              <w:right w:val="single" w:color="auto" w:sz="4" w:space="0"/>
            </w:tcBorders>
            <w:tcW w:w="1231" w:type="dxa"/>
            <w:vAlign w:val="center"/>
            <w:textDirection w:val="lrTb"/>
            <w:noWrap/>
          </w:tcPr>
          <w:p>
            <w:pPr>
              <w:jc w:val="center"/>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eastAsia="宋体" w:cs="宋体"/>
                <w:color w:val="auto"/>
                <w:highlight w:val="none"/>
              </w:rPr>
              <w:t xml:space="preserve">应急</w:t>
            </w:r>
            <w:r>
              <w:rPr>
                <w:rFonts w:hint="eastAsia" w:ascii="宋体" w:hAnsi="宋体" w:eastAsia="宋体" w:cs="宋体"/>
                <w:color w:val="auto"/>
                <w:highlight w:val="none"/>
                <w:lang w:val="en-US" w:eastAsia="zh-CN"/>
              </w:rPr>
              <w:t xml:space="preserve">处置</w:t>
            </w:r>
            <w:r>
              <w:rPr>
                <w:rFonts w:hint="eastAsia" w:ascii="宋体" w:hAnsi="宋体" w:eastAsia="宋体" w:cs="宋体"/>
                <w:color w:val="auto"/>
                <w:highlight w:val="none"/>
              </w:rPr>
              <w:t xml:space="preserve">预案</w:t>
            </w:r>
            <w:r/>
          </w:p>
        </w:tc>
        <w:tc>
          <w:tcPr>
            <w:tcBorders>
              <w:left w:val="single" w:color="auto" w:sz="4" w:space="0"/>
              <w:right w:val="single" w:color="auto" w:sz="4" w:space="0"/>
            </w:tcBorders>
            <w:tcW w:w="764" w:type="dxa"/>
            <w:vAlign w:val="center"/>
            <w:textDirection w:val="lrTb"/>
            <w:noWrap/>
          </w:tcPr>
          <w:p>
            <w:pPr>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eastAsia="宋体" w:cs="宋体"/>
                <w:color w:val="auto"/>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266" w:type="dxa"/>
            <w:vAlign w:val="center"/>
            <w:textDirection w:val="lrTb"/>
            <w:noWrap/>
          </w:tcPr>
          <w:p>
            <w:p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内容包括但不限于：①突发事件防范及</w:t>
            </w:r>
            <w:r>
              <w:rPr>
                <w:rFonts w:hint="eastAsia" w:ascii="宋体" w:hAnsi="宋体" w:eastAsia="宋体" w:cs="宋体"/>
                <w:color w:val="auto"/>
                <w:highlight w:val="none"/>
                <w:lang w:val="en-US" w:eastAsia="zh-CN"/>
              </w:rPr>
              <w:t xml:space="preserve">处置</w:t>
            </w:r>
            <w:r>
              <w:rPr>
                <w:rFonts w:hint="eastAsia" w:ascii="宋体" w:hAnsi="宋体" w:eastAsia="宋体" w:cs="宋体"/>
                <w:color w:val="auto"/>
                <w:highlight w:val="none"/>
              </w:rPr>
              <w:t xml:space="preserve">；②突发事件应急措施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③突发事件应急</w:t>
            </w:r>
            <w:r>
              <w:rPr>
                <w:rFonts w:hint="eastAsia" w:ascii="宋体" w:hAnsi="宋体" w:eastAsia="宋体" w:cs="宋体"/>
                <w:color w:val="auto"/>
                <w:highlight w:val="none"/>
                <w:lang w:val="en-US" w:eastAsia="zh-CN"/>
              </w:rPr>
              <w:t xml:space="preserve">处置</w:t>
            </w:r>
            <w:r>
              <w:rPr>
                <w:rFonts w:hint="eastAsia" w:ascii="宋体" w:hAnsi="宋体" w:eastAsia="宋体" w:cs="宋体"/>
                <w:color w:val="auto"/>
                <w:highlight w:val="none"/>
              </w:rPr>
              <w:t xml:space="preserve">小组及人员分工。 </w:t>
            </w:r>
            <w:r/>
          </w:p>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eastAsia="宋体" w:cs="宋体"/>
                <w:color w:val="auto"/>
                <w:highlight w:val="none"/>
              </w:rPr>
              <w:t xml:space="preserve">方案全面详实、安排合理得当、与现场实际情况相符、实际可操作性强的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分；实施方案较全面、安排合理、与现场实际情况较相符、实际可操作性较强的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rPr>
              <w:t xml:space="preserve">分；实施方案基本全面、安排基本合理、与现场实际情况基本相符、实际可操作性一般的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分；实施方案较笼统、考虑不全面、未结合现场实际情况、实际可操作较低的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tc>
      </w:tr>
      <w:tr>
        <w:trPr>
          <w:cantSplit/>
          <w:trHeight w:val="1406"/>
        </w:trPr>
        <w:tc>
          <w:tcPr>
            <w:tcBorders>
              <w:left w:val="single" w:color="auto" w:sz="4" w:space="0"/>
              <w:right w:val="single" w:color="auto" w:sz="4" w:space="0"/>
            </w:tcBorders>
            <w:tcW w:w="1020" w:type="dxa"/>
            <w:vAlign w:val="center"/>
            <w:vMerge w:val="restart"/>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商务部分</w:t>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分</w:t>
            </w:r>
            <w:r/>
          </w:p>
        </w:tc>
        <w:tc>
          <w:tcPr>
            <w:tcBorders>
              <w:left w:val="single" w:color="auto" w:sz="4" w:space="0"/>
              <w:bottom w:val="single" w:color="auto" w:sz="4" w:space="0"/>
              <w:right w:val="single" w:color="auto" w:sz="4" w:space="0"/>
            </w:tcBorders>
            <w:tcW w:w="670" w:type="dxa"/>
            <w:vAlign w:val="center"/>
            <w:textDirection w:val="lrTb"/>
            <w:noWrap/>
          </w:tcPr>
          <w:p>
            <w:pPr>
              <w:jc w:val="center"/>
              <w:spacing w:line="360" w:lineRule="auto"/>
              <w:rPr>
                <w:rFonts w:hint="eastAsia" w:eastAsia="宋体"/>
                <w:color w:val="auto"/>
                <w:szCs w:val="21"/>
                <w:highlight w:val="none"/>
                <w:lang w:val="en-US" w:eastAsia="zh-CN"/>
              </w:rPr>
            </w:pPr>
            <w:r>
              <w:rPr>
                <w:rFonts w:hint="eastAsia"/>
                <w:color w:val="auto"/>
                <w:szCs w:val="21"/>
                <w:highlight w:val="none"/>
                <w:lang w:val="en-US" w:eastAsia="zh-CN"/>
              </w:rPr>
              <w:t xml:space="preserve">1</w:t>
            </w:r>
            <w:r/>
          </w:p>
        </w:tc>
        <w:tc>
          <w:tcPr>
            <w:tcBorders>
              <w:left w:val="single" w:color="auto" w:sz="4" w:space="0"/>
              <w:bottom w:val="single" w:color="auto" w:sz="4" w:space="0"/>
              <w:right w:val="single" w:color="auto" w:sz="4" w:space="0"/>
            </w:tcBorders>
            <w:tcW w:w="1231"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企业实力</w:t>
            </w:r>
            <w:r/>
          </w:p>
          <w:p>
            <w:pPr>
              <w:jc w:val="center"/>
              <w:keepLines w:val="0"/>
              <w:keepNext w:val="0"/>
              <w:pageBreakBefore w:val="0"/>
              <w:spacing w:line="360" w:lineRule="auto"/>
              <w:widowControl w:val="off"/>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keepLines w:val="0"/>
              <w:keepNext w:val="0"/>
              <w:pageBreakBefore w:val="0"/>
              <w:spacing w:line="360" w:lineRule="auto"/>
              <w:widowControl w:val="off"/>
              <w:rPr>
                <w:rFonts w:hint="eastAsia"/>
                <w:color w:val="auto"/>
                <w:szCs w:val="21"/>
                <w:highlight w:val="none"/>
              </w:rPr>
            </w:pPr>
            <w:r>
              <w:rPr>
                <w:rFonts w:hint="eastAsia" w:ascii="宋体" w:hAnsi="宋体" w:eastAsia="宋体" w:cs="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266" w:type="dxa"/>
            <w:vAlign w:val="center"/>
            <w:textDirection w:val="lrTb"/>
            <w:noWrap/>
          </w:tcPr>
          <w:p>
            <w:pPr>
              <w:keepLines w:val="0"/>
              <w:keepNext w:val="0"/>
              <w:pageBreakBefore w:val="0"/>
              <w:spacing w:line="360" w:lineRule="auto"/>
              <w:widowControl w:val="off"/>
              <w:rPr>
                <w:rFonts w:hint="eastAsia" w:eastAsia="宋体"/>
                <w:color w:val="auto"/>
                <w:highlight w:val="none"/>
                <w:lang w:val="en-US" w:eastAsia="zh-CN"/>
              </w:rPr>
            </w:pPr>
            <w:r>
              <w:rPr>
                <w:rFonts w:hint="eastAsia" w:ascii="宋体" w:hAnsi="宋体" w:eastAsia="宋体" w:cs="宋体"/>
                <w:color w:val="auto"/>
                <w:highlight w:val="none"/>
              </w:rPr>
              <w:t xml:space="preserve">供应商自2021年1月1日以来组织的</w:t>
            </w:r>
            <w:r>
              <w:rPr>
                <w:rFonts w:hint="eastAsia" w:ascii="宋体" w:hAnsi="宋体" w:eastAsia="宋体" w:cs="宋体"/>
                <w:color w:val="auto"/>
                <w:highlight w:val="none"/>
                <w:lang w:val="en-US" w:eastAsia="zh-CN"/>
              </w:rPr>
              <w:t xml:space="preserve">演练</w:t>
            </w:r>
            <w:r>
              <w:rPr>
                <w:rFonts w:hint="eastAsia" w:ascii="宋体" w:hAnsi="宋体" w:eastAsia="宋体" w:cs="宋体"/>
                <w:color w:val="auto"/>
                <w:highlight w:val="none"/>
              </w:rPr>
              <w:t xml:space="preserve">项目</w:t>
            </w:r>
            <w:r>
              <w:rPr>
                <w:rFonts w:hint="eastAsia" w:ascii="宋体" w:hAnsi="宋体" w:eastAsia="宋体" w:cs="宋体"/>
                <w:color w:val="auto"/>
                <w:highlight w:val="none"/>
                <w:lang w:val="en-US" w:eastAsia="zh-CN"/>
              </w:rPr>
              <w:t xml:space="preserve">保障类似</w:t>
            </w:r>
            <w:r>
              <w:rPr>
                <w:rFonts w:hint="eastAsia" w:ascii="宋体" w:hAnsi="宋体" w:eastAsia="宋体" w:cs="宋体"/>
                <w:color w:val="auto"/>
                <w:highlight w:val="none"/>
              </w:rPr>
              <w:t xml:space="preserve">业绩</w:t>
            </w:r>
            <w:r>
              <w:rPr>
                <w:rFonts w:hint="eastAsia" w:ascii="宋体" w:hAnsi="宋体" w:eastAsia="宋体" w:cs="宋体"/>
                <w:color w:val="auto"/>
                <w:sz w:val="21"/>
                <w:szCs w:val="21"/>
                <w:highlight w:val="none"/>
              </w:rPr>
              <w:t xml:space="preserve">获得过</w:t>
            </w:r>
            <w:r>
              <w:rPr>
                <w:rFonts w:hint="eastAsia" w:ascii="宋体" w:hAnsi="宋体" w:eastAsia="宋体" w:cs="宋体"/>
                <w:color w:val="auto"/>
                <w:sz w:val="21"/>
                <w:szCs w:val="21"/>
                <w:highlight w:val="none"/>
                <w:lang w:val="en-US" w:eastAsia="zh-CN"/>
              </w:rPr>
              <w:t xml:space="preserve">县区</w:t>
            </w:r>
            <w:r>
              <w:rPr>
                <w:rFonts w:hint="eastAsia" w:ascii="宋体" w:hAnsi="宋体" w:eastAsia="宋体" w:cs="宋体"/>
                <w:color w:val="auto"/>
                <w:sz w:val="21"/>
                <w:szCs w:val="21"/>
                <w:highlight w:val="none"/>
              </w:rPr>
              <w:t xml:space="preserve">级政府职能部门颁发的奖项</w:t>
            </w:r>
            <w:r>
              <w:rPr>
                <w:rFonts w:hint="eastAsia" w:ascii="宋体" w:hAnsi="宋体" w:eastAsia="宋体" w:cs="宋体"/>
                <w:color w:val="auto"/>
                <w:sz w:val="21"/>
                <w:szCs w:val="21"/>
                <w:highlight w:val="none"/>
                <w:lang w:val="en-US" w:eastAsia="zh-CN"/>
              </w:rPr>
              <w:t xml:space="preserve">或书面认可材料</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得1分，地市级政府职能部门颁发的奖项</w:t>
            </w:r>
            <w:r>
              <w:rPr>
                <w:rFonts w:hint="eastAsia" w:ascii="宋体" w:hAnsi="宋体" w:eastAsia="宋体" w:cs="宋体"/>
                <w:color w:val="auto"/>
                <w:sz w:val="21"/>
                <w:szCs w:val="21"/>
                <w:highlight w:val="none"/>
                <w:lang w:val="en-US" w:eastAsia="zh-CN"/>
              </w:rPr>
              <w:t xml:space="preserve">或书面认可材料</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分，省级政府职能部门颁发的奖项</w:t>
            </w:r>
            <w:r>
              <w:rPr>
                <w:rFonts w:hint="eastAsia" w:ascii="宋体" w:hAnsi="宋体" w:eastAsia="宋体" w:cs="宋体"/>
                <w:color w:val="auto"/>
                <w:sz w:val="21"/>
                <w:szCs w:val="21"/>
                <w:highlight w:val="none"/>
                <w:lang w:val="en-US" w:eastAsia="zh-CN"/>
              </w:rPr>
              <w:t xml:space="preserve">或书面认可材料</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本项最高</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分。限评1个</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注：响应文件中</w:t>
            </w:r>
            <w:r>
              <w:rPr>
                <w:rFonts w:hint="eastAsia" w:ascii="宋体" w:hAnsi="宋体" w:eastAsia="宋体" w:cs="宋体"/>
                <w:color w:val="auto"/>
                <w:highlight w:val="none"/>
              </w:rPr>
              <w:t xml:space="preserve">须提供相应证明材料</w:t>
            </w:r>
            <w:r>
              <w:rPr>
                <w:rFonts w:hint="eastAsia" w:ascii="宋体" w:hAnsi="宋体" w:eastAsia="宋体" w:cs="宋体"/>
                <w:color w:val="auto"/>
                <w:highlight w:val="none"/>
                <w:lang w:val="en-US" w:eastAsia="zh-CN"/>
              </w:rPr>
              <w:t xml:space="preserve">扫描件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未按要求提供或提供不清晰导致专家无法判断的不得分。</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trHeight w:val="691"/>
        </w:trPr>
        <w:tc>
          <w:tcPr>
            <w:tcBorders>
              <w:left w:val="single" w:color="auto" w:sz="4" w:space="0"/>
              <w:right w:val="single" w:color="auto" w:sz="4" w:space="0"/>
            </w:tcBorders>
            <w:tcW w:w="1020" w:type="dxa"/>
            <w:vAlign w:val="center"/>
            <w:vMerge w:val="continue"/>
            <w:textDirection w:val="lrTb"/>
            <w:noWrap/>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tcPr>
          <w:p>
            <w:pPr>
              <w:jc w:val="center"/>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eastAsia="宋体" w:cs="宋体"/>
                <w:color w:val="auto"/>
                <w:highlight w:val="none"/>
              </w:rPr>
              <w:t xml:space="preserve">类似业绩</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eastAsia="宋体" w:cs="宋体"/>
                <w:color w:val="auto"/>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5266" w:type="dxa"/>
            <w:vAlign w:val="center"/>
            <w:textDirection w:val="lrTb"/>
            <w:noWrap/>
          </w:tcPr>
          <w:p>
            <w:pPr>
              <w:keepLines w:val="0"/>
              <w:keepNext w:val="0"/>
              <w:pageBreakBefore w:val="0"/>
              <w:spacing w:line="360" w:lineRule="auto"/>
              <w:widowControl w:val="off"/>
              <w:rPr>
                <w:rFonts w:hint="eastAsia" w:ascii="宋体" w:hAnsi="宋体" w:eastAsia="宋体"/>
                <w:b/>
                <w:color w:val="auto"/>
                <w:szCs w:val="21"/>
                <w:highlight w:val="none"/>
                <w:lang w:val="en-US" w:eastAsia="zh-CN"/>
              </w:rPr>
            </w:pPr>
            <w:r>
              <w:rPr>
                <w:rFonts w:hint="eastAsia" w:ascii="宋体" w:hAnsi="宋体" w:eastAsia="宋体" w:cs="宋体"/>
                <w:color w:val="auto"/>
                <w:highlight w:val="none"/>
              </w:rPr>
              <w:t xml:space="preserve">供应商自2021年1月1日以来（以合同签订时间为准）</w:t>
            </w:r>
            <w:r>
              <w:rPr>
                <w:rFonts w:hint="eastAsia" w:ascii="宋体" w:hAnsi="宋体" w:eastAsia="宋体" w:cs="宋体"/>
                <w:color w:val="auto"/>
                <w:highlight w:val="none"/>
                <w:lang w:val="en-US" w:eastAsia="zh-CN"/>
              </w:rPr>
              <w:t xml:space="preserve">具有演练</w:t>
            </w:r>
            <w:r>
              <w:rPr>
                <w:rFonts w:hint="eastAsia" w:ascii="宋体" w:hAnsi="宋体" w:eastAsia="宋体" w:cs="宋体"/>
                <w:color w:val="auto"/>
                <w:highlight w:val="none"/>
              </w:rPr>
              <w:t xml:space="preserve">项目</w:t>
            </w:r>
            <w:r>
              <w:rPr>
                <w:rFonts w:hint="eastAsia" w:ascii="宋体" w:hAnsi="宋体" w:eastAsia="宋体" w:cs="宋体"/>
                <w:color w:val="auto"/>
                <w:highlight w:val="none"/>
                <w:lang w:val="en-US" w:eastAsia="zh-CN"/>
              </w:rPr>
              <w:t xml:space="preserve">保障类似</w:t>
            </w:r>
            <w:r>
              <w:rPr>
                <w:rFonts w:hint="eastAsia" w:ascii="宋体" w:hAnsi="宋体" w:eastAsia="宋体" w:cs="宋体"/>
                <w:color w:val="auto"/>
                <w:highlight w:val="none"/>
              </w:rPr>
              <w:t xml:space="preserve">业绩的，</w:t>
            </w:r>
            <w:r>
              <w:rPr>
                <w:rFonts w:hint="eastAsia" w:ascii="宋体" w:hAnsi="宋体" w:eastAsia="宋体" w:cs="宋体"/>
                <w:color w:val="auto"/>
                <w:highlight w:val="none"/>
                <w:lang w:val="en-US" w:eastAsia="zh-CN"/>
              </w:rPr>
              <w:t xml:space="preserve">每提供一个得5分，</w:t>
            </w:r>
            <w:r>
              <w:rPr>
                <w:rFonts w:hint="eastAsia" w:ascii="宋体" w:hAnsi="宋体" w:eastAsia="宋体" w:cs="宋体"/>
                <w:color w:val="auto"/>
                <w:highlight w:val="none"/>
              </w:rPr>
              <w:t xml:space="preserve">本项最高</w:t>
            </w:r>
            <w:r>
              <w:rPr>
                <w:rFonts w:hint="eastAsia" w:ascii="宋体" w:hAnsi="宋体" w:eastAsia="宋体" w:cs="宋体"/>
                <w:color w:val="auto"/>
                <w:highlight w:val="none"/>
                <w:lang w:val="en-US" w:eastAsia="zh-CN"/>
              </w:rPr>
              <w:t xml:space="preserve">得15</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注：响应文件中</w:t>
            </w:r>
            <w:r>
              <w:rPr>
                <w:rFonts w:hint="eastAsia" w:ascii="宋体" w:hAnsi="宋体" w:eastAsia="宋体" w:cs="宋体"/>
                <w:color w:val="auto"/>
                <w:highlight w:val="none"/>
              </w:rPr>
              <w:t xml:space="preserve">须</w:t>
            </w:r>
            <w:r>
              <w:rPr>
                <w:rFonts w:hint="eastAsia" w:ascii="宋体" w:hAnsi="宋体" w:eastAsia="宋体" w:cs="宋体"/>
                <w:color w:val="auto"/>
                <w:highlight w:val="none"/>
                <w:lang w:val="en-US" w:eastAsia="zh-CN"/>
              </w:rPr>
              <w:t xml:space="preserve">提供合同扫描件，未按要求提供或提供不清晰导致专家无法判断的不得分。</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trHeight w:val="691"/>
        </w:trPr>
        <w:tc>
          <w:tcPr>
            <w:tcBorders>
              <w:left w:val="single" w:color="auto" w:sz="4" w:space="0"/>
              <w:bottom w:val="single" w:color="auto" w:sz="4" w:space="0"/>
              <w:right w:val="single" w:color="auto" w:sz="4" w:space="0"/>
            </w:tcBorders>
            <w:tcW w:w="1020" w:type="dxa"/>
            <w:vAlign w:val="center"/>
            <w:vMerge w:val="continue"/>
            <w:textDirection w:val="lrTb"/>
            <w:noWrap/>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项目团队</w:t>
            </w:r>
            <w:r/>
          </w:p>
          <w:p>
            <w:pPr>
              <w:jc w:val="center"/>
              <w:keepLines w:val="0"/>
              <w:keepNext w:val="0"/>
              <w:pageBreakBefore w:val="0"/>
              <w:spacing w:line="360" w:lineRule="auto"/>
              <w:widowControl w:val="off"/>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keepLines w:val="0"/>
              <w:keepNext w:val="0"/>
              <w:pageBreakBefore w:val="0"/>
              <w:spacing w:line="360" w:lineRule="auto"/>
              <w:widowControl w:val="off"/>
              <w:rPr>
                <w:color w:val="auto"/>
                <w:szCs w:val="21"/>
                <w:highlight w:val="none"/>
              </w:rPr>
            </w:pPr>
            <w:r>
              <w:rPr>
                <w:rFonts w:hint="eastAsia" w:ascii="宋体" w:hAnsi="宋体" w:eastAsia="宋体" w:cs="宋体"/>
                <w:color w:val="auto"/>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266" w:type="dxa"/>
            <w:vAlign w:val="center"/>
            <w:textDirection w:val="lrTb"/>
            <w:noWrap/>
          </w:tcPr>
          <w:p>
            <w:pPr>
              <w:keepLines w:val="0"/>
              <w:keepNext w:val="0"/>
              <w:pageBreakBefore w:val="0"/>
              <w:spacing w:line="360" w:lineRule="auto"/>
              <w:widowControl w:val="off"/>
              <w:rPr>
                <w:rFonts w:hint="default"/>
                <w:color w:val="auto"/>
                <w:highlight w:val="none"/>
                <w:lang w:val="en-US"/>
              </w:rPr>
            </w:pPr>
            <w:r>
              <w:rPr>
                <w:rFonts w:hint="eastAsia" w:ascii="宋体" w:hAnsi="宋体" w:eastAsia="宋体" w:cs="宋体"/>
                <w:color w:val="auto"/>
                <w:highlight w:val="none"/>
                <w:lang w:val="en-US" w:eastAsia="zh-CN"/>
              </w:rPr>
              <w:t xml:space="preserve">供应商自2021年1月1日以来（以合同签订时间为准）拟派的项目负责人承担过演练保障项目类似业绩的，每提供一个案例得5分，本项目最高10分，未提供不得分。注：响应文件中须提供合同（合同须体现项目负责人姓名）扫描件，未按要求提供或未提供不得分。</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bl>
    <w:p>
      <w:pPr>
        <w:pStyle w:val="753"/>
        <w:ind w:firstLine="200"/>
        <w:rPr>
          <w:color w:val="auto"/>
          <w:highlight w:val="none"/>
        </w:rPr>
      </w:pPr>
      <w:r>
        <w:rPr>
          <w:color w:val="auto"/>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2、价格部分</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01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价格分采用低价优先法，即满足磋商文件要求且最后报价最低的供应商的价格为磋商基准价，其价格分为满分。其他供应商的价格分统一按照下列公式计算：</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jc w:val="left"/>
              <w:rPr>
                <w:rFonts w:hint="eastAsia" w:ascii="宋体" w:hAnsi="宋体"/>
                <w:color w:val="auto"/>
                <w:sz w:val="24"/>
                <w:szCs w:val="24"/>
                <w:highlight w:val="none"/>
              </w:rPr>
            </w:pPr>
            <w:r>
              <w:rPr>
                <w:rFonts w:hint="eastAsia" w:ascii="宋体" w:hAnsi="宋体" w:cs="宋体"/>
                <w:color w:val="auto"/>
                <w:sz w:val="24"/>
                <w:szCs w:val="24"/>
                <w:highlight w:val="none"/>
              </w:rPr>
              <w:t xml:space="preserve">注：因算术修正和落实政府采购政策进行价格调整的，以调整后的价格计算基准价和磋商报价。</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numPr>
          <w:ilvl w:val="0"/>
          <w:numId w:val="10"/>
        </w:numPr>
        <w:ind w:firstLine="480"/>
        <w:jc w:val="left"/>
        <w:spacing w:line="360" w:lineRule="auto"/>
        <w:rPr>
          <w:rFonts w:hint="eastAsia" w:ascii="宋体" w:hAnsi="宋体"/>
          <w:color w:val="auto"/>
          <w:sz w:val="24"/>
          <w:szCs w:val="24"/>
          <w:highlight w:val="none"/>
        </w:rPr>
      </w:pPr>
      <w:r/>
      <w:bookmarkStart w:id="213" w:name="OLE_LINK60"/>
      <w:r>
        <w:rPr>
          <w:rFonts w:hint="eastAsia" w:ascii="宋体" w:hAnsi="宋体"/>
          <w:color w:val="auto"/>
          <w:sz w:val="24"/>
          <w:szCs w:val="24"/>
          <w:highlight w:val="none"/>
        </w:rPr>
        <w:t xml:space="preserve">评分过程中如出现小数点后三位，采用四舍五入法，最终保留两位小数；</w:t>
      </w:r>
      <w:r/>
    </w:p>
    <w:p>
      <w:pPr>
        <w:numPr>
          <w:ilvl w:val="0"/>
          <w:numId w:val="10"/>
        </w:num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响应文件中必须提供以上相关证明材料复印件，否则不予得分。</w:t>
      </w:r>
      <w:bookmarkEnd w:id="213"/>
      <w:r/>
      <w:r/>
    </w:p>
    <w:p>
      <w:pPr>
        <w:numPr>
          <w:ilvl w:val="0"/>
          <w:numId w:val="11"/>
        </w:numPr>
        <w:ind w:firstLine="480"/>
        <w:spacing w:line="360" w:lineRule="auto"/>
        <w:rPr>
          <w:rFonts w:hint="eastAsia" w:ascii="黑体" w:hAnsi="黑体" w:eastAsia="黑体"/>
          <w:color w:val="auto"/>
          <w:sz w:val="28"/>
          <w:highlight w:val="none"/>
        </w:rPr>
      </w:pPr>
      <w:r>
        <w:rPr>
          <w:rFonts w:hint="eastAsia" w:ascii="宋体" w:hAnsi="宋体"/>
          <w:color w:val="auto"/>
          <w:sz w:val="24"/>
          <w:szCs w:val="24"/>
          <w:highlight w:val="none"/>
        </w:rPr>
        <w:t xml:space="preserve">供应商将自评分表制作于响应文件中，同时可根据自身情况填好“响应文件对应页码”，以方便评标委员会评审。</w:t>
      </w:r>
      <w:bookmarkStart w:id="214" w:name="_Toc28525"/>
      <w:r/>
      <w:bookmarkStart w:id="215" w:name="_Toc30784"/>
      <w:r/>
      <w:bookmarkStart w:id="216" w:name="_Toc20512"/>
      <w:r/>
      <w:bookmarkStart w:id="217" w:name="_Toc18949"/>
      <w:r/>
      <w:bookmarkStart w:id="218" w:name="_Toc740"/>
      <w:r/>
      <w:bookmarkStart w:id="219" w:name="_Toc31339"/>
      <w:r/>
      <w:r/>
    </w:p>
    <w:p>
      <w:pPr>
        <w:jc w:val="center"/>
        <w:rPr>
          <w:rFonts w:hint="eastAsia" w:ascii="黑体" w:hAnsi="黑体" w:eastAsia="黑体"/>
          <w:color w:val="auto"/>
          <w:sz w:val="28"/>
          <w:highlight w:val="none"/>
        </w:rPr>
        <w:outlineLvl w:val="0"/>
      </w:pPr>
      <w:r/>
      <w:bookmarkStart w:id="220" w:name="_Toc23891"/>
      <w:r/>
      <w:bookmarkStart w:id="221" w:name="_Toc30442"/>
      <w:r/>
      <w:r/>
    </w:p>
    <w:p>
      <w:pPr>
        <w:jc w:val="center"/>
        <w:rPr>
          <w:color w:val="auto"/>
          <w:highlight w:val="none"/>
        </w:rPr>
        <w:outlineLvl w:val="0"/>
      </w:pPr>
      <w:r>
        <w:rPr>
          <w:rFonts w:hint="eastAsia" w:ascii="黑体" w:hAnsi="黑体" w:eastAsia="黑体"/>
          <w:color w:val="auto"/>
          <w:sz w:val="28"/>
          <w:highlight w:val="none"/>
        </w:rPr>
        <w:t xml:space="preserve">第五章 政府采购合同（格式）</w:t>
      </w:r>
      <w:bookmarkEnd w:id="189"/>
      <w:r/>
      <w:bookmarkEnd w:id="190"/>
      <w:r/>
      <w:bookmarkEnd w:id="191"/>
      <w:r/>
      <w:bookmarkEnd w:id="195"/>
      <w:r/>
      <w:bookmarkEnd w:id="196"/>
      <w:r/>
      <w:bookmarkEnd w:id="197"/>
      <w:r/>
      <w:bookmarkEnd w:id="198"/>
      <w:r/>
      <w:bookmarkEnd w:id="199"/>
      <w:r/>
      <w:bookmarkEnd w:id="200"/>
      <w:r/>
      <w:bookmarkEnd w:id="214"/>
      <w:r/>
      <w:bookmarkEnd w:id="215"/>
      <w:r/>
      <w:bookmarkEnd w:id="216"/>
      <w:r/>
      <w:bookmarkEnd w:id="217"/>
      <w:r/>
      <w:bookmarkEnd w:id="218"/>
      <w:r/>
      <w:bookmarkEnd w:id="219"/>
      <w:r/>
      <w:bookmarkEnd w:id="220"/>
      <w:r/>
      <w:bookmarkEnd w:id="221"/>
      <w:r/>
      <w:r/>
    </w:p>
    <w:p>
      <w:pPr>
        <w:pStyle w:val="785"/>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785"/>
        <w:ind w:firstLine="0"/>
        <w:rPr>
          <w:rFonts w:hint="eastAsia" w:hAnsi="宋体" w:cs="宋体"/>
          <w:color w:val="auto"/>
          <w:szCs w:val="24"/>
          <w:highlight w:val="none"/>
        </w:rPr>
      </w:pPr>
      <w:r>
        <w:rPr>
          <w:rFonts w:hint="eastAsia" w:hAnsi="宋体" w:cs="宋体"/>
          <w:color w:val="auto"/>
          <w:szCs w:val="24"/>
          <w:highlight w:val="none"/>
        </w:rPr>
      </w:r>
      <w:r/>
    </w:p>
    <w:p>
      <w:pPr>
        <w:pStyle w:val="785"/>
        <w:ind w:firstLine="0"/>
        <w:rPr>
          <w:rFonts w:hint="eastAsia" w:hAnsi="宋体" w:cs="宋体"/>
          <w:color w:val="auto"/>
          <w:szCs w:val="24"/>
          <w:highlight w:val="none"/>
        </w:rPr>
      </w:pPr>
      <w:r>
        <w:rPr>
          <w:rFonts w:hint="eastAsia" w:hAnsi="宋体" w:cs="宋体"/>
          <w:color w:val="auto"/>
          <w:szCs w:val="24"/>
          <w:highlight w:val="none"/>
        </w:rPr>
      </w:r>
      <w:r/>
    </w:p>
    <w:p>
      <w:pPr>
        <w:pStyle w:val="785"/>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785"/>
        <w:ind w:firstLine="0"/>
        <w:rPr>
          <w:rFonts w:hint="eastAsia" w:hAnsi="宋体" w:cs="宋体"/>
          <w:color w:val="auto"/>
          <w:szCs w:val="24"/>
          <w:highlight w:val="none"/>
        </w:rPr>
      </w:pPr>
      <w:r>
        <w:rPr>
          <w:rFonts w:hint="eastAsia" w:hAnsi="宋体" w:cs="宋体"/>
          <w:color w:val="auto"/>
          <w:szCs w:val="24"/>
          <w:highlight w:val="none"/>
        </w:rPr>
      </w:r>
      <w:r/>
    </w:p>
    <w:p>
      <w:pPr>
        <w:pStyle w:val="785"/>
        <w:ind w:firstLine="0"/>
        <w:rPr>
          <w:rFonts w:hint="eastAsia" w:hAnsi="宋体" w:cs="宋体"/>
          <w:color w:val="auto"/>
          <w:szCs w:val="24"/>
          <w:highlight w:val="none"/>
        </w:rPr>
      </w:pPr>
      <w:r>
        <w:rPr>
          <w:rFonts w:hint="eastAsia" w:hAnsi="宋体" w:cs="宋体"/>
          <w:color w:val="auto"/>
          <w:szCs w:val="24"/>
          <w:highlight w:val="none"/>
        </w:rPr>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pStyle w:val="780"/>
        <w:spacing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80"/>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p>
    <w:p>
      <w:pPr>
        <w:rPr>
          <w:rFonts w:hint="eastAsia" w:ascii="宋体" w:hAnsi="宋体" w:cs="宋体"/>
          <w:color w:val="auto"/>
          <w:highlight w:val="none"/>
        </w:rPr>
      </w:pPr>
      <w:r>
        <w:rPr>
          <w:rFonts w:hint="eastAsia" w:ascii="宋体" w:hAnsi="宋体" w:cs="宋体"/>
          <w:color w:val="auto"/>
          <w:highlight w:val="none"/>
        </w:rPr>
      </w:r>
      <w:r/>
    </w:p>
    <w:p>
      <w:pPr>
        <w:ind w:left="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签订日期：年   月   日</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737"/>
        <w:rPr>
          <w:rFonts w:hint="eastAsia" w:ascii="宋体" w:hAnsi="宋体" w:cs="宋体"/>
          <w:color w:val="auto"/>
          <w:sz w:val="24"/>
          <w:highlight w:val="none"/>
        </w:rPr>
      </w:pPr>
      <w:r>
        <w:rPr>
          <w:rFonts w:hint="eastAsia" w:ascii="宋体" w:hAnsi="宋体" w:cs="宋体"/>
          <w:color w:val="auto"/>
          <w:sz w:val="24"/>
          <w:highlight w:val="none"/>
        </w:rPr>
      </w:r>
      <w:r/>
    </w:p>
    <w:p>
      <w:pPr>
        <w:pStyle w:val="737"/>
        <w:rPr>
          <w:rFonts w:hint="eastAsia" w:ascii="宋体" w:hAnsi="宋体" w:cs="宋体"/>
          <w:color w:val="auto"/>
          <w:sz w:val="24"/>
          <w:highlight w:val="none"/>
        </w:rPr>
      </w:pPr>
      <w:r>
        <w:rPr>
          <w:rFonts w:hint="eastAsia" w:ascii="宋体" w:hAnsi="宋体" w:cs="宋体"/>
          <w:color w:val="auto"/>
          <w:sz w:val="24"/>
          <w:highlight w:val="none"/>
        </w:rPr>
      </w:r>
      <w:r/>
    </w:p>
    <w:p>
      <w:pPr>
        <w:pStyle w:val="737"/>
        <w:rPr>
          <w:rFonts w:hint="eastAsia" w:ascii="宋体" w:hAnsi="宋体" w:cs="宋体"/>
          <w:color w:val="auto"/>
          <w:sz w:val="24"/>
          <w:highlight w:val="none"/>
        </w:rPr>
      </w:pPr>
      <w:r>
        <w:rPr>
          <w:rFonts w:hint="eastAsia" w:ascii="宋体" w:hAnsi="宋体" w:cs="宋体"/>
          <w:color w:val="auto"/>
          <w:sz w:val="24"/>
          <w:highlight w:val="none"/>
        </w:rPr>
      </w:r>
      <w:r/>
    </w:p>
    <w:p>
      <w:pPr>
        <w:pStyle w:val="737"/>
        <w:rPr>
          <w:rFonts w:hint="eastAsia" w:ascii="宋体" w:hAnsi="宋体" w:cs="宋体"/>
          <w:color w:val="auto"/>
          <w:sz w:val="24"/>
          <w:highlight w:val="none"/>
        </w:rPr>
      </w:pPr>
      <w:r>
        <w:rPr>
          <w:rFonts w:hint="eastAsia" w:ascii="宋体" w:hAnsi="宋体" w:cs="宋体"/>
          <w:color w:val="auto"/>
          <w:sz w:val="24"/>
          <w:highlight w:val="none"/>
        </w:rPr>
      </w:r>
      <w:r/>
    </w:p>
    <w:p>
      <w:pPr>
        <w:pStyle w:val="737"/>
        <w:rPr>
          <w:rFonts w:hint="eastAsia" w:ascii="宋体" w:hAnsi="宋体" w:cs="宋体"/>
          <w:color w:val="auto"/>
          <w:sz w:val="24"/>
          <w:highlight w:val="none"/>
        </w:rPr>
      </w:pPr>
      <w:r>
        <w:rPr>
          <w:rFonts w:hint="eastAsia" w:ascii="宋体" w:hAnsi="宋体" w:cs="宋体"/>
          <w:color w:val="auto"/>
          <w:sz w:val="24"/>
          <w:highlight w:val="none"/>
        </w:rPr>
      </w:r>
      <w:r/>
    </w:p>
    <w:p>
      <w:pPr>
        <w:pStyle w:val="737"/>
        <w:rPr>
          <w:rFonts w:hint="eastAsia" w:ascii="宋体" w:hAnsi="宋体" w:cs="宋体"/>
          <w:color w:val="auto"/>
          <w:sz w:val="24"/>
          <w:highlight w:val="none"/>
        </w:rPr>
      </w:pPr>
      <w:r>
        <w:rPr>
          <w:rFonts w:hint="eastAsia" w:ascii="宋体" w:hAnsi="宋体" w:cs="宋体"/>
          <w:color w:val="auto"/>
          <w:sz w:val="24"/>
          <w:highlight w:val="none"/>
        </w:rPr>
      </w:r>
      <w:r/>
    </w:p>
    <w:p>
      <w:pPr>
        <w:pStyle w:val="737"/>
        <w:rPr>
          <w:rFonts w:hint="eastAsia" w:ascii="宋体" w:hAnsi="宋体" w:cs="宋体"/>
          <w:color w:val="auto"/>
          <w:sz w:val="24"/>
          <w:highlight w:val="none"/>
        </w:rPr>
      </w:pPr>
      <w:r>
        <w:rPr>
          <w:rFonts w:hint="eastAsia" w:ascii="宋体" w:hAnsi="宋体" w:cs="宋体"/>
          <w:color w:val="auto"/>
          <w:sz w:val="24"/>
          <w:highlight w:val="none"/>
        </w:rPr>
      </w:r>
      <w:r/>
    </w:p>
    <w:p>
      <w:pPr>
        <w:pStyle w:val="753"/>
        <w:ind w:firstLine="240"/>
        <w:rPr>
          <w:rFonts w:hint="eastAsia" w:ascii="宋体" w:hAnsi="宋体" w:cs="宋体"/>
          <w:color w:val="auto"/>
          <w:sz w:val="24"/>
          <w:highlight w:val="none"/>
        </w:rPr>
      </w:pPr>
      <w:r>
        <w:rPr>
          <w:rFonts w:hint="eastAsia" w:ascii="宋体" w:hAnsi="宋体" w:cs="宋体"/>
          <w:color w:val="auto"/>
          <w:sz w:val="24"/>
          <w:highlight w:val="none"/>
        </w:rPr>
      </w:r>
      <w:r/>
    </w:p>
    <w:p>
      <w:pPr>
        <w:pStyle w:val="754"/>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737"/>
        <w:rPr>
          <w:color w:val="auto"/>
          <w:highlight w:val="none"/>
          <w:lang w:val="zh-CN"/>
        </w:rPr>
      </w:pPr>
      <w:r>
        <w:rPr>
          <w:color w:val="auto"/>
          <w:highlight w:val="none"/>
          <w:lang w:val="zh-CN"/>
        </w:rPr>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年  月  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宜兴市应急管理局</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竞争性磋商采购方式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江苏省“三断”条件下应急指挥协同机制演练服务项目</w:t>
      </w:r>
      <w:r>
        <w:rPr>
          <w:rFonts w:hint="eastAsia" w:ascii="宋体" w:hAnsi="宋体" w:cs="宋体"/>
          <w:color w:val="auto"/>
          <w:sz w:val="24"/>
          <w:highlight w:val="none"/>
        </w:rPr>
        <w:t xml:space="preserve">进行了采购。经磋商小组评审，确定 </w:t>
      </w:r>
      <w:r>
        <w:rPr>
          <w:rFonts w:hint="eastAsia" w:ascii="宋体" w:hAnsi="宋体" w:cs="宋体"/>
          <w:color w:val="auto"/>
          <w:sz w:val="24"/>
          <w:highlight w:val="none"/>
          <w:u w:val="single"/>
        </w:rPr>
        <w:t xml:space="preserve">（成交供应商名称）</w:t>
      </w:r>
      <w:r>
        <w:rPr>
          <w:rFonts w:hint="eastAsia" w:ascii="宋体" w:hAnsi="宋体" w:cs="宋体"/>
          <w:color w:val="auto"/>
          <w:sz w:val="24"/>
          <w:highlight w:val="none"/>
        </w:rPr>
        <w:t xml:space="preserve">为该项目成交供应商。现于成交通知书发出之日起三十日内，按照采购文件确定的事项签订本合同。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宜兴市应急管理局</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（成交供应商名称）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hint="eastAsia" w:ascii="宋体" w:hAnsi="宋体" w:cs="宋体"/>
          <w:color w:val="auto"/>
          <w:sz w:val="24"/>
          <w:szCs w:val="24"/>
          <w:highlight w:val="none"/>
        </w:rPr>
      </w:pPr>
      <w:r/>
      <w:bookmarkStart w:id="222" w:name="_Toc20421"/>
      <w:r/>
      <w:bookmarkStart w:id="223" w:name="_Toc28855"/>
      <w:r/>
      <w:bookmarkStart w:id="224" w:name="_Toc22967"/>
      <w:r/>
      <w:bookmarkStart w:id="225" w:name="_Toc19273"/>
      <w:r/>
      <w:bookmarkStart w:id="226" w:name="_Toc15367"/>
      <w:r>
        <w:rPr>
          <w:rFonts w:hint="eastAsia" w:ascii="宋体" w:hAnsi="宋体" w:cs="宋体"/>
          <w:b/>
          <w:color w:val="auto"/>
          <w:sz w:val="24"/>
          <w:szCs w:val="24"/>
          <w:highlight w:val="none"/>
        </w:rPr>
        <w:t xml:space="preserve">1.1 合同组成部分</w:t>
      </w:r>
      <w:bookmarkEnd w:id="222"/>
      <w:r/>
      <w:bookmarkEnd w:id="223"/>
      <w:r/>
      <w:bookmarkEnd w:id="224"/>
      <w:r/>
      <w:bookmarkEnd w:id="225"/>
      <w:r/>
      <w:bookmarkEnd w:id="22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成交通知书；</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响应文件（含澄清或者说明文件）；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磋商文件（含澄清或者修改文件）；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hint="eastAsia" w:ascii="宋体" w:hAnsi="宋体" w:cs="宋体"/>
          <w:b/>
          <w:color w:val="auto"/>
          <w:sz w:val="24"/>
          <w:szCs w:val="24"/>
          <w:highlight w:val="none"/>
        </w:rPr>
      </w:pPr>
      <w:r/>
      <w:bookmarkStart w:id="227" w:name="_Toc6311"/>
      <w:r/>
      <w:bookmarkStart w:id="228" w:name="_Toc18585"/>
      <w:r/>
      <w:bookmarkStart w:id="229" w:name="_Toc2918"/>
      <w:r/>
      <w:bookmarkStart w:id="230" w:name="_Toc22185"/>
      <w:r/>
      <w:bookmarkStart w:id="231" w:name="_Toc6773"/>
      <w:r>
        <w:rPr>
          <w:rFonts w:hint="eastAsia" w:ascii="宋体" w:hAnsi="宋体" w:cs="宋体"/>
          <w:b/>
          <w:color w:val="auto"/>
          <w:sz w:val="24"/>
          <w:szCs w:val="24"/>
          <w:highlight w:val="none"/>
        </w:rPr>
        <w:t xml:space="preserve">1.2 标的</w:t>
      </w:r>
      <w:bookmarkEnd w:id="227"/>
      <w:r/>
      <w:bookmarkEnd w:id="228"/>
      <w:r/>
      <w:bookmarkEnd w:id="229"/>
      <w:r/>
      <w:bookmarkEnd w:id="230"/>
      <w:r/>
      <w:bookmarkEnd w:id="231"/>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 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1.2.2 项目数量：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项目质量：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232" w:name="_Toc5635"/>
      <w:r/>
      <w:bookmarkStart w:id="233" w:name="_Toc1386"/>
      <w:r/>
      <w:bookmarkStart w:id="234" w:name="_Toc13918"/>
      <w:r/>
      <w:bookmarkStart w:id="235" w:name="_Toc21124"/>
      <w:r/>
      <w:bookmarkStart w:id="236" w:name="_Toc4929"/>
      <w:r>
        <w:rPr>
          <w:rFonts w:hint="eastAsia" w:ascii="宋体" w:hAnsi="宋体" w:cs="宋体"/>
          <w:b/>
          <w:color w:val="auto"/>
          <w:sz w:val="24"/>
          <w:szCs w:val="24"/>
          <w:highlight w:val="none"/>
        </w:rPr>
        <w:t xml:space="preserve">1.3 价款</w:t>
      </w:r>
      <w:bookmarkEnd w:id="232"/>
      <w:r/>
      <w:bookmarkEnd w:id="233"/>
      <w:r/>
      <w:bookmarkEnd w:id="234"/>
      <w:r/>
      <w:bookmarkEnd w:id="235"/>
      <w:r/>
      <w:bookmarkEnd w:id="23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783"/>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402"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552" w:type="dxa"/>
            <w:vAlign w:val="center"/>
            <w:textDirection w:val="lrTb"/>
            <w:noWrap w:val="false"/>
          </w:tcPr>
          <w:p>
            <w:pPr>
              <w:pStyle w:val="783"/>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gridSpan w:val="2"/>
            <w:tcW w:w="4603"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552" w:type="dxa"/>
            <w:vAlign w:val="center"/>
            <w:textDirection w:val="lrTb"/>
            <w:noWrap w:val="false"/>
          </w:tcPr>
          <w:p>
            <w:pPr>
              <w:pStyle w:val="783"/>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spacing w:line="560" w:lineRule="exact"/>
        <w:rPr>
          <w:rFonts w:hint="eastAsia" w:ascii="宋体" w:hAnsi="宋体" w:cs="宋体"/>
          <w:b/>
          <w:color w:val="auto"/>
          <w:sz w:val="24"/>
          <w:szCs w:val="24"/>
          <w:highlight w:val="none"/>
        </w:rPr>
      </w:pPr>
      <w:r/>
      <w:bookmarkStart w:id="237" w:name="_Toc30506"/>
      <w:r/>
      <w:bookmarkStart w:id="238" w:name="_Toc14993"/>
      <w:r/>
      <w:bookmarkStart w:id="239" w:name="_Toc30158"/>
      <w:r/>
      <w:bookmarkStart w:id="240" w:name="_Toc26916"/>
      <w:r/>
      <w:bookmarkStart w:id="241" w:name="_Toc3654"/>
      <w:r>
        <w:rPr>
          <w:rFonts w:hint="eastAsia" w:ascii="宋体" w:hAnsi="宋体" w:cs="宋体"/>
          <w:b/>
          <w:color w:val="auto"/>
          <w:sz w:val="24"/>
          <w:szCs w:val="24"/>
          <w:highlight w:val="none"/>
        </w:rPr>
        <w:t xml:space="preserve">1.4 付款方式和发票开具方式</w:t>
      </w:r>
      <w:bookmarkEnd w:id="237"/>
      <w:r/>
      <w:bookmarkEnd w:id="238"/>
      <w:r/>
      <w:bookmarkEnd w:id="239"/>
      <w:r/>
      <w:bookmarkEnd w:id="240"/>
      <w:r/>
      <w:bookmarkEnd w:id="24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242" w:name="_Toc3625"/>
      <w:r/>
      <w:bookmarkStart w:id="243" w:name="_Toc4760"/>
      <w:r/>
      <w:bookmarkStart w:id="244" w:name="_Toc8772"/>
      <w:r/>
      <w:bookmarkStart w:id="245" w:name="_Toc31421"/>
      <w:r/>
      <w:bookmarkStart w:id="246" w:name="_Toc11108"/>
      <w:r>
        <w:rPr>
          <w:rFonts w:hint="eastAsia" w:ascii="宋体" w:hAnsi="宋体" w:cs="宋体"/>
          <w:b/>
          <w:color w:val="auto"/>
          <w:sz w:val="24"/>
          <w:szCs w:val="24"/>
          <w:highlight w:val="none"/>
        </w:rPr>
        <w:t xml:space="preserve">1.5 履行期限、地点和方式</w:t>
      </w:r>
      <w:bookmarkEnd w:id="242"/>
      <w:r/>
      <w:bookmarkEnd w:id="243"/>
      <w:r/>
      <w:bookmarkEnd w:id="244"/>
      <w:r/>
      <w:bookmarkEnd w:id="245"/>
      <w:r/>
      <w:bookmarkEnd w:id="246"/>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color w:val="auto"/>
          <w:sz w:val="24"/>
          <w:szCs w:val="24"/>
          <w:highlight w:val="none"/>
          <w:u w:val="single"/>
        </w:rPr>
      </w:pPr>
      <w:r/>
      <w:bookmarkStart w:id="247" w:name="_Toc24662"/>
      <w:r/>
      <w:bookmarkStart w:id="248" w:name="_Toc2375"/>
      <w:r/>
      <w:bookmarkStart w:id="249" w:name="_Toc3079"/>
      <w:r/>
      <w:bookmarkStart w:id="250" w:name="_Toc5698"/>
      <w:r/>
      <w:bookmarkStart w:id="251" w:name="_Toc8586"/>
      <w:r>
        <w:rPr>
          <w:rFonts w:hint="eastAsia" w:ascii="宋体" w:hAnsi="宋体" w:cs="宋体"/>
          <w:b/>
          <w:color w:val="auto"/>
          <w:sz w:val="24"/>
          <w:szCs w:val="24"/>
          <w:highlight w:val="none"/>
        </w:rPr>
        <w:t xml:space="preserve">1.6 违约责任</w:t>
      </w:r>
      <w:bookmarkEnd w:id="247"/>
      <w:r/>
      <w:bookmarkEnd w:id="248"/>
      <w:r/>
      <w:bookmarkEnd w:id="249"/>
      <w:r/>
      <w:bookmarkEnd w:id="250"/>
      <w:r/>
      <w:bookmarkEnd w:id="25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spacing w:line="560" w:lineRule="exact"/>
        <w:rPr>
          <w:rFonts w:hint="eastAsia" w:ascii="宋体" w:hAnsi="宋体" w:cs="宋体"/>
          <w:b/>
          <w:color w:val="auto"/>
          <w:sz w:val="24"/>
          <w:highlight w:val="none"/>
        </w:rPr>
      </w:pPr>
      <w:r/>
      <w:bookmarkStart w:id="252" w:name="_Toc16021"/>
      <w:r/>
      <w:bookmarkStart w:id="253" w:name="_Toc15583"/>
      <w:r/>
      <w:bookmarkStart w:id="254" w:name="_Toc28375"/>
      <w:r/>
      <w:bookmarkStart w:id="255" w:name="_Toc15827"/>
      <w:r/>
      <w:bookmarkStart w:id="256" w:name="_Toc16417"/>
      <w:r/>
      <w:bookmarkStart w:id="257" w:name="_Toc12273"/>
      <w:r/>
      <w:bookmarkStart w:id="258" w:name="_Toc26227"/>
      <w:r/>
      <w:bookmarkStart w:id="259" w:name="_Toc23784"/>
      <w:r>
        <w:rPr>
          <w:rFonts w:hint="eastAsia" w:ascii="宋体" w:hAnsi="宋体" w:cs="宋体"/>
          <w:b/>
          <w:color w:val="auto"/>
          <w:sz w:val="24"/>
          <w:highlight w:val="none"/>
        </w:rPr>
        <w:t xml:space="preserve">1.7 合同争议的解决</w:t>
      </w:r>
      <w:bookmarkEnd w:id="252"/>
      <w:r/>
      <w:bookmarkEnd w:id="253"/>
      <w:r/>
      <w:bookmarkEnd w:id="254"/>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1.7.2 </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255"/>
      <w:r/>
      <w:bookmarkEnd w:id="256"/>
      <w:r/>
      <w:bookmarkEnd w:id="257"/>
      <w:r/>
      <w:bookmarkEnd w:id="258"/>
      <w:r/>
      <w:bookmarkEnd w:id="259"/>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经甲乙双方代表签字并加盖电子签章（或合同章）后即生效。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本合同一式伍份，供需双方各持贰份、江苏希地丰华项目管理集团有限公司存档各壹份。（具体合同份数与采购人处确认）</w:t>
      </w:r>
      <w:r/>
    </w:p>
    <w:p>
      <w:pPr>
        <w:ind w:firstLine="48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bl>
      <w:tblPr>
        <w:tblStyle w:val="736"/>
        <w:tblW w:w="0" w:type="auto"/>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hAnsi="宋体" w:cs="宋体"/>
                <w:color w:val="auto"/>
                <w:sz w:val="24"/>
                <w:szCs w:val="24"/>
                <w:highlight w:val="none"/>
                <w:lang w:val="zh-CN"/>
              </w:rPr>
            </w:pPr>
            <w:r/>
            <w:bookmarkStart w:id="260" w:name="OLE_LINK46"/>
            <w:r/>
            <w:bookmarkStart w:id="261" w:name="_Toc331685783"/>
            <w:r/>
            <w:r/>
          </w:p>
          <w:p>
            <w:pPr>
              <w:jc w:val="left"/>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甲方（采购人）：（电子签章）</w:t>
            </w:r>
            <w:bookmarkEnd w:id="260"/>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乙方（供应商）：（电子签章）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代表人签字：</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代表人签字</w:t>
            </w:r>
            <w:r>
              <w:rPr>
                <w:rFonts w:hint="eastAsia" w:ascii="宋体" w:hAnsi="宋体" w:cs="宋体"/>
                <w:color w:val="auto"/>
                <w:sz w:val="24"/>
                <w:szCs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bookmarkStart w:id="262" w:name="OLE_LINK47"/>
            <w:r>
              <w:rPr>
                <w:rFonts w:hint="eastAsia" w:ascii="宋体" w:hAnsi="宋体" w:cs="宋体"/>
                <w:color w:val="auto"/>
                <w:sz w:val="24"/>
                <w:szCs w:val="24"/>
                <w:highlight w:val="none"/>
                <w:lang w:val="zh-CN"/>
              </w:rPr>
              <w:t xml:space="preserve">电话：</w:t>
            </w:r>
            <w:bookmarkEnd w:id="262"/>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bookmarkStart w:id="263" w:name="OLE_LINK50"/>
            <w:r>
              <w:rPr>
                <w:rFonts w:hint="eastAsia" w:ascii="宋体" w:hAnsi="宋体" w:cs="宋体"/>
                <w:color w:val="auto"/>
                <w:sz w:val="24"/>
                <w:szCs w:val="24"/>
                <w:highlight w:val="none"/>
                <w:lang w:val="zh-CN"/>
              </w:rPr>
              <w:t xml:space="preserve">开户银行：</w:t>
            </w:r>
            <w:bookmarkEnd w:id="263"/>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bookmarkStart w:id="264" w:name="OLE_LINK52"/>
            <w:r>
              <w:rPr>
                <w:rFonts w:hint="eastAsia" w:ascii="宋体" w:hAnsi="宋体" w:cs="宋体"/>
                <w:color w:val="auto"/>
                <w:sz w:val="24"/>
                <w:szCs w:val="24"/>
                <w:highlight w:val="none"/>
                <w:lang w:val="zh-CN"/>
              </w:rPr>
              <w:t xml:space="preserve">账号：</w:t>
            </w:r>
            <w:bookmarkEnd w:id="264"/>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账号：</w:t>
            </w:r>
            <w:r/>
          </w:p>
          <w:p>
            <w:pPr>
              <w:jc w:val="lef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住所：</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住所：</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hAnsi="宋体" w:cs="宋体"/>
                <w:color w:val="auto"/>
                <w:sz w:val="24"/>
                <w:szCs w:val="24"/>
                <w:highlight w:val="none"/>
                <w:lang w:val="zh-CN"/>
              </w:rPr>
            </w:pPr>
            <w:r>
              <w:rPr>
                <w:rFonts w:hint="eastAsia" w:ascii="宋体" w:cs="宋体"/>
                <w:color w:val="auto"/>
                <w:sz w:val="24"/>
                <w:szCs w:val="24"/>
                <w:highlight w:val="none"/>
                <w:lang w:val="zh-CN"/>
              </w:rPr>
              <w:t xml:space="preserve">日期：年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hAnsi="宋体" w:cs="宋体"/>
                <w:color w:val="auto"/>
                <w:sz w:val="24"/>
                <w:szCs w:val="24"/>
                <w:highlight w:val="none"/>
                <w:lang w:val="zh-CN"/>
              </w:rPr>
            </w:pPr>
            <w:r>
              <w:rPr>
                <w:rFonts w:hint="eastAsia" w:ascii="宋体" w:cs="宋体"/>
                <w:color w:val="auto"/>
                <w:sz w:val="24"/>
                <w:szCs w:val="24"/>
                <w:highlight w:val="none"/>
                <w:lang w:val="zh-CN"/>
              </w:rPr>
              <w:t xml:space="preserve">日期：年 月 日</w:t>
            </w:r>
            <w:r/>
          </w:p>
        </w:tc>
      </w:tr>
    </w:tbl>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737"/>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737"/>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737"/>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rPr>
          <w:color w:val="auto"/>
          <w:highlight w:val="none"/>
        </w:rPr>
      </w:pPr>
      <w:r>
        <w:rPr>
          <w:color w:val="auto"/>
          <w:highlight w:val="none"/>
        </w:rPr>
      </w:r>
      <w:r/>
    </w:p>
    <w:p>
      <w:pPr>
        <w:pStyle w:val="737"/>
        <w:rPr>
          <w:color w:val="auto"/>
          <w:highlight w:val="none"/>
        </w:rPr>
      </w:pPr>
      <w:r>
        <w:rPr>
          <w:color w:val="auto"/>
          <w:highlight w:val="none"/>
        </w:rPr>
      </w:r>
      <w:r/>
    </w:p>
    <w:p>
      <w:pPr>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jc w:val="center"/>
        <w:spacing w:line="560" w:lineRule="exact"/>
        <w:rPr>
          <w:rFonts w:hint="eastAsia" w:hAnsi="宋体" w:cs="宋体"/>
          <w:b/>
          <w:color w:val="auto"/>
          <w:szCs w:val="24"/>
          <w:highlight w:val="none"/>
        </w:rPr>
      </w:pPr>
      <w:r>
        <w:rPr>
          <w:rFonts w:hint="eastAsia" w:hAnsi="宋体" w:cs="宋体"/>
          <w:b/>
          <w:color w:val="auto"/>
          <w:szCs w:val="24"/>
          <w:highlight w:val="none"/>
        </w:rPr>
        <w:t xml:space="preserve">第二部分 合同一般条款</w:t>
      </w:r>
      <w:bookmarkEnd w:id="261"/>
      <w:r/>
      <w:r/>
    </w:p>
    <w:p>
      <w:pPr>
        <w:ind w:firstLine="482"/>
        <w:spacing w:line="560" w:lineRule="exact"/>
        <w:rPr>
          <w:rFonts w:hint="eastAsia" w:ascii="宋体" w:hAnsi="宋体" w:cs="宋体"/>
          <w:b/>
          <w:color w:val="auto"/>
          <w:sz w:val="24"/>
          <w:szCs w:val="24"/>
          <w:highlight w:val="none"/>
        </w:rPr>
      </w:pPr>
      <w:r/>
      <w:bookmarkStart w:id="265" w:name="_Ref467379109"/>
      <w:r/>
      <w:bookmarkStart w:id="266" w:name="_Ref467378463"/>
      <w:r/>
      <w:bookmarkStart w:id="267" w:name="_Ref467379195"/>
      <w:r/>
      <w:bookmarkStart w:id="268" w:name="_Toc5228"/>
      <w:r/>
      <w:bookmarkStart w:id="269" w:name="_Toc31297"/>
      <w:r/>
      <w:bookmarkStart w:id="270" w:name="_Toc279701240"/>
      <w:r/>
      <w:bookmarkStart w:id="271" w:name="_Ref467378404"/>
      <w:r/>
      <w:bookmarkStart w:id="272" w:name="_Ref467378499"/>
      <w:r/>
      <w:bookmarkStart w:id="273" w:name="_Ref467379094"/>
      <w:r/>
      <w:bookmarkStart w:id="274" w:name="_Ref467379205"/>
      <w:r/>
      <w:bookmarkStart w:id="275" w:name="_Toc25079"/>
      <w:r/>
      <w:bookmarkStart w:id="276" w:name="_Toc487900349"/>
      <w:r/>
      <w:bookmarkStart w:id="277" w:name="_Toc259093669"/>
      <w:r/>
      <w:bookmarkStart w:id="278" w:name="_Ref467379214"/>
      <w:r/>
      <w:bookmarkStart w:id="279" w:name="_Ref467379101"/>
      <w:r/>
      <w:bookmarkStart w:id="280" w:name="_Toc14021"/>
      <w:r/>
      <w:bookmarkStart w:id="281" w:name="_Ref467379225"/>
      <w:r/>
      <w:bookmarkStart w:id="282" w:name="_Toc19680"/>
      <w:r>
        <w:rPr>
          <w:rFonts w:hint="eastAsia" w:ascii="宋体" w:hAnsi="宋体" w:cs="宋体"/>
          <w:b/>
          <w:color w:val="auto"/>
          <w:sz w:val="24"/>
          <w:szCs w:val="24"/>
          <w:highlight w:val="none"/>
        </w:rPr>
        <w:t xml:space="preserve">2.1 定义</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“合同”系指采购人和成交供应商签订的载明双方当事人所达成的协议，并包括所有的附件、附录和构成合同的其他文件。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“合同价”系指根据合同约定，成交供应商在完全履行合同义务后，采购人应支付给成交供应商的价格。</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“服务”系指成交供应商根据合同约定应向采购人履行的除货物和工程以外的其他政府采购对象，包括采购人自身需要的服务和向社会公众提供的公共服务。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color w:val="auto"/>
          <w:sz w:val="24"/>
          <w:szCs w:val="24"/>
          <w:highlight w:val="none"/>
        </w:rPr>
      </w:pPr>
      <w:r/>
      <w:bookmarkStart w:id="283" w:name="_Ref467378840"/>
      <w:r>
        <w:rPr>
          <w:rFonts w:hint="eastAsia" w:ascii="宋体" w:hAnsi="宋体" w:cs="宋体"/>
          <w:color w:val="auto"/>
          <w:sz w:val="24"/>
          <w:szCs w:val="24"/>
          <w:highlight w:val="none"/>
        </w:rPr>
        <w:t xml:space="preserve">2.1.4 “甲方”系指与成交供应商签署合同的采购人</w:t>
      </w:r>
      <w:bookmarkEnd w:id="283"/>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color w:val="auto"/>
          <w:sz w:val="24"/>
          <w:szCs w:val="24"/>
          <w:highlight w:val="none"/>
        </w:rPr>
      </w:pPr>
      <w:r/>
      <w:bookmarkStart w:id="284" w:name="_Ref467379400"/>
      <w:r>
        <w:rPr>
          <w:rFonts w:hint="eastAsia" w:ascii="宋体" w:hAnsi="宋体" w:cs="宋体"/>
          <w:color w:val="auto"/>
          <w:sz w:val="24"/>
          <w:szCs w:val="24"/>
          <w:highlight w:val="none"/>
        </w:rPr>
        <w:t xml:space="preserve">2.1.5 “乙方”系指根据合同约定提供服务的成交供应商</w:t>
      </w:r>
      <w:bookmarkEnd w:id="284"/>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szCs w:val="24"/>
          <w:highlight w:val="none"/>
        </w:rPr>
      </w:pPr>
      <w:r/>
      <w:bookmarkStart w:id="285" w:name="_Ref467379436"/>
      <w:r>
        <w:rPr>
          <w:rFonts w:hint="eastAsia" w:ascii="宋体" w:hAnsi="宋体" w:cs="宋体"/>
          <w:color w:val="auto"/>
          <w:sz w:val="24"/>
          <w:szCs w:val="24"/>
          <w:highlight w:val="none"/>
        </w:rPr>
        <w:t xml:space="preserve">2.1.6 “现场”系指合同约定提供服务的地点。</w:t>
      </w:r>
      <w:bookmarkEnd w:id="285"/>
      <w:r/>
      <w:r/>
    </w:p>
    <w:p>
      <w:pPr>
        <w:ind w:firstLine="482"/>
        <w:spacing w:line="560" w:lineRule="exact"/>
        <w:rPr>
          <w:rFonts w:hint="eastAsia" w:ascii="宋体" w:hAnsi="宋体" w:cs="宋体"/>
          <w:b/>
          <w:color w:val="auto"/>
          <w:sz w:val="24"/>
          <w:szCs w:val="24"/>
          <w:highlight w:val="none"/>
        </w:rPr>
      </w:pPr>
      <w:r/>
      <w:bookmarkStart w:id="286" w:name="_Toc31402"/>
      <w:r/>
      <w:bookmarkStart w:id="287" w:name="_Toc23289"/>
      <w:r/>
      <w:bookmarkStart w:id="288" w:name="_Toc19539"/>
      <w:r/>
      <w:bookmarkStart w:id="289" w:name="_Toc3769"/>
      <w:r/>
      <w:bookmarkStart w:id="290" w:name="_Toc259093670"/>
      <w:r/>
      <w:bookmarkStart w:id="291" w:name="_Toc279701241"/>
      <w:r/>
      <w:bookmarkStart w:id="292" w:name="_Toc16752"/>
      <w:r/>
      <w:bookmarkStart w:id="293" w:name="_Toc487900350"/>
      <w:r>
        <w:rPr>
          <w:rFonts w:hint="eastAsia" w:ascii="宋体" w:hAnsi="宋体" w:cs="宋体"/>
          <w:b/>
          <w:color w:val="auto"/>
          <w:sz w:val="24"/>
          <w:szCs w:val="24"/>
          <w:highlight w:val="none"/>
        </w:rPr>
        <w:t xml:space="preserve">2.2 技术规范</w:t>
      </w:r>
      <w:bookmarkEnd w:id="286"/>
      <w:r/>
      <w:bookmarkEnd w:id="287"/>
      <w:r/>
      <w:bookmarkEnd w:id="288"/>
      <w:r/>
      <w:bookmarkEnd w:id="289"/>
      <w:r/>
      <w:bookmarkEnd w:id="290"/>
      <w:r/>
      <w:bookmarkEnd w:id="291"/>
      <w:r/>
      <w:bookmarkEnd w:id="292"/>
      <w:r/>
      <w:bookmarkEnd w:id="293"/>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cs="宋体"/>
          <w:b/>
          <w:color w:val="auto"/>
          <w:sz w:val="24"/>
          <w:szCs w:val="24"/>
          <w:highlight w:val="none"/>
        </w:rPr>
      </w:pPr>
      <w:r/>
      <w:bookmarkStart w:id="294" w:name="_Toc12412"/>
      <w:r/>
      <w:bookmarkStart w:id="295" w:name="_Toc487900351"/>
      <w:r/>
      <w:bookmarkStart w:id="296" w:name="_Toc279701242"/>
      <w:r/>
      <w:bookmarkStart w:id="297" w:name="_Toc4133"/>
      <w:r/>
      <w:bookmarkStart w:id="298" w:name="_Toc13673"/>
      <w:r/>
      <w:bookmarkStart w:id="299" w:name="_Toc9161"/>
      <w:r/>
      <w:bookmarkStart w:id="300" w:name="_Toc27945"/>
      <w:r/>
      <w:bookmarkStart w:id="301" w:name="_Toc259093671"/>
      <w:r>
        <w:rPr>
          <w:rFonts w:hint="eastAsia" w:ascii="宋体" w:hAnsi="宋体" w:cs="宋体"/>
          <w:b/>
          <w:color w:val="auto"/>
          <w:sz w:val="24"/>
          <w:szCs w:val="24"/>
          <w:highlight w:val="none"/>
        </w:rPr>
        <w:t xml:space="preserve">2.3 知识产权</w:t>
      </w:r>
      <w:bookmarkEnd w:id="294"/>
      <w:r/>
      <w:bookmarkEnd w:id="295"/>
      <w:r/>
      <w:bookmarkEnd w:id="296"/>
      <w:r/>
      <w:bookmarkEnd w:id="297"/>
      <w:r/>
      <w:bookmarkEnd w:id="298"/>
      <w:r/>
      <w:bookmarkEnd w:id="299"/>
      <w:r/>
      <w:bookmarkEnd w:id="300"/>
      <w:r/>
      <w:bookmarkEnd w:id="30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hint="eastAsia" w:ascii="宋体" w:hAnsi="宋体" w:cs="宋体"/>
          <w:color w:val="auto"/>
          <w:sz w:val="24"/>
          <w:szCs w:val="24"/>
          <w:highlight w:val="none"/>
        </w:rPr>
      </w:pPr>
      <w:r/>
      <w:bookmarkStart w:id="302" w:name="_Ref467379657"/>
      <w:r>
        <w:rPr>
          <w:rFonts w:hint="eastAsia" w:ascii="宋体" w:hAnsi="宋体" w:cs="宋体"/>
          <w:color w:val="auto"/>
          <w:sz w:val="24"/>
          <w:szCs w:val="24"/>
          <w:highlight w:val="none"/>
        </w:rPr>
        <w:t xml:space="preserve">2.4.1</w:t>
      </w:r>
      <w:bookmarkEnd w:id="302"/>
      <w:r/>
      <w:bookmarkStart w:id="303" w:name="_Toc186431854"/>
      <w:r/>
      <w:bookmarkStart w:id="304" w:name="_Ref467379793"/>
      <w:r/>
      <w:bookmarkStart w:id="305" w:name="_Ref467379807"/>
      <w:r/>
      <w:bookmarkStart w:id="306" w:name="_Toc279701247"/>
      <w:r/>
      <w:bookmarkStart w:id="307" w:name="_Toc259093676"/>
      <w:r/>
      <w:bookmarkStart w:id="308"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303"/>
      <w:r/>
      <w:bookmarkStart w:id="309" w:name="_Toc186431855"/>
      <w:r>
        <w:rPr>
          <w:rFonts w:hint="eastAsia" w:ascii="宋体" w:hAnsi="宋体" w:cs="宋体"/>
          <w:color w:val="auto"/>
          <w:sz w:val="24"/>
          <w:szCs w:val="24"/>
          <w:highlight w:val="none"/>
        </w:rPr>
        <w:t xml:space="preserve">。</w:t>
      </w:r>
      <w:bookmarkEnd w:id="304"/>
      <w:bookmarkEnd w:id="305"/>
      <w:bookmarkEnd w:id="306"/>
      <w:bookmarkEnd w:id="307"/>
      <w:bookmarkEnd w:id="308"/>
      <w:bookmarkEnd w:id="309"/>
      <w:r/>
    </w:p>
    <w:p>
      <w:pPr>
        <w:ind w:firstLine="482"/>
        <w:spacing w:line="560" w:lineRule="exact"/>
        <w:rPr>
          <w:rFonts w:hint="eastAsia" w:ascii="宋体" w:hAnsi="宋体" w:cs="宋体"/>
          <w:b/>
          <w:color w:val="auto"/>
          <w:sz w:val="24"/>
          <w:szCs w:val="24"/>
          <w:highlight w:val="none"/>
        </w:rPr>
      </w:pPr>
      <w:r/>
      <w:bookmarkStart w:id="310" w:name="_Toc279701248"/>
      <w:r/>
      <w:bookmarkStart w:id="311" w:name="_Ref467379923"/>
      <w:r/>
      <w:bookmarkStart w:id="312" w:name="_Ref467379852"/>
      <w:r/>
      <w:bookmarkStart w:id="313" w:name="_Toc259093677"/>
      <w:r/>
      <w:bookmarkStart w:id="314" w:name="_Ref467379863"/>
      <w:r/>
      <w:bookmarkStart w:id="315" w:name="_Toc487900358"/>
      <w:r/>
      <w:bookmarkStart w:id="316" w:name="_Toc30507"/>
      <w:r/>
      <w:bookmarkStart w:id="317" w:name="_Toc18990"/>
      <w:r/>
      <w:bookmarkStart w:id="318" w:name="_Toc16163"/>
      <w:r/>
      <w:bookmarkStart w:id="319" w:name="_Toc13154"/>
      <w:r/>
      <w:bookmarkStart w:id="320" w:name="_Toc13467"/>
      <w:r>
        <w:rPr>
          <w:rFonts w:hint="eastAsia" w:ascii="宋体" w:hAnsi="宋体" w:cs="宋体"/>
          <w:b/>
          <w:color w:val="auto"/>
          <w:sz w:val="24"/>
          <w:szCs w:val="24"/>
          <w:highlight w:val="none"/>
        </w:rPr>
        <w:t xml:space="preserve">2.5 技术资料</w:t>
      </w:r>
      <w:bookmarkEnd w:id="310"/>
      <w:r/>
      <w:bookmarkEnd w:id="311"/>
      <w:r/>
      <w:bookmarkEnd w:id="312"/>
      <w:r/>
      <w:bookmarkEnd w:id="313"/>
      <w:r/>
      <w:bookmarkEnd w:id="314"/>
      <w:r/>
      <w:bookmarkEnd w:id="315"/>
      <w:r>
        <w:rPr>
          <w:rFonts w:hint="eastAsia" w:ascii="宋体" w:hAnsi="宋体" w:cs="宋体"/>
          <w:b/>
          <w:color w:val="auto"/>
          <w:sz w:val="24"/>
          <w:szCs w:val="24"/>
          <w:highlight w:val="none"/>
        </w:rPr>
        <w:t xml:space="preserve">和保密义务</w:t>
      </w:r>
      <w:bookmarkEnd w:id="316"/>
      <w:r/>
      <w:bookmarkEnd w:id="317"/>
      <w:r/>
      <w:bookmarkEnd w:id="318"/>
      <w:r/>
      <w:bookmarkEnd w:id="319"/>
      <w:r/>
      <w:bookmarkEnd w:id="320"/>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color w:val="auto"/>
          <w:sz w:val="24"/>
          <w:szCs w:val="24"/>
          <w:highlight w:val="none"/>
        </w:rPr>
      </w:pPr>
      <w:r/>
      <w:bookmarkStart w:id="321" w:name="_Toc19069"/>
      <w:r/>
      <w:bookmarkStart w:id="322" w:name="_Toc279701252"/>
      <w:r/>
      <w:bookmarkStart w:id="323" w:name="_Toc487900362"/>
      <w:r/>
      <w:bookmarkStart w:id="324" w:name="_Toc259093681"/>
      <w:r>
        <w:rPr>
          <w:rFonts w:hint="eastAsia" w:ascii="宋体" w:hAnsi="宋体" w:cs="宋体"/>
          <w:b/>
          <w:color w:val="auto"/>
          <w:sz w:val="24"/>
          <w:szCs w:val="24"/>
          <w:highlight w:val="none"/>
        </w:rPr>
        <w:t xml:space="preserve">2.6 质量保证</w:t>
      </w:r>
      <w:bookmarkEnd w:id="32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color w:val="auto"/>
          <w:sz w:val="24"/>
          <w:szCs w:val="24"/>
          <w:highlight w:val="none"/>
        </w:rPr>
      </w:pPr>
      <w:r/>
      <w:bookmarkStart w:id="325" w:name="_Toc22267"/>
      <w:r>
        <w:rPr>
          <w:rFonts w:hint="eastAsia" w:ascii="宋体" w:hAnsi="宋体" w:cs="宋体"/>
          <w:b/>
          <w:color w:val="auto"/>
          <w:sz w:val="24"/>
          <w:szCs w:val="24"/>
          <w:highlight w:val="none"/>
        </w:rPr>
        <w:t xml:space="preserve">2.7 延迟</w:t>
      </w:r>
      <w:bookmarkEnd w:id="322"/>
      <w:r/>
      <w:bookmarkEnd w:id="323"/>
      <w:r/>
      <w:bookmarkEnd w:id="324"/>
      <w:r>
        <w:rPr>
          <w:rFonts w:hint="eastAsia" w:ascii="宋体" w:hAnsi="宋体" w:cs="宋体"/>
          <w:b/>
          <w:color w:val="auto"/>
          <w:sz w:val="24"/>
          <w:szCs w:val="24"/>
          <w:highlight w:val="none"/>
        </w:rPr>
        <w:t xml:space="preserve">履行</w:t>
      </w:r>
      <w:bookmarkEnd w:id="325"/>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color w:val="auto"/>
          <w:sz w:val="24"/>
          <w:szCs w:val="24"/>
          <w:highlight w:val="none"/>
        </w:rPr>
      </w:pPr>
      <w:r/>
      <w:bookmarkStart w:id="326" w:name="_Toc10611"/>
      <w:r/>
      <w:bookmarkStart w:id="327" w:name="_Toc487900364"/>
      <w:r/>
      <w:bookmarkStart w:id="328" w:name="_Ref467378121"/>
      <w:r/>
      <w:bookmarkStart w:id="329" w:name="_Toc279701254"/>
      <w:r/>
      <w:bookmarkStart w:id="330" w:name="_Toc259093683"/>
      <w:r>
        <w:rPr>
          <w:rFonts w:hint="eastAsia" w:ascii="宋体" w:hAnsi="宋体" w:cs="宋体"/>
          <w:b/>
          <w:color w:val="auto"/>
          <w:sz w:val="24"/>
          <w:szCs w:val="24"/>
          <w:highlight w:val="none"/>
        </w:rPr>
        <w:t xml:space="preserve">2.8 合同变更</w:t>
      </w:r>
      <w:bookmarkEnd w:id="32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331" w:name="_Toc279701259"/>
      <w:r/>
      <w:bookmarkStart w:id="332" w:name="_Toc259093688"/>
      <w:r/>
      <w:bookmarkStart w:id="333" w:name="_Toc487900369"/>
      <w:r/>
      <w:r/>
    </w:p>
    <w:p>
      <w:pPr>
        <w:ind w:firstLine="482"/>
        <w:spacing w:line="560" w:lineRule="exact"/>
        <w:rPr>
          <w:rFonts w:hint="eastAsia" w:ascii="宋体" w:hAnsi="宋体" w:cs="宋体"/>
          <w:b/>
          <w:color w:val="auto"/>
          <w:sz w:val="24"/>
          <w:szCs w:val="24"/>
          <w:highlight w:val="none"/>
        </w:rPr>
      </w:pPr>
      <w:r/>
      <w:bookmarkStart w:id="334" w:name="_Toc10663"/>
      <w:r/>
      <w:bookmarkStart w:id="335" w:name="_Toc42"/>
      <w:r/>
      <w:bookmarkStart w:id="336" w:name="_Toc23368"/>
      <w:r/>
      <w:bookmarkStart w:id="337" w:name="_Toc26689"/>
      <w:r/>
      <w:bookmarkStart w:id="338" w:name="_Toc21830"/>
      <w:r>
        <w:rPr>
          <w:rFonts w:hint="eastAsia" w:ascii="宋体" w:hAnsi="宋体" w:cs="宋体"/>
          <w:b/>
          <w:color w:val="auto"/>
          <w:sz w:val="24"/>
          <w:szCs w:val="24"/>
          <w:highlight w:val="none"/>
        </w:rPr>
        <w:t xml:space="preserve">2.9 合同转让</w:t>
      </w:r>
      <w:bookmarkEnd w:id="331"/>
      <w:r/>
      <w:bookmarkEnd w:id="332"/>
      <w:r/>
      <w:bookmarkEnd w:id="333"/>
      <w:r>
        <w:rPr>
          <w:rFonts w:hint="eastAsia" w:ascii="宋体" w:hAnsi="宋体" w:cs="宋体"/>
          <w:b/>
          <w:color w:val="auto"/>
          <w:sz w:val="24"/>
          <w:szCs w:val="24"/>
          <w:highlight w:val="none"/>
        </w:rPr>
        <w:t xml:space="preserve">和分包</w:t>
      </w:r>
      <w:bookmarkEnd w:id="334"/>
      <w:r/>
      <w:bookmarkEnd w:id="335"/>
      <w:r/>
      <w:bookmarkEnd w:id="336"/>
      <w:r/>
      <w:bookmarkEnd w:id="337"/>
      <w:r/>
      <w:bookmarkEnd w:id="338"/>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合同的权利义务依法不得转让，如磋商文件“第一章 报价邀请函”中甲方接受成交后分包，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cs="宋体"/>
          <w:b/>
          <w:color w:val="auto"/>
          <w:sz w:val="24"/>
          <w:szCs w:val="24"/>
          <w:highlight w:val="none"/>
        </w:rPr>
      </w:pPr>
      <w:r/>
      <w:bookmarkStart w:id="339" w:name="_Toc25571"/>
      <w:r/>
      <w:bookmarkStart w:id="340" w:name="_Toc32494"/>
      <w:r/>
      <w:bookmarkStart w:id="341" w:name="_Toc14371"/>
      <w:r/>
      <w:bookmarkStart w:id="342" w:name="_Toc4720"/>
      <w:r/>
      <w:bookmarkStart w:id="343" w:name="_Toc26633"/>
      <w:r>
        <w:rPr>
          <w:rFonts w:hint="eastAsia" w:ascii="宋体" w:hAnsi="宋体" w:cs="宋体"/>
          <w:b/>
          <w:color w:val="auto"/>
          <w:sz w:val="24"/>
          <w:szCs w:val="24"/>
          <w:highlight w:val="none"/>
        </w:rPr>
        <w:t xml:space="preserve">2.10 不可抗力</w:t>
      </w:r>
      <w:bookmarkEnd w:id="339"/>
      <w:r/>
      <w:bookmarkEnd w:id="340"/>
      <w:r/>
      <w:bookmarkEnd w:id="341"/>
      <w:r/>
      <w:bookmarkEnd w:id="342"/>
      <w:r/>
      <w:bookmarkEnd w:id="343"/>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eastAsia" w:ascii="宋体" w:hAnsi="宋体" w:cs="宋体"/>
          <w:b/>
          <w:color w:val="auto"/>
          <w:sz w:val="24"/>
          <w:szCs w:val="24"/>
          <w:highlight w:val="none"/>
        </w:rPr>
      </w:pPr>
      <w:r/>
      <w:bookmarkStart w:id="344" w:name="_Toc23854"/>
      <w:r/>
      <w:bookmarkStart w:id="345" w:name="_Toc25783"/>
      <w:r/>
      <w:bookmarkStart w:id="346" w:name="_Toc279701255"/>
      <w:r/>
      <w:bookmarkStart w:id="347" w:name="_Toc3638"/>
      <w:r/>
      <w:bookmarkStart w:id="348" w:name="_Toc487900365"/>
      <w:r/>
      <w:bookmarkStart w:id="349" w:name="_Toc259093684"/>
      <w:r/>
      <w:bookmarkStart w:id="350" w:name="_Toc24465"/>
      <w:r/>
      <w:bookmarkStart w:id="351" w:name="_Toc14115"/>
      <w:r>
        <w:rPr>
          <w:rFonts w:hint="eastAsia" w:ascii="宋体" w:hAnsi="宋体" w:cs="宋体"/>
          <w:b/>
          <w:color w:val="auto"/>
          <w:sz w:val="24"/>
          <w:szCs w:val="24"/>
          <w:highlight w:val="none"/>
        </w:rPr>
        <w:t xml:space="preserve">2.11 税费</w:t>
      </w:r>
      <w:bookmarkEnd w:id="344"/>
      <w:r/>
      <w:bookmarkEnd w:id="345"/>
      <w:r/>
      <w:bookmarkEnd w:id="346"/>
      <w:r/>
      <w:bookmarkEnd w:id="347"/>
      <w:r/>
      <w:bookmarkEnd w:id="348"/>
      <w:r/>
      <w:bookmarkEnd w:id="349"/>
      <w:r/>
      <w:bookmarkEnd w:id="350"/>
      <w:r/>
      <w:bookmarkEnd w:id="35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color w:val="auto"/>
          <w:sz w:val="24"/>
          <w:szCs w:val="24"/>
          <w:highlight w:val="none"/>
        </w:rPr>
      </w:pPr>
      <w:r/>
      <w:bookmarkStart w:id="352" w:name="_Toc259093687"/>
      <w:r/>
      <w:bookmarkStart w:id="353" w:name="_Toc26883"/>
      <w:r/>
      <w:bookmarkStart w:id="354" w:name="_Toc25525"/>
      <w:r/>
      <w:bookmarkStart w:id="355" w:name="_Toc30105"/>
      <w:r/>
      <w:bookmarkStart w:id="356" w:name="_Toc279701258"/>
      <w:r/>
      <w:bookmarkStart w:id="357" w:name="_Toc487900368"/>
      <w:r/>
      <w:bookmarkStart w:id="358" w:name="_Toc7315"/>
      <w:r/>
      <w:bookmarkStart w:id="359" w:name="_Toc14814"/>
      <w:r>
        <w:rPr>
          <w:rFonts w:hint="eastAsia" w:ascii="宋体" w:hAnsi="宋体" w:cs="宋体"/>
          <w:b/>
          <w:color w:val="auto"/>
          <w:sz w:val="24"/>
          <w:szCs w:val="24"/>
          <w:highlight w:val="none"/>
        </w:rPr>
        <w:t xml:space="preserve">2.12 乙方破产</w:t>
      </w:r>
      <w:bookmarkEnd w:id="352"/>
      <w:r/>
      <w:bookmarkEnd w:id="353"/>
      <w:r/>
      <w:bookmarkEnd w:id="354"/>
      <w:r/>
      <w:bookmarkEnd w:id="355"/>
      <w:r/>
      <w:bookmarkEnd w:id="356"/>
      <w:r/>
      <w:bookmarkEnd w:id="357"/>
      <w:r/>
      <w:bookmarkEnd w:id="358"/>
      <w:r/>
      <w:bookmarkEnd w:id="35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color w:val="auto"/>
          <w:sz w:val="24"/>
          <w:szCs w:val="24"/>
          <w:highlight w:val="none"/>
        </w:rPr>
      </w:pPr>
      <w:r/>
      <w:bookmarkStart w:id="360" w:name="_Toc2016"/>
      <w:r/>
      <w:bookmarkStart w:id="361" w:name="_Toc23323"/>
      <w:r/>
      <w:bookmarkStart w:id="362" w:name="_Toc1123"/>
      <w:r>
        <w:rPr>
          <w:rFonts w:hint="eastAsia" w:ascii="宋体" w:hAnsi="宋体" w:cs="宋体"/>
          <w:b/>
          <w:color w:val="auto"/>
          <w:sz w:val="24"/>
          <w:szCs w:val="24"/>
          <w:highlight w:val="none"/>
        </w:rPr>
        <w:t xml:space="preserve">2.13 合同中止、终止</w:t>
      </w:r>
      <w:bookmarkEnd w:id="360"/>
      <w:r/>
      <w:bookmarkEnd w:id="361"/>
      <w:r/>
      <w:bookmarkEnd w:id="36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color w:val="auto"/>
          <w:sz w:val="24"/>
          <w:szCs w:val="24"/>
          <w:highlight w:val="none"/>
        </w:rPr>
      </w:pPr>
      <w:r/>
      <w:bookmarkStart w:id="363" w:name="_Toc1969"/>
      <w:r/>
      <w:bookmarkStart w:id="364" w:name="_Toc14525"/>
      <w:r/>
      <w:bookmarkStart w:id="365" w:name="_Toc17363"/>
      <w:r>
        <w:rPr>
          <w:rFonts w:hint="eastAsia" w:ascii="宋体" w:hAnsi="宋体" w:cs="宋体"/>
          <w:b/>
          <w:color w:val="auto"/>
          <w:sz w:val="24"/>
          <w:szCs w:val="24"/>
          <w:highlight w:val="none"/>
        </w:rPr>
        <w:t xml:space="preserve">2.14 检验和验收</w:t>
      </w:r>
      <w:bookmarkEnd w:id="363"/>
      <w:r/>
      <w:bookmarkEnd w:id="364"/>
      <w:r/>
      <w:bookmarkEnd w:id="365"/>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327"/>
      <w:bookmarkEnd w:id="328"/>
      <w:bookmarkEnd w:id="329"/>
      <w:bookmarkEnd w:id="330"/>
      <w:r/>
    </w:p>
    <w:p>
      <w:pPr>
        <w:ind w:firstLine="482"/>
        <w:spacing w:line="560" w:lineRule="exact"/>
        <w:rPr>
          <w:rFonts w:hint="eastAsia" w:ascii="宋体" w:hAnsi="宋体" w:cs="宋体"/>
          <w:b/>
          <w:color w:val="auto"/>
          <w:sz w:val="24"/>
          <w:szCs w:val="24"/>
          <w:highlight w:val="none"/>
        </w:rPr>
      </w:pPr>
      <w:r/>
      <w:bookmarkStart w:id="366" w:name="_Toc279701261"/>
      <w:r/>
      <w:bookmarkStart w:id="367" w:name="_Toc487900371"/>
      <w:r/>
      <w:bookmarkStart w:id="368" w:name="_Toc259093690"/>
      <w:r/>
      <w:bookmarkStart w:id="369" w:name="_Toc31892"/>
      <w:r/>
      <w:bookmarkStart w:id="370" w:name="_Toc12666"/>
      <w:r/>
      <w:bookmarkStart w:id="371" w:name="_Toc25198"/>
      <w:r/>
      <w:bookmarkStart w:id="372" w:name="_Toc9808"/>
      <w:r/>
      <w:bookmarkStart w:id="373" w:name="_Toc2308"/>
      <w:r>
        <w:rPr>
          <w:rFonts w:hint="eastAsia" w:ascii="宋体" w:hAnsi="宋体" w:cs="宋体"/>
          <w:b/>
          <w:color w:val="auto"/>
          <w:sz w:val="24"/>
          <w:szCs w:val="24"/>
          <w:highlight w:val="none"/>
        </w:rPr>
        <w:t xml:space="preserve">2.15 通知</w:t>
      </w:r>
      <w:bookmarkEnd w:id="366"/>
      <w:r/>
      <w:bookmarkEnd w:id="367"/>
      <w:r/>
      <w:bookmarkEnd w:id="368"/>
      <w:r>
        <w:rPr>
          <w:rFonts w:hint="eastAsia" w:ascii="宋体" w:hAnsi="宋体" w:cs="宋体"/>
          <w:b/>
          <w:color w:val="auto"/>
          <w:sz w:val="24"/>
          <w:szCs w:val="24"/>
          <w:highlight w:val="none"/>
        </w:rPr>
        <w:t xml:space="preserve">和送达</w:t>
      </w:r>
      <w:bookmarkEnd w:id="369"/>
      <w:r/>
      <w:bookmarkEnd w:id="370"/>
      <w:r/>
      <w:bookmarkEnd w:id="371"/>
      <w:r/>
      <w:bookmarkEnd w:id="372"/>
      <w:r/>
      <w:bookmarkEnd w:id="373"/>
      <w:r/>
      <w:r/>
    </w:p>
    <w:p>
      <w:pPr>
        <w:ind w:firstLine="480"/>
        <w:spacing w:line="560" w:lineRule="exact"/>
        <w:rPr>
          <w:rFonts w:hint="eastAsia" w:ascii="宋体" w:hAnsi="宋体" w:cs="宋体"/>
          <w:color w:val="auto"/>
          <w:sz w:val="24"/>
          <w:szCs w:val="24"/>
          <w:highlight w:val="none"/>
        </w:rPr>
      </w:pPr>
      <w:r/>
      <w:bookmarkStart w:id="374" w:name="_Toc7073"/>
      <w:r/>
      <w:bookmarkStart w:id="375" w:name="_Toc29220"/>
      <w:r/>
      <w:bookmarkStart w:id="376" w:name="_Toc259093691"/>
      <w:r/>
      <w:bookmarkStart w:id="377" w:name="_Toc487900372"/>
      <w:r/>
      <w:bookmarkStart w:id="378" w:name="_Toc27970126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374"/>
      <w:r/>
      <w:bookmarkEnd w:id="375"/>
      <w:r/>
      <w:r/>
    </w:p>
    <w:p>
      <w:pPr>
        <w:ind w:firstLine="480"/>
        <w:spacing w:line="560" w:lineRule="exact"/>
        <w:rPr>
          <w:rFonts w:hint="eastAsia" w:ascii="宋体" w:hAnsi="宋体" w:cs="宋体"/>
          <w:color w:val="auto"/>
          <w:sz w:val="24"/>
          <w:szCs w:val="24"/>
          <w:highlight w:val="none"/>
        </w:rPr>
      </w:pPr>
      <w:r/>
      <w:bookmarkStart w:id="379" w:name="_Toc18401"/>
      <w:r/>
      <w:bookmarkStart w:id="380"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79"/>
      <w:r/>
      <w:bookmarkEnd w:id="380"/>
      <w:r/>
      <w:bookmarkEnd w:id="376"/>
      <w:bookmarkEnd w:id="377"/>
      <w:bookmarkEnd w:id="378"/>
      <w:r/>
    </w:p>
    <w:p>
      <w:pPr>
        <w:ind w:firstLine="482"/>
        <w:spacing w:line="560" w:lineRule="exact"/>
        <w:rPr>
          <w:rFonts w:hint="eastAsia" w:ascii="宋体" w:hAnsi="宋体" w:cs="宋体"/>
          <w:b/>
          <w:color w:val="auto"/>
          <w:sz w:val="24"/>
          <w:szCs w:val="24"/>
          <w:highlight w:val="none"/>
        </w:rPr>
      </w:pPr>
      <w:r/>
      <w:bookmarkStart w:id="381" w:name="_Toc259093692"/>
      <w:r/>
      <w:bookmarkStart w:id="382" w:name="_Toc20808"/>
      <w:r/>
      <w:bookmarkStart w:id="383" w:name="_Toc28906"/>
      <w:r/>
      <w:bookmarkStart w:id="384" w:name="_Toc12254"/>
      <w:r/>
      <w:bookmarkStart w:id="385" w:name="_Toc5063"/>
      <w:r/>
      <w:bookmarkStart w:id="386" w:name="_Toc279701263"/>
      <w:r/>
      <w:bookmarkStart w:id="387" w:name="_Toc487900373"/>
      <w:r/>
      <w:bookmarkStart w:id="388" w:name="_Toc27644"/>
      <w:r>
        <w:rPr>
          <w:rFonts w:hint="eastAsia" w:ascii="宋体" w:hAnsi="宋体" w:cs="宋体"/>
          <w:b/>
          <w:color w:val="auto"/>
          <w:sz w:val="24"/>
          <w:szCs w:val="24"/>
          <w:highlight w:val="none"/>
        </w:rPr>
        <w:t xml:space="preserve">2.16 合同使用的文字和适用的法律</w:t>
      </w:r>
      <w:bookmarkEnd w:id="381"/>
      <w:r/>
      <w:bookmarkEnd w:id="382"/>
      <w:r/>
      <w:bookmarkEnd w:id="383"/>
      <w:r/>
      <w:bookmarkEnd w:id="384"/>
      <w:r/>
      <w:bookmarkEnd w:id="385"/>
      <w:r/>
      <w:bookmarkEnd w:id="386"/>
      <w:r/>
      <w:bookmarkEnd w:id="387"/>
      <w:r/>
      <w:bookmarkEnd w:id="388"/>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bookmarkEnd w:id="192"/>
      <w:bookmarkEnd w:id="193"/>
      <w:r/>
    </w:p>
    <w:p>
      <w:pPr>
        <w:spacing w:line="360" w:lineRule="auto"/>
        <w:rPr>
          <w:rFonts w:hint="eastAsia" w:ascii="黑体" w:hAnsi="黑体" w:eastAsia="黑体"/>
          <w:color w:val="auto"/>
          <w:sz w:val="28"/>
          <w:highlight w:val="none"/>
        </w:rPr>
      </w:pPr>
      <w:r/>
      <w:bookmarkStart w:id="389" w:name="_Toc7338"/>
      <w:r/>
      <w:bookmarkStart w:id="390" w:name="_Toc21870"/>
      <w:r/>
      <w:bookmarkStart w:id="391" w:name="_Toc66967611"/>
      <w:r/>
      <w:bookmarkStart w:id="392" w:name="_Toc22663"/>
      <w:r/>
      <w:bookmarkStart w:id="393" w:name="_Toc21308"/>
      <w:r/>
      <w:bookmarkStart w:id="394" w:name="_Toc17126"/>
      <w:r/>
      <w:bookmarkStart w:id="395" w:name="_Toc17398"/>
      <w:r/>
      <w:bookmarkStart w:id="396" w:name="_Toc11268"/>
      <w:r/>
      <w:bookmarkStart w:id="397" w:name="_Toc67384167"/>
      <w:r/>
      <w:bookmarkStart w:id="398" w:name="_Toc14391"/>
      <w:r/>
      <w:bookmarkStart w:id="399" w:name="_Toc1383"/>
      <w:r/>
      <w:bookmarkStart w:id="400" w:name="_Toc25690"/>
      <w:r/>
      <w:bookmarkStart w:id="401" w:name="_Toc70605554"/>
      <w:r/>
      <w:bookmarkStart w:id="402" w:name="_Toc7116"/>
      <w:r/>
      <w:r/>
    </w:p>
    <w:p>
      <w:pPr>
        <w:spacing w:line="360" w:lineRule="auto"/>
        <w:rPr>
          <w:rFonts w:hint="eastAsia" w:ascii="黑体" w:hAnsi="黑体" w:eastAsia="黑体"/>
          <w:color w:val="auto"/>
          <w:sz w:val="28"/>
          <w:highlight w:val="none"/>
        </w:rPr>
        <w:outlineLvl w:val="0"/>
      </w:pPr>
      <w:r/>
      <w:bookmarkStart w:id="403" w:name="_Toc9241"/>
      <w:r/>
      <w:r/>
    </w:p>
    <w:p>
      <w:pPr>
        <w:spacing w:line="360" w:lineRule="auto"/>
        <w:rPr>
          <w:rFonts w:ascii="黑体" w:eastAsia="黑体"/>
          <w:b/>
          <w:color w:val="auto"/>
          <w:sz w:val="120"/>
          <w:szCs w:val="120"/>
          <w:highlight w:val="none"/>
        </w:rPr>
        <w:outlineLvl w:val="0"/>
      </w:pPr>
      <w:r/>
      <w:bookmarkStart w:id="481" w:name="_GoBack"/>
      <w:r/>
      <w:bookmarkEnd w:id="481"/>
      <w:r>
        <w:rPr>
          <w:rFonts w:hint="eastAsia" w:ascii="黑体" w:hAnsi="黑体" w:eastAsia="黑体"/>
          <w:color w:val="auto"/>
          <w:sz w:val="28"/>
          <w:highlight w:val="none"/>
        </w:rPr>
        <w:t xml:space="preserve">第六章 响应文件（格式）</w:t>
      </w:r>
      <w:bookmarkEnd w:id="194"/>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r>
      <w:r/>
    </w:p>
    <w:p>
      <w:pPr>
        <w:jc w:val="center"/>
        <w:rPr>
          <w:rFonts w:hint="eastAsia" w:ascii="宋体" w:hAnsi="宋体"/>
          <w:b/>
          <w:color w:val="auto"/>
          <w:sz w:val="120"/>
          <w:szCs w:val="120"/>
          <w:highlight w:val="none"/>
        </w:rPr>
        <w:outlineLvl w:val="0"/>
      </w:pPr>
      <w:r/>
      <w:bookmarkStart w:id="404" w:name="_Toc32614"/>
      <w:r/>
      <w:bookmarkStart w:id="405" w:name="_Toc29544"/>
      <w:r/>
      <w:bookmarkStart w:id="406" w:name="_Toc25852"/>
      <w:r/>
      <w:bookmarkStart w:id="407" w:name="_Toc25299"/>
      <w:r/>
      <w:bookmarkStart w:id="408" w:name="_Toc2553"/>
      <w:r/>
      <w:bookmarkStart w:id="409" w:name="_Toc3123"/>
      <w:r/>
      <w:bookmarkStart w:id="410" w:name="_Toc22573"/>
      <w:r/>
      <w:bookmarkStart w:id="411" w:name="_Toc27997"/>
      <w:r/>
      <w:bookmarkStart w:id="412" w:name="_Toc31974"/>
      <w:r/>
      <w:bookmarkStart w:id="413" w:name="_Toc19888"/>
      <w:r/>
      <w:bookmarkStart w:id="414" w:name="_Toc16296"/>
      <w:r>
        <w:rPr>
          <w:rFonts w:hint="eastAsia" w:ascii="宋体" w:hAnsi="宋体"/>
          <w:b/>
          <w:color w:val="auto"/>
          <w:sz w:val="120"/>
          <w:szCs w:val="120"/>
          <w:highlight w:val="none"/>
        </w:rPr>
        <w:t xml:space="preserve">响应文件</w:t>
      </w:r>
      <w:bookmarkEnd w:id="404"/>
      <w:r/>
      <w:bookmarkEnd w:id="405"/>
      <w:r/>
      <w:bookmarkEnd w:id="406"/>
      <w:r/>
      <w:bookmarkEnd w:id="407"/>
      <w:r/>
      <w:bookmarkEnd w:id="408"/>
      <w:r/>
      <w:bookmarkEnd w:id="409"/>
      <w:r/>
      <w:bookmarkEnd w:id="410"/>
      <w:r/>
      <w:bookmarkEnd w:id="411"/>
      <w:r/>
      <w:bookmarkEnd w:id="412"/>
      <w:r/>
      <w:bookmarkEnd w:id="413"/>
      <w:r/>
      <w:bookmarkEnd w:id="414"/>
      <w:r/>
      <w:r/>
    </w:p>
    <w:p>
      <w:pPr>
        <w:jc w:val="center"/>
        <w:rPr>
          <w:rFonts w:hint="eastAsia" w:ascii="宋体" w:hAnsi="宋体" w:eastAsia="宋体"/>
          <w:b/>
          <w:color w:val="auto"/>
          <w:sz w:val="32"/>
          <w:szCs w:val="32"/>
          <w:highlight w:val="none"/>
          <w:lang w:eastAsia="zh-CN"/>
        </w:rPr>
        <w:outlineLvl w:val="0"/>
      </w:pPr>
      <w:r/>
      <w:bookmarkStart w:id="415" w:name="_Toc16933"/>
      <w:r/>
      <w:bookmarkStart w:id="416" w:name="_Toc8565"/>
      <w:r/>
      <w:bookmarkStart w:id="417" w:name="_Toc17257"/>
      <w:r/>
      <w:bookmarkStart w:id="418" w:name="_Toc27487"/>
      <w:r/>
      <w:bookmarkStart w:id="419" w:name="_Toc4976"/>
      <w:r/>
      <w:bookmarkStart w:id="420" w:name="_Toc2400"/>
      <w:r/>
      <w:bookmarkStart w:id="421" w:name="_Toc24769"/>
      <w:r/>
      <w:bookmarkStart w:id="422" w:name="_Toc5041"/>
      <w:r/>
      <w:bookmarkStart w:id="423" w:name="_Toc25274"/>
      <w:r/>
      <w:bookmarkStart w:id="424" w:name="_Toc20110"/>
      <w:r/>
      <w:bookmarkStart w:id="425" w:name="_Toc13116"/>
      <w:r/>
      <w:bookmarkStart w:id="426" w:name="_Toc28173"/>
      <w:r>
        <w:rPr>
          <w:rFonts w:hint="eastAsia" w:ascii="宋体" w:hAnsi="宋体"/>
          <w:b/>
          <w:color w:val="auto"/>
          <w:sz w:val="32"/>
          <w:szCs w:val="32"/>
          <w:highlight w:val="none"/>
        </w:rPr>
        <w:t xml:space="preserve">项目编号：</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rFonts w:hint="eastAsia" w:ascii="宋体" w:hAnsi="宋体"/>
          <w:b/>
          <w:color w:val="auto"/>
          <w:sz w:val="32"/>
          <w:szCs w:val="32"/>
          <w:highlight w:val="none"/>
          <w:lang w:eastAsia="zh-CN"/>
        </w:rPr>
        <w:t xml:space="preserve">JSZC-320282-XDFH-C2024-0030</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2168"/>
        <w:rPr>
          <w:rFonts w:ascii="宋体" w:hAnsi="宋体"/>
          <w:b/>
          <w:color w:val="auto"/>
          <w:sz w:val="36"/>
          <w:szCs w:val="36"/>
          <w:highlight w:val="none"/>
          <w:u w:val="single"/>
        </w:rPr>
      </w:pPr>
      <w:r/>
      <w:bookmarkStart w:id="427" w:name="_Toc10010"/>
      <w:r/>
      <w:bookmarkStart w:id="428" w:name="_Toc24371"/>
      <w:r>
        <w:rPr>
          <w:rFonts w:hint="eastAsia" w:ascii="宋体" w:hAnsi="宋体"/>
          <w:b/>
          <w:color w:val="auto"/>
          <w:sz w:val="36"/>
          <w:szCs w:val="36"/>
          <w:highlight w:val="none"/>
        </w:rPr>
        <w:t xml:space="preserve">项目名称：</w:t>
      </w:r>
      <w:bookmarkEnd w:id="427"/>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rPr>
          <w:rFonts w:hint="eastAsia" w:ascii="宋体" w:hAnsi="宋体"/>
          <w:b/>
          <w:color w:val="auto"/>
          <w:sz w:val="36"/>
          <w:szCs w:val="36"/>
          <w:highlight w:val="none"/>
        </w:rPr>
        <w:t xml:space="preserve">项目编号：</w:t>
      </w:r>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供 应 商：</w:t>
      </w:r>
      <w:bookmarkEnd w:id="428"/>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rPr>
        <w:t xml:space="preserve">（电子签章）</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楷体_GB2312" w:eastAsia="楷体_GB2312"/>
          <w:b/>
          <w:color w:val="auto"/>
          <w:sz w:val="32"/>
          <w:szCs w:val="32"/>
          <w:highlight w:val="none"/>
        </w:rPr>
      </w:pPr>
      <w:r>
        <w:rPr>
          <w:rFonts w:hint="eastAsia" w:ascii="黑体" w:hAnsi="宋体" w:eastAsia="黑体"/>
          <w:bCs/>
          <w:color w:val="auto"/>
          <w:sz w:val="24"/>
          <w:szCs w:val="24"/>
          <w:highlight w:val="none"/>
        </w:rPr>
        <w:br w:type="page" w:clear="all"/>
      </w:r>
      <w:r/>
    </w:p>
    <w:p>
      <w:pPr>
        <w:rPr>
          <w:rFonts w:hint="eastAsia" w:ascii="黑体" w:hAnsi="宋体" w:eastAsia="黑体"/>
          <w:bCs/>
          <w:color w:val="auto"/>
          <w:sz w:val="24"/>
          <w:szCs w:val="24"/>
          <w:highlight w:val="none"/>
        </w:rPr>
        <w:outlineLvl w:val="0"/>
      </w:pPr>
      <w:r/>
      <w:bookmarkStart w:id="429" w:name="_Toc817"/>
      <w:r/>
      <w:bookmarkStart w:id="430" w:name="_Toc31850"/>
      <w:r/>
      <w:bookmarkStart w:id="431" w:name="_Toc10867"/>
      <w:r/>
      <w:bookmarkStart w:id="432" w:name="_Toc20183"/>
      <w:r/>
      <w:bookmarkStart w:id="433" w:name="_Toc6953"/>
      <w:r/>
      <w:bookmarkStart w:id="434" w:name="_Toc29939"/>
      <w:r/>
      <w:bookmarkStart w:id="435" w:name="_Toc329"/>
      <w:r/>
      <w:bookmarkStart w:id="436" w:name="_Toc3505"/>
      <w:r/>
      <w:bookmarkStart w:id="437" w:name="_Toc2786"/>
      <w:r/>
      <w:bookmarkStart w:id="438" w:name="_Toc21396"/>
      <w:r/>
      <w:bookmarkStart w:id="439" w:name="_Toc3442"/>
      <w:r/>
      <w:bookmarkStart w:id="440" w:name="_Toc24602"/>
      <w:r>
        <w:rPr>
          <w:rFonts w:hint="eastAsia" w:ascii="黑体" w:hAnsi="宋体" w:eastAsia="黑体"/>
          <w:bCs/>
          <w:color w:val="auto"/>
          <w:sz w:val="28"/>
          <w:szCs w:val="28"/>
          <w:highlight w:val="none"/>
        </w:rPr>
        <w:t xml:space="preserve">（</w:t>
      </w:r>
      <w:r>
        <w:rPr>
          <w:rFonts w:hint="eastAsia" w:ascii="黑体" w:hAnsi="宋体" w:eastAsia="黑体"/>
          <w:bCs/>
          <w:color w:val="auto"/>
          <w:sz w:val="28"/>
          <w:szCs w:val="28"/>
          <w:highlight w:val="none"/>
          <w:lang w:val="en-US" w:eastAsia="zh-CN"/>
        </w:rPr>
        <w:t xml:space="preserve">一</w:t>
      </w:r>
      <w:r>
        <w:rPr>
          <w:rFonts w:hint="eastAsia" w:ascii="黑体" w:hAnsi="宋体" w:eastAsia="黑体"/>
          <w:bCs/>
          <w:color w:val="auto"/>
          <w:sz w:val="28"/>
          <w:szCs w:val="28"/>
          <w:highlight w:val="none"/>
        </w:rPr>
        <w:t xml:space="preserve">）报价文件：</w:t>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80"/>
        <w:rPr>
          <w:rFonts w:hint="eastAsia" w:ascii="宋体" w:hAnsi="宋体"/>
          <w:color w:val="auto"/>
          <w:sz w:val="28"/>
          <w:szCs w:val="28"/>
          <w:highlight w:val="none"/>
        </w:rPr>
      </w:pPr>
      <w:r>
        <w:rPr>
          <w:rFonts w:hint="eastAsia" w:ascii="黑体" w:hAnsi="宋体" w:eastAsia="黑体"/>
          <w:bCs/>
          <w:color w:val="auto"/>
          <w:sz w:val="24"/>
          <w:szCs w:val="24"/>
          <w:highlight w:val="none"/>
        </w:rPr>
        <w:t xml:space="preserve">1、报价一览表（格式）：</w:t>
      </w:r>
      <w:bookmarkEnd w:id="440"/>
      <w:r/>
      <w:r/>
    </w:p>
    <w:p>
      <w:pPr>
        <w:jc w:val="center"/>
        <w:spacing w:before="156" w:after="156"/>
        <w:rPr>
          <w:rFonts w:hint="eastAsia" w:ascii="黑体" w:hAnsi="黑体" w:eastAsia="黑体"/>
          <w:color w:val="auto"/>
          <w:sz w:val="28"/>
          <w:szCs w:val="28"/>
          <w:highlight w:val="none"/>
        </w:rPr>
      </w:pPr>
      <w:r/>
      <w:bookmarkStart w:id="441" w:name="_Toc32423"/>
      <w:r>
        <w:rPr>
          <w:rFonts w:hint="eastAsia" w:ascii="黑体" w:eastAsia="黑体"/>
          <w:bCs/>
          <w:color w:val="auto"/>
          <w:sz w:val="28"/>
          <w:szCs w:val="28"/>
          <w:highlight w:val="none"/>
        </w:rPr>
        <w:t xml:space="preserve">报价一览表</w:t>
      </w:r>
      <w:bookmarkEnd w:id="441"/>
      <w:r/>
      <w:r/>
    </w:p>
    <w:p>
      <w:pPr>
        <w:ind w:firstLine="960"/>
        <w:rPr>
          <w:rFonts w:hint="eastAsia" w:ascii="宋体" w:hAnsi="宋体"/>
          <w:color w:val="auto"/>
          <w:sz w:val="24"/>
          <w:szCs w:val="24"/>
          <w:highlight w:val="none"/>
        </w:rPr>
      </w:pPr>
      <w:r>
        <w:rPr>
          <w:rFonts w:hint="eastAsia" w:ascii="宋体" w:hAnsi="宋体"/>
          <w:color w:val="auto"/>
          <w:sz w:val="24"/>
          <w:szCs w:val="24"/>
          <w:highlight w:val="none"/>
        </w:rPr>
        <w:t xml:space="preserve">本轮为首轮报价   </w:t>
      </w:r>
      <w:r/>
    </w:p>
    <w:p>
      <w:pPr>
        <w:ind w:firstLine="96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江苏省“三断”条件下应急指挥协同机制演练服务项目</w:t>
      </w:r>
      <w:r/>
    </w:p>
    <w:p>
      <w:pPr>
        <w:ind w:firstLine="96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JSZC-320282-XDFH-C2024-0030</w:t>
      </w:r>
      <w:r/>
    </w:p>
    <w:p>
      <w:pPr>
        <w:pStyle w:val="737"/>
        <w:rPr>
          <w:color w:val="auto"/>
          <w:highlight w:val="none"/>
        </w:rPr>
      </w:pPr>
      <w:r>
        <w:rPr>
          <w:color w:val="auto"/>
          <w:highlight w:val="none"/>
        </w:rPr>
      </w:r>
      <w:r/>
    </w:p>
    <w:p>
      <w:pPr>
        <w:ind w:left="1"/>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供应商名称（电子签章）：                                    单位：元</w:t>
      </w:r>
      <w:r/>
    </w:p>
    <w:p>
      <w:pPr>
        <w:pStyle w:val="737"/>
        <w:rPr>
          <w:color w:val="auto"/>
          <w:highlight w:val="none"/>
        </w:rPr>
      </w:pPr>
      <w:r>
        <w:rPr>
          <w:color w:val="auto"/>
          <w:highlight w:val="none"/>
        </w:rPr>
      </w:r>
      <w:r/>
    </w:p>
    <w:p>
      <w:pPr>
        <w:pStyle w:val="737"/>
        <w:rPr>
          <w:color w:val="auto"/>
          <w:highlight w:val="none"/>
        </w:rPr>
      </w:pPr>
      <w:r>
        <w:rPr>
          <w:color w:val="auto"/>
          <w:highlight w:val="none"/>
        </w:rPr>
      </w:r>
      <w:r/>
    </w:p>
    <w:tbl>
      <w:tblPr>
        <w:tblStyle w:val="736"/>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标题</w:t>
            </w:r>
            <w:r/>
          </w:p>
        </w:tc>
        <w:tc>
          <w:tcPr>
            <w:tcW w:w="3022"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  (小写)</w:t>
            </w:r>
            <w:r/>
          </w:p>
        </w:tc>
        <w:tc>
          <w:tcPr>
            <w:tcW w:w="4638"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内容（大写）</w:t>
            </w:r>
            <w:r/>
          </w:p>
        </w:tc>
      </w:tr>
      <w:tr>
        <w:trPr>
          <w:cantSplit/>
          <w:trHeight w:val="1630"/>
        </w:trPr>
        <w:tc>
          <w:tcPr>
            <w:tcW w:w="1940" w:type="dxa"/>
            <w:vAlign w:val="center"/>
            <w:textDirection w:val="lrTb"/>
            <w:noWrap w:val="false"/>
          </w:tcPr>
          <w:p>
            <w:pPr>
              <w:pStyle w:val="782"/>
              <w:jc w:val="center"/>
              <w:spacing w:line="400" w:lineRule="exact"/>
              <w:rPr>
                <w:rFonts w:hint="eastAsia" w:hAnsi="宋体"/>
                <w:bCs/>
                <w:color w:val="auto"/>
                <w:szCs w:val="24"/>
                <w:highlight w:val="none"/>
              </w:rPr>
            </w:pPr>
            <w:r>
              <w:rPr>
                <w:rFonts w:hint="eastAsia" w:hAnsi="宋体"/>
                <w:bCs/>
                <w:color w:val="auto"/>
                <w:szCs w:val="24"/>
                <w:highlight w:val="none"/>
              </w:rPr>
              <w:t xml:space="preserve">报价</w:t>
            </w:r>
            <w:r/>
          </w:p>
        </w:tc>
        <w:tc>
          <w:tcPr>
            <w:tcW w:w="3022" w:type="dxa"/>
            <w:vAlign w:val="center"/>
            <w:textDirection w:val="lrTb"/>
            <w:noWrap w:val="false"/>
          </w:tcPr>
          <w:p>
            <w:pPr>
              <w:pStyle w:val="782"/>
              <w:ind w:firstLine="56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 xml:space="preserve">元</w:t>
            </w:r>
            <w:r/>
          </w:p>
        </w:tc>
        <w:tc>
          <w:tcPr>
            <w:tcW w:w="4638" w:type="dxa"/>
            <w:vAlign w:val="center"/>
            <w:textDirection w:val="lrTb"/>
            <w:noWrap w:val="false"/>
          </w:tcPr>
          <w:p>
            <w:pPr>
              <w:pStyle w:val="782"/>
              <w:ind w:firstLine="112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 xml:space="preserve">元</w:t>
            </w:r>
            <w:r/>
          </w:p>
        </w:tc>
      </w:tr>
    </w:tbl>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5460" w:hanging="546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注：</w:t>
      </w:r>
      <w:r/>
    </w:p>
    <w:p>
      <w:pPr>
        <w:pStyle w:val="752"/>
        <w:spacing w:before="0" w:beforeAutospacing="0" w:after="0" w:afterAutospacing="0"/>
        <w:widowControl/>
        <w:rPr>
          <w:color w:val="auto"/>
          <w:highlight w:val="none"/>
        </w:rPr>
      </w:pPr>
      <w:r>
        <w:rPr>
          <w:rFonts w:hint="eastAsia"/>
          <w:color w:val="auto"/>
          <w:highlight w:val="none"/>
        </w:rPr>
        <w:t xml:space="preserve">1、报价包括完成项目的所有费用。采购人不再支付报价以外的任何费用。</w:t>
      </w:r>
      <w:r/>
    </w:p>
    <w:p>
      <w:pPr>
        <w:pStyle w:val="752"/>
        <w:spacing w:before="0" w:beforeAutospacing="0" w:after="0" w:afterAutospacing="0"/>
        <w:widowControl/>
        <w:rPr>
          <w:color w:val="auto"/>
          <w:highlight w:val="none"/>
        </w:rPr>
      </w:pPr>
      <w:r>
        <w:rPr>
          <w:color w:val="auto"/>
          <w:highlight w:val="none"/>
        </w:rPr>
        <w:t xml:space="preserve">2、报价以总价为准，大小写不一致以大写为准</w:t>
      </w:r>
      <w:r>
        <w:rPr>
          <w:rFonts w:hint="eastAsia"/>
          <w:color w:val="auto"/>
          <w:highlight w:val="none"/>
        </w:rPr>
        <w:t xml:space="preserve">。</w:t>
      </w:r>
      <w:r/>
    </w:p>
    <w:p>
      <w:pPr>
        <w:pStyle w:val="752"/>
        <w:spacing w:before="0" w:beforeAutospacing="0" w:after="0" w:afterAutospacing="0"/>
        <w:widowControl/>
        <w:rPr>
          <w:color w:val="auto"/>
          <w:highlight w:val="none"/>
        </w:rPr>
      </w:pPr>
      <w:r>
        <w:rPr>
          <w:color w:val="auto"/>
          <w:highlight w:val="none"/>
        </w:rPr>
        <w:t xml:space="preserve">3、偏离说明：详见《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ind w:firstLine="480"/>
        <w:jc w:val="center"/>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center"/>
        <w:rPr>
          <w:rFonts w:hint="eastAsia" w:ascii="宋体" w:hAnsi="宋体"/>
          <w:color w:val="auto"/>
          <w:sz w:val="28"/>
          <w:szCs w:val="28"/>
          <w:highlight w:val="none"/>
        </w:rPr>
      </w:pPr>
      <w:r>
        <w:rPr>
          <w:rFonts w:hint="eastAsia" w:ascii="宋体" w:hAnsi="宋体"/>
          <w:color w:val="auto"/>
          <w:sz w:val="24"/>
          <w:szCs w:val="24"/>
          <w:highlight w:val="none"/>
        </w:rPr>
        <w:t xml:space="preserve">                                  </w:t>
      </w:r>
      <w:r/>
    </w:p>
    <w:p>
      <w:pPr>
        <w:ind w:left="420"/>
        <w:jc w:val="left"/>
        <w:rPr>
          <w:rFonts w:hint="eastAsia" w:ascii="宋体" w:hAnsi="宋体"/>
          <w:color w:val="auto"/>
          <w:sz w:val="28"/>
          <w:szCs w:val="28"/>
          <w:highlight w:val="none"/>
        </w:rPr>
      </w:pPr>
      <w:r>
        <w:rPr>
          <w:rFonts w:hint="eastAsia" w:ascii="宋体" w:hAnsi="宋体"/>
          <w:color w:val="auto"/>
          <w:sz w:val="28"/>
          <w:szCs w:val="28"/>
          <w:highlight w:val="none"/>
        </w:rPr>
        <w:br w:type="page" w:clear="all"/>
      </w:r>
      <w:bookmarkStart w:id="442" w:name="_Toc4946"/>
      <w:r/>
      <w:bookmarkEnd w:id="442"/>
      <w:r/>
    </w:p>
    <w:p>
      <w:pPr>
        <w:jc w:val="left"/>
        <w:rPr>
          <w:rFonts w:hint="eastAsia" w:ascii="黑体" w:hAnsi="宋体" w:eastAsia="黑体"/>
          <w:bCs/>
          <w:color w:val="auto"/>
          <w:sz w:val="28"/>
          <w:szCs w:val="28"/>
          <w:highlight w:val="none"/>
        </w:rPr>
      </w:pPr>
      <w:r/>
      <w:bookmarkStart w:id="443" w:name="_Toc12429"/>
      <w:r/>
      <w:bookmarkStart w:id="444" w:name="_Toc26039"/>
      <w:r/>
      <w:bookmarkStart w:id="445" w:name="_Toc26700"/>
      <w:r/>
      <w:bookmarkStart w:id="446" w:name="_Toc19216"/>
      <w:r/>
      <w:bookmarkStart w:id="447" w:name="_Toc28220"/>
      <w:r/>
      <w:bookmarkStart w:id="448" w:name="_Toc17994"/>
      <w:r/>
      <w:bookmarkStart w:id="449" w:name="_Toc26295"/>
      <w:r/>
      <w:bookmarkStart w:id="450" w:name="_Toc5466"/>
      <w:r/>
      <w:bookmarkStart w:id="451" w:name="_Toc17700"/>
      <w:r/>
      <w:bookmarkStart w:id="452" w:name="_Toc19728"/>
      <w:r/>
      <w:bookmarkStart w:id="453" w:name="_Toc28778"/>
      <w:r/>
      <w:bookmarkStart w:id="454" w:name="_Toc24943"/>
      <w:r>
        <w:rPr>
          <w:rFonts w:hint="eastAsia" w:ascii="黑体" w:hAnsi="宋体" w:eastAsia="黑体"/>
          <w:bCs/>
          <w:color w:val="auto"/>
          <w:sz w:val="28"/>
          <w:szCs w:val="28"/>
          <w:highlight w:val="none"/>
        </w:rPr>
        <w:t xml:space="preserve">（</w:t>
      </w:r>
      <w:r>
        <w:rPr>
          <w:rFonts w:hint="eastAsia" w:ascii="黑体" w:hAnsi="宋体" w:eastAsia="黑体"/>
          <w:bCs/>
          <w:color w:val="auto"/>
          <w:sz w:val="28"/>
          <w:szCs w:val="28"/>
          <w:highlight w:val="none"/>
          <w:lang w:val="en-US" w:eastAsia="zh-CN"/>
        </w:rPr>
        <w:t xml:space="preserve">二</w:t>
      </w:r>
      <w:r>
        <w:rPr>
          <w:rFonts w:hint="eastAsia" w:ascii="黑体" w:hAnsi="宋体" w:eastAsia="黑体"/>
          <w:bCs/>
          <w:color w:val="auto"/>
          <w:sz w:val="28"/>
          <w:szCs w:val="28"/>
          <w:highlight w:val="none"/>
        </w:rPr>
        <w:t xml:space="preserve">）、资格</w:t>
      </w:r>
      <w:bookmarkEnd w:id="443"/>
      <w:r/>
      <w:bookmarkEnd w:id="444"/>
      <w:r/>
      <w:bookmarkEnd w:id="445"/>
      <w:r/>
      <w:bookmarkEnd w:id="446"/>
      <w:r/>
      <w:bookmarkEnd w:id="447"/>
      <w:r/>
      <w:bookmarkEnd w:id="448"/>
      <w:r/>
      <w:bookmarkEnd w:id="449"/>
      <w:r/>
      <w:bookmarkEnd w:id="450"/>
      <w:r/>
      <w:bookmarkEnd w:id="451"/>
      <w:r/>
      <w:bookmarkEnd w:id="452"/>
      <w:r/>
      <w:bookmarkEnd w:id="453"/>
      <w:r/>
      <w:bookmarkStart w:id="455" w:name="OLE_LINK6"/>
      <w:r>
        <w:rPr>
          <w:rFonts w:hint="eastAsia" w:ascii="黑体" w:hAnsi="宋体" w:eastAsia="黑体"/>
          <w:bCs/>
          <w:color w:val="auto"/>
          <w:sz w:val="28"/>
          <w:szCs w:val="28"/>
          <w:highlight w:val="none"/>
        </w:rPr>
        <w:t xml:space="preserve">条件</w:t>
      </w:r>
      <w:bookmarkEnd w:id="455"/>
      <w:r/>
    </w:p>
    <w:p>
      <w:pPr>
        <w:numPr>
          <w:ilvl w:val="0"/>
          <w:numId w:val="12"/>
        </w:num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关于资格的声明函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bookmarkEnd w:id="454"/>
      <w:r/>
      <w:r/>
    </w:p>
    <w:p>
      <w:pPr>
        <w:jc w:val="center"/>
        <w:spacing w:line="480" w:lineRule="auto"/>
        <w:rPr>
          <w:rFonts w:hint="eastAsia" w:ascii="宋体" w:eastAsia="宋体"/>
          <w:bCs/>
          <w:color w:val="auto"/>
          <w:sz w:val="24"/>
          <w:szCs w:val="24"/>
          <w:highlight w:val="none"/>
          <w:lang w:eastAsia="zh-CN"/>
        </w:rPr>
      </w:pPr>
      <w:r>
        <w:rPr>
          <w:rFonts w:hint="eastAsia" w:ascii="宋体" w:hAnsi="宋体"/>
          <w:bCs/>
          <w:color w:val="auto"/>
          <w:sz w:val="24"/>
          <w:szCs w:val="24"/>
          <w:highlight w:val="none"/>
        </w:rPr>
        <w:t xml:space="preserve">                                  项目编号：</w:t>
      </w:r>
      <w:r>
        <w:rPr>
          <w:rFonts w:hint="eastAsia" w:ascii="宋体" w:hAnsi="宋体"/>
          <w:bCs/>
          <w:color w:val="auto"/>
          <w:sz w:val="24"/>
          <w:szCs w:val="24"/>
          <w:highlight w:val="none"/>
          <w:lang w:eastAsia="zh-CN"/>
        </w:rPr>
        <w:t xml:space="preserve">JSZC-320282-XDFH-C2024-0030</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日期：</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宜兴市应急管理局</w:t>
      </w:r>
      <w:r>
        <w:rPr>
          <w:rFonts w:hint="eastAsia" w:ascii="宋体" w:hAns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JSZC-320282-XDFH-C2024-0030</w:t>
      </w:r>
      <w:r>
        <w:rPr>
          <w:rFonts w:hint="eastAsia" w:ascii="宋体" w:hAnsi="宋体"/>
          <w:bCs/>
          <w:color w:val="auto"/>
          <w:sz w:val="24"/>
          <w:szCs w:val="24"/>
          <w:highlight w:val="none"/>
        </w:rPr>
        <w:t xml:space="preserve">）政府采购活动前三年内在经营活动中没有重大违法记录；同时，提交响应文件时不存在</w:t>
      </w:r>
      <w:bookmarkStart w:id="456" w:name="OLE_LINK242"/>
      <w:r>
        <w:rPr>
          <w:rFonts w:hint="eastAsia" w:ascii="宋体" w:hAnsi="宋体"/>
          <w:bCs/>
          <w:color w:val="auto"/>
          <w:sz w:val="24"/>
          <w:szCs w:val="24"/>
          <w:highlight w:val="none"/>
        </w:rPr>
        <w:t xml:space="preserve">有效期限</w:t>
      </w:r>
      <w:bookmarkEnd w:id="456"/>
      <w:r>
        <w:rPr>
          <w:rFonts w:hint="eastAsia" w:ascii="宋体" w:hAnsi="宋体"/>
          <w:bCs/>
          <w:color w:val="auto"/>
          <w:sz w:val="24"/>
          <w:szCs w:val="24"/>
          <w:highlight w:val="none"/>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bCs/>
          <w:color w:val="auto"/>
          <w:sz w:val="24"/>
          <w:szCs w:val="24"/>
          <w:highlight w:val="none"/>
          <w:lang w:eastAsia="zh-CN"/>
        </w:rPr>
        <w:t xml:space="preserve">JSZC-320282-XDFH-C2024-0030</w:t>
      </w:r>
      <w:r>
        <w:rPr>
          <w:rFonts w:hint="eastAsia" w:ascii="宋体" w:hAnsi="宋体"/>
          <w:bCs/>
          <w:color w:val="auto"/>
          <w:sz w:val="24"/>
          <w:szCs w:val="24"/>
          <w:highlight w:val="none"/>
        </w:rPr>
        <w:t xml:space="preserve">）进行报价，所提供的货物均为原厂全新合格品，响应文件中所有关于报价资格的文件、证明、陈述均是真实的、准确的。若有违背，我公司（单位）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r>
        <w:rPr>
          <w:color w:val="auto"/>
          <w:sz w:val="24"/>
          <w:szCs w:val="24"/>
          <w:highlight w:val="none"/>
        </w:rPr>
        <w:t xml:space="preserve">供应商（电子签章）：</w:t>
      </w:r>
      <w:r/>
    </w:p>
    <w:p>
      <w:pPr>
        <w:ind w:left="5460" w:hanging="54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rPr>
          <w:rFonts w:hint="eastAsia" w:ascii="黑体" w:hAnsi="宋体" w:eastAsia="黑体"/>
          <w:bCs/>
          <w:color w:val="auto"/>
          <w:sz w:val="24"/>
          <w:szCs w:val="24"/>
          <w:highlight w:val="none"/>
        </w:rPr>
      </w:pPr>
      <w:r>
        <w:rPr>
          <w:rFonts w:hint="eastAsia"/>
          <w:color w:val="auto"/>
          <w:highlight w:val="none"/>
        </w:rPr>
        <w:t xml:space="preserve">注：上述所称“重大违法记录”是指供应商因违法经营受到刑事处罚或者责令停产停业、吊销许可证或者执照、较大数额罚款等行政处罚。</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bCs/>
          <w:color w:val="auto"/>
          <w:sz w:val="24"/>
          <w:szCs w:val="24"/>
          <w:highlight w:val="none"/>
          <w:lang w:eastAsia="zh-CN"/>
        </w:rPr>
        <w:t xml:space="preserve">宜兴市应急管理局</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江苏希地丰华项目管理集团有限公司：</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457"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457"/>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JSZC-320282-XDFH-C2024-0030</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的磋商报价，</w:t>
      </w:r>
      <w:bookmarkStart w:id="458" w:name="_Hlk161750392"/>
      <w:r>
        <w:rPr>
          <w:rFonts w:hint="eastAsia" w:ascii="宋体" w:hAnsi="宋体"/>
          <w:color w:val="auto"/>
          <w:sz w:val="24"/>
          <w:szCs w:val="21"/>
          <w:highlight w:val="none"/>
          <w:lang w:val="zh-CN"/>
        </w:rPr>
        <w:t xml:space="preserve">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供应商</w:t>
      </w:r>
      <w:r>
        <w:rPr>
          <w:color w:val="auto"/>
          <w:sz w:val="24"/>
          <w:szCs w:val="24"/>
          <w:highlight w:val="none"/>
        </w:rPr>
        <w:t xml:space="preserve">（电子签章）：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bookmarkEnd w:id="458"/>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r>
        <w:rPr>
          <w:rFonts w:hint="eastAsia" w:ascii="宋体" w:hAnsi="宋体"/>
          <w:color w:val="auto"/>
          <w:sz w:val="24"/>
          <w:szCs w:val="21"/>
          <w:highlight w:val="none"/>
          <w:lang w:val="zh-CN"/>
        </w:rPr>
        <w:t xml:space="preserve">详见第二章供应商须知相关要求</w:t>
      </w:r>
      <w:r/>
    </w:p>
    <w:p>
      <w:pPr>
        <w:jc w:val="left"/>
        <w:rPr>
          <w:color w:val="auto"/>
          <w:sz w:val="24"/>
          <w:szCs w:val="24"/>
          <w:highlight w:val="none"/>
        </w:rPr>
      </w:pPr>
      <w:r>
        <w:rPr>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w:t>
      </w:r>
      <w:bookmarkStart w:id="459" w:name="_Hlk139983712"/>
      <w:r>
        <w:rPr>
          <w:rFonts w:hint="eastAsia" w:ascii="宋体" w:hAnsi="宋体"/>
          <w:color w:val="auto"/>
          <w:sz w:val="24"/>
          <w:szCs w:val="21"/>
          <w:highlight w:val="none"/>
          <w:lang w:val="zh-CN"/>
        </w:rPr>
        <w:t xml:space="preserve">供应商</w:t>
      </w:r>
      <w:bookmarkEnd w:id="459"/>
      <w:r>
        <w:rPr>
          <w:rFonts w:hint="eastAsia" w:ascii="宋体" w:hAnsi="宋体"/>
          <w:color w:val="auto"/>
          <w:sz w:val="24"/>
          <w:szCs w:val="21"/>
          <w:highlight w:val="none"/>
          <w:lang w:val="zh-CN"/>
        </w:rPr>
        <w:t xml:space="preserve">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按第二章供应商须知要求提供相关证明材料</w:t>
      </w:r>
      <w:r/>
    </w:p>
    <w:p>
      <w:pPr>
        <w:ind w:left="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按第二章供应商须知要求提供相关证明材料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详见第二章供应商须知相关要求</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460" w:name="_Hlk144983351"/>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 xml:space="preserve">自愿组成联合体，共同参加本项目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JSZC-320282-XDFH-C2024-0030</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的报价。现就联合体报价事宜订立如下协议。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为本次报价的主体单位，联合体以主体单位的名义参加报价。</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461" w:name="_Hlk144982230"/>
      <w:r>
        <w:rPr>
          <w:rFonts w:hint="eastAsia" w:ascii="宋体" w:hAnsi="宋体"/>
          <w:color w:val="auto"/>
          <w:sz w:val="24"/>
          <w:szCs w:val="21"/>
          <w:highlight w:val="none"/>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竞争性磋商方式采购活动所签署的一切文件和处理与本次采购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3、联合体将严格按照采购文件的各项要求，提交响应文件，履行合同，并对外承担连带责任。</w:t>
      </w:r>
      <w:bookmarkEnd w:id="460"/>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3"/>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、本协议书自签署之日起生效，至本次竞争性磋商有关事务结束且合同履行完毕后自动失效。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461"/>
      <w:r/>
    </w:p>
    <w:p>
      <w:pPr>
        <w:ind w:right="240"/>
        <w:jc w:val="right"/>
        <w:spacing w:line="48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rPr>
        <w:t xml:space="preserve">注：如采购人要求组成联合体或采购人允许组成联合体且供应商组成联合体的，应提供有效的联合体协议书，否则无需提供。</w:t>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、分包情况说明（格式）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560"/>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JSZC-320282-XDFH-C2024-0030</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磋商文件的规定和采购项目的实际情况，拟在成交后将成交项目的非主体、非关键性工作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进行分包，分包承担主体为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r>
        <w:rPr>
          <w:color w:val="auto"/>
          <w:sz w:val="24"/>
          <w:szCs w:val="24"/>
          <w:highlight w:val="none"/>
        </w:rPr>
        <w:t xml:space="preserve">供应商（电子签章）：</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462" w:name="OLE_LINK203"/>
      <w:r/>
      <w:bookmarkEnd w:id="462"/>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注：如采购人要求分包或采购人允许分包且供应商有分包意向的，应提供有效的分包情况说明，否则无需提供。</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bookmarkStart w:id="463" w:name="_Hlk130922293"/>
      <w:r/>
      <w:bookmarkStart w:id="464" w:name="_Hlk131843680"/>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hint="eastAsia" w:ascii="黑体" w:eastAsia="黑体"/>
          <w:bCs/>
          <w:color w:val="auto"/>
          <w:sz w:val="28"/>
          <w:szCs w:val="28"/>
          <w:highlight w:val="none"/>
        </w:rPr>
      </w:pPr>
      <w:r>
        <w:rPr>
          <w:rFonts w:hint="eastAsia" w:ascii="黑体" w:eastAsia="黑体"/>
          <w:bCs/>
          <w:color w:val="auto"/>
          <w:sz w:val="28"/>
          <w:szCs w:val="28"/>
          <w:highlight w:val="none"/>
        </w:rPr>
      </w:r>
      <w:bookmarkEnd w:id="463"/>
      <w:bookmarkEnd w:id="464"/>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注：如专门面向中小企业采购的，供应商应提供有效的《中小企业声明函》（格式见本章“价格折扣文件”附件1），或《残疾人福利性单位声明函》（格式见本章“价格折扣文件”附件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注：如本项目有特定资格要求的，按磋商文件要求提供证明材料，否则无需提供。</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ascii="黑体" w:hAnsi="宋体" w:eastAsia="黑体"/>
          <w:bCs/>
          <w:color w:val="auto"/>
          <w:sz w:val="28"/>
          <w:szCs w:val="28"/>
          <w:highlight w:val="none"/>
        </w:rPr>
      </w:pPr>
      <w:r>
        <w:rPr>
          <w:rFonts w:ascii="黑体" w:hAnsi="宋体" w:eastAsia="黑体"/>
          <w:bCs/>
          <w:color w:val="auto"/>
          <w:sz w:val="24"/>
          <w:szCs w:val="24"/>
          <w:highlight w:val="none"/>
          <w:lang w:val="zh-CN"/>
        </w:rPr>
        <w:br w:type="page" w:clear="all"/>
      </w:r>
      <w:r>
        <w:rPr>
          <w:rFonts w:hint="eastAsia" w:ascii="黑体" w:hAnsi="宋体" w:eastAsia="黑体"/>
          <w:bCs/>
          <w:color w:val="auto"/>
          <w:sz w:val="28"/>
          <w:szCs w:val="28"/>
          <w:highlight w:val="none"/>
        </w:rPr>
        <w:t xml:space="preserve">（</w:t>
      </w:r>
      <w:r>
        <w:rPr>
          <w:rFonts w:hint="eastAsia" w:ascii="黑体" w:hAnsi="宋体" w:eastAsia="黑体"/>
          <w:bCs/>
          <w:color w:val="auto"/>
          <w:sz w:val="28"/>
          <w:szCs w:val="28"/>
          <w:highlight w:val="none"/>
          <w:lang w:val="en-US" w:eastAsia="zh-CN"/>
        </w:rPr>
        <w:t xml:space="preserve">三</w:t>
      </w:r>
      <w:r>
        <w:rPr>
          <w:rFonts w:hint="eastAsia" w:ascii="黑体" w:hAnsi="宋体" w:eastAsia="黑体"/>
          <w:bCs/>
          <w:color w:val="auto"/>
          <w:sz w:val="28"/>
          <w:szCs w:val="28"/>
          <w:highlight w:val="none"/>
        </w:rPr>
        <w:t xml:space="preserve">）符合条件</w:t>
      </w:r>
      <w:r/>
    </w:p>
    <w:p>
      <w:pPr>
        <w:ind w:firstLine="421"/>
        <w:spacing w:line="360" w:lineRule="auto"/>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、响应函（格式）：</w:t>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响应函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致宜兴市应急管理局、江苏希地丰华项目管理集团有限公司：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JSZC-320282-XDFH-C2024-0030</w:t>
      </w:r>
      <w:r>
        <w:rPr>
          <w:rFonts w:hint="eastAsia" w:ascii="宋体" w:hAnsi="宋体"/>
          <w:bCs/>
          <w:color w:val="auto"/>
          <w:sz w:val="24"/>
          <w:szCs w:val="24"/>
          <w:highlight w:val="none"/>
        </w:rPr>
        <w:t xml:space="preserve">）</w:t>
      </w:r>
      <w:r>
        <w:rPr>
          <w:rFonts w:hint="eastAsia" w:ascii="宋体" w:hAnsi="宋体"/>
          <w:bCs/>
          <w:color w:val="auto"/>
          <w:sz w:val="24"/>
          <w:highlight w:val="none"/>
          <w:lang w:val="zh-CN"/>
        </w:rPr>
        <w:t xml:space="preserve">磋商文件，经仔细阅读和研究，我方决定参加报价。</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我方愿意按照磋商文件的一切要求，提供服务，总报价详见《磋商报价表》。</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我方已对照采购要求，</w:t>
      </w:r>
      <w:bookmarkStart w:id="465" w:name="_Hlk131935586"/>
      <w:r>
        <w:rPr>
          <w:rFonts w:hint="eastAsia" w:ascii="宋体" w:hAnsi="宋体"/>
          <w:bCs/>
          <w:color w:val="auto"/>
          <w:sz w:val="24"/>
          <w:highlight w:val="none"/>
          <w:lang w:val="zh-CN"/>
        </w:rPr>
        <w:t xml:space="preserve">填写了报价服务的偏离情况，详见</w:t>
      </w:r>
      <w:bookmarkEnd w:id="465"/>
      <w:r>
        <w:rPr>
          <w:rFonts w:hint="eastAsia" w:ascii="宋体" w:hAnsi="宋体"/>
          <w:bCs/>
          <w:color w:val="auto"/>
          <w:sz w:val="24"/>
          <w:highlight w:val="none"/>
          <w:lang w:val="zh-CN"/>
        </w:rPr>
        <w:t xml:space="preserve">《项目技术要求偏离表》。</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我方参与报价即表示认可并遵守本磋商文件的所有规定，不再对磋商文件及相关补充更正文件提出质疑和投诉。</w:t>
      </w:r>
      <w:r>
        <w:rPr>
          <w:rFonts w:hint="eastAsia" w:ascii="宋体" w:hAnsi="宋体"/>
          <w:bCs/>
          <w:color w:val="auto"/>
          <w:sz w:val="24"/>
          <w:highlight w:val="none"/>
          <w:lang w:val="zh-CN"/>
        </w:rPr>
        <w:t xml:space="preserve">我方响应文件的有效期为响应文件提交截止之日起的60天（含提交截止当日），在特殊情况下，可与贵方协商延长响应文件的有效期。</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如果我方的响应文件被接受，我方将履行磋商文件、响应文件中规定的每一项要求，按期、按质、按量、按地点，完成服务任务。</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我方愿意根据贵方及磋商小组的要求，提供响应文件中所有材料的原件及相关证明性资料，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我方认为采购人有权确定成交供应商。</w:t>
      </w:r>
      <w:r>
        <w:rPr>
          <w:rFonts w:hint="eastAsia" w:ascii="宋体" w:hAnsi="宋体"/>
          <w:bCs/>
          <w:color w:val="auto"/>
          <w:sz w:val="24"/>
          <w:szCs w:val="24"/>
          <w:highlight w:val="none"/>
          <w:lang w:val="zh-CN"/>
        </w:rPr>
        <w:t xml:space="preserve">除因不可抗力或磋商文件认可的情形以外，我方绝不放弃成交资格</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我方愿意按《中华人民共和国民法典》和合同条款履行自己的全部责任。</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如果我方成交，我方愿意遵守磋商文件和成交通知书的规定，在指定时间和地点与采购人签订合同，并在签订合同前按磋商文件的规定交纳履约保证金。</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成交，决不采取不正当手段诋毁、排挤其他供应商，决不与采购人、其它供应商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4"/>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与本报价有关的一切正式往来函电，请联系：</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黑体" w:hAnsi="宋体" w:eastAsia="黑体"/>
          <w:bCs/>
          <w:color w:val="auto"/>
          <w:sz w:val="24"/>
          <w:szCs w:val="24"/>
          <w:highlight w:val="none"/>
        </w:rPr>
      </w:pPr>
      <w:r/>
      <w:bookmarkStart w:id="466" w:name="OLE_LINK146"/>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供应商（电子签章）：</w:t>
      </w:r>
      <w:r/>
    </w:p>
    <w:p>
      <w:pPr>
        <w:ind w:firstLine="480"/>
        <w:rPr>
          <w:rFonts w:hint="eastAsia" w:ascii="宋体" w:hAnsi="宋体"/>
          <w:color w:val="auto"/>
          <w:sz w:val="28"/>
          <w:szCs w:val="28"/>
          <w:highlight w:val="none"/>
        </w:rPr>
      </w:pPr>
      <w:r>
        <w:rPr>
          <w:rFonts w:ascii="宋体" w:hAnsi="宋体"/>
          <w:bCs/>
          <w:color w:val="auto"/>
          <w:sz w:val="24"/>
          <w:highlight w:val="none"/>
        </w:rPr>
        <w:br w:type="page" w:clear="all"/>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、明细报价表（格式）：</w:t>
      </w:r>
      <w:r/>
    </w:p>
    <w:p>
      <w:pPr>
        <w:ind w:firstLine="560"/>
        <w:jc w:val="center"/>
        <w:spacing w:before="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明细报价表 </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江苏省“三断”条件下应急指挥协同机制演练服务项目</w:t>
      </w:r>
      <w:r>
        <w:rPr>
          <w:rFonts w:hint="eastAsia" w:ascii="宋体" w:hAnsi="宋体"/>
          <w:color w:val="auto"/>
          <w:sz w:val="24"/>
          <w:szCs w:val="24"/>
          <w:highlight w:val="none"/>
        </w:rPr>
        <w:t xml:space="preserve">   </w:t>
      </w:r>
      <w:r/>
    </w:p>
    <w:p>
      <w:pPr>
        <w:jc w:val="left"/>
        <w:rPr>
          <w:rFonts w:hint="eastAsia" w:ascii="宋体" w:hAnsi="宋体"/>
          <w:color w:val="auto"/>
          <w:sz w:val="28"/>
          <w:szCs w:val="28"/>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JSZC-320282-XDFH-C2024-0030</w:t>
      </w:r>
      <w:r>
        <w:rPr>
          <w:rFonts w:hint="eastAsia" w:ascii="宋体" w:hAnsi="宋体"/>
          <w:color w:val="auto"/>
          <w:sz w:val="24"/>
          <w:szCs w:val="24"/>
          <w:highlight w:val="none"/>
        </w:rPr>
        <w:t xml:space="preserve"> </w:t>
      </w:r>
      <w:r/>
    </w:p>
    <w:tbl>
      <w:tblPr>
        <w:tblStyle w:val="736"/>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p>
            <w:pPr>
              <w:jc w:val="center"/>
              <w:rPr>
                <w:rFonts w:hint="eastAsia" w:ascii="宋体" w:hAnsi="宋体"/>
                <w:color w:val="auto"/>
                <w:szCs w:val="21"/>
                <w:highlight w:val="none"/>
              </w:rPr>
            </w:pPr>
            <w:r>
              <w:rPr>
                <w:rFonts w:hint="eastAsia" w:ascii="宋体" w:hAnsi="宋体"/>
                <w:color w:val="auto"/>
                <w:szCs w:val="21"/>
                <w:highlight w:val="none"/>
              </w:rPr>
              <w:t xml:space="preserve">(元</w:t>
            </w:r>
            <w:r>
              <w:rPr>
                <w:rFonts w:ascii="宋体" w:hAnsi="宋体"/>
                <w:color w:val="auto"/>
                <w:szCs w:val="21"/>
                <w:highlight w:val="none"/>
              </w:rPr>
              <w:t xml:space="preserve">)</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p>
            <w:pPr>
              <w:jc w:val="center"/>
              <w:rPr>
                <w:rFonts w:hint="eastAsia" w:ascii="宋体" w:hAnsi="宋体"/>
                <w:color w:val="auto"/>
                <w:szCs w:val="21"/>
                <w:highlight w:val="none"/>
              </w:rPr>
            </w:pPr>
            <w:r>
              <w:rPr>
                <w:rFonts w:hint="eastAsia" w:ascii="宋体" w:hAnsi="宋体"/>
                <w:color w:val="auto"/>
                <w:szCs w:val="21"/>
                <w:highlight w:val="none"/>
              </w:rPr>
              <w:t xml:space="preserve">(元</w:t>
            </w:r>
            <w:r>
              <w:rPr>
                <w:rFonts w:ascii="宋体" w:hAnsi="宋体"/>
                <w:color w:val="auto"/>
                <w:szCs w:val="21"/>
                <w:highlight w:val="none"/>
              </w:rPr>
              <w:t xml:space="preserve">)</w:t>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gridSpan w:val="2"/>
            <w:tcW w:w="3888" w:type="dxa"/>
            <w:vAlign w:val="center"/>
            <w:textDirection w:val="lrTb"/>
            <w:noWrap w:val="false"/>
          </w:tcPr>
          <w:p>
            <w:pPr>
              <w:jc w:val="center"/>
              <w:rPr>
                <w:rFonts w:hint="eastAsia" w:ascii="宋体" w:hAnsi="宋体"/>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 (元</w:t>
            </w:r>
            <w:r>
              <w:rPr>
                <w:rFonts w:ascii="宋体" w:hAnsi="宋体"/>
                <w:color w:val="auto"/>
                <w:szCs w:val="21"/>
                <w:highlight w:val="none"/>
              </w:rPr>
              <w:t xml:space="preserve">)</w:t>
            </w:r>
            <w:r/>
          </w:p>
        </w:tc>
        <w:tc>
          <w:tcPr>
            <w:gridSpan w:val="3"/>
            <w:tcW w:w="5967"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bl>
    <w:p>
      <w:pPr>
        <w:ind w:firstLine="420"/>
        <w:spacing w:line="360" w:lineRule="auto"/>
        <w:tabs>
          <w:tab w:val="left" w:pos="6660" w:leader="none"/>
        </w:tabs>
        <w:rPr>
          <w:rFonts w:ascii="宋体" w:hAnsi="宋体"/>
          <w:bCs/>
          <w:color w:val="auto"/>
          <w:szCs w:val="21"/>
          <w:highlight w:val="none"/>
        </w:rPr>
      </w:pPr>
      <w:r>
        <w:rPr>
          <w:rFonts w:ascii="宋体" w:hAnsi="宋体"/>
          <w:bCs/>
          <w:color w:val="auto"/>
          <w:szCs w:val="21"/>
          <w:highlight w:val="none"/>
        </w:rPr>
        <w:tab/>
      </w:r>
      <w:r/>
    </w:p>
    <w:p>
      <w:pPr>
        <w:ind w:firstLine="420"/>
        <w:spacing w:line="360" w:lineRule="auto"/>
        <w:tabs>
          <w:tab w:val="left" w:pos="6660" w:leader="none"/>
        </w:tabs>
        <w:rPr>
          <w:rFonts w:hint="eastAsia" w:ascii="宋体" w:hAnsi="宋体"/>
          <w:bCs/>
          <w:color w:val="auto"/>
          <w:szCs w:val="21"/>
          <w:highlight w:val="none"/>
        </w:rPr>
      </w:pPr>
      <w:r>
        <w:rPr>
          <w:rFonts w:hint="eastAsia" w:ascii="宋体" w:hAnsi="宋体"/>
          <w:bCs/>
          <w:color w:val="auto"/>
          <w:szCs w:val="21"/>
          <w:highlight w:val="none"/>
        </w:rPr>
      </w:r>
      <w:r/>
    </w:p>
    <w:p>
      <w:pPr>
        <w:jc w:val="center"/>
        <w:spacing w:line="360" w:lineRule="auto"/>
        <w:rPr>
          <w:color w:val="auto"/>
          <w:sz w:val="24"/>
          <w:szCs w:val="24"/>
          <w:highlight w:val="none"/>
        </w:rPr>
      </w:pPr>
      <w:r/>
      <w:bookmarkStart w:id="467" w:name="_Toc8000"/>
      <w:r>
        <w:rPr>
          <w:rFonts w:hint="eastAsia" w:ascii="宋体" w:hAnsi="宋体"/>
          <w:bCs/>
          <w:color w:val="auto"/>
          <w:sz w:val="24"/>
          <w:highlight w:val="none"/>
          <w:lang w:val="zh-CN"/>
        </w:rPr>
        <w:t xml:space="preserve">                             </w:t>
      </w:r>
      <w:r>
        <w:rPr>
          <w:color w:val="auto"/>
          <w:sz w:val="24"/>
          <w:szCs w:val="24"/>
          <w:highlight w:val="none"/>
        </w:rPr>
        <w:t xml:space="preserve">供应商（电子签章）：</w:t>
      </w:r>
      <w:r/>
    </w:p>
    <w:p>
      <w:pPr>
        <w:spacing w:line="360" w:lineRule="auto"/>
        <w:rPr>
          <w:rFonts w:hint="eastAsia"/>
          <w:color w:val="auto"/>
          <w:sz w:val="24"/>
          <w:szCs w:val="24"/>
          <w:highlight w:val="none"/>
        </w:rPr>
      </w:pPr>
      <w:r>
        <w:rPr>
          <w:rFonts w:hint="eastAsia"/>
          <w:color w:val="auto"/>
          <w:sz w:val="24"/>
          <w:szCs w:val="24"/>
          <w:highlight w:val="none"/>
        </w:rPr>
      </w:r>
      <w:bookmarkEnd w:id="467"/>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注：供应商应当根据“第三章 项目技术要求和有关说明”的内容详细填写明细报价表，须包括本次采购的所有细项及提供服务的一切费用，表格不够可自行延长；</w:t>
      </w:r>
      <w:bookmarkStart w:id="468" w:name="_Hlk160007193"/>
      <w:r>
        <w:rPr>
          <w:rFonts w:hint="eastAsia" w:ascii="宋体" w:hAnsi="宋体"/>
          <w:bCs/>
          <w:color w:val="auto"/>
          <w:szCs w:val="21"/>
          <w:highlight w:val="none"/>
        </w:rPr>
        <w:t xml:space="preserve">如本表单价计算的结果与总价不一致，以单价为准修正总价。</w:t>
      </w:r>
      <w:bookmarkEnd w:id="468"/>
      <w:r/>
      <w:bookmarkEnd w:id="466"/>
      <w:r/>
    </w:p>
    <w:p>
      <w:pPr>
        <w:ind w:left="5370" w:hanging="4740"/>
        <w:jc w:val="left"/>
        <w:spacing w:line="360" w:lineRule="auto"/>
        <w:rPr>
          <w:rFonts w:hint="eastAsia" w:ascii="黑体" w:hAnsi="宋体" w:eastAsia="黑体"/>
          <w:bCs/>
          <w:color w:val="auto"/>
          <w:sz w:val="28"/>
          <w:szCs w:val="28"/>
          <w:highlight w:val="none"/>
          <w:lang w:val="zh-CN"/>
        </w:rPr>
      </w:pP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江苏省“三断”条件下应急指挥协同机制演练服务项目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JSZC-320282-XDFH-C2024-0030</w:t>
      </w:r>
      <w:r>
        <w:rPr>
          <w:rFonts w:hint="eastAsia" w:ascii="宋体" w:hAnsi="宋体"/>
          <w:color w:val="auto"/>
          <w:sz w:val="24"/>
          <w:szCs w:val="21"/>
          <w:highlight w:val="none"/>
          <w:lang w:val="zh-CN"/>
        </w:rPr>
        <w:t xml:space="preserve"> </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黑体" w:hAnsi="宋体" w:eastAsia="黑体"/>
          <w:bCs/>
          <w:color w:val="auto"/>
          <w:sz w:val="24"/>
          <w:szCs w:val="24"/>
          <w:highlight w:val="none"/>
        </w:rPr>
      </w:pPr>
      <w:r>
        <w:rPr>
          <w:rFonts w:hint="eastAsia" w:ascii="宋体" w:hAnsi="宋体"/>
          <w:bCs/>
          <w:color w:val="auto"/>
          <w:sz w:val="24"/>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ascii="宋体" w:hAnsi="宋体"/>
          <w:bCs/>
          <w:color w:val="auto"/>
          <w:sz w:val="24"/>
          <w:highlight w:val="none"/>
        </w:rPr>
        <w:t xml:space="preserve">供应商（电子签章）：</w:t>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）供应商应对照磋商文件第</w:t>
      </w:r>
      <w:r>
        <w:rPr>
          <w:rFonts w:hint="eastAsia" w:ascii="宋体" w:hAnsi="宋体"/>
          <w:bCs/>
          <w:color w:val="auto"/>
          <w:szCs w:val="21"/>
          <w:highlight w:val="none"/>
        </w:rPr>
        <w:t xml:space="preserve">三</w:t>
      </w:r>
      <w:r>
        <w:rPr>
          <w:rFonts w:hint="eastAsia" w:ascii="宋体" w:hAnsi="宋体"/>
          <w:bCs/>
          <w:color w:val="auto"/>
          <w:szCs w:val="21"/>
          <w:highlight w:val="none"/>
          <w:lang w:val="zh-CN"/>
        </w:rPr>
        <w:t xml:space="preserve">章“项目技术要求和有关说明”的相关要求，将自身响应的偏离情况（与磋商文件要求不一致的地方）详细填入上表，并注明“正偏离/负偏离”；若未填写上表，视为完全响应。</w:t>
      </w:r>
      <w:r/>
    </w:p>
    <w:p>
      <w:pPr>
        <w:ind w:firstLine="420"/>
        <w:jc w:val="left"/>
        <w:rPr>
          <w:rFonts w:hint="eastAsia" w:ascii="黑体" w:hAnsi="宋体" w:eastAsia="黑体"/>
          <w:bCs/>
          <w:color w:val="auto"/>
          <w:sz w:val="24"/>
          <w:szCs w:val="24"/>
          <w:highlight w:val="none"/>
        </w:rPr>
      </w:pPr>
      <w:r>
        <w:rPr>
          <w:rFonts w:hint="eastAsia" w:ascii="宋体" w:hAnsi="宋体"/>
          <w:bCs/>
          <w:color w:val="auto"/>
          <w:szCs w:val="21"/>
          <w:highlight w:val="none"/>
        </w:rPr>
        <w:t xml:space="preserve">（2）磋商文件第三章“项目技术要求和有关说明”中若有要求提供相关证明材料的必须提供，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rPr>
          <w:rFonts w:ascii="黑体" w:hAnsi="宋体" w:eastAsia="黑体"/>
          <w:bCs/>
          <w:color w:val="auto"/>
          <w:sz w:val="24"/>
          <w:szCs w:val="24"/>
          <w:highlight w:val="none"/>
        </w:rPr>
        <w:br w:type="page" w:clear="all"/>
      </w:r>
      <w:r>
        <w:rPr>
          <w:rFonts w:ascii="黑体" w:hAnsi="宋体" w:eastAsia="黑体"/>
          <w:bCs/>
          <w:color w:val="auto"/>
          <w:sz w:val="24"/>
          <w:szCs w:val="24"/>
          <w:highlight w:val="none"/>
        </w:rPr>
        <w:t xml:space="preserve">    4</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江苏省“三断”条件下应急指挥协同机制演练服务项目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JSZC-320282-XDFH-C2024-0030</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20"/>
        <w:rPr>
          <w:rFonts w:hint="eastAsia"/>
          <w:color w:val="auto"/>
          <w:highlight w:val="none"/>
        </w:rPr>
      </w:pPr>
      <w:r>
        <w:rPr>
          <w:rFonts w:hint="eastAsia" w:ascii="宋体" w:hAnsi="宋体"/>
          <w:color w:val="auto"/>
          <w:highlight w:val="none"/>
        </w:rPr>
        <w:t xml:space="preserve">1.表格不够可自行延长。</w:t>
      </w:r>
      <w:r/>
    </w:p>
    <w:p>
      <w:pPr>
        <w:ind w:firstLine="420"/>
        <w:rPr>
          <w:rFonts w:hint="eastAsia"/>
          <w:color w:val="auto"/>
          <w:highlight w:val="none"/>
        </w:rPr>
      </w:pPr>
      <w:r>
        <w:rPr>
          <w:rFonts w:hint="eastAsia" w:ascii="宋体" w:hAnsi="宋体"/>
          <w:color w:val="auto"/>
          <w:highlight w:val="none"/>
        </w:rPr>
        <w:t xml:space="preserve">2.</w:t>
      </w:r>
      <w:bookmarkStart w:id="469" w:name="_Hlk164083408"/>
      <w:r>
        <w:rPr>
          <w:rFonts w:hint="eastAsia" w:ascii="宋体" w:hAnsi="宋体"/>
          <w:color w:val="auto"/>
          <w:highlight w:val="none"/>
        </w:rPr>
        <w:t xml:space="preserve">应按磋商文件要求配备项目人员及提供相关证明材料，以满足项目的</w:t>
      </w:r>
      <w:bookmarkEnd w:id="469"/>
      <w:r>
        <w:rPr>
          <w:rFonts w:hint="eastAsia" w:ascii="宋体" w:hAnsi="宋体"/>
          <w:color w:val="auto"/>
          <w:highlight w:val="none"/>
        </w:rPr>
        <w:t xml:space="preserve">基准要求，否则报价无效。</w:t>
      </w:r>
      <w:r/>
    </w:p>
    <w:p>
      <w:pPr>
        <w:ind w:firstLine="420"/>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spacing w:line="360" w:lineRule="auto"/>
        <w:rPr>
          <w:rFonts w:ascii="黑体" w:hAnsi="宋体" w:eastAsia="黑体"/>
          <w:bCs/>
          <w:color w:val="auto"/>
          <w:sz w:val="24"/>
          <w:szCs w:val="24"/>
          <w:highlight w:val="none"/>
        </w:rPr>
      </w:pPr>
      <w:r>
        <w:rPr>
          <w:rFonts w:hint="eastAsia" w:ascii="宋体" w:hAnsi="宋体"/>
          <w:bCs/>
          <w:color w:val="auto"/>
          <w:sz w:val="24"/>
          <w:highlight w:val="none"/>
          <w:lang w:val="zh-CN"/>
        </w:rPr>
        <w:t xml:space="preserve">                              供应商（电子签章）：</w:t>
      </w:r>
      <w:r/>
    </w:p>
    <w:p>
      <w:pPr>
        <w:ind w:firstLine="480"/>
        <w:spacing w:after="156"/>
        <w:rPr>
          <w:rFonts w:hint="eastAsia" w:ascii="黑体" w:hAnsi="宋体" w:eastAsia="黑体"/>
          <w:bCs/>
          <w:color w:val="auto"/>
          <w:sz w:val="24"/>
          <w:szCs w:val="24"/>
          <w:highlight w:val="none"/>
          <w:lang w:val="zh-CN"/>
        </w:rPr>
      </w:pPr>
      <w:r>
        <w:rPr>
          <w:rFonts w:ascii="宋体" w:hAnsi="宋体"/>
          <w:bCs/>
          <w:color w:val="auto"/>
          <w:sz w:val="24"/>
          <w:highlight w:val="none"/>
          <w:lang w:val="zh-CN"/>
        </w:rPr>
        <w:br w:type="page" w:clear="all"/>
      </w:r>
      <w:r>
        <w:rPr>
          <w:rFonts w:ascii="黑体" w:hAnsi="宋体" w:eastAsia="黑体"/>
          <w:bCs/>
          <w:color w:val="auto"/>
          <w:sz w:val="24"/>
          <w:szCs w:val="24"/>
          <w:highlight w:val="none"/>
          <w:lang w:val="zh-CN"/>
        </w:rPr>
        <w:t xml:space="preserve">5</w:t>
      </w:r>
      <w:r>
        <w:rPr>
          <w:rFonts w:hint="eastAsia" w:ascii="黑体" w:hAnsi="宋体" w:eastAsia="黑体"/>
          <w:bCs/>
          <w:color w:val="auto"/>
          <w:sz w:val="24"/>
          <w:szCs w:val="24"/>
          <w:highlight w:val="none"/>
          <w:lang w:val="zh-CN"/>
        </w:rPr>
        <w:t xml:space="preserve">、服务内容详细说明（格式自拟）</w:t>
      </w:r>
      <w:r/>
    </w:p>
    <w:p>
      <w:pPr>
        <w:ind w:firstLine="480"/>
        <w:jc w:val="left"/>
        <w:spacing w:after="156"/>
        <w:rPr>
          <w:rFonts w:ascii="宋体" w:hAnsi="宋体"/>
          <w:color w:val="auto"/>
          <w:sz w:val="24"/>
          <w:szCs w:val="24"/>
          <w:highlight w:val="none"/>
        </w:rPr>
      </w:pPr>
      <w:r>
        <w:rPr>
          <w:rFonts w:hint="eastAsia" w:ascii="宋体" w:hAnsi="宋体"/>
          <w:color w:val="auto"/>
          <w:sz w:val="24"/>
          <w:szCs w:val="24"/>
          <w:highlight w:val="none"/>
        </w:rPr>
        <w:t xml:space="preserve">供应商根据“第三章 项目技术要求和有关说明”提出的技术、服务、人员等实质性要求，提供项目实施详细说明及相关证明材料。磋商文件中要求进行承诺的，应当进行承诺。</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after="156"/>
        <w:rPr>
          <w:rFonts w:ascii="黑体" w:hAnsi="宋体" w:eastAsia="黑体"/>
          <w:bCs/>
          <w:color w:val="auto"/>
          <w:sz w:val="28"/>
          <w:szCs w:val="28"/>
          <w:highlight w:val="none"/>
        </w:rPr>
      </w:pPr>
      <w:r>
        <w:rPr>
          <w:rFonts w:hint="eastAsia" w:ascii="宋体" w:hAnsi="宋体"/>
          <w:color w:val="auto"/>
          <w:sz w:val="28"/>
          <w:szCs w:val="28"/>
          <w:highlight w:val="none"/>
        </w:rPr>
        <w:br w:type="page" w:clear="all"/>
      </w:r>
      <w:bookmarkStart w:id="470" w:name="_Hlk151563802"/>
      <w:r>
        <w:rPr>
          <w:rFonts w:hint="eastAsia" w:ascii="黑体" w:hAnsi="宋体" w:eastAsia="黑体"/>
          <w:bCs/>
          <w:color w:val="auto"/>
          <w:sz w:val="28"/>
          <w:szCs w:val="28"/>
          <w:highlight w:val="none"/>
        </w:rPr>
        <w:t xml:space="preserve">（</w:t>
      </w:r>
      <w:r>
        <w:rPr>
          <w:rFonts w:hint="eastAsia" w:ascii="黑体" w:hAnsi="宋体" w:eastAsia="黑体"/>
          <w:bCs/>
          <w:color w:val="auto"/>
          <w:sz w:val="28"/>
          <w:szCs w:val="28"/>
          <w:highlight w:val="none"/>
          <w:lang w:val="en-US" w:eastAsia="zh-CN"/>
        </w:rPr>
        <w:t xml:space="preserve">四</w:t>
      </w:r>
      <w:r>
        <w:rPr>
          <w:rFonts w:hint="eastAsia" w:ascii="黑体" w:hAnsi="宋体" w:eastAsia="黑体"/>
          <w:bCs/>
          <w:color w:val="auto"/>
          <w:sz w:val="28"/>
          <w:szCs w:val="28"/>
          <w:highlight w:val="none"/>
        </w:rPr>
        <w:t xml:space="preserve">）价格折扣文件</w:t>
      </w:r>
      <w:r/>
    </w:p>
    <w:p>
      <w:pPr>
        <w:jc w:val="center"/>
        <w:spacing w:after="156"/>
        <w:rPr>
          <w:rFonts w:ascii="宋体" w:hAnsi="宋体"/>
          <w:color w:val="auto"/>
          <w:sz w:val="24"/>
          <w:szCs w:val="24"/>
          <w:highlight w:val="none"/>
          <w:lang w:val="zh-CN"/>
        </w:rPr>
      </w:pPr>
      <w:r>
        <w:rPr>
          <w:rFonts w:hint="eastAsia" w:ascii="黑体" w:hAnsi="宋体" w:eastAsia="黑体"/>
          <w:bCs/>
          <w:color w:val="auto"/>
          <w:sz w:val="28"/>
          <w:szCs w:val="28"/>
          <w:highlight w:val="none"/>
        </w:rPr>
        <w:t xml:space="preserve">企业报价折扣证明</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45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企业性质</w:t>
            </w:r>
            <w:r/>
          </w:p>
        </w:tc>
        <w:tc>
          <w:tcPr>
            <w:tcW w:w="2454"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427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color w:val="auto"/>
                <w:szCs w:val="21"/>
                <w:highlight w:val="none"/>
              </w:rPr>
              <w:t xml:space="preserve">1</w:t>
            </w:r>
            <w:r/>
          </w:p>
        </w:tc>
        <w:tc>
          <w:tcPr>
            <w:tcW w:w="145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小微型企业</w:t>
            </w:r>
            <w:r/>
          </w:p>
        </w:tc>
        <w:tc>
          <w:tcPr>
            <w:tcW w:w="245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服务的承接商为</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小微企业</w:t>
            </w:r>
            <w:r/>
          </w:p>
        </w:tc>
        <w:tc>
          <w:tcPr>
            <w:tcW w:w="4276" w:type="dxa"/>
            <w:vAlign w:val="center"/>
            <w:textDirection w:val="lrTb"/>
            <w:noWrap w:val="false"/>
          </w:tcPr>
          <w:p>
            <w:pPr>
              <w:jc w:val="left"/>
              <w:spacing w:line="360" w:lineRule="auto"/>
              <w:rPr>
                <w:rFonts w:hint="eastAsia" w:ascii="宋体" w:hAnsi="宋体" w:cs="宋体"/>
                <w:bCs/>
                <w:color w:val="auto"/>
                <w:szCs w:val="21"/>
                <w:highlight w:val="none"/>
              </w:rPr>
            </w:pPr>
            <w:r/>
            <w:bookmarkStart w:id="471" w:name="OLE_LINK72"/>
            <w:r>
              <w:rPr>
                <w:rFonts w:hint="eastAsia" w:ascii="宋体" w:hAnsi="宋体" w:cs="宋体"/>
                <w:bCs/>
                <w:color w:val="auto"/>
                <w:szCs w:val="21"/>
                <w:highlight w:val="none"/>
              </w:rPr>
              <w:t xml:space="preserve">《中小企业声明函》</w:t>
            </w:r>
            <w:bookmarkEnd w:id="471"/>
            <w:r/>
            <w:bookmarkStart w:id="472" w:name="OLE_LINK65"/>
            <w:r>
              <w:rPr>
                <w:rFonts w:hint="eastAsia" w:ascii="宋体" w:hAnsi="宋体" w:cs="宋体"/>
                <w:bCs/>
                <w:color w:val="auto"/>
                <w:szCs w:val="21"/>
                <w:highlight w:val="none"/>
              </w:rPr>
              <w:t xml:space="preserve">（格式见附件1）</w:t>
            </w:r>
            <w:bookmarkEnd w:id="472"/>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2</w:t>
            </w:r>
            <w:r/>
          </w:p>
        </w:tc>
        <w:tc>
          <w:tcPr>
            <w:tcW w:w="145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2454" w:type="dxa"/>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服务的承接商为</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4276" w:type="dxa"/>
            <w:vAlign w:val="center"/>
            <w:textDirection w:val="lrTb"/>
            <w:noWrap w:val="false"/>
          </w:tcPr>
          <w:p>
            <w:pPr>
              <w:jc w:val="left"/>
              <w:spacing w:line="360" w:lineRule="auto"/>
              <w:rPr>
                <w:rFonts w:hint="eastAsia" w:ascii="宋体" w:hAnsi="宋体" w:cs="宋体"/>
                <w:bCs/>
                <w:color w:val="auto"/>
                <w:szCs w:val="21"/>
                <w:highlight w:val="none"/>
              </w:rPr>
            </w:pPr>
            <w:r/>
            <w:bookmarkStart w:id="473" w:name="OLE_LINK73"/>
            <w:r>
              <w:rPr>
                <w:rFonts w:hint="eastAsia" w:ascii="宋体" w:hAnsi="宋体" w:cs="宋体"/>
                <w:bCs/>
                <w:color w:val="auto"/>
                <w:szCs w:val="21"/>
                <w:highlight w:val="none"/>
              </w:rPr>
              <w:t xml:space="preserve">《残疾人福利性单位声明函》</w:t>
            </w:r>
            <w:bookmarkEnd w:id="473"/>
            <w:r>
              <w:rPr>
                <w:rFonts w:hint="eastAsia" w:ascii="宋体" w:hAnsi="宋体" w:cs="宋体"/>
                <w:bCs/>
                <w:color w:val="auto"/>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3</w:t>
            </w:r>
            <w:r/>
          </w:p>
        </w:tc>
        <w:tc>
          <w:tcPr>
            <w:tcW w:w="145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54"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服务的承接商为</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监狱企业</w:t>
            </w:r>
            <w:r/>
          </w:p>
        </w:tc>
        <w:tc>
          <w:tcPr>
            <w:tcW w:w="4276"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474" w:name="OLE_LINK264"/>
      <w:r>
        <w:rPr>
          <w:rFonts w:hint="eastAsia" w:ascii="宋体" w:hAnsi="宋体" w:cs="宋体"/>
          <w:color w:val="auto"/>
          <w:szCs w:val="21"/>
          <w:highlight w:val="none"/>
          <w:lang w:val="zh-CN"/>
        </w:rPr>
        <w:t xml:space="preserve">如本项目给予报价扣除优惠，供应商应当根据磋商文件要求提供相关证明材料（如有），以提供的有效证明材料为准 。</w:t>
      </w:r>
      <w:bookmarkEnd w:id="474"/>
      <w:r/>
    </w:p>
    <w:p>
      <w:pPr>
        <w:ind w:firstLine="480"/>
        <w:jc w:val="left"/>
        <w:spacing w:line="240" w:lineRule="atLeas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left"/>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lang w:val="zh-CN" w:eastAsia="zh-CN"/>
        </w:rPr>
        <w:br w:type="page" w:clear="all"/>
      </w:r>
      <w:bookmarkEnd w:id="470"/>
      <w:r>
        <w:rPr>
          <w:rFonts w:hint="eastAsia" w:ascii="黑体" w:hAnsi="宋体" w:eastAsia="黑体"/>
          <w:bCs/>
          <w:color w:val="auto"/>
          <w:sz w:val="24"/>
          <w:szCs w:val="24"/>
          <w:highlight w:val="none"/>
        </w:rPr>
        <w:t xml:space="preserve">附件1：中小企业声明函（格式）：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pPr>
      <w:r/>
      <w:bookmarkStart w:id="475" w:name="OLE_LINK150"/>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本公司（联合体）郑重声明，根据《政府采购促进中小企业发展管理办法》（财库﹝2021﹞46 号）的规定，本公司（联合体）参加</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（中型企业、小型企业、微型企业）；</w:t>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（中型企业、小型企业、微型企业）；</w:t>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left="5460" w:hanging="5460"/>
        <w:jc w:val="center"/>
        <w:spacing w:before="156" w:line="360" w:lineRule="auto"/>
        <w:rPr>
          <w:color w:val="auto"/>
          <w:sz w:val="24"/>
          <w:szCs w:val="24"/>
          <w:highlight w:val="none"/>
        </w:rPr>
      </w:pPr>
      <w:r>
        <w:rPr>
          <w:rFonts w:hint="eastAsia" w:ascii="宋体" w:hAnsi="宋体"/>
          <w:bCs/>
          <w:color w:val="auto"/>
          <w:sz w:val="24"/>
          <w:highlight w:val="none"/>
        </w:rPr>
        <w:t xml:space="preserve">                              </w:t>
      </w:r>
      <w:r>
        <w:rPr>
          <w:color w:val="auto"/>
          <w:sz w:val="24"/>
          <w:szCs w:val="24"/>
          <w:highlight w:val="none"/>
        </w:rPr>
        <w:t xml:space="preserve">供应商（电子签章）：</w:t>
      </w:r>
      <w:r/>
    </w:p>
    <w:p>
      <w:pPr>
        <w:ind w:left="5460" w:hanging="5460"/>
        <w:jc w:val="left"/>
        <w:spacing w:before="156" w:line="360" w:lineRule="auto"/>
        <w:rPr>
          <w:rFonts w:ascii="宋体" w:hAnsi="宋体"/>
          <w:color w:val="auto"/>
          <w:sz w:val="24"/>
          <w:szCs w:val="21"/>
          <w:highlight w:val="none"/>
        </w:rPr>
      </w:pPr>
      <w:r/>
      <w:bookmarkStart w:id="476" w:name="OLE_LINK205"/>
      <w:r/>
      <w:r/>
    </w:p>
    <w:p>
      <w:pPr>
        <w:ind w:left="5460" w:hanging="5460"/>
        <w:jc w:val="left"/>
        <w:spacing w:before="156" w:line="360" w:lineRule="auto"/>
        <w:rPr>
          <w:rFonts w:ascii="宋体" w:hAnsi="宋体"/>
          <w:color w:val="auto"/>
          <w:sz w:val="24"/>
          <w:szCs w:val="21"/>
          <w:highlight w:val="none"/>
        </w:rPr>
      </w:pPr>
      <w:r>
        <w:rPr>
          <w:rFonts w:ascii="宋体" w:hAnsi="宋体"/>
          <w:color w:val="auto"/>
          <w:sz w:val="24"/>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477" w:name="_Hlk131935698"/>
      <w:r>
        <w:rPr>
          <w:rFonts w:hint="eastAsia" w:ascii="宋体" w:hAnsi="宋体"/>
          <w:bCs/>
          <w:color w:val="auto"/>
          <w:szCs w:val="21"/>
          <w:highlight w:val="none"/>
        </w:rPr>
        <w:t xml:space="preserve">（1）供应商应准确完整填写相关内容，详见第二章供应商须知相关要求。</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477"/>
      <w:r/>
    </w:p>
    <w:p>
      <w:pPr>
        <w:ind w:firstLine="421"/>
        <w:spacing w:line="360" w:lineRule="auto"/>
        <w:rPr>
          <w:rFonts w:hint="eastAsia" w:ascii="宋体" w:hAnsi="宋体"/>
          <w:color w:val="auto"/>
          <w:szCs w:val="21"/>
          <w:highlight w:val="none"/>
          <w:lang w:val="zh-CN"/>
        </w:rPr>
      </w:pPr>
      <w:r>
        <w:rPr>
          <w:rFonts w:ascii="宋体" w:hAnsi="宋体"/>
          <w:bCs/>
          <w:color w:val="auto"/>
          <w:szCs w:val="21"/>
          <w:highlight w:val="none"/>
        </w:rPr>
        <w:br w:type="page" w:clear="all"/>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附件2：残疾人福利性单位声明函（格式）：</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rPr>
          <w:rFonts w:hint="eastAsia" w:ascii="黑体" w:eastAsia="黑体"/>
          <w:bCs/>
          <w:color w:val="auto"/>
          <w:sz w:val="28"/>
          <w:szCs w:val="28"/>
          <w:highlight w:val="none"/>
        </w:rPr>
      </w:pPr>
      <w:r/>
      <w:bookmarkStart w:id="478" w:name="OLE_LINK64"/>
      <w:r/>
      <w:bookmarkStart w:id="479" w:name="OLE_LINK33"/>
      <w:r>
        <w:rPr>
          <w:rFonts w:hint="eastAsia" w:ascii="黑体" w:eastAsia="黑体"/>
          <w:bCs/>
          <w:color w:val="auto"/>
          <w:sz w:val="28"/>
          <w:szCs w:val="28"/>
          <w:highlight w:val="none"/>
        </w:rPr>
        <w:t xml:space="preserve">残疾人福利性单位</w:t>
      </w:r>
      <w:bookmarkEnd w:id="478"/>
      <w:r>
        <w:rPr>
          <w:rFonts w:hint="eastAsia" w:ascii="黑体" w:eastAsia="黑体"/>
          <w:bCs/>
          <w:color w:val="auto"/>
          <w:sz w:val="28"/>
          <w:szCs w:val="28"/>
          <w:highlight w:val="none"/>
        </w:rPr>
        <w:t xml:space="preserve">声明函</w:t>
      </w:r>
      <w:bookmarkEnd w:id="476"/>
      <w:r/>
      <w:bookmarkEnd w:id="479"/>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141号）的规定，本单位为符合条件的残疾人福利性单位，且本单位参加______单位的______项目采购活动，服务全部由本单位提供。</w:t>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bookmarkEnd w:id="475"/>
      <w:r/>
    </w:p>
    <w:p>
      <w:pPr>
        <w:ind w:left="5460" w:hanging="5460"/>
        <w:jc w:val="center"/>
        <w:spacing w:before="156" w:line="360" w:lineRule="auto"/>
        <w:rPr>
          <w:rFonts w:hint="eastAsia" w:ascii="黑体" w:hAnsi="宋体" w:eastAsia="黑体"/>
          <w:bCs/>
          <w:color w:val="auto"/>
          <w:sz w:val="24"/>
          <w:szCs w:val="24"/>
          <w:highlight w:val="none"/>
        </w:rPr>
      </w:pPr>
      <w:r>
        <w:rPr>
          <w:rFonts w:hint="eastAsia" w:ascii="宋体" w:hAnsi="宋体"/>
          <w:bCs/>
          <w:color w:val="auto"/>
          <w:sz w:val="24"/>
          <w:highlight w:val="none"/>
        </w:rPr>
        <w:t xml:space="preserve">                             </w:t>
      </w:r>
      <w:r>
        <w:rPr>
          <w:color w:val="auto"/>
          <w:sz w:val="24"/>
          <w:szCs w:val="24"/>
          <w:highlight w:val="none"/>
        </w:rPr>
        <w:t xml:space="preserve">供应商（电子签章）：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br w:type="page" w:clear="all"/>
      </w:r>
      <w:bookmarkStart w:id="480" w:name="_Hlk151563840"/>
      <w:r>
        <w:rPr>
          <w:rFonts w:hint="eastAsia" w:ascii="黑体" w:hAnsi="宋体" w:eastAsia="黑体"/>
          <w:bCs/>
          <w:color w:val="auto"/>
          <w:sz w:val="28"/>
          <w:szCs w:val="28"/>
          <w:highlight w:val="none"/>
        </w:rPr>
        <w:t xml:space="preserve">（</w:t>
      </w:r>
      <w:r>
        <w:rPr>
          <w:rFonts w:hint="eastAsia" w:ascii="黑体" w:hAnsi="宋体" w:eastAsia="黑体"/>
          <w:bCs/>
          <w:color w:val="auto"/>
          <w:sz w:val="28"/>
          <w:szCs w:val="28"/>
          <w:highlight w:val="none"/>
          <w:lang w:val="en-US" w:eastAsia="zh-CN"/>
        </w:rPr>
        <w:t xml:space="preserve">五</w:t>
      </w:r>
      <w:r>
        <w:rPr>
          <w:rFonts w:hint="eastAsia" w:ascii="黑体" w:hAnsi="宋体" w:eastAsia="黑体"/>
          <w:bCs/>
          <w:color w:val="auto"/>
          <w:sz w:val="28"/>
          <w:szCs w:val="28"/>
          <w:highlight w:val="none"/>
        </w:rPr>
        <w:t xml:space="preserve">）其他相关材料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供应商根据评审方法和标准等要求，</w:t>
      </w:r>
      <w:bookmarkEnd w:id="480"/>
      <w:r>
        <w:rPr>
          <w:rFonts w:hint="eastAsia" w:ascii="宋体" w:hAnsi="宋体" w:cs="宋体"/>
          <w:color w:val="auto"/>
          <w:sz w:val="24"/>
          <w:szCs w:val="24"/>
          <w:highlight w:val="none"/>
          <w:lang w:val="zh-CN"/>
        </w:rPr>
        <w:t xml:space="preserve">提交认为需要提供的相关证明材料，如未提供证明材料的，相关评分项不得分。</w:t>
      </w:r>
      <w:r/>
    </w:p>
    <w:p>
      <w:pPr>
        <w:ind w:firstLine="480"/>
        <w:jc w:val="left"/>
        <w:rPr>
          <w:rFonts w:hint="eastAsia" w:ascii="宋体" w:hAnsi="宋体"/>
          <w:bCs/>
          <w:color w:val="auto"/>
          <w:sz w:val="24"/>
          <w:highlight w:val="none"/>
        </w:rPr>
      </w:pPr>
      <w:r>
        <w:rPr>
          <w:rFonts w:hint="eastAsia" w:ascii="宋体" w:hAnsi="宋体"/>
          <w:bCs/>
          <w:color w:val="auto"/>
          <w:sz w:val="24"/>
          <w:highlight w:val="none"/>
        </w:rPr>
      </w:r>
      <w:r/>
    </w:p>
    <w:p>
      <w:pPr>
        <w:rPr>
          <w:rFonts w:ascii="宋体" w:hAnsi="宋体"/>
          <w:color w:val="auto"/>
          <w:sz w:val="24"/>
          <w:szCs w:val="21"/>
          <w:highlight w:val="none"/>
        </w:rPr>
      </w:pPr>
      <w:r>
        <w:rPr>
          <w:rFonts w:ascii="宋体" w:hAnsi="宋体"/>
          <w:color w:val="auto"/>
          <w:sz w:val="24"/>
          <w:szCs w:val="21"/>
          <w:highlight w:val="none"/>
        </w:rPr>
      </w:r>
      <w:r/>
    </w:p>
    <w:p>
      <w:pPr>
        <w:spacing w:line="360" w:lineRule="auto"/>
        <w:rPr>
          <w:rFonts w:hint="eastAsia" w:ascii="宋体" w:hAnsi="宋体"/>
          <w:color w:val="auto"/>
          <w:sz w:val="24"/>
          <w:szCs w:val="21"/>
          <w:highlight w:val="none"/>
          <w:lang w:val="zh-CN"/>
        </w:rPr>
        <w:outlineLvl w:val="0"/>
      </w:pPr>
      <w:r>
        <w:rPr>
          <w:rFonts w:hint="eastAsia" w:ascii="黑体" w:hAnsi="宋体" w:eastAsia="黑体"/>
          <w:bCs/>
          <w:color w:val="auto"/>
          <w:sz w:val="28"/>
          <w:szCs w:val="28"/>
          <w:highlight w:val="none"/>
        </w:rPr>
        <w:t xml:space="preserve">（</w:t>
      </w:r>
      <w:r>
        <w:rPr>
          <w:rFonts w:hint="eastAsia" w:ascii="黑体" w:hAnsi="宋体" w:eastAsia="黑体"/>
          <w:bCs/>
          <w:color w:val="auto"/>
          <w:sz w:val="28"/>
          <w:szCs w:val="28"/>
          <w:highlight w:val="none"/>
          <w:lang w:val="en-US" w:eastAsia="zh-CN"/>
        </w:rPr>
        <w:t xml:space="preserve">六</w:t>
      </w:r>
      <w:r>
        <w:rPr>
          <w:rFonts w:hint="eastAsia" w:ascii="黑体" w:hAnsi="宋体" w:eastAsia="黑体"/>
          <w:bCs/>
          <w:color w:val="auto"/>
          <w:sz w:val="28"/>
          <w:szCs w:val="28"/>
          <w:highlight w:val="none"/>
        </w:rPr>
        <w:t xml:space="preserve">）技术商务部分评分导读表（格式）</w:t>
      </w:r>
      <w:r>
        <w:rPr>
          <w:rFonts w:hint="eastAsia" w:ascii="黑体" w:hAnsi="宋体" w:eastAsia="黑体"/>
          <w:bCs/>
          <w:color w:val="auto"/>
          <w:sz w:val="24"/>
          <w:szCs w:val="24"/>
          <w:highlight w:val="none"/>
        </w:rPr>
        <w:t xml:space="preserve">：</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技术商务部分评分导读表</w:t>
      </w:r>
      <w:r/>
    </w:p>
    <w:p>
      <w:pPr>
        <w:spacing w:before="156" w:after="156"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供应商（</w:t>
      </w:r>
      <w:r>
        <w:rPr>
          <w:color w:val="auto"/>
          <w:sz w:val="24"/>
          <w:szCs w:val="24"/>
          <w:highlight w:val="none"/>
        </w:rPr>
        <w:t xml:space="preserve">电子签章</w:t>
      </w:r>
      <w:r>
        <w:rPr>
          <w:rFonts w:hint="eastAsia" w:ascii="宋体" w:hAnsi="宋体"/>
          <w:color w:val="auto"/>
          <w:sz w:val="24"/>
          <w:szCs w:val="21"/>
          <w:highlight w:val="none"/>
          <w:lang w:val="zh-CN"/>
        </w:rPr>
        <w:t xml:space="preserve">）：             项目编号：</w:t>
      </w:r>
      <w:r>
        <w:rPr>
          <w:rFonts w:hint="eastAsia" w:ascii="宋体" w:hAnsi="宋体"/>
          <w:color w:val="auto"/>
          <w:sz w:val="24"/>
          <w:szCs w:val="24"/>
          <w:highlight w:val="none"/>
          <w:lang w:eastAsia="zh-CN"/>
        </w:rPr>
        <w:t xml:space="preserve">JSZC-320282-XDFH-C2024-0030</w:t>
      </w:r>
      <w:r>
        <w:rPr>
          <w:rFonts w:hint="eastAsia" w:ascii="宋体" w:hAnsi="宋体"/>
          <w:color w:val="auto"/>
          <w:sz w:val="24"/>
          <w:szCs w:val="21"/>
          <w:highlight w:val="none"/>
          <w:lang w:val="zh-CN"/>
        </w:rPr>
        <w:t xml:space="preserve"> </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注：供应商应对照磋商文件“第</w:t>
      </w:r>
      <w:r>
        <w:rPr>
          <w:rFonts w:hint="eastAsia" w:ascii="宋体" w:hAnsi="宋体"/>
          <w:bCs/>
          <w:color w:val="auto"/>
          <w:sz w:val="24"/>
          <w:szCs w:val="24"/>
          <w:highlight w:val="none"/>
          <w:lang w:val="zh-CN"/>
        </w:rPr>
        <w:t xml:space="preserve">四</w:t>
      </w:r>
      <w:r>
        <w:rPr>
          <w:rFonts w:hint="eastAsia" w:ascii="宋体" w:hAnsi="宋体"/>
          <w:bCs/>
          <w:color w:val="auto"/>
          <w:sz w:val="24"/>
          <w:szCs w:val="24"/>
          <w:highlight w:val="none"/>
          <w:lang w:val="zh-CN"/>
        </w:rPr>
        <w:t xml:space="preserve">章评审方法和标准”的相关要求，根据自身响应情况填写上表；并在“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。表格不够可自行延长。</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5460" w:hanging="5460"/>
        <w:jc w:val="center"/>
        <w:spacing w:before="156" w:line="360" w:lineRule="auto"/>
        <w:rPr>
          <w:rFonts w:hint="eastAsia" w:ascii="黑体" w:hAnsi="宋体" w:eastAsia="黑体"/>
          <w:bCs/>
          <w:color w:val="auto"/>
          <w:sz w:val="24"/>
          <w:szCs w:val="24"/>
          <w:highlight w:val="none"/>
        </w:rPr>
      </w:pPr>
      <w:r>
        <w:rPr>
          <w:rFonts w:hint="eastAsia" w:ascii="宋体" w:hAnsi="宋体"/>
          <w:bCs/>
          <w:color w:val="auto"/>
          <w:sz w:val="24"/>
          <w:highlight w:val="none"/>
        </w:rPr>
        <w:t xml:space="preserve">                                          </w:t>
      </w:r>
      <w:r/>
    </w:p>
    <w:p>
      <w:pPr>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spacing w:line="360" w:lineRule="auto"/>
        <w:tabs>
          <w:tab w:val="left" w:pos="25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sectPr>
      <w:headerReference w:type="default" r:id="rId9"/>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Courier New">
    <w:panose1 w:val="02070309020205020404"/>
  </w:font>
  <w:font w:name="楷体_GB2312">
    <w:panose1 w:val="02010609060101010101"/>
  </w:font>
  <w:font w:name="Consolas">
    <w:panose1 w:val="020B060902020403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framePr w:wrap="around" w:vAnchor="text" w:hAnchor="margin" w:xAlign="center" w:yAlign="top"/>
    </w:pPr>
    <w:r>
      <w:fldChar w:fldCharType="begin"/>
    </w:r>
    <w:r>
      <w:rPr>
        <w:rStyle w:val="758"/>
      </w:rPr>
      <w:instrText xml:space="preserve"> PAGE  </w:instrText>
    </w:r>
    <w:r>
      <w:fldChar w:fldCharType="separate"/>
    </w:r>
    <w:r>
      <w:rPr>
        <w:rStyle w:val="758"/>
      </w:rPr>
      <w:t xml:space="preserve">- 1 -</w:t>
    </w:r>
    <w:r>
      <w:fldChar w:fldCharType="end"/>
    </w:r>
    <w:r/>
  </w:p>
  <w:p>
    <w:pPr>
      <w:pStyle w:val="7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framePr w:wrap="around" w:vAnchor="text" w:hAnchor="margin" w:xAlign="right" w:yAlign="top"/>
    </w:pPr>
    <w:r>
      <w:fldChar w:fldCharType="begin"/>
    </w:r>
    <w:r>
      <w:instrText xml:space="preserve">PAGE   \* MERGEFORMAT</w:instrText>
    </w:r>
    <w:r>
      <w:fldChar w:fldCharType="separate"/>
    </w:r>
    <w:r>
      <w:rPr>
        <w:lang w:val="zh-CN"/>
      </w:rPr>
      <w:t xml:space="preserve">1</w:t>
    </w:r>
    <w:r>
      <w:rPr>
        <w:lang w:val="zh-CN"/>
      </w:rPr>
      <w:fldChar w:fldCharType="end"/>
    </w:r>
    <w:r/>
  </w:p>
  <w:p>
    <w:pPr>
      <w:pStyle w:val="744"/>
      <w:framePr w:wrap="around" w:vAnchor="text" w:hAnchor="margin" w:xAlign="right" w:yAlign="top"/>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043120"/>
      <w:rPr/>
    </w:sdtPr>
    <w:sdtContent>
      <w:p>
        <w:pPr>
          <w:pStyle w:val="744"/>
          <w:jc w:val="center"/>
        </w:pPr>
        <w:r>
          <w:fldChar w:fldCharType="begin"/>
        </w:r>
        <w:r>
          <w:instrText xml:space="preserve">PAGE   \* MERGEFORMAT</w:instrText>
        </w:r>
        <w:r>
          <w:fldChar w:fldCharType="separate"/>
        </w:r>
        <w:r>
          <w:rPr>
            <w:lang w:val="zh-CN"/>
          </w:rPr>
          <w:t xml:space="preserve">-</w:t>
        </w:r>
        <w:r>
          <w:t xml:space="preserve"> 20 -</w:t>
        </w:r>
        <w:r>
          <w:fldChar w:fldCharType="end"/>
        </w:r>
        <w:r/>
      </w:p>
    </w:sdtContent>
  </w:sdt>
  <w:p>
    <w:pPr>
      <w:pStyle w:val="74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framePr w:wrap="around" w:vAnchor="text" w:hAnchor="margin" w:xAlign="center" w:yAlign="top"/>
    </w:pPr>
    <w:r>
      <w:fldChar w:fldCharType="begin"/>
    </w:r>
    <w:r>
      <w:rPr>
        <w:rStyle w:val="758"/>
      </w:rPr>
      <w:instrText xml:space="preserve"> PAGE  </w:instrText>
    </w:r>
    <w:r>
      <w:fldChar w:fldCharType="separate"/>
    </w:r>
    <w:r>
      <w:rPr>
        <w:rStyle w:val="758"/>
      </w:rPr>
      <w:t xml:space="preserve">- 18 -</w:t>
    </w:r>
    <w:r>
      <w:fldChar w:fldCharType="end"/>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2"/>
  </w:num>
  <w:num w:numId="4">
    <w:abstractNumId w:val="10"/>
  </w:num>
  <w:num w:numId="5">
    <w:abstractNumId w:val="9"/>
  </w:num>
  <w:num w:numId="6">
    <w:abstractNumId w:val="8"/>
  </w:num>
  <w:num w:numId="7">
    <w:abstractNumId w:val="5"/>
  </w:num>
  <w:num w:numId="8">
    <w:abstractNumId w:val="13"/>
  </w:num>
  <w:num w:numId="9">
    <w:abstractNumId w:val="4"/>
  </w:num>
  <w:num w:numId="10">
    <w:abstractNumId w:val="0"/>
    <w:lvlOverride w:ilvl="0">
      <w:startOverride w:val="1"/>
    </w:lvlOverride>
  </w:num>
  <w:num w:numId="11">
    <w:abstractNumId w:val="3"/>
  </w:num>
  <w:num w:numId="12">
    <w:abstractNumId w:val="11"/>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5"/>
    <w:link w:val="726"/>
    <w:uiPriority w:val="9"/>
    <w:rPr>
      <w:rFonts w:ascii="Arial" w:hAnsi="Arial" w:eastAsia="Arial" w:cs="Arial"/>
      <w:sz w:val="40"/>
      <w:szCs w:val="40"/>
    </w:rPr>
  </w:style>
  <w:style w:type="character" w:styleId="15">
    <w:name w:val="Heading 2 Char"/>
    <w:basedOn w:val="735"/>
    <w:link w:val="727"/>
    <w:uiPriority w:val="9"/>
    <w:rPr>
      <w:rFonts w:ascii="Arial" w:hAnsi="Arial" w:eastAsia="Arial" w:cs="Arial"/>
      <w:sz w:val="34"/>
    </w:rPr>
  </w:style>
  <w:style w:type="character" w:styleId="17">
    <w:name w:val="Heading 3 Char"/>
    <w:basedOn w:val="735"/>
    <w:link w:val="728"/>
    <w:uiPriority w:val="9"/>
    <w:rPr>
      <w:rFonts w:ascii="Arial" w:hAnsi="Arial" w:eastAsia="Arial" w:cs="Arial"/>
      <w:sz w:val="30"/>
      <w:szCs w:val="30"/>
    </w:rPr>
  </w:style>
  <w:style w:type="character" w:styleId="19">
    <w:name w:val="Heading 4 Char"/>
    <w:basedOn w:val="735"/>
    <w:link w:val="729"/>
    <w:uiPriority w:val="9"/>
    <w:rPr>
      <w:rFonts w:ascii="Arial" w:hAnsi="Arial" w:eastAsia="Arial" w:cs="Arial"/>
      <w:b/>
      <w:bCs/>
      <w:sz w:val="26"/>
      <w:szCs w:val="26"/>
    </w:rPr>
  </w:style>
  <w:style w:type="character" w:styleId="21">
    <w:name w:val="Heading 5 Char"/>
    <w:basedOn w:val="735"/>
    <w:link w:val="730"/>
    <w:uiPriority w:val="9"/>
    <w:rPr>
      <w:rFonts w:ascii="Arial" w:hAnsi="Arial" w:eastAsia="Arial" w:cs="Arial"/>
      <w:b/>
      <w:bCs/>
      <w:sz w:val="24"/>
      <w:szCs w:val="24"/>
    </w:rPr>
  </w:style>
  <w:style w:type="character" w:styleId="23">
    <w:name w:val="Heading 6 Char"/>
    <w:basedOn w:val="735"/>
    <w:link w:val="731"/>
    <w:uiPriority w:val="9"/>
    <w:rPr>
      <w:rFonts w:ascii="Arial" w:hAnsi="Arial" w:eastAsia="Arial" w:cs="Arial"/>
      <w:b/>
      <w:bCs/>
      <w:sz w:val="22"/>
      <w:szCs w:val="22"/>
    </w:rPr>
  </w:style>
  <w:style w:type="character" w:styleId="25">
    <w:name w:val="Heading 7 Char"/>
    <w:basedOn w:val="735"/>
    <w:link w:val="732"/>
    <w:uiPriority w:val="9"/>
    <w:rPr>
      <w:rFonts w:ascii="Arial" w:hAnsi="Arial" w:eastAsia="Arial" w:cs="Arial"/>
      <w:b/>
      <w:bCs/>
      <w:i/>
      <w:iCs/>
      <w:sz w:val="22"/>
      <w:szCs w:val="22"/>
    </w:rPr>
  </w:style>
  <w:style w:type="character" w:styleId="27">
    <w:name w:val="Heading 8 Char"/>
    <w:basedOn w:val="735"/>
    <w:link w:val="733"/>
    <w:uiPriority w:val="9"/>
    <w:rPr>
      <w:rFonts w:ascii="Arial" w:hAnsi="Arial" w:eastAsia="Arial" w:cs="Arial"/>
      <w:i/>
      <w:iCs/>
      <w:sz w:val="22"/>
      <w:szCs w:val="22"/>
    </w:rPr>
  </w:style>
  <w:style w:type="character" w:styleId="29">
    <w:name w:val="Heading 9 Char"/>
    <w:basedOn w:val="735"/>
    <w:link w:val="734"/>
    <w:uiPriority w:val="9"/>
    <w:rPr>
      <w:rFonts w:ascii="Arial" w:hAnsi="Arial" w:eastAsia="Arial" w:cs="Arial"/>
      <w:i/>
      <w:iCs/>
      <w:sz w:val="21"/>
      <w:szCs w:val="21"/>
    </w:r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735"/>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735"/>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5"/>
    <w:link w:val="745"/>
    <w:uiPriority w:val="99"/>
  </w:style>
  <w:style w:type="character" w:styleId="44">
    <w:name w:val="Footer Char"/>
    <w:basedOn w:val="735"/>
    <w:link w:val="744"/>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744"/>
    <w:uiPriority w:val="99"/>
  </w:style>
  <w:style w:type="table" w:styleId="48">
    <w:name w:val="Table Grid Light"/>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47"/>
    <w:uiPriority w:val="99"/>
    <w:rPr>
      <w:sz w:val="18"/>
    </w:rPr>
  </w:style>
  <w:style w:type="character" w:styleId="178">
    <w:name w:val="Endnote Text Char"/>
    <w:link w:val="742"/>
    <w:uiPriority w:val="99"/>
    <w:rPr>
      <w:sz w:val="20"/>
    </w:r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725" w:default="1">
    <w:name w:val="Normal"/>
    <w:next w:val="737"/>
    <w:uiPriority w:val="0"/>
    <w:qFormat/>
    <w:pPr>
      <w:jc w:val="both"/>
      <w:widowControl w:val="off"/>
    </w:pPr>
    <w:rPr>
      <w:rFonts w:ascii="Calibri" w:hAnsi="Calibri" w:eastAsia="宋体" w:cs="Times New Roman"/>
      <w:sz w:val="21"/>
      <w:lang w:val="en-US" w:eastAsia="zh-CN" w:bidi="ar-SA"/>
    </w:rPr>
  </w:style>
  <w:style w:type="paragraph" w:styleId="726">
    <w:name w:val="Heading 1"/>
    <w:basedOn w:val="725"/>
    <w:next w:val="725"/>
    <w:uiPriority w:val="0"/>
    <w:qFormat/>
    <w:pPr>
      <w:keepLines/>
      <w:keepNext/>
      <w:spacing w:before="340" w:after="330" w:line="576" w:lineRule="auto"/>
      <w:outlineLvl w:val="0"/>
    </w:pPr>
    <w:rPr>
      <w:b/>
      <w:sz w:val="44"/>
    </w:rPr>
  </w:style>
  <w:style w:type="paragraph" w:styleId="727">
    <w:name w:val="Heading 2"/>
    <w:basedOn w:val="725"/>
    <w:next w:val="725"/>
    <w:uiPriority w:val="0"/>
    <w:qFormat/>
    <w:pPr>
      <w:keepLines/>
      <w:keepNext/>
      <w:spacing w:before="260" w:after="260" w:line="413" w:lineRule="auto"/>
      <w:outlineLvl w:val="1"/>
    </w:pPr>
    <w:rPr>
      <w:rFonts w:ascii="Arial" w:hAnsi="Arial" w:eastAsia="黑体"/>
      <w:b/>
      <w:sz w:val="32"/>
    </w:rPr>
  </w:style>
  <w:style w:type="paragraph" w:styleId="728">
    <w:name w:val="Heading 3"/>
    <w:basedOn w:val="725"/>
    <w:next w:val="725"/>
    <w:uiPriority w:val="0"/>
    <w:qFormat/>
    <w:pPr>
      <w:keepLines/>
      <w:keepNext/>
      <w:spacing w:before="260" w:after="260" w:line="413" w:lineRule="auto"/>
      <w:outlineLvl w:val="2"/>
    </w:pPr>
    <w:rPr>
      <w:b/>
      <w:sz w:val="32"/>
    </w:rPr>
  </w:style>
  <w:style w:type="paragraph" w:styleId="729">
    <w:name w:val="Heading 4"/>
    <w:basedOn w:val="725"/>
    <w:next w:val="725"/>
    <w:uiPriority w:val="0"/>
    <w:qFormat/>
    <w:pPr>
      <w:keepLines/>
      <w:keepNext/>
      <w:spacing w:before="280" w:after="290" w:line="372" w:lineRule="auto"/>
      <w:outlineLvl w:val="3"/>
    </w:pPr>
    <w:rPr>
      <w:rFonts w:ascii="Arial" w:hAnsi="Arial" w:eastAsia="黑体"/>
      <w:b/>
      <w:sz w:val="28"/>
    </w:rPr>
  </w:style>
  <w:style w:type="paragraph" w:styleId="730">
    <w:name w:val="Heading 5"/>
    <w:basedOn w:val="725"/>
    <w:next w:val="725"/>
    <w:uiPriority w:val="0"/>
    <w:qFormat/>
    <w:pPr>
      <w:keepLines/>
      <w:keepNext/>
      <w:spacing w:before="280" w:after="290" w:line="372" w:lineRule="auto"/>
      <w:outlineLvl w:val="4"/>
    </w:pPr>
    <w:rPr>
      <w:b/>
      <w:sz w:val="28"/>
    </w:rPr>
  </w:style>
  <w:style w:type="paragraph" w:styleId="731">
    <w:name w:val="Heading 6"/>
    <w:basedOn w:val="725"/>
    <w:next w:val="725"/>
    <w:uiPriority w:val="0"/>
    <w:qFormat/>
    <w:pPr>
      <w:keepLines/>
      <w:keepNext/>
      <w:spacing w:before="240" w:after="64" w:line="317" w:lineRule="auto"/>
      <w:outlineLvl w:val="5"/>
    </w:pPr>
    <w:rPr>
      <w:rFonts w:ascii="Arial" w:hAnsi="Arial" w:eastAsia="黑体"/>
      <w:b/>
      <w:sz w:val="24"/>
    </w:rPr>
  </w:style>
  <w:style w:type="paragraph" w:styleId="732">
    <w:name w:val="Heading 7"/>
    <w:basedOn w:val="725"/>
    <w:next w:val="725"/>
    <w:uiPriority w:val="0"/>
    <w:qFormat/>
    <w:pPr>
      <w:keepLines/>
      <w:keepNext/>
      <w:spacing w:before="240" w:after="64" w:line="317" w:lineRule="auto"/>
      <w:outlineLvl w:val="6"/>
    </w:pPr>
    <w:rPr>
      <w:b/>
      <w:sz w:val="24"/>
    </w:rPr>
  </w:style>
  <w:style w:type="paragraph" w:styleId="733">
    <w:name w:val="Heading 8"/>
    <w:basedOn w:val="725"/>
    <w:next w:val="725"/>
    <w:uiPriority w:val="0"/>
    <w:qFormat/>
    <w:pPr>
      <w:keepLines/>
      <w:keepNext/>
      <w:spacing w:before="240" w:after="64" w:line="317" w:lineRule="auto"/>
      <w:outlineLvl w:val="7"/>
    </w:pPr>
    <w:rPr>
      <w:rFonts w:ascii="Arial" w:hAnsi="Arial" w:eastAsia="黑体"/>
      <w:sz w:val="24"/>
    </w:rPr>
  </w:style>
  <w:style w:type="paragraph" w:styleId="734">
    <w:name w:val="Heading 9"/>
    <w:basedOn w:val="725"/>
    <w:next w:val="725"/>
    <w:uiPriority w:val="0"/>
    <w:qFormat/>
    <w:pPr>
      <w:keepLines/>
      <w:keepNext/>
      <w:spacing w:before="240" w:after="64" w:line="317" w:lineRule="auto"/>
      <w:outlineLvl w:val="8"/>
    </w:pPr>
    <w:rPr>
      <w:rFonts w:ascii="Arial" w:hAnsi="Arial" w:eastAsia="黑体"/>
    </w:rPr>
  </w:style>
  <w:style w:type="character" w:styleId="735" w:default="1">
    <w:name w:val="Default Paragraph Font"/>
    <w:uiPriority w:val="1"/>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Body Text"/>
    <w:basedOn w:val="725"/>
    <w:next w:val="725"/>
    <w:link w:val="793"/>
    <w:uiPriority w:val="0"/>
    <w:qFormat/>
    <w:rPr>
      <w:sz w:val="20"/>
    </w:rPr>
  </w:style>
  <w:style w:type="paragraph" w:styleId="738">
    <w:name w:val="annotation text"/>
    <w:basedOn w:val="725"/>
    <w:uiPriority w:val="0"/>
    <w:qFormat/>
    <w:pPr>
      <w:jc w:val="left"/>
    </w:pPr>
  </w:style>
  <w:style w:type="paragraph" w:styleId="739">
    <w:name w:val="Body Text Indent"/>
    <w:basedOn w:val="725"/>
    <w:next w:val="740"/>
    <w:link w:val="795"/>
    <w:uiPriority w:val="99"/>
    <w:semiHidden/>
    <w:unhideWhenUsed/>
    <w:qFormat/>
    <w:pPr>
      <w:ind w:left="420"/>
      <w:spacing w:after="120"/>
    </w:pPr>
  </w:style>
  <w:style w:type="paragraph" w:styleId="740">
    <w:name w:val="envelope return"/>
    <w:basedOn w:val="725"/>
    <w:uiPriority w:val="0"/>
    <w:qFormat/>
    <w:rPr>
      <w:rFonts w:ascii="Arial" w:hAnsi="Arial"/>
    </w:rPr>
  </w:style>
  <w:style w:type="paragraph" w:styleId="741">
    <w:name w:val="toc 3"/>
    <w:basedOn w:val="725"/>
    <w:next w:val="725"/>
    <w:uiPriority w:val="39"/>
    <w:semiHidden/>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742">
    <w:name w:val="endnote text"/>
    <w:basedOn w:val="725"/>
    <w:link w:val="790"/>
    <w:uiPriority w:val="99"/>
    <w:semiHidden/>
    <w:unhideWhenUsed/>
    <w:qFormat/>
    <w:pPr>
      <w:jc w:val="left"/>
    </w:pPr>
  </w:style>
  <w:style w:type="paragraph" w:styleId="743">
    <w:name w:val="Balloon Text"/>
    <w:basedOn w:val="725"/>
    <w:uiPriority w:val="0"/>
    <w:semiHidden/>
    <w:qFormat/>
    <w:rPr>
      <w:sz w:val="18"/>
      <w:szCs w:val="18"/>
    </w:rPr>
  </w:style>
  <w:style w:type="paragraph" w:styleId="744">
    <w:name w:val="Footer"/>
    <w:basedOn w:val="725"/>
    <w:link w:val="792"/>
    <w:uiPriority w:val="99"/>
    <w:qFormat/>
    <w:pPr>
      <w:jc w:val="left"/>
      <w:tabs>
        <w:tab w:val="center" w:pos="4153" w:leader="none"/>
        <w:tab w:val="right" w:pos="8306" w:leader="none"/>
      </w:tabs>
    </w:pPr>
    <w:rPr>
      <w:sz w:val="18"/>
    </w:rPr>
  </w:style>
  <w:style w:type="paragraph" w:styleId="745">
    <w:name w:val="Header"/>
    <w:basedOn w:val="725"/>
    <w:link w:val="79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rPr>
  </w:style>
  <w:style w:type="paragraph" w:styleId="746">
    <w:name w:val="toc 1"/>
    <w:basedOn w:val="725"/>
    <w:next w:val="725"/>
    <w:uiPriority w:val="39"/>
    <w:qFormat/>
  </w:style>
  <w:style w:type="paragraph" w:styleId="747">
    <w:name w:val="footnote text"/>
    <w:basedOn w:val="725"/>
    <w:link w:val="789"/>
    <w:uiPriority w:val="99"/>
    <w:semiHidden/>
    <w:unhideWhenUsed/>
    <w:qFormat/>
    <w:pPr>
      <w:jc w:val="left"/>
    </w:pPr>
    <w:rPr>
      <w:sz w:val="18"/>
      <w:szCs w:val="18"/>
    </w:rPr>
  </w:style>
  <w:style w:type="paragraph" w:styleId="748">
    <w:name w:val="Body Text Indent 3"/>
    <w:basedOn w:val="725"/>
    <w:uiPriority w:val="0"/>
    <w:qFormat/>
    <w:pPr>
      <w:ind w:left="420"/>
      <w:jc w:val="left"/>
      <w:spacing w:after="120"/>
      <w:widowControl/>
    </w:pPr>
    <w:rPr>
      <w:sz w:val="16"/>
      <w:szCs w:val="16"/>
    </w:rPr>
  </w:style>
  <w:style w:type="paragraph" w:styleId="749">
    <w:name w:val="table of figures"/>
    <w:basedOn w:val="725"/>
    <w:next w:val="725"/>
    <w:uiPriority w:val="99"/>
    <w:unhideWhenUsed/>
    <w:qFormat/>
    <w:pPr>
      <w:ind w:left="200" w:hanging="200"/>
    </w:pPr>
  </w:style>
  <w:style w:type="paragraph" w:styleId="750">
    <w:name w:val="toc 2"/>
    <w:basedOn w:val="725"/>
    <w:next w:val="725"/>
    <w:uiPriority w:val="39"/>
    <w:qFormat/>
    <w:pPr>
      <w:ind w:left="420"/>
    </w:pPr>
  </w:style>
  <w:style w:type="paragraph" w:styleId="751">
    <w:name w:val="Body Text 2"/>
    <w:basedOn w:val="725"/>
    <w:uiPriority w:val="0"/>
    <w:qFormat/>
    <w:pPr>
      <w:spacing w:after="120" w:line="480" w:lineRule="auto"/>
    </w:pPr>
    <w:rPr>
      <w:sz w:val="20"/>
    </w:rPr>
  </w:style>
  <w:style w:type="paragraph" w:styleId="752">
    <w:name w:val="Normal (Web)"/>
    <w:basedOn w:val="725"/>
    <w:uiPriority w:val="99"/>
    <w:qFormat/>
    <w:pPr>
      <w:jc w:val="left"/>
      <w:spacing w:before="100" w:beforeAutospacing="1" w:after="100" w:afterAutospacing="1"/>
    </w:pPr>
    <w:rPr>
      <w:sz w:val="24"/>
      <w:szCs w:val="24"/>
    </w:rPr>
  </w:style>
  <w:style w:type="paragraph" w:styleId="753">
    <w:name w:val="Body Text First Indent"/>
    <w:basedOn w:val="737"/>
    <w:next w:val="754"/>
    <w:uiPriority w:val="99"/>
    <w:unhideWhenUsed/>
    <w:qFormat/>
    <w:pPr>
      <w:ind w:firstLine="420"/>
    </w:pPr>
  </w:style>
  <w:style w:type="paragraph" w:styleId="754">
    <w:name w:val="Body Text First Indent 2"/>
    <w:basedOn w:val="739"/>
    <w:next w:val="753"/>
    <w:link w:val="796"/>
    <w:uiPriority w:val="0"/>
    <w:qFormat/>
    <w:pPr>
      <w:ind w:firstLine="420"/>
    </w:pPr>
    <w:rPr>
      <w:rFonts w:ascii="Times New Roman" w:hAnsi="Times New Roman"/>
    </w:rPr>
  </w:style>
  <w:style w:type="table" w:styleId="755">
    <w:name w:val="Table Grid"/>
    <w:basedOn w:val="73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basedOn w:val="735"/>
    <w:uiPriority w:val="22"/>
    <w:qFormat/>
    <w:rPr>
      <w:b/>
    </w:rPr>
  </w:style>
  <w:style w:type="character" w:styleId="757">
    <w:name w:val="endnote reference"/>
    <w:basedOn w:val="735"/>
    <w:uiPriority w:val="99"/>
    <w:semiHidden/>
    <w:unhideWhenUsed/>
    <w:qFormat/>
    <w:rPr>
      <w:vertAlign w:val="superscript"/>
    </w:rPr>
  </w:style>
  <w:style w:type="character" w:styleId="758">
    <w:name w:val="page number"/>
    <w:basedOn w:val="735"/>
    <w:uiPriority w:val="0"/>
    <w:qFormat/>
  </w:style>
  <w:style w:type="character" w:styleId="759">
    <w:name w:val="FollowedHyperlink"/>
    <w:uiPriority w:val="0"/>
    <w:qFormat/>
    <w:rPr>
      <w:color w:val="auto"/>
      <w:u w:val="none"/>
    </w:rPr>
  </w:style>
  <w:style w:type="character" w:styleId="760">
    <w:name w:val="Emphasis"/>
    <w:basedOn w:val="735"/>
    <w:uiPriority w:val="20"/>
    <w:qFormat/>
    <w:rPr>
      <w:i/>
    </w:rPr>
  </w:style>
  <w:style w:type="character" w:styleId="761">
    <w:name w:val="Hyperlink"/>
    <w:basedOn w:val="735"/>
    <w:uiPriority w:val="99"/>
    <w:unhideWhenUsed/>
    <w:qFormat/>
    <w:rPr>
      <w:color w:val="2fa4e7"/>
      <w:u w:val="none"/>
    </w:rPr>
  </w:style>
  <w:style w:type="character" w:styleId="762">
    <w:name w:val="HTML Code"/>
    <w:basedOn w:val="735"/>
    <w:uiPriority w:val="99"/>
    <w:unhideWhenUsed/>
    <w:qFormat/>
    <w:rPr>
      <w:rFonts w:ascii="Consolas" w:hAnsi="Consolas" w:eastAsia="Consolas" w:cs="Consolas"/>
      <w:color w:val="dd1144"/>
      <w:sz w:val="18"/>
      <w:szCs w:val="18"/>
      <w:shd w:val="clear" w:color="auto" w:fill="f7f7f9"/>
    </w:rPr>
  </w:style>
  <w:style w:type="character" w:styleId="763">
    <w:name w:val="HTML Cite"/>
    <w:basedOn w:val="735"/>
    <w:uiPriority w:val="99"/>
    <w:unhideWhenUsed/>
    <w:qFormat/>
  </w:style>
  <w:style w:type="character" w:styleId="764">
    <w:name w:val="footnote reference"/>
    <w:basedOn w:val="735"/>
    <w:uiPriority w:val="99"/>
    <w:semiHidden/>
    <w:unhideWhenUsed/>
    <w:qFormat/>
    <w:rPr>
      <w:vertAlign w:val="superscript"/>
    </w:rPr>
  </w:style>
  <w:style w:type="paragraph" w:styleId="765" w:customStyle="1">
    <w:name w:val="BodyText1I2"/>
    <w:basedOn w:val="766"/>
    <w:next w:val="768"/>
    <w:uiPriority w:val="0"/>
    <w:qFormat/>
    <w:pPr>
      <w:ind w:left="420" w:firstLine="420"/>
      <w:spacing w:after="120"/>
    </w:pPr>
  </w:style>
  <w:style w:type="paragraph" w:styleId="766" w:customStyle="1">
    <w:name w:val="BodyTextIndent"/>
    <w:basedOn w:val="725"/>
    <w:next w:val="767"/>
    <w:uiPriority w:val="0"/>
    <w:qFormat/>
    <w:pPr>
      <w:ind w:firstLine="900"/>
    </w:pPr>
    <w:rPr>
      <w:sz w:val="28"/>
    </w:rPr>
  </w:style>
  <w:style w:type="paragraph" w:styleId="767" w:customStyle="1">
    <w:name w:val="NormalIndent"/>
    <w:basedOn w:val="725"/>
    <w:next w:val="766"/>
    <w:uiPriority w:val="0"/>
    <w:qFormat/>
    <w:pPr>
      <w:ind w:firstLine="420"/>
    </w:pPr>
  </w:style>
  <w:style w:type="paragraph" w:styleId="768" w:customStyle="1">
    <w:name w:val="UserStyle_14"/>
    <w:basedOn w:val="725"/>
    <w:next w:val="725"/>
    <w:uiPriority w:val="0"/>
    <w:qFormat/>
    <w:pPr>
      <w:jc w:val="center"/>
      <w:spacing w:before="280" w:after="280" w:line="100" w:lineRule="exact"/>
    </w:pPr>
    <w:rPr>
      <w:b/>
      <w:sz w:val="20"/>
    </w:rPr>
  </w:style>
  <w:style w:type="paragraph" w:styleId="769" w:customStyle="1">
    <w:name w:val="段"/>
    <w:next w:val="725"/>
    <w:uiPriority w:val="0"/>
    <w:qFormat/>
    <w:pPr>
      <w:ind w:firstLine="200"/>
      <w:jc w:val="both"/>
    </w:pPr>
    <w:rPr>
      <w:rFonts w:ascii="宋体" w:hAnsi="Times New Roman" w:eastAsia="宋体" w:cs="Times New Roman"/>
      <w:sz w:val="21"/>
      <w:szCs w:val="22"/>
      <w:lang w:val="en-US" w:eastAsia="zh-CN" w:bidi="ar-SA"/>
    </w:rPr>
  </w:style>
  <w:style w:type="character" w:styleId="770" w:customStyle="1">
    <w:name w:val="ke-dialog-empty"/>
    <w:basedOn w:val="735"/>
    <w:uiPriority w:val="0"/>
    <w:qFormat/>
  </w:style>
  <w:style w:type="character" w:styleId="771" w:customStyle="1">
    <w:name w:val="gap"/>
    <w:basedOn w:val="735"/>
    <w:uiPriority w:val="0"/>
    <w:qFormat/>
    <w:rPr>
      <w:u w:val="none"/>
    </w:rPr>
  </w:style>
  <w:style w:type="character" w:styleId="772" w:customStyle="1">
    <w:name w:val="failed"/>
    <w:basedOn w:val="735"/>
    <w:uiPriority w:val="0"/>
    <w:qFormat/>
    <w:rPr>
      <w:color w:val="ff0000"/>
    </w:rPr>
  </w:style>
  <w:style w:type="character" w:styleId="773" w:customStyle="1">
    <w:name w:val="tmpztreemove_arrow"/>
    <w:basedOn w:val="735"/>
    <w:uiPriority w:val="0"/>
    <w:qFormat/>
  </w:style>
  <w:style w:type="character" w:styleId="774" w:customStyle="1">
    <w:name w:val="button"/>
    <w:basedOn w:val="735"/>
    <w:uiPriority w:val="0"/>
    <w:qFormat/>
  </w:style>
  <w:style w:type="character" w:styleId="775" w:customStyle="1">
    <w:name w:val="hint"/>
    <w:basedOn w:val="735"/>
    <w:uiPriority w:val="0"/>
    <w:qFormat/>
    <w:rPr>
      <w:color w:val="e47c62"/>
    </w:rPr>
  </w:style>
  <w:style w:type="character" w:styleId="776" w:customStyle="1">
    <w:name w:val="current"/>
    <w:basedOn w:val="735"/>
    <w:uiPriority w:val="0"/>
    <w:qFormat/>
    <w:rPr>
      <w:color w:val="ff0000"/>
      <w:u w:val="none"/>
    </w:rPr>
  </w:style>
  <w:style w:type="character" w:styleId="777" w:customStyle="1">
    <w:name w:val="success"/>
    <w:basedOn w:val="735"/>
    <w:uiPriority w:val="0"/>
    <w:qFormat/>
    <w:rPr>
      <w:color w:val="008000"/>
    </w:rPr>
  </w:style>
  <w:style w:type="paragraph" w:styleId="778" w:customStyle="1">
    <w:name w:val="行文"/>
    <w:basedOn w:val="725"/>
    <w:uiPriority w:val="0"/>
    <w:qFormat/>
    <w:pPr>
      <w:ind w:firstLine="624"/>
      <w:spacing w:line="480" w:lineRule="exact"/>
    </w:pPr>
    <w:rPr>
      <w:rFonts w:eastAsia="仿宋_GB2312"/>
      <w:sz w:val="30"/>
    </w:rPr>
  </w:style>
  <w:style w:type="paragraph" w:styleId="779" w:customStyle="1">
    <w:name w:val="Default Paragraph Font Para Char"/>
    <w:basedOn w:val="725"/>
    <w:uiPriority w:val="0"/>
    <w:qFormat/>
    <w:pPr>
      <w:jc w:val="left"/>
      <w:spacing w:after="160" w:line="240" w:lineRule="exact"/>
      <w:widowControl/>
    </w:pPr>
  </w:style>
  <w:style w:type="paragraph" w:styleId="780" w:customStyle="1">
    <w:name w:val="索引 11"/>
    <w:basedOn w:val="725"/>
    <w:next w:val="725"/>
    <w:uiPriority w:val="0"/>
    <w:qFormat/>
    <w:pPr>
      <w:spacing w:line="360" w:lineRule="auto"/>
    </w:pPr>
    <w:rPr>
      <w:rFonts w:ascii="仿宋_GB2312" w:eastAsia="仿宋_GB2312"/>
      <w:sz w:val="24"/>
    </w:rPr>
  </w:style>
  <w:style w:type="paragraph" w:styleId="781" w:customStyle="1">
    <w:name w:val="方案正文"/>
    <w:uiPriority w:val="99"/>
    <w:qFormat/>
    <w:pPr>
      <w:ind w:firstLine="560"/>
      <w:spacing w:line="360" w:lineRule="auto"/>
    </w:pPr>
    <w:rPr>
      <w:rFonts w:ascii="Times New Roman" w:hAnsi="Times New Roman" w:eastAsia="仿宋_GB2312" w:cs="Times New Roman"/>
      <w:sz w:val="28"/>
      <w:szCs w:val="28"/>
      <w:lang w:val="en-US" w:eastAsia="zh-CN" w:bidi="ar-SA"/>
    </w:rPr>
  </w:style>
  <w:style w:type="paragraph" w:styleId="782" w:customStyle="1">
    <w:name w:val="普通文字"/>
    <w:basedOn w:val="725"/>
    <w:next w:val="725"/>
    <w:uiPriority w:val="0"/>
    <w:qFormat/>
    <w:rPr>
      <w:rFonts w:ascii="宋体"/>
      <w:sz w:val="24"/>
    </w:rPr>
  </w:style>
  <w:style w:type="paragraph" w:styleId="783" w:customStyle="1">
    <w:name w:val="纯文本1"/>
    <w:basedOn w:val="725"/>
    <w:uiPriority w:val="0"/>
    <w:qFormat/>
    <w:rPr>
      <w:rFonts w:ascii="宋体" w:hAnsi="Courier New"/>
      <w:szCs w:val="22"/>
    </w:rPr>
  </w:style>
  <w:style w:type="paragraph" w:styleId="784">
    <w:name w:val="List Paragraph"/>
    <w:basedOn w:val="725"/>
    <w:uiPriority w:val="0"/>
    <w:qFormat/>
    <w:pPr>
      <w:ind w:firstLine="420"/>
    </w:pPr>
  </w:style>
  <w:style w:type="paragraph" w:styleId="785" w:customStyle="1">
    <w:name w:val="正文缩进1"/>
    <w:basedOn w:val="725"/>
    <w:uiPriority w:val="0"/>
    <w:qFormat/>
    <w:pPr>
      <w:ind w:firstLine="420"/>
      <w:jc w:val="left"/>
    </w:pPr>
    <w:rPr>
      <w:rFonts w:ascii="宋体"/>
      <w:sz w:val="24"/>
      <w:szCs w:val="22"/>
    </w:rPr>
  </w:style>
  <w:style w:type="paragraph" w:styleId="786">
    <w:name w:val="No Spacing"/>
    <w:uiPriority w:val="1"/>
    <w:qFormat/>
    <w:pPr>
      <w:jc w:val="both"/>
      <w:widowControl w:val="off"/>
    </w:pPr>
    <w:rPr>
      <w:rFonts w:ascii="宋体" w:hAnsi="宋体" w:eastAsia="宋体" w:cs="Times New Roman"/>
      <w:sz w:val="24"/>
      <w:szCs w:val="24"/>
      <w:lang w:val="en-US" w:eastAsia="zh-CN" w:bidi="ar-SA"/>
    </w:rPr>
  </w:style>
  <w:style w:type="character" w:styleId="787" w:customStyle="1">
    <w:name w:val="fr"/>
    <w:basedOn w:val="735"/>
    <w:uiPriority w:val="0"/>
    <w:qFormat/>
  </w:style>
  <w:style w:type="paragraph" w:styleId="788" w:customStyle="1">
    <w:name w:val="TOC 标题1"/>
    <w:basedOn w:val="726"/>
    <w:next w:val="725"/>
    <w:uiPriority w:val="39"/>
    <w:unhideWhenUsed/>
    <w:qFormat/>
    <w:pPr>
      <w:jc w:val="left"/>
      <w:spacing w:before="480" w:after="0" w:line="276" w:lineRule="auto"/>
      <w:widowControl/>
      <w:outlineLvl w:val="9"/>
    </w:pPr>
    <w:rPr>
      <w:rFonts w:asciiTheme="majorHAnsi" w:hAnsiTheme="majorHAnsi" w:eastAsiaTheme="majorEastAsia" w:cstheme="majorBidi"/>
      <w:bCs/>
      <w:color w:val="366091" w:themeColor="accent1" w:themeShade="BF"/>
      <w:sz w:val="28"/>
      <w:szCs w:val="28"/>
    </w:rPr>
  </w:style>
  <w:style w:type="character" w:styleId="789" w:customStyle="1">
    <w:name w:val="脚注文本 字符"/>
    <w:basedOn w:val="735"/>
    <w:link w:val="747"/>
    <w:uiPriority w:val="99"/>
    <w:semiHidden/>
    <w:qFormat/>
    <w:rPr>
      <w:sz w:val="18"/>
      <w:szCs w:val="18"/>
    </w:rPr>
  </w:style>
  <w:style w:type="character" w:styleId="790" w:customStyle="1">
    <w:name w:val="尾注文本 字符"/>
    <w:basedOn w:val="735"/>
    <w:link w:val="742"/>
    <w:uiPriority w:val="99"/>
    <w:semiHidden/>
    <w:qFormat/>
    <w:rPr>
      <w:sz w:val="21"/>
    </w:rPr>
  </w:style>
  <w:style w:type="character" w:styleId="791" w:customStyle="1">
    <w:name w:val="页眉 字符"/>
    <w:basedOn w:val="735"/>
    <w:link w:val="745"/>
    <w:uiPriority w:val="99"/>
    <w:qFormat/>
    <w:rPr>
      <w:rFonts w:ascii="Times New Roman" w:hAnsi="Times New Roman"/>
      <w:sz w:val="18"/>
    </w:rPr>
  </w:style>
  <w:style w:type="character" w:styleId="792" w:customStyle="1">
    <w:name w:val="页脚 字符"/>
    <w:basedOn w:val="735"/>
    <w:link w:val="744"/>
    <w:uiPriority w:val="99"/>
    <w:qFormat/>
    <w:rPr>
      <w:sz w:val="18"/>
    </w:rPr>
  </w:style>
  <w:style w:type="character" w:styleId="793" w:customStyle="1">
    <w:name w:val="正文文本 字符"/>
    <w:basedOn w:val="735"/>
    <w:link w:val="737"/>
    <w:uiPriority w:val="0"/>
    <w:qFormat/>
  </w:style>
  <w:style w:type="paragraph" w:styleId="794" w:customStyle="1">
    <w:name w:val="TOC 标题2"/>
    <w:basedOn w:val="726"/>
    <w:next w:val="725"/>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366091" w:themeColor="accent1" w:themeShade="BF"/>
      <w:sz w:val="28"/>
      <w:szCs w:val="28"/>
    </w:rPr>
  </w:style>
  <w:style w:type="character" w:styleId="795" w:customStyle="1">
    <w:name w:val="正文文本缩进 字符"/>
    <w:basedOn w:val="735"/>
    <w:link w:val="739"/>
    <w:uiPriority w:val="99"/>
    <w:semiHidden/>
    <w:qFormat/>
    <w:rPr>
      <w:sz w:val="21"/>
    </w:rPr>
  </w:style>
  <w:style w:type="character" w:styleId="796" w:customStyle="1">
    <w:name w:val="正文文本首行缩进 2 字符"/>
    <w:basedOn w:val="795"/>
    <w:link w:val="754"/>
    <w:uiPriority w:val="0"/>
    <w:qFormat/>
    <w:rPr>
      <w:rFonts w:ascii="Times New Roman" w:hAnsi="Times New Roman"/>
      <w:sz w:val="21"/>
    </w:rPr>
  </w:style>
  <w:style w:type="paragraph" w:styleId="797" w:customStyle="1">
    <w:name w:val="WPSOffice手动目录 1"/>
    <w:uiPriority w:val="0"/>
    <w:qFormat/>
    <w:rPr>
      <w:rFonts w:ascii="Calibri" w:hAnsi="Calibri" w:eastAsia="宋体" w:cs="Times New Roman"/>
      <w:lang w:val="en-US" w:eastAsia="zh-CN" w:bidi="ar-SA"/>
    </w:rPr>
  </w:style>
  <w:style w:type="numbering" w:styleId="10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38616-C9BD-4728-9933-098A928168D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毛蓉</cp:lastModifiedBy>
  <cp:revision>166</cp:revision>
  <dcterms:created xsi:type="dcterms:W3CDTF">2023-09-27T07:17:00Z</dcterms:created>
  <dcterms:modified xsi:type="dcterms:W3CDTF">2024-10-31T02:45:54Z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KSOSaveFontToCloudKey">
    <vt:lpwstr>542898926_btnclosed</vt:lpwstr>
  </property>
  <property fmtid="{D5CDD505-2E9C-101B-9397-08002B2CF9AE}" pid="4" name="ICV">
    <vt:lpwstr>16218F749BBC44A2AD57EE6E0A306F7A</vt:lpwstr>
  </property>
</Properties>
</file>