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JSZC-320200-XWJC-G2025-0096</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无锡市第二人民医院中央监护系统（1拖10）项目（第二次）</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二〇二五年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一</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20823272"/>
      <w:r/>
      <w:bookmarkStart w:id="2" w:name="_Toc16938516"/>
      <w:r/>
      <w:bookmarkStart w:id="3" w:name="_Toc513029200"/>
      <w:r/>
      <w:bookmarkStart w:id="4" w:name="_Toc523127445"/>
      <w:r/>
      <w:bookmarkStart w:id="5" w:name="_Toc479757206"/>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投标文件内容与格式-----------------------（40）</w:t>
      </w:r>
      <w:r/>
    </w:p>
    <w:p>
      <w:pPr>
        <w:pStyle w:val="748"/>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48"/>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48"/>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1"/>
        <w:ind w:firstLine="0"/>
        <w:rPr>
          <w:highlight w:val="none"/>
        </w:rPr>
      </w:pPr>
      <w:r>
        <w:rPr>
          <w:highlight w:val="none"/>
        </w:rPr>
      </w:r>
      <w:r/>
    </w:p>
    <w:p>
      <w:pPr>
        <w:pStyle w:val="731"/>
        <w:ind w:firstLine="0"/>
        <w:rPr>
          <w:highlight w:val="none"/>
        </w:rPr>
      </w:pPr>
      <w:r>
        <w:rPr>
          <w:highlight w:val="none"/>
        </w:rPr>
      </w:r>
      <w:r/>
    </w:p>
    <w:p>
      <w:pPr>
        <w:pStyle w:val="731"/>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无锡市第二人民医院中央监护系统（1拖10）项目（第二次）</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JSZC-320200-XWJC-G2025-0096</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无锡市第二人民医院中央监护系统（1拖10）项目（第二次）</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none"/>
          <w:lang w:val="en-US" w:eastAsia="zh-CN"/>
          <w14:textFill>
            <w14:solidFill>
              <w14:schemeClr w14:val="tx1"/>
            </w14:solidFill>
          </w14:textFill>
        </w:rPr>
        <w:t xml:space="preserve">11月25日</w:t>
      </w: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JSZC-320200-XWJC-G2025-0096</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无锡市第二人民医院中央监护系统（1拖10）项目（第二次）</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80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80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35393791"/>
      <w:r/>
      <w:bookmarkStart w:id="13" w:name="_Toc35393622"/>
      <w:r/>
      <w:bookmarkStart w:id="14" w:name="_Toc38985264"/>
      <w:r/>
      <w:bookmarkStart w:id="15" w:name="_Toc28359080"/>
      <w:r/>
      <w:bookmarkStart w:id="16" w:name="_Toc28359003"/>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35393623"/>
      <w:r/>
      <w:bookmarkStart w:id="19" w:name="_Toc28359081"/>
      <w:r/>
      <w:bookmarkStart w:id="20" w:name="_Toc35393792"/>
      <w:r/>
      <w:bookmarkStart w:id="21" w:name="_Toc38985265"/>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2.1中小企业政策：本项目非专门面向中小企业；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2025年</w:t>
      </w:r>
      <w:r>
        <w:rPr>
          <w:rFonts w:hint="eastAsia" w:ascii="宋体" w:hAnsi="宋体"/>
          <w:color w:val="000000" w:themeColor="text1"/>
          <w:sz w:val="24"/>
          <w:szCs w:val="24"/>
          <w:highlight w:val="none"/>
          <w:lang w:val="en-US" w:eastAsia="zh-CN"/>
          <w14:textFill>
            <w14:solidFill>
              <w14:schemeClr w14:val="tx1"/>
            </w14:solidFill>
          </w14:textFill>
        </w:rPr>
        <w:t xml:space="preserve">11月25日</w:t>
      </w: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38985267"/>
      <w:r/>
      <w:bookmarkStart w:id="28" w:name="_Toc35393625"/>
      <w:r/>
      <w:bookmarkStart w:id="29" w:name="_Toc28359007"/>
      <w:r/>
      <w:bookmarkStart w:id="30" w:name="_Toc28359084"/>
      <w:r/>
      <w:bookmarkStart w:id="31" w:name="_Toc35393794"/>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796"/>
      <w:r/>
      <w:bookmarkStart w:id="36" w:name="_Toc28359085"/>
      <w:r/>
      <w:bookmarkStart w:id="37" w:name="_Toc38985269"/>
      <w:r/>
      <w:bookmarkStart w:id="38" w:name="_Toc35393627"/>
      <w:r/>
      <w:bookmarkStart w:id="39" w:name="_Toc28359008"/>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47" w:name="_Toc20823275"/>
      <w:r/>
      <w:bookmarkStart w:id="48" w:name="_Toc16938519"/>
      <w:r/>
      <w:bookmarkStart w:id="49" w:name="_Toc120614214"/>
      <w:r/>
      <w:bookmarkStart w:id="50" w:name="_Toc513029203"/>
      <w:r>
        <w:rPr>
          <w:rFonts w:hint="eastAsia"/>
          <w:color w:val="000000" w:themeColor="text1"/>
          <w:sz w:val="30"/>
          <w:szCs w:val="30"/>
          <w:highlight w:val="none"/>
          <w:lang w:eastAsia="zh-CN"/>
          <w14:textFill>
            <w14:solidFill>
              <w14:schemeClr w14:val="tx1"/>
            </w14:solidFill>
          </w14:textFill>
        </w:rPr>
        <w:t xml:space="preserve">一、总则</w:t>
      </w:r>
      <w:bookmarkEnd w:id="47"/>
      <w:r/>
      <w:bookmarkEnd w:id="48"/>
      <w:r/>
      <w:bookmarkEnd w:id="49"/>
      <w:r/>
      <w:bookmarkEnd w:id="50"/>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themeColor="text1"/>
          <w:highlight w:val="non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non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8" w:name="_Toc513029206"/>
      <w:r/>
      <w:bookmarkStart w:id="59" w:name="_Toc16938522"/>
      <w:r/>
      <w:bookmarkStart w:id="60" w:name="_Toc20823278"/>
      <w:r>
        <w:rPr>
          <w:rFonts w:hint="eastAsia" w:ascii="宋体" w:hAnsi="宋体" w:eastAsia="宋体"/>
          <w:bCs w:val="0"/>
          <w:color w:val="000000" w:themeColor="text1"/>
          <w:highlight w:val="non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1" w:name="_Toc513029207"/>
      <w:r/>
      <w:bookmarkStart w:id="62" w:name="_Toc20823279"/>
      <w:r/>
      <w:bookmarkStart w:id="63" w:name="_Toc16938523"/>
      <w:r/>
      <w:bookmarkStart w:id="64" w:name="_Toc462564067"/>
      <w:r>
        <w:rPr>
          <w:rFonts w:hint="eastAsia" w:ascii="宋体" w:hAnsi="宋体" w:eastAsia="宋体"/>
          <w:bCs w:val="0"/>
          <w:color w:val="000000" w:themeColor="text1"/>
          <w:highlight w:val="non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5" w:name="_Toc513029209"/>
      <w:r/>
      <w:bookmarkStart w:id="66" w:name="_Toc120614215"/>
      <w:r/>
      <w:bookmarkStart w:id="67" w:name="_Toc16938525"/>
      <w:r/>
      <w:bookmarkStart w:id="68" w:name="_Toc20823281"/>
      <w:r>
        <w:rPr>
          <w:rFonts w:hint="eastAsia"/>
          <w:color w:val="000000" w:themeColor="text1"/>
          <w:sz w:val="30"/>
          <w:szCs w:val="30"/>
          <w:highlight w:val="none"/>
          <w:lang w:eastAsia="zh-CN"/>
          <w14:textFill>
            <w14:solidFill>
              <w14:schemeClr w14:val="tx1"/>
            </w14:solidFill>
          </w14:textFill>
        </w:rPr>
        <w:t xml:space="preserve">二、招标文件</w:t>
      </w:r>
      <w:bookmarkEnd w:id="65"/>
      <w:r/>
      <w:bookmarkEnd w:id="66"/>
      <w:r/>
      <w:bookmarkEnd w:id="67"/>
      <w:r/>
      <w:bookmarkEnd w:id="6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non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2" w:name="_Toc20823283"/>
      <w:r/>
      <w:bookmarkStart w:id="73" w:name="_Toc462564070"/>
      <w:r/>
      <w:bookmarkStart w:id="74" w:name="_Toc16938527"/>
      <w:r/>
      <w:bookmarkStart w:id="75" w:name="_Toc513029211"/>
      <w:r>
        <w:rPr>
          <w:rFonts w:hint="eastAsia" w:ascii="宋体" w:hAnsi="宋体" w:eastAsia="宋体"/>
          <w:bCs w:val="0"/>
          <w:color w:val="000000" w:themeColor="text1"/>
          <w:highlight w:val="non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sz w:val="24"/>
          <w:highlight w:val="none"/>
        </w:rPr>
        <w:t xml:space="preserve">答疑会时间：2025年</w:t>
      </w:r>
      <w:r>
        <w:rPr>
          <w:rFonts w:hint="eastAsia" w:ascii="宋体" w:hAnsi="宋体"/>
          <w:bCs/>
          <w:color w:val="000000"/>
          <w:sz w:val="24"/>
          <w:highlight w:val="none"/>
          <w:lang w:val="en-US" w:eastAsia="zh-CN"/>
        </w:rPr>
        <w:t xml:space="preserve">11</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12</w:t>
      </w:r>
      <w:r>
        <w:rPr>
          <w:rFonts w:hint="eastAsia" w:ascii="宋体" w:hAnsi="宋体"/>
          <w:bCs/>
          <w:color w:val="000000"/>
          <w:sz w:val="24"/>
          <w:highlight w:val="none"/>
        </w:rPr>
        <w:t xml:space="preserve">日</w:t>
      </w:r>
      <w:r>
        <w:rPr>
          <w:rFonts w:hint="eastAsia" w:ascii="宋体" w:hAnsi="宋体"/>
          <w:bCs/>
          <w:color w:val="000000"/>
          <w:sz w:val="24"/>
          <w:highlight w:val="none"/>
          <w:lang w:val="en-US" w:eastAsia="zh-CN"/>
        </w:rPr>
        <w:t xml:space="preserve">14</w:t>
      </w:r>
      <w:r>
        <w:rPr>
          <w:rFonts w:hint="eastAsia" w:ascii="宋体" w:hAnsi="宋体"/>
          <w:bCs/>
          <w:color w:val="000000"/>
          <w:sz w:val="24"/>
          <w:highlight w:val="none"/>
        </w:rPr>
        <w:t xml:space="preserve">:00</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6" w:name="_Toc20823284"/>
      <w:r/>
      <w:bookmarkStart w:id="77" w:name="_Toc16938528"/>
      <w:r/>
      <w:bookmarkStart w:id="78" w:name="_Toc513029212"/>
      <w:r/>
      <w:bookmarkStart w:id="79" w:name="_Toc462564071"/>
      <w:r>
        <w:rPr>
          <w:rFonts w:hint="eastAsia" w:ascii="宋体" w:hAnsi="宋体" w:eastAsia="宋体"/>
          <w:bCs w:val="0"/>
          <w:color w:val="000000" w:themeColor="text1"/>
          <w:highlight w:val="non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80" w:name="_Toc16938529"/>
      <w:r/>
      <w:bookmarkStart w:id="81" w:name="_Toc462564072"/>
      <w:r/>
      <w:bookmarkStart w:id="82" w:name="_Toc120614216"/>
      <w:r/>
      <w:bookmarkStart w:id="83" w:name="_Toc513029213"/>
      <w:r/>
      <w:bookmarkStart w:id="84" w:name="_Toc20823285"/>
      <w:r>
        <w:rPr>
          <w:rFonts w:hint="eastAsia"/>
          <w:color w:val="000000" w:themeColor="text1"/>
          <w:sz w:val="30"/>
          <w:szCs w:val="30"/>
          <w:highlight w:val="non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5" w:name="_Toc462564073"/>
      <w:r/>
      <w:bookmarkStart w:id="86" w:name="_Toc20823286"/>
      <w:r/>
      <w:bookmarkStart w:id="87" w:name="_Toc16938530"/>
      <w:r/>
      <w:bookmarkStart w:id="88" w:name="_Toc513029214"/>
      <w:r>
        <w:rPr>
          <w:rFonts w:hint="eastAsia" w:ascii="宋体" w:hAnsi="宋体" w:eastAsia="宋体"/>
          <w:bCs w:val="0"/>
          <w:color w:val="000000" w:themeColor="text1"/>
          <w:highlight w:val="non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9" w:name="_Toc462564074"/>
      <w:r/>
      <w:bookmarkStart w:id="90" w:name="_Toc513029215"/>
      <w:r/>
      <w:bookmarkStart w:id="91" w:name="_Toc20823287"/>
      <w:r/>
      <w:bookmarkStart w:id="92" w:name="_Toc16938531"/>
      <w:r>
        <w:rPr>
          <w:rFonts w:hint="eastAsia" w:ascii="宋体" w:hAnsi="宋体" w:eastAsia="宋体"/>
          <w:bCs w:val="0"/>
          <w:color w:val="000000" w:themeColor="text1"/>
          <w:highlight w:val="non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7"/>
      <w:r/>
      <w:bookmarkStart w:id="98" w:name="_Toc49090509"/>
      <w:r/>
      <w:bookmarkStart w:id="99" w:name="_Toc513029219"/>
      <w:r/>
      <w:bookmarkStart w:id="100" w:name="_Toc513029216"/>
      <w:r/>
      <w:bookmarkStart w:id="101" w:name="_Toc14577354"/>
      <w:r>
        <w:rPr>
          <w:rFonts w:hint="eastAsia" w:ascii="宋体" w:hAnsi="宋体" w:eastAsia="宋体"/>
          <w:bCs w:val="0"/>
          <w:color w:val="000000" w:themeColor="text1"/>
          <w:highlight w:val="non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8" w:name="_Hlt26670425"/>
      <w:r/>
      <w:bookmarkEnd w:id="108"/>
      <w:r/>
      <w:bookmarkStart w:id="109" w:name="_Hlt26954846"/>
      <w:r/>
      <w:bookmarkEnd w:id="109"/>
      <w:r/>
      <w:bookmarkStart w:id="110" w:name="_Hlt26954844"/>
      <w:r/>
      <w:bookmarkEnd w:id="110"/>
      <w:r/>
      <w:bookmarkStart w:id="111" w:name="_Hlt26954848"/>
      <w:r/>
      <w:bookmarkEnd w:id="111"/>
      <w:r/>
      <w:bookmarkStart w:id="112" w:name="_Hlt26954731"/>
      <w:r/>
      <w:bookmarkEnd w:id="112"/>
      <w:r/>
      <w:bookmarkStart w:id="113" w:name="_Hlt26668983"/>
      <w:r/>
      <w:bookmarkEnd w:id="113"/>
      <w:r/>
      <w:bookmarkStart w:id="114" w:name="_Hlt26670486"/>
      <w:r/>
      <w:bookmarkEnd w:id="114"/>
      <w:r/>
      <w:bookmarkStart w:id="115" w:name="_Hlt26670403"/>
      <w:r/>
      <w:bookmarkEnd w:id="115"/>
      <w:r/>
      <w:bookmarkStart w:id="116" w:name="_Hlt26670482"/>
      <w:r/>
      <w:bookmarkEnd w:id="116"/>
      <w:r/>
      <w:bookmarkStart w:id="117" w:name="_Hlt26954842"/>
      <w:r/>
      <w:bookmarkEnd w:id="117"/>
      <w:r>
        <w:rPr>
          <w:rFonts w:hint="eastAsia" w:ascii="宋体" w:hAnsi="宋体" w:eastAsia="宋体"/>
          <w:bCs w:val="0"/>
          <w:color w:val="000000" w:themeColor="text1"/>
          <w:highlight w:val="non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3" w:name="_Hlt26954852"/>
      <w:r/>
      <w:bookmarkEnd w:id="123"/>
      <w:r/>
      <w:bookmarkStart w:id="124" w:name="_Hlt26954739"/>
      <w:r/>
      <w:bookmarkEnd w:id="124"/>
      <w:r/>
      <w:bookmarkStart w:id="125" w:name="_Toc20823296"/>
      <w:r/>
      <w:bookmarkStart w:id="126" w:name="_Toc513029224"/>
      <w:r/>
      <w:bookmarkStart w:id="127" w:name="_Toc120614217"/>
      <w:r/>
      <w:bookmarkStart w:id="128" w:name="_Toc16938540"/>
      <w:r>
        <w:rPr>
          <w:rFonts w:hint="eastAsia"/>
          <w:color w:val="000000" w:themeColor="text1"/>
          <w:sz w:val="30"/>
          <w:szCs w:val="30"/>
          <w:highlight w:val="none"/>
          <w:lang w:eastAsia="zh-CN"/>
          <w14:textFill>
            <w14:solidFill>
              <w14:schemeClr w14:val="tx1"/>
            </w14:solidFill>
          </w14:textFill>
        </w:rPr>
        <w:t xml:space="preserve">四、投标文件的递交</w:t>
      </w:r>
      <w:bookmarkEnd w:id="125"/>
      <w:r/>
      <w:bookmarkEnd w:id="126"/>
      <w:r/>
      <w:bookmarkEnd w:id="127"/>
      <w:r/>
      <w:bookmarkEnd w:id="12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29" w:name="_Toc462564084"/>
      <w:r/>
      <w:bookmarkStart w:id="130" w:name="_Toc20823297"/>
      <w:r/>
      <w:bookmarkStart w:id="131" w:name="_Toc513029225"/>
      <w:r/>
      <w:bookmarkStart w:id="132" w:name="_Toc16938541"/>
      <w:r>
        <w:rPr>
          <w:rFonts w:hint="eastAsia" w:ascii="宋体" w:hAnsi="宋体" w:eastAsia="宋体"/>
          <w:bCs w:val="0"/>
          <w:color w:val="000000" w:themeColor="text1"/>
          <w:highlight w:val="non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5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6" w:name="_Toc513029227"/>
      <w:r/>
      <w:bookmarkStart w:id="137" w:name="_Toc20823299"/>
      <w:r/>
      <w:bookmarkStart w:id="138" w:name="_Toc16938543"/>
      <w:r>
        <w:rPr>
          <w:rFonts w:hint="eastAsia" w:ascii="宋体" w:hAnsi="宋体" w:eastAsia="宋体"/>
          <w:bCs w:val="0"/>
          <w:color w:val="000000" w:themeColor="text1"/>
          <w:highlight w:val="non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9" w:name="_Toc20823300"/>
      <w:r/>
      <w:bookmarkStart w:id="140" w:name="_Toc16938544"/>
      <w:r/>
      <w:bookmarkStart w:id="141" w:name="_Toc513029228"/>
      <w:r>
        <w:rPr>
          <w:rFonts w:hint="eastAsia" w:ascii="宋体" w:hAnsi="宋体" w:eastAsia="宋体"/>
          <w:bCs w:val="0"/>
          <w:color w:val="000000" w:themeColor="text1"/>
          <w:highlight w:val="non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42" w:name="_Toc20823301"/>
      <w:r/>
      <w:bookmarkStart w:id="143" w:name="_Toc513029229"/>
      <w:r/>
      <w:bookmarkStart w:id="144" w:name="_Toc120614218"/>
      <w:r/>
      <w:bookmarkStart w:id="145" w:name="_Toc16938545"/>
      <w:r>
        <w:rPr>
          <w:rFonts w:hint="eastAsia"/>
          <w:color w:val="000000" w:themeColor="text1"/>
          <w:sz w:val="30"/>
          <w:szCs w:val="30"/>
          <w:highlight w:val="none"/>
          <w:lang w:eastAsia="zh-CN"/>
          <w14:textFill>
            <w14:solidFill>
              <w14:schemeClr w14:val="tx1"/>
            </w14:solidFill>
          </w14:textFill>
        </w:rPr>
        <w:t xml:space="preserve">五、开标与评标</w:t>
      </w:r>
      <w:bookmarkEnd w:id="142"/>
      <w:r/>
      <w:bookmarkEnd w:id="143"/>
      <w:r/>
      <w:bookmarkEnd w:id="144"/>
      <w:r/>
      <w:bookmarkEnd w:id="14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6" w:name="_Toc513029230"/>
      <w:r/>
      <w:bookmarkStart w:id="147" w:name="_Toc20823302"/>
      <w:r/>
      <w:bookmarkStart w:id="148" w:name="_Toc16938546"/>
      <w:r>
        <w:rPr>
          <w:rFonts w:hint="eastAsia" w:ascii="宋体" w:hAnsi="宋体" w:eastAsia="宋体"/>
          <w:bCs w:val="0"/>
          <w:color w:val="000000" w:themeColor="text1"/>
          <w:highlight w:val="non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non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2" w:name="_Toc20823304"/>
      <w:r/>
      <w:bookmarkStart w:id="153" w:name="_Toc513029232"/>
      <w:r/>
      <w:bookmarkStart w:id="154" w:name="_Toc16938548"/>
      <w:r>
        <w:rPr>
          <w:rFonts w:hint="eastAsia" w:ascii="宋体" w:hAnsi="宋体" w:eastAsia="宋体"/>
          <w:bCs w:val="0"/>
          <w:color w:val="000000" w:themeColor="text1"/>
          <w:highlight w:val="non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non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bookmarkStart w:id="158" w:name="_Toc513029234"/>
      <w:r/>
      <w:bookmarkStart w:id="159" w:name="_Toc16938550"/>
      <w:r/>
      <w:bookmarkStart w:id="160" w:name="_Toc20823306"/>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0"/>
        <w:ind w:firstLine="422"/>
        <w:keepLines w:val="0"/>
        <w:keepNext w:val="0"/>
        <w:spacing w:before="0" w:after="0" w:line="500" w:lineRule="exact"/>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16938551"/>
      <w:r/>
      <w:bookmarkStart w:id="162" w:name="_Toc20823307"/>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4" w:name="_Toc120614219"/>
      <w:r>
        <w:rPr>
          <w:rFonts w:hint="eastAsia"/>
          <w:color w:val="000000" w:themeColor="text1"/>
          <w:sz w:val="30"/>
          <w:szCs w:val="30"/>
          <w:highlight w:val="non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lang w:eastAsia="zh-CN"/>
          <w14:textFill>
            <w14:solidFill>
              <w14:schemeClr w14:val="tx1"/>
            </w14:solidFill>
          </w14:textFill>
        </w:rPr>
        <w:t xml:space="preserve">定标</w:t>
      </w:r>
      <w:bookmarkEnd w:id="16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hAnsi="宋体" w:cs="宋体"/>
          <w:color w:val="000000" w:themeColor="text1"/>
          <w:sz w:val="24"/>
          <w:szCs w:val="24"/>
          <w:highlight w:val="non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9" w:name="_Toc20823308"/>
      <w:r/>
      <w:bookmarkStart w:id="170" w:name="_Toc16938552"/>
      <w:r/>
      <w:bookmarkStart w:id="171" w:name="_Toc120614220"/>
      <w:r/>
      <w:bookmarkStart w:id="172" w:name="_Toc513029236"/>
      <w:r>
        <w:rPr>
          <w:rFonts w:hint="eastAsia"/>
          <w:color w:val="000000" w:themeColor="text1"/>
          <w:sz w:val="30"/>
          <w:szCs w:val="30"/>
          <w:highlight w:val="none"/>
          <w:lang w:eastAsia="zh-CN"/>
          <w14:textFill>
            <w14:solidFill>
              <w14:schemeClr w14:val="tx1"/>
            </w14:solidFill>
          </w14:textFill>
        </w:rPr>
        <w:t xml:space="preserve">七、授予合同</w:t>
      </w:r>
      <w:bookmarkEnd w:id="169"/>
      <w:r/>
      <w:bookmarkEnd w:id="170"/>
      <w:r/>
      <w:bookmarkEnd w:id="171"/>
      <w:r/>
      <w:bookmarkEnd w:id="172"/>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73" w:name="_Toc513029237"/>
      <w:r/>
      <w:bookmarkStart w:id="174" w:name="_Toc16938553"/>
      <w:r/>
      <w:bookmarkStart w:id="175" w:name="_Toc20823309"/>
      <w:r>
        <w:rPr>
          <w:rFonts w:hint="eastAsia" w:ascii="宋体" w:hAnsi="宋体" w:eastAsia="宋体"/>
          <w:bCs w:val="0"/>
          <w:color w:val="000000" w:themeColor="text1"/>
          <w:highlight w:val="non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48"/>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20614221"/>
      <w:r/>
      <w:bookmarkStart w:id="177" w:name="_Toc479757207"/>
      <w:r/>
      <w:bookmarkStart w:id="178" w:name="_Toc20823314"/>
      <w:r/>
      <w:bookmarkStart w:id="179" w:name="_Toc513029242"/>
      <w:r/>
      <w:bookmarkStart w:id="180" w:name="_Toc16938558"/>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20823346"/>
      <w:r/>
      <w:bookmarkStart w:id="183" w:name="_Toc16938590"/>
      <w:r/>
      <w:bookmarkStart w:id="184" w:name="_Toc120614244"/>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727"/>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center"/>
              <w:rPr>
                <w:rFonts w:hint="default" w:asciiTheme="majorEastAsia" w:hAnsiTheme="majorEastAsia" w:eastAsiaTheme="majorEastAsia"/>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6.1乙方交纳人民币___元作为本合同的履约保证金。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预付款支付时间：合同</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生效后</w:t>
      </w:r>
      <w:r>
        <w:rPr>
          <w:rFonts w:hint="eastAsia" w:ascii="宋体" w:hAnsi="宋体" w:cs="Courier New"/>
          <w:bCs/>
          <w:color w:val="000000" w:themeColor="text1"/>
          <w:sz w:val="24"/>
          <w:szCs w:val="24"/>
          <w:highlight w:val="none"/>
          <w14:textFill>
            <w14:solidFill>
              <w14:schemeClr w14:val="tx1"/>
            </w14:solidFill>
          </w14:textFill>
        </w:rPr>
        <w:t xml:space="preserve">，预付款支付比例：合同金额的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计人民币</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default"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2验收款支付时间：设备安装验收合格正常使用三个月并开具全额发票后，</w:t>
      </w:r>
      <w:r>
        <w:rPr>
          <w:rFonts w:hint="eastAsia" w:ascii="宋体" w:hAnsi="宋体" w:cs="Courier New"/>
          <w:bCs/>
          <w:color w:val="000000" w:themeColor="text1"/>
          <w:sz w:val="24"/>
          <w:szCs w:val="24"/>
          <w:highlight w:val="none"/>
          <w14:textFill>
            <w14:solidFill>
              <w14:schemeClr w14:val="tx1"/>
            </w14:solidFill>
          </w14:textFill>
        </w:rPr>
        <w:t xml:space="preserve">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hint="eastAsia" w:ascii="宋体" w:hAnsi="宋体" w:cs="Courier New"/>
          <w:bCs/>
          <w:color w:val="000000" w:themeColor="text1"/>
          <w:sz w:val="24"/>
          <w:szCs w:val="24"/>
          <w:highlight w:val="none"/>
          <w14:textFill>
            <w14:solidFill>
              <w14:schemeClr w14:val="tx1"/>
            </w14:solidFill>
          </w14:textFill>
        </w:rPr>
        <w:t xml:space="preserve">尾款支付时间：</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设备正常使用一年后，</w:t>
      </w:r>
      <w:r>
        <w:rPr>
          <w:rFonts w:hint="eastAsia" w:ascii="宋体" w:hAnsi="宋体" w:cs="Courier New"/>
          <w:bCs/>
          <w:color w:val="000000" w:themeColor="text1"/>
          <w:sz w:val="24"/>
          <w:szCs w:val="24"/>
          <w:highlight w:val="none"/>
          <w14:textFill>
            <w14:solidFill>
              <w14:schemeClr w14:val="tx1"/>
            </w14:solidFill>
          </w14:textFill>
        </w:rPr>
        <w:t xml:space="preserve">尾款支付比例：合同金额的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lang w:val="en-US" w:eastAsia="zh-CN"/>
          <w14:textFill>
            <w14:solidFill>
              <w14:schemeClr w14:val="tx1"/>
            </w14:solidFill>
          </w14:textFill>
        </w:rPr>
        <w:t xml:space="preserve">8.2</w:t>
      </w:r>
      <w:r>
        <w:rPr>
          <w:rFonts w:hint="default" w:ascii="宋体" w:hAnsi="宋体" w:eastAsia="宋体" w:cs="Courier New"/>
          <w:bCs/>
          <w:color w:val="000000" w:themeColor="text1"/>
          <w:sz w:val="24"/>
          <w:szCs w:val="24"/>
          <w:highlight w:val="none"/>
          <w14:textFill>
            <w14:solidFill>
              <w14:schemeClr w14:val="tx1"/>
            </w14:solidFill>
          </w14:textFill>
        </w:rPr>
        <w:t xml:space="preserve">如果中标人为中小企业，按《保障中小企业款项支付条例》</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国令第 802号</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相关要求执行。</w:t>
      </w:r>
      <w:r>
        <w:rPr>
          <w:rFonts w:hint="eastAsia" w:ascii="宋体" w:hAnsi="宋体" w:eastAsia="宋体" w:cs="Courier New"/>
          <w:bCs/>
          <w:color w:val="000000" w:themeColor="text1"/>
          <w:sz w:val="24"/>
          <w:szCs w:val="24"/>
          <w:highlight w:val="none"/>
          <w14:textFill>
            <w14:solidFill>
              <w14:schemeClr w14:val="tx1"/>
            </w14:solidFill>
          </w14:textFill>
        </w:rPr>
        <w:t xml:space="preserve">（因供方延迟开具发票及相关资料等，需方有权延迟付款）</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14:textFill>
            <w14:solidFill>
              <w14:schemeClr w14:val="tx1"/>
            </w14:solidFill>
          </w14:textFill>
        </w:rPr>
        <w:t xml:space="preserve">（1、根据《财政部办公厅关于进一步提高政府采购透明度和采购效率相关事项的通知》（财办库〔2023〕243号）相关要求，采购人要进一步落实《关于促进政府采购公平竞争优化营商环境的通知》(财库〔2019〕38号)有关要求，在政府采</w:t>
      </w:r>
      <w:r>
        <w:rPr>
          <w:rFonts w:hint="eastAsia" w:hAnsi="宋体"/>
          <w:bCs/>
          <w:color w:val="000000" w:themeColor="text1"/>
          <w:sz w:val="24"/>
          <w:szCs w:val="24"/>
          <w:highlight w:val="none"/>
          <w14:textFill>
            <w14:solidFill>
              <w14:schemeClr w14:val="tx1"/>
            </w14:solidFill>
          </w14:textFill>
        </w:rPr>
        <w:t xml:space="preserve">购合同中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2、根据《保障中小企业款项支付条例》（国令第802号）相关要求，机关、事业单位从中小企业采购货物、工程、服务，应当自货物、工程、服务交付之日起30日内支付款项；合同另有约定的，从其约定，但付款期限最长不得超过60日。）</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0"/>
        <w:jc w:val="left"/>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val="0"/>
          <w:bCs/>
          <w:color w:val="000000" w:themeColor="text1"/>
          <w:sz w:val="24"/>
          <w:szCs w:val="24"/>
          <w:highlight w:val="none"/>
          <w14:textFill>
            <w14:solidFill>
              <w14:schemeClr w14:val="tx1"/>
            </w14:solidFill>
          </w14:textFill>
        </w:rPr>
        <w:t xml:space="preserve">中央监护系统（1拖10）</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360" w:lineRule="auto"/>
        <w:shd w:val="clear" w:color="auto" w:fill="ffffff"/>
        <w:widowControl/>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一、设备名称：中央监护系统（1拖10）</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二、数量：1套</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三、预算：80万元</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四、设备用途说明：用于对麻醉病人生理参数记录、分析、存储及回顾等。</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五、交货日期：合同签订后</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天</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六、投标时要求提供原厂家的技术参数表，评标以此为准</w:t>
      </w:r>
      <w:r/>
    </w:p>
    <w:p>
      <w:pPr>
        <w:ind w:firstLine="482"/>
        <w:jc w:val="both"/>
        <w:keepLines w:val="0"/>
        <w:keepNext w:val="0"/>
        <w:pageBreakBefore w:val="0"/>
        <w:spacing w:line="360" w:lineRule="auto"/>
        <w:shd w:val="clear" w:color="auto" w:fill="ffffff"/>
        <w:widowControl/>
        <w:rPr>
          <w:rFonts w:hint="default"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七、具有“中华人民共和国医疗器械注册证”，其中监护仪须为三类</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八、本项目不允许进口产品参与</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九、本项目不接受联合体投标</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★十、功能需求与技术参数</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（一）功能配置及要求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1、中央站系统1套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2、监护仪（含电池）10台</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3、呼末CO</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模块10个</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4、转运模块2个</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5、有创连续心排（picco或CCO）模块1个</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6、监护仪上墙支架10套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7、55英寸以上大屏显示器1块</w:t>
      </w:r>
      <w:r/>
    </w:p>
    <w:p>
      <w:pPr>
        <w:ind w:firstLine="482"/>
        <w:keepLines w:val="0"/>
        <w:keepNext w:val="0"/>
        <w:pageBreakBefore w:val="0"/>
        <w:spacing w:line="472"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（二）技术参数</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1、中央站支持≥32床病人集中管理。</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2、中央站支持控制监护仪启动/停止NIBP测量。</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3、中央站屏幕≥23寸，支持单屏显示≥16位患者信息。</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4、中央站心律失常分析种类≥25种。</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、插件式监护仪，屏幕尺寸≥15英寸。</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、监护仪支持心电、呼吸、心率、无创血压、血氧饱和度、脉搏、双通道体温和双通道有创血压的监测。</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、监护仪具有心律失常分析功能。</w:t>
      </w:r>
      <w:r/>
    </w:p>
    <w:p>
      <w:pPr>
        <w:ind w:firstLine="480"/>
        <w:keepLines w:val="0"/>
        <w:keepNext w:val="0"/>
        <w:pageBreakBefore w:val="0"/>
        <w:spacing w:line="472"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、监护仪具有组合报警功能。</w:t>
      </w:r>
      <w:r/>
    </w:p>
    <w:p>
      <w:pPr>
        <w:ind w:firstLine="480"/>
        <w:jc w:val="both"/>
        <w:keepLines w:val="0"/>
        <w:keepNext w:val="0"/>
        <w:pageBreakBefore w:val="0"/>
        <w:spacing w:line="472"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同品牌</w:t>
      </w:r>
      <w:r>
        <w:rPr>
          <w:rFonts w:hint="eastAsia" w:ascii="宋体" w:hAnsi="宋体" w:eastAsia="宋体" w:cs="宋体"/>
          <w:sz w:val="24"/>
          <w:szCs w:val="24"/>
          <w:lang w:val="en-US" w:eastAsia="zh-CN"/>
        </w:rPr>
        <w:t xml:space="preserve">有创连续心排模块支持在监护仪上插拔。</w:t>
      </w:r>
      <w:r/>
    </w:p>
    <w:p>
      <w:p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14:textFill>
            <w14:solidFill>
              <w14:schemeClr w14:val="tx1"/>
            </w14:solidFill>
          </w14:textFill>
        </w:rPr>
        <w:t xml:space="preserve">、商务需求</w:t>
      </w:r>
      <w:r/>
    </w:p>
    <w:p>
      <w:pPr>
        <w:ind w:firstLine="480"/>
        <w:jc w:val="left"/>
        <w:keepLines w:val="0"/>
        <w:keepNext w:val="0"/>
        <w:pageBreakBefore w:val="0"/>
        <w:spacing w:line="360" w:lineRule="auto"/>
        <w:shd w:val="clear" w:color="auto" w:fill="ffffff"/>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sz w:val="24"/>
          <w:szCs w:val="24"/>
        </w:rPr>
        <w:t xml:space="preserve">1、售后服务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卖方应保证所供设备是全新的、生产日期应在合同签订日前12个月内（不可抗力因素除外）。在货物到达使用单位后，卖方应在7天内派技术人员到达现场，提供安装、调试、培训等服务，正常使用一个月后协助医院组织验收。保修期自验收之日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1.2整机厂家全保保修期为≥三年。</w:t>
      </w:r>
      <w:r>
        <w:rPr>
          <w:rFonts w:hint="eastAsia" w:ascii="宋体" w:hAnsi="宋体" w:eastAsia="宋体" w:cs="宋体"/>
          <w:sz w:val="24"/>
          <w:szCs w:val="24"/>
          <w:highlight w:val="none"/>
        </w:rPr>
        <w:t xml:space="preserve">保</w:t>
      </w:r>
      <w:r>
        <w:rPr>
          <w:rFonts w:hint="eastAsia" w:ascii="宋体" w:hAnsi="宋体" w:eastAsia="宋体" w:cs="宋体"/>
          <w:sz w:val="24"/>
          <w:szCs w:val="24"/>
        </w:rPr>
        <w:t xml:space="preserve">修期内每年厂家提供定期预防性维护保养次数≥4次，并提供维修工单及保养报告。卖方须保证提供终身的优质服务，出保后人工费为零，配件≤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折。年度保修合同价不高于设备总价的4%。</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1.3卖方须为买方提供现场操作培训，保证操作人员正常使用设备的各种功能，否则持续培训。提供中/英文操作手册和维修手册、软件光盘等，中文操作流程及注意事项塑封挂牌。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1.4如设备出现故障，报修响应时间≤2小时，工程人员到场时间≤12小时。不可抗因素除外。主要耗材及零配件应能确保库存</w:t>
      </w:r>
      <w:r>
        <w:rPr>
          <w:rFonts w:hint="eastAsia" w:ascii="宋体" w:hAnsi="宋体" w:cs="宋体"/>
          <w:sz w:val="24"/>
          <w:szCs w:val="24"/>
          <w:lang w:val="en-US" w:eastAsia="zh-CN"/>
        </w:rPr>
        <w:t xml:space="preserve">且为原厂全新</w:t>
      </w:r>
      <w:r>
        <w:rPr>
          <w:rFonts w:hint="eastAsia" w:ascii="宋体" w:hAnsi="宋体" w:eastAsia="宋体" w:cs="宋体"/>
          <w:sz w:val="24"/>
          <w:szCs w:val="24"/>
        </w:rPr>
        <w:t xml:space="preserve">，及时供应（须列出全部专机专用耗材及主要零配件的清单及优惠价格）。保修期满后，若买方自行进行故障维修，卖方需要提供相关技术支持，包括提供相关机器密码。</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售后服务所有条款提供承诺书（格式可自拟），并加盖投标人</w:t>
      </w:r>
      <w:r>
        <w:rPr>
          <w:rFonts w:hint="eastAsia" w:ascii="宋体" w:hAnsi="宋体" w:eastAsia="宋体" w:cs="宋体"/>
          <w:b w:val="0"/>
          <w:bCs w:val="0"/>
          <w:sz w:val="24"/>
          <w:szCs w:val="24"/>
        </w:rPr>
        <w:t xml:space="preserve">公章</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如供应商调整，厂家负责落实相关责任。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2、验收标准：供方提供的商品必须符合我国最新颁布</w:t>
      </w:r>
      <w:r>
        <w:rPr>
          <w:rFonts w:hint="eastAsia" w:ascii="宋体" w:hAnsi="宋体" w:eastAsia="宋体" w:cs="宋体"/>
          <w:sz w:val="24"/>
          <w:szCs w:val="24"/>
          <w:lang w:eastAsia="zh-CN"/>
        </w:rPr>
        <w:t xml:space="preserve">地与之</w:t>
      </w:r>
      <w:r>
        <w:rPr>
          <w:rFonts w:hint="eastAsia" w:ascii="宋体" w:hAnsi="宋体" w:eastAsia="宋体" w:cs="宋体"/>
          <w:sz w:val="24"/>
          <w:szCs w:val="24"/>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4、交货条件：产品交货时，包装完整无破损，还必须提供以下材料：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（1）装箱单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（3）供方需要提供进口商品检验检疫证明（进口产品适用）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（4）需要提供维护手册、维修手册、软件备份、故障代码表、备件清单、零部件、维修密码等维护维修必需的材料和信息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5、运输及到货地点：由供方负责办理运输及装卸，直接送至需方所在地，所有费用由供方承担。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6、付款方式：合同生效之后预付合同总价30%；设备安装验收合格正常使用三个月并开具全额发票</w:t>
      </w:r>
      <w:r>
        <w:rPr>
          <w:rFonts w:hint="eastAsia" w:ascii="宋体" w:hAnsi="宋体" w:eastAsia="宋体" w:cs="宋体"/>
          <w:sz w:val="24"/>
          <w:szCs w:val="24"/>
          <w:lang w:eastAsia="zh-CN"/>
        </w:rPr>
        <w:t xml:space="preserve">后支</w:t>
      </w:r>
      <w:r>
        <w:rPr>
          <w:rFonts w:hint="eastAsia" w:ascii="宋体" w:hAnsi="宋体" w:eastAsia="宋体" w:cs="宋体"/>
          <w:sz w:val="24"/>
          <w:szCs w:val="24"/>
        </w:rPr>
        <w:t xml:space="preserve">付合同总价的40%；正常使用一年后付款30%。</w:t>
      </w:r>
      <w:r>
        <w:rPr>
          <w:rFonts w:hint="default" w:ascii="宋体" w:hAnsi="宋体" w:eastAsia="宋体" w:cs="宋体"/>
          <w:sz w:val="24"/>
          <w:szCs w:val="24"/>
        </w:rPr>
        <w:t xml:space="preserve">如果中标人为中小企业，按《保障中小企业款项支付条例》</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国令第 802号</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相关要求执行。</w:t>
      </w:r>
      <w:r>
        <w:rPr>
          <w:rFonts w:hint="eastAsia" w:ascii="宋体" w:hAnsi="宋体" w:eastAsia="宋体" w:cs="宋体"/>
          <w:sz w:val="24"/>
          <w:szCs w:val="24"/>
        </w:rPr>
        <w:t xml:space="preserve">（因供方延迟开具发票及相关资料等，需方有权延迟付款）</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8</w:t>
      </w:r>
      <w:r>
        <w:rPr>
          <w:rFonts w:hint="eastAsia" w:ascii="宋体" w:hAnsi="宋体" w:eastAsia="宋体" w:cs="宋体"/>
          <w:sz w:val="24"/>
          <w:szCs w:val="24"/>
          <w:highlight w:val="none"/>
        </w:rPr>
        <w:t xml:space="preserve">、具备数字化接口的设备应承诺免费开放该接口，由供应商配合与医院系统相连接并承担相关费用</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9、具有汉字字库、中文支持的系统及中文文档的设备应承诺免费提供该系统，暂不具备的应承诺如日后具备此系统后免费向用户提供</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10、设备使用年限内，</w:t>
      </w:r>
      <w:r>
        <w:rPr>
          <w:rFonts w:hint="eastAsia" w:ascii="宋体" w:hAnsi="宋体" w:eastAsia="宋体" w:cs="宋体"/>
          <w:b w:val="0"/>
          <w:bCs w:val="0"/>
          <w:sz w:val="24"/>
          <w:szCs w:val="24"/>
        </w:rPr>
        <w:t xml:space="preserve">承</w:t>
      </w:r>
      <w:r>
        <w:rPr>
          <w:rFonts w:hint="eastAsia" w:ascii="宋体" w:hAnsi="宋体" w:eastAsia="宋体" w:cs="宋体"/>
          <w:sz w:val="24"/>
          <w:szCs w:val="24"/>
        </w:rPr>
        <w:t xml:space="preserve">诺保证配件、耗材的供应；若因设备升级等原因导致配件、耗材价格提高，或已无法正常供应配件、耗材时，采购人有权要求生产厂家按折旧后的价格将设备回购</w:t>
      </w:r>
      <w:r>
        <w:rPr>
          <w:rFonts w:hint="eastAsia" w:ascii="宋体" w:hAnsi="宋体" w:eastAsia="宋体" w:cs="宋体"/>
          <w:b w:val="0"/>
          <w:bCs w:val="0"/>
          <w:sz w:val="24"/>
          <w:szCs w:val="24"/>
          <w:highlight w:val="none"/>
        </w:rPr>
        <w:t xml:space="preserve">（提供《关于所投设备的配件、耗材供应情况的承诺函》参考格式）</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1031"/>
        <w:ind w:firstLine="281"/>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w:t>
      </w:r>
      <w:r/>
    </w:p>
    <w:p>
      <w:pPr>
        <w:pStyle w:val="1031"/>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5"/>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727"/>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2"/>
        <w:gridCol w:w="6993"/>
        <w:gridCol w:w="754"/>
        <w:gridCol w:w="754"/>
      </w:tblGrid>
      <w:tr>
        <w:trPr>
          <w:trHeight w:val="624"/>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06"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评分下限</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中心监护系统支持≥64床病人集中管理得2分，单屏支持查看≥16道病人信息得2分，其他不得分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05"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中心监护系统重点观察床可显示≥12道波形得2分，可显示≥24个参数区得2分，其他不得分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17"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中心监护系统可接入其他同品牌设备并显示参数及波形信息，如麻醉机、呼吸机、超声等，每符合1种得1分，最高得3分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46"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监护仪插件槽数：3-5个得2分，≥6个得4分，其他不得分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7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转运模块可插入监护仪主机任意插槽得4分，其他不得分</w:t>
            </w:r>
            <w:r/>
          </w:p>
        </w:tc>
        <w:tc>
          <w:tcPr>
            <w:shd w:val="clear" w:color="auto" w:fill="auto"/>
            <w:tcBorders>
              <w:top w:val="single" w:color="000000" w:sz="4" w:space="0"/>
              <w:left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2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有创压力监测通道数：4或5通道得2分，≥6通道得4分，其他不得分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6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血氧SpO</w:t>
            </w:r>
            <w:r>
              <w:rPr>
                <w:rFonts w:hint="eastAsia" w:ascii="宋体" w:hAnsi="宋体" w:eastAsia="宋体" w:cs="宋体"/>
                <w:i w:val="0"/>
                <w:iCs w:val="0"/>
                <w:color w:val="000000"/>
                <w:sz w:val="24"/>
                <w:szCs w:val="24"/>
                <w:u w:val="none"/>
                <w:vertAlign w:val="subscript"/>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监测支持Nellcor技术得1.5分，支持masimo技术得1.5分，其他不得分</w:t>
            </w:r>
            <w:r/>
          </w:p>
        </w:tc>
        <w:tc>
          <w:tcPr>
            <w:shd w:val="clear" w:color="auto" w:fill="auto"/>
            <w:tcBorders>
              <w:top w:val="single" w:color="auto" w:sz="4" w:space="0"/>
              <w:left w:val="single" w:color="auto"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80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旁流呼末CO</w:t>
            </w:r>
            <w:r>
              <w:rPr>
                <w:rFonts w:hint="eastAsia" w:ascii="宋体" w:hAnsi="宋体" w:eastAsia="宋体" w:cs="宋体"/>
                <w:i w:val="0"/>
                <w:iCs w:val="0"/>
                <w:color w:val="000000"/>
                <w:sz w:val="24"/>
                <w:szCs w:val="24"/>
                <w:u w:val="none"/>
                <w:vertAlign w:val="subscript"/>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监测采用积水杯设计得2分，采用非积水杯设计得4分</w:t>
            </w:r>
            <w:r/>
          </w:p>
        </w:tc>
        <w:tc>
          <w:tcPr>
            <w:shd w:val="clear" w:color="auto" w:fill="auto"/>
            <w:tcBorders>
              <w:top w:val="single" w:color="auto"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监护仪支持能量代谢监测功能得3分</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67"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376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有创压力监测最大值(mmHg)：300≤压力＜350，得2分；≥350得4分，其他不得分</w:t>
            </w:r>
            <w:r/>
          </w:p>
        </w:tc>
        <w:tc>
          <w:tcPr>
            <w:shd w:val="clear" w:color="auto" w:fill="auto"/>
            <w:tcBorders>
              <w:top w:val="single" w:color="auto" w:sz="4" w:space="0"/>
              <w:left w:val="single" w:color="auto"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98"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3766"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监护仪内置USB接口：1-3个得1.5分，≥4个USB接口得3分，其他不得分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auto"/>
          <w:sz w:val="24"/>
          <w:szCs w:val="24"/>
          <w:highlight w:val="none"/>
          <w:lang w:val="en-US" w:eastAsia="zh-CN"/>
        </w:rPr>
        <w:t xml:space="preserve">3.1质保期（3分）：以招标文件要求为基准，每</w:t>
      </w:r>
      <w:r>
        <w:rPr>
          <w:rFonts w:hint="eastAsia" w:ascii="宋体" w:hAnsi="宋体" w:cs="宋体"/>
          <w:color w:val="auto"/>
          <w:sz w:val="24"/>
          <w:szCs w:val="24"/>
          <w:highlight w:val="white"/>
          <w:lang w:val="en-US" w:eastAsia="zh-CN"/>
        </w:rPr>
        <w:t xml:space="preserve">多一年加1分，不超过3分</w:t>
      </w:r>
      <w:r>
        <w:rPr>
          <w:rFonts w:hint="eastAsia" w:ascii="宋体" w:hAnsi="宋体" w:cs="宋体"/>
          <w:b w:val="0"/>
          <w:bCs w:val="0"/>
          <w:color w:val="auto"/>
          <w:sz w:val="24"/>
          <w:szCs w:val="24"/>
          <w:highlight w:val="white"/>
          <w:lang w:val="en-US" w:eastAsia="zh-CN"/>
        </w:rPr>
        <w:t xml:space="preserve">（提供生产厂家出具的《质量保证及售后服务承诺书》（给定格式）。</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3.2服务方案体系（5分）：投标人保障采购项目能够达到招标文件设定的使用和运行状态而提供的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color w:val="auto"/>
          <w:sz w:val="24"/>
          <w:szCs w:val="24"/>
          <w:highlight w:val="none"/>
          <w:lang w:val="en-US" w:eastAsia="zh-CN"/>
        </w:rPr>
        <w:t xml:space="preserve">配送、安装、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cs="宋体"/>
          <w:color w:val="auto"/>
          <w:sz w:val="24"/>
          <w:szCs w:val="24"/>
          <w:highlight w:val="none"/>
          <w:lang w:val="en-US" w:eastAsia="zh-CN"/>
        </w:rPr>
        <w:t xml:space="preserve">调试、培训、</w:t>
      </w:r>
      <w:r>
        <w:rPr>
          <w:rFonts w:hint="eastAsia" w:ascii="宋体" w:hAnsi="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color w:val="auto"/>
          <w:sz w:val="24"/>
          <w:szCs w:val="24"/>
          <w:highlight w:val="none"/>
          <w:lang w:val="en-US" w:eastAsia="zh-CN"/>
        </w:rPr>
        <w:t xml:space="preserve">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cs="宋体"/>
          <w:color w:val="auto"/>
          <w:sz w:val="24"/>
          <w:szCs w:val="24"/>
          <w:highlight w:val="none"/>
          <w:lang w:val="en-US" w:eastAsia="zh-CN"/>
        </w:rPr>
        <w:t xml:space="preserve">咨询（技术支持）、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cs="宋体"/>
          <w:color w:val="auto"/>
          <w:sz w:val="24"/>
          <w:szCs w:val="24"/>
          <w:highlight w:val="none"/>
          <w:lang w:val="en-US" w:eastAsia="zh-CN"/>
        </w:rPr>
        <w:t xml:space="preserve">维修以及应急保障措施等一系列服务方案。</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以上内容不存在瑕疵、漏项，有针对性解决说明得5分；以上内容存在1处瑕疵、漏项，有针对性解决说明，得3分；以上内容存在2-3处瑕疵、漏项，有针对性解决说明，得2分；以上内容存在4-5处瑕疵、漏项，有针对性解决说明，得1分；未提供或不满足项目招标书需求或内容存在5处以上瑕疵、漏项，得0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服务保障体系（5分）：投标人保障服务方案的实施而设立的服务机构、配备的相应服务人员、设施装备（2分），以及相应的服务细则和规范的管理制度（2分），确保兑现服务承诺、保证服务质量的措施（1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以上5项内容不存在瑕疵、漏项得分，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tabs>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综合因素（</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销售业绩及客户评价比较，</w:t>
      </w:r>
      <w:r>
        <w:rPr>
          <w:rFonts w:hint="eastAsia" w:ascii="宋体" w:hAnsi="宋体" w:cs="宋体"/>
          <w:color w:val="auto"/>
          <w:sz w:val="24"/>
          <w:szCs w:val="24"/>
          <w:highlight w:val="none"/>
          <w:lang w:val="en-US" w:eastAsia="zh-CN"/>
        </w:rPr>
        <w:t xml:space="preserve">自2023年8月以来</w:t>
      </w:r>
      <w:r>
        <w:rPr>
          <w:rFonts w:hint="eastAsia" w:ascii="宋体" w:hAnsi="宋体" w:cs="宋体"/>
          <w:color w:val="auto"/>
          <w:sz w:val="24"/>
          <w:szCs w:val="24"/>
          <w:highlight w:val="none"/>
        </w:rPr>
        <w:t xml:space="preserve">主要业绩</w:t>
      </w:r>
      <w:r>
        <w:rPr>
          <w:rFonts w:hint="eastAsia" w:ascii="宋体" w:hAnsi="宋体" w:cs="宋体"/>
          <w:color w:val="auto"/>
          <w:sz w:val="24"/>
          <w:szCs w:val="24"/>
          <w:highlight w:val="none"/>
          <w:lang w:val="en-US" w:eastAsia="zh-CN"/>
        </w:rPr>
        <w:t xml:space="preserve">情况</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分）（提供投标人与终端用户签订的与本次招标采购项目</w:t>
      </w:r>
      <w:r>
        <w:rPr>
          <w:rFonts w:hint="eastAsia" w:ascii="宋体" w:hAnsi="宋体" w:cs="宋体"/>
          <w:color w:val="auto"/>
          <w:sz w:val="24"/>
          <w:szCs w:val="24"/>
          <w:highlight w:val="none"/>
          <w:lang w:val="en-US" w:eastAsia="zh-CN"/>
        </w:rPr>
        <w:t xml:space="preserve">类似</w:t>
      </w:r>
      <w:r>
        <w:rPr>
          <w:rFonts w:hint="eastAsia" w:ascii="宋体" w:hAnsi="宋体" w:cs="宋体"/>
          <w:color w:val="auto"/>
          <w:sz w:val="24"/>
          <w:szCs w:val="24"/>
          <w:highlight w:val="none"/>
        </w:rPr>
        <w:t xml:space="preserve">产品的完整销售合同复印件。有一例得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分，最高不超过</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复印件要求加盖投标单位电子公章）。</w:t>
      </w:r>
      <w:r>
        <w:rPr>
          <w:rFonts w:hint="eastAsia" w:ascii="宋体" w:hAnsi="宋体" w:cs="宋体"/>
          <w:color w:val="000000"/>
          <w:sz w:val="24"/>
          <w:szCs w:val="24"/>
          <w:highlight w:val="none"/>
        </w:rPr>
        <w:t xml:space="preserve">合同金额如在50万元以上（含50万元），还须提供中标（成交）公示或合同公示页面截图进行佐证。截图内容含公示网站名称或地址、公示日期、完整公示内容。</w:t>
      </w:r>
      <w:r/>
    </w:p>
    <w:p>
      <w:pPr>
        <w:ind w:firstLine="482"/>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政策性因素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3分</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分（投标时须提供相应使用低VOCs含量的有效证明材料，否则不得分）</w:t>
      </w:r>
      <w:r>
        <w:rPr>
          <w:rFonts w:hint="eastAsia" w:ascii="宋体" w:hAnsi="宋体" w:cs="宋体"/>
          <w:color w:val="auto"/>
          <w:sz w:val="24"/>
          <w:szCs w:val="24"/>
          <w:highlight w:val="none"/>
          <w:lang w:eastAsia="zh-CN"/>
        </w:rPr>
        <w:t xml:space="preserve">。</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bookmarkEnd w:id="185"/>
      <w:r/>
      <w:bookmarkEnd w:id="186"/>
      <w:r/>
      <w:bookmarkEnd w:id="187"/>
      <w:r/>
      <w:bookmarkEnd w:id="188"/>
      <w:r/>
      <w:bookmarkEnd w:id="189"/>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bookmarkStart w:id="201" w:name="_GoBack"/>
      <w:r/>
      <w:bookmarkEnd w:id="201"/>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1"/>
        <w:ind w:firstLine="602"/>
        <w:spacing w:before="0" w:after="0" w:line="500" w:lineRule="exact"/>
        <w:rPr>
          <w:rFonts w:cs="Arial"/>
          <w:b/>
          <w:color w:val="000000" w:themeColor="text1"/>
          <w:sz w:val="30"/>
          <w:szCs w:val="30"/>
          <w14:textFill>
            <w14:solidFill>
              <w14:schemeClr w14:val="tx1"/>
            </w14:solidFill>
          </w14:textFill>
        </w:rPr>
      </w:pPr>
      <w:r/>
      <w:bookmarkStart w:id="190" w:name="_Hlt26671244"/>
      <w:r/>
      <w:bookmarkEnd w:id="190"/>
      <w:r/>
      <w:bookmarkStart w:id="191" w:name="_Hlt26955039"/>
      <w:r/>
      <w:bookmarkEnd w:id="191"/>
      <w:r/>
      <w:bookmarkStart w:id="192" w:name="_Toc49090576"/>
      <w:r/>
      <w:bookmarkStart w:id="193" w:name="_Toc26554094"/>
      <w:r/>
      <w:bookmarkStart w:id="194" w:name="_Toc120614282"/>
      <w:r>
        <w:rPr>
          <w:rFonts w:hint="eastAsia" w:cs="Arial"/>
          <w:b/>
          <w:color w:val="000000" w:themeColor="text1"/>
          <w:sz w:val="30"/>
          <w:szCs w:val="30"/>
          <w14:textFill>
            <w14:solidFill>
              <w14:schemeClr w14:val="tx1"/>
            </w14:solidFill>
          </w14:textFill>
        </w:rPr>
        <w:t xml:space="preserve">第一部分  投标文件内容</w:t>
      </w:r>
      <w:r/>
    </w:p>
    <w:p>
      <w:pPr>
        <w:pStyle w:val="103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1"/>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0"/>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1"/>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JSZC-320200-XWJC-G2025-0096</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无锡市第二人民医院中央监护系统（1拖10）项目（第二次）</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JSZC-320200-XWJC-G2025-0096</w:t>
      </w:r>
      <w:r>
        <w:rPr>
          <w:rFonts w:hint="eastAsia" w:ascii="宋体" w:hAnsi="宋体"/>
          <w:bCs/>
          <w:color w:val="000000" w:themeColor="text1"/>
          <w:sz w:val="24"/>
          <w:szCs w:val="24"/>
          <w14:textFill>
            <w14:solidFill>
              <w14:schemeClr w14:val="tx1"/>
            </w14:solidFill>
          </w14:textFill>
        </w:rPr>
        <w:t xml:space="preserve">项目，兹授权：</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29"/>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29"/>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29"/>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1029"/>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JSZC-320200-XWJC-G2025-0096</w:t>
      </w:r>
      <w:r>
        <w:rPr>
          <w:rFonts w:hint="eastAsia" w:ascii="宋体" w:hAnsi="宋体"/>
          <w:bCs/>
          <w:color w:val="000000" w:themeColor="text1"/>
          <w:sz w:val="24"/>
          <w:szCs w:val="24"/>
          <w14:textFill>
            <w14:solidFill>
              <w14:schemeClr w14:val="tx1"/>
            </w14:solidFill>
          </w14:textFill>
        </w:rPr>
        <w:t xml:space="preserve">进行投标，并</w:t>
      </w:r>
      <w:r>
        <w:rPr>
          <w:rFonts w:hint="eastAsia" w:ascii="宋体" w:hAnsi="宋体"/>
          <w:bCs/>
          <w:color w:val="000000" w:themeColor="text1"/>
          <w:sz w:val="24"/>
          <w:szCs w:val="24"/>
          <w:lang w:eastAsia="zh-CN"/>
          <w14:textFill>
            <w14:solidFill>
              <w14:schemeClr w14:val="tx1"/>
            </w14:solidFill>
          </w14:textFill>
        </w:rPr>
        <w:t xml:space="preserve">作</w:t>
      </w:r>
      <w:r>
        <w:rPr>
          <w:rFonts w:hint="eastAsia" w:ascii="宋体" w:hAnsi="宋体"/>
          <w:bCs/>
          <w:color w:val="000000" w:themeColor="text1"/>
          <w:sz w:val="24"/>
          <w:szCs w:val="24"/>
          <w14:textFill>
            <w14:solidFill>
              <w14:schemeClr w14:val="tx1"/>
            </w14:solidFill>
          </w14:textFill>
        </w:rPr>
        <w:t xml:space="preserve">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JSZC-320200-XWJC-G2025-0096</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8"/>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JSZC-320200-XWJC-G2025-0096</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lang w:eastAsia="zh-CN"/>
          <w14:textFill>
            <w14:solidFill>
              <w14:schemeClr w14:val="tx1"/>
            </w14:solidFill>
          </w14:textFill>
        </w:rPr>
        <w:t xml:space="preserve">按照</w:t>
      </w:r>
      <w:r>
        <w:rPr>
          <w:rFonts w:hint="eastAsia" w:ascii="宋体"/>
          <w:bCs/>
          <w:color w:val="000000" w:themeColor="text1"/>
          <w:sz w:val="24"/>
          <w:szCs w:val="24"/>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w:t>
      </w:r>
      <w:r>
        <w:rPr>
          <w:rFonts w:hint="eastAsia" w:ascii="宋体" w:hAnsi="宋体"/>
          <w:color w:val="000000" w:themeColor="text1"/>
          <w:sz w:val="24"/>
          <w:szCs w:val="24"/>
          <w:lang w:eastAsia="zh-CN"/>
          <w14:textFill>
            <w14:solidFill>
              <w14:schemeClr w14:val="tx1"/>
            </w14:solidFill>
          </w14:textFill>
        </w:rPr>
        <w:t xml:space="preserve">按照</w:t>
      </w:r>
      <w:r>
        <w:rPr>
          <w:rFonts w:hint="eastAsia" w:ascii="宋体" w:hAnsi="宋体"/>
          <w:color w:val="000000" w:themeColor="text1"/>
          <w:sz w:val="24"/>
          <w:szCs w:val="24"/>
          <w14:textFill>
            <w14:solidFill>
              <w14:schemeClr w14:val="tx1"/>
            </w14:solidFill>
          </w14:textFill>
        </w:rPr>
        <w:t xml:space="preserve">《关于印发〈绿色数据中心政府采购需求标准（试行）〉的通知》（财办库〔2023〕7号）文件执行；所提供的数据中心相关设备、运维服务均符合《绿色数据中心政府采购需求标准（试行）》的指标及标准。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JSZC-320200-XWJC-G2025-0096</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57"/>
              <w:jc w:val="center"/>
              <w:spacing w:line="400" w:lineRule="exact"/>
              <w:rPr>
                <w:rFonts w:hint="eastAsia"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r>
            <w:r/>
          </w:p>
        </w:tc>
        <w:tc>
          <w:tcPr>
            <w:tcW w:w="3188" w:type="dxa"/>
            <w:vAlign w:val="center"/>
            <w:textDirection w:val="lrTb"/>
            <w:noWrap w:val="false"/>
          </w:tcPr>
          <w:p>
            <w:pPr>
              <w:pStyle w:val="1057"/>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192"/>
      <w:r/>
      <w:bookmarkEnd w:id="193"/>
      <w:r/>
      <w:bookmarkEnd w:id="194"/>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196"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JSZC-320200-XWJC-G2025-0096</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交货完工期： 合同签订生效后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JSZC-320200-XWJC-G2025-0096</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96"/>
      <w:r/>
      <w:bookmarkStart w:id="197" w:name="_Hlt26609389"/>
      <w:r/>
      <w:bookmarkEnd w:id="197"/>
      <w:r/>
      <w:bookmarkStart w:id="198" w:name="_Hlt26955066"/>
      <w:r/>
      <w:bookmarkEnd w:id="198"/>
      <w:r/>
      <w:bookmarkStart w:id="199" w:name="_Hlt26671374"/>
      <w:r/>
      <w:bookmarkEnd w:id="199"/>
      <w:r/>
      <w:bookmarkStart w:id="200" w:name="_格式2__法定代表人授权书"/>
      <w:r/>
      <w:bookmarkEnd w:id="200"/>
      <w:r/>
      <w:r/>
    </w:p>
    <w:p>
      <w:pPr>
        <w:ind w:firstLine="96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（4）投标人应当根据“采购需求”的内容在上表中逐条填写。</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w:t>
      </w:r>
      <w:r>
        <w:rPr>
          <w:rFonts w:hint="eastAsia"/>
          <w:b/>
          <w:color w:val="000000" w:themeColor="text1"/>
          <w:sz w:val="30"/>
          <w:szCs w:val="30"/>
          <w:lang w:val="en-US" w:eastAsia="zh-CN"/>
          <w14:textFill>
            <w14:solidFill>
              <w14:schemeClr w14:val="tx1"/>
            </w14:solidFill>
          </w14:textFill>
        </w:rPr>
        <w:t xml:space="preserve">给定</w:t>
      </w:r>
      <w:r>
        <w:rPr>
          <w:rFonts w:hint="eastAsia"/>
          <w:b/>
          <w:color w:val="000000" w:themeColor="text1"/>
          <w:sz w:val="30"/>
          <w:szCs w:val="30"/>
          <w14:textFill>
            <w14:solidFill>
              <w14:schemeClr w14:val="tx1"/>
            </w14:solidFill>
          </w14:textFill>
        </w:rPr>
        <w:t xml:space="preserve">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JSZC-320200-XWJC-G2025-0096</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无锡市第二人民医院麻醉机系统项目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JSZC-320200-XWJC-G2025-0096</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38"/>
        <w:keepLines w:val="0"/>
        <w:keepNext w:val="0"/>
        <w:pageBreakBefore w:val="0"/>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PAGE \* MERGEFORMAT</w:instrText>
    </w:r>
    <w:r>
      <w:fldChar w:fldCharType="separate"/>
    </w:r>
    <w:r>
      <w:t xml:space="preserve">26</w:t>
    </w:r>
    <w:r>
      <w:fldChar w:fldCharType="end"/>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9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99"/>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0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01"/>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0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03"/>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05"/>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06"/>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6"/>
    <w:uiPriority w:val="0"/>
    <w:unhideWhenUsed/>
    <w:qFormat/>
    <w:pPr>
      <w:spacing w:after="120"/>
    </w:pPr>
    <w:rPr>
      <w:rFonts w:ascii="Calibri" w:hAnsi="Calibri"/>
      <w:szCs w:val="22"/>
    </w:rPr>
  </w:style>
  <w:style w:type="paragraph" w:styleId="731">
    <w:name w:val="Body Text Indent"/>
    <w:basedOn w:val="716"/>
    <w:uiPriority w:val="99"/>
    <w:qFormat/>
    <w:pPr>
      <w:ind w:firstLine="576"/>
    </w:pPr>
    <w:rPr>
      <w:sz w:val="20"/>
      <w:szCs w:val="20"/>
    </w:rPr>
  </w:style>
  <w:style w:type="paragraph" w:styleId="732">
    <w:name w:val="toc 5"/>
    <w:basedOn w:val="716"/>
    <w:next w:val="716"/>
    <w:uiPriority w:val="39"/>
    <w:unhideWhenUsed/>
    <w:qFormat/>
    <w:pPr>
      <w:ind w:left="1134"/>
      <w:spacing w:after="57"/>
    </w:pPr>
  </w:style>
  <w:style w:type="paragraph" w:styleId="733">
    <w:name w:val="toc 3"/>
    <w:basedOn w:val="716"/>
    <w:next w:val="716"/>
    <w:uiPriority w:val="39"/>
    <w:unhideWhenUsed/>
    <w:qFormat/>
    <w:pPr>
      <w:ind w:left="567"/>
      <w:spacing w:after="57"/>
    </w:pPr>
  </w:style>
  <w:style w:type="paragraph" w:styleId="734">
    <w:name w:val="Plain Text"/>
    <w:basedOn w:val="716"/>
    <w:uiPriority w:val="0"/>
    <w:qFormat/>
    <w:rPr>
      <w:rFonts w:ascii="宋体" w:hAnsi="Courier New" w:cs="Courier New"/>
    </w:rPr>
  </w:style>
  <w:style w:type="paragraph" w:styleId="735">
    <w:name w:val="toc 8"/>
    <w:basedOn w:val="716"/>
    <w:next w:val="716"/>
    <w:uiPriority w:val="39"/>
    <w:unhideWhenUsed/>
    <w:qFormat/>
    <w:pPr>
      <w:ind w:left="1984"/>
      <w:spacing w:after="57"/>
    </w:pPr>
  </w:style>
  <w:style w:type="paragraph" w:styleId="736">
    <w:name w:val="endnote text"/>
    <w:basedOn w:val="716"/>
    <w:link w:val="944"/>
    <w:uiPriority w:val="99"/>
    <w:semiHidden/>
    <w:unhideWhenUsed/>
    <w:qFormat/>
    <w:rPr>
      <w:sz w:val="20"/>
    </w:rPr>
  </w:style>
  <w:style w:type="paragraph" w:styleId="737">
    <w:name w:val="Footer"/>
    <w:basedOn w:val="716"/>
    <w:link w:val="817"/>
    <w:uiPriority w:val="99"/>
    <w:unhideWhenUsed/>
    <w:qFormat/>
    <w:pPr>
      <w:tabs>
        <w:tab w:val="center" w:pos="7143" w:leader="none"/>
        <w:tab w:val="right" w:pos="14287" w:leader="none"/>
      </w:tabs>
    </w:pPr>
  </w:style>
  <w:style w:type="paragraph" w:styleId="738">
    <w:name w:val="envelope return"/>
    <w:basedOn w:val="716"/>
    <w:uiPriority w:val="0"/>
    <w:qFormat/>
    <w:rPr>
      <w:rFonts w:ascii="Arial" w:hAnsi="Arial" w:eastAsia="楷体_GB2312"/>
      <w:sz w:val="26"/>
      <w:szCs w:val="20"/>
    </w:rPr>
  </w:style>
  <w:style w:type="paragraph" w:styleId="739">
    <w:name w:val="Header"/>
    <w:basedOn w:val="716"/>
    <w:link w:val="815"/>
    <w:uiPriority w:val="99"/>
    <w:unhideWhenUsed/>
    <w:qFormat/>
    <w:pPr>
      <w:tabs>
        <w:tab w:val="center" w:pos="7143" w:leader="none"/>
        <w:tab w:val="right" w:pos="14287" w:leader="none"/>
      </w:tabs>
    </w:pPr>
  </w:style>
  <w:style w:type="paragraph" w:styleId="740">
    <w:name w:val="toc 1"/>
    <w:basedOn w:val="716"/>
    <w:next w:val="716"/>
    <w:uiPriority w:val="39"/>
    <w:unhideWhenUsed/>
    <w:qFormat/>
    <w:pPr>
      <w:spacing w:after="57"/>
    </w:pPr>
  </w:style>
  <w:style w:type="paragraph" w:styleId="741">
    <w:name w:val="toc 4"/>
    <w:basedOn w:val="716"/>
    <w:next w:val="716"/>
    <w:uiPriority w:val="39"/>
    <w:unhideWhenUsed/>
    <w:qFormat/>
    <w:pPr>
      <w:ind w:left="850"/>
      <w:spacing w:after="57"/>
    </w:pPr>
  </w:style>
  <w:style w:type="paragraph" w:styleId="742">
    <w:name w:val="Subtitle"/>
    <w:basedOn w:val="716"/>
    <w:next w:val="716"/>
    <w:link w:val="810"/>
    <w:uiPriority w:val="11"/>
    <w:qFormat/>
    <w:pPr>
      <w:spacing w:before="200" w:after="200"/>
    </w:pPr>
    <w:rPr>
      <w:sz w:val="24"/>
      <w:szCs w:val="24"/>
    </w:rPr>
  </w:style>
  <w:style w:type="paragraph" w:styleId="743">
    <w:name w:val="footnote text"/>
    <w:basedOn w:val="716"/>
    <w:link w:val="943"/>
    <w:uiPriority w:val="99"/>
    <w:semiHidden/>
    <w:unhideWhenUsed/>
    <w:qFormat/>
    <w:pPr>
      <w:spacing w:after="40"/>
    </w:pPr>
    <w:rPr>
      <w:sz w:val="18"/>
    </w:rPr>
  </w:style>
  <w:style w:type="paragraph" w:styleId="744">
    <w:name w:val="toc 6"/>
    <w:basedOn w:val="716"/>
    <w:next w:val="716"/>
    <w:uiPriority w:val="39"/>
    <w:unhideWhenUsed/>
    <w:qFormat/>
    <w:pPr>
      <w:ind w:left="1417"/>
      <w:spacing w:after="57"/>
    </w:pPr>
  </w:style>
  <w:style w:type="paragraph" w:styleId="745">
    <w:name w:val="table of figures"/>
    <w:basedOn w:val="716"/>
    <w:next w:val="716"/>
    <w:uiPriority w:val="99"/>
    <w:unhideWhenUsed/>
    <w:qFormat/>
  </w:style>
  <w:style w:type="paragraph" w:styleId="746">
    <w:name w:val="toc 2"/>
    <w:basedOn w:val="716"/>
    <w:next w:val="716"/>
    <w:uiPriority w:val="39"/>
    <w:unhideWhenUsed/>
    <w:qFormat/>
    <w:pPr>
      <w:ind w:left="283"/>
      <w:spacing w:after="57"/>
    </w:pPr>
  </w:style>
  <w:style w:type="paragraph" w:styleId="747">
    <w:name w:val="toc 9"/>
    <w:basedOn w:val="716"/>
    <w:next w:val="716"/>
    <w:uiPriority w:val="39"/>
    <w:unhideWhenUsed/>
    <w:qFormat/>
    <w:pPr>
      <w:ind w:left="2268"/>
      <w:spacing w:after="57"/>
    </w:pPr>
  </w:style>
  <w:style w:type="paragraph" w:styleId="74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49">
    <w:name w:val="Title"/>
    <w:basedOn w:val="716"/>
    <w:next w:val="716"/>
    <w:link w:val="809"/>
    <w:uiPriority w:val="10"/>
    <w:qFormat/>
    <w:pPr>
      <w:contextualSpacing/>
      <w:spacing w:before="300" w:after="200"/>
    </w:pPr>
    <w:rPr>
      <w:sz w:val="48"/>
      <w:szCs w:val="48"/>
    </w:rPr>
  </w:style>
  <w:style w:type="paragraph" w:styleId="750">
    <w:name w:val="Body Text First Indent"/>
    <w:basedOn w:val="730"/>
    <w:uiPriority w:val="0"/>
    <w:qFormat/>
    <w:pPr>
      <w:ind w:firstLine="420"/>
      <w:spacing w:line="360" w:lineRule="auto"/>
    </w:pPr>
    <w:rPr>
      <w:rFonts w:ascii="Times New Roman" w:hAnsi="Times New Roman"/>
      <w:szCs w:val="21"/>
    </w:rPr>
  </w:style>
  <w:style w:type="table" w:styleId="7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table" w:styleId="75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TOC 标题1"/>
    <w:uiPriority w:val="39"/>
    <w:unhideWhenUsed/>
    <w:qFormat/>
    <w:rPr>
      <w:rFonts w:hint="default" w:ascii="Times New Roman" w:hAnsi="Times New Roman" w:eastAsia="宋体" w:cs="Times New Roman"/>
      <w:lang w:val="en-US" w:eastAsia="zh-CN" w:bidi="ar-SA"/>
    </w:rPr>
  </w:style>
  <w:style w:type="paragraph" w:styleId="776" w:customStyle="1">
    <w:name w:val="TOC 标题113"/>
    <w:uiPriority w:val="39"/>
    <w:unhideWhenUsed/>
    <w:qFormat/>
    <w:rPr>
      <w:rFonts w:hint="default" w:ascii="Times New Roman" w:hAnsi="Times New Roman" w:eastAsia="宋体" w:cs="Times New Roman"/>
      <w:lang w:val="en-US" w:eastAsia="zh-CN" w:bidi="ar-SA"/>
    </w:rPr>
  </w:style>
  <w:style w:type="paragraph" w:styleId="777" w:customStyle="1">
    <w:name w:val="TOC 标题112"/>
    <w:uiPriority w:val="39"/>
    <w:unhideWhenUsed/>
    <w:qFormat/>
    <w:rPr>
      <w:rFonts w:hint="default" w:ascii="Times New Roman" w:hAnsi="Times New Roman" w:eastAsia="宋体" w:cs="Times New Roman"/>
      <w:lang w:val="en-US" w:eastAsia="zh-CN" w:bidi="ar-SA"/>
    </w:rPr>
  </w:style>
  <w:style w:type="character" w:styleId="778" w:customStyle="1">
    <w:name w:val="Heading 1 Char"/>
    <w:basedOn w:val="726"/>
    <w:uiPriority w:val="9"/>
    <w:qFormat/>
    <w:rPr>
      <w:rFonts w:ascii="Arial" w:hAnsi="Arial" w:eastAsia="Arial" w:cs="Arial"/>
      <w:sz w:val="40"/>
      <w:szCs w:val="40"/>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Heading 5 Char"/>
    <w:basedOn w:val="726"/>
    <w:uiPriority w:val="9"/>
    <w:qFormat/>
    <w:rPr>
      <w:rFonts w:ascii="Arial" w:hAnsi="Arial" w:eastAsia="Arial" w:cs="Arial"/>
      <w:b/>
      <w:bCs/>
      <w:sz w:val="24"/>
      <w:szCs w:val="24"/>
    </w:rPr>
  </w:style>
  <w:style w:type="character" w:styleId="783" w:customStyle="1">
    <w:name w:val="Heading 6 Char"/>
    <w:basedOn w:val="726"/>
    <w:uiPriority w:val="9"/>
    <w:qFormat/>
    <w:rPr>
      <w:rFonts w:ascii="Arial" w:hAnsi="Arial" w:eastAsia="Arial" w:cs="Arial"/>
      <w:b/>
      <w:bCs/>
      <w:sz w:val="22"/>
      <w:szCs w:val="22"/>
    </w:rPr>
  </w:style>
  <w:style w:type="character" w:styleId="784" w:customStyle="1">
    <w:name w:val="Heading 7 Char"/>
    <w:basedOn w:val="726"/>
    <w:uiPriority w:val="9"/>
    <w:qFormat/>
    <w:rPr>
      <w:rFonts w:ascii="Arial" w:hAnsi="Arial" w:eastAsia="Arial" w:cs="Arial"/>
      <w:b/>
      <w:bCs/>
      <w:i/>
      <w:iCs/>
      <w:sz w:val="22"/>
      <w:szCs w:val="22"/>
    </w:rPr>
  </w:style>
  <w:style w:type="character" w:styleId="785" w:customStyle="1">
    <w:name w:val="Heading 8 Char"/>
    <w:basedOn w:val="726"/>
    <w:uiPriority w:val="9"/>
    <w:qFormat/>
    <w:rPr>
      <w:rFonts w:ascii="Arial" w:hAnsi="Arial" w:eastAsia="Arial" w:cs="Arial"/>
      <w:i/>
      <w:iCs/>
      <w:sz w:val="22"/>
      <w:szCs w:val="22"/>
    </w:rPr>
  </w:style>
  <w:style w:type="character" w:styleId="786" w:customStyle="1">
    <w:name w:val="Heading 9 Char"/>
    <w:basedOn w:val="726"/>
    <w:uiPriority w:val="9"/>
    <w:qFormat/>
    <w:rPr>
      <w:rFonts w:ascii="Arial" w:hAnsi="Arial" w:eastAsia="Arial" w:cs="Arial"/>
      <w:i/>
      <w:iCs/>
      <w:sz w:val="21"/>
      <w:szCs w:val="21"/>
    </w:rPr>
  </w:style>
  <w:style w:type="character" w:styleId="787" w:customStyle="1">
    <w:name w:val="Title Char"/>
    <w:basedOn w:val="726"/>
    <w:uiPriority w:val="10"/>
    <w:qFormat/>
    <w:rPr>
      <w:sz w:val="48"/>
      <w:szCs w:val="48"/>
    </w:rPr>
  </w:style>
  <w:style w:type="character" w:styleId="788" w:customStyle="1">
    <w:name w:val="Subtitle Char"/>
    <w:basedOn w:val="726"/>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26"/>
    <w:uiPriority w:val="99"/>
    <w:qFormat/>
  </w:style>
  <w:style w:type="character" w:styleId="792" w:customStyle="1">
    <w:name w:val="Caption Char"/>
    <w:uiPriority w:val="99"/>
    <w:qFormat/>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标题111"/>
    <w:uiPriority w:val="39"/>
    <w:unhideWhenUsed/>
    <w:qFormat/>
    <w:rPr>
      <w:rFonts w:hint="default" w:ascii="Times New Roman" w:hAnsi="Times New Roman" w:eastAsia="宋体" w:cs="Times New Roman"/>
      <w:lang w:val="en-US" w:eastAsia="zh-CN" w:bidi="ar-SA"/>
    </w:rPr>
  </w:style>
  <w:style w:type="paragraph" w:styleId="796" w:customStyle="1">
    <w:name w:val="正文文本缩进1"/>
    <w:basedOn w:val="716"/>
    <w:link w:val="978"/>
    <w:uiPriority w:val="0"/>
    <w:qFormat/>
    <w:pPr>
      <w:ind w:firstLine="645"/>
    </w:pPr>
    <w:rPr>
      <w:rFonts w:ascii="楷体_GB2312" w:eastAsia="楷体_GB2312"/>
      <w:sz w:val="32"/>
      <w:szCs w:val="32"/>
      <w:lang w:eastAsia="en-US"/>
    </w:rPr>
  </w:style>
  <w:style w:type="paragraph" w:styleId="7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8" w:customStyle="1">
    <w:name w:val="标题 1 字符"/>
    <w:link w:val="717"/>
    <w:uiPriority w:val="9"/>
    <w:qFormat/>
    <w:rPr>
      <w:rFonts w:ascii="Arial" w:hAnsi="Arial" w:eastAsia="Arial" w:cs="Arial"/>
      <w:sz w:val="40"/>
      <w:szCs w:val="40"/>
    </w:rPr>
  </w:style>
  <w:style w:type="character" w:styleId="799" w:customStyle="1">
    <w:name w:val="标题 2 字符"/>
    <w:link w:val="718"/>
    <w:uiPriority w:val="9"/>
    <w:qFormat/>
    <w:rPr>
      <w:rFonts w:ascii="Arial" w:hAnsi="Arial" w:eastAsia="Arial" w:cs="Arial"/>
      <w:sz w:val="34"/>
    </w:rPr>
  </w:style>
  <w:style w:type="character" w:styleId="800" w:customStyle="1">
    <w:name w:val="标题 3 字符"/>
    <w:link w:val="719"/>
    <w:uiPriority w:val="9"/>
    <w:qFormat/>
    <w:rPr>
      <w:rFonts w:ascii="Arial" w:hAnsi="Arial" w:eastAsia="Arial" w:cs="Arial"/>
      <w:sz w:val="30"/>
      <w:szCs w:val="30"/>
    </w:rPr>
  </w:style>
  <w:style w:type="character" w:styleId="801" w:customStyle="1">
    <w:name w:val="标题 4 字符"/>
    <w:link w:val="720"/>
    <w:uiPriority w:val="9"/>
    <w:qFormat/>
    <w:rPr>
      <w:rFonts w:ascii="Arial" w:hAnsi="Arial" w:eastAsia="Arial" w:cs="Arial"/>
      <w:b/>
      <w:bCs/>
      <w:sz w:val="26"/>
      <w:szCs w:val="26"/>
    </w:rPr>
  </w:style>
  <w:style w:type="character" w:styleId="802" w:customStyle="1">
    <w:name w:val="标题 5 字符"/>
    <w:link w:val="721"/>
    <w:uiPriority w:val="9"/>
    <w:qFormat/>
    <w:rPr>
      <w:rFonts w:ascii="Arial" w:hAnsi="Arial" w:eastAsia="Arial" w:cs="Arial"/>
      <w:b/>
      <w:bCs/>
      <w:sz w:val="24"/>
      <w:szCs w:val="24"/>
    </w:rPr>
  </w:style>
  <w:style w:type="character" w:styleId="803" w:customStyle="1">
    <w:name w:val="标题 6 字符"/>
    <w:link w:val="722"/>
    <w:uiPriority w:val="9"/>
    <w:qFormat/>
    <w:rPr>
      <w:rFonts w:ascii="Arial" w:hAnsi="Arial" w:eastAsia="Arial" w:cs="Arial"/>
      <w:b/>
      <w:bCs/>
      <w:sz w:val="22"/>
      <w:szCs w:val="22"/>
    </w:rPr>
  </w:style>
  <w:style w:type="character" w:styleId="804" w:customStyle="1">
    <w:name w:val="标题 7 字符"/>
    <w:link w:val="723"/>
    <w:uiPriority w:val="9"/>
    <w:qFormat/>
    <w:rPr>
      <w:rFonts w:ascii="Arial" w:hAnsi="Arial" w:eastAsia="Arial" w:cs="Arial"/>
      <w:b/>
      <w:bCs/>
      <w:i/>
      <w:iCs/>
      <w:sz w:val="22"/>
      <w:szCs w:val="22"/>
    </w:rPr>
  </w:style>
  <w:style w:type="character" w:styleId="805" w:customStyle="1">
    <w:name w:val="标题 8 字符"/>
    <w:link w:val="724"/>
    <w:uiPriority w:val="9"/>
    <w:qFormat/>
    <w:rPr>
      <w:rFonts w:ascii="Arial" w:hAnsi="Arial" w:eastAsia="Arial" w:cs="Arial"/>
      <w:i/>
      <w:iCs/>
      <w:sz w:val="22"/>
      <w:szCs w:val="22"/>
    </w:rPr>
  </w:style>
  <w:style w:type="character" w:styleId="806" w:customStyle="1">
    <w:name w:val="标题 9 字符"/>
    <w:link w:val="725"/>
    <w:uiPriority w:val="9"/>
    <w:qFormat/>
    <w:rPr>
      <w:rFonts w:ascii="Arial" w:hAnsi="Arial" w:eastAsia="Arial" w:cs="Arial"/>
      <w:i/>
      <w:iCs/>
      <w:sz w:val="21"/>
      <w:szCs w:val="21"/>
    </w:rPr>
  </w:style>
  <w:style w:type="paragraph" w:styleId="807">
    <w:name w:val="List Paragraph"/>
    <w:basedOn w:val="716"/>
    <w:uiPriority w:val="34"/>
    <w:qFormat/>
    <w:pPr>
      <w:contextualSpacing/>
      <w:ind w:left="720"/>
    </w:pPr>
  </w:style>
  <w:style w:type="paragraph" w:styleId="808">
    <w:name w:val="No Spacing"/>
    <w:uiPriority w:val="1"/>
    <w:qFormat/>
    <w:rPr>
      <w:rFonts w:hint="default" w:ascii="Calibri" w:hAnsi="Calibri" w:eastAsia="宋体" w:cs="Times New Roman"/>
      <w:lang w:val="en-US" w:eastAsia="zh-CN" w:bidi="ar-SA"/>
    </w:rPr>
  </w:style>
  <w:style w:type="character" w:styleId="809" w:customStyle="1">
    <w:name w:val="标题 字符"/>
    <w:link w:val="749"/>
    <w:uiPriority w:val="10"/>
    <w:qFormat/>
    <w:rPr>
      <w:sz w:val="48"/>
      <w:szCs w:val="48"/>
    </w:rPr>
  </w:style>
  <w:style w:type="character" w:styleId="810" w:customStyle="1">
    <w:name w:val="副标题 字符"/>
    <w:link w:val="742"/>
    <w:uiPriority w:val="11"/>
    <w:qFormat/>
    <w:rPr>
      <w:sz w:val="24"/>
      <w:szCs w:val="24"/>
    </w:rPr>
  </w:style>
  <w:style w:type="paragraph" w:styleId="811">
    <w:name w:val="Quote"/>
    <w:basedOn w:val="716"/>
    <w:next w:val="716"/>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6"/>
    <w:next w:val="716"/>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眉 字符"/>
    <w:link w:val="739"/>
    <w:uiPriority w:val="99"/>
    <w:qFormat/>
  </w:style>
  <w:style w:type="character" w:styleId="816" w:customStyle="1">
    <w:name w:val="Footer Char"/>
    <w:uiPriority w:val="99"/>
    <w:qFormat/>
  </w:style>
  <w:style w:type="character" w:styleId="817" w:customStyle="1">
    <w:name w:val="页脚 字符"/>
    <w:link w:val="737"/>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43"/>
    <w:uiPriority w:val="99"/>
    <w:qFormat/>
    <w:rPr>
      <w:sz w:val="18"/>
    </w:rPr>
  </w:style>
  <w:style w:type="character" w:styleId="944" w:customStyle="1">
    <w:name w:val="尾注文本 字符"/>
    <w:link w:val="736"/>
    <w:uiPriority w:val="99"/>
    <w:qFormat/>
    <w:rPr>
      <w:sz w:val="20"/>
    </w:rPr>
  </w:style>
  <w:style w:type="paragraph" w:styleId="945" w:customStyle="1">
    <w:name w:val="TOC 标题11"/>
    <w:uiPriority w:val="39"/>
    <w:unhideWhenUsed/>
    <w:qFormat/>
    <w:rPr>
      <w:rFonts w:hint="default" w:ascii="Calibri" w:hAnsi="Calibri" w:eastAsia="宋体" w:cs="Times New Roman"/>
      <w:lang w:val="en-US" w:eastAsia="zh-CN" w:bidi="ar-SA"/>
    </w:rPr>
  </w:style>
  <w:style w:type="paragraph" w:styleId="946" w:customStyle="1">
    <w:name w:val="标题 11"/>
    <w:basedOn w:val="716"/>
    <w:next w:val="716"/>
    <w:link w:val="958"/>
    <w:uiPriority w:val="0"/>
    <w:qFormat/>
    <w:pPr>
      <w:jc w:val="center"/>
      <w:keepNext/>
      <w:outlineLvl w:val="0"/>
    </w:pPr>
    <w:rPr>
      <w:rFonts w:ascii="楷体_GB2312" w:eastAsia="楷体_GB2312"/>
      <w:sz w:val="28"/>
      <w:szCs w:val="28"/>
      <w:lang w:eastAsia="en-US"/>
    </w:rPr>
  </w:style>
  <w:style w:type="paragraph" w:styleId="947" w:customStyle="1">
    <w:name w:val="标题 21"/>
    <w:basedOn w:val="716"/>
    <w:next w:val="948"/>
    <w:link w:val="95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8" w:customStyle="1">
    <w:name w:val="正文缩进1"/>
    <w:basedOn w:val="716"/>
    <w:link w:val="960"/>
    <w:uiPriority w:val="0"/>
    <w:qFormat/>
    <w:pPr>
      <w:ind w:firstLine="420"/>
    </w:pPr>
    <w:rPr>
      <w:sz w:val="20"/>
      <w:lang w:eastAsia="en-US"/>
    </w:rPr>
  </w:style>
  <w:style w:type="paragraph" w:styleId="949" w:customStyle="1">
    <w:name w:val="标题 31"/>
    <w:basedOn w:val="716"/>
    <w:next w:val="948"/>
    <w:link w:val="961"/>
    <w:uiPriority w:val="0"/>
    <w:qFormat/>
    <w:pPr>
      <w:keepLines/>
      <w:keepNext/>
      <w:spacing w:before="260" w:after="260" w:line="416" w:lineRule="auto"/>
      <w:outlineLvl w:val="2"/>
    </w:pPr>
    <w:rPr>
      <w:b/>
      <w:bCs/>
      <w:sz w:val="32"/>
      <w:szCs w:val="32"/>
      <w:lang w:eastAsia="en-US"/>
    </w:rPr>
  </w:style>
  <w:style w:type="paragraph" w:styleId="950" w:customStyle="1">
    <w:name w:val="标题 41"/>
    <w:basedOn w:val="716"/>
    <w:next w:val="948"/>
    <w:link w:val="962"/>
    <w:uiPriority w:val="0"/>
    <w:qFormat/>
    <w:pPr>
      <w:keepLines/>
      <w:keepNext/>
      <w:spacing w:before="280" w:after="290" w:line="376" w:lineRule="auto"/>
      <w:outlineLvl w:val="3"/>
    </w:pPr>
    <w:rPr>
      <w:rFonts w:ascii="Arial" w:hAnsi="Arial" w:eastAsia="黑体"/>
      <w:b/>
      <w:bCs/>
      <w:sz w:val="28"/>
      <w:szCs w:val="28"/>
      <w:lang w:eastAsia="en-US"/>
    </w:rPr>
  </w:style>
  <w:style w:type="paragraph" w:styleId="951" w:customStyle="1">
    <w:name w:val="标题 51"/>
    <w:basedOn w:val="716"/>
    <w:next w:val="948"/>
    <w:link w:val="963"/>
    <w:uiPriority w:val="0"/>
    <w:qFormat/>
    <w:pPr>
      <w:keepNext/>
      <w:outlineLvl w:val="4"/>
    </w:pPr>
    <w:rPr>
      <w:rFonts w:ascii="宋体"/>
      <w:color w:val="000000"/>
      <w:sz w:val="28"/>
      <w:szCs w:val="28"/>
      <w:lang w:eastAsia="en-US"/>
    </w:rPr>
  </w:style>
  <w:style w:type="paragraph" w:styleId="952" w:customStyle="1">
    <w:name w:val="标题 61"/>
    <w:basedOn w:val="716"/>
    <w:next w:val="716"/>
    <w:link w:val="96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3" w:customStyle="1">
    <w:name w:val="标题 71"/>
    <w:basedOn w:val="716"/>
    <w:next w:val="716"/>
    <w:link w:val="965"/>
    <w:uiPriority w:val="0"/>
    <w:qFormat/>
    <w:pPr>
      <w:numPr>
        <w:ilvl w:val="6"/>
        <w:numId w:val="1"/>
      </w:numPr>
      <w:keepLines/>
      <w:keepNext/>
      <w:spacing w:before="240" w:after="64" w:line="320" w:lineRule="auto"/>
      <w:outlineLvl w:val="6"/>
    </w:pPr>
    <w:rPr>
      <w:b/>
      <w:bCs/>
      <w:sz w:val="24"/>
      <w:szCs w:val="24"/>
      <w:lang w:eastAsia="en-US"/>
    </w:rPr>
  </w:style>
  <w:style w:type="paragraph" w:styleId="954" w:customStyle="1">
    <w:name w:val="标题 81"/>
    <w:basedOn w:val="716"/>
    <w:next w:val="716"/>
    <w:link w:val="96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5" w:customStyle="1">
    <w:name w:val="标题 91"/>
    <w:basedOn w:val="716"/>
    <w:next w:val="716"/>
    <w:link w:val="96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6" w:customStyle="1">
    <w:name w:val="默认段落字体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character" w:styleId="958" w:customStyle="1">
    <w:name w:val="标题 1 Char"/>
    <w:link w:val="946"/>
    <w:uiPriority w:val="0"/>
    <w:qFormat/>
    <w:rPr>
      <w:rFonts w:ascii="楷体_GB2312" w:hAnsi="Times New Roman" w:eastAsia="楷体_GB2312" w:cs="Times New Roman"/>
      <w:sz w:val="28"/>
      <w:szCs w:val="28"/>
    </w:rPr>
  </w:style>
  <w:style w:type="character" w:styleId="959" w:customStyle="1">
    <w:name w:val="标题 2 Char"/>
    <w:link w:val="947"/>
    <w:uiPriority w:val="0"/>
    <w:qFormat/>
    <w:rPr>
      <w:rFonts w:ascii="Arial" w:hAnsi="Arial" w:eastAsia="幼圆" w:cs="Arial"/>
      <w:b/>
      <w:bCs/>
      <w:sz w:val="44"/>
      <w:szCs w:val="44"/>
    </w:rPr>
  </w:style>
  <w:style w:type="character" w:styleId="960" w:customStyle="1">
    <w:name w:val="正文缩进 Char"/>
    <w:link w:val="948"/>
    <w:uiPriority w:val="0"/>
    <w:qFormat/>
    <w:rPr>
      <w:rFonts w:ascii="Times New Roman" w:hAnsi="Times New Roman" w:eastAsia="宋体" w:cs="Times New Roman"/>
      <w:szCs w:val="21"/>
    </w:rPr>
  </w:style>
  <w:style w:type="character" w:styleId="961" w:customStyle="1">
    <w:name w:val="标题 3 Char"/>
    <w:link w:val="949"/>
    <w:uiPriority w:val="0"/>
    <w:qFormat/>
    <w:rPr>
      <w:rFonts w:ascii="Times New Roman" w:hAnsi="Times New Roman" w:eastAsia="宋体" w:cs="Times New Roman"/>
      <w:b/>
      <w:bCs/>
      <w:sz w:val="32"/>
      <w:szCs w:val="32"/>
    </w:rPr>
  </w:style>
  <w:style w:type="character" w:styleId="962" w:customStyle="1">
    <w:name w:val="标题 4 Char"/>
    <w:link w:val="950"/>
    <w:uiPriority w:val="0"/>
    <w:qFormat/>
    <w:rPr>
      <w:rFonts w:ascii="Arial" w:hAnsi="Arial" w:eastAsia="黑体" w:cs="Arial"/>
      <w:b/>
      <w:bCs/>
      <w:sz w:val="28"/>
      <w:szCs w:val="28"/>
    </w:rPr>
  </w:style>
  <w:style w:type="character" w:styleId="963" w:customStyle="1">
    <w:name w:val="标题 5 Char"/>
    <w:link w:val="951"/>
    <w:uiPriority w:val="0"/>
    <w:qFormat/>
    <w:rPr>
      <w:rFonts w:ascii="宋体" w:hAnsi="Times New Roman" w:eastAsia="宋体" w:cs="Times New Roman"/>
      <w:color w:val="000000"/>
      <w:sz w:val="28"/>
      <w:szCs w:val="28"/>
    </w:rPr>
  </w:style>
  <w:style w:type="character" w:styleId="964" w:customStyle="1">
    <w:name w:val="标题 6 Char"/>
    <w:link w:val="952"/>
    <w:uiPriority w:val="0"/>
    <w:qFormat/>
    <w:rPr>
      <w:rFonts w:ascii="Arial" w:hAnsi="Arial" w:eastAsia="黑体" w:cs="Times New Roman"/>
      <w:b/>
      <w:bCs/>
      <w:sz w:val="24"/>
      <w:szCs w:val="24"/>
    </w:rPr>
  </w:style>
  <w:style w:type="character" w:styleId="965" w:customStyle="1">
    <w:name w:val="标题 7 Char"/>
    <w:link w:val="953"/>
    <w:uiPriority w:val="0"/>
    <w:qFormat/>
    <w:rPr>
      <w:rFonts w:ascii="Times New Roman" w:hAnsi="Times New Roman" w:eastAsia="宋体" w:cs="Times New Roman"/>
      <w:b/>
      <w:bCs/>
      <w:sz w:val="24"/>
      <w:szCs w:val="24"/>
    </w:rPr>
  </w:style>
  <w:style w:type="character" w:styleId="966" w:customStyle="1">
    <w:name w:val="标题 8 Char"/>
    <w:link w:val="954"/>
    <w:uiPriority w:val="0"/>
    <w:qFormat/>
    <w:rPr>
      <w:rFonts w:ascii="Arial" w:hAnsi="Arial" w:eastAsia="黑体" w:cs="Times New Roman"/>
      <w:sz w:val="24"/>
      <w:szCs w:val="24"/>
    </w:rPr>
  </w:style>
  <w:style w:type="character" w:styleId="967" w:customStyle="1">
    <w:name w:val="标题 9 Char"/>
    <w:link w:val="955"/>
    <w:uiPriority w:val="0"/>
    <w:qFormat/>
    <w:rPr>
      <w:rFonts w:ascii="Arial" w:hAnsi="Arial" w:eastAsia="黑体" w:cs="Times New Roman"/>
      <w:szCs w:val="21"/>
    </w:rPr>
  </w:style>
  <w:style w:type="paragraph" w:styleId="968" w:customStyle="1">
    <w:name w:val="列表 31"/>
    <w:basedOn w:val="716"/>
    <w:uiPriority w:val="0"/>
    <w:qFormat/>
    <w:pPr>
      <w:ind w:left="100" w:hanging="200"/>
    </w:pPr>
  </w:style>
  <w:style w:type="paragraph" w:styleId="969" w:customStyle="1">
    <w:name w:val="目录 71"/>
    <w:basedOn w:val="716"/>
    <w:next w:val="716"/>
    <w:uiPriority w:val="0"/>
    <w:semiHidden/>
    <w:qFormat/>
    <w:pPr>
      <w:ind w:left="1260"/>
      <w:jc w:val="left"/>
    </w:pPr>
  </w:style>
  <w:style w:type="paragraph" w:styleId="970" w:customStyle="1">
    <w:name w:val="文档结构图1"/>
    <w:basedOn w:val="716"/>
    <w:link w:val="971"/>
    <w:uiPriority w:val="0"/>
    <w:semiHidden/>
    <w:qFormat/>
    <w:pPr>
      <w:shd w:val="clear" w:color="auto" w:fill="000080"/>
    </w:pPr>
    <w:rPr>
      <w:sz w:val="20"/>
      <w:lang w:eastAsia="en-US"/>
    </w:rPr>
  </w:style>
  <w:style w:type="character" w:styleId="971" w:customStyle="1">
    <w:name w:val="文档结构图 Char"/>
    <w:link w:val="970"/>
    <w:uiPriority w:val="0"/>
    <w:semiHidden/>
    <w:qFormat/>
    <w:rPr>
      <w:rFonts w:ascii="Times New Roman" w:hAnsi="Times New Roman" w:eastAsia="宋体" w:cs="Times New Roman"/>
      <w:szCs w:val="21"/>
      <w:shd w:val="clear" w:color="auto" w:fill="000080"/>
    </w:rPr>
  </w:style>
  <w:style w:type="paragraph" w:styleId="972" w:customStyle="1">
    <w:name w:val="批注文字1"/>
    <w:basedOn w:val="716"/>
    <w:link w:val="973"/>
    <w:uiPriority w:val="0"/>
    <w:semiHidden/>
    <w:qFormat/>
    <w:pPr>
      <w:jc w:val="left"/>
    </w:pPr>
    <w:rPr>
      <w:sz w:val="20"/>
      <w:lang w:eastAsia="en-US"/>
    </w:rPr>
  </w:style>
  <w:style w:type="character" w:styleId="973" w:customStyle="1">
    <w:name w:val="批注文字 Char"/>
    <w:link w:val="972"/>
    <w:uiPriority w:val="0"/>
    <w:semiHidden/>
    <w:qFormat/>
    <w:rPr>
      <w:rFonts w:ascii="Times New Roman" w:hAnsi="Times New Roman" w:eastAsia="宋体" w:cs="Times New Roman"/>
      <w:szCs w:val="21"/>
    </w:rPr>
  </w:style>
  <w:style w:type="paragraph" w:styleId="974" w:customStyle="1">
    <w:name w:val="正文文本 31"/>
    <w:basedOn w:val="716"/>
    <w:link w:val="975"/>
    <w:uiPriority w:val="0"/>
    <w:qFormat/>
    <w:rPr>
      <w:rFonts w:ascii="仿宋_GB2312" w:hAnsi="Arial" w:eastAsia="仿宋_GB2312"/>
      <w:sz w:val="32"/>
      <w:szCs w:val="32"/>
      <w:lang w:eastAsia="en-US"/>
    </w:rPr>
  </w:style>
  <w:style w:type="character" w:styleId="975" w:customStyle="1">
    <w:name w:val="正文文本 3 Char"/>
    <w:link w:val="974"/>
    <w:uiPriority w:val="0"/>
    <w:qFormat/>
    <w:rPr>
      <w:rFonts w:ascii="仿宋_GB2312" w:hAnsi="Arial" w:eastAsia="仿宋_GB2312" w:cs="Times New Roman"/>
      <w:sz w:val="32"/>
      <w:szCs w:val="32"/>
    </w:rPr>
  </w:style>
  <w:style w:type="paragraph" w:styleId="976" w:customStyle="1">
    <w:name w:val="正文文本1"/>
    <w:basedOn w:val="716"/>
    <w:link w:val="977"/>
    <w:uiPriority w:val="0"/>
    <w:qFormat/>
    <w:rPr>
      <w:rFonts w:ascii="楷体_GB2312" w:hAnsi="Arial" w:eastAsia="楷体_GB2312"/>
      <w:sz w:val="28"/>
      <w:szCs w:val="28"/>
      <w:lang w:eastAsia="en-US"/>
    </w:rPr>
  </w:style>
  <w:style w:type="character" w:styleId="977" w:customStyle="1">
    <w:name w:val="正文文本 Char"/>
    <w:link w:val="976"/>
    <w:uiPriority w:val="0"/>
    <w:qFormat/>
    <w:rPr>
      <w:rFonts w:ascii="楷体_GB2312" w:hAnsi="Arial" w:eastAsia="楷体_GB2312" w:cs="Times New Roman"/>
      <w:sz w:val="28"/>
      <w:szCs w:val="28"/>
    </w:rPr>
  </w:style>
  <w:style w:type="character" w:styleId="978" w:customStyle="1">
    <w:name w:val="正文文本缩进 Char"/>
    <w:link w:val="796"/>
    <w:uiPriority w:val="0"/>
    <w:qFormat/>
    <w:rPr>
      <w:rFonts w:ascii="楷体_GB2312" w:hAnsi="Times New Roman" w:eastAsia="楷体_GB2312" w:cs="Times New Roman"/>
      <w:sz w:val="32"/>
      <w:szCs w:val="32"/>
    </w:rPr>
  </w:style>
  <w:style w:type="paragraph" w:styleId="979" w:customStyle="1">
    <w:name w:val="列表 21"/>
    <w:basedOn w:val="716"/>
    <w:uiPriority w:val="0"/>
    <w:qFormat/>
    <w:pPr>
      <w:ind w:left="100" w:hanging="200"/>
    </w:pPr>
  </w:style>
  <w:style w:type="paragraph" w:styleId="980" w:customStyle="1">
    <w:name w:val="目录 51"/>
    <w:basedOn w:val="716"/>
    <w:next w:val="716"/>
    <w:uiPriority w:val="0"/>
    <w:semiHidden/>
    <w:qFormat/>
    <w:pPr>
      <w:ind w:left="840"/>
      <w:jc w:val="left"/>
    </w:pPr>
  </w:style>
  <w:style w:type="paragraph" w:styleId="981" w:customStyle="1">
    <w:name w:val="目录 31"/>
    <w:basedOn w:val="716"/>
    <w:next w:val="716"/>
    <w:uiPriority w:val="0"/>
    <w:semiHidden/>
    <w:qFormat/>
    <w:pPr>
      <w:ind w:left="420"/>
      <w:jc w:val="left"/>
    </w:pPr>
    <w:rPr>
      <w:i/>
      <w:iCs/>
      <w:szCs w:val="24"/>
    </w:rPr>
  </w:style>
  <w:style w:type="paragraph" w:styleId="982" w:customStyle="1">
    <w:name w:val="纯文本1"/>
    <w:basedOn w:val="716"/>
    <w:link w:val="983"/>
    <w:uiPriority w:val="0"/>
    <w:qFormat/>
    <w:rPr>
      <w:rFonts w:ascii="宋体" w:hAnsi="Courier New"/>
      <w:sz w:val="20"/>
      <w:lang w:eastAsia="en-US"/>
    </w:rPr>
  </w:style>
  <w:style w:type="character" w:styleId="983" w:customStyle="1">
    <w:name w:val="纯文本 Char"/>
    <w:link w:val="982"/>
    <w:uiPriority w:val="0"/>
    <w:qFormat/>
    <w:rPr>
      <w:rFonts w:ascii="宋体" w:hAnsi="Courier New" w:eastAsia="宋体" w:cs="Courier New"/>
      <w:szCs w:val="21"/>
    </w:rPr>
  </w:style>
  <w:style w:type="paragraph" w:styleId="984" w:customStyle="1">
    <w:name w:val="目录 81"/>
    <w:basedOn w:val="716"/>
    <w:next w:val="716"/>
    <w:uiPriority w:val="0"/>
    <w:semiHidden/>
    <w:qFormat/>
    <w:pPr>
      <w:ind w:left="1470"/>
      <w:jc w:val="left"/>
    </w:pPr>
  </w:style>
  <w:style w:type="paragraph" w:styleId="985" w:customStyle="1">
    <w:name w:val="日期1"/>
    <w:basedOn w:val="716"/>
    <w:next w:val="716"/>
    <w:link w:val="986"/>
    <w:uiPriority w:val="0"/>
    <w:qFormat/>
    <w:rPr>
      <w:sz w:val="24"/>
      <w:szCs w:val="24"/>
      <w:lang w:eastAsia="en-US"/>
    </w:rPr>
  </w:style>
  <w:style w:type="character" w:styleId="986" w:customStyle="1">
    <w:name w:val="日期 Char"/>
    <w:link w:val="985"/>
    <w:uiPriority w:val="0"/>
    <w:qFormat/>
    <w:rPr>
      <w:rFonts w:ascii="Times New Roman" w:hAnsi="Times New Roman" w:eastAsia="宋体" w:cs="Times New Roman"/>
      <w:sz w:val="24"/>
      <w:szCs w:val="24"/>
    </w:rPr>
  </w:style>
  <w:style w:type="paragraph" w:styleId="987" w:customStyle="1">
    <w:name w:val="正文文本缩进 21"/>
    <w:basedOn w:val="716"/>
    <w:link w:val="988"/>
    <w:uiPriority w:val="0"/>
    <w:qFormat/>
    <w:pPr>
      <w:ind w:left="630" w:firstLine="645"/>
    </w:pPr>
    <w:rPr>
      <w:rFonts w:ascii="Arial" w:hAnsi="Arial" w:eastAsia="仿宋_GB2312"/>
      <w:sz w:val="32"/>
      <w:szCs w:val="32"/>
      <w:lang w:eastAsia="en-US"/>
    </w:rPr>
  </w:style>
  <w:style w:type="character" w:styleId="988" w:customStyle="1">
    <w:name w:val="正文文本缩进 2 Char"/>
    <w:link w:val="987"/>
    <w:uiPriority w:val="0"/>
    <w:qFormat/>
    <w:rPr>
      <w:rFonts w:ascii="Arial" w:hAnsi="Arial" w:eastAsia="仿宋_GB2312" w:cs="Arial"/>
      <w:sz w:val="32"/>
      <w:szCs w:val="32"/>
    </w:rPr>
  </w:style>
  <w:style w:type="paragraph" w:styleId="989" w:customStyle="1">
    <w:name w:val="批注框文本1"/>
    <w:basedOn w:val="716"/>
    <w:link w:val="990"/>
    <w:uiPriority w:val="0"/>
    <w:qFormat/>
    <w:rPr>
      <w:sz w:val="18"/>
      <w:szCs w:val="18"/>
      <w:lang w:eastAsia="en-US"/>
    </w:rPr>
  </w:style>
  <w:style w:type="character" w:styleId="990" w:customStyle="1">
    <w:name w:val="批注框文本 Char"/>
    <w:link w:val="989"/>
    <w:uiPriority w:val="0"/>
    <w:qFormat/>
    <w:rPr>
      <w:rFonts w:ascii="Times New Roman" w:hAnsi="Times New Roman" w:eastAsia="宋体" w:cs="Times New Roman"/>
      <w:sz w:val="18"/>
      <w:szCs w:val="18"/>
    </w:rPr>
  </w:style>
  <w:style w:type="paragraph" w:styleId="991" w:customStyle="1">
    <w:name w:val="页脚1"/>
    <w:basedOn w:val="716"/>
    <w:link w:val="992"/>
    <w:uiPriority w:val="0"/>
    <w:qFormat/>
    <w:pPr>
      <w:jc w:val="left"/>
      <w:tabs>
        <w:tab w:val="center" w:pos="4153" w:leader="none"/>
        <w:tab w:val="right" w:pos="8306" w:leader="none"/>
      </w:tabs>
    </w:pPr>
    <w:rPr>
      <w:sz w:val="18"/>
      <w:szCs w:val="18"/>
      <w:lang w:eastAsia="en-US"/>
    </w:rPr>
  </w:style>
  <w:style w:type="character" w:styleId="992" w:customStyle="1">
    <w:name w:val="页脚 Char"/>
    <w:link w:val="991"/>
    <w:uiPriority w:val="0"/>
    <w:qFormat/>
    <w:rPr>
      <w:rFonts w:ascii="Times New Roman" w:hAnsi="Times New Roman" w:eastAsia="宋体" w:cs="Times New Roman"/>
      <w:sz w:val="18"/>
      <w:szCs w:val="18"/>
    </w:rPr>
  </w:style>
  <w:style w:type="paragraph" w:styleId="993" w:customStyle="1">
    <w:name w:val="页眉1"/>
    <w:basedOn w:val="716"/>
    <w:link w:val="99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4" w:customStyle="1">
    <w:name w:val="页眉 Char"/>
    <w:link w:val="993"/>
    <w:uiPriority w:val="0"/>
    <w:qFormat/>
    <w:rPr>
      <w:rFonts w:ascii="Times New Roman" w:hAnsi="Times New Roman" w:eastAsia="宋体" w:cs="Times New Roman"/>
      <w:sz w:val="18"/>
      <w:szCs w:val="18"/>
    </w:rPr>
  </w:style>
  <w:style w:type="paragraph" w:styleId="995"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96" w:customStyle="1">
    <w:name w:val="目录 41"/>
    <w:basedOn w:val="716"/>
    <w:next w:val="716"/>
    <w:uiPriority w:val="0"/>
    <w:semiHidden/>
    <w:qFormat/>
    <w:pPr>
      <w:ind w:left="630"/>
      <w:jc w:val="left"/>
    </w:pPr>
  </w:style>
  <w:style w:type="paragraph" w:styleId="997" w:customStyle="1">
    <w:name w:val="列表1"/>
    <w:basedOn w:val="716"/>
    <w:uiPriority w:val="0"/>
    <w:qFormat/>
    <w:pPr>
      <w:ind w:left="200" w:hanging="200"/>
    </w:pPr>
  </w:style>
  <w:style w:type="paragraph" w:styleId="998" w:customStyle="1">
    <w:name w:val="目录 61"/>
    <w:basedOn w:val="716"/>
    <w:next w:val="716"/>
    <w:uiPriority w:val="0"/>
    <w:semiHidden/>
    <w:qFormat/>
    <w:pPr>
      <w:ind w:left="1050"/>
      <w:jc w:val="left"/>
    </w:pPr>
  </w:style>
  <w:style w:type="paragraph" w:styleId="999" w:customStyle="1">
    <w:name w:val="正文文本缩进 31"/>
    <w:basedOn w:val="716"/>
    <w:link w:val="1000"/>
    <w:uiPriority w:val="0"/>
    <w:qFormat/>
    <w:pPr>
      <w:ind w:left="645" w:firstLine="645"/>
    </w:pPr>
    <w:rPr>
      <w:rFonts w:ascii="Arial" w:hAnsi="Arial" w:eastAsia="仿宋_GB2312"/>
      <w:color w:val="ffff00"/>
      <w:sz w:val="32"/>
      <w:szCs w:val="32"/>
      <w:lang w:eastAsia="en-US"/>
    </w:rPr>
  </w:style>
  <w:style w:type="character" w:styleId="1000" w:customStyle="1">
    <w:name w:val="正文文本缩进 3 Char"/>
    <w:link w:val="999"/>
    <w:uiPriority w:val="0"/>
    <w:qFormat/>
    <w:rPr>
      <w:rFonts w:ascii="Arial" w:hAnsi="Arial" w:eastAsia="仿宋_GB2312" w:cs="Arial"/>
      <w:color w:val="ffff00"/>
      <w:sz w:val="32"/>
      <w:szCs w:val="32"/>
    </w:rPr>
  </w:style>
  <w:style w:type="paragraph" w:styleId="1001" w:customStyle="1">
    <w:name w:val="图表目录1"/>
    <w:basedOn w:val="716"/>
    <w:next w:val="716"/>
    <w:uiPriority w:val="0"/>
    <w:semiHidden/>
    <w:qFormat/>
    <w:pPr>
      <w:ind w:left="840" w:hanging="420"/>
    </w:pPr>
  </w:style>
  <w:style w:type="paragraph" w:styleId="1002" w:customStyle="1">
    <w:name w:val="目录 21"/>
    <w:basedOn w:val="716"/>
    <w:next w:val="716"/>
    <w:uiPriority w:val="0"/>
    <w:semiHidden/>
    <w:qFormat/>
    <w:pPr>
      <w:ind w:left="210"/>
      <w:jc w:val="left"/>
    </w:pPr>
    <w:rPr>
      <w:smallCaps/>
      <w:szCs w:val="24"/>
    </w:rPr>
  </w:style>
  <w:style w:type="paragraph" w:styleId="1003" w:customStyle="1">
    <w:name w:val="目录 91"/>
    <w:basedOn w:val="716"/>
    <w:next w:val="716"/>
    <w:uiPriority w:val="0"/>
    <w:semiHidden/>
    <w:qFormat/>
    <w:pPr>
      <w:ind w:left="1680"/>
      <w:jc w:val="left"/>
    </w:pPr>
  </w:style>
  <w:style w:type="paragraph" w:styleId="1004" w:customStyle="1">
    <w:name w:val="正文文本 21"/>
    <w:basedOn w:val="716"/>
    <w:link w:val="1005"/>
    <w:uiPriority w:val="0"/>
    <w:qFormat/>
    <w:pPr>
      <w:jc w:val="center"/>
      <w:widowControl/>
    </w:pPr>
    <w:rPr>
      <w:rFonts w:ascii="楷体_GB2312" w:eastAsia="楷体_GB2312"/>
      <w:sz w:val="28"/>
      <w:szCs w:val="28"/>
      <w:lang w:eastAsia="en-US"/>
    </w:rPr>
  </w:style>
  <w:style w:type="character" w:styleId="1005" w:customStyle="1">
    <w:name w:val="正文文本 2 Char"/>
    <w:link w:val="1004"/>
    <w:uiPriority w:val="0"/>
    <w:qFormat/>
    <w:rPr>
      <w:rFonts w:ascii="楷体_GB2312" w:hAnsi="Times New Roman" w:eastAsia="楷体_GB2312" w:cs="Times New Roman"/>
      <w:sz w:val="28"/>
      <w:szCs w:val="28"/>
    </w:rPr>
  </w:style>
  <w:style w:type="paragraph" w:styleId="1006"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1007" w:customStyle="1">
    <w:name w:val="索引 11"/>
    <w:basedOn w:val="716"/>
    <w:next w:val="716"/>
    <w:uiPriority w:val="0"/>
    <w:semiHidden/>
    <w:qFormat/>
    <w:pPr>
      <w:spacing w:line="240" w:lineRule="atLeast"/>
    </w:pPr>
    <w:rPr>
      <w:b/>
      <w:bCs/>
    </w:rPr>
  </w:style>
  <w:style w:type="paragraph" w:styleId="1008" w:customStyle="1">
    <w:name w:val="批注主题1"/>
    <w:basedOn w:val="972"/>
    <w:next w:val="972"/>
    <w:link w:val="1009"/>
    <w:uiPriority w:val="0"/>
    <w:semiHidden/>
    <w:qFormat/>
    <w:rPr>
      <w:b/>
      <w:bCs/>
    </w:rPr>
  </w:style>
  <w:style w:type="character" w:styleId="1009" w:customStyle="1">
    <w:name w:val="批注主题 Char"/>
    <w:link w:val="1008"/>
    <w:uiPriority w:val="0"/>
    <w:semiHidden/>
    <w:qFormat/>
    <w:rPr>
      <w:rFonts w:ascii="Times New Roman" w:hAnsi="Times New Roman" w:eastAsia="宋体" w:cs="Times New Roman"/>
      <w:b/>
      <w:bCs/>
      <w:szCs w:val="21"/>
    </w:rPr>
  </w:style>
  <w:style w:type="paragraph" w:styleId="1010" w:customStyle="1">
    <w:name w:val="正文首行缩进1"/>
    <w:basedOn w:val="976"/>
    <w:link w:val="1011"/>
    <w:uiPriority w:val="0"/>
    <w:qFormat/>
    <w:pPr>
      <w:ind w:firstLine="200"/>
      <w:spacing w:line="360" w:lineRule="auto"/>
    </w:pPr>
    <w:rPr>
      <w:rFonts w:ascii="仿宋_GB2312" w:eastAsia="仿宋_GB2312"/>
      <w:sz w:val="30"/>
      <w:szCs w:val="30"/>
      <w:lang w:eastAsia="en-US"/>
    </w:rPr>
  </w:style>
  <w:style w:type="character" w:styleId="1011" w:customStyle="1">
    <w:name w:val="正文首行缩进 Char"/>
    <w:link w:val="1010"/>
    <w:uiPriority w:val="0"/>
    <w:qFormat/>
    <w:rPr>
      <w:rFonts w:ascii="仿宋_GB2312" w:hAnsi="Times New Roman" w:eastAsia="仿宋_GB2312" w:cs="Times New Roman"/>
      <w:sz w:val="30"/>
      <w:szCs w:val="30"/>
    </w:rPr>
  </w:style>
  <w:style w:type="paragraph" w:styleId="1012" w:customStyle="1">
    <w:name w:val="正文首行缩进 21"/>
    <w:basedOn w:val="796"/>
    <w:link w:val="1013"/>
    <w:uiPriority w:val="0"/>
    <w:qFormat/>
    <w:pPr>
      <w:ind w:firstLine="420"/>
      <w:spacing w:line="360" w:lineRule="auto"/>
    </w:pPr>
    <w:rPr>
      <w:rFonts w:ascii="宋体" w:hAnsi="宋体" w:eastAsia="宋体"/>
      <w:szCs w:val="20"/>
    </w:rPr>
  </w:style>
  <w:style w:type="character" w:styleId="1013" w:customStyle="1">
    <w:name w:val="正文首行缩进 2 Char"/>
    <w:link w:val="1012"/>
    <w:uiPriority w:val="0"/>
    <w:qFormat/>
    <w:rPr>
      <w:rFonts w:ascii="宋体" w:hAnsi="宋体" w:eastAsia="宋体" w:cs="Times New Roman"/>
      <w:sz w:val="32"/>
      <w:szCs w:val="20"/>
    </w:rPr>
  </w:style>
  <w:style w:type="table" w:styleId="1014" w:customStyle="1">
    <w:name w:val="网格型1"/>
    <w:basedOn w:val="957"/>
    <w:uiPriority w:val="0"/>
    <w:qFormat/>
    <w:pPr>
      <w:jc w:val="both"/>
      <w:widowControl w:val="off"/>
    </w:pPr>
    <w:tblPr/>
  </w:style>
  <w:style w:type="character" w:styleId="1015" w:customStyle="1">
    <w:name w:val="要点1"/>
    <w:uiPriority w:val="0"/>
    <w:qFormat/>
    <w:rPr>
      <w:b/>
      <w:bCs/>
    </w:rPr>
  </w:style>
  <w:style w:type="character" w:styleId="1016" w:customStyle="1">
    <w:name w:val="页码1"/>
    <w:uiPriority w:val="0"/>
    <w:qFormat/>
  </w:style>
  <w:style w:type="character" w:styleId="1017" w:customStyle="1">
    <w:name w:val="已访问的超链接1"/>
    <w:uiPriority w:val="0"/>
    <w:qFormat/>
    <w:rPr>
      <w:color w:val="800080"/>
      <w:u w:val="single"/>
    </w:rPr>
  </w:style>
  <w:style w:type="character" w:styleId="1018" w:customStyle="1">
    <w:name w:val="HTML 打字机1"/>
    <w:uiPriority w:val="99"/>
    <w:qFormat/>
    <w:rPr>
      <w:rFonts w:ascii="宋体" w:hAnsi="宋体" w:eastAsia="宋体" w:cs="宋体"/>
      <w:sz w:val="24"/>
      <w:szCs w:val="24"/>
    </w:rPr>
  </w:style>
  <w:style w:type="character" w:styleId="1019" w:customStyle="1">
    <w:name w:val="超链接1"/>
    <w:uiPriority w:val="0"/>
    <w:qFormat/>
    <w:rPr>
      <w:color w:val="0000ff"/>
      <w:u w:val="single"/>
    </w:rPr>
  </w:style>
  <w:style w:type="character" w:styleId="1020" w:customStyle="1">
    <w:name w:val="批注引用1"/>
    <w:uiPriority w:val="0"/>
    <w:semiHidden/>
    <w:qFormat/>
    <w:rPr>
      <w:sz w:val="21"/>
      <w:szCs w:val="21"/>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rFonts w:ascii="Calibri" w:hAnsi="Calibri"/>
      <w:b/>
      <w:sz w:val="30"/>
      <w:szCs w:val="28"/>
    </w:rPr>
  </w:style>
  <w:style w:type="paragraph" w:styleId="1023" w:customStyle="1">
    <w:name w:val="二级目录"/>
    <w:next w:val="716"/>
    <w:link w:val="102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16"/>
    <w:link w:val="1024"/>
    <w:uiPriority w:val="0"/>
    <w:qFormat/>
    <w:pPr>
      <w:contextualSpacing/>
      <w:ind w:left="720"/>
      <w:jc w:val="left"/>
      <w:widowControl/>
    </w:pPr>
    <w:rPr>
      <w:rFonts w:ascii="Calibri" w:hAnsi="Calibri"/>
      <w:sz w:val="24"/>
      <w:szCs w:val="24"/>
      <w:lang w:eastAsia="en-US" w:bidi="en-US"/>
    </w:rPr>
  </w:style>
  <w:style w:type="paragraph" w:styleId="1026" w:customStyle="1">
    <w:name w:val="Body Text(ch)"/>
    <w:basedOn w:val="716"/>
    <w:next w:val="976"/>
    <w:uiPriority w:val="0"/>
    <w:qFormat/>
    <w:pPr>
      <w:spacing w:after="120"/>
    </w:pPr>
    <w:rPr>
      <w:rFonts w:ascii="宋体" w:hAnsi="Arial"/>
      <w:bCs/>
      <w:iCs/>
      <w:szCs w:val="24"/>
    </w:rPr>
  </w:style>
  <w:style w:type="paragraph" w:styleId="1027"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16"/>
    <w:uiPriority w:val="0"/>
    <w:qFormat/>
    <w:pPr>
      <w:ind w:firstLine="200"/>
      <w:tabs>
        <w:tab w:val="left" w:pos="360" w:leader="none"/>
      </w:tabs>
    </w:pPr>
    <w:rPr>
      <w:sz w:val="28"/>
      <w:szCs w:val="30"/>
    </w:rPr>
  </w:style>
  <w:style w:type="paragraph" w:styleId="1030" w:customStyle="1">
    <w:name w:val="Char1"/>
    <w:basedOn w:val="970"/>
    <w:uiPriority w:val="0"/>
    <w:qFormat/>
    <w:rPr>
      <w:rFonts w:ascii="Tahoma" w:hAnsi="Tahoma"/>
      <w:sz w:val="24"/>
      <w:szCs w:val="24"/>
    </w:rPr>
  </w:style>
  <w:style w:type="paragraph" w:styleId="1031"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716"/>
    <w:uiPriority w:val="0"/>
    <w:qFormat/>
    <w:pPr>
      <w:jc w:val="left"/>
      <w:widowControl/>
    </w:pPr>
    <w:rPr>
      <w:sz w:val="20"/>
      <w:szCs w:val="20"/>
      <w:lang w:val="de-DE" w:eastAsia="de-DE"/>
    </w:rPr>
  </w:style>
  <w:style w:type="paragraph" w:styleId="10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4"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970"/>
    <w:uiPriority w:val="0"/>
    <w:qFormat/>
    <w:pPr>
      <w:spacing w:line="360" w:lineRule="auto"/>
    </w:pPr>
    <w:rPr>
      <w:rFonts w:ascii="Tahoma" w:hAnsi="Tahoma"/>
      <w:sz w:val="24"/>
      <w:szCs w:val="24"/>
    </w:rPr>
  </w:style>
  <w:style w:type="paragraph" w:styleId="1036"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37" w:customStyle="1">
    <w:name w:val="4"/>
    <w:basedOn w:val="716"/>
    <w:next w:val="999"/>
    <w:uiPriority w:val="0"/>
    <w:qFormat/>
    <w:pPr>
      <w:ind w:firstLine="420"/>
      <w:spacing w:line="360" w:lineRule="auto"/>
    </w:pPr>
    <w:rPr>
      <w:color w:val="ff0000"/>
      <w:sz w:val="24"/>
      <w:szCs w:val="24"/>
    </w:rPr>
  </w:style>
  <w:style w:type="paragraph" w:styleId="1038"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16"/>
    <w:uiPriority w:val="0"/>
    <w:qFormat/>
    <w:pPr>
      <w:spacing w:line="360" w:lineRule="auto"/>
    </w:pPr>
    <w:rPr>
      <w:sz w:val="24"/>
      <w:szCs w:val="20"/>
    </w:rPr>
  </w:style>
  <w:style w:type="paragraph" w:styleId="1040" w:customStyle="1">
    <w:name w:val="样式1"/>
    <w:basedOn w:val="716"/>
    <w:uiPriority w:val="0"/>
    <w:qFormat/>
    <w:pPr>
      <w:numPr>
        <w:ilvl w:val="0"/>
        <w:numId w:val="3"/>
      </w:numPr>
    </w:pPr>
    <w:rPr>
      <w:rFonts w:ascii="宋体" w:hAnsi="宋体"/>
    </w:rPr>
  </w:style>
  <w:style w:type="paragraph" w:styleId="1041"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45"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70"/>
    <w:uiPriority w:val="0"/>
    <w:qFormat/>
    <w:pPr>
      <w:spacing w:line="360" w:lineRule="auto"/>
    </w:pPr>
    <w:rPr>
      <w:rFonts w:ascii="Tahoma" w:hAnsi="Tahoma"/>
      <w:sz w:val="24"/>
      <w:szCs w:val="24"/>
    </w:rPr>
  </w:style>
  <w:style w:type="paragraph" w:styleId="1052" w:customStyle="1">
    <w:name w:val="table_1stline"/>
    <w:basedOn w:val="716"/>
    <w:uiPriority w:val="0"/>
    <w:qFormat/>
    <w:pPr>
      <w:jc w:val="left"/>
      <w:spacing w:before="120"/>
      <w:widowControl/>
    </w:pPr>
    <w:rPr>
      <w:bCs/>
      <w:sz w:val="20"/>
      <w:szCs w:val="20"/>
      <w:lang w:val="de-DE" w:eastAsia="de-DE"/>
    </w:rPr>
  </w:style>
  <w:style w:type="paragraph" w:styleId="1053"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7" w:customStyle="1">
    <w:name w:val="普通文字"/>
    <w:basedOn w:val="716"/>
    <w:next w:val="716"/>
    <w:uiPriority w:val="99"/>
    <w:qFormat/>
    <w:rPr>
      <w:rFonts w:ascii="宋体"/>
      <w:sz w:val="24"/>
      <w:szCs w:val="20"/>
    </w:rPr>
  </w:style>
  <w:style w:type="paragraph" w:styleId="1058" w:customStyle="1">
    <w:name w:val="目录 111"/>
    <w:basedOn w:val="716"/>
    <w:next w:val="716"/>
    <w:uiPriority w:val="39"/>
    <w:unhideWhenUsed/>
    <w:qFormat/>
    <w:pPr>
      <w:jc w:val="left"/>
      <w:spacing w:after="100" w:line="259" w:lineRule="auto"/>
      <w:widowControl/>
    </w:pPr>
    <w:rPr>
      <w:rFonts w:ascii="Calibri" w:hAnsi="Calibri"/>
      <w:sz w:val="22"/>
      <w:szCs w:val="22"/>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17</cp:revision>
  <dcterms:created xsi:type="dcterms:W3CDTF">2025-05-16T02:17:00Z</dcterms:created>
  <dcterms:modified xsi:type="dcterms:W3CDTF">2025-10-30T08:18:04Z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BF545CD8A02B4614A0B06A754AB79438_13</vt:lpwstr>
  </property>
  <property fmtid="{D5CDD505-2E9C-101B-9397-08002B2CF9AE}" pid="4" name="KSOTemplateDocerSaveRecord">
    <vt:lpwstr>eyJoZGlkIjoiYWEwNDBkZDVjMDI2NzVhN2Q2ZjdkYzk3NDg0ZWQ4YWQiLCJ1c2VySWQiOiI1Mzk3NjA2MDAifQ==</vt:lpwstr>
  </property>
</Properties>
</file>