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ind w:firstLine="1205"/>
        <w:rPr>
          <w:rFonts w:eastAsia="黑体"/>
          <w:b/>
          <w:bCs/>
          <w:sz w:val="84"/>
        </w:rPr>
      </w:pPr>
      <w:r>
        <w:rPr>
          <w:rFonts w:hint="eastAsia" w:eastAsia="黑体"/>
          <w:b/>
          <w:bCs/>
          <w:sz w:val="84"/>
        </w:rPr>
        <w:t xml:space="preserve">招　标　文　件</w:t>
      </w:r>
      <w:r/>
    </w:p>
    <w:p>
      <w:pPr>
        <w:ind w:firstLine="1205"/>
        <w:rPr>
          <w:rFonts w:ascii="Arial" w:hAnsi="Arial" w:eastAsia="仿宋" w:cs="Arial"/>
          <w:b/>
          <w:sz w:val="30"/>
          <w:szCs w:val="30"/>
        </w:rPr>
      </w:pPr>
      <w:r>
        <w:rPr>
          <w:rFonts w:ascii="Arial" w:hAnsi="Arial" w:eastAsia="仿宋" w:cs="Arial"/>
          <w:b/>
          <w:sz w:val="30"/>
          <w:szCs w:val="30"/>
        </w:rPr>
      </w:r>
      <w:r/>
    </w:p>
    <w:p>
      <w:pPr>
        <w:ind w:firstLine="1205"/>
        <w:rPr>
          <w:rFonts w:ascii="宋体" w:hAnsi="宋体" w:cs="宋体"/>
          <w:b/>
          <w:sz w:val="30"/>
          <w:szCs w:val="30"/>
        </w:rPr>
      </w:pPr>
      <w:r>
        <w:rPr>
          <w:rFonts w:hint="eastAsia" w:ascii="宋体" w:hAnsi="宋体" w:cs="宋体"/>
          <w:b/>
          <w:sz w:val="30"/>
          <w:szCs w:val="30"/>
        </w:rPr>
        <w:t xml:space="preserve">项目名称：浦口·兰花塘未来农业展示体验中心项目</w:t>
      </w:r>
      <w:r/>
    </w:p>
    <w:p>
      <w:pPr>
        <w:ind w:firstLine="1205"/>
        <w:rPr>
          <w:rFonts w:ascii="宋体" w:hAnsi="宋体" w:cs="宋体"/>
          <w:b/>
          <w:sz w:val="30"/>
          <w:szCs w:val="30"/>
        </w:rPr>
      </w:pPr>
      <w:r>
        <w:rPr>
          <w:rFonts w:hint="eastAsia" w:ascii="宋体" w:hAnsi="宋体" w:cs="宋体"/>
          <w:b/>
          <w:sz w:val="30"/>
          <w:szCs w:val="30"/>
        </w:rPr>
        <w:t xml:space="preserve">项目编号</w:t>
      </w:r>
      <w:r>
        <w:rPr>
          <w:rFonts w:ascii="宋体" w:hAnsi="宋体" w:cs="宋体"/>
          <w:b/>
          <w:sz w:val="30"/>
          <w:szCs w:val="30"/>
        </w:rPr>
        <w:t xml:space="preserve">：</w:t>
      </w:r>
      <w:r>
        <w:rPr>
          <w:rFonts w:ascii="宋体" w:hAnsi="宋体" w:cs="宋体"/>
          <w:b/>
          <w:sz w:val="30"/>
          <w:szCs w:val="30"/>
        </w:rPr>
        <w:t xml:space="preserve">JSZC-320111-JZCG-G2024-0097</w:t>
      </w:r>
      <w:r/>
    </w:p>
    <w:p>
      <w:pPr>
        <w:ind w:firstLine="1205"/>
        <w:rPr>
          <w:rFonts w:ascii="宋体" w:hAnsi="宋体" w:cs="宋体"/>
          <w:b/>
          <w:sz w:val="30"/>
          <w:szCs w:val="30"/>
        </w:rPr>
      </w:pPr>
      <w:r>
        <w:rPr>
          <w:rFonts w:hint="eastAsia" w:ascii="宋体" w:hAnsi="宋体" w:cs="宋体"/>
          <w:b/>
          <w:sz w:val="30"/>
          <w:szCs w:val="30"/>
        </w:rPr>
        <w:t xml:space="preserve">（</w:t>
      </w:r>
      <w:r>
        <w:rPr>
          <w:rFonts w:hint="eastAsia"/>
          <w:b/>
          <w:sz w:val="30"/>
          <w:szCs w:val="30"/>
        </w:rPr>
        <w:t xml:space="preserve">货物类项目</w:t>
      </w:r>
      <w:r>
        <w:rPr>
          <w:rFonts w:hint="eastAsia" w:ascii="宋体" w:hAnsi="宋体" w:cs="宋体"/>
          <w:b/>
          <w:sz w:val="30"/>
          <w:szCs w:val="30"/>
        </w:rPr>
        <w:t xml:space="preserve">，非专门面向中小企业）</w:t>
      </w:r>
      <w:r/>
    </w:p>
    <w:p>
      <w:pPr>
        <w:jc w:val="center"/>
        <w:rPr>
          <w:b/>
          <w:sz w:val="30"/>
          <w:szCs w:val="30"/>
        </w:rPr>
      </w:pPr>
      <w:r>
        <w:rPr>
          <w:b/>
          <w:sz w:val="30"/>
          <w:szCs w:val="30"/>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1047"/>
        <w:ind w:firstLine="0"/>
        <w:jc w:val="center"/>
        <w:rPr>
          <w:rFonts w:ascii="宋体" w:hAnsi="宋体" w:cs="宋体"/>
          <w:b/>
          <w:sz w:val="30"/>
          <w:szCs w:val="30"/>
        </w:rPr>
      </w:pPr>
      <w:r>
        <w:rPr>
          <w:rFonts w:hint="eastAsia" w:ascii="宋体" w:hAnsi="宋体" w:cs="宋体"/>
          <w:b/>
          <w:sz w:val="30"/>
          <w:szCs w:val="30"/>
        </w:rPr>
        <w:t xml:space="preserve">南京市公共资源交易中心浦口分中心</w:t>
      </w:r>
      <w:r/>
    </w:p>
    <w:p>
      <w:pPr>
        <w:pStyle w:val="1047"/>
        <w:ind w:firstLine="0"/>
        <w:jc w:val="center"/>
        <w:rPr>
          <w:rFonts w:ascii="Times New Roman" w:hAnsi="Times New Roman"/>
          <w:b/>
          <w:bCs/>
          <w:sz w:val="32"/>
        </w:rPr>
      </w:pPr>
      <w:r>
        <w:rPr>
          <w:rFonts w:hint="eastAsia" w:ascii="Times New Roman" w:hAnsi="Times New Roman"/>
          <w:b/>
          <w:bCs/>
          <w:sz w:val="32"/>
          <w:u w:val="single"/>
        </w:rPr>
        <w:t xml:space="preserve"> 2024 </w:t>
      </w:r>
      <w:r>
        <w:rPr>
          <w:rFonts w:hint="eastAsia"/>
          <w:b/>
          <w:bCs/>
          <w:sz w:val="32"/>
        </w:rPr>
        <w:t xml:space="preserve">年</w:t>
      </w:r>
      <w:r>
        <w:rPr>
          <w:rFonts w:hint="eastAsia" w:ascii="Times New Roman" w:hAnsi="Times New Roman"/>
          <w:b/>
          <w:bCs/>
          <w:sz w:val="32"/>
          <w:u w:val="single"/>
        </w:rPr>
        <w:t xml:space="preserve"> </w:t>
      </w:r>
      <w:r>
        <w:rPr>
          <w:rFonts w:hint="eastAsia" w:ascii="Times New Roman" w:hAnsi="Times New Roman"/>
          <w:b/>
          <w:bCs/>
          <w:sz w:val="32"/>
          <w:u w:val="single"/>
        </w:rPr>
        <w:t xml:space="preserve">8</w:t>
      </w:r>
      <w:r>
        <w:rPr>
          <w:rFonts w:hint="eastAsia" w:ascii="Times New Roman" w:hAnsi="Times New Roman"/>
          <w:b/>
          <w:bCs/>
          <w:sz w:val="32"/>
          <w:u w:val="single"/>
        </w:rPr>
        <w:t xml:space="preserve"> </w:t>
      </w:r>
      <w:r>
        <w:rPr>
          <w:rFonts w:hint="eastAsia" w:ascii="Times New Roman" w:hAnsi="Times New Roman"/>
          <w:b/>
          <w:bCs/>
          <w:sz w:val="32"/>
        </w:rPr>
        <w:t xml:space="preserve">月</w:t>
      </w:r>
      <w:r>
        <w:rPr>
          <w:rFonts w:hint="eastAsia" w:ascii="Times New Roman" w:hAnsi="Times New Roman"/>
          <w:b/>
          <w:bCs/>
          <w:sz w:val="32"/>
        </w:rPr>
      </w:r>
      <w:r/>
    </w:p>
    <w:p>
      <w:pPr>
        <w:jc w:val="left"/>
        <w:spacing w:before="120" w:after="120" w:line="360" w:lineRule="auto"/>
        <w:rPr>
          <w:rFonts w:ascii="Arial" w:hAnsi="Arial"/>
          <w:sz w:val="24"/>
          <w:szCs w:val="24"/>
          <w:u w:val="single"/>
        </w:rPr>
      </w:pPr>
      <w:r>
        <w:rPr>
          <w:rFonts w:ascii="Arial" w:hAnsi="Arial"/>
          <w:sz w:val="24"/>
          <w:szCs w:val="24"/>
          <w:u w:val="single"/>
        </w:rPr>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szCs w:val="21"/>
        </w:rPr>
        <w:outlineLvl w:val="0"/>
      </w:pPr>
      <w:r>
        <w:rPr>
          <w:szCs w:val="21"/>
        </w:rPr>
      </w:r>
      <w:r/>
    </w:p>
    <w:p>
      <w:pPr>
        <w:jc w:val="center"/>
        <w:spacing w:line="480" w:lineRule="auto"/>
        <w:rPr>
          <w:szCs w:val="21"/>
        </w:rPr>
        <w:outlineLvl w:val="0"/>
      </w:pPr>
      <w:r>
        <w:rPr>
          <w:szCs w:val="21"/>
        </w:rPr>
      </w:r>
      <w:r/>
    </w:p>
    <w:p>
      <w:pPr>
        <w:jc w:val="center"/>
        <w:spacing w:line="480" w:lineRule="auto"/>
        <w:rPr>
          <w:rFonts w:ascii="黑体" w:hAnsi="Arial" w:eastAsia="黑体"/>
          <w:b/>
          <w:sz w:val="44"/>
          <w:szCs w:val="21"/>
        </w:rPr>
        <w:outlineLvl w:val="0"/>
      </w:pPr>
      <w:r>
        <w:rPr>
          <w:szCs w:val="21"/>
        </w:rPr>
        <w:br w:type="page" w:clear="all"/>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480" w:lineRule="auto"/>
        <w:rPr>
          <w:rFonts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ind w:right="840"/>
        <w:jc w:val="center"/>
        <w:rPr>
          <w:rFonts w:ascii="黑体" w:eastAsia="黑体"/>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受南京市浦口区人民政府桥林街道办事处的委托，南京市公共资源交易中心浦口分中心就浦口·兰花塘未来农业展示体验中心项目进行公开招标采购，欢迎符合条件的供应商投标。</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浦口·兰花塘未来农业展示体验中心项目</w:t>
      </w:r>
      <w:r>
        <w:rPr>
          <w:rFonts w:hint="eastAsia" w:ascii="宋体" w:hAnsi="宋体"/>
          <w:sz w:val="24"/>
          <w:szCs w:val="24"/>
        </w:rPr>
        <w:t xml:space="preserve">招标项目的潜在供应商可在</w:t>
      </w:r>
      <w:r>
        <w:rPr>
          <w:rFonts w:hint="eastAsia" w:ascii="宋体" w:hAnsi="宋体"/>
          <w:sz w:val="24"/>
          <w:szCs w:val="24"/>
          <w:u w:val="single"/>
        </w:rPr>
        <w:t xml:space="preserve">“江苏政府采购网”</w:t>
      </w:r>
      <w:r>
        <w:rPr>
          <w:rFonts w:hint="eastAsia" w:ascii="宋体" w:hAnsi="宋体"/>
          <w:sz w:val="24"/>
          <w:szCs w:val="24"/>
        </w:rPr>
        <w:t xml:space="preserve">自行免费下载招标文件，并于</w:t>
      </w:r>
      <w:r>
        <w:rPr>
          <w:rFonts w:ascii="宋体" w:hAnsi="宋体"/>
          <w:bCs/>
          <w:sz w:val="24"/>
          <w:szCs w:val="24"/>
          <w:u w:val="single"/>
        </w:rPr>
        <w:t xml:space="preserve">202</w:t>
      </w:r>
      <w:r>
        <w:rPr>
          <w:rFonts w:hint="eastAsia" w:ascii="宋体" w:hAnsi="宋体"/>
          <w:bCs/>
          <w:sz w:val="24"/>
          <w:szCs w:val="24"/>
          <w:u w:val="single"/>
        </w:rPr>
        <w:t xml:space="preserve">4年</w:t>
      </w:r>
      <w:r>
        <w:rPr>
          <w:rFonts w:hint="eastAsia" w:ascii="宋体" w:hAnsi="宋体"/>
          <w:bCs/>
          <w:sz w:val="24"/>
          <w:szCs w:val="24"/>
          <w:u w:val="single"/>
        </w:rPr>
        <w:t xml:space="preserve">0</w:t>
      </w:r>
      <w:r>
        <w:rPr>
          <w:rFonts w:hint="eastAsia" w:ascii="宋体" w:hAnsi="宋体"/>
          <w:bCs/>
          <w:sz w:val="24"/>
          <w:szCs w:val="24"/>
          <w:u w:val="single"/>
        </w:rPr>
        <w:t xml:space="preserve">9</w:t>
      </w:r>
      <w:r>
        <w:rPr>
          <w:rFonts w:hint="eastAsia" w:ascii="宋体" w:hAnsi="宋体"/>
          <w:bCs/>
          <w:sz w:val="24"/>
          <w:szCs w:val="24"/>
          <w:u w:val="single"/>
        </w:rPr>
        <w:t xml:space="preserve">月</w:t>
      </w:r>
      <w:r>
        <w:rPr>
          <w:rFonts w:hint="eastAsia" w:ascii="宋体" w:hAnsi="宋体"/>
          <w:bCs/>
          <w:sz w:val="24"/>
          <w:szCs w:val="24"/>
          <w:u w:val="single"/>
        </w:rPr>
        <w:t xml:space="preserve">10</w:t>
      </w:r>
      <w:bookmarkStart w:id="6" w:name="_GoBack"/>
      <w:r/>
      <w:bookmarkEnd w:id="6"/>
      <w:r>
        <w:rPr>
          <w:rFonts w:hint="eastAsia" w:ascii="宋体" w:hAnsi="宋体"/>
          <w:bCs/>
          <w:sz w:val="24"/>
          <w:szCs w:val="24"/>
          <w:u w:val="single"/>
        </w:rPr>
        <w:t xml:space="preserve">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71"/>
        <w:ind w:firstLine="498"/>
        <w:spacing w:before="145" w:after="145" w:line="264" w:lineRule="auto"/>
      </w:pPr>
      <w:r/>
      <w:bookmarkStart w:id="7" w:name="_Toc35393621"/>
      <w:r/>
      <w:bookmarkStart w:id="8" w:name="_Toc38985263"/>
      <w:r/>
      <w:bookmarkStart w:id="9" w:name="_Toc35393790"/>
      <w:r/>
      <w:bookmarkStart w:id="10" w:name="_Toc28359079"/>
      <w:r/>
      <w:bookmarkStart w:id="11" w:name="_Toc28359002"/>
      <w:r/>
      <w:bookmarkStart w:id="12" w:name="_Hlk24379207"/>
      <w:r>
        <w:rPr>
          <w:rFonts w:hint="eastAsia"/>
        </w:rPr>
        <w:t xml:space="preserve">一、项目基本情况</w:t>
      </w:r>
      <w:bookmarkEnd w:id="7"/>
      <w:r/>
      <w:bookmarkEnd w:id="8"/>
      <w:r/>
      <w:bookmarkEnd w:id="9"/>
      <w:r/>
      <w:bookmarkEnd w:id="10"/>
      <w:r/>
      <w:bookmarkEnd w:id="11"/>
      <w:r/>
      <w:r/>
    </w:p>
    <w:p>
      <w:pPr>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JSZC-320111-JZCG-G2024-0097</w:t>
      </w:r>
      <w:r/>
    </w:p>
    <w:p>
      <w:pPr>
        <w:ind w:firstLine="480"/>
        <w:rPr>
          <w:rFonts w:ascii="宋体" w:hAnsi="宋体"/>
          <w:sz w:val="24"/>
          <w:szCs w:val="24"/>
        </w:rPr>
      </w:pPr>
      <w:r>
        <w:rPr>
          <w:rFonts w:hint="eastAsia" w:ascii="宋体" w:hAnsi="宋体"/>
          <w:sz w:val="24"/>
          <w:szCs w:val="24"/>
        </w:rPr>
        <w:t xml:space="preserve">2.项目名称：</w:t>
      </w:r>
      <w:bookmarkEnd w:id="12"/>
      <w:r>
        <w:rPr>
          <w:rFonts w:hint="eastAsia" w:ascii="宋体" w:hAnsi="宋体"/>
          <w:sz w:val="24"/>
          <w:szCs w:val="24"/>
        </w:rPr>
        <w:t xml:space="preserve">浦口·兰花塘未来农业展示体验中心项目</w:t>
      </w:r>
      <w:r/>
    </w:p>
    <w:p>
      <w:pPr>
        <w:ind w:firstLine="480"/>
        <w:rPr>
          <w:rFonts w:ascii="宋体" w:hAnsi="宋体"/>
          <w:sz w:val="24"/>
          <w:szCs w:val="24"/>
        </w:rPr>
      </w:pPr>
      <w:r>
        <w:rPr>
          <w:rFonts w:hint="eastAsia" w:ascii="宋体" w:hAnsi="宋体"/>
          <w:sz w:val="24"/>
          <w:szCs w:val="24"/>
        </w:rPr>
        <w:t xml:space="preserve">3.预算金额：2167.125987万元</w:t>
      </w:r>
      <w:r/>
    </w:p>
    <w:p>
      <w:pPr>
        <w:ind w:firstLine="480"/>
        <w:rPr>
          <w:rFonts w:ascii="宋体" w:hAnsi="宋体"/>
          <w:sz w:val="24"/>
          <w:szCs w:val="24"/>
        </w:rPr>
      </w:pPr>
      <w:r>
        <w:rPr>
          <w:rFonts w:hint="eastAsia" w:ascii="宋体" w:hAnsi="宋体"/>
          <w:sz w:val="24"/>
          <w:szCs w:val="24"/>
        </w:rPr>
        <w:t xml:space="preserve">4.本项目</w:t>
      </w:r>
      <w:r>
        <w:rPr>
          <w:rFonts w:hint="eastAsia" w:ascii="宋体" w:hAnsi="宋体"/>
          <w:bCs/>
          <w:sz w:val="24"/>
          <w:szCs w:val="24"/>
          <w:u w:val="single"/>
        </w:rPr>
        <w:t xml:space="preserve"> 设定 </w:t>
      </w:r>
      <w:r>
        <w:rPr>
          <w:rFonts w:hint="eastAsia" w:ascii="宋体" w:hAnsi="宋体"/>
          <w:sz w:val="24"/>
          <w:szCs w:val="24"/>
        </w:rPr>
        <w:t xml:space="preserve">最高限价：最高限价2167.125987万元。</w:t>
      </w:r>
      <w:r/>
    </w:p>
    <w:p>
      <w:pPr>
        <w:ind w:firstLine="480"/>
        <w:rPr>
          <w:rFonts w:ascii="宋体" w:hAnsi="宋体"/>
          <w:sz w:val="24"/>
          <w:szCs w:val="24"/>
          <w:u w:val="single"/>
        </w:rPr>
      </w:pPr>
      <w:r>
        <w:rPr>
          <w:rFonts w:hint="eastAsia" w:ascii="宋体" w:hAnsi="宋体"/>
          <w:sz w:val="24"/>
          <w:szCs w:val="24"/>
        </w:rPr>
        <w:t xml:space="preserve">5.采购需求（简介）：浦口·兰花塘未来农业展示体验中心项目，主要包含兰花塘稻米加工体验中心（一期）、桥林兰花塘稻米全产业链原粮存储设施，满足兰花塘稻米加工、存储需要。（详细内容</w:t>
      </w:r>
      <w:r>
        <w:rPr>
          <w:rFonts w:hint="eastAsia" w:ascii="宋体" w:hAnsi="宋体" w:cs="宋体"/>
          <w:sz w:val="24"/>
          <w:szCs w:val="24"/>
        </w:rPr>
        <w:t xml:space="preserve">见本招标文件第四章） </w:t>
      </w:r>
      <w:r/>
    </w:p>
    <w:p>
      <w:pPr>
        <w:ind w:firstLine="480"/>
        <w:rPr>
          <w:rFonts w:ascii="宋体" w:hAnsi="宋体"/>
          <w:sz w:val="24"/>
          <w:szCs w:val="24"/>
        </w:rPr>
      </w:pPr>
      <w:r>
        <w:rPr>
          <w:rFonts w:hint="eastAsia" w:ascii="宋体" w:hAnsi="宋体"/>
          <w:sz w:val="24"/>
          <w:szCs w:val="24"/>
        </w:rPr>
        <w:t xml:space="preserve">6.合同履行期限：880天（交付期150天、质保期730天），中标后30日内签订合同，合同签订后150日内交付，自验收报告签字确认日起开始进入质保期。</w:t>
      </w:r>
      <w:r/>
    </w:p>
    <w:p>
      <w:pPr>
        <w:ind w:firstLine="480"/>
        <w:rPr>
          <w:rFonts w:ascii="宋体" w:hAnsi="宋体" w:cs="宋体"/>
          <w:sz w:val="24"/>
          <w:szCs w:val="24"/>
        </w:rPr>
      </w:pPr>
      <w:r>
        <w:rPr>
          <w:rFonts w:hint="eastAsia" w:ascii="宋体" w:hAnsi="宋体"/>
          <w:sz w:val="24"/>
          <w:szCs w:val="24"/>
        </w:rPr>
        <w:t xml:space="preserve">7.</w:t>
      </w:r>
      <w:r>
        <w:rPr>
          <w:rFonts w:hint="eastAsia"/>
        </w:rPr>
        <w:t xml:space="preserve"> </w:t>
      </w:r>
      <w:r>
        <w:rPr>
          <w:rFonts w:hint="eastAsia" w:ascii="宋体" w:hAnsi="宋体"/>
          <w:sz w:val="24"/>
          <w:szCs w:val="24"/>
        </w:rPr>
        <w:t xml:space="preserve">本项目不接受进口产品投标。</w:t>
      </w:r>
      <w:bookmarkStart w:id="13" w:name="_Toc28359003"/>
      <w:r/>
      <w:bookmarkStart w:id="14" w:name="_Toc28359080"/>
      <w:r/>
      <w:bookmarkStart w:id="15" w:name="_Toc35393622"/>
      <w:r/>
      <w:bookmarkStart w:id="16" w:name="_Toc35393791"/>
      <w:r/>
      <w:bookmarkStart w:id="17" w:name="_Toc38985264"/>
      <w:r/>
      <w:r/>
    </w:p>
    <w:p>
      <w:pPr>
        <w:pStyle w:val="971"/>
        <w:ind w:firstLine="498"/>
        <w:spacing w:before="145" w:after="145" w:line="264" w:lineRule="auto"/>
      </w:pPr>
      <w:r>
        <w:rPr>
          <w:rFonts w:hint="eastAsia"/>
        </w:rPr>
        <w:t xml:space="preserve">二、申请人的资格要求：</w:t>
      </w:r>
      <w:bookmarkEnd w:id="13"/>
      <w:r/>
      <w:bookmarkEnd w:id="14"/>
      <w:r/>
      <w:bookmarkEnd w:id="15"/>
      <w:r/>
      <w:bookmarkEnd w:id="16"/>
      <w:r/>
      <w:bookmarkEnd w:id="17"/>
      <w:r/>
      <w:r/>
    </w:p>
    <w:p>
      <w:pPr>
        <w:ind w:firstLine="480"/>
        <w:rPr>
          <w:rFonts w:ascii="宋体" w:hAnsi="宋体"/>
          <w:sz w:val="24"/>
          <w:szCs w:val="24"/>
        </w:rPr>
      </w:pPr>
      <w:r/>
      <w:bookmarkStart w:id="18" w:name="_Toc38985265"/>
      <w:r/>
      <w:bookmarkStart w:id="19" w:name="_Toc28359081"/>
      <w:r/>
      <w:bookmarkStart w:id="20" w:name="_Toc35393792"/>
      <w:r/>
      <w:bookmarkStart w:id="21" w:name="_Toc35393623"/>
      <w:r/>
      <w:bookmarkStart w:id="22"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1.1供应商信用承诺函（格式见第六章投标文件格式）。</w:t>
      </w:r>
      <w:r/>
    </w:p>
    <w:p>
      <w:pPr>
        <w:ind w:firstLine="480"/>
        <w:rPr>
          <w:rFonts w:ascii="宋体" w:hAnsi="宋体"/>
          <w:sz w:val="24"/>
          <w:szCs w:val="24"/>
        </w:rPr>
      </w:pPr>
      <w:r>
        <w:rPr>
          <w:rFonts w:hint="eastAsia" w:ascii="宋体" w:hAnsi="宋体"/>
          <w:sz w:val="24"/>
          <w:szCs w:val="24"/>
        </w:rPr>
        <w:t xml:space="preserve">1.2法律、行政法规规定的其他条件：无。</w:t>
      </w:r>
      <w:r/>
    </w:p>
    <w:p>
      <w:pPr>
        <w:ind w:firstLine="480"/>
        <w:rPr>
          <w:rFonts w:ascii="宋体" w:hAnsi="宋体"/>
          <w:sz w:val="24"/>
          <w:szCs w:val="24"/>
        </w:rPr>
      </w:pPr>
      <w:r>
        <w:rPr>
          <w:rFonts w:hint="eastAsia" w:ascii="宋体" w:hAnsi="宋体"/>
          <w:sz w:val="24"/>
          <w:szCs w:val="24"/>
        </w:rPr>
        <w:t xml:space="preserve">2.落实政府采购政策需满足的资格要求：</w:t>
      </w:r>
      <w:r/>
    </w:p>
    <w:p>
      <w:pPr>
        <w:ind w:firstLine="480"/>
        <w:rPr>
          <w:rFonts w:ascii="宋体" w:hAnsi="宋体"/>
          <w:sz w:val="24"/>
          <w:szCs w:val="24"/>
        </w:rPr>
      </w:pPr>
      <w:r>
        <w:rPr>
          <w:rFonts w:hint="eastAsia" w:ascii="宋体" w:hAnsi="宋体"/>
          <w:sz w:val="24"/>
          <w:szCs w:val="24"/>
        </w:rPr>
        <w:t xml:space="preserve">本项目不专门面向中小微企业采购，执行价格扣除优惠政策，</w:t>
      </w:r>
      <w:r>
        <w:rPr>
          <w:rFonts w:hint="eastAsia" w:ascii="宋体" w:hAnsi="宋体"/>
          <w:b/>
          <w:sz w:val="24"/>
          <w:szCs w:val="24"/>
        </w:rPr>
        <w:t xml:space="preserve">对货物制造商为小微企业的，报价给予1</w:t>
      </w:r>
      <w:r>
        <w:rPr>
          <w:rFonts w:hint="eastAsia" w:ascii="宋体" w:hAnsi="宋体"/>
          <w:b/>
          <w:sz w:val="24"/>
          <w:szCs w:val="24"/>
        </w:rPr>
        <w:t xml:space="preserve">0</w:t>
      </w:r>
      <w:r>
        <w:rPr>
          <w:rFonts w:hint="eastAsia" w:ascii="宋体" w:hAnsi="宋体"/>
          <w:b/>
          <w:sz w:val="24"/>
          <w:szCs w:val="24"/>
        </w:rPr>
        <w:t xml:space="preserve">%的扣除。</w:t>
      </w:r>
      <w:r>
        <w:rPr>
          <w:rFonts w:hint="eastAsia" w:ascii="宋体" w:hAnsi="宋体"/>
          <w:sz w:val="24"/>
          <w:szCs w:val="24"/>
        </w:rPr>
        <w:t xml:space="preserve">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rPr>
          <w:rFonts w:ascii="宋体" w:hAnsi="宋体"/>
          <w:sz w:val="24"/>
          <w:szCs w:val="24"/>
        </w:rPr>
      </w:pPr>
      <w:r>
        <w:rPr>
          <w:rFonts w:hint="eastAsia" w:ascii="宋体" w:hAnsi="宋体"/>
          <w:sz w:val="24"/>
          <w:szCs w:val="24"/>
        </w:rPr>
        <w:t xml:space="preserve">3.本项目</w:t>
      </w:r>
      <w:r>
        <w:rPr>
          <w:rFonts w:hint="eastAsia" w:ascii="宋体" w:hAnsi="宋体"/>
          <w:sz w:val="24"/>
          <w:szCs w:val="24"/>
          <w:u w:val="single"/>
        </w:rPr>
        <w:t xml:space="preserve"> 不接受 </w:t>
      </w:r>
      <w:r>
        <w:rPr>
          <w:rFonts w:hint="eastAsia" w:ascii="宋体" w:hAnsi="宋体"/>
          <w:sz w:val="24"/>
          <w:szCs w:val="24"/>
        </w:rPr>
        <w:t xml:space="preserve">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sz w:val="24"/>
          <w:szCs w:val="24"/>
        </w:rPr>
      </w:pPr>
      <w:r>
        <w:rPr>
          <w:rFonts w:hint="eastAsia" w:ascii="宋体" w:hAnsi="宋体"/>
          <w:sz w:val="24"/>
          <w:szCs w:val="24"/>
        </w:rPr>
        <w:t xml:space="preserve">1.资质要求：投标人具有施工总承包建筑工程三级(含)以上</w:t>
      </w:r>
      <w:r>
        <w:rPr>
          <w:rFonts w:hint="eastAsia" w:ascii="宋体" w:hAnsi="宋体"/>
          <w:sz w:val="24"/>
          <w:szCs w:val="24"/>
        </w:rPr>
        <w:t xml:space="preserve">及</w:t>
      </w:r>
      <w:r>
        <w:rPr>
          <w:rFonts w:hint="eastAsia" w:ascii="宋体" w:hAnsi="宋体"/>
          <w:sz w:val="24"/>
          <w:szCs w:val="24"/>
        </w:rPr>
        <w:t xml:space="preserve">专业承包钢结构工程</w:t>
      </w:r>
      <w:r>
        <w:rPr>
          <w:rFonts w:hint="eastAsia" w:ascii="宋体" w:hAnsi="宋体"/>
          <w:sz w:val="24"/>
          <w:szCs w:val="24"/>
        </w:rPr>
        <w:t xml:space="preserve">三</w:t>
      </w:r>
      <w:r>
        <w:rPr>
          <w:rFonts w:hint="eastAsia" w:ascii="宋体" w:hAnsi="宋体"/>
          <w:sz w:val="24"/>
          <w:szCs w:val="24"/>
        </w:rPr>
        <w:t xml:space="preserve">级(含)以上；且具有有效的企业安全生产许可证(提供有效期内的资质证书和企业安全生产许可证扫描件)</w:t>
      </w:r>
      <w:r/>
    </w:p>
    <w:p>
      <w:pPr>
        <w:ind w:firstLine="480"/>
        <w:rPr>
          <w:rFonts w:ascii="宋体" w:hAnsi="宋体"/>
          <w:sz w:val="24"/>
          <w:szCs w:val="24"/>
        </w:rPr>
      </w:pPr>
      <w:r>
        <w:rPr>
          <w:rFonts w:hint="eastAsia" w:ascii="宋体" w:hAnsi="宋体"/>
          <w:sz w:val="24"/>
          <w:szCs w:val="24"/>
        </w:rPr>
        <w:t xml:space="preserve">2.项目经理资质要求：投标人拟派的项目经理有国家注册建造师建筑工程二级(含)以上，且具备有效的B类安全生产考核证。提供有效的证书扫描件(投标人须提供拟派的项目经理与投标人签订的有效劳动合同以及社保机构出具近半年(2024年02月-2024年07月)中任意一月投标人为项目经理缴纳的养老保险金缴费证明材料(须明确缴费月份、个人姓名、缴费单位，且加盖社保中心章或社保中心参保缴费证明电子专用章)；</w:t>
      </w:r>
      <w:r>
        <w:rPr>
          <w:rFonts w:hint="eastAsia" w:ascii="宋体" w:hAnsi="宋体"/>
          <w:sz w:val="24"/>
          <w:szCs w:val="24"/>
        </w:rPr>
        <w:t xml:space="preserve">若项目经理属企业退休人员、事业单位人员或现役军人等客观原因无法提供养老保险金缴费证明，必须出具相关证明材料及劳动合同，否则一律按未提供养老保险金缴费证明材料处理。需提供以上资料扫描件，否则不能通过资格审查。)</w:t>
      </w:r>
      <w:r/>
    </w:p>
    <w:p>
      <w:pPr>
        <w:ind w:firstLine="480"/>
        <w:rPr>
          <w:rFonts w:ascii="宋体" w:hAnsi="宋体"/>
          <w:sz w:val="24"/>
          <w:szCs w:val="24"/>
        </w:rPr>
      </w:pPr>
      <w:r>
        <w:rPr>
          <w:rFonts w:hint="eastAsia" w:ascii="宋体" w:hAnsi="宋体"/>
          <w:sz w:val="24"/>
          <w:szCs w:val="24"/>
        </w:rPr>
        <w:t xml:space="preserve">（三）拒绝下述供应商参加本次采购活动</w:t>
      </w:r>
      <w:r/>
    </w:p>
    <w:p>
      <w:pPr>
        <w:ind w:firstLine="480"/>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ind w:firstLine="480"/>
        <w:rPr>
          <w:rFonts w:ascii="宋体" w:hAnsi="宋体"/>
          <w:sz w:val="24"/>
          <w:szCs w:val="24"/>
        </w:rPr>
      </w:pPr>
      <w:r>
        <w:rPr>
          <w:rFonts w:hint="eastAsia" w:ascii="宋体" w:hAnsi="宋体"/>
          <w:sz w:val="24"/>
          <w:szCs w:val="24"/>
        </w:rPr>
        <w:t xml:space="preserve">4.供应商诚信档案</w:t>
      </w:r>
      <w:r/>
    </w:p>
    <w:p>
      <w:pPr>
        <w:ind w:firstLine="480"/>
        <w:rPr>
          <w:rFonts w:ascii="宋体" w:hAnsi="宋体"/>
          <w:sz w:val="24"/>
          <w:szCs w:val="24"/>
        </w:rPr>
      </w:pPr>
      <w:r>
        <w:rPr>
          <w:rFonts w:hint="eastAsia" w:ascii="宋体" w:hAnsi="宋体"/>
          <w:sz w:val="24"/>
          <w:szCs w:val="24"/>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p>
    <w:p>
      <w:pPr>
        <w:ind w:firstLine="480"/>
        <w:rPr>
          <w:rFonts w:ascii="宋体" w:hAnsi="宋体"/>
          <w:sz w:val="24"/>
          <w:szCs w:val="24"/>
        </w:rPr>
      </w:pPr>
      <w:r>
        <w:rPr>
          <w:rFonts w:hint="eastAsia" w:ascii="宋体" w:hAnsi="宋体"/>
          <w:sz w:val="24"/>
          <w:szCs w:val="24"/>
        </w:rPr>
        <w:t xml:space="preserve">（2）供应商必须在提交投标（响应）文件截止日2天前办理登记注册手续。供应商拟申请网上注册的，应当按以下程序进行：</w:t>
      </w:r>
      <w:r/>
    </w:p>
    <w:p>
      <w:pPr>
        <w:ind w:firstLine="480"/>
        <w:rPr>
          <w:rFonts w:ascii="宋体" w:hAnsi="宋体"/>
          <w:sz w:val="24"/>
          <w:szCs w:val="24"/>
        </w:rPr>
      </w:pPr>
      <w:r>
        <w:rPr>
          <w:rFonts w:hint="eastAsia" w:ascii="宋体" w:hAnsi="宋体"/>
          <w:sz w:val="24"/>
          <w:szCs w:val="24"/>
        </w:rPr>
        <w:t xml:space="preserve">a.在“南京市政府采购供应商诚信档案管理系统”新用户注册界面，自行设置账号、登录密码，如实填写注册页信息，并进行信用承诺确认后，提交注册申请；</w:t>
      </w:r>
      <w:r/>
    </w:p>
    <w:p>
      <w:pPr>
        <w:ind w:firstLine="480"/>
        <w:rPr>
          <w:rFonts w:ascii="宋体" w:hAnsi="宋体"/>
          <w:sz w:val="24"/>
          <w:szCs w:val="24"/>
        </w:rPr>
      </w:pPr>
      <w:r>
        <w:rPr>
          <w:rFonts w:hint="eastAsia" w:ascii="宋体" w:hAnsi="宋体"/>
          <w:sz w:val="24"/>
          <w:szCs w:val="24"/>
        </w:rPr>
        <w:t xml:space="preserve">b.系统审核后，供应商即可登录系统，进行《南京市政府采购供应商信用记录表暨信用承诺书》下载打印；</w:t>
      </w:r>
      <w:r/>
    </w:p>
    <w:p>
      <w:pPr>
        <w:ind w:firstLine="480"/>
        <w:rPr>
          <w:rFonts w:ascii="宋体" w:hAnsi="宋体"/>
          <w:sz w:val="24"/>
          <w:szCs w:val="24"/>
        </w:rPr>
      </w:pPr>
      <w:r>
        <w:rPr>
          <w:rFonts w:hint="eastAsia" w:ascii="宋体" w:hAnsi="宋体"/>
          <w:sz w:val="24"/>
          <w:szCs w:val="24"/>
        </w:rPr>
        <w:t xml:space="preserve">c.南京市政府采购供应商诚信档案管理系统客服电话：025-52718366-622。供应商可就用户注册与打印事宜进行咨询。</w:t>
      </w:r>
      <w:r/>
    </w:p>
    <w:p>
      <w:pPr>
        <w:ind w:firstLine="480"/>
        <w:rPr>
          <w:rFonts w:ascii="宋体" w:hAnsi="宋体"/>
          <w:sz w:val="24"/>
          <w:szCs w:val="24"/>
        </w:rPr>
      </w:pPr>
      <w:r>
        <w:rPr>
          <w:rFonts w:hint="eastAsia" w:ascii="宋体" w:hAnsi="宋体"/>
          <w:sz w:val="24"/>
          <w:szCs w:val="24"/>
        </w:rPr>
        <w:t xml:space="preserve">（3）供应商参加本次政府采购活动时，在招标文件发布之日起至递交投标文件截止日前，应先登录“南京公共采购信息网”在线打印其《南京市政府采购供应商信用记录表暨信用承诺书》，加盖单位公章后作为投标文件的组成部分。</w:t>
      </w:r>
      <w:r/>
    </w:p>
    <w:p>
      <w:pPr>
        <w:ind w:firstLine="480"/>
        <w:jc w:val="left"/>
        <w:rPr>
          <w:rFonts w:ascii="宋体" w:hAnsi="宋体"/>
          <w:sz w:val="24"/>
          <w:szCs w:val="24"/>
        </w:rPr>
      </w:pPr>
      <w:r>
        <w:rPr>
          <w:rFonts w:hint="eastAsia" w:ascii="宋体" w:hAnsi="宋体"/>
          <w:sz w:val="24"/>
          <w:szCs w:val="24"/>
        </w:rPr>
        <w:t xml:space="preserve">5.供应商应登陆南京市公共资源交易平台（http://njggzy.nanjing.gov.cn/njweb/）注册登记，否则，影响发布中标结果公告。</w:t>
      </w:r>
      <w:r/>
    </w:p>
    <w:p>
      <w:pPr>
        <w:ind w:firstLine="480"/>
        <w:rPr>
          <w:rFonts w:ascii="宋体" w:hAnsi="宋体"/>
          <w:sz w:val="24"/>
          <w:szCs w:val="24"/>
        </w:rPr>
      </w:pPr>
      <w:r>
        <w:rPr>
          <w:rFonts w:hint="eastAsia" w:ascii="宋体" w:hAnsi="宋体"/>
          <w:sz w:val="24"/>
          <w:szCs w:val="24"/>
        </w:rPr>
        <w:t xml:space="preserve">6.供应商应办理南京市政府采购CA数字证书（详见：南京市公共资源交易平台首页&gt;交易服务&gt;下载中心&gt;示范文本&gt;《南京市政府采购CA数字证书申请表》）。</w:t>
      </w:r>
      <w:r/>
    </w:p>
    <w:p>
      <w:pPr>
        <w:pStyle w:val="971"/>
        <w:ind w:firstLine="498"/>
        <w:spacing w:before="145" w:after="145" w:line="264" w:lineRule="auto"/>
      </w:pPr>
      <w:r>
        <w:rPr>
          <w:rFonts w:hint="eastAsia"/>
        </w:rPr>
        <w:t xml:space="preserve">三、获取招标文件</w:t>
      </w:r>
      <w:bookmarkEnd w:id="18"/>
      <w:r/>
      <w:bookmarkEnd w:id="19"/>
      <w:r/>
      <w:bookmarkEnd w:id="20"/>
      <w:r/>
      <w:bookmarkEnd w:id="21"/>
      <w:r/>
      <w:bookmarkEnd w:id="22"/>
      <w:r/>
      <w:r/>
    </w:p>
    <w:p>
      <w:pPr>
        <w:ind w:firstLine="480"/>
        <w:rPr>
          <w:rFonts w:ascii="宋体" w:hAnsi="宋体"/>
          <w:sz w:val="24"/>
          <w:szCs w:val="24"/>
        </w:rPr>
      </w:pPr>
      <w:r/>
      <w:bookmarkStart w:id="23" w:name="_Toc28359082"/>
      <w:r/>
      <w:bookmarkStart w:id="24" w:name="_Toc28359005"/>
      <w:r/>
      <w:bookmarkStart w:id="25" w:name="_Toc35393624"/>
      <w:r/>
      <w:bookmarkStart w:id="26" w:name="_Toc35393793"/>
      <w:r/>
      <w:bookmarkStart w:id="27" w:name="_Toc38985266"/>
      <w:r>
        <w:rPr>
          <w:rFonts w:hint="eastAsia" w:ascii="宋体" w:hAnsi="宋体"/>
          <w:sz w:val="24"/>
          <w:szCs w:val="24"/>
        </w:rPr>
        <w:t xml:space="preserve">1.时间：自招标文件公告发布之日起。</w:t>
      </w:r>
      <w:r/>
    </w:p>
    <w:p>
      <w:pPr>
        <w:ind w:firstLine="480"/>
        <w:rPr>
          <w:rFonts w:ascii="宋体" w:hAnsi="宋体"/>
          <w:sz w:val="24"/>
          <w:szCs w:val="24"/>
        </w:rPr>
      </w:pPr>
      <w:r>
        <w:rPr>
          <w:rFonts w:hint="eastAsia" w:ascii="宋体" w:hAnsi="宋体"/>
          <w:sz w:val="24"/>
          <w:szCs w:val="24"/>
        </w:rPr>
        <w:t xml:space="preserve">2.方式：在“江苏政府采购网”自行免费下载招标文件。</w:t>
      </w:r>
      <w:r/>
    </w:p>
    <w:p>
      <w:pPr>
        <w:pStyle w:val="971"/>
        <w:ind w:firstLine="498"/>
        <w:spacing w:before="145" w:after="145" w:line="264" w:lineRule="auto"/>
      </w:pPr>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ind w:firstLine="480"/>
        <w:rPr>
          <w:rFonts w:ascii="宋体" w:hAnsi="宋体"/>
          <w:bCs/>
          <w:sz w:val="24"/>
          <w:szCs w:val="24"/>
          <w:u w:val="single"/>
        </w:rPr>
      </w:pPr>
      <w:r>
        <w:rPr>
          <w:rFonts w:hint="eastAsia" w:ascii="宋体" w:hAnsi="宋体" w:cs="宋体"/>
          <w:sz w:val="24"/>
          <w:szCs w:val="24"/>
        </w:rPr>
        <w:t xml:space="preserve">1.提交投标文件截止时间、开标时间</w:t>
      </w:r>
      <w:r>
        <w:rPr>
          <w:rFonts w:ascii="宋体" w:hAnsi="宋体"/>
          <w:bCs/>
          <w:sz w:val="24"/>
          <w:szCs w:val="24"/>
          <w:u w:val="single"/>
        </w:rPr>
        <w:t xml:space="preserve">202</w:t>
      </w:r>
      <w:r>
        <w:rPr>
          <w:rFonts w:hint="eastAsia" w:ascii="宋体" w:hAnsi="宋体"/>
          <w:bCs/>
          <w:sz w:val="24"/>
          <w:szCs w:val="24"/>
          <w:u w:val="single"/>
        </w:rPr>
        <w:t xml:space="preserve">4年</w:t>
      </w:r>
      <w:r>
        <w:rPr>
          <w:rFonts w:hint="eastAsia" w:ascii="宋体" w:hAnsi="宋体"/>
          <w:bCs/>
          <w:sz w:val="24"/>
          <w:szCs w:val="24"/>
          <w:u w:val="single"/>
        </w:rPr>
        <w:t xml:space="preserve">09</w:t>
      </w:r>
      <w:r>
        <w:rPr>
          <w:rFonts w:hint="eastAsia" w:ascii="宋体" w:hAnsi="宋体"/>
          <w:bCs/>
          <w:sz w:val="24"/>
          <w:szCs w:val="24"/>
          <w:u w:val="single"/>
        </w:rPr>
        <w:t xml:space="preserve">月</w:t>
      </w:r>
      <w:r>
        <w:rPr>
          <w:rFonts w:hint="eastAsia" w:ascii="宋体" w:hAnsi="宋体"/>
          <w:bCs/>
          <w:sz w:val="24"/>
          <w:szCs w:val="24"/>
          <w:u w:val="single"/>
        </w:rPr>
        <w:t xml:space="preserve">10</w:t>
      </w:r>
      <w:r>
        <w:rPr>
          <w:rFonts w:hint="eastAsia" w:ascii="宋体" w:hAnsi="宋体"/>
          <w:bCs/>
          <w:sz w:val="24"/>
          <w:szCs w:val="24"/>
          <w:u w:val="single"/>
        </w:rPr>
        <w:t xml:space="preserve">日09点30分</w:t>
      </w:r>
      <w:r>
        <w:rPr>
          <w:rFonts w:hint="eastAsia" w:ascii="宋体" w:hAnsi="宋体"/>
          <w:bCs/>
          <w:sz w:val="24"/>
          <w:szCs w:val="24"/>
        </w:rPr>
        <w:t xml:space="preserve">（北京时间）。</w:t>
      </w:r>
      <w:r/>
    </w:p>
    <w:p>
      <w:pPr>
        <w:ind w:firstLine="480"/>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“苏采云”政府采购交易系统网上开标大厅。</w:t>
      </w:r>
      <w:r/>
    </w:p>
    <w:p>
      <w:pPr>
        <w:pStyle w:val="971"/>
        <w:ind w:firstLine="498"/>
        <w:spacing w:before="145" w:after="145" w:line="264" w:lineRule="auto"/>
      </w:pPr>
      <w:r/>
      <w:bookmarkStart w:id="28" w:name="_Toc28359084"/>
      <w:r/>
      <w:bookmarkStart w:id="29" w:name="_Toc28359007"/>
      <w:r/>
      <w:bookmarkStart w:id="30" w:name="_Toc38985267"/>
      <w:r/>
      <w:bookmarkStart w:id="31" w:name="_Toc35393625"/>
      <w:r/>
      <w:bookmarkStart w:id="32" w:name="_Toc35393794"/>
      <w:r>
        <w:rPr>
          <w:rFonts w:hint="eastAsia"/>
        </w:rPr>
        <w:t xml:space="preserve">五、公告期限</w:t>
      </w:r>
      <w:bookmarkEnd w:id="28"/>
      <w:r/>
      <w:bookmarkEnd w:id="29"/>
      <w:r/>
      <w:bookmarkEnd w:id="30"/>
      <w:r/>
      <w:bookmarkEnd w:id="31"/>
      <w:r/>
      <w:bookmarkEnd w:id="32"/>
      <w:r/>
      <w:r/>
    </w:p>
    <w:p>
      <w:pPr>
        <w:ind w:firstLine="480"/>
        <w:spacing w:line="264" w:lineRule="auto"/>
        <w:rPr>
          <w:rFonts w:ascii="宋体" w:hAnsi="宋体" w:cs="宋体"/>
          <w:sz w:val="24"/>
          <w:szCs w:val="24"/>
        </w:rPr>
      </w:pPr>
      <w:r/>
      <w:bookmarkStart w:id="33" w:name="_Toc35393795"/>
      <w:r/>
      <w:bookmarkStart w:id="34" w:name="_Toc38985268"/>
      <w:r/>
      <w:bookmarkStart w:id="35" w:name="_Toc35393626"/>
      <w:r>
        <w:rPr>
          <w:rFonts w:hint="eastAsia" w:ascii="宋体" w:hAnsi="宋体" w:cs="宋体"/>
          <w:sz w:val="24"/>
          <w:szCs w:val="24"/>
        </w:rPr>
        <w:t xml:space="preserve">招标公告及招标文件公告期限为自本公告发布之日起5个工作日。</w:t>
      </w:r>
      <w:r/>
    </w:p>
    <w:p>
      <w:pPr>
        <w:pStyle w:val="971"/>
        <w:numPr>
          <w:ilvl w:val="0"/>
          <w:numId w:val="5"/>
        </w:numPr>
        <w:ind w:firstLine="498"/>
        <w:spacing w:before="145" w:after="145" w:line="264" w:lineRule="auto"/>
      </w:pPr>
      <w:r>
        <w:rPr>
          <w:rFonts w:hint="eastAsia"/>
        </w:rPr>
        <w:t xml:space="preserve">其他补充事宜</w:t>
      </w:r>
      <w:bookmarkEnd w:id="33"/>
      <w:r/>
      <w:bookmarkEnd w:id="34"/>
      <w:r/>
      <w:bookmarkEnd w:id="35"/>
      <w:r/>
      <w:r/>
    </w:p>
    <w:p>
      <w:pPr>
        <w:ind w:firstLine="480"/>
        <w:spacing w:line="264" w:lineRule="auto"/>
        <w:rPr>
          <w:rFonts w:ascii="宋体" w:hAnsi="宋体" w:cs="宋体"/>
          <w:sz w:val="24"/>
          <w:szCs w:val="24"/>
        </w:rPr>
      </w:pPr>
      <w:r/>
      <w:bookmarkStart w:id="36" w:name="_Toc38985269"/>
      <w:r/>
      <w:bookmarkStart w:id="37" w:name="_Toc35393627"/>
      <w:r/>
      <w:bookmarkStart w:id="38" w:name="_Toc35393796"/>
      <w:r/>
      <w:bookmarkStart w:id="39" w:name="_Toc28359008"/>
      <w:r/>
      <w:bookmarkStart w:id="40" w:name="_Toc28359085"/>
      <w:r>
        <w:rPr>
          <w:rFonts w:hint="eastAsia" w:ascii="宋体" w:hAnsi="宋体" w:cs="宋体"/>
          <w:sz w:val="24"/>
          <w:szCs w:val="24"/>
        </w:rPr>
        <w:t xml:space="preserve">1.本次招标不收取投标保证金。</w:t>
      </w:r>
      <w:r/>
    </w:p>
    <w:p>
      <w:pPr>
        <w:ind w:firstLine="480"/>
        <w:spacing w:line="264" w:lineRule="auto"/>
        <w:rPr>
          <w:rFonts w:hint="eastAsia" w:ascii="宋体" w:hAnsi="宋体" w:cs="宋体"/>
          <w:sz w:val="24"/>
          <w:szCs w:val="24"/>
          <w:highlight w:val="none"/>
        </w:rPr>
      </w:pPr>
      <w:r>
        <w:rPr>
          <w:rFonts w:hint="eastAsia" w:ascii="宋体" w:hAnsi="宋体" w:cs="宋体"/>
          <w:sz w:val="24"/>
          <w:szCs w:val="24"/>
        </w:rPr>
        <w:t xml:space="preserve">2.现场勘察及答疑：本项目不组织集中勘察及答疑。</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按《苏采云系统供应商操作手册》要求进行注册，并制作上传电子投标文件。江苏省政府采购管理交易系统供应商操作指南，下载地址：http://www.ccgp-jiangsu.gov.cn/jiangsu/zlxz/ee/ee3a4bc5a3454aa2b0d9312230633ce9.html。苏采云系统南京地区客服热线：025-83633744、025-83633743</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4.有关本次招标的事项若存在变动或修改，敬请及时关注“江苏政府采购网”更正公告。</w:t>
      </w:r>
      <w:r/>
    </w:p>
    <w:p>
      <w:pPr>
        <w:pStyle w:val="971"/>
        <w:ind w:left="498"/>
        <w:spacing w:before="145" w:after="145" w:line="264" w:lineRule="auto"/>
      </w:pPr>
      <w:r>
        <w:rPr>
          <w:rFonts w:hint="eastAsia"/>
        </w:rPr>
        <w:t xml:space="preserve">七、本次招标联系方式</w:t>
      </w:r>
      <w:bookmarkEnd w:id="36"/>
      <w:r/>
      <w:bookmarkEnd w:id="37"/>
      <w:r/>
      <w:bookmarkEnd w:id="38"/>
      <w:r/>
      <w:bookmarkEnd w:id="39"/>
      <w:r/>
      <w:bookmarkEnd w:id="40"/>
      <w:r/>
      <w:r/>
    </w:p>
    <w:p>
      <w:pPr>
        <w:ind w:firstLine="480"/>
        <w:spacing w:line="264" w:lineRule="auto"/>
        <w:rPr>
          <w:rFonts w:ascii="宋体" w:hAnsi="宋体"/>
          <w:sz w:val="24"/>
          <w:szCs w:val="24"/>
        </w:rPr>
      </w:pPr>
      <w:r>
        <w:rPr>
          <w:rFonts w:hint="eastAsia" w:ascii="宋体" w:hAnsi="宋体"/>
          <w:sz w:val="24"/>
          <w:szCs w:val="24"/>
        </w:rPr>
        <w:t xml:space="preserve">1.采购人信息</w:t>
      </w:r>
      <w:r/>
    </w:p>
    <w:p>
      <w:pPr>
        <w:ind w:firstLine="480"/>
        <w:spacing w:line="264"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南京市浦口区人民政府桥林街道办事处  </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南京市浦口区桥林街道明因路1号  </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陈主任  </w:t>
      </w:r>
      <w:r/>
    </w:p>
    <w:p>
      <w:pPr>
        <w:ind w:firstLine="480"/>
        <w:spacing w:line="264"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18012924966</w:t>
      </w:r>
      <w:r>
        <w:rPr>
          <w:rFonts w:ascii="宋体" w:hAnsi="宋体"/>
          <w:sz w:val="24"/>
          <w:szCs w:val="24"/>
          <w:u w:val="single"/>
        </w:rPr>
        <w:t xml:space="preserve">、1</w:t>
      </w:r>
      <w:r>
        <w:rPr>
          <w:rFonts w:hint="eastAsia" w:ascii="宋体" w:hAnsi="宋体"/>
          <w:sz w:val="24"/>
          <w:szCs w:val="24"/>
          <w:u w:val="single"/>
        </w:rPr>
        <w:t xml:space="preserve">3770778154</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2.南京市公共资源交易中心浦口分中心信息</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lang w:val="zh-CN"/>
        </w:rPr>
        <w:t xml:space="preserve">　南京市浦口区象山路4号B座,南京市浦口区江浦街道象山路4号浦口市民中心B幢五楼受理大厅 </w:t>
      </w:r>
      <w:r>
        <w:rPr>
          <w:rFonts w:hint="eastAsia" w:ascii="宋体" w:hAnsi="宋体"/>
          <w:sz w:val="24"/>
          <w:szCs w:val="24"/>
          <w:lang w:val="zh-CN"/>
        </w:rPr>
        <w:t xml:space="preserve">　</w:t>
      </w:r>
      <w:r>
        <w:rPr>
          <w:rFonts w:hint="eastAsia" w:ascii="宋体" w:hAnsi="宋体"/>
          <w:sz w:val="24"/>
          <w:szCs w:val="24"/>
        </w:rPr>
        <w:t xml:space="preserve">　　　　　　　　　　　</w:t>
      </w:r>
      <w:r/>
    </w:p>
    <w:p>
      <w:pPr>
        <w:ind w:firstLine="480"/>
        <w:spacing w:line="264" w:lineRule="auto"/>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陈</w:t>
      </w:r>
      <w:r>
        <w:rPr>
          <w:rFonts w:hint="eastAsia" w:ascii="宋体" w:hAnsi="宋体"/>
          <w:sz w:val="24"/>
          <w:szCs w:val="24"/>
          <w:u w:val="single"/>
        </w:rPr>
        <w:t xml:space="preserve">工  </w:t>
      </w:r>
      <w:r/>
    </w:p>
    <w:p>
      <w:pPr>
        <w:ind w:firstLine="480"/>
        <w:spacing w:line="264" w:lineRule="auto"/>
        <w:rPr>
          <w:rFonts w:ascii="宋体" w:hAnsi="宋体" w:cs="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025-69659058</w:t>
      </w:r>
      <w:r>
        <w:rPr>
          <w:rFonts w:hint="eastAsia" w:ascii="宋体" w:hAnsi="宋体"/>
          <w:sz w:val="24"/>
          <w:szCs w:val="24"/>
          <w:u w:val="single"/>
        </w:rPr>
        <w:t xml:space="preserve"> </w:t>
      </w:r>
      <w:r/>
    </w:p>
    <w:p>
      <w:pPr>
        <w:pStyle w:val="708"/>
        <w:rPr>
          <w:rFonts w:eastAsiaTheme="minorEastAsia"/>
          <w:lang w:val="en-US"/>
        </w:rPr>
      </w:pPr>
      <w:r>
        <w:rPr>
          <w:rFonts w:eastAsiaTheme="minorEastAsia"/>
          <w:lang w:val="en-US"/>
        </w:rPr>
        <w:br w:type="page" w:clear="all"/>
      </w:r>
      <w:r/>
    </w:p>
    <w:p>
      <w:pPr>
        <w:jc w:val="center"/>
        <w:spacing w:line="264" w:lineRule="auto"/>
        <w:tabs>
          <w:tab w:val="left" w:pos="900" w:leader="none"/>
        </w:tabs>
        <w:rPr>
          <w:rFonts w:ascii="黑体" w:hAnsi="Arial" w:eastAsia="黑体" w:cs="Arial"/>
          <w:sz w:val="44"/>
          <w:szCs w:val="44"/>
        </w:rPr>
      </w:pPr>
      <w:r/>
      <w:bookmarkStart w:id="41" w:name="_Toc120614211"/>
      <w:r>
        <w:rPr>
          <w:rFonts w:hint="eastAsia" w:ascii="黑体" w:eastAsia="黑体"/>
          <w:sz w:val="44"/>
          <w:szCs w:val="44"/>
        </w:rPr>
        <w:t xml:space="preserve">第二章  </w:t>
      </w:r>
      <w:bookmarkStart w:id="42" w:name="_Toc513029202"/>
      <w:r/>
      <w:bookmarkStart w:id="43" w:name="_Toc120614213"/>
      <w:r/>
      <w:bookmarkStart w:id="44" w:name="_Toc16938518"/>
      <w:r/>
      <w:bookmarkStart w:id="45" w:name="_Toc20823274"/>
      <w:r/>
      <w:bookmarkEnd w:id="1"/>
      <w:r/>
      <w:bookmarkEnd w:id="2"/>
      <w:r/>
      <w:bookmarkEnd w:id="3"/>
      <w:r/>
      <w:bookmarkEnd w:id="4"/>
      <w:r/>
      <w:bookmarkEnd w:id="5"/>
      <w:r/>
      <w:bookmarkEnd w:id="41"/>
      <w:r>
        <w:rPr>
          <w:rFonts w:hint="eastAsia" w:ascii="黑体" w:eastAsia="黑体"/>
          <w:sz w:val="44"/>
          <w:szCs w:val="44"/>
        </w:rPr>
        <w:t xml:space="preserve">投标人须知</w:t>
      </w:r>
      <w:bookmarkEnd w:id="42"/>
      <w:r/>
      <w:bookmarkEnd w:id="43"/>
      <w:r/>
      <w:bookmarkEnd w:id="44"/>
      <w:r/>
      <w:bookmarkEnd w:id="45"/>
      <w:r/>
      <w:r/>
    </w:p>
    <w:p>
      <w:pPr>
        <w:pStyle w:val="971"/>
        <w:ind w:firstLine="482"/>
        <w:spacing w:before="145" w:after="145" w:line="252" w:lineRule="auto"/>
      </w:pPr>
      <w:r/>
      <w:bookmarkStart w:id="46" w:name="_Toc513029203"/>
      <w:r/>
      <w:bookmarkStart w:id="47" w:name="_Toc120614214"/>
      <w:r/>
      <w:bookmarkStart w:id="48" w:name="_Toc16938519"/>
      <w:r/>
      <w:bookmarkStart w:id="49" w:name="_Toc20823275"/>
      <w:r/>
      <w:bookmarkStart w:id="50" w:name="_Toc513029242"/>
      <w:r/>
      <w:bookmarkStart w:id="51" w:name="_Toc479757207"/>
      <w:r/>
      <w:bookmarkStart w:id="52" w:name="_Toc20823314"/>
      <w:r/>
      <w:bookmarkStart w:id="53" w:name="_Toc16938558"/>
      <w:r/>
      <w:bookmarkStart w:id="54" w:name="_Toc120614221"/>
      <w:r>
        <w:rPr>
          <w:rFonts w:hint="eastAsia"/>
        </w:rPr>
        <w:t xml:space="preserve">一、总则</w:t>
      </w:r>
      <w:bookmarkEnd w:id="46"/>
      <w:r/>
      <w:bookmarkEnd w:id="47"/>
      <w:r/>
      <w:bookmarkEnd w:id="48"/>
      <w:r/>
      <w:bookmarkEnd w:id="49"/>
      <w:r/>
      <w:r/>
    </w:p>
    <w:p>
      <w:pPr>
        <w:pStyle w:val="973"/>
        <w:ind w:firstLine="420"/>
        <w:spacing w:before="0" w:after="0" w:line="252" w:lineRule="auto"/>
        <w:rPr>
          <w:rFonts w:ascii="黑体" w:hAnsi="黑体" w:cs="黑体"/>
          <w:b w:val="0"/>
          <w:bCs w:val="0"/>
        </w:rPr>
      </w:pPr>
      <w:r/>
      <w:bookmarkStart w:id="55" w:name="_Hlt16619475"/>
      <w:r/>
      <w:bookmarkStart w:id="56" w:name="_Toc458694821"/>
      <w:r/>
      <w:bookmarkStart w:id="57" w:name="_Toc16938520"/>
      <w:r/>
      <w:bookmarkStart w:id="58" w:name="_Toc513029204"/>
      <w:r/>
      <w:bookmarkStart w:id="59" w:name="_Toc20823276"/>
      <w:r/>
      <w:bookmarkEnd w:id="55"/>
      <w:r>
        <w:rPr>
          <w:rFonts w:hint="eastAsia" w:ascii="黑体" w:hAnsi="黑体" w:cs="黑体"/>
          <w:b w:val="0"/>
          <w:bCs w:val="0"/>
        </w:rPr>
        <w:t xml:space="preserve">1</w:t>
      </w:r>
      <w:bookmarkEnd w:id="56"/>
      <w:r>
        <w:rPr>
          <w:rFonts w:hint="eastAsia" w:ascii="黑体" w:hAnsi="黑体" w:cs="黑体"/>
          <w:b w:val="0"/>
          <w:bCs w:val="0"/>
        </w:rPr>
        <w:t xml:space="preserve">、招标方式</w:t>
      </w:r>
      <w:bookmarkEnd w:id="57"/>
      <w:r/>
      <w:bookmarkEnd w:id="58"/>
      <w:r/>
      <w:bookmarkEnd w:id="59"/>
      <w:r/>
      <w:r/>
    </w:p>
    <w:p>
      <w:pPr>
        <w:ind w:firstLine="420"/>
        <w:spacing w:line="252" w:lineRule="auto"/>
        <w:rPr>
          <w:rFonts w:ascii="宋体" w:hAnsi="宋体"/>
          <w:sz w:val="24"/>
        </w:rPr>
      </w:pPr>
      <w:r>
        <w:rPr>
          <w:rFonts w:hint="eastAsia" w:ascii="宋体" w:hAnsi="宋体"/>
          <w:sz w:val="24"/>
        </w:rPr>
        <w:t xml:space="preserve">1.1 本次招标采取公开招标方式，本招标文件仅适用于招标公告中所述项目。</w:t>
      </w:r>
      <w:r/>
    </w:p>
    <w:p>
      <w:pPr>
        <w:pStyle w:val="973"/>
        <w:ind w:firstLine="420"/>
        <w:spacing w:before="0" w:after="0" w:line="252" w:lineRule="auto"/>
        <w:rPr>
          <w:rFonts w:ascii="黑体" w:hAnsi="黑体" w:cs="黑体"/>
          <w:b w:val="0"/>
          <w:bCs w:val="0"/>
        </w:rPr>
      </w:pPr>
      <w:r/>
      <w:bookmarkStart w:id="60" w:name="_Toc16938521"/>
      <w:r/>
      <w:bookmarkStart w:id="61" w:name="_Toc20823277"/>
      <w:r/>
      <w:bookmarkStart w:id="62" w:name="_Toc513029205"/>
      <w:r>
        <w:rPr>
          <w:rFonts w:hint="eastAsia" w:ascii="黑体" w:hAnsi="黑体" w:cs="黑体"/>
          <w:b w:val="0"/>
          <w:bCs w:val="0"/>
        </w:rPr>
        <w:t xml:space="preserve">2、合格的投标人</w:t>
      </w:r>
      <w:bookmarkEnd w:id="60"/>
      <w:r/>
      <w:bookmarkEnd w:id="61"/>
      <w:r/>
      <w:bookmarkEnd w:id="62"/>
      <w:r/>
      <w:r/>
    </w:p>
    <w:p>
      <w:pPr>
        <w:ind w:firstLine="420"/>
        <w:spacing w:line="252" w:lineRule="auto"/>
        <w:rPr>
          <w:rFonts w:ascii="宋体" w:hAnsi="宋体"/>
          <w:sz w:val="24"/>
        </w:rPr>
      </w:pPr>
      <w:r>
        <w:rPr>
          <w:rFonts w:hint="eastAsia" w:ascii="宋体" w:hAnsi="宋体"/>
          <w:sz w:val="24"/>
        </w:rPr>
        <w:t xml:space="preserve">2.1 满足招标公告对供应商的资格要求的规定。</w:t>
      </w:r>
      <w:r/>
    </w:p>
    <w:p>
      <w:pPr>
        <w:ind w:firstLine="420"/>
        <w:spacing w:line="252" w:lineRule="auto"/>
        <w:rPr>
          <w:rFonts w:ascii="宋体" w:hAnsi="宋体"/>
          <w:sz w:val="24"/>
        </w:rPr>
      </w:pPr>
      <w:r>
        <w:rPr>
          <w:rFonts w:hint="eastAsia" w:ascii="宋体" w:hAnsi="宋体"/>
          <w:sz w:val="24"/>
        </w:rPr>
        <w:t xml:space="preserve">2.2 满足本文件规定的实质性要求和条件。</w:t>
      </w:r>
      <w:r/>
    </w:p>
    <w:p>
      <w:pPr>
        <w:pStyle w:val="973"/>
        <w:ind w:firstLine="420"/>
        <w:spacing w:before="0" w:after="0" w:line="252" w:lineRule="auto"/>
        <w:rPr>
          <w:rFonts w:ascii="黑体" w:hAnsi="黑体" w:cs="黑体"/>
          <w:b w:val="0"/>
          <w:bCs w:val="0"/>
        </w:rPr>
      </w:pPr>
      <w:r/>
      <w:bookmarkStart w:id="63" w:name="_Toc513029206"/>
      <w:r/>
      <w:bookmarkStart w:id="64" w:name="_Toc16938522"/>
      <w:r/>
      <w:bookmarkStart w:id="65" w:name="_Toc20823278"/>
      <w:r>
        <w:rPr>
          <w:rFonts w:hint="eastAsia" w:ascii="黑体" w:hAnsi="黑体" w:cs="黑体"/>
          <w:b w:val="0"/>
          <w:bCs w:val="0"/>
        </w:rPr>
        <w:t xml:space="preserve">3、适用法律</w:t>
      </w:r>
      <w:bookmarkEnd w:id="63"/>
      <w:r/>
      <w:bookmarkEnd w:id="64"/>
      <w:r/>
      <w:bookmarkEnd w:id="65"/>
      <w:r/>
      <w:r/>
    </w:p>
    <w:p>
      <w:pPr>
        <w:ind w:firstLine="420"/>
        <w:spacing w:line="252" w:lineRule="auto"/>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973"/>
        <w:ind w:firstLine="420"/>
        <w:spacing w:before="0" w:after="0" w:line="252" w:lineRule="auto"/>
        <w:rPr>
          <w:rFonts w:ascii="黑体" w:hAnsi="黑体" w:cs="黑体"/>
          <w:b w:val="0"/>
          <w:bCs w:val="0"/>
        </w:rPr>
      </w:pPr>
      <w:r/>
      <w:bookmarkStart w:id="66" w:name="_Toc20823279"/>
      <w:r/>
      <w:bookmarkStart w:id="67" w:name="_Toc513029207"/>
      <w:r/>
      <w:bookmarkStart w:id="68" w:name="_Toc16938523"/>
      <w:r/>
      <w:bookmarkStart w:id="69" w:name="_Toc462564067"/>
      <w:r>
        <w:rPr>
          <w:rFonts w:hint="eastAsia" w:ascii="黑体" w:hAnsi="黑体" w:cs="黑体"/>
          <w:b w:val="0"/>
          <w:bCs w:val="0"/>
        </w:rPr>
        <w:t xml:space="preserve">4、投标费用</w:t>
      </w:r>
      <w:bookmarkEnd w:id="66"/>
      <w:r/>
      <w:bookmarkEnd w:id="67"/>
      <w:r/>
      <w:bookmarkEnd w:id="68"/>
      <w:r/>
      <w:bookmarkEnd w:id="69"/>
      <w:r/>
      <w:r/>
    </w:p>
    <w:p>
      <w:pPr>
        <w:ind w:firstLine="420"/>
        <w:spacing w:line="252" w:lineRule="auto"/>
        <w:rPr>
          <w:rFonts w:ascii="宋体" w:hAnsi="宋体"/>
          <w:sz w:val="24"/>
        </w:rPr>
      </w:pPr>
      <w:r>
        <w:rPr>
          <w:rFonts w:hint="eastAsia" w:ascii="宋体" w:hAnsi="宋体"/>
          <w:sz w:val="24"/>
        </w:rPr>
        <w:t xml:space="preserve">4.1 投标人应自行承担所有与参加投标有关的费用，无论投标过程中的做法和结果如何，南京市公共资源交易中心</w:t>
      </w:r>
      <w:r>
        <w:rPr>
          <w:rFonts w:hint="eastAsia" w:ascii="宋体" w:hAnsi="宋体" w:cs="宋体"/>
          <w:sz w:val="24"/>
          <w:szCs w:val="24"/>
        </w:rPr>
        <w:t xml:space="preserve">浦口分中心</w:t>
      </w:r>
      <w:r>
        <w:rPr>
          <w:rFonts w:hint="eastAsia" w:ascii="宋体" w:hAnsi="宋体"/>
          <w:sz w:val="24"/>
        </w:rPr>
        <w:t xml:space="preserve">（以下简称交易中心）在任何情况下均无义务和责任承担这些费用。</w:t>
      </w:r>
      <w:r/>
    </w:p>
    <w:p>
      <w:pPr>
        <w:ind w:firstLine="420"/>
        <w:spacing w:line="252" w:lineRule="auto"/>
        <w:rPr>
          <w:rFonts w:ascii="宋体" w:hAnsi="宋体"/>
          <w:sz w:val="24"/>
        </w:rPr>
      </w:pPr>
      <w:r>
        <w:rPr>
          <w:rFonts w:hint="eastAsia" w:ascii="宋体" w:hAnsi="宋体"/>
          <w:sz w:val="24"/>
        </w:rPr>
        <w:t xml:space="preserve">4.2 本次招标交易中心和采购人不收取标书工本费与中标服务费。</w:t>
      </w:r>
      <w:r/>
    </w:p>
    <w:p>
      <w:pPr>
        <w:pStyle w:val="973"/>
        <w:ind w:firstLine="420"/>
        <w:spacing w:before="0" w:after="0" w:line="252" w:lineRule="auto"/>
        <w:rPr>
          <w:rFonts w:ascii="黑体" w:hAnsi="黑体" w:cs="黑体"/>
          <w:b w:val="0"/>
          <w:bCs w:val="0"/>
        </w:rPr>
      </w:pPr>
      <w:r>
        <w:rPr>
          <w:rFonts w:hint="eastAsia" w:ascii="黑体" w:hAnsi="黑体" w:cs="黑体"/>
          <w:b w:val="0"/>
          <w:bCs w:val="0"/>
        </w:rPr>
        <w:t xml:space="preserve">5、招标文件的约束力</w:t>
      </w:r>
      <w:r/>
    </w:p>
    <w:p>
      <w:pPr>
        <w:ind w:firstLine="420"/>
        <w:spacing w:line="252" w:lineRule="auto"/>
        <w:rPr>
          <w:rFonts w:ascii="宋体" w:hAnsi="宋体"/>
          <w:sz w:val="24"/>
        </w:rPr>
      </w:pPr>
      <w:r>
        <w:rPr>
          <w:rFonts w:hint="eastAsia" w:ascii="宋体" w:hAnsi="宋体"/>
          <w:sz w:val="24"/>
        </w:rPr>
        <w:t xml:space="preserve">5.1 投标人一旦参加本项目采购活动，即被认为接受了本招标文件的规定和约束。</w:t>
      </w:r>
      <w:r/>
    </w:p>
    <w:p>
      <w:pPr>
        <w:pStyle w:val="971"/>
        <w:ind w:firstLine="482"/>
        <w:spacing w:before="145" w:after="145" w:line="252" w:lineRule="auto"/>
      </w:pPr>
      <w:r/>
      <w:bookmarkStart w:id="70" w:name="_Toc513029209"/>
      <w:r/>
      <w:bookmarkStart w:id="71" w:name="_Toc16938525"/>
      <w:r/>
      <w:bookmarkStart w:id="72" w:name="_Toc120614215"/>
      <w:r/>
      <w:bookmarkStart w:id="73" w:name="_Toc20823281"/>
      <w:r>
        <w:rPr>
          <w:rFonts w:hint="eastAsia"/>
        </w:rPr>
        <w:t xml:space="preserve">二、招标文件</w:t>
      </w:r>
      <w:bookmarkEnd w:id="70"/>
      <w:r/>
      <w:bookmarkEnd w:id="71"/>
      <w:r/>
      <w:bookmarkEnd w:id="72"/>
      <w:r/>
      <w:bookmarkEnd w:id="73"/>
      <w:r/>
      <w:r/>
    </w:p>
    <w:p>
      <w:pPr>
        <w:pStyle w:val="973"/>
        <w:ind w:firstLine="420"/>
        <w:spacing w:before="0" w:after="0" w:line="252" w:lineRule="auto"/>
        <w:rPr>
          <w:rFonts w:ascii="黑体" w:hAnsi="黑体" w:cs="黑体"/>
          <w:b w:val="0"/>
          <w:bCs w:val="0"/>
        </w:rPr>
      </w:pPr>
      <w:r/>
      <w:bookmarkStart w:id="74" w:name="_Toc16938526"/>
      <w:r/>
      <w:bookmarkStart w:id="75" w:name="_Toc20823282"/>
      <w:r/>
      <w:bookmarkStart w:id="76" w:name="_Toc513029210"/>
      <w:r>
        <w:rPr>
          <w:rFonts w:hint="eastAsia" w:ascii="黑体" w:hAnsi="黑体" w:cs="黑体"/>
          <w:b w:val="0"/>
          <w:bCs w:val="0"/>
        </w:rPr>
        <w:t xml:space="preserve">6、招标文件构成</w:t>
      </w:r>
      <w:bookmarkEnd w:id="74"/>
      <w:r/>
      <w:bookmarkEnd w:id="75"/>
      <w:r/>
      <w:bookmarkEnd w:id="76"/>
      <w:r/>
      <w:r/>
    </w:p>
    <w:p>
      <w:pPr>
        <w:ind w:firstLine="420"/>
        <w:spacing w:line="252" w:lineRule="auto"/>
        <w:rPr>
          <w:rFonts w:ascii="宋体" w:hAnsi="宋体"/>
          <w:sz w:val="24"/>
        </w:rPr>
      </w:pPr>
      <w:r>
        <w:rPr>
          <w:rFonts w:hint="eastAsia" w:ascii="宋体" w:hAnsi="宋体"/>
          <w:sz w:val="24"/>
        </w:rPr>
        <w:t xml:space="preserve">6.1 招标文件由以下部分组成：</w:t>
      </w:r>
      <w:r/>
    </w:p>
    <w:p>
      <w:pPr>
        <w:ind w:firstLine="420"/>
        <w:spacing w:line="252" w:lineRule="auto"/>
        <w:rPr>
          <w:rFonts w:ascii="宋体" w:hAnsi="宋体"/>
          <w:sz w:val="24"/>
        </w:rPr>
      </w:pPr>
      <w:r>
        <w:rPr>
          <w:rFonts w:hint="eastAsia" w:ascii="宋体" w:hAnsi="宋体"/>
          <w:sz w:val="24"/>
        </w:rPr>
        <w:t xml:space="preserve">（1）投标邀请</w:t>
      </w:r>
      <w:r/>
    </w:p>
    <w:p>
      <w:pPr>
        <w:ind w:firstLine="420"/>
        <w:spacing w:line="252" w:lineRule="auto"/>
        <w:rPr>
          <w:rFonts w:ascii="宋体" w:hAnsi="宋体"/>
          <w:sz w:val="24"/>
        </w:rPr>
      </w:pPr>
      <w:r>
        <w:rPr>
          <w:rFonts w:hint="eastAsia" w:ascii="宋体" w:hAnsi="宋体"/>
          <w:sz w:val="24"/>
        </w:rPr>
        <w:t xml:space="preserve">（2）投标人须知</w:t>
      </w:r>
      <w:r/>
    </w:p>
    <w:p>
      <w:pPr>
        <w:ind w:firstLine="420"/>
        <w:spacing w:line="252" w:lineRule="auto"/>
        <w:rPr>
          <w:rFonts w:ascii="宋体" w:hAnsi="宋体"/>
          <w:sz w:val="24"/>
        </w:rPr>
      </w:pPr>
      <w:r>
        <w:rPr>
          <w:rFonts w:hint="eastAsia" w:ascii="宋体" w:hAnsi="宋体"/>
          <w:sz w:val="24"/>
        </w:rPr>
        <w:t xml:space="preserve">（3）合同文本</w:t>
      </w:r>
      <w:r/>
    </w:p>
    <w:p>
      <w:pPr>
        <w:ind w:firstLine="420"/>
        <w:spacing w:line="252" w:lineRule="auto"/>
        <w:rPr>
          <w:rFonts w:ascii="宋体" w:hAnsi="宋体"/>
          <w:sz w:val="24"/>
        </w:rPr>
      </w:pPr>
      <w:r>
        <w:rPr>
          <w:rFonts w:hint="eastAsia" w:ascii="宋体" w:hAnsi="宋体"/>
          <w:sz w:val="24"/>
        </w:rPr>
        <w:t xml:space="preserve">（4）采购需求</w:t>
      </w:r>
      <w:r/>
    </w:p>
    <w:p>
      <w:pPr>
        <w:ind w:firstLine="420"/>
        <w:spacing w:line="252" w:lineRule="auto"/>
        <w:rPr>
          <w:rFonts w:ascii="宋体" w:hAnsi="宋体"/>
          <w:sz w:val="24"/>
        </w:rPr>
      </w:pPr>
      <w:r>
        <w:rPr>
          <w:rFonts w:hint="eastAsia" w:ascii="宋体" w:hAnsi="宋体"/>
          <w:sz w:val="24"/>
        </w:rPr>
        <w:t xml:space="preserve">（5）评标方法与评标标准</w:t>
      </w:r>
      <w:r/>
    </w:p>
    <w:p>
      <w:pPr>
        <w:ind w:firstLine="420"/>
        <w:spacing w:line="252" w:lineRule="auto"/>
        <w:rPr>
          <w:rFonts w:ascii="宋体" w:hAnsi="宋体"/>
          <w:sz w:val="24"/>
        </w:rPr>
      </w:pPr>
      <w:r>
        <w:rPr>
          <w:rFonts w:hint="eastAsia" w:ascii="宋体" w:hAnsi="宋体"/>
          <w:sz w:val="24"/>
        </w:rPr>
        <w:t xml:space="preserve">（6）投标文件格式</w:t>
      </w:r>
      <w:r/>
    </w:p>
    <w:p>
      <w:pPr>
        <w:ind w:firstLine="420"/>
        <w:spacing w:line="252" w:lineRule="auto"/>
        <w:rPr>
          <w:rFonts w:ascii="宋体" w:hAnsi="宋体"/>
          <w:sz w:val="24"/>
        </w:rPr>
      </w:pPr>
      <w:r>
        <w:rPr>
          <w:rFonts w:hint="eastAsia" w:ascii="宋体" w:hAnsi="宋体"/>
          <w:sz w:val="24"/>
        </w:rPr>
        <w:t xml:space="preserve">投标人应仔细检查招标文件是否齐全，如有缺漏请立即与交易中心联系解决。</w:t>
      </w:r>
      <w:r/>
    </w:p>
    <w:p>
      <w:pPr>
        <w:ind w:firstLine="420"/>
        <w:spacing w:line="252" w:lineRule="auto"/>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3"/>
        <w:ind w:firstLine="420"/>
        <w:spacing w:before="0" w:after="0" w:line="252" w:lineRule="auto"/>
        <w:rPr>
          <w:rFonts w:ascii="黑体" w:hAnsi="黑体" w:cs="黑体"/>
          <w:b w:val="0"/>
          <w:bCs w:val="0"/>
        </w:rPr>
      </w:pPr>
      <w:r/>
      <w:bookmarkStart w:id="77" w:name="_Toc16938527"/>
      <w:r/>
      <w:bookmarkStart w:id="78" w:name="_Toc462564070"/>
      <w:r/>
      <w:bookmarkStart w:id="79" w:name="_Toc20823283"/>
      <w:r/>
      <w:bookmarkStart w:id="80" w:name="_Toc513029211"/>
      <w:r>
        <w:rPr>
          <w:rFonts w:hint="eastAsia" w:ascii="黑体" w:hAnsi="黑体" w:cs="黑体"/>
          <w:b w:val="0"/>
          <w:bCs w:val="0"/>
        </w:rPr>
        <w:t xml:space="preserve">7、招标文件的澄清</w:t>
      </w:r>
      <w:bookmarkEnd w:id="77"/>
      <w:r/>
      <w:bookmarkEnd w:id="78"/>
      <w:r/>
      <w:bookmarkEnd w:id="79"/>
      <w:r/>
      <w:bookmarkEnd w:id="80"/>
      <w:r/>
      <w:r/>
    </w:p>
    <w:p>
      <w:pPr>
        <w:ind w:firstLine="420"/>
        <w:spacing w:line="252" w:lineRule="auto"/>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973"/>
        <w:ind w:firstLine="420"/>
        <w:spacing w:before="0" w:after="0" w:line="252" w:lineRule="auto"/>
        <w:rPr>
          <w:rFonts w:ascii="黑体" w:hAnsi="黑体" w:cs="黑体"/>
          <w:b w:val="0"/>
          <w:bCs w:val="0"/>
        </w:rPr>
      </w:pPr>
      <w:r/>
      <w:bookmarkStart w:id="81" w:name="_Toc20823284"/>
      <w:r/>
      <w:bookmarkStart w:id="82" w:name="_Toc16938528"/>
      <w:r/>
      <w:bookmarkStart w:id="83" w:name="_Toc513029212"/>
      <w:r/>
      <w:bookmarkStart w:id="84" w:name="_Toc462564071"/>
      <w:r>
        <w:rPr>
          <w:rFonts w:hint="eastAsia" w:ascii="黑体" w:hAnsi="黑体" w:cs="黑体"/>
          <w:b w:val="0"/>
          <w:bCs w:val="0"/>
        </w:rPr>
        <w:t xml:space="preserve">8、招标文件的修改</w:t>
      </w:r>
      <w:bookmarkEnd w:id="81"/>
      <w:r/>
      <w:bookmarkEnd w:id="82"/>
      <w:r/>
      <w:bookmarkEnd w:id="83"/>
      <w:r/>
      <w:bookmarkEnd w:id="84"/>
      <w:r/>
      <w:r/>
    </w:p>
    <w:p>
      <w:pPr>
        <w:ind w:firstLine="420"/>
        <w:spacing w:line="252" w:lineRule="auto"/>
        <w:rPr>
          <w:rFonts w:ascii="宋体" w:hAnsi="宋体"/>
          <w:sz w:val="24"/>
        </w:rPr>
      </w:pPr>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spacing w:line="252" w:lineRule="auto"/>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w:t>
      </w:r>
      <w:r>
        <w:rPr>
          <w:rFonts w:hint="eastAsia" w:ascii="宋体" w:hAnsi="宋体"/>
          <w:sz w:val="24"/>
        </w:rPr>
        <w:t xml:space="preserve">责任。</w:t>
      </w:r>
      <w:r/>
    </w:p>
    <w:p>
      <w:pPr>
        <w:ind w:firstLine="420"/>
        <w:spacing w:line="252" w:lineRule="auto"/>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971"/>
        <w:ind w:firstLine="482"/>
        <w:spacing w:before="145" w:after="145" w:line="252" w:lineRule="auto"/>
      </w:pPr>
      <w:r/>
      <w:bookmarkStart w:id="85" w:name="_Toc20823285"/>
      <w:r/>
      <w:bookmarkStart w:id="86" w:name="_Toc16938529"/>
      <w:r/>
      <w:bookmarkStart w:id="87" w:name="_Toc513029213"/>
      <w:r/>
      <w:bookmarkStart w:id="88" w:name="_Toc462564072"/>
      <w:r/>
      <w:bookmarkStart w:id="89" w:name="_Toc120614216"/>
      <w:r>
        <w:rPr>
          <w:rFonts w:hint="eastAsia"/>
        </w:rPr>
        <w:t xml:space="preserve">三、投标文件的编制</w:t>
      </w:r>
      <w:bookmarkEnd w:id="85"/>
      <w:r/>
      <w:bookmarkEnd w:id="86"/>
      <w:r/>
      <w:bookmarkEnd w:id="87"/>
      <w:r/>
      <w:bookmarkEnd w:id="88"/>
      <w:r/>
      <w:bookmarkEnd w:id="89"/>
      <w:r/>
      <w:r/>
    </w:p>
    <w:p>
      <w:pPr>
        <w:pStyle w:val="973"/>
        <w:ind w:firstLine="420"/>
        <w:spacing w:before="0" w:after="0" w:line="252" w:lineRule="auto"/>
        <w:rPr>
          <w:rFonts w:ascii="黑体" w:hAnsi="黑体" w:cs="黑体"/>
          <w:b w:val="0"/>
          <w:bCs w:val="0"/>
        </w:rPr>
      </w:pPr>
      <w:r/>
      <w:bookmarkStart w:id="90" w:name="_Toc20823286"/>
      <w:r/>
      <w:bookmarkStart w:id="91" w:name="_Toc513029214"/>
      <w:r/>
      <w:bookmarkStart w:id="92" w:name="_Toc16938530"/>
      <w:r/>
      <w:bookmarkStart w:id="93" w:name="_Toc462564073"/>
      <w:r>
        <w:rPr>
          <w:rFonts w:hint="eastAsia" w:ascii="黑体" w:hAnsi="黑体" w:cs="黑体"/>
          <w:b w:val="0"/>
          <w:bCs w:val="0"/>
        </w:rPr>
        <w:t xml:space="preserve">9、投标文件的语言及度量衡单位</w:t>
      </w:r>
      <w:bookmarkEnd w:id="90"/>
      <w:r/>
      <w:bookmarkEnd w:id="91"/>
      <w:r/>
      <w:bookmarkEnd w:id="92"/>
      <w:r/>
      <w:bookmarkEnd w:id="93"/>
      <w:r/>
      <w:r/>
    </w:p>
    <w:p>
      <w:pPr>
        <w:ind w:firstLine="420"/>
        <w:spacing w:line="252" w:lineRule="auto"/>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spacing w:line="252" w:lineRule="auto"/>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973"/>
        <w:ind w:firstLine="420"/>
        <w:spacing w:before="0" w:after="0" w:line="252" w:lineRule="auto"/>
        <w:rPr>
          <w:rFonts w:ascii="黑体" w:hAnsi="黑体" w:cs="黑体"/>
          <w:b w:val="0"/>
          <w:bCs w:val="0"/>
        </w:rPr>
      </w:pPr>
      <w:r/>
      <w:bookmarkStart w:id="94" w:name="_Toc513029215"/>
      <w:r/>
      <w:bookmarkStart w:id="95" w:name="_Toc20823287"/>
      <w:r/>
      <w:bookmarkStart w:id="96" w:name="_Toc462564074"/>
      <w:r/>
      <w:bookmarkStart w:id="97" w:name="_Toc16938531"/>
      <w:r>
        <w:rPr>
          <w:rFonts w:hint="eastAsia" w:ascii="黑体" w:hAnsi="黑体" w:cs="黑体"/>
          <w:b w:val="0"/>
          <w:bCs w:val="0"/>
        </w:rPr>
        <w:t xml:space="preserve">10、投标文件构成</w:t>
      </w:r>
      <w:bookmarkEnd w:id="94"/>
      <w:r/>
      <w:bookmarkEnd w:id="95"/>
      <w:r/>
      <w:bookmarkEnd w:id="96"/>
      <w:r/>
      <w:bookmarkEnd w:id="97"/>
      <w:r/>
      <w:r/>
    </w:p>
    <w:p>
      <w:pPr>
        <w:ind w:firstLine="420"/>
        <w:spacing w:line="252" w:lineRule="auto"/>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spacing w:line="252" w:lineRule="auto"/>
        <w:rPr>
          <w:rFonts w:ascii="宋体" w:hAnsi="宋体"/>
          <w:sz w:val="24"/>
        </w:rPr>
      </w:pPr>
      <w:r>
        <w:rPr>
          <w:rFonts w:hint="eastAsia" w:ascii="宋体" w:hAnsi="宋体"/>
          <w:sz w:val="24"/>
        </w:rPr>
        <w:t xml:space="preserve">10.2 如标书制作工具中格式和内容与“江苏政府采购网”发布的招标文件不一致，</w:t>
      </w:r>
      <w:r>
        <w:rPr>
          <w:rFonts w:hint="eastAsia" w:ascii="宋体" w:hAnsi="宋体"/>
          <w:b/>
          <w:bCs/>
          <w:sz w:val="24"/>
          <w:u w:val="single"/>
        </w:rPr>
        <w:t xml:space="preserve">以“江苏政府采购网”发布的招标文件为准。</w:t>
      </w:r>
      <w:r/>
    </w:p>
    <w:p>
      <w:pPr>
        <w:pStyle w:val="973"/>
        <w:ind w:firstLine="420"/>
        <w:spacing w:before="0" w:after="0" w:line="252" w:lineRule="auto"/>
        <w:rPr>
          <w:rFonts w:ascii="黑体" w:hAnsi="黑体" w:cs="黑体"/>
          <w:b w:val="0"/>
          <w:bCs w:val="0"/>
        </w:rPr>
      </w:pPr>
      <w:r/>
      <w:bookmarkStart w:id="98" w:name="_Hlt26954838"/>
      <w:r/>
      <w:bookmarkStart w:id="99" w:name="_Hlt26670360"/>
      <w:r/>
      <w:bookmarkStart w:id="100" w:name="_Hlt26668975"/>
      <w:r/>
      <w:bookmarkStart w:id="101" w:name="_Toc513029219"/>
      <w:r/>
      <w:bookmarkStart w:id="102" w:name="_Toc14577357"/>
      <w:r/>
      <w:bookmarkStart w:id="103" w:name="_Toc49090507"/>
      <w:r/>
      <w:bookmarkStart w:id="104" w:name="_Toc49090509"/>
      <w:r/>
      <w:bookmarkStart w:id="105" w:name="_Toc14577354"/>
      <w:r/>
      <w:bookmarkStart w:id="106" w:name="_Toc513029216"/>
      <w:r/>
      <w:bookmarkEnd w:id="98"/>
      <w:r/>
      <w:bookmarkEnd w:id="99"/>
      <w:r/>
      <w:bookmarkEnd w:id="100"/>
      <w:r>
        <w:rPr>
          <w:rFonts w:hint="eastAsia" w:ascii="黑体" w:hAnsi="黑体" w:cs="黑体"/>
          <w:b w:val="0"/>
          <w:bCs w:val="0"/>
        </w:rPr>
        <w:t xml:space="preserve">11、证明投标人及投标标的符合招标文件规定的文件</w:t>
      </w:r>
      <w:bookmarkEnd w:id="101"/>
      <w:r/>
      <w:bookmarkEnd w:id="102"/>
      <w:r/>
      <w:bookmarkEnd w:id="103"/>
      <w:r/>
      <w:bookmarkEnd w:id="104"/>
      <w:r/>
      <w:bookmarkEnd w:id="105"/>
      <w:r/>
      <w:bookmarkEnd w:id="106"/>
      <w:r/>
      <w:r/>
    </w:p>
    <w:p>
      <w:pPr>
        <w:ind w:firstLine="420"/>
        <w:spacing w:line="252" w:lineRule="auto"/>
        <w:rPr>
          <w:rFonts w:ascii="宋体" w:hAnsi="宋体"/>
          <w:sz w:val="24"/>
        </w:rPr>
      </w:pPr>
      <w:r/>
      <w:bookmarkStart w:id="107" w:name="_Toc14577355"/>
      <w:r/>
      <w:bookmarkStart w:id="108" w:name="_Toc49090508"/>
      <w:r>
        <w:rPr>
          <w:rFonts w:hint="eastAsia" w:ascii="宋体" w:hAnsi="宋体"/>
          <w:sz w:val="24"/>
        </w:rPr>
        <w:t xml:space="preserve">11.1 投标人应按照法律、法规、规章和规范性文件以及招标文件要求提交证明文件，证明其及投标标的符合招标文件规定。</w:t>
      </w:r>
      <w:r/>
    </w:p>
    <w:p>
      <w:pPr>
        <w:ind w:firstLine="420"/>
        <w:spacing w:line="252" w:lineRule="auto"/>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973"/>
        <w:ind w:firstLine="420"/>
        <w:spacing w:before="0" w:after="0" w:line="252" w:lineRule="auto"/>
        <w:rPr>
          <w:rFonts w:ascii="黑体" w:hAnsi="黑体" w:cs="黑体"/>
          <w:b w:val="0"/>
          <w:bCs w:val="0"/>
        </w:rPr>
      </w:pPr>
      <w:r>
        <w:rPr>
          <w:rFonts w:hint="eastAsia" w:ascii="黑体" w:hAnsi="黑体" w:cs="黑体"/>
          <w:b w:val="0"/>
          <w:bCs w:val="0"/>
        </w:rPr>
        <w:t xml:space="preserve">12、投标分项报价</w:t>
      </w:r>
      <w:bookmarkStart w:id="109" w:name="_Hlt26670373"/>
      <w:r/>
      <w:bookmarkEnd w:id="107"/>
      <w:r/>
      <w:bookmarkEnd w:id="109"/>
      <w:r>
        <w:rPr>
          <w:rFonts w:hint="eastAsia" w:ascii="黑体" w:hAnsi="黑体" w:cs="黑体"/>
          <w:b w:val="0"/>
          <w:bCs w:val="0"/>
        </w:rPr>
        <w:t xml:space="preserve">表</w:t>
      </w:r>
      <w:bookmarkEnd w:id="108"/>
      <w:r/>
      <w:r/>
    </w:p>
    <w:p>
      <w:pPr>
        <w:ind w:firstLine="420"/>
        <w:spacing w:line="252" w:lineRule="auto"/>
        <w:rPr>
          <w:rFonts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20"/>
        <w:spacing w:line="252" w:lineRule="auto"/>
        <w:rPr>
          <w:rFonts w:ascii="宋体" w:hAnsi="宋体"/>
          <w:sz w:val="24"/>
        </w:rPr>
      </w:pPr>
      <w:r>
        <w:rPr>
          <w:rFonts w:hint="eastAsia" w:ascii="宋体" w:hAnsi="宋体"/>
          <w:sz w:val="24"/>
        </w:rPr>
        <w:t xml:space="preserve">12.2 投标货币。投标文件中的单价和总价无特殊规定的采用人民币报价，以元为单位标注。招标文件中另有规定的按规定执行。</w:t>
      </w:r>
      <w:r/>
    </w:p>
    <w:p>
      <w:pPr>
        <w:pStyle w:val="973"/>
        <w:ind w:firstLine="420"/>
        <w:spacing w:before="0" w:after="0" w:line="252" w:lineRule="auto"/>
        <w:rPr>
          <w:rFonts w:ascii="黑体" w:hAnsi="黑体" w:cs="黑体"/>
          <w:b w:val="0"/>
          <w:bCs w:val="0"/>
        </w:rPr>
      </w:pPr>
      <w:r/>
      <w:bookmarkStart w:id="112" w:name="_Hlt26954842"/>
      <w:r/>
      <w:bookmarkStart w:id="113" w:name="_Hlt26954844"/>
      <w:r/>
      <w:bookmarkStart w:id="114" w:name="_Hlt26670482"/>
      <w:r/>
      <w:bookmarkStart w:id="115" w:name="_Hlt26954731"/>
      <w:r/>
      <w:bookmarkStart w:id="116" w:name="_Hlt26954846"/>
      <w:r/>
      <w:bookmarkStart w:id="117" w:name="_Hlt26670403"/>
      <w:r/>
      <w:bookmarkStart w:id="118" w:name="_Hlt26954848"/>
      <w:r/>
      <w:bookmarkStart w:id="119" w:name="_Hlt26668983"/>
      <w:r/>
      <w:bookmarkStart w:id="120" w:name="_Hlt26670425"/>
      <w:r/>
      <w:bookmarkStart w:id="121" w:name="_Hlt26670486"/>
      <w:r/>
      <w:bookmarkEnd w:id="112"/>
      <w:r/>
      <w:bookmarkEnd w:id="113"/>
      <w:r/>
      <w:bookmarkEnd w:id="114"/>
      <w:r/>
      <w:bookmarkEnd w:id="115"/>
      <w:r/>
      <w:bookmarkEnd w:id="116"/>
      <w:r/>
      <w:bookmarkEnd w:id="117"/>
      <w:r/>
      <w:bookmarkEnd w:id="118"/>
      <w:r/>
      <w:bookmarkEnd w:id="119"/>
      <w:r/>
      <w:bookmarkEnd w:id="120"/>
      <w:r/>
      <w:bookmarkEnd w:id="121"/>
      <w:r>
        <w:rPr>
          <w:rFonts w:hint="eastAsia" w:ascii="黑体" w:hAnsi="黑体" w:cs="黑体"/>
          <w:b w:val="0"/>
          <w:bCs w:val="0"/>
        </w:rPr>
        <w:t xml:space="preserve">13、响应及偏离表</w:t>
      </w:r>
      <w:r/>
    </w:p>
    <w:p>
      <w:pPr>
        <w:ind w:firstLine="420"/>
        <w:spacing w:line="252" w:lineRule="auto"/>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spacing w:line="252" w:lineRule="auto"/>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973"/>
        <w:ind w:firstLine="420"/>
        <w:spacing w:before="0" w:after="0" w:line="252" w:lineRule="auto"/>
        <w:rPr>
          <w:rFonts w:ascii="黑体" w:hAnsi="黑体" w:cs="黑体"/>
          <w:b w:val="0"/>
          <w:bCs w:val="0"/>
        </w:rPr>
      </w:pPr>
      <w:r/>
      <w:bookmarkStart w:id="122" w:name="_Toc14577359"/>
      <w:r/>
      <w:bookmarkStart w:id="123" w:name="_Toc49090510"/>
      <w:r>
        <w:rPr>
          <w:rFonts w:hint="eastAsia" w:ascii="黑体" w:hAnsi="黑体" w:cs="黑体"/>
          <w:b w:val="0"/>
          <w:bCs w:val="0"/>
        </w:rPr>
        <w:t xml:space="preserve">14、投标函和开标一览表及核心产品品牌一览表</w:t>
      </w:r>
      <w:bookmarkEnd w:id="122"/>
      <w:r/>
      <w:bookmarkEnd w:id="123"/>
      <w:r/>
      <w:r/>
    </w:p>
    <w:p>
      <w:pPr>
        <w:ind w:firstLine="420"/>
        <w:spacing w:line="252" w:lineRule="auto"/>
        <w:rPr>
          <w:rFonts w:ascii="宋体" w:hAnsi="宋体"/>
          <w:sz w:val="24"/>
          <w:lang w:val="zh-CN"/>
        </w:rPr>
      </w:pPr>
      <w:r/>
      <w:bookmarkStart w:id="124" w:name="_Hlt26954734"/>
      <w:r/>
      <w:bookmarkStart w:id="125" w:name="_Hlt26954850"/>
      <w:r/>
      <w:bookmarkStart w:id="126" w:name="_Hlt26670489"/>
      <w:r/>
      <w:bookmarkStart w:id="127" w:name="_Toc49090511"/>
      <w:r/>
      <w:bookmarkStart w:id="128" w:name="_Toc14577360"/>
      <w:r/>
      <w:bookmarkEnd w:id="124"/>
      <w:r/>
      <w:bookmarkEnd w:id="125"/>
      <w:r/>
      <w:bookmarkEnd w:id="126"/>
      <w:r>
        <w:rPr>
          <w:rFonts w:hint="eastAsia" w:ascii="宋体" w:hAnsi="宋体"/>
          <w:sz w:val="24"/>
          <w:lang w:val="zh-CN"/>
        </w:rPr>
        <w:t xml:space="preserve">14.1 投标人应按照招标文件提供的格式完整、正确填写投标函、开标一览表及核心产品品牌一览表，所投核心产品品牌缺项的将视为无效投标。</w:t>
      </w:r>
      <w:r/>
    </w:p>
    <w:p>
      <w:pPr>
        <w:ind w:firstLine="420"/>
        <w:spacing w:line="252" w:lineRule="auto"/>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对于采用货币报价的项目，开标一览表中的投标总报价应与投标分项报价表中的投标总报价一致，如不一致，不作为无效投标处理，但评标时按开标一览表中价格为准。</w:t>
      </w:r>
      <w:r/>
    </w:p>
    <w:p>
      <w:pPr>
        <w:pStyle w:val="973"/>
        <w:ind w:firstLine="420"/>
        <w:spacing w:before="0" w:after="0" w:line="252" w:lineRule="auto"/>
        <w:rPr>
          <w:rFonts w:ascii="黑体" w:hAnsi="黑体" w:cs="黑体"/>
          <w:b w:val="0"/>
          <w:bCs w:val="0"/>
        </w:rPr>
      </w:pPr>
      <w:r>
        <w:rPr>
          <w:rFonts w:hint="eastAsia" w:ascii="黑体" w:hAnsi="黑体" w:cs="黑体"/>
          <w:b w:val="0"/>
          <w:bCs w:val="0"/>
        </w:rPr>
        <w:t xml:space="preserve">15、投标有效期</w:t>
      </w:r>
      <w:bookmarkEnd w:id="127"/>
      <w:r/>
      <w:bookmarkEnd w:id="128"/>
      <w:r/>
      <w:r/>
    </w:p>
    <w:p>
      <w:pPr>
        <w:ind w:firstLine="420"/>
        <w:spacing w:line="252" w:lineRule="auto"/>
        <w:rPr>
          <w:rFonts w:ascii="宋体" w:hAnsi="宋体"/>
          <w:sz w:val="24"/>
          <w:lang w:val="zh-CN"/>
        </w:rPr>
      </w:pPr>
      <w:r>
        <w:rPr>
          <w:rFonts w:hint="eastAsia" w:ascii="宋体" w:hAnsi="宋体"/>
          <w:sz w:val="24"/>
          <w:lang w:val="zh-CN"/>
        </w:rPr>
        <w:t xml:space="preserve">15.1 投标有效期为交易中心规定的开标之日后六十天。投标有效期比规定短的将被视为未实质性响应招标文件而予以拒绝。</w:t>
      </w:r>
      <w:r/>
    </w:p>
    <w:p>
      <w:pPr>
        <w:pStyle w:val="973"/>
        <w:ind w:firstLine="420"/>
        <w:spacing w:before="0" w:after="0" w:line="252" w:lineRule="auto"/>
        <w:rPr>
          <w:rFonts w:ascii="黑体" w:hAnsi="黑体" w:cs="黑体"/>
          <w:b w:val="0"/>
          <w:bCs w:val="0"/>
        </w:rPr>
      </w:pPr>
      <w:r>
        <w:rPr>
          <w:rFonts w:hint="eastAsia" w:ascii="黑体" w:hAnsi="黑体" w:cs="黑体"/>
          <w:b w:val="0"/>
          <w:bCs w:val="0"/>
        </w:rPr>
        <w:t xml:space="preserve">16、投标有效期的延长</w:t>
      </w:r>
      <w:r/>
    </w:p>
    <w:p>
      <w:pPr>
        <w:ind w:firstLine="420"/>
        <w:spacing w:line="252" w:lineRule="auto"/>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971"/>
        <w:ind w:firstLine="482"/>
        <w:spacing w:before="145" w:after="145" w:line="252" w:lineRule="auto"/>
      </w:pPr>
      <w:r/>
      <w:bookmarkStart w:id="129" w:name="_Hlt26954739"/>
      <w:r/>
      <w:bookmarkStart w:id="130" w:name="_Hlt26954852"/>
      <w:r/>
      <w:bookmarkStart w:id="131" w:name="_Toc120614217"/>
      <w:r/>
      <w:bookmarkStart w:id="132" w:name="_Toc16938540"/>
      <w:r/>
      <w:bookmarkStart w:id="133" w:name="_Toc20823296"/>
      <w:r/>
      <w:bookmarkStart w:id="134" w:name="_Toc513029224"/>
      <w:r/>
      <w:bookmarkEnd w:id="129"/>
      <w:r/>
      <w:bookmarkEnd w:id="130"/>
      <w:r>
        <w:rPr>
          <w:rFonts w:hint="eastAsia"/>
        </w:rPr>
        <w:t xml:space="preserve">四、投标文件的递交</w:t>
      </w:r>
      <w:bookmarkEnd w:id="131"/>
      <w:r/>
      <w:bookmarkEnd w:id="132"/>
      <w:r/>
      <w:bookmarkEnd w:id="133"/>
      <w:r/>
      <w:bookmarkEnd w:id="134"/>
      <w:r/>
      <w:r/>
    </w:p>
    <w:p>
      <w:pPr>
        <w:pStyle w:val="973"/>
        <w:ind w:firstLine="420"/>
        <w:spacing w:before="0" w:after="0" w:line="252" w:lineRule="auto"/>
        <w:rPr>
          <w:rFonts w:ascii="黑体" w:hAnsi="黑体" w:cs="黑体"/>
          <w:b w:val="0"/>
          <w:bCs w:val="0"/>
        </w:rPr>
      </w:pPr>
      <w:r/>
      <w:bookmarkStart w:id="135" w:name="_Toc462564084"/>
      <w:r/>
      <w:bookmarkStart w:id="136" w:name="_Toc16938541"/>
      <w:r/>
      <w:bookmarkStart w:id="137" w:name="_Toc20823297"/>
      <w:r/>
      <w:bookmarkStart w:id="138" w:name="_Toc513029225"/>
      <w:r>
        <w:rPr>
          <w:rFonts w:hint="eastAsia" w:ascii="黑体" w:hAnsi="黑体" w:cs="黑体"/>
          <w:b w:val="0"/>
          <w:bCs w:val="0"/>
        </w:rPr>
        <w:t xml:space="preserve">17、投标文件</w:t>
      </w:r>
      <w:bookmarkEnd w:id="135"/>
      <w:r/>
      <w:bookmarkEnd w:id="136"/>
      <w:r/>
      <w:bookmarkEnd w:id="137"/>
      <w:r/>
      <w:bookmarkEnd w:id="138"/>
      <w:r>
        <w:rPr>
          <w:rFonts w:hint="eastAsia" w:ascii="黑体" w:hAnsi="黑体" w:cs="黑体"/>
          <w:b w:val="0"/>
          <w:bCs w:val="0"/>
        </w:rPr>
        <w:t xml:space="preserve">的递交</w:t>
      </w:r>
      <w:r/>
    </w:p>
    <w:p>
      <w:pPr>
        <w:ind w:firstLine="420"/>
        <w:spacing w:line="252" w:lineRule="auto"/>
        <w:rPr>
          <w:rFonts w:ascii="宋体" w:hAnsi="宋体"/>
          <w:sz w:val="24"/>
          <w:lang w:val="zh-CN"/>
        </w:rPr>
      </w:pPr>
      <w:r>
        <w:rPr>
          <w:rFonts w:hint="eastAsia" w:ascii="宋体" w:hAnsi="宋体"/>
          <w:sz w:val="24"/>
          <w:lang w:val="zh-CN"/>
        </w:rPr>
        <w:t xml:space="preserve">17.1 电子投标文件的递交</w:t>
      </w:r>
      <w:r/>
    </w:p>
    <w:p>
      <w:pPr>
        <w:ind w:firstLine="420"/>
        <w:spacing w:line="252" w:lineRule="auto"/>
        <w:rPr>
          <w:rFonts w:ascii="宋体" w:hAnsi="宋体"/>
          <w:sz w:val="24"/>
          <w:lang w:val="zh-CN"/>
        </w:rPr>
      </w:pPr>
      <w:r>
        <w:rPr>
          <w:rFonts w:hint="eastAsia" w:ascii="宋体" w:hAnsi="宋体"/>
          <w:sz w:val="24"/>
          <w:lang w:val="zh-CN"/>
        </w:rPr>
        <w:t xml:space="preserve">投标人应当按照《操作手册》规定，在投标截止时间前制作并上传电子投标文件。</w:t>
      </w:r>
      <w:bookmarkStart w:id="139" w:name="_Toc513029226"/>
      <w:r/>
      <w:bookmarkStart w:id="140" w:name="_Toc20823298"/>
      <w:r/>
      <w:bookmarkStart w:id="141" w:name="_Toc16938542"/>
      <w:r/>
      <w:r/>
    </w:p>
    <w:p>
      <w:pPr>
        <w:pStyle w:val="973"/>
        <w:ind w:firstLine="420"/>
        <w:spacing w:before="0" w:after="0" w:line="252" w:lineRule="auto"/>
        <w:rPr>
          <w:rFonts w:ascii="黑体" w:hAnsi="黑体" w:cs="黑体"/>
          <w:b w:val="0"/>
          <w:bCs w:val="0"/>
        </w:rPr>
      </w:pPr>
      <w:r>
        <w:rPr>
          <w:rFonts w:hint="eastAsia" w:ascii="黑体" w:hAnsi="黑体" w:cs="黑体"/>
          <w:b w:val="0"/>
          <w:bCs w:val="0"/>
        </w:rPr>
        <w:t xml:space="preserve">18、投标截止</w:t>
      </w:r>
      <w:bookmarkEnd w:id="139"/>
      <w:r/>
      <w:bookmarkEnd w:id="140"/>
      <w:r/>
      <w:bookmarkEnd w:id="141"/>
      <w:r>
        <w:rPr>
          <w:rFonts w:hint="eastAsia" w:ascii="黑体" w:hAnsi="黑体" w:cs="黑体"/>
          <w:b w:val="0"/>
          <w:bCs w:val="0"/>
        </w:rPr>
        <w:t xml:space="preserve">时间</w:t>
      </w:r>
      <w:r/>
    </w:p>
    <w:p>
      <w:pPr>
        <w:ind w:firstLine="420"/>
        <w:spacing w:line="252" w:lineRule="auto"/>
        <w:rPr>
          <w:rFonts w:ascii="宋体" w:hAnsi="宋体"/>
          <w:sz w:val="24"/>
          <w:lang w:val="zh-CN"/>
        </w:rPr>
      </w:pPr>
      <w:r>
        <w:rPr>
          <w:rFonts w:hint="eastAsia" w:ascii="宋体" w:hAnsi="宋体"/>
          <w:sz w:val="24"/>
          <w:lang w:val="zh-CN"/>
        </w:rPr>
        <w:t xml:space="preserve">18.1 投标人上传电子投标文件的时间不得迟于招标公告中规定的投标截止时间。</w:t>
      </w:r>
      <w:r/>
    </w:p>
    <w:p>
      <w:pPr>
        <w:ind w:firstLine="420"/>
        <w:spacing w:line="252" w:lineRule="auto"/>
        <w:rPr>
          <w:lang w:val="zh-CN"/>
        </w:rPr>
      </w:pPr>
      <w:r>
        <w:rPr>
          <w:rFonts w:hint="eastAsia" w:ascii="宋体" w:hAnsi="宋体"/>
          <w:sz w:val="24"/>
          <w:lang w:val="zh-CN"/>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252" w:lineRule="auto"/>
        <w:rPr>
          <w:rFonts w:ascii="宋体" w:hAnsi="宋体"/>
          <w:sz w:val="24"/>
          <w:lang w:val="zh-CN"/>
        </w:rPr>
      </w:pPr>
      <w:r>
        <w:rPr>
          <w:rFonts w:hint="eastAsia" w:ascii="宋体" w:hAnsi="宋体"/>
          <w:sz w:val="24"/>
          <w:lang w:val="zh-CN"/>
        </w:rPr>
        <w:t xml:space="preserve">18.2 交易中心可以按照规定，通过修改招标文件酌情延长投标截止时间，在此情况下，投标人的所有权利和义务以及投标人受制的截止时间均应以延长后新的截止时间为准。</w:t>
      </w:r>
      <w:r/>
    </w:p>
    <w:p>
      <w:pPr>
        <w:pStyle w:val="973"/>
        <w:ind w:firstLine="420"/>
        <w:spacing w:before="0" w:after="0" w:line="252" w:lineRule="auto"/>
        <w:rPr>
          <w:rFonts w:ascii="黑体" w:hAnsi="黑体" w:cs="黑体"/>
          <w:b w:val="0"/>
          <w:bCs w:val="0"/>
        </w:rPr>
      </w:pPr>
      <w:r/>
      <w:bookmarkStart w:id="142" w:name="_Toc16938543"/>
      <w:r/>
      <w:bookmarkStart w:id="143" w:name="_Toc513029227"/>
      <w:r/>
      <w:bookmarkStart w:id="144" w:name="_Toc20823299"/>
      <w:r>
        <w:rPr>
          <w:rFonts w:hint="eastAsia" w:ascii="黑体" w:hAnsi="黑体" w:cs="黑体"/>
          <w:b w:val="0"/>
          <w:bCs w:val="0"/>
        </w:rPr>
        <w:t xml:space="preserve">19、投标文件</w:t>
      </w:r>
      <w:bookmarkEnd w:id="142"/>
      <w:r/>
      <w:bookmarkEnd w:id="143"/>
      <w:r/>
      <w:bookmarkEnd w:id="144"/>
      <w:r>
        <w:rPr>
          <w:rFonts w:hint="eastAsia" w:ascii="黑体" w:hAnsi="黑体" w:cs="黑体"/>
          <w:b w:val="0"/>
          <w:bCs w:val="0"/>
        </w:rPr>
        <w:t xml:space="preserve">的拒收</w:t>
      </w:r>
      <w:r/>
    </w:p>
    <w:p>
      <w:pPr>
        <w:ind w:firstLine="420"/>
        <w:spacing w:line="252" w:lineRule="auto"/>
        <w:rPr>
          <w:rFonts w:ascii="宋体" w:hAnsi="宋体"/>
          <w:sz w:val="24"/>
          <w:lang w:val="zh-CN"/>
        </w:rPr>
      </w:pPr>
      <w:r>
        <w:rPr>
          <w:rFonts w:hint="eastAsia" w:ascii="宋体" w:hAnsi="宋体"/>
          <w:sz w:val="24"/>
          <w:lang w:val="zh-CN"/>
        </w:rPr>
        <w:t xml:space="preserve">19.1交易中心拒绝接收投标截止时间后上传的任何投标文件。</w:t>
      </w:r>
      <w:r/>
    </w:p>
    <w:p>
      <w:pPr>
        <w:pStyle w:val="973"/>
        <w:ind w:firstLine="420"/>
        <w:spacing w:before="0" w:after="0" w:line="252" w:lineRule="auto"/>
        <w:rPr>
          <w:rFonts w:ascii="黑体" w:hAnsi="黑体" w:cs="黑体"/>
          <w:b w:val="0"/>
          <w:bCs w:val="0"/>
        </w:rPr>
      </w:pPr>
      <w:r/>
      <w:bookmarkStart w:id="145" w:name="_Toc16938544"/>
      <w:r/>
      <w:bookmarkStart w:id="146" w:name="_Toc513029228"/>
      <w:r/>
      <w:bookmarkStart w:id="147" w:name="_Toc20823300"/>
      <w:r>
        <w:rPr>
          <w:rFonts w:hint="eastAsia" w:ascii="黑体" w:hAnsi="黑体" w:cs="黑体"/>
          <w:b w:val="0"/>
          <w:bCs w:val="0"/>
        </w:rPr>
        <w:t xml:space="preserve">20、投标文件的撤回和修改</w:t>
      </w:r>
      <w:bookmarkEnd w:id="145"/>
      <w:r/>
      <w:bookmarkEnd w:id="146"/>
      <w:r/>
      <w:bookmarkEnd w:id="147"/>
      <w:r/>
      <w:r/>
    </w:p>
    <w:p>
      <w:pPr>
        <w:ind w:firstLine="420"/>
        <w:spacing w:line="252" w:lineRule="auto"/>
        <w:rPr>
          <w:rFonts w:ascii="宋体" w:hAnsi="宋体"/>
          <w:sz w:val="24"/>
          <w:lang w:val="zh-CN"/>
        </w:rPr>
      </w:pPr>
      <w:r>
        <w:rPr>
          <w:rFonts w:hint="eastAsia" w:ascii="宋体" w:hAnsi="宋体"/>
          <w:sz w:val="24"/>
          <w:lang w:val="zh-CN"/>
        </w:rPr>
        <w:t xml:space="preserve">20.1 投标文件的撤回</w:t>
      </w:r>
      <w:r/>
    </w:p>
    <w:p>
      <w:pPr>
        <w:ind w:firstLine="420"/>
        <w:spacing w:line="252" w:lineRule="auto"/>
        <w:rPr>
          <w:rFonts w:ascii="宋体" w:hAnsi="宋体"/>
          <w:sz w:val="24"/>
          <w:lang w:val="zh-CN"/>
        </w:rPr>
      </w:pPr>
      <w:r>
        <w:rPr>
          <w:rFonts w:hint="eastAsia" w:ascii="宋体" w:hAnsi="宋体"/>
          <w:sz w:val="24"/>
          <w:lang w:val="zh-CN"/>
        </w:rPr>
        <w:t xml:space="preserve">21.1.1电子投标文件的撤回</w:t>
      </w:r>
      <w:r/>
    </w:p>
    <w:p>
      <w:pPr>
        <w:ind w:firstLine="420"/>
        <w:spacing w:line="252" w:lineRule="auto"/>
        <w:rPr>
          <w:rFonts w:ascii="宋体" w:hAnsi="宋体"/>
          <w:sz w:val="24"/>
          <w:lang w:val="zh-CN"/>
        </w:rPr>
      </w:pPr>
      <w:r>
        <w:rPr>
          <w:rFonts w:hint="eastAsia" w:ascii="宋体" w:hAnsi="宋体"/>
          <w:sz w:val="24"/>
          <w:lang w:val="zh-CN"/>
        </w:rPr>
        <w:t xml:space="preserve">投标人可在投标截止时间前，撤回其电子投标文件，具体操作方法见《操作手册》。</w:t>
      </w:r>
      <w:r/>
    </w:p>
    <w:p>
      <w:pPr>
        <w:ind w:firstLine="420"/>
        <w:spacing w:line="252" w:lineRule="auto"/>
        <w:rPr>
          <w:rFonts w:ascii="宋体" w:hAnsi="宋体"/>
          <w:sz w:val="24"/>
          <w:lang w:val="zh-CN"/>
        </w:rPr>
      </w:pPr>
      <w:r>
        <w:rPr>
          <w:rFonts w:hint="eastAsia" w:ascii="宋体" w:hAnsi="宋体"/>
          <w:sz w:val="24"/>
          <w:lang w:val="zh-CN"/>
        </w:rPr>
        <w:t xml:space="preserve">21.1.2投标人撤回电子投标文件，则认为其不再参与本项目投标活动。</w:t>
      </w:r>
      <w:r/>
    </w:p>
    <w:p>
      <w:pPr>
        <w:ind w:firstLine="420"/>
        <w:spacing w:line="252" w:lineRule="auto"/>
        <w:rPr>
          <w:rFonts w:ascii="宋体" w:hAnsi="宋体"/>
          <w:sz w:val="24"/>
          <w:lang w:val="zh-CN"/>
        </w:rPr>
      </w:pPr>
      <w:r>
        <w:rPr>
          <w:rFonts w:hint="eastAsia" w:ascii="宋体" w:hAnsi="宋体"/>
          <w:sz w:val="24"/>
          <w:lang w:val="zh-CN"/>
        </w:rPr>
        <w:t xml:space="preserve">20.2 投标文件的修改</w:t>
      </w:r>
      <w:r/>
    </w:p>
    <w:p>
      <w:pPr>
        <w:ind w:firstLine="420"/>
        <w:spacing w:line="252" w:lineRule="auto"/>
        <w:rPr>
          <w:rFonts w:ascii="宋体" w:hAnsi="宋体"/>
          <w:sz w:val="24"/>
          <w:lang w:val="zh-CN"/>
        </w:rPr>
      </w:pPr>
      <w:r>
        <w:rPr>
          <w:rFonts w:hint="eastAsia" w:ascii="宋体" w:hAnsi="宋体"/>
          <w:sz w:val="24"/>
          <w:lang w:val="zh-CN"/>
        </w:rPr>
        <w:t xml:space="preserve">20.2.1投标人可在投标截止时间前，对其电子投标文件进行修改，具体操作方法见《操作手册》。</w:t>
      </w:r>
      <w:r/>
    </w:p>
    <w:p>
      <w:pPr>
        <w:ind w:firstLine="420"/>
        <w:spacing w:line="252" w:lineRule="auto"/>
        <w:rPr>
          <w:rFonts w:ascii="宋体" w:hAnsi="宋体"/>
          <w:sz w:val="24"/>
          <w:lang w:val="zh-CN"/>
        </w:rPr>
      </w:pPr>
      <w:r>
        <w:rPr>
          <w:rFonts w:hint="eastAsia" w:ascii="宋体" w:hAnsi="宋体"/>
          <w:sz w:val="24"/>
          <w:lang w:val="zh-CN"/>
        </w:rPr>
        <w:t xml:space="preserve">20.2.2在投标截止时间之后，投标人不得对其电子投标文件作任何修改。</w:t>
      </w:r>
      <w:r/>
    </w:p>
    <w:p>
      <w:pPr>
        <w:ind w:firstLine="420"/>
        <w:spacing w:line="252" w:lineRule="auto"/>
        <w:rPr>
          <w:rFonts w:ascii="宋体" w:hAnsi="宋体"/>
          <w:sz w:val="24"/>
          <w:lang w:val="zh-CN"/>
        </w:rPr>
      </w:pPr>
      <w:r>
        <w:rPr>
          <w:rFonts w:hint="eastAsia" w:ascii="宋体" w:hAnsi="宋体"/>
          <w:sz w:val="24"/>
          <w:lang w:val="zh-CN"/>
        </w:rPr>
        <w:t xml:space="preserve">20.3 在投标截止时间至招标文件中规定的投标有效期满之间的这段时间内，投标人不得撤回其投标。</w:t>
      </w:r>
      <w:bookmarkStart w:id="148" w:name="_Toc16938545"/>
      <w:r/>
      <w:bookmarkStart w:id="149" w:name="_Toc120614218"/>
      <w:r/>
      <w:bookmarkStart w:id="150" w:name="_Toc20823301"/>
      <w:r/>
      <w:bookmarkStart w:id="151" w:name="_Toc513029229"/>
      <w:r/>
      <w:r/>
    </w:p>
    <w:p>
      <w:pPr>
        <w:pStyle w:val="971"/>
        <w:ind w:firstLine="482"/>
        <w:spacing w:before="145" w:after="145" w:line="252" w:lineRule="auto"/>
      </w:pPr>
      <w:r>
        <w:rPr>
          <w:rFonts w:hint="eastAsia"/>
        </w:rPr>
        <w:t xml:space="preserve">五、开标与评标</w:t>
      </w:r>
      <w:bookmarkEnd w:id="148"/>
      <w:r/>
      <w:bookmarkEnd w:id="149"/>
      <w:r/>
      <w:bookmarkEnd w:id="150"/>
      <w:r/>
      <w:bookmarkEnd w:id="151"/>
      <w:r/>
      <w:r/>
    </w:p>
    <w:p>
      <w:pPr>
        <w:pStyle w:val="973"/>
        <w:ind w:firstLine="420"/>
        <w:spacing w:before="0" w:after="0" w:line="252" w:lineRule="auto"/>
        <w:rPr>
          <w:rFonts w:ascii="黑体" w:hAnsi="黑体" w:cs="黑体"/>
          <w:b w:val="0"/>
          <w:bCs w:val="0"/>
        </w:rPr>
      </w:pPr>
      <w:r/>
      <w:bookmarkStart w:id="152" w:name="_Toc20823302"/>
      <w:r/>
      <w:bookmarkStart w:id="153" w:name="_Toc513029230"/>
      <w:r/>
      <w:bookmarkStart w:id="154" w:name="_Toc16938546"/>
      <w:r>
        <w:rPr>
          <w:rFonts w:hint="eastAsia" w:ascii="黑体" w:hAnsi="黑体" w:cs="黑体"/>
          <w:b w:val="0"/>
          <w:bCs w:val="0"/>
        </w:rPr>
        <w:t xml:space="preserve">21、开标</w:t>
      </w:r>
      <w:bookmarkEnd w:id="152"/>
      <w:r/>
      <w:bookmarkEnd w:id="153"/>
      <w:r/>
      <w:bookmarkEnd w:id="154"/>
      <w:r/>
      <w:r/>
    </w:p>
    <w:p>
      <w:pPr>
        <w:ind w:firstLine="420"/>
        <w:spacing w:line="252" w:lineRule="auto"/>
        <w:rPr>
          <w:rFonts w:ascii="宋体" w:hAnsi="宋体"/>
          <w:sz w:val="24"/>
          <w:lang w:val="zh-CN"/>
        </w:rPr>
      </w:pPr>
      <w:r>
        <w:rPr>
          <w:rFonts w:hint="eastAsia" w:ascii="宋体" w:hAnsi="宋体"/>
          <w:sz w:val="24"/>
          <w:lang w:val="zh-CN"/>
        </w:rPr>
        <w:t xml:space="preserve">21.1 交易中心将在招标公告中规定的时间和地点组织公开开标。投标人应当按照《操作手册》规定，参加开标活动并在苏采云系统规定的时间内对投标文件进行解密。</w:t>
      </w:r>
      <w:r/>
    </w:p>
    <w:p>
      <w:pPr>
        <w:ind w:firstLine="420"/>
        <w:spacing w:line="252" w:lineRule="auto"/>
        <w:rPr>
          <w:rFonts w:ascii="宋体" w:hAnsi="宋体"/>
          <w:sz w:val="24"/>
          <w:lang w:val="zh-CN"/>
        </w:rPr>
      </w:pPr>
      <w:r>
        <w:rPr>
          <w:rFonts w:hint="eastAsia" w:ascii="宋体" w:hAnsi="宋体"/>
          <w:sz w:val="24"/>
          <w:lang w:val="zh-CN"/>
        </w:rPr>
        <w:t xml:space="preserve">21.2开标仪式由交易中心组织。苏采云系统将自动对项目进行开标，并公布各投标人名称和投标价格。</w:t>
      </w:r>
      <w:r/>
    </w:p>
    <w:p>
      <w:pPr>
        <w:ind w:firstLine="420"/>
        <w:spacing w:line="252" w:lineRule="auto"/>
        <w:rPr>
          <w:rFonts w:ascii="宋体" w:hAnsi="宋体"/>
          <w:sz w:val="24"/>
          <w:lang w:val="zh-CN"/>
        </w:rPr>
      </w:pPr>
      <w:r>
        <w:rPr>
          <w:rFonts w:hint="eastAsia" w:ascii="宋体" w:hAnsi="宋体"/>
          <w:sz w:val="24"/>
          <w:lang w:val="zh-CN"/>
        </w:rPr>
        <w:t xml:space="preserve">21.3投标人在开标过程中涉及到的投标文件解密、开标结果确认等工作，应按照《操作手册》规定执行。</w:t>
      </w:r>
      <w:r/>
    </w:p>
    <w:p>
      <w:pPr>
        <w:ind w:firstLine="420"/>
        <w:spacing w:line="252" w:lineRule="auto"/>
        <w:rPr>
          <w:rFonts w:ascii="宋体" w:hAnsi="宋体"/>
          <w:sz w:val="24"/>
          <w:lang w:val="zh-CN"/>
        </w:rPr>
      </w:pPr>
      <w:r>
        <w:rPr>
          <w:rFonts w:hint="eastAsia" w:ascii="宋体" w:hAnsi="宋体"/>
          <w:sz w:val="24"/>
          <w:lang w:val="zh-CN"/>
        </w:rPr>
        <w:t xml:space="preserve">21.4投标人如果对开标过程和开标记录有疑义，应当根据《操作手册》规定提出，如苏采云系统中《开标记录表》公布后5分钟内未提出的，视同认可开标结果。</w:t>
      </w:r>
      <w:r/>
    </w:p>
    <w:p>
      <w:pPr>
        <w:pStyle w:val="973"/>
        <w:ind w:firstLine="420"/>
        <w:spacing w:before="0" w:after="0" w:line="252" w:lineRule="auto"/>
        <w:rPr>
          <w:rFonts w:ascii="黑体" w:hAnsi="黑体" w:cs="黑体"/>
          <w:b w:val="0"/>
          <w:bCs w:val="0"/>
        </w:rPr>
      </w:pPr>
      <w:r/>
      <w:bookmarkStart w:id="155" w:name="_Toc16938547"/>
      <w:r/>
      <w:bookmarkStart w:id="156" w:name="_Toc513029231"/>
      <w:r/>
      <w:bookmarkStart w:id="157" w:name="_Toc20823303"/>
      <w:r>
        <w:rPr>
          <w:rFonts w:hint="eastAsia" w:ascii="黑体" w:hAnsi="黑体" w:cs="黑体"/>
          <w:b w:val="0"/>
          <w:bCs w:val="0"/>
        </w:rPr>
        <w:t xml:space="preserve">22、评标</w:t>
      </w:r>
      <w:r/>
    </w:p>
    <w:p>
      <w:pPr>
        <w:ind w:firstLine="420"/>
        <w:spacing w:line="252" w:lineRule="auto"/>
        <w:rPr>
          <w:rFonts w:ascii="宋体" w:hAnsi="宋体"/>
          <w:sz w:val="24"/>
          <w:lang w:val="zh-CN"/>
        </w:rPr>
      </w:pPr>
      <w:r>
        <w:rPr>
          <w:rFonts w:hint="eastAsia" w:ascii="宋体" w:hAnsi="宋体"/>
          <w:sz w:val="24"/>
          <w:lang w:val="zh-CN"/>
        </w:rPr>
        <w:t xml:space="preserve">22.1 交易中心将组织评标委员会（以下简称评委会）进行评标。</w:t>
      </w:r>
      <w:r/>
    </w:p>
    <w:p>
      <w:pPr>
        <w:ind w:firstLine="420"/>
        <w:spacing w:line="252" w:lineRule="auto"/>
        <w:rPr>
          <w:rFonts w:ascii="宋体" w:hAnsi="宋体"/>
          <w:sz w:val="24"/>
          <w:lang w:val="zh-CN"/>
        </w:rPr>
      </w:pPr>
      <w:r>
        <w:rPr>
          <w:rFonts w:hint="eastAsia" w:ascii="宋体" w:hAnsi="宋体"/>
          <w:sz w:val="24"/>
          <w:lang w:val="zh-CN"/>
        </w:rPr>
        <w:t xml:space="preserve">22.2 评委会由采购人代表和有关技术、经济等方面的专家组成，且人员构成符合政府采购有关规定。</w:t>
      </w:r>
      <w:r/>
    </w:p>
    <w:p>
      <w:pPr>
        <w:ind w:firstLine="420"/>
        <w:spacing w:line="252" w:lineRule="auto"/>
        <w:rPr>
          <w:rFonts w:ascii="宋体" w:hAnsi="宋体"/>
          <w:sz w:val="24"/>
          <w:lang w:val="zh-CN"/>
        </w:rPr>
      </w:pPr>
      <w:r>
        <w:rPr>
          <w:rFonts w:hint="eastAsia" w:ascii="宋体" w:hAnsi="宋体"/>
          <w:sz w:val="24"/>
          <w:lang w:val="zh-CN"/>
        </w:rPr>
        <w:t xml:space="preserve">22.3评委会独立工作，负责评审所有投标文件并</w:t>
      </w:r>
      <w:r>
        <w:rPr>
          <w:rFonts w:hint="eastAsia" w:ascii="宋体" w:hAnsi="宋体"/>
          <w:sz w:val="24"/>
        </w:rPr>
        <w:t xml:space="preserve">推荐</w:t>
      </w:r>
      <w:r>
        <w:rPr>
          <w:rFonts w:hint="eastAsia" w:ascii="宋体" w:hAnsi="宋体"/>
          <w:sz w:val="24"/>
          <w:lang w:val="zh-CN"/>
        </w:rPr>
        <w:t xml:space="preserve">中标侯选人，</w:t>
      </w:r>
      <w:r>
        <w:rPr>
          <w:rFonts w:hint="eastAsia" w:ascii="宋体" w:hAnsi="宋体"/>
          <w:sz w:val="24"/>
        </w:rPr>
        <w:t xml:space="preserve">或根据采购人委托直接确定中标人</w:t>
      </w:r>
      <w:r>
        <w:rPr>
          <w:rFonts w:hint="eastAsia" w:ascii="宋体" w:hAnsi="宋体"/>
          <w:sz w:val="24"/>
          <w:lang w:val="zh-CN"/>
        </w:rPr>
        <w:t xml:space="preserve">。</w:t>
      </w:r>
      <w:r/>
    </w:p>
    <w:p>
      <w:pPr>
        <w:pStyle w:val="973"/>
        <w:ind w:firstLine="420"/>
        <w:spacing w:before="0" w:after="0" w:line="252" w:lineRule="auto"/>
        <w:rPr>
          <w:rFonts w:ascii="黑体" w:hAnsi="黑体" w:cs="黑体"/>
          <w:b w:val="0"/>
          <w:bCs w:val="0"/>
        </w:rPr>
      </w:pPr>
      <w:r>
        <w:rPr>
          <w:rFonts w:hint="eastAsia" w:ascii="黑体" w:hAnsi="黑体" w:cs="黑体"/>
          <w:b w:val="0"/>
          <w:bCs w:val="0"/>
        </w:rPr>
        <w:t xml:space="preserve">23、评标过程的保密与公正</w:t>
      </w:r>
      <w:bookmarkEnd w:id="155"/>
      <w:r/>
      <w:bookmarkEnd w:id="156"/>
      <w:r/>
      <w:bookmarkEnd w:id="157"/>
      <w:r/>
      <w:r/>
    </w:p>
    <w:p>
      <w:pPr>
        <w:ind w:firstLine="420"/>
        <w:spacing w:line="252" w:lineRule="auto"/>
        <w:rPr>
          <w:rFonts w:ascii="宋体" w:hAnsi="宋体"/>
          <w:sz w:val="24"/>
          <w:lang w:val="zh-CN"/>
        </w:rPr>
      </w:pPr>
      <w:r>
        <w:rPr>
          <w:rFonts w:hint="eastAsia" w:ascii="宋体" w:hAnsi="宋体"/>
          <w:sz w:val="24"/>
          <w:lang w:val="zh-CN"/>
        </w:rPr>
        <w:t xml:space="preserve">23.1凡是与审查、澄清、评价和比较投标的有关资料以及授标建议等，采购人、评委、交易中心均不得向投标人或与评标无关的其他人员透露。</w:t>
      </w:r>
      <w:r/>
    </w:p>
    <w:p>
      <w:pPr>
        <w:ind w:firstLine="420"/>
        <w:spacing w:line="252" w:lineRule="auto"/>
        <w:rPr>
          <w:rFonts w:ascii="宋体" w:hAnsi="宋体"/>
          <w:sz w:val="24"/>
          <w:lang w:val="zh-CN"/>
        </w:rPr>
      </w:pPr>
      <w:r>
        <w:rPr>
          <w:rFonts w:hint="eastAsia" w:ascii="宋体" w:hAnsi="宋体"/>
          <w:sz w:val="24"/>
          <w:lang w:val="zh-CN"/>
        </w:rPr>
        <w:t xml:space="preserve">23.2在评标过程中，投标人不得以任何行为影响评标过程，否则其投标文件将被作为无效投标文件。</w:t>
      </w:r>
      <w:r/>
    </w:p>
    <w:p>
      <w:pPr>
        <w:ind w:firstLine="420"/>
        <w:spacing w:line="252" w:lineRule="auto"/>
        <w:rPr>
          <w:rFonts w:ascii="宋体" w:hAnsi="宋体"/>
          <w:sz w:val="24"/>
          <w:lang w:val="zh-CN"/>
        </w:rPr>
      </w:pPr>
      <w:r>
        <w:rPr>
          <w:rFonts w:hint="eastAsia" w:ascii="宋体" w:hAnsi="宋体"/>
          <w:sz w:val="24"/>
          <w:lang w:val="zh-CN"/>
        </w:rPr>
        <w:t xml:space="preserve">23.3 交易中心和评委会不向未中标的投标人解释未中标原因，也不公布评标过程中的相关细节。</w:t>
      </w:r>
      <w:r/>
    </w:p>
    <w:p>
      <w:pPr>
        <w:ind w:firstLine="420"/>
        <w:spacing w:line="252" w:lineRule="auto"/>
        <w:rPr>
          <w:rFonts w:ascii="宋体" w:hAnsi="宋体"/>
          <w:sz w:val="24"/>
          <w:lang w:val="zh-CN"/>
        </w:rPr>
      </w:pPr>
      <w:r>
        <w:rPr>
          <w:rFonts w:hint="eastAsia" w:ascii="宋体" w:hAnsi="宋体"/>
          <w:sz w:val="24"/>
          <w:lang w:val="zh-CN"/>
        </w:rPr>
        <w:t xml:space="preserve">23.4 采用综合评分法的项目，未中标的投标人可于中标结果公告期限届满之日起通过苏采云系统查看自己的评审得分及排序情况。</w:t>
      </w:r>
      <w:r/>
    </w:p>
    <w:p>
      <w:pPr>
        <w:pStyle w:val="973"/>
        <w:ind w:firstLine="420"/>
        <w:spacing w:before="0" w:after="0" w:line="252" w:lineRule="auto"/>
        <w:rPr>
          <w:rFonts w:ascii="黑体" w:hAnsi="黑体" w:cs="黑体"/>
          <w:b w:val="0"/>
          <w:bCs w:val="0"/>
        </w:rPr>
      </w:pPr>
      <w:r/>
      <w:bookmarkStart w:id="158" w:name="_Toc16938548"/>
      <w:r/>
      <w:bookmarkStart w:id="159" w:name="_Toc20823304"/>
      <w:r/>
      <w:bookmarkStart w:id="160" w:name="_Toc513029232"/>
      <w:r>
        <w:rPr>
          <w:rFonts w:hint="eastAsia" w:ascii="黑体" w:hAnsi="黑体" w:cs="黑体"/>
          <w:b w:val="0"/>
          <w:bCs w:val="0"/>
        </w:rPr>
        <w:t xml:space="preserve">24、投标文件的澄清</w:t>
      </w:r>
      <w:bookmarkEnd w:id="158"/>
      <w:r/>
      <w:bookmarkEnd w:id="159"/>
      <w:r/>
      <w:bookmarkEnd w:id="160"/>
      <w:r/>
      <w:r/>
    </w:p>
    <w:p>
      <w:pPr>
        <w:ind w:firstLine="420"/>
        <w:spacing w:line="252" w:lineRule="auto"/>
        <w:rPr>
          <w:rFonts w:ascii="宋体" w:hAnsi="宋体"/>
          <w:sz w:val="24"/>
          <w:lang w:val="zh-CN"/>
        </w:rPr>
      </w:pPr>
      <w:r>
        <w:rPr>
          <w:rFonts w:hint="eastAsia" w:ascii="宋体" w:hAnsi="宋体"/>
          <w:sz w:val="24"/>
          <w:lang w:val="zh-CN"/>
        </w:rPr>
        <w:t xml:space="preserve">24.1评标期间，评委会对投标文件中含义不明确、同类问题表述不一致或者有明显文字和计算错误的内容，有权要求投标人作出必要的澄清、说明或者补正。</w:t>
      </w:r>
      <w:r/>
    </w:p>
    <w:p>
      <w:pPr>
        <w:ind w:firstLine="420"/>
        <w:spacing w:line="252" w:lineRule="auto"/>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spacing w:line="252" w:lineRule="auto"/>
        <w:rPr>
          <w:rFonts w:ascii="宋体" w:hAnsi="宋体"/>
          <w:sz w:val="24"/>
          <w:lang w:val="zh-CN"/>
        </w:rPr>
      </w:pPr>
      <w:r>
        <w:rPr>
          <w:rFonts w:hint="eastAsia" w:ascii="宋体" w:hAnsi="宋体"/>
          <w:sz w:val="24"/>
          <w:lang w:val="zh-CN"/>
        </w:rPr>
        <w:t xml:space="preserve">评委会并非对每个投标人都做澄清要求。</w:t>
      </w:r>
      <w:r/>
    </w:p>
    <w:p>
      <w:pPr>
        <w:ind w:firstLine="420"/>
        <w:spacing w:line="252" w:lineRule="auto"/>
        <w:rPr>
          <w:rFonts w:ascii="宋体" w:hAnsi="宋体"/>
          <w:sz w:val="24"/>
          <w:lang w:val="zh-CN"/>
        </w:rPr>
      </w:pPr>
      <w:r>
        <w:rPr>
          <w:rFonts w:hint="eastAsia" w:ascii="宋体" w:hAnsi="宋体"/>
          <w:sz w:val="24"/>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252" w:lineRule="auto"/>
        <w:rPr>
          <w:rFonts w:ascii="宋体" w:hAnsi="宋体"/>
          <w:sz w:val="24"/>
          <w:lang w:val="zh-CN"/>
        </w:rPr>
      </w:pPr>
      <w:r>
        <w:rPr>
          <w:rFonts w:hint="eastAsia" w:ascii="宋体" w:hAnsi="宋体"/>
          <w:sz w:val="24"/>
          <w:lang w:val="zh-CN"/>
        </w:rPr>
        <w:t xml:space="preserve">24.3 接到评委会澄清、说明和补正要求的投标人如未按规定做出澄清、说明和补正，其风险由投标人自行承担。</w:t>
      </w:r>
      <w:r/>
    </w:p>
    <w:p>
      <w:pPr>
        <w:pStyle w:val="973"/>
        <w:ind w:firstLine="420"/>
        <w:spacing w:before="0" w:after="0" w:line="252" w:lineRule="auto"/>
        <w:rPr>
          <w:rFonts w:ascii="黑体" w:hAnsi="黑体" w:cs="黑体"/>
          <w:b w:val="0"/>
          <w:bCs w:val="0"/>
        </w:rPr>
      </w:pPr>
      <w:r/>
      <w:bookmarkStart w:id="161" w:name="_Toc16938549"/>
      <w:r/>
      <w:bookmarkStart w:id="162" w:name="_Toc513029233"/>
      <w:r/>
      <w:bookmarkStart w:id="163" w:name="_Toc20823305"/>
      <w:r>
        <w:rPr>
          <w:rFonts w:hint="eastAsia" w:ascii="黑体" w:hAnsi="黑体" w:cs="黑体"/>
          <w:b w:val="0"/>
          <w:bCs w:val="0"/>
        </w:rPr>
        <w:t xml:space="preserve">25、对投标文件的初审</w:t>
      </w:r>
      <w:bookmarkEnd w:id="161"/>
      <w:r/>
      <w:bookmarkEnd w:id="162"/>
      <w:r/>
      <w:bookmarkEnd w:id="163"/>
      <w:r/>
      <w:r/>
    </w:p>
    <w:p>
      <w:pPr>
        <w:ind w:firstLine="420"/>
        <w:spacing w:line="252" w:lineRule="auto"/>
        <w:rPr>
          <w:rFonts w:ascii="宋体" w:hAnsi="宋体"/>
          <w:sz w:val="24"/>
          <w:lang w:val="zh-CN"/>
        </w:rPr>
      </w:pPr>
      <w:r>
        <w:rPr>
          <w:rFonts w:hint="eastAsia" w:ascii="宋体" w:hAnsi="宋体"/>
          <w:sz w:val="24"/>
          <w:lang w:val="zh-CN"/>
        </w:rPr>
        <w:t xml:space="preserve">25.1投标文件初审分为资格审查和符合性审查。</w:t>
      </w:r>
      <w:r/>
    </w:p>
    <w:p>
      <w:pPr>
        <w:ind w:firstLine="420"/>
        <w:spacing w:line="252" w:lineRule="auto"/>
        <w:rPr>
          <w:rFonts w:ascii="宋体" w:hAnsi="宋体"/>
          <w:sz w:val="24"/>
          <w:lang w:val="zh-CN"/>
        </w:rPr>
      </w:pPr>
      <w:r>
        <w:rPr>
          <w:rFonts w:hint="eastAsia" w:ascii="宋体" w:hAnsi="宋体"/>
          <w:sz w:val="24"/>
          <w:lang w:val="zh-CN"/>
        </w:rPr>
        <w:t xml:space="preserve">25.1.1资格审查：依据法律法规和招标文件的规定，由采购人对投标文件中的资格证明文件进行审查。资格审查的结论，采购人以书面形式向评委会进行反馈。</w:t>
      </w:r>
      <w:r/>
    </w:p>
    <w:p>
      <w:pPr>
        <w:ind w:firstLine="420"/>
        <w:spacing w:line="252" w:lineRule="auto"/>
        <w:rPr>
          <w:rFonts w:ascii="宋体" w:hAnsi="宋体"/>
          <w:sz w:val="24"/>
          <w:lang w:val="zh-CN"/>
        </w:rPr>
      </w:pPr>
      <w:r>
        <w:rPr>
          <w:rFonts w:hint="eastAsia" w:ascii="宋体" w:hAnsi="宋体"/>
          <w:sz w:val="24"/>
          <w:lang w:val="zh-CN"/>
        </w:rPr>
        <w:t xml:space="preserve">采购人在进行资格性审查的同时，将在“信用中国”网站（www.creditchina.gov.cn）查询投标人的信用记录，以确定投标人是否具备投标资格，查询结果留存并归档。</w:t>
      </w:r>
      <w:r/>
    </w:p>
    <w:p>
      <w:pPr>
        <w:ind w:firstLine="420"/>
        <w:spacing w:line="252" w:lineRule="auto"/>
        <w:rPr>
          <w:rFonts w:ascii="宋体" w:hAnsi="宋体"/>
          <w:sz w:val="24"/>
          <w:lang w:val="zh-CN"/>
        </w:rPr>
      </w:pPr>
      <w:r>
        <w:rPr>
          <w:rFonts w:hint="eastAsia" w:ascii="宋体" w:hAnsi="宋体"/>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252" w:lineRule="auto"/>
        <w:rPr>
          <w:rFonts w:ascii="宋体" w:hAnsi="宋体"/>
          <w:sz w:val="24"/>
          <w:lang w:val="zh-CN"/>
        </w:rPr>
      </w:pPr>
      <w:r>
        <w:rPr>
          <w:rFonts w:hint="eastAsia" w:ascii="宋体" w:hAnsi="宋体"/>
          <w:sz w:val="24"/>
          <w:lang w:val="zh-CN"/>
        </w:rPr>
        <w:t xml:space="preserve">25.1.2符合性审查：依据招标文件的规定，由评委会从投标文件的有效性、完整性和对招标文件的响应程度进行审查，以确定是否对招标文件的实质性要求作出响应。</w:t>
      </w:r>
      <w:r/>
    </w:p>
    <w:p>
      <w:pPr>
        <w:ind w:firstLine="420"/>
        <w:spacing w:line="252" w:lineRule="auto"/>
        <w:rPr>
          <w:rFonts w:ascii="宋体" w:hAnsi="宋体"/>
          <w:sz w:val="24"/>
          <w:lang w:val="zh-CN"/>
        </w:rPr>
      </w:pPr>
      <w:r>
        <w:rPr>
          <w:rFonts w:hint="eastAsia" w:ascii="宋体" w:hAnsi="宋体"/>
          <w:sz w:val="24"/>
          <w:lang w:val="zh-CN"/>
        </w:rPr>
        <w:t xml:space="preserve">25.1.3未通过资格审查或符合性审查的投标人，交易中心将在苏采云系统中告知</w:t>
      </w:r>
      <w:r>
        <w:rPr>
          <w:rFonts w:hint="eastAsia" w:ascii="宋体" w:hAnsi="宋体"/>
          <w:sz w:val="24"/>
        </w:rPr>
        <w:t xml:space="preserve">具体</w:t>
      </w:r>
      <w:r>
        <w:rPr>
          <w:rFonts w:hint="eastAsia" w:ascii="宋体" w:hAnsi="宋体"/>
          <w:sz w:val="24"/>
          <w:lang w:val="zh-CN"/>
        </w:rPr>
        <w:t xml:space="preserve">原因，评标结束后，交易中心将不再告知未通过资格审查和符合性审查的原因。</w:t>
      </w:r>
      <w:r/>
    </w:p>
    <w:p>
      <w:pPr>
        <w:ind w:firstLine="420"/>
        <w:spacing w:line="252" w:lineRule="auto"/>
        <w:rPr>
          <w:rFonts w:ascii="宋体" w:hAnsi="宋体"/>
          <w:sz w:val="24"/>
          <w:lang w:val="zh-CN"/>
        </w:rPr>
      </w:pPr>
      <w:r>
        <w:rPr>
          <w:rFonts w:hint="eastAsia" w:ascii="宋体" w:hAnsi="宋体"/>
          <w:sz w:val="24"/>
          <w:lang w:val="zh-CN"/>
        </w:rPr>
        <w:t xml:space="preserve">25.2在详细评</w:t>
      </w:r>
      <w:r>
        <w:rPr>
          <w:rFonts w:hint="eastAsia" w:ascii="宋体" w:hAnsi="宋体"/>
          <w:sz w:val="24"/>
        </w:rPr>
        <w:t xml:space="preserve">审</w:t>
      </w:r>
      <w:r>
        <w:rPr>
          <w:rFonts w:hint="eastAsia" w:ascii="宋体" w:hAnsi="宋体"/>
          <w:sz w:val="24"/>
          <w:lang w:val="zh-CN"/>
        </w:rPr>
        <w:t xml:space="preserve">之前，评委会将首先审查每份投标文件是否实质性响应了招标文件的要求。实质性响应的投标文件应该是与招标文件要求的全部条款、条件和规格相符，没有重大偏离或保留的文件。</w:t>
      </w:r>
      <w:r/>
    </w:p>
    <w:p>
      <w:pPr>
        <w:ind w:firstLine="420"/>
        <w:spacing w:line="252" w:lineRule="auto"/>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和交易中心的权利或投标人的义务，纠正</w:t>
      </w:r>
      <w:r>
        <w:rPr>
          <w:rFonts w:hint="eastAsia" w:ascii="宋体" w:hAnsi="宋体"/>
          <w:sz w:val="24"/>
          <w:lang w:val="zh-CN"/>
        </w:rPr>
        <w:t xml:space="preserve">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p>
    <w:p>
      <w:pPr>
        <w:ind w:firstLine="420"/>
        <w:spacing w:line="252" w:lineRule="auto"/>
        <w:rPr>
          <w:rFonts w:ascii="宋体" w:hAnsi="宋体"/>
          <w:sz w:val="24"/>
          <w:lang w:val="zh-CN"/>
        </w:rPr>
      </w:pPr>
      <w:r>
        <w:rPr>
          <w:rFonts w:hint="eastAsia" w:ascii="宋体" w:hAnsi="宋体"/>
          <w:sz w:val="24"/>
          <w:lang w:val="zh-CN"/>
        </w:rPr>
        <w:t xml:space="preserve">25.3如果投标文件实质上没有响应招标文件的要求，评委会将予以拒绝，投标人不得通过修改或撤销不合要求的偏离或保留而使其投标成为实质性响应的投标。</w:t>
      </w:r>
      <w:r/>
    </w:p>
    <w:p>
      <w:pPr>
        <w:ind w:firstLine="420"/>
        <w:spacing w:line="252" w:lineRule="auto"/>
        <w:rPr>
          <w:rFonts w:ascii="宋体" w:hAnsi="宋体"/>
          <w:sz w:val="24"/>
          <w:lang w:val="zh-CN"/>
        </w:rPr>
      </w:pPr>
      <w:r>
        <w:rPr>
          <w:rFonts w:hint="eastAsia" w:ascii="宋体" w:hAnsi="宋体"/>
          <w:sz w:val="24"/>
          <w:lang w:val="zh-CN"/>
        </w:rPr>
        <w:t xml:space="preserve">25.4评委会将对确定为实质性响应的投标进行进一步审核，确定其是否有计算上或累加上的算术错误，修正错误的原则如下：</w:t>
      </w:r>
      <w:r/>
    </w:p>
    <w:p>
      <w:pPr>
        <w:ind w:firstLine="420"/>
        <w:spacing w:line="252" w:lineRule="auto"/>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spacing w:line="252" w:lineRule="auto"/>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spacing w:line="252" w:lineRule="auto"/>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spacing w:line="252" w:lineRule="auto"/>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spacing w:line="252" w:lineRule="auto"/>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spacing w:line="252" w:lineRule="auto"/>
        <w:rPr>
          <w:rFonts w:ascii="宋体" w:hAnsi="宋体"/>
          <w:sz w:val="24"/>
          <w:lang w:val="zh-CN"/>
        </w:rPr>
      </w:pPr>
      <w:r>
        <w:rPr>
          <w:rFonts w:hint="eastAsia" w:ascii="宋体" w:hAnsi="宋体"/>
          <w:sz w:val="24"/>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252" w:lineRule="auto"/>
        <w:rPr>
          <w:rFonts w:ascii="宋体" w:hAnsi="宋体"/>
          <w:sz w:val="24"/>
          <w:lang w:val="zh-CN"/>
        </w:rPr>
      </w:pPr>
      <w:r/>
      <w:bookmarkStart w:id="164" w:name="_Toc513029234"/>
      <w:r/>
      <w:bookmarkStart w:id="165" w:name="_Toc20823306"/>
      <w:r/>
      <w:bookmarkStart w:id="166" w:name="_Toc16938550"/>
      <w:r>
        <w:rPr>
          <w:rFonts w:hint="eastAsia" w:ascii="宋体" w:hAnsi="宋体"/>
          <w:sz w:val="24"/>
          <w:lang w:val="zh-CN"/>
        </w:rPr>
        <w:t xml:space="preserve">25.6投标人在开、评标全过程中应保持通讯畅通，及时登录苏采云系统查阅、答复相关信息，并安排专人与交易中心及评委会联系。</w:t>
      </w:r>
      <w:r/>
    </w:p>
    <w:p>
      <w:pPr>
        <w:pStyle w:val="973"/>
        <w:ind w:firstLine="420"/>
        <w:spacing w:before="0" w:after="0" w:line="252" w:lineRule="auto"/>
        <w:rPr>
          <w:rFonts w:ascii="黑体" w:hAnsi="黑体" w:cs="黑体"/>
          <w:b w:val="0"/>
          <w:bCs w:val="0"/>
        </w:rPr>
      </w:pPr>
      <w:r>
        <w:rPr>
          <w:rFonts w:hint="eastAsia" w:ascii="黑体" w:hAnsi="黑体" w:cs="黑体"/>
          <w:b w:val="0"/>
          <w:bCs w:val="0"/>
        </w:rPr>
        <w:t xml:space="preserve">26、</w:t>
      </w:r>
      <w:bookmarkEnd w:id="164"/>
      <w:r/>
      <w:bookmarkEnd w:id="165"/>
      <w:r/>
      <w:bookmarkEnd w:id="166"/>
      <w:r>
        <w:rPr>
          <w:rFonts w:hint="eastAsia" w:ascii="黑体" w:hAnsi="黑体" w:cs="黑体"/>
          <w:b w:val="0"/>
          <w:bCs w:val="0"/>
        </w:rPr>
        <w:t xml:space="preserve">无效投标条款和废标条款</w:t>
      </w:r>
      <w:r/>
    </w:p>
    <w:p>
      <w:pPr>
        <w:ind w:firstLine="420"/>
        <w:spacing w:line="252" w:lineRule="auto"/>
        <w:rPr>
          <w:rFonts w:ascii="宋体" w:hAnsi="宋体"/>
          <w:sz w:val="24"/>
          <w:lang w:val="zh-CN"/>
        </w:rPr>
      </w:pPr>
      <w:r/>
      <w:bookmarkStart w:id="167" w:name="_Toc20823307"/>
      <w:r/>
      <w:bookmarkStart w:id="168" w:name="_Toc16938551"/>
      <w:r/>
      <w:bookmarkStart w:id="169" w:name="_Toc513029235"/>
      <w:r>
        <w:rPr>
          <w:rFonts w:hint="eastAsia" w:ascii="宋体" w:hAnsi="宋体"/>
          <w:sz w:val="24"/>
          <w:lang w:val="zh-CN"/>
        </w:rPr>
        <w:t xml:space="preserve">26.1无效投标条款</w:t>
      </w:r>
      <w:r/>
    </w:p>
    <w:p>
      <w:pPr>
        <w:ind w:firstLine="420"/>
        <w:spacing w:line="252" w:lineRule="auto"/>
        <w:rPr>
          <w:rFonts w:ascii="宋体" w:hAnsi="宋体"/>
          <w:sz w:val="24"/>
          <w:lang w:val="zh-CN"/>
        </w:rPr>
      </w:pPr>
      <w:r>
        <w:rPr>
          <w:rFonts w:hint="eastAsia" w:ascii="宋体" w:hAnsi="宋体"/>
          <w:sz w:val="24"/>
          <w:lang w:val="zh-CN"/>
        </w:rPr>
        <w:t xml:space="preserve">26.1.1投标人在苏采云系统规定的时间内未成功解密电子投标文件的。</w:t>
      </w:r>
      <w:r/>
    </w:p>
    <w:p>
      <w:pPr>
        <w:ind w:firstLine="420"/>
        <w:spacing w:line="252" w:lineRule="auto"/>
        <w:rPr>
          <w:rFonts w:ascii="宋体" w:hAnsi="宋体"/>
          <w:sz w:val="24"/>
          <w:lang w:val="zh-CN"/>
        </w:rPr>
      </w:pPr>
      <w:r>
        <w:rPr>
          <w:rFonts w:hint="eastAsia" w:ascii="宋体" w:hAnsi="宋体"/>
          <w:sz w:val="24"/>
          <w:lang w:val="zh-CN"/>
        </w:rPr>
        <w:t xml:space="preserve">26.1.2投标人未按照招标文件要求上传电子投标文件的。</w:t>
      </w:r>
      <w:r/>
    </w:p>
    <w:p>
      <w:pPr>
        <w:ind w:firstLine="420"/>
        <w:spacing w:line="252" w:lineRule="auto"/>
        <w:rPr>
          <w:rFonts w:ascii="宋体" w:hAnsi="宋体"/>
          <w:sz w:val="24"/>
          <w:lang w:val="zh-CN"/>
        </w:rPr>
      </w:pPr>
      <w:r>
        <w:rPr>
          <w:rFonts w:hint="eastAsia" w:ascii="宋体" w:hAnsi="宋体"/>
          <w:sz w:val="24"/>
          <w:lang w:val="zh-CN"/>
        </w:rPr>
        <w:t xml:space="preserve">26.1.3同一投标人提交两个（含两个）以上不同的投标报价的。</w:t>
      </w:r>
      <w:r/>
    </w:p>
    <w:p>
      <w:pPr>
        <w:ind w:firstLine="420"/>
        <w:spacing w:line="252" w:lineRule="auto"/>
        <w:rPr>
          <w:rFonts w:ascii="宋体" w:hAnsi="宋体"/>
          <w:sz w:val="24"/>
          <w:lang w:val="zh-CN"/>
        </w:rPr>
      </w:pPr>
      <w:r>
        <w:rPr>
          <w:rFonts w:hint="eastAsia" w:ascii="宋体" w:hAnsi="宋体"/>
          <w:sz w:val="24"/>
          <w:lang w:val="zh-CN"/>
        </w:rPr>
        <w:t xml:space="preserve">26.1.4投标人不具备招标文件中规定资格要求的。</w:t>
      </w:r>
      <w:r/>
    </w:p>
    <w:p>
      <w:pPr>
        <w:ind w:firstLine="420"/>
        <w:spacing w:line="252" w:lineRule="auto"/>
        <w:rPr>
          <w:rFonts w:ascii="宋体" w:hAnsi="宋体"/>
          <w:sz w:val="24"/>
          <w:lang w:val="zh-CN"/>
        </w:rPr>
      </w:pPr>
      <w:r>
        <w:rPr>
          <w:rFonts w:hint="eastAsia" w:ascii="宋体" w:hAnsi="宋体"/>
          <w:sz w:val="24"/>
          <w:lang w:val="zh-CN"/>
        </w:rPr>
        <w:t xml:space="preserve">26.1.5投标人的报价超过了采购预算或最高限价的。</w:t>
      </w:r>
      <w:r/>
    </w:p>
    <w:p>
      <w:pPr>
        <w:ind w:firstLine="420"/>
        <w:spacing w:line="252" w:lineRule="auto"/>
        <w:rPr>
          <w:rFonts w:ascii="宋体" w:hAnsi="宋体"/>
          <w:sz w:val="24"/>
          <w:lang w:val="zh-CN"/>
        </w:rPr>
      </w:pPr>
      <w:r>
        <w:rPr>
          <w:rFonts w:hint="eastAsia" w:ascii="宋体" w:hAnsi="宋体"/>
          <w:sz w:val="24"/>
          <w:lang w:val="zh-CN"/>
        </w:rPr>
        <w:t xml:space="preserve">26.1.6未通过符合性审查的。</w:t>
      </w:r>
      <w:r/>
    </w:p>
    <w:p>
      <w:pPr>
        <w:ind w:firstLine="420"/>
        <w:spacing w:line="252" w:lineRule="auto"/>
        <w:rPr>
          <w:rFonts w:ascii="宋体" w:hAnsi="宋体"/>
          <w:sz w:val="24"/>
          <w:lang w:val="zh-CN"/>
        </w:rPr>
      </w:pPr>
      <w:r>
        <w:rPr>
          <w:rFonts w:hint="eastAsia" w:ascii="宋体" w:hAnsi="宋体"/>
          <w:sz w:val="24"/>
          <w:lang w:val="zh-CN"/>
        </w:rPr>
        <w:t xml:space="preserve">26.1.7不符合招标文件中规定的实质性要求和条件的（</w:t>
      </w:r>
      <w:r>
        <w:rPr>
          <w:rFonts w:hint="eastAsia" w:ascii="宋体" w:hAnsi="宋体"/>
          <w:i/>
          <w:iCs/>
          <w:sz w:val="24"/>
          <w:u w:val="single"/>
          <w:lang w:val="zh-CN"/>
        </w:rPr>
        <w:t xml:space="preserve">本招标文件中斜体且有下划线部分，</w:t>
      </w:r>
      <w:r>
        <w:rPr>
          <w:rFonts w:hint="eastAsia" w:ascii="宋体" w:hAnsi="宋体"/>
          <w:sz w:val="24"/>
          <w:lang w:val="zh-CN"/>
        </w:rPr>
        <w:t xml:space="preserve">或者打“</w:t>
      </w:r>
      <w:r>
        <w:rPr>
          <w:rFonts w:hint="eastAsia" w:ascii="宋体" w:hAnsi="宋体"/>
          <w:sz w:val="24"/>
        </w:rPr>
        <w:t xml:space="preserve">★</w:t>
      </w:r>
      <w:r>
        <w:rPr>
          <w:rFonts w:hint="eastAsia" w:ascii="宋体" w:hAnsi="宋体"/>
          <w:sz w:val="24"/>
          <w:lang w:val="zh-CN"/>
        </w:rPr>
        <w:t xml:space="preserve">”内容为实质性要求和条件）。</w:t>
      </w:r>
      <w:r/>
    </w:p>
    <w:p>
      <w:pPr>
        <w:ind w:firstLine="420"/>
        <w:spacing w:line="252" w:lineRule="auto"/>
        <w:rPr>
          <w:rFonts w:ascii="宋体" w:hAnsi="宋体"/>
          <w:sz w:val="24"/>
          <w:lang w:val="zh-CN"/>
        </w:rPr>
      </w:pPr>
      <w:r>
        <w:rPr>
          <w:rFonts w:hint="eastAsia" w:ascii="宋体" w:hAnsi="宋体"/>
          <w:sz w:val="24"/>
          <w:lang w:val="zh-CN"/>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252" w:lineRule="auto"/>
        <w:rPr>
          <w:rFonts w:ascii="宋体" w:hAnsi="宋体"/>
          <w:sz w:val="24"/>
          <w:lang w:val="zh-CN"/>
        </w:rPr>
      </w:pPr>
      <w:r>
        <w:rPr>
          <w:rFonts w:hint="eastAsia" w:ascii="宋体" w:hAnsi="宋体"/>
          <w:sz w:val="24"/>
          <w:lang w:val="zh-CN"/>
        </w:rPr>
        <w:t xml:space="preserve">26.1.9投标文件含有采购人不能接受的附加条件的。</w:t>
      </w:r>
      <w:r/>
    </w:p>
    <w:p>
      <w:pPr>
        <w:ind w:firstLine="420"/>
        <w:spacing w:line="252" w:lineRule="auto"/>
        <w:rPr>
          <w:rFonts w:ascii="宋体" w:hAnsi="宋体"/>
          <w:sz w:val="24"/>
          <w:lang w:val="zh-CN"/>
        </w:rPr>
      </w:pPr>
      <w:r>
        <w:rPr>
          <w:rFonts w:hint="eastAsia" w:ascii="宋体" w:hAnsi="宋体"/>
          <w:sz w:val="24"/>
          <w:lang w:val="zh-CN"/>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252" w:lineRule="auto"/>
        <w:rPr>
          <w:rFonts w:ascii="宋体" w:hAnsi="宋体"/>
          <w:sz w:val="24"/>
          <w:lang w:val="zh-CN"/>
        </w:rPr>
      </w:pPr>
      <w:r>
        <w:rPr>
          <w:rFonts w:hint="eastAsia" w:ascii="宋体" w:hAnsi="宋体"/>
          <w:sz w:val="24"/>
          <w:lang w:val="zh-CN"/>
        </w:rPr>
        <w:t xml:space="preserve">26.1.11</w:t>
      </w:r>
      <w:r>
        <w:rPr>
          <w:rFonts w:hint="eastAsia" w:ascii="宋体" w:hAnsi="宋体"/>
          <w:sz w:val="24"/>
          <w:szCs w:val="21"/>
        </w:rPr>
        <w:t xml:space="preserve">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p>
    <w:p>
      <w:pPr>
        <w:ind w:firstLine="420"/>
        <w:spacing w:line="252" w:lineRule="auto"/>
        <w:rPr>
          <w:rFonts w:ascii="宋体" w:hAnsi="宋体"/>
          <w:sz w:val="24"/>
          <w:lang w:val="zh-CN"/>
        </w:rPr>
      </w:pPr>
      <w:r>
        <w:rPr>
          <w:rFonts w:hint="eastAsia" w:ascii="宋体" w:hAnsi="宋体"/>
          <w:sz w:val="24"/>
          <w:lang w:val="zh-CN"/>
        </w:rPr>
        <w:t xml:space="preserve">26.1.1</w:t>
      </w:r>
      <w:r>
        <w:rPr>
          <w:rFonts w:hint="eastAsia" w:ascii="宋体" w:hAnsi="宋体"/>
          <w:sz w:val="24"/>
        </w:rPr>
        <w:t xml:space="preserve">2</w:t>
      </w:r>
      <w:r>
        <w:rPr>
          <w:rFonts w:hint="eastAsia" w:ascii="宋体" w:hAnsi="宋体"/>
          <w:sz w:val="24"/>
          <w:lang w:val="zh-CN"/>
        </w:rPr>
        <w:t xml:space="preserve">投标文件未按照招标文件要求加盖CA电子公章的。</w:t>
      </w:r>
      <w:r/>
    </w:p>
    <w:p>
      <w:pPr>
        <w:ind w:firstLine="420"/>
        <w:spacing w:line="252" w:lineRule="auto"/>
        <w:rPr>
          <w:rFonts w:ascii="宋体" w:hAnsi="宋体"/>
          <w:sz w:val="24"/>
          <w:lang w:val="zh-CN"/>
        </w:rPr>
      </w:pPr>
      <w:r>
        <w:rPr>
          <w:rFonts w:hint="eastAsia" w:ascii="宋体" w:hAnsi="宋体"/>
          <w:sz w:val="24"/>
          <w:lang w:val="zh-CN"/>
        </w:rPr>
        <w:t xml:space="preserve">26.1.1</w:t>
      </w:r>
      <w:r>
        <w:rPr>
          <w:rFonts w:hint="eastAsia" w:ascii="宋体" w:hAnsi="宋体"/>
          <w:sz w:val="24"/>
        </w:rPr>
        <w:t xml:space="preserve">3</w:t>
      </w:r>
      <w:r>
        <w:rPr>
          <w:rFonts w:hint="eastAsia" w:ascii="宋体" w:hAnsi="宋体"/>
          <w:sz w:val="24"/>
          <w:lang w:val="zh-CN"/>
        </w:rPr>
        <w:t xml:space="preserve">其他法律、法规及本招标文件规定的属无效投标的情形。</w:t>
      </w:r>
      <w:r/>
    </w:p>
    <w:p>
      <w:pPr>
        <w:ind w:firstLine="420"/>
        <w:spacing w:line="252" w:lineRule="auto"/>
        <w:rPr>
          <w:rFonts w:ascii="宋体" w:hAnsi="宋体"/>
          <w:sz w:val="24"/>
          <w:lang w:val="zh-CN"/>
        </w:rPr>
      </w:pPr>
      <w:r>
        <w:rPr>
          <w:rFonts w:hint="eastAsia" w:ascii="宋体" w:hAnsi="宋体"/>
          <w:sz w:val="24"/>
          <w:lang w:val="zh-CN"/>
        </w:rPr>
        <w:t xml:space="preserve">26.2废标条款</w:t>
      </w:r>
      <w:r/>
    </w:p>
    <w:p>
      <w:pPr>
        <w:ind w:firstLine="420"/>
        <w:spacing w:line="252" w:lineRule="auto"/>
        <w:rPr>
          <w:rFonts w:ascii="宋体" w:hAnsi="宋体"/>
          <w:sz w:val="24"/>
          <w:lang w:val="zh-CN"/>
        </w:rPr>
      </w:pPr>
      <w:r>
        <w:rPr>
          <w:rFonts w:hint="eastAsia" w:ascii="宋体" w:hAnsi="宋体"/>
          <w:sz w:val="24"/>
          <w:lang w:val="zh-CN"/>
        </w:rPr>
        <w:t xml:space="preserve">26.2.1符合专业条件的供应商或者对招标文件作实质响应的供应商不足三家的。</w:t>
      </w:r>
      <w:r/>
    </w:p>
    <w:p>
      <w:pPr>
        <w:ind w:firstLine="420"/>
        <w:spacing w:line="252" w:lineRule="auto"/>
        <w:rPr>
          <w:rFonts w:ascii="宋体" w:hAnsi="宋体"/>
          <w:sz w:val="24"/>
          <w:lang w:val="zh-CN"/>
        </w:rPr>
      </w:pPr>
      <w:r>
        <w:rPr>
          <w:rFonts w:hint="eastAsia" w:ascii="宋体" w:hAnsi="宋体"/>
          <w:sz w:val="24"/>
          <w:lang w:val="zh-CN"/>
        </w:rPr>
        <w:t xml:space="preserve">26.2.2出现影响采购公正的违法、违规行为的。</w:t>
      </w:r>
      <w:r/>
    </w:p>
    <w:p>
      <w:pPr>
        <w:ind w:firstLine="420"/>
        <w:spacing w:line="252" w:lineRule="auto"/>
        <w:rPr>
          <w:rFonts w:ascii="宋体" w:hAnsi="宋体"/>
          <w:sz w:val="24"/>
          <w:lang w:val="zh-CN"/>
        </w:rPr>
      </w:pPr>
      <w:r>
        <w:rPr>
          <w:rFonts w:hint="eastAsia" w:ascii="宋体" w:hAnsi="宋体"/>
          <w:sz w:val="24"/>
          <w:lang w:val="zh-CN"/>
        </w:rPr>
        <w:t xml:space="preserve">26.2.3因重大变故，采购任务取消的。</w:t>
      </w:r>
      <w:r/>
    </w:p>
    <w:p>
      <w:pPr>
        <w:ind w:firstLine="420"/>
        <w:spacing w:line="252" w:lineRule="auto"/>
        <w:rPr>
          <w:rFonts w:ascii="宋体" w:hAnsi="宋体"/>
          <w:sz w:val="24"/>
          <w:lang w:val="zh-CN"/>
        </w:rPr>
      </w:pPr>
      <w:r>
        <w:rPr>
          <w:rFonts w:hint="eastAsia" w:ascii="宋体" w:hAnsi="宋体"/>
          <w:sz w:val="24"/>
          <w:lang w:val="zh-CN"/>
        </w:rPr>
        <w:t xml:space="preserve">26.2.4评委会认定招标文件存在歧义、重大缺陷导致评审工作无法进行。</w:t>
      </w:r>
      <w:r/>
    </w:p>
    <w:p>
      <w:pPr>
        <w:ind w:firstLine="420"/>
        <w:spacing w:line="252" w:lineRule="auto"/>
        <w:rPr>
          <w:rFonts w:ascii="宋体" w:hAnsi="宋体"/>
          <w:sz w:val="24"/>
          <w:lang w:val="zh-CN"/>
        </w:rPr>
      </w:pPr>
      <w:r>
        <w:rPr>
          <w:rFonts w:hint="eastAsia" w:ascii="宋体" w:hAnsi="宋体"/>
          <w:sz w:val="24"/>
          <w:lang w:val="zh-CN"/>
        </w:rPr>
        <w:t xml:space="preserve">26.2.5因苏采云系统故障原因造成开标不成功的。</w:t>
      </w:r>
      <w:r/>
    </w:p>
    <w:p>
      <w:pPr>
        <w:ind w:firstLine="420"/>
        <w:spacing w:line="252" w:lineRule="auto"/>
        <w:rPr>
          <w:rFonts w:ascii="宋体" w:hAnsi="宋体"/>
          <w:sz w:val="24"/>
          <w:lang w:val="zh-CN"/>
        </w:rPr>
      </w:pPr>
      <w:r>
        <w:rPr>
          <w:rFonts w:hint="eastAsia" w:ascii="宋体" w:hAnsi="宋体"/>
          <w:sz w:val="24"/>
          <w:lang w:val="zh-CN"/>
        </w:rPr>
        <w:t xml:space="preserve">26.3 投标截止时间后参加投标的供应商不足三家的处理</w:t>
      </w:r>
      <w:r/>
    </w:p>
    <w:p>
      <w:pPr>
        <w:ind w:firstLine="420"/>
        <w:spacing w:line="252" w:lineRule="auto"/>
        <w:rPr>
          <w:rFonts w:ascii="宋体" w:hAnsi="宋体"/>
          <w:sz w:val="24"/>
          <w:lang w:val="zh-CN"/>
        </w:rPr>
      </w:pPr>
      <w:r>
        <w:rPr>
          <w:rFonts w:hint="eastAsia" w:ascii="宋体" w:hAnsi="宋体"/>
          <w:sz w:val="24"/>
          <w:lang w:val="zh-CN"/>
        </w:rPr>
        <w:t xml:space="preserve">26.3.1如出现投标截止时间后参加投标的供应商或者在评标期间对招标文件做出实质响应的供应商不足三家情况，按政府采购相关规定执行。</w:t>
      </w:r>
      <w:r/>
    </w:p>
    <w:p>
      <w:pPr>
        <w:pStyle w:val="971"/>
        <w:ind w:firstLine="482"/>
        <w:spacing w:before="145" w:after="145" w:line="252"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973"/>
        <w:ind w:firstLine="420"/>
        <w:spacing w:before="0" w:after="0" w:line="252" w:lineRule="auto"/>
        <w:rPr>
          <w:rFonts w:ascii="黑体" w:hAnsi="黑体" w:cs="黑体"/>
          <w:b w:val="0"/>
          <w:bCs w:val="0"/>
        </w:rPr>
      </w:pPr>
      <w:r/>
      <w:bookmarkStart w:id="171" w:name="_Toc513029238"/>
      <w:r/>
      <w:bookmarkStart w:id="172" w:name="_Toc16938554"/>
      <w:r/>
      <w:bookmarkStart w:id="173" w:name="_Toc20823310"/>
      <w:r>
        <w:rPr>
          <w:rFonts w:hint="eastAsia" w:ascii="黑体" w:hAnsi="黑体" w:cs="黑体"/>
          <w:b w:val="0"/>
          <w:bCs w:val="0"/>
        </w:rPr>
        <w:t xml:space="preserve">27、</w:t>
      </w:r>
      <w:bookmarkEnd w:id="171"/>
      <w:r>
        <w:rPr>
          <w:rFonts w:hint="eastAsia" w:ascii="黑体" w:hAnsi="黑体" w:cs="黑体"/>
          <w:b w:val="0"/>
          <w:bCs w:val="0"/>
        </w:rPr>
        <w:t xml:space="preserve">确定</w:t>
      </w:r>
      <w:bookmarkEnd w:id="172"/>
      <w:r/>
      <w:bookmarkEnd w:id="173"/>
      <w:r>
        <w:rPr>
          <w:rFonts w:hint="eastAsia" w:ascii="黑体" w:hAnsi="黑体" w:cs="黑体"/>
          <w:b w:val="0"/>
          <w:bCs w:val="0"/>
        </w:rPr>
        <w:t xml:space="preserve">中标单位</w:t>
      </w:r>
      <w:r/>
    </w:p>
    <w:p>
      <w:pPr>
        <w:ind w:firstLine="420"/>
        <w:spacing w:line="252" w:lineRule="auto"/>
        <w:rPr>
          <w:rFonts w:ascii="宋体" w:hAnsi="宋体"/>
          <w:sz w:val="24"/>
          <w:lang w:val="zh-CN"/>
        </w:rPr>
      </w:pPr>
      <w:r>
        <w:rPr>
          <w:rFonts w:hint="eastAsia" w:ascii="宋体" w:hAnsi="宋体"/>
          <w:sz w:val="24"/>
          <w:lang w:val="zh-CN"/>
        </w:rPr>
        <w:t xml:space="preserve">27.1中标候选人的选取原则和数量见招标文件第五章规定。 </w:t>
      </w:r>
      <w:r/>
    </w:p>
    <w:p>
      <w:pPr>
        <w:ind w:firstLine="420"/>
        <w:spacing w:line="252" w:lineRule="auto"/>
        <w:rPr>
          <w:rFonts w:ascii="宋体" w:hAnsi="宋体"/>
          <w:sz w:val="24"/>
          <w:lang w:val="zh-CN"/>
        </w:rPr>
      </w:pPr>
      <w:r>
        <w:rPr>
          <w:rFonts w:hint="eastAsia" w:ascii="宋体" w:hAnsi="宋体"/>
          <w:sz w:val="24"/>
          <w:lang w:val="zh-CN"/>
        </w:rPr>
        <w:t xml:space="preserve">27.2 按以下第（1）种方式确定中标人</w:t>
      </w:r>
      <w:r/>
    </w:p>
    <w:p>
      <w:pPr>
        <w:ind w:firstLine="420"/>
        <w:spacing w:line="252" w:lineRule="auto"/>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spacing w:line="252" w:lineRule="auto"/>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spacing w:line="252" w:lineRule="auto"/>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按第二种方式确定中标人的，交易中心自评审结束之日起两个工作日内将评审报告送交采购人，采购人自收到评审报告之日起五个工作日内在评审报告推荐的中标候选人中按顺序确定中标人。</w:t>
      </w:r>
      <w:r/>
    </w:p>
    <w:p>
      <w:pPr>
        <w:ind w:firstLine="420"/>
        <w:spacing w:line="252" w:lineRule="auto"/>
        <w:rPr>
          <w:rFonts w:ascii="宋体" w:hAnsi="宋体"/>
          <w:sz w:val="24"/>
          <w:lang w:val="zh-CN"/>
        </w:rPr>
      </w:pPr>
      <w:r>
        <w:rPr>
          <w:rFonts w:hint="eastAsia" w:ascii="宋体" w:hAnsi="宋体"/>
          <w:sz w:val="24"/>
          <w:lang w:val="zh-CN"/>
        </w:rPr>
        <w:t xml:space="preserve">27.3 交易中心将在“江苏政府采购网”发布中标公告，公告期限为1个工作日。</w:t>
      </w:r>
      <w:r/>
    </w:p>
    <w:p>
      <w:pPr>
        <w:ind w:firstLine="420"/>
        <w:spacing w:line="252" w:lineRule="auto"/>
        <w:rPr>
          <w:rFonts w:ascii="宋体" w:hAnsi="宋体"/>
          <w:sz w:val="24"/>
          <w:lang w:val="zh-CN"/>
        </w:rPr>
      </w:pPr>
      <w:r>
        <w:rPr>
          <w:rFonts w:hint="eastAsia" w:ascii="宋体" w:hAnsi="宋体"/>
          <w:sz w:val="24"/>
          <w:lang w:val="zh-CN"/>
        </w:rPr>
        <w:t xml:space="preserve">27.4若有充分证据证明，中标人出现下列情况之一的，一经查实，将被取消中标资格：</w:t>
      </w:r>
      <w:r/>
    </w:p>
    <w:p>
      <w:pPr>
        <w:ind w:firstLine="420"/>
        <w:spacing w:line="252" w:lineRule="auto"/>
        <w:rPr>
          <w:rFonts w:ascii="宋体" w:hAnsi="宋体"/>
          <w:sz w:val="24"/>
          <w:lang w:val="zh-CN"/>
        </w:rPr>
      </w:pPr>
      <w:r>
        <w:rPr>
          <w:rFonts w:hint="eastAsia" w:ascii="宋体" w:hAnsi="宋体"/>
          <w:sz w:val="24"/>
          <w:lang w:val="zh-CN"/>
        </w:rPr>
        <w:t xml:space="preserve">27.4.1提供虚假材料谋取中标的。</w:t>
      </w:r>
      <w:r/>
    </w:p>
    <w:p>
      <w:pPr>
        <w:ind w:firstLine="420"/>
        <w:spacing w:line="252" w:lineRule="auto"/>
        <w:rPr>
          <w:rFonts w:ascii="宋体" w:hAnsi="宋体"/>
          <w:sz w:val="24"/>
          <w:lang w:val="zh-CN"/>
        </w:rPr>
      </w:pPr>
      <w:r>
        <w:rPr>
          <w:rFonts w:hint="eastAsia" w:ascii="宋体" w:hAnsi="宋体"/>
          <w:sz w:val="24"/>
          <w:lang w:val="zh-CN"/>
        </w:rPr>
        <w:t xml:space="preserve">27.4.2向采购人、交易中心行贿或者提供其他不正当利益的。</w:t>
      </w:r>
      <w:r/>
    </w:p>
    <w:p>
      <w:pPr>
        <w:ind w:firstLine="420"/>
        <w:spacing w:line="252" w:lineRule="auto"/>
        <w:rPr>
          <w:rFonts w:ascii="宋体" w:hAnsi="宋体"/>
          <w:sz w:val="24"/>
          <w:lang w:val="zh-CN"/>
        </w:rPr>
      </w:pPr>
      <w:r>
        <w:rPr>
          <w:rFonts w:hint="eastAsia" w:ascii="宋体" w:hAnsi="宋体"/>
          <w:sz w:val="24"/>
          <w:lang w:val="zh-CN"/>
        </w:rPr>
        <w:t xml:space="preserve">27.4.3属于本文件规定的无效条件，但在评标过程中又未被评委会发现的。</w:t>
      </w:r>
      <w:r/>
    </w:p>
    <w:p>
      <w:pPr>
        <w:ind w:firstLine="420"/>
        <w:spacing w:line="252" w:lineRule="auto"/>
        <w:rPr>
          <w:rFonts w:ascii="宋体" w:hAnsi="宋体"/>
          <w:sz w:val="24"/>
          <w:lang w:val="zh-CN"/>
        </w:rPr>
      </w:pPr>
      <w:r>
        <w:rPr>
          <w:rFonts w:hint="eastAsia" w:ascii="宋体" w:hAnsi="宋体"/>
          <w:sz w:val="24"/>
          <w:lang w:val="zh-CN"/>
        </w:rPr>
        <w:t xml:space="preserve">27.4.4与采购人或者其他供应商恶意串通的。</w:t>
      </w:r>
      <w:r/>
    </w:p>
    <w:p>
      <w:pPr>
        <w:ind w:firstLine="420"/>
        <w:spacing w:line="252" w:lineRule="auto"/>
        <w:rPr>
          <w:rFonts w:ascii="宋体" w:hAnsi="宋体"/>
          <w:sz w:val="24"/>
          <w:lang w:val="zh-CN"/>
        </w:rPr>
      </w:pPr>
      <w:r>
        <w:rPr>
          <w:rFonts w:hint="eastAsia" w:ascii="宋体" w:hAnsi="宋体"/>
          <w:sz w:val="24"/>
          <w:lang w:val="zh-CN"/>
        </w:rPr>
        <w:t xml:space="preserve">27.4.5采取不正当手段诋毁、排挤其他供应商的。</w:t>
      </w:r>
      <w:r/>
    </w:p>
    <w:p>
      <w:pPr>
        <w:ind w:firstLine="420"/>
        <w:spacing w:line="252" w:lineRule="auto"/>
        <w:rPr>
          <w:rFonts w:ascii="宋体" w:hAnsi="宋体"/>
          <w:sz w:val="24"/>
          <w:lang w:val="zh-CN"/>
        </w:rPr>
      </w:pPr>
      <w:r/>
      <w:bookmarkStart w:id="174" w:name="_Toc200451960"/>
      <w:r>
        <w:rPr>
          <w:rFonts w:hint="eastAsia" w:ascii="宋体" w:hAnsi="宋体"/>
          <w:sz w:val="24"/>
          <w:lang w:val="zh-CN"/>
        </w:rPr>
        <w:t xml:space="preserve">27.5有下列情形之一的，视为投标人串通投标，投标无效：</w:t>
      </w:r>
      <w:r/>
    </w:p>
    <w:p>
      <w:pPr>
        <w:ind w:firstLine="420"/>
        <w:spacing w:line="252" w:lineRule="auto"/>
        <w:rPr>
          <w:rFonts w:ascii="宋体" w:hAnsi="宋体"/>
          <w:sz w:val="24"/>
          <w:lang w:val="zh-CN"/>
        </w:rPr>
      </w:pPr>
      <w:r>
        <w:rPr>
          <w:rFonts w:hint="eastAsia" w:ascii="宋体" w:hAnsi="宋体"/>
          <w:sz w:val="24"/>
          <w:lang w:val="zh-CN"/>
        </w:rPr>
        <w:t xml:space="preserve">27.5.1不同投标人的投标文件由同一单位或者个人编制。</w:t>
      </w:r>
      <w:r/>
    </w:p>
    <w:p>
      <w:pPr>
        <w:ind w:firstLine="420"/>
        <w:spacing w:line="252" w:lineRule="auto"/>
        <w:rPr>
          <w:rFonts w:ascii="宋体" w:hAnsi="宋体"/>
          <w:sz w:val="24"/>
          <w:lang w:val="zh-CN"/>
        </w:rPr>
      </w:pPr>
      <w:r>
        <w:rPr>
          <w:rFonts w:hint="eastAsia" w:ascii="宋体" w:hAnsi="宋体"/>
          <w:sz w:val="24"/>
          <w:lang w:val="zh-CN"/>
        </w:rPr>
        <w:t xml:space="preserve">27.5.2不同投标人委托同一单位或者个人办理投标事宜。</w:t>
      </w:r>
      <w:r/>
    </w:p>
    <w:p>
      <w:pPr>
        <w:ind w:firstLine="420"/>
        <w:spacing w:line="252" w:lineRule="auto"/>
        <w:rPr>
          <w:rFonts w:ascii="宋体" w:hAnsi="宋体"/>
          <w:sz w:val="24"/>
          <w:lang w:val="zh-CN"/>
        </w:rPr>
      </w:pPr>
      <w:r>
        <w:rPr>
          <w:rFonts w:hint="eastAsia" w:ascii="宋体" w:hAnsi="宋体"/>
          <w:sz w:val="24"/>
          <w:lang w:val="zh-CN"/>
        </w:rPr>
        <w:t xml:space="preserve">27.5.3不同投标人的投标文件载明的项目管理成员或者联系人员为同一人。</w:t>
      </w:r>
      <w:r/>
    </w:p>
    <w:p>
      <w:pPr>
        <w:ind w:firstLine="420"/>
        <w:spacing w:line="252" w:lineRule="auto"/>
        <w:rPr>
          <w:rFonts w:ascii="宋体" w:hAnsi="宋体"/>
          <w:sz w:val="24"/>
          <w:lang w:val="zh-CN"/>
        </w:rPr>
      </w:pPr>
      <w:r>
        <w:rPr>
          <w:rFonts w:hint="eastAsia" w:ascii="宋体" w:hAnsi="宋体"/>
          <w:sz w:val="24"/>
          <w:lang w:val="zh-CN"/>
        </w:rPr>
        <w:t xml:space="preserve">27.5.4不同投标人的投标文件异常一致或者投标报价呈规律性差异。</w:t>
      </w:r>
      <w:r/>
    </w:p>
    <w:p>
      <w:pPr>
        <w:pStyle w:val="973"/>
        <w:ind w:firstLine="420"/>
        <w:spacing w:before="0" w:after="0" w:line="252" w:lineRule="auto"/>
        <w:rPr>
          <w:rFonts w:ascii="黑体" w:hAnsi="黑体" w:cs="黑体"/>
          <w:b w:val="0"/>
          <w:bCs w:val="0"/>
        </w:rPr>
      </w:pPr>
      <w:r>
        <w:rPr>
          <w:rFonts w:hint="eastAsia" w:ascii="黑体" w:hAnsi="黑体" w:cs="黑体"/>
          <w:b w:val="0"/>
          <w:bCs w:val="0"/>
        </w:rPr>
        <w:t xml:space="preserve">28、质疑处理</w:t>
      </w:r>
      <w:bookmarkEnd w:id="174"/>
      <w:r/>
      <w:r/>
    </w:p>
    <w:p>
      <w:pPr>
        <w:ind w:firstLine="420"/>
        <w:spacing w:line="252" w:lineRule="auto"/>
        <w:rPr>
          <w:rFonts w:ascii="宋体" w:hAnsi="宋体"/>
          <w:sz w:val="24"/>
          <w:lang w:val="zh-CN"/>
        </w:rPr>
      </w:pPr>
      <w:r>
        <w:rPr>
          <w:rFonts w:hint="eastAsia" w:ascii="宋体" w:hAnsi="宋体"/>
          <w:sz w:val="24"/>
          <w:lang w:val="zh-CN"/>
        </w:rPr>
        <w:t xml:space="preserve">28.1 提出质疑的供应商应当是参与所质疑项目采购活动的供应商。潜在供应商依法获取其可质疑的采购文件的，可以对采购文件提出质疑。</w:t>
      </w:r>
      <w:r/>
    </w:p>
    <w:p>
      <w:pPr>
        <w:ind w:firstLine="420"/>
        <w:spacing w:line="252" w:lineRule="auto"/>
        <w:rPr>
          <w:rFonts w:ascii="宋体" w:hAnsi="宋体"/>
          <w:sz w:val="24"/>
          <w:lang w:val="zh-CN"/>
        </w:rPr>
      </w:pPr>
      <w:r>
        <w:rPr>
          <w:rFonts w:hint="eastAsia" w:ascii="宋体" w:hAnsi="宋体"/>
          <w:sz w:val="24"/>
          <w:lang w:val="zh-CN"/>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20"/>
        <w:spacing w:line="252" w:lineRule="auto"/>
        <w:rPr>
          <w:rFonts w:ascii="宋体" w:hAnsi="宋体"/>
          <w:sz w:val="24"/>
          <w:lang w:val="zh-CN"/>
        </w:rPr>
      </w:pPr>
      <w:r>
        <w:rPr>
          <w:rFonts w:hint="eastAsia" w:ascii="宋体" w:hAnsi="宋体"/>
          <w:sz w:val="24"/>
          <w:lang w:val="zh-CN"/>
        </w:rPr>
        <w:t xml:space="preserve">28.2.1对可以质疑的采购文件提出质疑的，为收到采购文件之日或者采购文件公告期限届满之日。</w:t>
      </w:r>
      <w:r/>
    </w:p>
    <w:p>
      <w:pPr>
        <w:ind w:firstLine="420"/>
        <w:spacing w:line="252" w:lineRule="auto"/>
        <w:rPr>
          <w:rFonts w:ascii="宋体" w:hAnsi="宋体"/>
          <w:sz w:val="24"/>
          <w:lang w:val="zh-CN"/>
        </w:rPr>
      </w:pPr>
      <w:r>
        <w:rPr>
          <w:rFonts w:hint="eastAsia" w:ascii="宋体" w:hAnsi="宋体"/>
          <w:sz w:val="24"/>
          <w:lang w:val="zh-CN"/>
        </w:rPr>
        <w:t xml:space="preserve">28.2.2对采购过程提出质疑的，为各采购程序环节结束之日。</w:t>
      </w:r>
      <w:r/>
    </w:p>
    <w:p>
      <w:pPr>
        <w:ind w:firstLine="420"/>
        <w:spacing w:line="252" w:lineRule="auto"/>
        <w:rPr>
          <w:rFonts w:ascii="宋体" w:hAnsi="宋体"/>
          <w:sz w:val="24"/>
          <w:lang w:val="zh-CN"/>
        </w:rPr>
      </w:pPr>
      <w:r>
        <w:rPr>
          <w:rFonts w:hint="eastAsia" w:ascii="宋体" w:hAnsi="宋体"/>
          <w:sz w:val="24"/>
          <w:lang w:val="zh-CN"/>
        </w:rPr>
        <w:t xml:space="preserve">28.2.3对中标或者成交结果提出质疑的，为中标或者成交结果公告期限届满之日。</w:t>
      </w:r>
      <w:r/>
    </w:p>
    <w:p>
      <w:pPr>
        <w:ind w:firstLine="420"/>
        <w:spacing w:line="252" w:lineRule="auto"/>
        <w:rPr>
          <w:rFonts w:ascii="宋体" w:hAnsi="宋体"/>
          <w:sz w:val="24"/>
          <w:lang w:val="zh-CN"/>
        </w:rPr>
      </w:pP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20"/>
        <w:spacing w:line="252" w:lineRule="auto"/>
        <w:rPr>
          <w:rFonts w:ascii="宋体" w:hAnsi="宋体"/>
          <w:sz w:val="24"/>
          <w:lang w:val="zh-CN"/>
        </w:rPr>
      </w:pPr>
      <w:r>
        <w:rPr>
          <w:rFonts w:hint="eastAsia" w:ascii="宋体" w:hAnsi="宋体"/>
          <w:sz w:val="24"/>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252" w:lineRule="auto"/>
        <w:rPr>
          <w:rFonts w:ascii="宋体" w:hAnsi="宋体"/>
          <w:sz w:val="24"/>
        </w:rPr>
      </w:pPr>
      <w:r>
        <w:rPr>
          <w:rFonts w:hint="eastAsia" w:ascii="宋体" w:hAnsi="宋体"/>
          <w:sz w:val="24"/>
          <w:lang w:val="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20"/>
        <w:spacing w:line="252" w:lineRule="auto"/>
        <w:rPr>
          <w:rFonts w:ascii="宋体" w:hAnsi="宋体"/>
          <w:sz w:val="24"/>
          <w:lang w:val="zh-CN"/>
        </w:rPr>
      </w:pPr>
      <w:r>
        <w:rPr>
          <w:rFonts w:hint="eastAsia" w:ascii="宋体" w:hAnsi="宋体"/>
          <w:sz w:val="24"/>
          <w:lang w:val="zh-CN"/>
        </w:rPr>
        <w:t xml:space="preserve">交易中心和采购人只接收以纸质原件形式送达的质疑,建议供应商尽量通过邮寄方式提交质疑（交易中心和采购人不接受未填写快递运单的快件）。</w:t>
      </w:r>
      <w:r/>
    </w:p>
    <w:p>
      <w:pPr>
        <w:ind w:firstLine="422"/>
        <w:spacing w:line="252" w:lineRule="auto"/>
        <w:rPr>
          <w:rFonts w:ascii="宋体" w:hAnsi="宋体" w:cs="宋体"/>
          <w:bCs/>
          <w:sz w:val="24"/>
          <w:szCs w:val="24"/>
          <w:lang w:val="zh-CN"/>
        </w:rPr>
      </w:pPr>
      <w:r>
        <w:rPr>
          <w:rFonts w:hint="eastAsia" w:ascii="宋体" w:hAnsi="宋体" w:cs="宋体"/>
          <w:bCs/>
          <w:sz w:val="24"/>
          <w:szCs w:val="24"/>
          <w:lang w:val="zh-CN"/>
        </w:rPr>
        <w:t xml:space="preserve">采购人质疑接收人及联系方式为南京市浦口区人民政府桥林街道办事处，联系地址：南京市浦口区桥林街道农业服务中心（南京市浦口区听莺路1号），联系人：陈主任，联系电话：</w:t>
      </w:r>
      <w:r>
        <w:rPr>
          <w:rFonts w:ascii="宋体" w:hAnsi="宋体" w:cs="宋体"/>
          <w:bCs/>
          <w:sz w:val="24"/>
          <w:szCs w:val="24"/>
          <w:lang w:val="zh-CN"/>
        </w:rPr>
        <w:t xml:space="preserve">18012924966</w:t>
      </w:r>
      <w:r>
        <w:rPr>
          <w:rFonts w:hint="eastAsia" w:ascii="宋体" w:hAnsi="宋体" w:cs="宋体"/>
          <w:bCs/>
          <w:sz w:val="24"/>
          <w:szCs w:val="24"/>
          <w:lang w:val="zh-CN"/>
        </w:rPr>
        <w:t xml:space="preserve"> 。</w:t>
      </w:r>
      <w:r/>
    </w:p>
    <w:p>
      <w:pPr>
        <w:ind w:firstLine="420"/>
        <w:spacing w:line="252" w:lineRule="auto"/>
        <w:rPr>
          <w:rFonts w:ascii="宋体" w:hAnsi="宋体"/>
          <w:sz w:val="24"/>
          <w:lang w:val="zh-CN"/>
        </w:rPr>
      </w:pPr>
      <w:r>
        <w:rPr>
          <w:rFonts w:hint="eastAsia" w:ascii="宋体" w:hAnsi="宋体"/>
          <w:sz w:val="24"/>
          <w:lang w:val="zh-CN"/>
        </w:rPr>
        <w:t xml:space="preserve">交易中心质疑接收部门为业务受理窗口（快递运单上的收件人填写“业务受理窗口”即可），联系地址：南京市浦口区江浦街道象山路4号浦口市民中心B幢五楼</w:t>
      </w:r>
      <w:r>
        <w:rPr>
          <w:rFonts w:hint="eastAsia" w:ascii="宋体" w:hAnsi="宋体"/>
          <w:sz w:val="24"/>
        </w:rPr>
        <w:t xml:space="preserve">南京市公共资源交易中心浦口分中心</w:t>
      </w:r>
      <w:r>
        <w:rPr>
          <w:rFonts w:hint="eastAsia" w:ascii="宋体" w:hAnsi="宋体"/>
          <w:sz w:val="24"/>
          <w:lang w:val="zh-CN"/>
        </w:rPr>
        <w:t xml:space="preserve">业务</w:t>
      </w:r>
      <w:r>
        <w:rPr>
          <w:rFonts w:hint="eastAsia" w:ascii="宋体" w:hAnsi="宋体"/>
          <w:sz w:val="24"/>
          <w:szCs w:val="24"/>
          <w:lang w:val="zh-CN"/>
        </w:rPr>
        <w:t xml:space="preserve">受理科</w:t>
      </w:r>
      <w:r>
        <w:rPr>
          <w:rFonts w:hint="eastAsia" w:ascii="宋体" w:hAnsi="宋体"/>
          <w:sz w:val="24"/>
          <w:lang w:val="zh-CN"/>
        </w:rPr>
        <w:t xml:space="preserve">，联系电话：</w:t>
      </w:r>
      <w:r>
        <w:rPr>
          <w:rFonts w:hint="eastAsia" w:ascii="宋体" w:hAnsi="宋体"/>
          <w:sz w:val="24"/>
          <w:szCs w:val="24"/>
          <w:u w:val="single"/>
        </w:rPr>
        <w:t xml:space="preserve">  025-69659058  </w:t>
      </w:r>
      <w:r>
        <w:rPr>
          <w:rFonts w:hint="eastAsia" w:ascii="宋体" w:hAnsi="宋体"/>
          <w:sz w:val="24"/>
          <w:lang w:val="zh-CN"/>
        </w:rPr>
        <w:t xml:space="preserve">。</w:t>
      </w:r>
      <w:r/>
    </w:p>
    <w:p>
      <w:pPr>
        <w:ind w:firstLine="420"/>
        <w:spacing w:line="252" w:lineRule="auto"/>
        <w:rPr>
          <w:rFonts w:ascii="宋体" w:hAnsi="宋体"/>
          <w:sz w:val="24"/>
          <w:lang w:val="zh-CN"/>
        </w:rPr>
      </w:pPr>
      <w:r>
        <w:rPr>
          <w:rFonts w:hint="eastAsia" w:ascii="宋体" w:hAnsi="宋体"/>
          <w:sz w:val="24"/>
          <w:lang w:val="zh-CN"/>
        </w:rPr>
        <w:t xml:space="preserve">28.5 以下情形的质疑不予受理：</w:t>
      </w:r>
      <w:r/>
    </w:p>
    <w:p>
      <w:pPr>
        <w:ind w:firstLine="420"/>
        <w:spacing w:line="252" w:lineRule="auto"/>
        <w:rPr>
          <w:rFonts w:ascii="宋体" w:hAnsi="宋体"/>
          <w:sz w:val="24"/>
          <w:lang w:val="zh-CN"/>
        </w:rPr>
      </w:pPr>
      <w:r>
        <w:rPr>
          <w:rFonts w:hint="eastAsia" w:ascii="宋体" w:hAnsi="宋体"/>
          <w:sz w:val="24"/>
          <w:lang w:val="zh-CN"/>
        </w:rPr>
        <w:t xml:space="preserve">28.5.1内容不符合《政府采购质疑和投诉办法》第十二条规定的质疑。</w:t>
      </w:r>
      <w:r/>
    </w:p>
    <w:p>
      <w:pPr>
        <w:ind w:firstLine="420"/>
        <w:spacing w:line="252" w:lineRule="auto"/>
        <w:rPr>
          <w:rFonts w:ascii="宋体" w:hAnsi="宋体"/>
          <w:sz w:val="24"/>
          <w:lang w:val="zh-CN"/>
        </w:rPr>
      </w:pPr>
      <w:r>
        <w:rPr>
          <w:rFonts w:hint="eastAsia" w:ascii="宋体" w:hAnsi="宋体"/>
          <w:sz w:val="24"/>
          <w:lang w:val="zh-CN"/>
        </w:rPr>
        <w:t xml:space="preserve">28.5.2超出政府采购法定期限的质疑。</w:t>
      </w:r>
      <w:r/>
    </w:p>
    <w:p>
      <w:pPr>
        <w:ind w:firstLine="420"/>
        <w:spacing w:line="252" w:lineRule="auto"/>
        <w:rPr>
          <w:rFonts w:ascii="宋体" w:hAnsi="宋体"/>
          <w:sz w:val="24"/>
          <w:lang w:val="zh-CN"/>
        </w:rPr>
      </w:pPr>
      <w:r>
        <w:rPr>
          <w:rFonts w:hint="eastAsia" w:ascii="宋体" w:hAnsi="宋体"/>
          <w:sz w:val="24"/>
          <w:lang w:val="zh-CN"/>
        </w:rPr>
        <w:t xml:space="preserve">28.5.3以传真、电子邮件等方式递交的非原件形式的质疑。</w:t>
      </w:r>
      <w:r/>
    </w:p>
    <w:p>
      <w:pPr>
        <w:ind w:firstLine="420"/>
        <w:spacing w:line="252" w:lineRule="auto"/>
        <w:rPr>
          <w:rFonts w:ascii="宋体" w:hAnsi="宋体"/>
          <w:sz w:val="24"/>
          <w:lang w:val="zh-CN"/>
        </w:rPr>
      </w:pPr>
      <w:r>
        <w:rPr>
          <w:rFonts w:hint="eastAsia" w:ascii="宋体" w:hAnsi="宋体"/>
          <w:sz w:val="24"/>
          <w:lang w:val="zh-CN"/>
        </w:rPr>
        <w:t xml:space="preserve">28.5.4未参加投标活动的供应商或在投标活动中自身权益未受到损害的供应商所提出的质疑。</w:t>
      </w:r>
      <w:r/>
    </w:p>
    <w:p>
      <w:pPr>
        <w:ind w:firstLine="420"/>
        <w:spacing w:line="252" w:lineRule="auto"/>
        <w:rPr>
          <w:rFonts w:ascii="宋体" w:hAnsi="宋体"/>
          <w:sz w:val="24"/>
          <w:lang w:val="zh-CN"/>
        </w:rPr>
      </w:pPr>
      <w:r>
        <w:rPr>
          <w:rFonts w:hint="eastAsia" w:ascii="宋体" w:hAnsi="宋体"/>
          <w:sz w:val="24"/>
          <w:lang w:val="zh-CN"/>
        </w:rPr>
        <w:t xml:space="preserve">28.5.5供应商组成联合体参加投标，联合体中任何一方或多方未按要求签字、盖章、加盖公章的质疑。</w:t>
      </w:r>
      <w:r/>
    </w:p>
    <w:p>
      <w:pPr>
        <w:ind w:firstLine="420"/>
        <w:spacing w:line="252" w:lineRule="auto"/>
        <w:rPr>
          <w:rFonts w:ascii="宋体" w:hAnsi="宋体"/>
          <w:sz w:val="24"/>
          <w:lang w:val="zh-CN"/>
        </w:rPr>
      </w:pPr>
      <w:r>
        <w:rPr>
          <w:rFonts w:hint="eastAsia" w:ascii="宋体" w:hAnsi="宋体"/>
          <w:sz w:val="24"/>
          <w:lang w:val="zh-CN"/>
        </w:rPr>
        <w:t xml:space="preserve">28.6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73"/>
        <w:ind w:firstLine="420"/>
        <w:spacing w:before="0" w:after="0" w:line="252" w:lineRule="auto"/>
        <w:rPr>
          <w:rFonts w:ascii="黑体" w:hAnsi="黑体" w:cs="黑体"/>
          <w:b w:val="0"/>
          <w:bCs w:val="0"/>
        </w:rPr>
      </w:pPr>
      <w:r>
        <w:rPr>
          <w:rFonts w:hint="eastAsia" w:ascii="黑体" w:hAnsi="黑体" w:cs="黑体"/>
          <w:b w:val="0"/>
          <w:bCs w:val="0"/>
        </w:rPr>
        <w:t xml:space="preserve">29、中标通知书</w:t>
      </w:r>
      <w:r/>
    </w:p>
    <w:p>
      <w:pPr>
        <w:ind w:firstLine="420"/>
        <w:spacing w:line="252" w:lineRule="auto"/>
        <w:rPr>
          <w:rFonts w:ascii="宋体" w:hAnsi="宋体"/>
          <w:sz w:val="24"/>
          <w:lang w:val="zh-CN"/>
        </w:rPr>
      </w:pPr>
      <w:r>
        <w:rPr>
          <w:rFonts w:hint="eastAsia" w:ascii="宋体" w:hAnsi="宋体"/>
          <w:sz w:val="24"/>
          <w:lang w:val="zh-CN"/>
        </w:rPr>
        <w:t xml:space="preserve">29.l 中标结果确定后，交易中心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p>
    <w:p>
      <w:pPr>
        <w:ind w:firstLine="420"/>
        <w:spacing w:line="252" w:lineRule="auto"/>
        <w:rPr>
          <w:rFonts w:ascii="宋体" w:hAnsi="宋体"/>
          <w:sz w:val="24"/>
          <w:lang w:val="zh-CN"/>
        </w:rPr>
      </w:pPr>
      <w:r>
        <w:rPr>
          <w:rFonts w:hint="eastAsia" w:ascii="宋体" w:hAnsi="宋体"/>
          <w:sz w:val="24"/>
          <w:lang w:val="zh-CN"/>
        </w:rPr>
        <w:t xml:space="preserve">29.2中标通知书将是合同的一个组成部分。对采购人和中标人均具有法律效力。中标通知书发出后，采购人改变中标结果的，或者中标人放弃中标项目的，应当依法承担法律责任。</w:t>
      </w:r>
      <w:r/>
    </w:p>
    <w:p>
      <w:pPr>
        <w:pStyle w:val="971"/>
        <w:ind w:firstLine="482"/>
        <w:spacing w:before="145" w:after="145" w:line="252" w:lineRule="auto"/>
      </w:pPr>
      <w:r/>
      <w:bookmarkStart w:id="175" w:name="_Toc16938552"/>
      <w:r/>
      <w:bookmarkStart w:id="176" w:name="_Toc20823308"/>
      <w:r/>
      <w:bookmarkStart w:id="177" w:name="_Toc513029236"/>
      <w:r/>
      <w:bookmarkStart w:id="178" w:name="_Toc120614220"/>
      <w:r>
        <w:rPr>
          <w:rFonts w:hint="eastAsia"/>
        </w:rPr>
        <w:t xml:space="preserve">七、授予合同</w:t>
      </w:r>
      <w:bookmarkEnd w:id="175"/>
      <w:r/>
      <w:bookmarkEnd w:id="176"/>
      <w:r/>
      <w:bookmarkEnd w:id="177"/>
      <w:r/>
      <w:bookmarkEnd w:id="178"/>
      <w:r/>
      <w:r/>
    </w:p>
    <w:p>
      <w:pPr>
        <w:pStyle w:val="973"/>
        <w:ind w:firstLine="420"/>
        <w:spacing w:before="0" w:after="0" w:line="252" w:lineRule="auto"/>
        <w:rPr>
          <w:rFonts w:ascii="黑体" w:hAnsi="黑体" w:cs="黑体"/>
          <w:b w:val="0"/>
          <w:bCs w:val="0"/>
        </w:rPr>
      </w:pPr>
      <w:r/>
      <w:bookmarkStart w:id="179" w:name="_Toc20823309"/>
      <w:r/>
      <w:bookmarkStart w:id="180" w:name="_Toc513029237"/>
      <w:r/>
      <w:bookmarkStart w:id="181" w:name="_Toc16938553"/>
      <w:r>
        <w:rPr>
          <w:rFonts w:hint="eastAsia" w:ascii="黑体" w:hAnsi="黑体" w:cs="黑体"/>
          <w:b w:val="0"/>
          <w:bCs w:val="0"/>
        </w:rPr>
        <w:t xml:space="preserve">30、签订合同</w:t>
      </w:r>
      <w:r/>
    </w:p>
    <w:p>
      <w:pPr>
        <w:ind w:firstLine="420"/>
        <w:spacing w:line="252" w:lineRule="auto"/>
        <w:rPr>
          <w:rFonts w:ascii="宋体" w:hAnsi="宋体"/>
          <w:sz w:val="24"/>
          <w:lang w:val="zh-CN"/>
        </w:rPr>
      </w:pPr>
      <w:r>
        <w:rPr>
          <w:rFonts w:hint="eastAsia" w:ascii="宋体" w:hAnsi="宋体"/>
          <w:sz w:val="24"/>
          <w:lang w:val="zh-CN"/>
        </w:rPr>
        <w:t xml:space="preserve">30.l中标人应当在中标通知书发出之日起三十日内，按照招标文件确定的事项与采</w:t>
      </w:r>
      <w:r>
        <w:rPr>
          <w:rFonts w:hint="eastAsia" w:ascii="宋体" w:hAnsi="宋体"/>
          <w:sz w:val="24"/>
          <w:lang w:val="zh-CN"/>
        </w:rPr>
        <w:t xml:space="preserve">购人签订政府采购合同。</w:t>
      </w:r>
      <w:r/>
    </w:p>
    <w:p>
      <w:pPr>
        <w:ind w:firstLine="420"/>
        <w:spacing w:line="252" w:lineRule="auto"/>
        <w:rPr>
          <w:rFonts w:ascii="宋体" w:hAnsi="宋体"/>
          <w:sz w:val="24"/>
          <w:lang w:val="zh-CN"/>
        </w:rPr>
      </w:pPr>
      <w:r>
        <w:rPr>
          <w:rFonts w:hint="eastAsia" w:ascii="宋体" w:hAnsi="宋体"/>
          <w:sz w:val="24"/>
          <w:lang w:val="zh-CN"/>
        </w:rPr>
        <w:t xml:space="preserve">30.2 招标文件、中标人的投标文件及招标过程中有关澄清、承诺文件均应作为合同附件。</w:t>
      </w:r>
      <w:r/>
    </w:p>
    <w:p>
      <w:pPr>
        <w:ind w:firstLine="420"/>
        <w:spacing w:line="252" w:lineRule="auto"/>
        <w:rPr>
          <w:rFonts w:ascii="宋体" w:hAnsi="宋体"/>
          <w:sz w:val="24"/>
          <w:lang w:val="zh-CN"/>
        </w:rPr>
      </w:pPr>
      <w:r>
        <w:rPr>
          <w:rFonts w:hint="eastAsia" w:ascii="宋体" w:hAnsi="宋体"/>
          <w:sz w:val="24"/>
          <w:lang w:val="zh-CN"/>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973"/>
        <w:ind w:firstLine="420"/>
        <w:spacing w:before="0" w:after="0" w:line="252" w:lineRule="auto"/>
        <w:rPr>
          <w:rFonts w:ascii="黑体" w:hAnsi="黑体" w:cs="黑体"/>
          <w:b w:val="0"/>
          <w:bCs w:val="0"/>
        </w:rPr>
      </w:pPr>
      <w:r>
        <w:rPr>
          <w:rFonts w:hint="eastAsia" w:ascii="黑体" w:hAnsi="黑体" w:cs="黑体"/>
          <w:b w:val="0"/>
          <w:bCs w:val="0"/>
        </w:rPr>
        <w:t xml:space="preserve">31、服务（包含与服务相关的货物）的追加</w:t>
      </w:r>
      <w:r/>
    </w:p>
    <w:p>
      <w:pPr>
        <w:ind w:firstLine="420"/>
        <w:spacing w:line="252" w:lineRule="auto"/>
        <w:rPr>
          <w:rFonts w:ascii="宋体" w:hAnsi="宋体"/>
          <w:sz w:val="24"/>
          <w:lang w:val="zh-CN"/>
        </w:rPr>
      </w:pPr>
      <w:r>
        <w:rPr>
          <w:rFonts w:hint="eastAsia" w:ascii="宋体" w:hAnsi="宋体"/>
          <w:sz w:val="24"/>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9"/>
      <w:r/>
      <w:bookmarkEnd w:id="180"/>
      <w:r/>
      <w:bookmarkEnd w:id="181"/>
      <w:r/>
      <w:r/>
    </w:p>
    <w:p>
      <w:pPr>
        <w:pStyle w:val="973"/>
        <w:ind w:firstLine="420"/>
        <w:spacing w:before="0" w:after="0" w:line="252" w:lineRule="auto"/>
        <w:rPr>
          <w:rFonts w:ascii="黑体" w:hAnsi="黑体" w:cs="黑体"/>
          <w:b w:val="0"/>
          <w:bCs w:val="0"/>
        </w:rPr>
      </w:pPr>
      <w:r>
        <w:rPr>
          <w:rFonts w:hint="eastAsia" w:ascii="黑体" w:hAnsi="黑体" w:cs="黑体"/>
          <w:b w:val="0"/>
          <w:bCs w:val="0"/>
        </w:rPr>
        <w:t xml:space="preserve">32、政府采购履约资金扶持政策</w:t>
      </w:r>
      <w:r/>
    </w:p>
    <w:p>
      <w:pPr>
        <w:ind w:firstLine="420"/>
        <w:spacing w:line="252" w:lineRule="auto"/>
        <w:rPr>
          <w:rFonts w:ascii="宋体" w:hAnsi="宋体"/>
          <w:sz w:val="24"/>
          <w:lang w:val="zh-CN"/>
        </w:rPr>
      </w:pPr>
      <w:r>
        <w:rPr>
          <w:rFonts w:hint="eastAsia" w:ascii="宋体" w:hAnsi="宋体"/>
          <w:sz w:val="24"/>
        </w:rPr>
        <w:t xml:space="preserve">32.1 </w:t>
      </w:r>
      <w:r>
        <w:rPr>
          <w:rFonts w:hint="eastAsia" w:ascii="宋体" w:hAnsi="宋体"/>
          <w:sz w:val="24"/>
          <w:lang w:val="zh-CN"/>
        </w:rPr>
        <w:t xml:space="preserve">中标人可</w:t>
      </w:r>
      <w:r>
        <w:rPr>
          <w:rFonts w:hint="eastAsia" w:ascii="宋体" w:hAnsi="宋体"/>
          <w:sz w:val="24"/>
        </w:rPr>
        <w:t xml:space="preserve">通过</w:t>
      </w:r>
      <w:r>
        <w:rPr>
          <w:rFonts w:hint="eastAsia" w:ascii="宋体" w:hAnsi="宋体"/>
          <w:sz w:val="24"/>
          <w:lang w:val="zh-CN"/>
        </w:rPr>
        <w:t xml:space="preserve">南京市公共资源交易中心网站“小企业融资平台”，凭政府采购合同</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pStyle w:val="708"/>
        <w:rPr>
          <w:color w:val="auto"/>
        </w:rPr>
      </w:pPr>
      <w:r>
        <w:rPr>
          <w:color w:val="auto"/>
        </w:rPr>
      </w:r>
      <w:r/>
    </w:p>
    <w:p>
      <w:pPr>
        <w:rPr>
          <w:rFonts w:ascii="宋体" w:hAnsi="宋体"/>
          <w:sz w:val="24"/>
          <w:lang w:val="zh-CN"/>
        </w:rPr>
      </w:pPr>
      <w:r>
        <w:rPr>
          <w:rFonts w:ascii="宋体" w:hAnsi="宋体"/>
          <w:sz w:val="24"/>
          <w:lang w:val="zh-CN"/>
        </w:rPr>
      </w:r>
      <w:r/>
    </w:p>
    <w:p>
      <w:pPr>
        <w:pStyle w:val="708"/>
        <w:rPr>
          <w:color w:val="auto"/>
        </w:rPr>
      </w:pPr>
      <w:r>
        <w:rPr>
          <w:color w:val="auto"/>
        </w:rPr>
      </w:r>
      <w:r/>
    </w:p>
    <w:p>
      <w:pPr>
        <w:rPr>
          <w:lang w:val="zh-CN"/>
        </w:rPr>
      </w:pPr>
      <w:r>
        <w:rPr>
          <w:lang w:val="zh-CN"/>
        </w:rPr>
      </w:r>
      <w:r/>
    </w:p>
    <w:p>
      <w:pPr>
        <w:pStyle w:val="708"/>
        <w:rPr>
          <w:color w:val="auto"/>
        </w:rPr>
      </w:pPr>
      <w:r>
        <w:rPr>
          <w:color w:val="auto"/>
        </w:rPr>
      </w:r>
      <w:r/>
    </w:p>
    <w:p>
      <w:pPr>
        <w:rPr>
          <w:lang w:val="zh-CN"/>
        </w:rPr>
      </w:pPr>
      <w:r>
        <w:rPr>
          <w:lang w:val="zh-CN"/>
        </w:rPr>
      </w:r>
      <w:r/>
    </w:p>
    <w:p>
      <w:pPr>
        <w:pStyle w:val="708"/>
        <w:rPr>
          <w:color w:val="auto"/>
        </w:rPr>
      </w:pPr>
      <w:r>
        <w:rPr>
          <w:color w:val="auto"/>
        </w:rPr>
      </w:r>
      <w:r/>
    </w:p>
    <w:p>
      <w:r/>
      <w:r/>
    </w:p>
    <w:p>
      <w:pPr>
        <w:pStyle w:val="708"/>
        <w:rPr>
          <w:color w:val="auto"/>
        </w:rPr>
      </w:pPr>
      <w:r>
        <w:rPr>
          <w:color w:val="auto"/>
        </w:rPr>
      </w:r>
      <w:r/>
    </w:p>
    <w:p>
      <w:r/>
      <w:r/>
    </w:p>
    <w:p>
      <w:pPr>
        <w:pStyle w:val="708"/>
        <w:rPr>
          <w:color w:val="auto"/>
        </w:rPr>
      </w:pPr>
      <w:r>
        <w:rPr>
          <w:color w:val="auto"/>
        </w:rPr>
      </w:r>
      <w:r/>
    </w:p>
    <w:p>
      <w:r/>
      <w:r/>
    </w:p>
    <w:p>
      <w:pPr>
        <w:rPr>
          <w:lang w:val="zh-CN"/>
        </w:rPr>
      </w:pPr>
      <w:r>
        <w:rPr>
          <w:lang w:val="zh-CN"/>
        </w:rPr>
      </w:r>
      <w:r/>
    </w:p>
    <w:p>
      <w:pPr>
        <w:ind w:right="840"/>
        <w:jc w:val="center"/>
        <w:rPr>
          <w:rFonts w:ascii="黑体" w:eastAsia="黑体"/>
          <w:sz w:val="44"/>
          <w:szCs w:val="44"/>
        </w:rPr>
      </w:pPr>
      <w:r>
        <w:rPr>
          <w:rFonts w:hint="eastAsia" w:ascii="黑体" w:eastAsia="黑体"/>
          <w:sz w:val="44"/>
          <w:szCs w:val="44"/>
        </w:rPr>
        <w:t xml:space="preserve">第三章  合同</w:t>
      </w:r>
      <w:bookmarkEnd w:id="50"/>
      <w:r/>
      <w:bookmarkEnd w:id="51"/>
      <w:r/>
      <w:bookmarkEnd w:id="52"/>
      <w:r/>
      <w:bookmarkEnd w:id="53"/>
      <w:r/>
      <w:bookmarkEnd w:id="54"/>
      <w:r>
        <w:rPr>
          <w:rFonts w:hint="eastAsia" w:ascii="黑体" w:eastAsia="黑体"/>
          <w:sz w:val="44"/>
          <w:szCs w:val="44"/>
        </w:rPr>
        <w:t xml:space="preserve">文本</w:t>
      </w:r>
      <w:r/>
    </w:p>
    <w:p>
      <w:pPr>
        <w:ind w:firstLine="480"/>
        <w:spacing w:line="288" w:lineRule="auto"/>
        <w:rPr>
          <w:rFonts w:ascii="宋体" w:hAnsi="宋体"/>
          <w:bCs/>
          <w:sz w:val="24"/>
          <w:szCs w:val="21"/>
        </w:rPr>
      </w:pPr>
      <w:r/>
      <w:bookmarkStart w:id="182" w:name="_Toc20823315"/>
      <w:r/>
      <w:bookmarkStart w:id="183" w:name="_Toc16938559"/>
      <w:r/>
      <w:bookmarkStart w:id="184" w:name="_Toc513029243"/>
      <w:r>
        <w:rPr>
          <w:rFonts w:hint="eastAsia" w:ascii="宋体" w:hAnsi="宋体"/>
          <w:bCs/>
          <w:sz w:val="24"/>
          <w:szCs w:val="21"/>
        </w:rPr>
        <w:t xml:space="preserve">以下为中标后签定本项目合同的通用条款，中标人不得提出实质性的修改。</w:t>
      </w:r>
      <w:r/>
    </w:p>
    <w:p>
      <w:pPr>
        <w:jc w:val="center"/>
        <w:spacing w:before="145" w:after="145" w:line="288" w:lineRule="auto"/>
        <w:rPr>
          <w:rFonts w:ascii="宋体" w:hAnsi="宋体"/>
          <w:b/>
          <w:sz w:val="30"/>
          <w:szCs w:val="21"/>
        </w:rPr>
        <w:outlineLvl w:val="0"/>
      </w:pPr>
      <w:r>
        <w:rPr>
          <w:rFonts w:ascii="宋体" w:hAnsi="宋体"/>
          <w:b/>
          <w:sz w:val="30"/>
          <w:szCs w:val="21"/>
        </w:rPr>
      </w:r>
      <w:r/>
    </w:p>
    <w:p>
      <w:pPr>
        <w:jc w:val="center"/>
        <w:spacing w:before="145" w:after="145" w:line="288" w:lineRule="auto"/>
        <w:rPr>
          <w:rFonts w:ascii="宋体" w:hAnsi="宋体"/>
          <w:b/>
          <w:bCs/>
          <w:sz w:val="30"/>
          <w:szCs w:val="20"/>
        </w:rPr>
        <w:outlineLvl w:val="0"/>
      </w:pPr>
      <w:r>
        <w:rPr>
          <w:rFonts w:hint="eastAsia" w:ascii="宋体" w:hAnsi="宋体"/>
          <w:b/>
          <w:sz w:val="30"/>
          <w:szCs w:val="21"/>
        </w:rPr>
        <w:t xml:space="preserve">南京市政府采购合同（货物）（合同编号）</w:t>
      </w:r>
      <w:r/>
    </w:p>
    <w:p>
      <w:pPr>
        <w:spacing w:before="120" w:after="120" w:line="288" w:lineRule="auto"/>
        <w:rPr>
          <w:rFonts w:ascii="宋体" w:hAnsi="宋体" w:cs="Courier New"/>
          <w:sz w:val="24"/>
          <w:szCs w:val="24"/>
        </w:rPr>
      </w:pPr>
      <w:r>
        <w:rPr>
          <w:rFonts w:ascii="宋体" w:hAnsi="宋体" w:cs="Courier New"/>
          <w:sz w:val="24"/>
          <w:szCs w:val="24"/>
        </w:rPr>
        <w:t xml:space="preserve">项目名称：                                       项目编号：</w:t>
      </w:r>
      <w:r/>
    </w:p>
    <w:p>
      <w:pPr>
        <w:spacing w:before="120" w:after="120" w:line="288" w:lineRule="auto"/>
        <w:rPr>
          <w:rFonts w:ascii="宋体" w:hAnsi="宋体" w:cs="Courier New"/>
          <w:sz w:val="24"/>
          <w:szCs w:val="24"/>
          <w:u w:val="single"/>
        </w:rPr>
      </w:pPr>
      <w:r>
        <w:rPr>
          <w:rFonts w:ascii="宋体" w:hAnsi="宋体" w:cs="Courier New"/>
          <w:sz w:val="24"/>
          <w:szCs w:val="24"/>
        </w:rPr>
        <w:t xml:space="preserve">甲方：（买方）</w:t>
      </w:r>
      <w:r>
        <w:rPr>
          <w:rFonts w:hint="eastAsia" w:ascii="宋体" w:hAnsi="宋体" w:cs="Courier New"/>
          <w:sz w:val="24"/>
          <w:szCs w:val="24"/>
          <w:u w:val="single"/>
        </w:rPr>
        <w:t xml:space="preserve">南京市浦口区人民政府桥林街道办事处、南京市桥林现代农业发展有限公司</w:t>
      </w:r>
      <w:r/>
    </w:p>
    <w:p>
      <w:pPr>
        <w:spacing w:before="120" w:after="120" w:line="288" w:lineRule="auto"/>
        <w:rPr>
          <w:rFonts w:ascii="宋体" w:hAnsi="宋体" w:cs="Courier New"/>
          <w:sz w:val="24"/>
          <w:szCs w:val="24"/>
        </w:rPr>
      </w:pPr>
      <w:r>
        <w:rPr>
          <w:rFonts w:ascii="宋体" w:hAnsi="宋体" w:cs="Courier New"/>
          <w:sz w:val="24"/>
          <w:szCs w:val="24"/>
        </w:rPr>
        <w:t xml:space="preserve">乙方：（卖方）_________</w:t>
      </w:r>
      <w:r/>
    </w:p>
    <w:p>
      <w:pPr>
        <w:spacing w:before="120" w:after="120" w:line="288" w:lineRule="auto"/>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w:t>
      </w:r>
      <w:r>
        <w:rPr>
          <w:rFonts w:hint="eastAsia" w:ascii="宋体" w:hAnsi="宋体" w:cs="宋体"/>
          <w:sz w:val="24"/>
          <w:szCs w:val="24"/>
        </w:rPr>
        <w:t xml:space="preserve">浦口分中心</w:t>
      </w:r>
      <w:r>
        <w:rPr>
          <w:rFonts w:ascii="宋体" w:hAnsi="宋体" w:cs="Courier New"/>
          <w:sz w:val="24"/>
          <w:szCs w:val="24"/>
        </w:rPr>
        <w:t xml:space="preserve">项目公开招标的结果，签署本合同。</w:t>
      </w:r>
      <w:r/>
    </w:p>
    <w:p>
      <w:pPr>
        <w:spacing w:before="120" w:after="120" w:line="288" w:lineRule="auto"/>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line="288"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line="288" w:lineRule="auto"/>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p>
    <w:p>
      <w:pPr>
        <w:spacing w:before="120" w:after="120" w:line="288" w:lineRule="auto"/>
        <w:rPr>
          <w:rFonts w:ascii="宋体" w:hAnsi="宋体" w:cs="Courier New"/>
          <w:sz w:val="24"/>
          <w:szCs w:val="24"/>
        </w:rPr>
      </w:pPr>
      <w:r>
        <w:rPr>
          <w:rFonts w:hint="eastAsia" w:ascii="宋体" w:hAnsi="宋体" w:cs="Courier New"/>
          <w:sz w:val="24"/>
          <w:szCs w:val="24"/>
        </w:rPr>
        <w:t xml:space="preserve">1.3 标的数量（规模）：</w:t>
      </w:r>
      <w:r/>
    </w:p>
    <w:p>
      <w:pPr>
        <w:spacing w:before="120" w:after="120" w:line="288" w:lineRule="auto"/>
        <w:rPr>
          <w:rFonts w:ascii="宋体" w:hAnsi="宋体" w:cs="Courier New"/>
          <w:color w:val="000000"/>
          <w:sz w:val="24"/>
          <w:szCs w:val="24"/>
        </w:rPr>
      </w:pPr>
      <w:r>
        <w:rPr>
          <w:rFonts w:hint="eastAsia" w:ascii="宋体" w:hAnsi="宋体" w:cs="Courier New"/>
          <w:sz w:val="24"/>
          <w:szCs w:val="24"/>
        </w:rPr>
        <w:t xml:space="preserve">1.4 履行时间（期限）：</w:t>
      </w:r>
      <w:r>
        <w:rPr>
          <w:rFonts w:hint="eastAsia" w:ascii="宋体" w:hAnsi="宋体" w:cs="Courier New"/>
          <w:color w:val="000000"/>
          <w:sz w:val="24"/>
          <w:szCs w:val="24"/>
        </w:rPr>
        <w:t xml:space="preserve">880天（交付期150天、质保期730天），中标后30日内签订合同，合同签订后150日内交付，自验收报告签字确认日起开始进入质保期。</w:t>
      </w:r>
      <w:r/>
    </w:p>
    <w:p>
      <w:pPr>
        <w:spacing w:before="120" w:after="120" w:line="288" w:lineRule="auto"/>
        <w:rPr>
          <w:rFonts w:ascii="宋体" w:hAnsi="宋体" w:cs="Courier New"/>
          <w:sz w:val="24"/>
          <w:szCs w:val="24"/>
        </w:rPr>
      </w:pPr>
      <w:r>
        <w:rPr>
          <w:rFonts w:hint="eastAsia" w:ascii="宋体" w:hAnsi="宋体" w:cs="Courier New"/>
          <w:sz w:val="24"/>
          <w:szCs w:val="24"/>
        </w:rPr>
        <w:t xml:space="preserve">1.5 履行地点：</w:t>
      </w:r>
      <w:r/>
    </w:p>
    <w:p>
      <w:pPr>
        <w:spacing w:before="120" w:after="120" w:line="288"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p>
    <w:p>
      <w:pPr>
        <w:spacing w:before="120" w:after="120" w:line="288" w:lineRule="auto"/>
        <w:rPr>
          <w:rFonts w:ascii="宋体" w:hAnsi="宋体" w:cs="Courier New"/>
          <w:sz w:val="24"/>
          <w:szCs w:val="24"/>
        </w:rPr>
      </w:pPr>
      <w:r>
        <w:rPr>
          <w:rFonts w:hint="eastAsia" w:ascii="宋体" w:hAnsi="宋体" w:cs="Courier New"/>
          <w:sz w:val="24"/>
          <w:szCs w:val="24"/>
        </w:rPr>
        <w:t xml:space="preserve">1.7 包装方式：</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1.8乙方根据甲方需求提供下列货物：</w:t>
      </w:r>
      <w:r/>
    </w:p>
    <w:tbl>
      <w:tblPr>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5"/>
        <w:gridCol w:w="3435"/>
        <w:gridCol w:w="1771"/>
        <w:gridCol w:w="1772"/>
        <w:gridCol w:w="1528"/>
      </w:tblGrid>
      <w:tr>
        <w:trPr>
          <w:jc w:val="center"/>
          <w:trHeight w:val="454"/>
        </w:trPr>
        <w:tc>
          <w:tcPr>
            <w:tcW w:w="745"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序号</w:t>
            </w:r>
            <w:r/>
          </w:p>
        </w:tc>
        <w:tc>
          <w:tcPr>
            <w:tcW w:w="3435"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项目名称</w:t>
            </w:r>
            <w:r/>
          </w:p>
        </w:tc>
        <w:tc>
          <w:tcPr>
            <w:tcW w:w="1771"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技术要求</w:t>
            </w:r>
            <w:r/>
          </w:p>
        </w:tc>
        <w:tc>
          <w:tcPr>
            <w:tcW w:w="1772"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数量</w:t>
            </w:r>
            <w:r/>
          </w:p>
        </w:tc>
        <w:tc>
          <w:tcPr>
            <w:tcW w:w="1528"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单位</w:t>
            </w:r>
            <w:r/>
          </w:p>
        </w:tc>
      </w:tr>
      <w:tr>
        <w:trPr>
          <w:jc w:val="center"/>
          <w:trHeight w:val="454"/>
        </w:trPr>
        <w:tc>
          <w:tcPr>
            <w:tcW w:w="745"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w:t>
            </w:r>
            <w:r/>
          </w:p>
        </w:tc>
        <w:tc>
          <w:tcPr>
            <w:tcW w:w="3435" w:type="dxa"/>
            <w:vAlign w:val="center"/>
            <w:textDirection w:val="lrTb"/>
            <w:noWrap w:val="false"/>
          </w:tcPr>
          <w:p>
            <w:pPr>
              <w:jc w:val="left"/>
              <w:spacing w:line="360" w:lineRule="auto"/>
              <w:widowControl/>
              <w:rPr>
                <w:rFonts w:ascii="宋体" w:hAnsi="宋体" w:cs="宋体"/>
                <w:lang w:bidi="ar"/>
              </w:rPr>
            </w:pPr>
            <w:r>
              <w:rPr>
                <w:rFonts w:hint="eastAsia" w:ascii="宋体" w:hAnsi="宋体" w:cs="宋体"/>
                <w:lang w:bidi="ar"/>
              </w:rPr>
              <w:t xml:space="preserve">浦口·兰花塘未来农业展示体验中心项目</w:t>
            </w:r>
            <w:r/>
          </w:p>
        </w:tc>
        <w:tc>
          <w:tcPr>
            <w:tcW w:w="1771" w:type="dxa"/>
            <w:vAlign w:val="center"/>
            <w:textDirection w:val="lrTb"/>
            <w:noWrap w:val="false"/>
          </w:tcPr>
          <w:p>
            <w:pPr>
              <w:jc w:val="center"/>
              <w:spacing w:line="360" w:lineRule="auto"/>
              <w:widowControl/>
              <w:rPr>
                <w:rFonts w:ascii="宋体" w:hAnsi="宋体" w:cs="宋体"/>
                <w:lang w:bidi="ar"/>
              </w:rPr>
            </w:pPr>
            <w:r>
              <w:rPr>
                <w:rFonts w:ascii="宋体" w:hAnsi="宋体" w:cs="宋体"/>
                <w:lang w:bidi="ar"/>
              </w:rPr>
              <w:t xml:space="preserve">详见采购文件</w:t>
            </w:r>
            <w:r/>
          </w:p>
        </w:tc>
        <w:tc>
          <w:tcPr>
            <w:tcW w:w="1772" w:type="dxa"/>
            <w:vAlign w:val="center"/>
            <w:textDirection w:val="lrTb"/>
            <w:noWrap w:val="false"/>
          </w:tcPr>
          <w:p>
            <w:pPr>
              <w:jc w:val="center"/>
              <w:spacing w:line="360" w:lineRule="auto"/>
              <w:widowControl/>
              <w:rPr>
                <w:rFonts w:ascii="宋体" w:hAnsi="宋体" w:cs="宋体"/>
                <w:lang w:bidi="ar"/>
              </w:rPr>
            </w:pPr>
            <w:r>
              <w:rPr>
                <w:rFonts w:hint="eastAsia" w:ascii="宋体" w:hAnsi="宋体" w:cs="宋体"/>
                <w:lang w:bidi="ar"/>
              </w:rPr>
              <w:t xml:space="preserve">1</w:t>
            </w:r>
            <w:r/>
          </w:p>
        </w:tc>
        <w:tc>
          <w:tcPr>
            <w:tcW w:w="1528" w:type="dxa"/>
            <w:vAlign w:val="center"/>
            <w:textDirection w:val="lrTb"/>
            <w:noWrap w:val="false"/>
          </w:tcPr>
          <w:p>
            <w:pPr>
              <w:jc w:val="center"/>
              <w:spacing w:line="360" w:lineRule="auto"/>
              <w:widowControl/>
              <w:rPr>
                <w:rFonts w:ascii="宋体" w:hAnsi="宋体" w:cs="宋体"/>
                <w:lang w:bidi="ar"/>
              </w:rPr>
            </w:pPr>
            <w:r>
              <w:rPr>
                <w:rFonts w:ascii="宋体" w:hAnsi="宋体" w:cs="宋体"/>
                <w:lang w:bidi="ar"/>
              </w:rPr>
              <w:t xml:space="preserve">项</w:t>
            </w:r>
            <w:r/>
          </w:p>
        </w:tc>
      </w:tr>
    </w:tbl>
    <w:p>
      <w:pPr>
        <w:ind w:firstLine="482"/>
        <w:jc w:val="left"/>
        <w:spacing w:line="360" w:lineRule="auto"/>
        <w:widowControl/>
      </w:pPr>
      <w:r>
        <w:rPr>
          <w:rFonts w:hint="eastAsia" w:ascii="宋体" w:hAnsi="宋体" w:cs="宋体"/>
          <w:szCs w:val="24"/>
          <w:lang w:bidi="ar"/>
        </w:rPr>
        <w:t xml:space="preserve">货物名称、规格及数量详见乙方投标文件</w:t>
      </w:r>
      <w:r>
        <w:rPr>
          <w:rFonts w:hint="eastAsia" w:ascii="宋体" w:hAnsi="宋体" w:cs="宋体"/>
          <w:szCs w:val="24"/>
          <w:lang w:bidi="ar"/>
        </w:rPr>
        <w:t xml:space="preserve">供货清单</w:t>
      </w:r>
      <w:r>
        <w:rPr>
          <w:rFonts w:hint="eastAsia" w:ascii="宋体" w:hAnsi="宋体" w:cs="宋体"/>
          <w:szCs w:val="24"/>
          <w:lang w:bidi="ar"/>
        </w:rPr>
        <w:t xml:space="preserve">。</w:t>
      </w:r>
      <w:r/>
    </w:p>
    <w:p>
      <w:pPr>
        <w:spacing w:before="120" w:after="120" w:line="288" w:lineRule="auto"/>
        <w:rPr>
          <w:rFonts w:ascii="宋体" w:hAnsi="宋体" w:cs="Courier New"/>
          <w:b/>
          <w:sz w:val="24"/>
          <w:szCs w:val="24"/>
        </w:rPr>
      </w:pPr>
      <w:r>
        <w:rPr>
          <w:rFonts w:ascii="宋体" w:hAnsi="宋体" w:cs="Courier New"/>
          <w:b/>
          <w:sz w:val="24"/>
          <w:szCs w:val="24"/>
        </w:rPr>
        <w:t xml:space="preserve">二、合同金额</w:t>
      </w:r>
      <w:r/>
    </w:p>
    <w:p>
      <w:pPr>
        <w:spacing w:before="120" w:after="120" w:line="288" w:lineRule="auto"/>
        <w:rPr>
          <w:rFonts w:ascii="宋体" w:hAnsi="宋体" w:cs="Courier New"/>
          <w:sz w:val="24"/>
          <w:szCs w:val="24"/>
        </w:rPr>
      </w:pPr>
      <w:r>
        <w:rPr>
          <w:rFonts w:hint="eastAsia" w:ascii="宋体" w:hAnsi="宋体" w:cs="Courier New"/>
          <w:sz w:val="24"/>
          <w:szCs w:val="24"/>
        </w:rPr>
        <w:t xml:space="preserve">2.1 本合同项下货物总价款为（大写）</w:t>
      </w:r>
      <w:r>
        <w:rPr>
          <w:rFonts w:hint="eastAsia" w:ascii="宋体" w:hAnsi="宋体" w:cs="Courier New"/>
          <w:sz w:val="24"/>
          <w:szCs w:val="24"/>
          <w:u w:val="single"/>
        </w:rPr>
        <w:t xml:space="preserve">            </w:t>
      </w:r>
      <w:r>
        <w:rPr>
          <w:rFonts w:hint="eastAsia" w:ascii="宋体" w:hAnsi="宋体" w:cs="Courier New"/>
          <w:sz w:val="24"/>
          <w:szCs w:val="24"/>
        </w:rPr>
        <w:t xml:space="preserve">人民币，分项价款详见《报价表》。</w:t>
      </w:r>
      <w:r/>
    </w:p>
    <w:p>
      <w:pPr>
        <w:spacing w:before="120" w:after="120" w:line="288" w:lineRule="auto"/>
        <w:rPr>
          <w:rFonts w:ascii="宋体" w:hAnsi="宋体" w:cs="Courier New"/>
          <w:sz w:val="24"/>
          <w:szCs w:val="24"/>
        </w:rPr>
      </w:pPr>
      <w:r>
        <w:rPr>
          <w:rFonts w:hint="eastAsia" w:ascii="宋体" w:hAnsi="宋体" w:cs="Courier New"/>
          <w:sz w:val="24"/>
          <w:szCs w:val="24"/>
        </w:rPr>
        <w:t xml:space="preserve">本合同总价款包含以下内容：</w:t>
      </w:r>
      <w:r/>
    </w:p>
    <w:p>
      <w:pPr>
        <w:spacing w:before="120" w:after="120" w:line="288" w:lineRule="auto"/>
        <w:rPr>
          <w:rFonts w:ascii="宋体" w:hAnsi="宋体" w:cs="Courier New"/>
          <w:sz w:val="24"/>
          <w:szCs w:val="24"/>
        </w:rPr>
      </w:pPr>
      <w:r>
        <w:rPr>
          <w:rFonts w:hint="eastAsia" w:ascii="宋体" w:hAnsi="宋体" w:cs="Courier New"/>
          <w:sz w:val="24"/>
          <w:szCs w:val="24"/>
        </w:rPr>
        <w:t xml:space="preserve">（1）货物设计、制造、包装、仓储、运输、装缷、保险、安装、调试及其材料、交付后抽样检测等；</w:t>
      </w:r>
      <w:r/>
    </w:p>
    <w:p>
      <w:pPr>
        <w:spacing w:before="120" w:after="120" w:line="288" w:lineRule="auto"/>
        <w:rPr>
          <w:rFonts w:ascii="宋体" w:hAnsi="宋体" w:cs="Courier New"/>
          <w:sz w:val="24"/>
          <w:szCs w:val="24"/>
        </w:rPr>
      </w:pPr>
      <w:r>
        <w:rPr>
          <w:rFonts w:hint="eastAsia" w:ascii="宋体" w:hAnsi="宋体" w:cs="Courier New"/>
          <w:sz w:val="24"/>
          <w:szCs w:val="24"/>
        </w:rPr>
        <w:t xml:space="preserve">（2）验收合格之前保管及保修期内备品备件、专用工具、伴随服务、技术图纸资料、人员培训发生的所有含税费用；</w:t>
      </w:r>
      <w:r/>
    </w:p>
    <w:p>
      <w:pPr>
        <w:spacing w:before="120" w:after="120" w:line="288" w:lineRule="auto"/>
        <w:rPr>
          <w:rFonts w:ascii="宋体" w:hAnsi="宋体" w:cs="Courier New"/>
          <w:sz w:val="24"/>
          <w:szCs w:val="24"/>
        </w:rPr>
      </w:pPr>
      <w:r>
        <w:rPr>
          <w:rFonts w:hint="eastAsia" w:ascii="宋体" w:hAnsi="宋体" w:cs="Courier New"/>
          <w:sz w:val="24"/>
          <w:szCs w:val="24"/>
        </w:rPr>
        <w:t xml:space="preserve">（3）支付给员工的工资和国家强制缴纳的各种社会保障资金；</w:t>
      </w:r>
      <w:r/>
    </w:p>
    <w:p>
      <w:pPr>
        <w:spacing w:before="120" w:after="120" w:line="288" w:lineRule="auto"/>
        <w:rPr>
          <w:rFonts w:ascii="宋体" w:hAnsi="宋体" w:cs="Courier New"/>
          <w:sz w:val="24"/>
          <w:szCs w:val="24"/>
        </w:rPr>
      </w:pPr>
      <w:r>
        <w:rPr>
          <w:rFonts w:hint="eastAsia" w:ascii="宋体" w:hAnsi="宋体" w:cs="Courier New"/>
          <w:sz w:val="24"/>
          <w:szCs w:val="24"/>
        </w:rPr>
        <w:t xml:space="preserve">（4）乙方应当提供的伴随服务/售后服务费用；</w:t>
      </w:r>
      <w:r/>
    </w:p>
    <w:p>
      <w:pPr>
        <w:spacing w:before="120" w:after="120" w:line="288" w:lineRule="auto"/>
        <w:rPr>
          <w:rFonts w:ascii="宋体" w:hAnsi="宋体" w:cs="Courier New"/>
          <w:sz w:val="24"/>
          <w:szCs w:val="24"/>
        </w:rPr>
      </w:pPr>
      <w:r>
        <w:rPr>
          <w:rFonts w:hint="eastAsia" w:ascii="宋体" w:hAnsi="宋体" w:cs="Courier New"/>
          <w:sz w:val="24"/>
          <w:szCs w:val="24"/>
        </w:rPr>
        <w:t xml:space="preserve">（5）供应商认为需要的其他费用。</w:t>
      </w:r>
      <w:r/>
    </w:p>
    <w:p>
      <w:pPr>
        <w:spacing w:before="120" w:after="120" w:line="288" w:lineRule="auto"/>
        <w:rPr>
          <w:rFonts w:ascii="宋体" w:hAnsi="宋体" w:cs="Courier New"/>
          <w:sz w:val="24"/>
          <w:szCs w:val="24"/>
        </w:rPr>
      </w:pPr>
      <w:r>
        <w:rPr>
          <w:rFonts w:hint="eastAsia" w:ascii="宋体" w:hAnsi="宋体" w:cs="Courier New"/>
          <w:sz w:val="24"/>
          <w:szCs w:val="24"/>
        </w:rPr>
        <w:t xml:space="preserve">本合同为固定单价合同，合同执行期间合同单价不变。</w:t>
      </w:r>
      <w:r/>
    </w:p>
    <w:p>
      <w:pPr>
        <w:spacing w:before="120" w:after="120" w:line="288" w:lineRule="auto"/>
        <w:rPr>
          <w:rFonts w:ascii="宋体" w:hAnsi="宋体" w:cs="Courier New"/>
          <w:b/>
          <w:sz w:val="24"/>
          <w:szCs w:val="24"/>
        </w:rPr>
      </w:pPr>
      <w:r>
        <w:rPr>
          <w:rFonts w:ascii="宋体" w:hAnsi="宋体" w:cs="Courier New"/>
          <w:b/>
          <w:sz w:val="24"/>
          <w:szCs w:val="24"/>
        </w:rPr>
        <w:t xml:space="preserve">三、技术资料</w:t>
      </w:r>
      <w:r/>
    </w:p>
    <w:p>
      <w:pPr>
        <w:spacing w:before="120" w:after="120" w:line="288" w:lineRule="auto"/>
        <w:rPr>
          <w:rFonts w:ascii="宋体" w:hAnsi="宋体" w:cs="Courier New"/>
          <w:sz w:val="24"/>
          <w:szCs w:val="24"/>
        </w:rPr>
      </w:pPr>
      <w:r>
        <w:rPr>
          <w:rFonts w:hint="eastAsia" w:ascii="宋体" w:hAnsi="宋体" w:cs="Courier New"/>
          <w:sz w:val="24"/>
          <w:szCs w:val="24"/>
        </w:rPr>
        <w:t xml:space="preserve">3.1乙方应按招标文件规定的时间向甲方提供使用货物(包含与货物相关的服务)的有关技术资料。</w:t>
      </w:r>
      <w:r/>
    </w:p>
    <w:p>
      <w:pPr>
        <w:spacing w:before="120" w:after="120" w:line="288" w:lineRule="auto"/>
        <w:rPr>
          <w:rFonts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360" w:lineRule="auto"/>
        <w:rPr>
          <w:rFonts w:ascii="宋体" w:hAnsi="宋体" w:cs="Courier New"/>
          <w:b/>
          <w:color w:val="000000"/>
          <w:sz w:val="24"/>
          <w:szCs w:val="24"/>
        </w:rPr>
      </w:pPr>
      <w:r>
        <w:rPr>
          <w:rFonts w:hint="eastAsia" w:ascii="宋体" w:hAnsi="宋体" w:cs="Courier New"/>
          <w:b/>
          <w:color w:val="000000"/>
          <w:sz w:val="24"/>
          <w:szCs w:val="24"/>
        </w:rPr>
        <w:t xml:space="preserve">四、质量保证</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4.1乙方所提供的货物的技术规格应与招标（采购）文件规定的技术规格及所附的“技术规格响应表”相一致；若技术性能无特殊说明，则按国家有关部门最新颁布的标准及规范为准。</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4.2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4.3生产过程中甲方有权至乙方生产现场检验产品质量，如发现产品质量出现问题，甲方有权要求乙方重新按照符合质量标准的要求进行返工，由此引起的任何费用均由乙方承担。</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4.4产品交付后，甲方有权对产品进行破坏性检测，如发现交付的产品与样品、检测报告、相关执行标准有差异，乙方须无偿更换为符合要求的产品，并承担由此对甲方带来的损失。</w:t>
      </w:r>
      <w:r/>
    </w:p>
    <w:p>
      <w:pPr>
        <w:ind w:left="412" w:hanging="412"/>
        <w:spacing w:before="120" w:after="120" w:line="360" w:lineRule="auto"/>
        <w:rPr>
          <w:rFonts w:ascii="宋体" w:hAnsi="宋体" w:cs="Courier New"/>
          <w:b/>
          <w:color w:val="000000"/>
          <w:sz w:val="24"/>
          <w:szCs w:val="24"/>
        </w:rPr>
      </w:pPr>
      <w:r>
        <w:rPr>
          <w:rFonts w:hint="eastAsia" w:ascii="宋体" w:hAnsi="宋体" w:cs="Courier New"/>
          <w:b/>
          <w:color w:val="000000"/>
          <w:sz w:val="24"/>
          <w:szCs w:val="24"/>
        </w:rPr>
        <w:t xml:space="preserve">五</w:t>
      </w:r>
      <w:r>
        <w:rPr>
          <w:rFonts w:ascii="宋体" w:hAnsi="宋体" w:cs="Courier New"/>
          <w:b/>
          <w:color w:val="000000"/>
          <w:sz w:val="24"/>
          <w:szCs w:val="24"/>
        </w:rPr>
        <w:t xml:space="preserve">、知识产权</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5.1乙方应保证甲方在使用、接受本合同货物（包含与货物相关的服务）或其任何一部分时不受第三方提出侵犯其专利权、版权、商标权和工业设计权等知识产权的起诉。一旦出现侵权，由乙方负全部责任。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20" w:after="120" w:line="288" w:lineRule="auto"/>
        <w:rPr>
          <w:rFonts w:ascii="宋体" w:hAnsi="宋体" w:cs="Courier New"/>
          <w:sz w:val="24"/>
          <w:szCs w:val="24"/>
          <w:u w:val="single"/>
        </w:rPr>
      </w:pPr>
      <w:r>
        <w:rPr>
          <w:rFonts w:hint="eastAsia" w:ascii="宋体" w:hAnsi="宋体" w:cs="Courier New"/>
          <w:b/>
          <w:sz w:val="24"/>
          <w:szCs w:val="24"/>
        </w:rPr>
        <w:t xml:space="preserve">六</w:t>
      </w:r>
      <w:r>
        <w:rPr>
          <w:rFonts w:ascii="宋体" w:hAnsi="宋体" w:cs="Courier New"/>
          <w:b/>
          <w:sz w:val="24"/>
          <w:szCs w:val="24"/>
        </w:rPr>
        <w:t xml:space="preserve">、产权担保</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6.1 乙方保证所交付的货物（包含与货物相关的服务）的所有权完全属于乙方且无任何</w:t>
      </w:r>
      <w:r>
        <w:rPr>
          <w:rFonts w:hint="eastAsia" w:ascii="宋体" w:hAnsi="宋体" w:cs="Courier New"/>
          <w:color w:val="000000"/>
          <w:sz w:val="24"/>
          <w:szCs w:val="24"/>
        </w:rPr>
        <w:t xml:space="preserve">抵押、查封等产权瑕疵。</w:t>
      </w:r>
      <w:r/>
    </w:p>
    <w:p>
      <w:pPr>
        <w:ind w:left="410" w:hanging="410"/>
        <w:spacing w:before="120" w:after="120" w:line="288" w:lineRule="auto"/>
        <w:rPr>
          <w:rFonts w:ascii="宋体" w:hAnsi="宋体" w:cs="Courier New"/>
          <w:b/>
          <w:sz w:val="24"/>
          <w:szCs w:val="24"/>
        </w:rPr>
      </w:pPr>
      <w:r>
        <w:rPr>
          <w:rFonts w:hint="eastAsia" w:ascii="宋体" w:hAnsi="宋体" w:cs="Courier New"/>
          <w:b/>
          <w:sz w:val="24"/>
          <w:szCs w:val="24"/>
        </w:rPr>
        <w:t xml:space="preserve">七</w:t>
      </w:r>
      <w:r>
        <w:rPr>
          <w:rFonts w:ascii="宋体" w:hAnsi="宋体" w:cs="Courier New"/>
          <w:b/>
          <w:sz w:val="24"/>
          <w:szCs w:val="24"/>
        </w:rPr>
        <w:t xml:space="preserve">、履约保证金</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7.1中标（成交）供应商应按以下第（3）方式向采购人缴纳履约保证金：</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（1）无需缴纳履约保证金；</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（2）投标保证金转为履约保证金；</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（3）以汇票、电汇、转账支票、银行保函（出具保函的银行必须是国有商业银行或股份制商业银行分行及以上银行），金额为合同金额的10%。</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7.2履约保证金的有效期至货物验收合格时止。</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7.3如乙方未能履行合同规定的义务，甲方有权从履约保证金中取得补偿。</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7.4履约保证金扣除甲方应得的补偿后的余额，在有效期满后个工作日内无息退还给乙方。</w:t>
      </w:r>
      <w:r/>
    </w:p>
    <w:p>
      <w:pPr>
        <w:spacing w:before="120" w:after="120" w:line="288" w:lineRule="auto"/>
        <w:rPr>
          <w:rFonts w:ascii="宋体" w:hAnsi="宋体"/>
          <w:b/>
          <w:sz w:val="24"/>
          <w:szCs w:val="24"/>
        </w:rPr>
      </w:pPr>
      <w:r>
        <w:rPr>
          <w:rFonts w:hint="eastAsia" w:ascii="宋体" w:hAnsi="宋体"/>
          <w:b/>
          <w:sz w:val="24"/>
          <w:szCs w:val="24"/>
        </w:rPr>
        <w:t xml:space="preserve">八、合同转包或分包</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8.1乙方不得将合同标的转包给他人履行。</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8.2乙方不得将合同标的分包给他人履行。</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8.3乙方如有转包或未经甲方同意的分包行为，甲方有权给予终止合同。八</w:t>
      </w:r>
      <w:r>
        <w:rPr>
          <w:rFonts w:ascii="宋体" w:hAnsi="宋体" w:cs="Courier New"/>
          <w:color w:val="000000"/>
          <w:sz w:val="24"/>
          <w:szCs w:val="24"/>
        </w:rPr>
        <w:t xml:space="preserve">、</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支付</w:t>
      </w:r>
      <w:r/>
    </w:p>
    <w:p>
      <w:pPr>
        <w:spacing w:before="120" w:after="120" w:line="360" w:lineRule="auto"/>
        <w:rPr>
          <w:rFonts w:ascii="宋体" w:hAnsi="宋体" w:cs="Courier New"/>
          <w:b/>
          <w:color w:val="000000"/>
          <w:sz w:val="24"/>
          <w:szCs w:val="24"/>
        </w:rPr>
      </w:pPr>
      <w:r>
        <w:rPr>
          <w:rFonts w:hint="eastAsia" w:ascii="宋体" w:hAnsi="宋体" w:cs="Courier New"/>
          <w:b/>
          <w:color w:val="000000"/>
          <w:sz w:val="24"/>
          <w:szCs w:val="24"/>
        </w:rPr>
        <w:t xml:space="preserve">九</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9.1本合同项下所有款项均以人民币支付。</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9.2本合同项下的采购资金由乙方开具发票，甲方按照本条第9.3款的约定支付。</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9.3付款条件：</w:t>
      </w:r>
      <w:r/>
    </w:p>
    <w:p>
      <w:pPr>
        <w:spacing w:line="288" w:lineRule="auto"/>
        <w:rPr>
          <w:rFonts w:ascii="宋体" w:hAnsi="宋体" w:cs="宋体"/>
          <w:color w:val="ff0000"/>
          <w:sz w:val="24"/>
          <w:szCs w:val="24"/>
        </w:rPr>
      </w:pPr>
      <w:r>
        <w:rPr>
          <w:rFonts w:hint="eastAsia" w:ascii="宋体" w:hAnsi="宋体" w:cs="宋体"/>
          <w:color w:val="ff0000"/>
          <w:sz w:val="24"/>
          <w:szCs w:val="24"/>
        </w:rPr>
        <w:t xml:space="preserve">（1）合同签订并提供进场证明材料后，支付合同总额的30%作为预付款；</w:t>
      </w:r>
      <w:r>
        <w:rPr>
          <w:rFonts w:ascii="宋体" w:hAnsi="宋体" w:cs="宋体"/>
          <w:color w:val="ff0000"/>
          <w:sz w:val="24"/>
          <w:szCs w:val="24"/>
        </w:rPr>
        <w:t xml:space="preserve"> </w:t>
      </w:r>
      <w:r/>
    </w:p>
    <w:p>
      <w:pPr>
        <w:spacing w:line="288" w:lineRule="auto"/>
        <w:rPr>
          <w:rFonts w:ascii="宋体" w:hAnsi="宋体" w:cs="宋体"/>
          <w:sz w:val="24"/>
          <w:szCs w:val="24"/>
          <w:highlight w:val="yellow"/>
        </w:rPr>
      </w:pPr>
      <w:r>
        <w:rPr>
          <w:rFonts w:hint="eastAsia" w:ascii="宋体" w:hAnsi="宋体" w:cs="宋体"/>
          <w:sz w:val="24"/>
          <w:szCs w:val="24"/>
          <w:highlight w:val="yellow"/>
        </w:rPr>
        <w:t xml:space="preserve">（2）供货完成</w:t>
      </w:r>
      <w:r>
        <w:rPr>
          <w:rFonts w:hint="eastAsia" w:ascii="宋体" w:hAnsi="宋体" w:cs="宋体"/>
          <w:sz w:val="24"/>
          <w:szCs w:val="24"/>
          <w:highlight w:val="yellow"/>
        </w:rPr>
        <w:t xml:space="preserve">验收合格后付至合同价的60%，并退还履约保证金（如有）；</w:t>
      </w:r>
      <w:r/>
    </w:p>
    <w:p>
      <w:pPr>
        <w:spacing w:line="288" w:lineRule="auto"/>
        <w:rPr>
          <w:rFonts w:ascii="宋体" w:hAnsi="宋体" w:cs="宋体"/>
          <w:sz w:val="24"/>
          <w:szCs w:val="24"/>
          <w:highlight w:val="yellow"/>
        </w:rPr>
      </w:pPr>
      <w:r>
        <w:rPr>
          <w:rFonts w:hint="eastAsia" w:ascii="宋体" w:hAnsi="宋体" w:cs="宋体"/>
          <w:sz w:val="24"/>
          <w:szCs w:val="24"/>
          <w:highlight w:val="yellow"/>
        </w:rPr>
        <w:t xml:space="preserve">（3）</w:t>
      </w:r>
      <w:r>
        <w:rPr>
          <w:rFonts w:hint="eastAsia" w:ascii="宋体" w:hAnsi="宋体" w:cs="宋体"/>
          <w:sz w:val="24"/>
          <w:szCs w:val="24"/>
          <w:highlight w:val="yellow"/>
        </w:rPr>
        <w:t xml:space="preserve">结算审计结束后付至审定价的70%；</w:t>
      </w:r>
      <w:r/>
    </w:p>
    <w:p>
      <w:pPr>
        <w:spacing w:line="288" w:lineRule="auto"/>
        <w:rPr>
          <w:rFonts w:ascii="宋体" w:hAnsi="宋体" w:cs="宋体"/>
          <w:sz w:val="24"/>
          <w:szCs w:val="24"/>
          <w:highlight w:val="yellow"/>
        </w:rPr>
      </w:pPr>
      <w:r>
        <w:rPr>
          <w:rFonts w:hint="eastAsia" w:ascii="宋体" w:hAnsi="宋体" w:cs="宋体"/>
          <w:sz w:val="24"/>
          <w:szCs w:val="24"/>
          <w:highlight w:val="yellow"/>
        </w:rPr>
        <w:t xml:space="preserve">（4）</w:t>
      </w:r>
      <w:r>
        <w:rPr>
          <w:rFonts w:hint="eastAsia" w:ascii="宋体" w:hAnsi="宋体" w:cs="宋体"/>
          <w:sz w:val="24"/>
          <w:szCs w:val="24"/>
          <w:highlight w:val="yellow"/>
        </w:rPr>
        <w:t xml:space="preserve">验收满一年，支付至审定价的85%；</w:t>
      </w:r>
      <w:r/>
    </w:p>
    <w:p>
      <w:pPr>
        <w:spacing w:line="288" w:lineRule="auto"/>
        <w:rPr>
          <w:rFonts w:ascii="宋体" w:hAnsi="宋体" w:cs="宋体"/>
          <w:sz w:val="24"/>
          <w:szCs w:val="24"/>
        </w:rPr>
      </w:pPr>
      <w:r>
        <w:rPr>
          <w:rFonts w:hint="eastAsia" w:ascii="宋体" w:hAnsi="宋体" w:cs="宋体"/>
          <w:sz w:val="24"/>
          <w:szCs w:val="24"/>
          <w:highlight w:val="yellow"/>
        </w:rPr>
        <w:t xml:space="preserve">（5）</w:t>
      </w:r>
      <w:r>
        <w:rPr>
          <w:rFonts w:hint="eastAsia" w:ascii="宋体" w:hAnsi="宋体" w:cs="宋体"/>
          <w:sz w:val="24"/>
          <w:szCs w:val="24"/>
          <w:highlight w:val="yellow"/>
        </w:rPr>
        <w:t xml:space="preserve">剩余的15%，缺陷责任期满且所有损坏的保修项目维修完成后，付清余款（不计利息）。</w:t>
      </w:r>
      <w:r/>
    </w:p>
    <w:p>
      <w:pPr>
        <w:spacing w:before="120" w:after="120" w:line="288" w:lineRule="auto"/>
        <w:rPr>
          <w:rFonts w:ascii="宋体" w:hAnsi="宋体" w:cs="Courier New"/>
          <w:color w:val="ff0000"/>
          <w:sz w:val="24"/>
          <w:szCs w:val="24"/>
        </w:rPr>
      </w:pPr>
      <w:r>
        <w:rPr>
          <w:rFonts w:hint="eastAsia" w:ascii="宋体" w:hAnsi="宋体" w:cs="Courier New"/>
          <w:color w:val="ff0000"/>
          <w:sz w:val="24"/>
          <w:szCs w:val="24"/>
        </w:rPr>
        <w:t xml:space="preserve">注：有质量问题时，采购人暂扣尾款直至成交方修复好产品缺陷并赔偿采购人损失；有质量问题，一次性给采购人造成经济损失达到合同总价的2.5%以上或累计经济损失超过合同总价的5%时，成交方须承担修复责任，同时还应继续赔偿采购人经济损失。</w:t>
      </w:r>
      <w:r/>
    </w:p>
    <w:p>
      <w:pPr>
        <w:pStyle w:val="708"/>
        <w:rPr>
          <w:rFonts w:eastAsiaTheme="minorEastAsia"/>
          <w:lang w:val="en-US"/>
        </w:rPr>
      </w:pPr>
      <w:r>
        <w:rPr>
          <w:rFonts w:eastAsiaTheme="minorEastAsia"/>
          <w:lang w:val="en-US"/>
        </w:rPr>
      </w:r>
      <w:r/>
    </w:p>
    <w:p>
      <w:pPr>
        <w:pStyle w:val="999"/>
        <w:spacing w:before="120" w:after="120" w:line="288" w:lineRule="auto"/>
        <w:rPr>
          <w:rFonts w:hAnsi="宋体"/>
          <w:sz w:val="24"/>
          <w:szCs w:val="24"/>
        </w:rPr>
      </w:pPr>
      <w:r>
        <w:rPr>
          <w:rFonts w:hint="eastAsia" w:hAnsi="宋体"/>
          <w:sz w:val="24"/>
          <w:szCs w:val="24"/>
        </w:rPr>
        <w:t xml:space="preserve">9.4当采购数量与实际使用数量不一致时，乙方应根据实际使用量供货，合同的最终结</w:t>
      </w:r>
      <w:r/>
    </w:p>
    <w:p>
      <w:pPr>
        <w:pStyle w:val="999"/>
        <w:spacing w:before="120" w:after="120" w:line="288" w:lineRule="auto"/>
        <w:rPr>
          <w:rFonts w:hAnsi="宋体"/>
          <w:sz w:val="24"/>
          <w:szCs w:val="24"/>
        </w:rPr>
      </w:pPr>
      <w:r>
        <w:rPr>
          <w:rFonts w:hint="eastAsia" w:hAnsi="宋体"/>
          <w:sz w:val="24"/>
          <w:szCs w:val="24"/>
        </w:rPr>
        <w:t xml:space="preserve">算金额按实际使用量乘以成交单价进行计算。</w:t>
      </w:r>
      <w:r/>
    </w:p>
    <w:p>
      <w:pPr>
        <w:spacing w:before="145" w:after="145" w:line="360" w:lineRule="auto"/>
        <w:rPr>
          <w:rFonts w:ascii="宋体" w:hAnsi="宋体" w:eastAsia="仿宋_GB2312"/>
          <w:b/>
          <w:color w:val="000000"/>
          <w:sz w:val="24"/>
          <w:szCs w:val="24"/>
        </w:rPr>
      </w:pPr>
      <w:r/>
      <w:bookmarkStart w:id="185" w:name="_Hlt16619350"/>
      <w:r/>
      <w:bookmarkStart w:id="186" w:name="_Toc20823346"/>
      <w:r/>
      <w:bookmarkStart w:id="187" w:name="_Toc120614244"/>
      <w:r/>
      <w:bookmarkStart w:id="188" w:name="_Toc16938590"/>
      <w:r/>
      <w:bookmarkStart w:id="189" w:name="_Toc462564139"/>
      <w:r/>
      <w:bookmarkStart w:id="190" w:name="_Toc479757211"/>
      <w:r/>
      <w:bookmarkEnd w:id="182"/>
      <w:r/>
      <w:bookmarkEnd w:id="183"/>
      <w:r/>
      <w:bookmarkEnd w:id="184"/>
      <w:r>
        <w:rPr>
          <w:rFonts w:hint="eastAsia" w:ascii="宋体" w:hAnsi="宋体"/>
          <w:b/>
          <w:color w:val="000000"/>
          <w:sz w:val="24"/>
          <w:szCs w:val="24"/>
        </w:rPr>
        <w:t xml:space="preserve">十、税费</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10.1本合同执行中相关的一切税费均由乙方负担。</w:t>
      </w:r>
      <w:r/>
    </w:p>
    <w:p>
      <w:pPr>
        <w:ind w:left="412" w:hanging="412"/>
        <w:spacing w:before="120" w:after="120" w:line="360" w:lineRule="auto"/>
        <w:rPr>
          <w:rFonts w:ascii="宋体" w:hAnsi="宋体" w:cs="Courier New"/>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11.1 乙方应按招标文件规定的货物性能、技术要求、质量标准向甲方提供未经使用的全新产品。</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11.2 乙方提供的货物在质量期内因货物本身的质量问题发生故障，乙方应负责免费更换。对达不到技术要求者，根据实际情况，经双方协商，可按以下办法处理：</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⑴更换：由乙方承担所发生的全部费用。</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⑵贬值处理：由甲乙双方合议定价。</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⑶退货处理：乙方应退还甲方支付的合同款，同时应承担该货物的直接费用（运输、保险、检验、货款利息及银行手续费等）。</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11.3 如在使用过程中发生质量问题，乙方在接到甲方通知后在_________小时内到达甲方现场。</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11.4 在质保期内，乙方应对货物出现的质量及安全问题负责处理解决并承担一切费用。</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11.5上述的货物免费保修期为</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年（自交货验收合格之日起计），因人为因素出现的故障不在免费保修范围内。超过保修期的机器设备，终生维修，维修时只收部件成本费。</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11.6除前款规定外，乙方还应提供下列服务：</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（1）货物的现场安装、调试和/或启动监督；</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（2）就货物的安装、启动、运行及维护等对甲方人员进行免费培训。</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11.7若招标（采购）文件中不包含有关伴随服务或售后服务的承诺，双方作如下约定：</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（2）所购货物按乙方投标（响应）承诺提供免费维护和质量保证，保修费用计入总价；</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（3）保修期内，乙方负责对其提供的货物整机进行维修和系统维护，不再收取任何费用，但不可抗力（如火灾、雷击等）造成的故障除外；</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（4）货物故障报修的响应时间按乙方投标（响应）承诺执行；</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（5）若货物故障在检修8小时后仍无法排除，乙方应在48小时内免费提供不低于故障货物规格型号档次的备用货物供甲方使用，直至故障修复；</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（6）</w:t>
      </w:r>
      <w:r>
        <w:rPr>
          <w:rFonts w:hint="eastAsia" w:ascii="宋体" w:hAnsi="宋体" w:cs="Courier New"/>
          <w:color w:val="000000"/>
          <w:sz w:val="24"/>
          <w:szCs w:val="24"/>
          <w:lang w:val="zh-CN"/>
        </w:rPr>
        <w:t xml:space="preserve">所有货物保修服务方式均为乙方上门保修，即由乙方派员到货物使用现场维修，由此产生的一切费用均由乙方承担</w:t>
      </w:r>
      <w:r>
        <w:rPr>
          <w:rFonts w:hint="eastAsia" w:ascii="宋体" w:hAnsi="宋体" w:cs="Courier New"/>
          <w:color w:val="000000"/>
          <w:sz w:val="24"/>
          <w:szCs w:val="24"/>
        </w:rPr>
        <w:t xml:space="preserve">；</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（7）保修期后的货物维护由双方商定。</w:t>
      </w:r>
      <w:r/>
    </w:p>
    <w:p>
      <w:pPr>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12.1 甲方依法组织履约验收工作。</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12.3 对于实际使用人和甲方分离的项目，甲方邀请实际使用人参与验收。</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12.4 如有必要，甲方邀请参加本项目的其他供应商或第三方专业机构及专家参与验收，相关意见将作为验收书的参考资料。</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12.5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12.7乙方应当在合同签订后150日历日内将货物安装调试完毕交付甲方正常使用，地点由甲方指定。招标（采购）文件有约定的，从其约定。</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12.8乙方交付的货物应当完全符合本合同或者招标（采购）文件规定、投标（响应）文件所承诺的数量和规格要求。乙方提供的货物不符合招标（采购）文件、投标（响应）文件和合同规定的，甲方有权拒收货物，由此引起的风险，由乙方承担。</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12.9货物的到货验收包括：（1）型号、规格、数量、外观质量及货物包装是否完好；（2）验收方法：依据招标（采购）文件、投标（响应）文件所承诺的技术要求，制定的设备验收指标标准（详见合同附件1）。</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12.10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12.11货物和系统调试验收的标准：按行业通行标准、厂方出厂标准和甲方的招标（采购）文件、乙方投标（响应）文件的承诺（详见合同附件1载明的标准，并不低于国家相关标准）。</w:t>
      </w:r>
      <w:r/>
    </w:p>
    <w:p>
      <w:pPr>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13.1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13.2 使用说明书、质量检验证明书、随配附件和工具以及清单一并附于货物内。</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13.3 乙方在货物发运手续办理完毕后24小时内或货到甲方48小时前通知甲方，以准备接货。</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13.4 货物在交付甲方前发生的风险均由乙方负责。</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13.5 货物在规定的交付期限内由乙方送达甲方指定的地点视为交付，乙方同时需通知甲方货物已送达。</w:t>
      </w:r>
      <w:r/>
    </w:p>
    <w:p>
      <w:pPr>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、违约责任</w:t>
      </w:r>
      <w:r/>
    </w:p>
    <w:p>
      <w:pPr>
        <w:spacing w:before="120" w:after="120" w:line="360" w:lineRule="auto"/>
        <w:rPr>
          <w:rFonts w:ascii="宋体" w:hAnsi="宋体" w:cs="Courier New"/>
          <w:color w:val="000000"/>
          <w:sz w:val="24"/>
          <w:szCs w:val="24"/>
          <w:lang w:val="zh-CN"/>
        </w:rPr>
      </w:pPr>
      <w:r>
        <w:rPr>
          <w:rFonts w:hint="eastAsia" w:ascii="宋体" w:hAnsi="宋体" w:cs="Courier New"/>
          <w:color w:val="000000"/>
          <w:sz w:val="24"/>
          <w:szCs w:val="24"/>
        </w:rPr>
        <w:t xml:space="preserve">14.1</w:t>
      </w:r>
      <w:r>
        <w:rPr>
          <w:rFonts w:hint="eastAsia" w:ascii="宋体" w:hAnsi="宋体" w:cs="Courier New"/>
          <w:color w:val="000000"/>
          <w:sz w:val="24"/>
          <w:szCs w:val="24"/>
          <w:lang w:val="zh-CN"/>
        </w:rPr>
        <w:t xml:space="preserve">甲方无正当理由拒收货物、拒付货物款的，由甲方向乙方偿付合同总价的</w:t>
      </w:r>
      <w:r>
        <w:rPr>
          <w:rFonts w:hint="eastAsia" w:ascii="宋体" w:hAnsi="宋体" w:cs="Courier New"/>
          <w:color w:val="000000"/>
          <w:sz w:val="24"/>
          <w:szCs w:val="24"/>
          <w:u w:val="single"/>
        </w:rPr>
        <w:t xml:space="preserve">   </w:t>
      </w:r>
      <w:r>
        <w:rPr>
          <w:rFonts w:hint="eastAsia" w:ascii="宋体" w:hAnsi="宋体" w:cs="Courier New"/>
          <w:color w:val="000000"/>
          <w:sz w:val="24"/>
          <w:szCs w:val="24"/>
          <w:lang w:val="zh-CN"/>
        </w:rPr>
        <w:t xml:space="preserve">违约金。</w:t>
      </w:r>
      <w:r/>
    </w:p>
    <w:p>
      <w:pPr>
        <w:spacing w:before="120" w:after="120" w:line="360" w:lineRule="auto"/>
        <w:rPr>
          <w:rFonts w:ascii="宋体" w:hAnsi="宋体" w:cs="Courier New"/>
          <w:color w:val="000000"/>
          <w:sz w:val="24"/>
          <w:szCs w:val="24"/>
          <w:lang w:val="zh-CN"/>
        </w:rPr>
      </w:pPr>
      <w:r>
        <w:rPr>
          <w:rFonts w:hint="eastAsia" w:ascii="宋体" w:hAnsi="宋体" w:cs="Courier New"/>
          <w:color w:val="000000"/>
          <w:sz w:val="24"/>
          <w:szCs w:val="24"/>
        </w:rPr>
        <w:t xml:space="preserve">14.2</w:t>
      </w:r>
      <w:r>
        <w:rPr>
          <w:rFonts w:hint="eastAsia" w:ascii="宋体" w:hAnsi="宋体" w:cs="Courier New"/>
          <w:color w:val="000000"/>
          <w:sz w:val="24"/>
          <w:szCs w:val="24"/>
          <w:lang w:val="zh-CN"/>
        </w:rPr>
        <w:t xml:space="preserve">甲方未按合同规定的期限向乙方支付货款的，每逾期1天甲方向乙方偿付欠款总额的</w:t>
      </w:r>
      <w:r>
        <w:rPr>
          <w:rFonts w:hint="eastAsia" w:ascii="宋体" w:hAnsi="宋体" w:cs="Courier New"/>
          <w:color w:val="000000"/>
          <w:sz w:val="24"/>
          <w:szCs w:val="24"/>
          <w:u w:val="single"/>
          <w:lang w:val="zh-CN"/>
        </w:rPr>
        <w:t xml:space="preserve">    </w:t>
      </w:r>
      <w:r>
        <w:rPr>
          <w:rFonts w:hint="eastAsia" w:ascii="宋体" w:hAnsi="宋体" w:cs="Courier New"/>
          <w:color w:val="000000"/>
          <w:sz w:val="24"/>
          <w:szCs w:val="24"/>
          <w:lang w:val="zh-CN"/>
        </w:rPr>
        <w:t xml:space="preserve">滞纳金，但累计滞纳金总额不超过欠款总额的</w:t>
      </w:r>
      <w:r>
        <w:rPr>
          <w:rFonts w:hint="eastAsia" w:ascii="宋体" w:hAnsi="宋体" w:cs="Courier New"/>
          <w:color w:val="000000"/>
          <w:sz w:val="24"/>
          <w:szCs w:val="24"/>
          <w:u w:val="single"/>
          <w:lang w:val="zh-CN"/>
        </w:rPr>
        <w:t xml:space="preserve">   </w:t>
      </w:r>
      <w:r>
        <w:rPr>
          <w:rFonts w:hint="eastAsia" w:ascii="宋体" w:hAnsi="宋体" w:cs="Courier New"/>
          <w:color w:val="000000"/>
          <w:sz w:val="24"/>
          <w:szCs w:val="24"/>
          <w:lang w:val="zh-CN"/>
        </w:rPr>
        <w:t xml:space="preserve">%。</w:t>
      </w:r>
      <w:r/>
    </w:p>
    <w:p>
      <w:pPr>
        <w:spacing w:before="120" w:after="120" w:line="360" w:lineRule="auto"/>
        <w:rPr>
          <w:rFonts w:ascii="宋体" w:hAnsi="宋体" w:cs="Courier New"/>
          <w:color w:val="000000"/>
          <w:sz w:val="24"/>
          <w:szCs w:val="24"/>
          <w:lang w:val="zh-CN"/>
        </w:rPr>
      </w:pPr>
      <w:r>
        <w:rPr>
          <w:rFonts w:hint="eastAsia" w:ascii="宋体" w:hAnsi="宋体" w:cs="Courier New"/>
          <w:color w:val="000000"/>
          <w:sz w:val="24"/>
          <w:szCs w:val="24"/>
        </w:rPr>
        <w:t xml:space="preserve">14.3</w:t>
      </w:r>
      <w:r>
        <w:rPr>
          <w:rFonts w:hint="eastAsia" w:ascii="宋体" w:hAnsi="宋体" w:cs="Courier New"/>
          <w:color w:val="000000"/>
          <w:sz w:val="24"/>
          <w:szCs w:val="24"/>
          <w:lang w:val="zh-CN"/>
        </w:rPr>
        <w:t xml:space="preserve">如乙方不能交付货物、完成安装调试的，甲方有权扣留全部履约保证金；同时乙方应向甲方支付合同总价</w:t>
      </w:r>
      <w:r>
        <w:rPr>
          <w:rFonts w:hint="eastAsia" w:ascii="宋体" w:hAnsi="宋体" w:cs="Courier New"/>
          <w:color w:val="000000"/>
          <w:sz w:val="24"/>
          <w:szCs w:val="24"/>
          <w:u w:val="single"/>
        </w:rPr>
        <w:t xml:space="preserve">   </w:t>
      </w:r>
      <w:r>
        <w:rPr>
          <w:rFonts w:hint="eastAsia" w:ascii="宋体" w:hAnsi="宋体" w:cs="Courier New"/>
          <w:color w:val="000000"/>
          <w:sz w:val="24"/>
          <w:szCs w:val="24"/>
          <w:lang w:val="zh-CN"/>
        </w:rPr>
        <w:t xml:space="preserve">%的违约金。</w:t>
      </w:r>
      <w:r/>
    </w:p>
    <w:p>
      <w:pPr>
        <w:spacing w:before="120" w:after="120" w:line="360" w:lineRule="auto"/>
        <w:rPr>
          <w:rFonts w:ascii="宋体" w:hAnsi="宋体" w:cs="Courier New"/>
          <w:color w:val="000000"/>
          <w:sz w:val="24"/>
          <w:szCs w:val="24"/>
          <w:lang w:val="zh-CN"/>
        </w:rPr>
      </w:pPr>
      <w:r>
        <w:rPr>
          <w:rFonts w:hint="eastAsia" w:ascii="宋体" w:hAnsi="宋体" w:cs="Courier New"/>
          <w:color w:val="000000"/>
          <w:sz w:val="24"/>
          <w:szCs w:val="24"/>
        </w:rPr>
        <w:t xml:space="preserve">14.4</w:t>
      </w:r>
      <w:r>
        <w:rPr>
          <w:rFonts w:hint="eastAsia" w:ascii="宋体" w:hAnsi="宋体" w:cs="Courier New"/>
          <w:color w:val="000000"/>
          <w:sz w:val="24"/>
          <w:szCs w:val="24"/>
          <w:lang w:val="zh-CN"/>
        </w:rPr>
        <w:t xml:space="preserve">乙方逾期交付的，每逾期1天，乙方向甲方偿付合同总额的</w:t>
      </w:r>
      <w:r>
        <w:rPr>
          <w:rFonts w:hint="eastAsia" w:ascii="宋体" w:hAnsi="宋体" w:cs="Courier New"/>
          <w:color w:val="000000"/>
          <w:sz w:val="24"/>
          <w:szCs w:val="24"/>
          <w:u w:val="single"/>
        </w:rPr>
        <w:t xml:space="preserve">   </w:t>
      </w:r>
      <w:r>
        <w:rPr>
          <w:rFonts w:hint="eastAsia" w:ascii="宋体" w:hAnsi="宋体" w:cs="Courier New"/>
          <w:color w:val="000000"/>
          <w:sz w:val="24"/>
          <w:szCs w:val="24"/>
          <w:lang w:val="zh-CN"/>
        </w:rPr>
        <w:t xml:space="preserve">的滞纳金。如乙方逾期交付达10天，甲方有权解除合同，解除合同的通 知自到达乙方时生效。 </w:t>
      </w:r>
      <w:r/>
    </w:p>
    <w:p>
      <w:pPr>
        <w:spacing w:before="120" w:after="120" w:line="360" w:lineRule="auto"/>
        <w:rPr>
          <w:rFonts w:ascii="宋体" w:hAnsi="宋体" w:cs="Courier New"/>
          <w:color w:val="000000"/>
          <w:sz w:val="24"/>
          <w:szCs w:val="24"/>
          <w:lang w:val="zh-CN"/>
        </w:rPr>
      </w:pPr>
      <w:r>
        <w:rPr>
          <w:rFonts w:hint="eastAsia" w:ascii="宋体" w:hAnsi="宋体" w:cs="Courier New"/>
          <w:color w:val="000000"/>
          <w:sz w:val="24"/>
          <w:szCs w:val="24"/>
        </w:rPr>
        <w:t xml:space="preserve">14.5</w:t>
      </w:r>
      <w:r>
        <w:rPr>
          <w:rFonts w:hint="eastAsia" w:ascii="宋体" w:hAnsi="宋体" w:cs="Courier New"/>
          <w:color w:val="000000"/>
          <w:sz w:val="24"/>
          <w:szCs w:val="24"/>
          <w:lang w:val="zh-CN"/>
        </w:rPr>
        <w:t xml:space="preserve">乙方所交付的货物品种、型号、规格不符合合同规定的，甲方有权拒收。甲方拒收的，乙方应向甲方支付货款总额</w:t>
      </w:r>
      <w:r>
        <w:rPr>
          <w:rFonts w:hint="eastAsia" w:ascii="宋体" w:hAnsi="宋体" w:cs="Courier New"/>
          <w:color w:val="000000"/>
          <w:sz w:val="24"/>
          <w:szCs w:val="24"/>
          <w:u w:val="single"/>
          <w:lang w:val="zh-CN"/>
        </w:rPr>
        <w:t xml:space="preserve">   </w:t>
      </w:r>
      <w:r>
        <w:rPr>
          <w:rFonts w:hint="eastAsia" w:ascii="宋体" w:hAnsi="宋体" w:cs="Courier New"/>
          <w:color w:val="000000"/>
          <w:sz w:val="24"/>
          <w:szCs w:val="24"/>
          <w:lang w:val="zh-CN"/>
        </w:rPr>
        <w:t xml:space="preserve">的违约金。</w:t>
      </w:r>
      <w:r/>
    </w:p>
    <w:p>
      <w:pPr>
        <w:spacing w:before="120" w:after="120" w:line="360" w:lineRule="auto"/>
        <w:rPr>
          <w:rFonts w:ascii="宋体" w:hAnsi="宋体" w:cs="Courier New"/>
          <w:color w:val="000000"/>
          <w:sz w:val="24"/>
          <w:szCs w:val="24"/>
          <w:lang w:val="zh-CN"/>
        </w:rPr>
      </w:pPr>
      <w:r>
        <w:rPr>
          <w:rFonts w:hint="eastAsia" w:ascii="宋体" w:hAnsi="宋体" w:cs="Courier New"/>
          <w:color w:val="000000"/>
          <w:sz w:val="24"/>
          <w:szCs w:val="24"/>
        </w:rPr>
        <w:t xml:space="preserve">14.6</w:t>
      </w:r>
      <w:r>
        <w:rPr>
          <w:rFonts w:hint="eastAsia" w:ascii="宋体" w:hAnsi="宋体" w:cs="Courier New"/>
          <w:color w:val="000000"/>
          <w:sz w:val="24"/>
          <w:szCs w:val="24"/>
          <w:lang w:val="zh-CN"/>
        </w:rPr>
        <w:t xml:space="preserve">在乙方承诺的或国家规定的质量保证期内（取两者中最长的期限），如经乙方两次维修或更换，货物仍不能达到合同约定的质量标准，甲方有权退货，乙方应退回全部货款，并按第</w:t>
      </w:r>
      <w:r>
        <w:rPr>
          <w:rFonts w:hint="eastAsia" w:ascii="宋体" w:hAnsi="宋体" w:cs="Courier New"/>
          <w:color w:val="000000"/>
          <w:sz w:val="24"/>
          <w:szCs w:val="24"/>
        </w:rPr>
        <w:t xml:space="preserve">14.3</w:t>
      </w:r>
      <w:r>
        <w:rPr>
          <w:rFonts w:hint="eastAsia" w:ascii="宋体" w:hAnsi="宋体" w:cs="Courier New"/>
          <w:color w:val="000000"/>
          <w:sz w:val="24"/>
          <w:szCs w:val="24"/>
          <w:lang w:val="zh-CN"/>
        </w:rPr>
        <w:t xml:space="preserve">款处理，同时，乙方还须赔偿甲方因此遭受的损失。 </w:t>
      </w:r>
      <w:r/>
    </w:p>
    <w:p>
      <w:pPr>
        <w:spacing w:before="120" w:after="120" w:line="360" w:lineRule="auto"/>
        <w:rPr>
          <w:rFonts w:ascii="宋体" w:hAnsi="宋体" w:cs="Courier New"/>
          <w:color w:val="000000"/>
          <w:sz w:val="24"/>
          <w:szCs w:val="24"/>
          <w:lang w:val="zh-CN"/>
        </w:rPr>
      </w:pPr>
      <w:r>
        <w:rPr>
          <w:rFonts w:hint="eastAsia" w:ascii="宋体" w:hAnsi="宋体" w:cs="Courier New"/>
          <w:color w:val="000000"/>
          <w:sz w:val="24"/>
          <w:szCs w:val="24"/>
        </w:rPr>
        <w:t xml:space="preserve">14.7</w:t>
      </w:r>
      <w:r>
        <w:rPr>
          <w:rFonts w:hint="eastAsia" w:ascii="宋体" w:hAnsi="宋体" w:cs="Courier New"/>
          <w:color w:val="000000"/>
          <w:sz w:val="24"/>
          <w:szCs w:val="24"/>
          <w:lang w:val="zh-CN"/>
        </w:rPr>
        <w:t xml:space="preserve">乙方未按本合同第九条的规定向甲方交付履约保证金的，应按应交付履约保证金的100%向甲方支付违约金，该违约金的支付不影响乙方应承担的其他违约责任。</w:t>
      </w:r>
      <w:r/>
    </w:p>
    <w:p>
      <w:pPr>
        <w:spacing w:before="120" w:after="120" w:line="360" w:lineRule="auto"/>
        <w:rPr>
          <w:rFonts w:ascii="宋体" w:hAnsi="宋体" w:cs="Courier New"/>
          <w:color w:val="000000"/>
          <w:sz w:val="24"/>
          <w:szCs w:val="24"/>
          <w:lang w:val="zh-CN"/>
        </w:rPr>
      </w:pPr>
      <w:r>
        <w:rPr>
          <w:rFonts w:hint="eastAsia" w:ascii="宋体" w:hAnsi="宋体" w:cs="Courier New"/>
          <w:color w:val="000000"/>
          <w:sz w:val="24"/>
          <w:szCs w:val="24"/>
        </w:rPr>
        <w:t xml:space="preserve">14.8</w:t>
      </w:r>
      <w:r>
        <w:rPr>
          <w:rFonts w:hint="eastAsia" w:ascii="宋体" w:hAnsi="宋体" w:cs="Courier New"/>
          <w:color w:val="000000"/>
          <w:sz w:val="24"/>
          <w:szCs w:val="24"/>
          <w:lang w:val="zh-CN"/>
        </w:rPr>
        <w:t xml:space="preserve">乙方未按本合同的规定和“服务承诺”提供伴随服务/售后服务的，应按合同总价款的</w:t>
      </w:r>
      <w:r>
        <w:rPr>
          <w:rFonts w:hint="eastAsia" w:ascii="宋体" w:hAnsi="宋体" w:cs="Courier New"/>
          <w:color w:val="000000"/>
          <w:sz w:val="24"/>
          <w:szCs w:val="24"/>
          <w:u w:val="single"/>
          <w:lang w:val="zh-CN"/>
        </w:rPr>
        <w:t xml:space="preserve">   </w:t>
      </w:r>
      <w:r>
        <w:rPr>
          <w:rFonts w:hint="eastAsia" w:ascii="宋体" w:hAnsi="宋体" w:cs="Courier New"/>
          <w:color w:val="000000"/>
          <w:sz w:val="24"/>
          <w:szCs w:val="24"/>
          <w:lang w:val="zh-CN"/>
        </w:rPr>
        <w:t xml:space="preserve">向甲方承担违约责任。</w:t>
      </w:r>
      <w:r/>
    </w:p>
    <w:p>
      <w:pPr>
        <w:spacing w:before="120" w:after="120" w:line="360" w:lineRule="auto"/>
        <w:rPr>
          <w:rFonts w:ascii="宋体" w:hAnsi="宋体" w:cs="Courier New"/>
          <w:color w:val="000000"/>
          <w:sz w:val="24"/>
          <w:szCs w:val="24"/>
          <w:lang w:val="zh-CN"/>
        </w:rPr>
      </w:pPr>
      <w:r>
        <w:rPr>
          <w:rFonts w:hint="eastAsia" w:ascii="宋体" w:hAnsi="宋体" w:cs="Courier New"/>
          <w:color w:val="000000"/>
          <w:sz w:val="24"/>
          <w:szCs w:val="24"/>
        </w:rPr>
        <w:t xml:space="preserve">14.9</w:t>
      </w:r>
      <w:r>
        <w:rPr>
          <w:rFonts w:hint="eastAsia" w:ascii="宋体" w:hAnsi="宋体" w:cs="Courier New"/>
          <w:color w:val="000000"/>
          <w:sz w:val="24"/>
          <w:szCs w:val="24"/>
          <w:lang w:val="zh-CN"/>
        </w:rPr>
        <w:t xml:space="preserve">乙方在承担上述</w:t>
      </w:r>
      <w:r>
        <w:rPr>
          <w:rFonts w:hint="eastAsia" w:ascii="宋体" w:hAnsi="宋体" w:cs="Courier New"/>
          <w:color w:val="000000"/>
          <w:sz w:val="24"/>
          <w:szCs w:val="24"/>
        </w:rPr>
        <w:t xml:space="preserve">14.</w:t>
      </w:r>
      <w:r>
        <w:rPr>
          <w:rFonts w:hint="eastAsia" w:ascii="宋体" w:hAnsi="宋体" w:cs="Courier New"/>
          <w:color w:val="000000"/>
          <w:sz w:val="24"/>
          <w:szCs w:val="24"/>
          <w:lang w:val="zh-CN"/>
        </w:rPr>
        <w:t xml:space="preserve">4-</w:t>
      </w:r>
      <w:r>
        <w:rPr>
          <w:rFonts w:hint="eastAsia" w:ascii="宋体" w:hAnsi="宋体" w:cs="Courier New"/>
          <w:color w:val="000000"/>
          <w:sz w:val="24"/>
          <w:szCs w:val="24"/>
        </w:rPr>
        <w:t xml:space="preserve">14.</w:t>
      </w:r>
      <w:r>
        <w:rPr>
          <w:rFonts w:hint="eastAsia" w:ascii="宋体" w:hAnsi="宋体" w:cs="Courier New"/>
          <w:color w:val="000000"/>
          <w:sz w:val="24"/>
          <w:szCs w:val="24"/>
          <w:lang w:val="zh-CN"/>
        </w:rPr>
        <w:t xml:space="preserve">7款一项或多项违约责任后，仍应继续履行合同规定的义务（甲方解除合同的除外）。甲方未能及时追究乙方的任何一项违约责任并不表明甲方放弃追究乙方该项或其他违约责任。 </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14.10甲方有权依据政府采购相关法律法规，邀请相关行业专家及本项目其他投标供应商或第三方检测机构共同参加，按照合同附件1的标准进行设备交货验收。所有技术参数指标均须与招标文件要求的技术指标或投标文件承诺的技术指标一致，如有不符，属于</w:t>
      </w:r>
      <w:r>
        <w:rPr>
          <w:rFonts w:hint="eastAsia" w:ascii="宋体" w:hAnsi="宋体" w:cs="Courier New"/>
          <w:color w:val="000000"/>
          <w:sz w:val="24"/>
          <w:szCs w:val="24"/>
          <w:lang w:val="zh-CN"/>
        </w:rPr>
        <w:t xml:space="preserve">乙方投标虚假承诺，</w:t>
      </w:r>
      <w:r>
        <w:rPr>
          <w:rFonts w:hint="eastAsia" w:ascii="宋体" w:hAnsi="宋体" w:cs="Courier New"/>
          <w:color w:val="000000"/>
          <w:sz w:val="24"/>
          <w:szCs w:val="24"/>
        </w:rPr>
        <w:t xml:space="preserve">甲方有权拒收货物。</w:t>
      </w:r>
      <w:r/>
    </w:p>
    <w:p>
      <w:pPr>
        <w:spacing w:before="120" w:after="120" w:line="360" w:lineRule="auto"/>
        <w:rPr>
          <w:rFonts w:ascii="宋体" w:hAnsi="宋体" w:cs="Courier New"/>
          <w:color w:val="000000"/>
          <w:sz w:val="24"/>
          <w:szCs w:val="24"/>
          <w:lang w:val="zh-CN"/>
        </w:rPr>
      </w:pPr>
      <w:r>
        <w:rPr>
          <w:rFonts w:hint="eastAsia" w:ascii="宋体" w:hAnsi="宋体" w:cs="Courier New"/>
          <w:color w:val="000000"/>
          <w:sz w:val="24"/>
          <w:szCs w:val="24"/>
        </w:rPr>
        <w:t xml:space="preserve">14.11</w:t>
      </w:r>
      <w:r>
        <w:rPr>
          <w:rFonts w:hint="eastAsia" w:ascii="宋体" w:hAnsi="宋体" w:cs="Courier New"/>
          <w:color w:val="000000"/>
          <w:sz w:val="24"/>
          <w:szCs w:val="24"/>
          <w:lang w:val="zh-CN"/>
        </w:rPr>
        <w:t xml:space="preserve">乙方投标属虚假承诺，或经权威部门监测提供的货物不能满足投标文件要求，或是由于乙方的过错造成合同无法继续履行的，乙方履约保证金不予退还外，还应向甲方退回全部预付货款并支付不少于合同总价</w:t>
      </w:r>
      <w:r>
        <w:rPr>
          <w:rFonts w:hint="eastAsia" w:ascii="宋体" w:hAnsi="宋体" w:cs="Courier New"/>
          <w:color w:val="000000"/>
          <w:sz w:val="24"/>
          <w:szCs w:val="24"/>
          <w:u w:val="single"/>
        </w:rPr>
        <w:t xml:space="preserve">    </w:t>
      </w:r>
      <w:r>
        <w:rPr>
          <w:rFonts w:hint="eastAsia" w:ascii="宋体" w:hAnsi="宋体" w:cs="Courier New"/>
          <w:color w:val="000000"/>
          <w:sz w:val="24"/>
          <w:szCs w:val="24"/>
          <w:lang w:val="zh-CN"/>
        </w:rPr>
        <w:t xml:space="preserve">赔偿金。</w:t>
      </w:r>
      <w:r/>
    </w:p>
    <w:p>
      <w:pPr>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、不可抗力事件处理</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15.1 在合同有效期内，任何一方因不可抗力事件导致不能履行合同，则合同履行期可</w:t>
      </w:r>
      <w:r>
        <w:rPr>
          <w:rFonts w:hint="eastAsia" w:ascii="宋体" w:hAnsi="宋体" w:cs="Courier New"/>
          <w:color w:val="000000"/>
          <w:sz w:val="24"/>
          <w:szCs w:val="24"/>
        </w:rPr>
        <w:t xml:space="preserve">延长，其延长期与不可抗力影响期相同。</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15.2 不可抗力事件发生后，应立即通知对方，并寄送有关权威机构出具的证明。</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15.3 不可抗力事件延续120天以上，双方应通过友好协商，确定是否继续履行合同。</w:t>
      </w:r>
      <w:r/>
    </w:p>
    <w:p>
      <w:pPr>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16.1因货物的质量问题发生争议的，应当邀请国家认可的质量检测机构对货物质量进行鉴定。货物符合质量标准的，鉴定费由甲方承担；货物不符合质量标准的，鉴定费由乙方承担。</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16.2因履行本合同引起的或与本合同有关的争议，甲、乙双方应首先通过友好协商解决，如果协商不能解决争议，则采取以下第（1）种方式解决争议：</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（1）向甲方所在地有管辖权的人民法院提起诉讼；</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（2）向南京仲裁委员会按其仲裁规则申请仲裁。</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如没有约定，默认采取第1种方式解决争议。</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16.3仲裁期间本合同应继续履行。</w:t>
      </w:r>
      <w:r/>
    </w:p>
    <w:p>
      <w:pPr>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七</w:t>
      </w:r>
      <w:r>
        <w:rPr>
          <w:rFonts w:ascii="宋体" w:hAnsi="宋体" w:cs="Courier New"/>
          <w:b/>
          <w:color w:val="000000"/>
          <w:sz w:val="24"/>
          <w:szCs w:val="24"/>
        </w:rPr>
        <w:t xml:space="preserve">、合同生效及其它</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17.1 合同经双方法定代表人或授权委托代表人签字并加盖单位公章后生效。</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本合同未尽事宜，遵照《中华人民共和国民法典》、《中华人民共和国政府采购法》有关条文执行。</w:t>
      </w:r>
      <w:r/>
    </w:p>
    <w:p>
      <w:pPr>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17.2本合同正本一式两份，具有同等法律效力，甲方、乙方各执一份。</w:t>
      </w:r>
      <w:r/>
    </w:p>
    <w:p>
      <w:pPr>
        <w:jc w:val="center"/>
        <w:spacing w:before="145" w:after="145" w:line="288" w:lineRule="auto"/>
        <w:rPr>
          <w:rFonts w:ascii="宋体" w:hAnsi="宋体"/>
          <w:b/>
          <w:sz w:val="30"/>
          <w:szCs w:val="21"/>
        </w:rPr>
        <w:outlineLvl w:val="0"/>
      </w:pPr>
      <w:r>
        <w:rPr>
          <w:rFonts w:ascii="宋体" w:hAnsi="宋体"/>
          <w:b/>
          <w:sz w:val="30"/>
          <w:szCs w:val="21"/>
        </w:rPr>
      </w:r>
      <w:r/>
    </w:p>
    <w:p>
      <w:pPr>
        <w:jc w:val="center"/>
        <w:spacing w:before="145" w:after="145" w:line="288" w:lineRule="auto"/>
        <w:rPr>
          <w:rFonts w:ascii="宋体" w:hAnsi="宋体"/>
          <w:b/>
          <w:sz w:val="30"/>
          <w:szCs w:val="21"/>
        </w:rPr>
        <w:outlineLvl w:val="0"/>
      </w:pPr>
      <w:r>
        <w:rPr>
          <w:rFonts w:ascii="宋体" w:hAnsi="宋体"/>
          <w:b/>
          <w:sz w:val="30"/>
          <w:szCs w:val="21"/>
        </w:rPr>
      </w:r>
      <w:r/>
    </w:p>
    <w:p>
      <w:r/>
      <w:r/>
    </w:p>
    <w:p>
      <w:pPr>
        <w:jc w:val="center"/>
        <w:spacing w:before="145" w:after="145" w:line="288" w:lineRule="auto"/>
        <w:rPr>
          <w:rFonts w:ascii="宋体" w:hAnsi="宋体"/>
          <w:b/>
          <w:sz w:val="30"/>
          <w:szCs w:val="21"/>
        </w:rPr>
        <w:outlineLvl w:val="0"/>
      </w:pPr>
      <w:r>
        <w:rPr>
          <w:rFonts w:hint="eastAsia" w:ascii="宋体" w:hAnsi="宋体"/>
          <w:b/>
          <w:sz w:val="30"/>
          <w:szCs w:val="21"/>
        </w:rPr>
        <w:t xml:space="preserve">《*******合同》补充协议（合同附件）</w:t>
      </w:r>
      <w:r/>
    </w:p>
    <w:p>
      <w:pPr>
        <w:pStyle w:val="999"/>
        <w:jc w:val="left"/>
        <w:spacing w:before="120" w:after="120" w:line="288" w:lineRule="auto"/>
        <w:rPr>
          <w:rFonts w:hAnsi="宋体"/>
          <w:sz w:val="24"/>
          <w:szCs w:val="24"/>
        </w:rPr>
      </w:pPr>
      <w:r>
        <w:rPr>
          <w:rFonts w:hint="eastAsia" w:hAnsi="宋体"/>
          <w:sz w:val="24"/>
          <w:szCs w:val="24"/>
        </w:rPr>
        <w:t xml:space="preserve">    如遇招标文件及合同未约定事项，双方可友好协商签订补充协议。</w:t>
      </w:r>
      <w:r/>
    </w:p>
    <w:p>
      <w:pPr>
        <w:jc w:val="center"/>
        <w:spacing w:before="120" w:after="120" w:line="0" w:lineRule="atLeast"/>
        <w:rPr>
          <w:rFonts w:ascii="宋体" w:hAnsi="宋体" w:cs="Courier New"/>
          <w:sz w:val="24"/>
          <w:szCs w:val="24"/>
        </w:rPr>
      </w:pPr>
      <w:r>
        <w:rPr>
          <w:rFonts w:ascii="黑体" w:hAnsi="Courier New" w:eastAsia="黑体" w:cs="Courier New"/>
          <w:bCs/>
          <w:sz w:val="44"/>
          <w:szCs w:val="21"/>
        </w:rPr>
        <w:br w:type="page" w:clear="all"/>
      </w:r>
      <w:r>
        <w:rPr>
          <w:rFonts w:hint="eastAsia" w:ascii="黑体" w:eastAsia="黑体"/>
          <w:sz w:val="44"/>
          <w:szCs w:val="44"/>
        </w:rPr>
        <w:t xml:space="preserve">第</w:t>
      </w:r>
      <w:bookmarkEnd w:id="185"/>
      <w:r>
        <w:rPr>
          <w:rFonts w:hint="eastAsia" w:ascii="黑体" w:eastAsia="黑体"/>
          <w:sz w:val="44"/>
          <w:szCs w:val="44"/>
        </w:rPr>
        <w:t xml:space="preserve">四章  采购需求</w:t>
      </w:r>
      <w:bookmarkEnd w:id="186"/>
      <w:r/>
      <w:bookmarkEnd w:id="187"/>
      <w:r/>
      <w:bookmarkEnd w:id="188"/>
      <w:r/>
      <w:r/>
    </w:p>
    <w:p>
      <w:pPr>
        <w:rPr>
          <w:rFonts w:ascii="宋体" w:hAnsi="宋体" w:cs="宋体"/>
          <w:b/>
          <w:sz w:val="24"/>
          <w:szCs w:val="24"/>
        </w:rPr>
      </w:pPr>
      <w:r/>
      <w:bookmarkStart w:id="191" w:name="_Toc49090575"/>
      <w:r/>
      <w:bookmarkStart w:id="192" w:name="_Toc26554093"/>
      <w:r>
        <w:rPr>
          <w:rFonts w:hint="eastAsia" w:ascii="宋体" w:hAnsi="宋体" w:cs="宋体"/>
          <w:b/>
          <w:sz w:val="24"/>
          <w:szCs w:val="24"/>
        </w:rPr>
        <w:t xml:space="preserve">一、项目属性：货物类项目。</w:t>
      </w:r>
      <w:r/>
    </w:p>
    <w:p>
      <w:pPr>
        <w:pStyle w:val="708"/>
        <w:rPr>
          <w:rFonts w:eastAsiaTheme="minorEastAsia"/>
          <w:lang w:val="en-US"/>
        </w:rPr>
      </w:pPr>
      <w:r>
        <w:rPr>
          <w:rFonts w:eastAsiaTheme="minorEastAsia"/>
          <w:lang w:val="en-US"/>
        </w:rPr>
      </w:r>
      <w:r/>
    </w:p>
    <w:p>
      <w:pPr>
        <w:rPr>
          <w:rFonts w:ascii="宋体" w:hAnsi="宋体" w:cs="宋体"/>
          <w:b/>
          <w:sz w:val="24"/>
          <w:szCs w:val="24"/>
        </w:rPr>
      </w:pPr>
      <w:r>
        <w:rPr>
          <w:rFonts w:hint="eastAsia" w:ascii="宋体" w:hAnsi="宋体" w:cs="宋体"/>
          <w:b/>
          <w:sz w:val="24"/>
          <w:szCs w:val="24"/>
        </w:rPr>
        <w:t xml:space="preserve">二、项目概况</w:t>
      </w:r>
      <w:r/>
    </w:p>
    <w:p>
      <w:pPr>
        <w:rPr>
          <w:rFonts w:ascii="宋体" w:hAnsi="宋体" w:cs="宋体"/>
          <w:b/>
          <w:bCs/>
          <w:sz w:val="24"/>
          <w:szCs w:val="24"/>
        </w:rPr>
      </w:pPr>
      <w:r>
        <w:rPr>
          <w:rFonts w:hint="eastAsia" w:ascii="宋体" w:hAnsi="宋体" w:cs="宋体"/>
          <w:b/>
          <w:bCs/>
          <w:sz w:val="24"/>
          <w:szCs w:val="24"/>
        </w:rPr>
        <w:t xml:space="preserve">（一）项目背景</w:t>
      </w:r>
      <w:r/>
    </w:p>
    <w:p>
      <w:pPr>
        <w:ind w:firstLine="480"/>
        <w:spacing w:line="264" w:lineRule="auto"/>
        <w:rPr>
          <w:rFonts w:ascii="宋体" w:hAnsi="宋体" w:cs="宋体"/>
          <w:bCs/>
          <w:sz w:val="24"/>
          <w:szCs w:val="24"/>
        </w:rPr>
      </w:pPr>
      <w:r>
        <w:rPr>
          <w:rFonts w:hint="eastAsia" w:ascii="宋体" w:hAnsi="宋体" w:cs="宋体"/>
          <w:bCs/>
          <w:sz w:val="24"/>
          <w:szCs w:val="24"/>
        </w:rPr>
        <w:t xml:space="preserve">浦口·兰花塘未来农业展示体验中心项目，位于浦口区桥林街道兰花塘社区新建组，桥林新城以北，高旺河以南。项目区位优越，交通便捷，双城相拥，双轨直达。整个项目区占地面积390余田。</w:t>
      </w:r>
      <w:r/>
    </w:p>
    <w:p>
      <w:pPr>
        <w:ind w:firstLine="480"/>
        <w:spacing w:line="264" w:lineRule="auto"/>
        <w:rPr>
          <w:rFonts w:ascii="宋体" w:hAnsi="宋体" w:cs="宋体"/>
          <w:bCs/>
          <w:sz w:val="24"/>
          <w:szCs w:val="24"/>
        </w:rPr>
      </w:pPr>
      <w:r>
        <w:rPr>
          <w:rFonts w:hint="eastAsia" w:ascii="宋体" w:hAnsi="宋体" w:cs="宋体"/>
          <w:bCs/>
          <w:sz w:val="24"/>
          <w:szCs w:val="24"/>
        </w:rPr>
        <w:t xml:space="preserve">本项目为</w:t>
      </w:r>
      <w:r>
        <w:rPr>
          <w:rFonts w:hint="eastAsia" w:ascii="宋体" w:hAnsi="宋体"/>
          <w:sz w:val="24"/>
          <w:szCs w:val="24"/>
        </w:rPr>
        <w:t xml:space="preserve">浦口·兰花塘未来农业展示体验中心项目，主要包含兰花塘稻米加工体验中心（一期）、桥林兰花塘稻米全产业链原粮存储设施</w:t>
      </w:r>
      <w:r>
        <w:rPr>
          <w:rFonts w:hint="eastAsia" w:ascii="宋体" w:hAnsi="宋体" w:cs="宋体"/>
          <w:bCs/>
          <w:sz w:val="24"/>
          <w:szCs w:val="24"/>
        </w:rPr>
        <w:t xml:space="preserve">，拟建设稻米加工体验中心（一期）即烘干中心约1870㎡、原粮存储设施约1630㎡。</w:t>
      </w:r>
      <w:r/>
    </w:p>
    <w:p>
      <w:pPr>
        <w:rPr>
          <w:rFonts w:ascii="宋体" w:hAnsi="宋体" w:cs="宋体"/>
          <w:b/>
          <w:bCs/>
          <w:sz w:val="24"/>
          <w:szCs w:val="24"/>
        </w:rPr>
      </w:pPr>
      <w:r>
        <w:rPr>
          <w:rFonts w:hint="eastAsia" w:ascii="宋体" w:hAnsi="宋体" w:cs="宋体"/>
          <w:b/>
          <w:bCs/>
          <w:sz w:val="24"/>
          <w:szCs w:val="24"/>
        </w:rPr>
        <w:t xml:space="preserve">（二）项目建设目标</w:t>
      </w:r>
      <w:r/>
    </w:p>
    <w:p>
      <w:pPr>
        <w:ind w:firstLine="480"/>
        <w:rPr>
          <w:rFonts w:ascii="宋体" w:hAnsi="宋体" w:cs="宋体"/>
          <w:bCs/>
          <w:sz w:val="24"/>
          <w:szCs w:val="24"/>
        </w:rPr>
      </w:pPr>
      <w:r>
        <w:rPr>
          <w:rFonts w:ascii="宋体" w:hAnsi="宋体" w:cs="宋体"/>
          <w:bCs/>
          <w:sz w:val="24"/>
          <w:szCs w:val="24"/>
        </w:rPr>
        <w:t xml:space="preserve">1、符合国家标准、行业标准、地方标准或者其他标准、规范。</w:t>
      </w:r>
      <w:r/>
    </w:p>
    <w:p>
      <w:pPr>
        <w:ind w:firstLine="480"/>
        <w:rPr>
          <w:rFonts w:ascii="宋体" w:hAnsi="宋体" w:cs="宋体"/>
          <w:bCs/>
          <w:sz w:val="24"/>
          <w:szCs w:val="24"/>
        </w:rPr>
      </w:pPr>
      <w:r>
        <w:rPr>
          <w:rFonts w:ascii="宋体" w:hAnsi="宋体" w:cs="宋体"/>
          <w:bCs/>
          <w:sz w:val="24"/>
          <w:szCs w:val="24"/>
        </w:rPr>
        <w:t xml:space="preserve">2、核心产品评审说明：多家投标人提供的核心产品品牌相同的，按一家投标人计算，评审后得分最高的同品牌投标人与其他品牌的投标人进行比较与评价。</w:t>
      </w:r>
      <w:r/>
    </w:p>
    <w:p>
      <w:pPr>
        <w:pStyle w:val="708"/>
        <w:rPr>
          <w:rFonts w:eastAsiaTheme="minorEastAsia"/>
          <w:lang w:val="en-US"/>
        </w:rPr>
      </w:pPr>
      <w:r>
        <w:rPr>
          <w:rFonts w:eastAsiaTheme="minorEastAsia"/>
          <w:lang w:val="en-US"/>
        </w:rPr>
      </w:r>
      <w:r/>
    </w:p>
    <w:p>
      <w:pPr>
        <w:numPr>
          <w:ilvl w:val="0"/>
          <w:numId w:val="7"/>
        </w:numPr>
        <w:rPr>
          <w:rFonts w:ascii="宋体" w:hAnsi="宋体" w:cs="宋体"/>
          <w:b/>
          <w:bCs/>
          <w:sz w:val="24"/>
          <w:szCs w:val="24"/>
        </w:rPr>
      </w:pPr>
      <w:r>
        <w:rPr>
          <w:rFonts w:hint="eastAsia" w:ascii="宋体" w:hAnsi="宋体" w:cs="宋体"/>
          <w:b/>
          <w:bCs/>
          <w:sz w:val="24"/>
          <w:szCs w:val="24"/>
        </w:rPr>
        <w:t xml:space="preserve">产品清单</w:t>
      </w:r>
      <w:r/>
    </w:p>
    <w:tbl>
      <w:tblPr>
        <w:tblW w:w="10620" w:type="dxa"/>
        <w:jc w:val="center"/>
        <w:tblInd w:w="103" w:type="dxa"/>
        <w:tblLook w:val="04A0" w:firstRow="1" w:lastRow="0" w:firstColumn="1" w:lastColumn="0" w:noHBand="0" w:noVBand="1"/>
      </w:tblPr>
      <w:tblGrid>
        <w:gridCol w:w="680"/>
        <w:gridCol w:w="2480"/>
        <w:gridCol w:w="1040"/>
        <w:gridCol w:w="1040"/>
        <w:gridCol w:w="1220"/>
        <w:gridCol w:w="1040"/>
        <w:gridCol w:w="1040"/>
        <w:gridCol w:w="1040"/>
        <w:gridCol w:w="1040"/>
      </w:tblGrid>
      <w:tr>
        <w:trPr>
          <w:jc w:val="center"/>
          <w:trHeight w:val="300"/>
        </w:trPr>
        <w:tc>
          <w:tcPr>
            <w:gridSpan w:val="9"/>
            <w:shd w:val="clear" w:color="auto" w:fill="auto"/>
            <w:tcBorders>
              <w:top w:val="single" w:color="auto" w:sz="4" w:space="0"/>
              <w:left w:val="single" w:color="auto" w:sz="4" w:space="0"/>
              <w:bottom w:val="single" w:color="auto" w:sz="4" w:space="0"/>
              <w:right w:val="single" w:color="000000" w:sz="4" w:space="0"/>
            </w:tcBorders>
            <w:tcW w:w="106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浦口•兰花塘未来农业发展示体验中心项目-兰花塘稻米加工体验中心（一期）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4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最高限价</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产品类型</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所属类型</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产品属性</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备注</w:t>
            </w:r>
            <w:r/>
          </w:p>
        </w:tc>
      </w:tr>
      <w:tr>
        <w:trPr>
          <w:jc w:val="center"/>
          <w:trHeight w:val="300"/>
        </w:trPr>
        <w:tc>
          <w:tcPr>
            <w:gridSpan w:val="9"/>
            <w:shd w:val="clear" w:color="000000" w:fill="ff0000"/>
            <w:tcBorders>
              <w:top w:val="single" w:color="auto" w:sz="4" w:space="0"/>
              <w:left w:val="single" w:color="auto" w:sz="4" w:space="0"/>
              <w:bottom w:val="single" w:color="auto" w:sz="4" w:space="0"/>
              <w:right w:val="single" w:color="000000" w:sz="4" w:space="0"/>
            </w:tcBorders>
            <w:tcW w:w="106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主体部分</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钢结构</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实腹钢柱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113.029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核心产品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199.448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核心产品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钢板楼板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2161.54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钢梯</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3.786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零星钢构件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钢爬梯</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砌块墙钢丝网加固</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24.47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砌块墙钢丝网加固</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396.86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金属油漆、涂料</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金属面油漆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4967.18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天棚涂料</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1570.86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墙面涂料</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1911.49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墙面涂料</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4306.46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天棚涂料</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263.7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金属构件防火涂料</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921.39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金属构件防火涂料</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3943.96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金属构件防火涂料</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101.83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墙体</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多孔砖墙</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199.58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多孔砖墙</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89.52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砌块墙</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216.89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砌块墙</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169.86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门窗</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金属(塑钢）门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39.73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樘</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樘</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樘</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樘</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樘</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樘</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樘</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樘</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樘</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金属卷帘(闸）门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樘</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金属（塑钢、断桥）窗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68.4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金属（塑钢、断桥）窗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281.79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金属（塑钢、断桥）窗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185.49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金属百叶窗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46.95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屋面及防水</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楼（地）面砂浆防水(防潮）</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61.82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屋面卷材防水</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1317.52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屋面涂膜防水</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896.1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屋面涂膜防水</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75.27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屋面刚性层</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1194.19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屋面刚性层</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74.52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墙面涂膜防水</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377.75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楼（地）面涂膜防水</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661.79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楼（地）面涂膜防水</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357.54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楼（地）面涂膜防水</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11.04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楼（地）面涂膜防水</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16.18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楼（地）面涂膜防水</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99.38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楼地面装饰</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576.81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298.18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块料楼地面</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6.34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自流坪楼地面</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自流坪楼地面</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87.78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1454.78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857.07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踢脚线油漆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106.41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墙、柱面装饰与隔断、幕墙</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892.5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1911.49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4263.21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43.24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块料墙面</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36.93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377.75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47.02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带骨架幕墙</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189.28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带骨架幕墙</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28.56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带骨架幕墙</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23.57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幕墙与建筑物的封边</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298.33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铝单板雨篷</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19.95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墙面装饰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1066.72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格栅吊顶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175.04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金属栏杆</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25.1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51.12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24.48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检修孔</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钢筋混凝土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垫层</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62.17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满堂基础</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95.26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桩承台基础</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178.33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矩形柱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15.49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构造柱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56.1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矩形梁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59.26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圈梁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28.96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过梁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0.33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挡土墙</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14.44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有梁板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48.15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平板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142.22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平板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68.36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平板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44.12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雨篷、悬挑板、阳台板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0.34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散水</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59.94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坡道</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36.38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压顶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11.45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0.143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0.371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0.032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24.338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14.774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11.211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19.848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砌体加筋</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3.19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地脚锚栓</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0.268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高强螺栓</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4446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预埋铁件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机械连接</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钢筋电渣压力焊接头</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2011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土石方</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平整场地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1074.06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沟槽土方</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49.76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挖基坑土方</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718.19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回填</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716.63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回填</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70.07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余方弃置</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51.32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930"/>
        </w:trPr>
        <w:tc>
          <w:tcPr>
            <w:shd w:val="clear" w:color="000000" w:fill="92d050"/>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4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项</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92d050"/>
            <w:tcBorders>
              <w:top w:val="none" w:color="000000" w:sz="4" w:space="0"/>
              <w:left w:val="none" w:color="000000" w:sz="4" w:space="0"/>
              <w:bottom w:val="single" w:color="auto" w:sz="4" w:space="0"/>
              <w:right w:val="none" w:color="000000" w:sz="4" w:space="0"/>
            </w:tcBorders>
            <w:tcW w:w="1220" w:type="dxa"/>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429204.87</w:t>
            </w:r>
            <w:r/>
          </w:p>
        </w:tc>
        <w:tc>
          <w:tcPr>
            <w:shd w:val="clear" w:color="ffffff" w:fill="92d050"/>
            <w:tcBorders>
              <w:top w:val="none" w:color="000000"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000000" w:fill="92d050"/>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000000"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w:t>
            </w:r>
            <w:r/>
          </w:p>
        </w:tc>
      </w:tr>
      <w:tr>
        <w:trPr>
          <w:jc w:val="center"/>
          <w:trHeight w:val="300"/>
        </w:trPr>
        <w:tc>
          <w:tcPr>
            <w:gridSpan w:val="9"/>
            <w:shd w:val="clear" w:color="000000" w:fill="ff0000"/>
            <w:tcBorders>
              <w:top w:val="single" w:color="auto" w:sz="4" w:space="0"/>
              <w:left w:val="single" w:color="auto" w:sz="4" w:space="0"/>
              <w:bottom w:val="single" w:color="auto" w:sz="4" w:space="0"/>
              <w:right w:val="single" w:color="000000" w:sz="4" w:space="0"/>
            </w:tcBorders>
            <w:tcW w:w="106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桩基部分</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预制钢筋混凝土管桩</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根</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预制钢筋混凝土管桩</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根</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钢筋笼</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0.441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钢筋笼</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5.585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预埋铁件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0.157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预制管桩填芯</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19.73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660"/>
        </w:trPr>
        <w:tc>
          <w:tcPr>
            <w:shd w:val="clear" w:color="000000" w:fill="92d050"/>
            <w:tcBorders>
              <w:top w:val="none" w:color="000000" w:sz="4" w:space="0"/>
              <w:left w:val="single" w:color="auto" w:sz="4" w:space="0"/>
              <w:bottom w:val="single" w:color="auto" w:sz="4" w:space="0"/>
              <w:right w:val="none" w:color="000000"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single" w:color="auto" w:sz="4" w:space="0"/>
              <w:bottom w:val="single" w:color="auto" w:sz="4" w:space="0"/>
              <w:right w:val="single" w:color="auto" w:sz="4" w:space="0"/>
            </w:tcBorders>
            <w:tcW w:w="24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项</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92d050"/>
            <w:tcBorders>
              <w:top w:val="none" w:color="000000" w:sz="4" w:space="0"/>
              <w:left w:val="none" w:color="000000" w:sz="4" w:space="0"/>
              <w:bottom w:val="single" w:color="auto" w:sz="4" w:space="0"/>
              <w:right w:val="none" w:color="000000" w:sz="4" w:space="0"/>
            </w:tcBorders>
            <w:tcW w:w="1220" w:type="dxa"/>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39218.24</w:t>
            </w:r>
            <w:r/>
          </w:p>
        </w:tc>
        <w:tc>
          <w:tcPr>
            <w:shd w:val="clear" w:color="ffffff" w:fill="92d050"/>
            <w:tcBorders>
              <w:top w:val="none" w:color="000000"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000000" w:fill="92d050"/>
            <w:tcBorders>
              <w:top w:val="none" w:color="000000" w:sz="4" w:space="0"/>
              <w:left w:val="none" w:color="000000" w:sz="4" w:space="0"/>
              <w:bottom w:val="single" w:color="auto" w:sz="4" w:space="0"/>
              <w:right w:val="single" w:color="auto" w:sz="4" w:space="0"/>
            </w:tcBorders>
            <w:tcW w:w="1040" w:type="dxa"/>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000000"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w:t>
            </w:r>
            <w:r/>
          </w:p>
        </w:tc>
      </w:tr>
      <w:tr>
        <w:trPr>
          <w:jc w:val="center"/>
          <w:trHeight w:val="300"/>
        </w:trPr>
        <w:tc>
          <w:tcPr>
            <w:gridSpan w:val="9"/>
            <w:shd w:val="clear" w:color="000000" w:fill="ff0000"/>
            <w:tcBorders>
              <w:top w:val="single" w:color="auto" w:sz="4" w:space="0"/>
              <w:left w:val="single" w:color="auto" w:sz="4" w:space="0"/>
              <w:bottom w:val="single" w:color="auto" w:sz="4" w:space="0"/>
              <w:right w:val="single" w:color="000000" w:sz="4" w:space="0"/>
            </w:tcBorders>
            <w:tcW w:w="106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电气部分</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桥架、配管</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桥架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46.96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桥架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61.78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桥架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33.78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桥架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66.81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电缆保护管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11.12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17.62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25.93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283.6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43.27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861.23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668.3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13.53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铁构件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356.9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防火堵洞</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项</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电缆、电线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84.29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113.41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51.25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68.1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433.13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88.93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32.66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32.02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117.3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25.86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25.86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电力电缆头</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电力电缆头</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电力电缆头</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217.51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2001.23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464.08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214.29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817.35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70.54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开关、插座</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照明开关</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照明开关</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照明开关</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插座</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插座</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其他电器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灯具</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工厂灯</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普通灯具</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普通灯具</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荧光灯</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荧光灯</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荧光灯</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装饰灯</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装饰灯</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装饰灯</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装饰灯</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装饰灯</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装饰灯</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装饰灯</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221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防雷接地系统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端子箱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端子箱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均压环</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445.98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避雷网</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573.11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避雷引下线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3.43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等电位端子箱、测试板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接地母线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129.74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接地母线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45.6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30.43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8.22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30.43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8.22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接地装置</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系统</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885"/>
        </w:trPr>
        <w:tc>
          <w:tcPr>
            <w:shd w:val="clear" w:color="000000" w:fill="92d050"/>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4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项</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92d050"/>
            <w:tcBorders>
              <w:top w:val="none" w:color="000000" w:sz="4" w:space="0"/>
              <w:left w:val="none" w:color="000000" w:sz="4" w:space="0"/>
              <w:bottom w:val="single" w:color="auto" w:sz="4" w:space="0"/>
              <w:right w:val="none" w:color="000000" w:sz="4" w:space="0"/>
            </w:tcBorders>
            <w:tcW w:w="1220" w:type="dxa"/>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19600.60</w:t>
            </w:r>
            <w:r/>
          </w:p>
        </w:tc>
        <w:tc>
          <w:tcPr>
            <w:shd w:val="clear" w:color="ffffff" w:fill="92d050"/>
            <w:tcBorders>
              <w:top w:val="none" w:color="000000"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000000" w:fill="92d050"/>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000000"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w:t>
            </w:r>
            <w:r/>
          </w:p>
        </w:tc>
      </w:tr>
      <w:tr>
        <w:trPr>
          <w:jc w:val="center"/>
          <w:trHeight w:val="300"/>
        </w:trPr>
        <w:tc>
          <w:tcPr>
            <w:gridSpan w:val="9"/>
            <w:shd w:val="clear" w:color="000000" w:fill="ff0000"/>
            <w:tcBorders>
              <w:top w:val="single" w:color="auto" w:sz="4" w:space="0"/>
              <w:left w:val="single" w:color="auto" w:sz="4" w:space="0"/>
              <w:bottom w:val="single" w:color="auto" w:sz="4" w:space="0"/>
              <w:right w:val="single" w:color="000000" w:sz="4" w:space="0"/>
            </w:tcBorders>
            <w:tcW w:w="106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给排水部分</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给水系统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复合管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复合管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复合管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30.11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3.28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0.92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9.28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水表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水表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砌筑井</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座</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管道支架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金属结构刷油</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沟槽</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回填</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凿（压）槽</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凿（压）槽</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管道绝热</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0.27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防潮层、保护层</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8.22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污废水系统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9.32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5.36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7.39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沟槽</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回填</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卫生洁具</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洗脸盆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组</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大便器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组</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小便器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组</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给、排水附（配）件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497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给、排水附（配）件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雨水系统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93.86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87型雨水斗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侧排雨水斗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沟槽</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回填</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885"/>
        </w:trPr>
        <w:tc>
          <w:tcPr>
            <w:shd w:val="clear" w:color="000000" w:fill="92d050"/>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4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项</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92d050"/>
            <w:tcBorders>
              <w:top w:val="none" w:color="000000" w:sz="4" w:space="0"/>
              <w:left w:val="none" w:color="000000" w:sz="4" w:space="0"/>
              <w:bottom w:val="single" w:color="auto" w:sz="4" w:space="0"/>
              <w:right w:val="none" w:color="000000" w:sz="4" w:space="0"/>
            </w:tcBorders>
            <w:tcW w:w="1220" w:type="dxa"/>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2833.22</w:t>
            </w:r>
            <w:r/>
          </w:p>
        </w:tc>
        <w:tc>
          <w:tcPr>
            <w:shd w:val="clear" w:color="ffffff" w:fill="92d050"/>
            <w:tcBorders>
              <w:top w:val="none" w:color="000000"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000000" w:fill="92d050"/>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000000"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w:t>
            </w:r>
            <w:r/>
          </w:p>
        </w:tc>
      </w:tr>
      <w:tr>
        <w:trPr>
          <w:jc w:val="center"/>
          <w:trHeight w:val="300"/>
        </w:trPr>
        <w:tc>
          <w:tcPr>
            <w:gridSpan w:val="9"/>
            <w:shd w:val="clear" w:color="000000" w:fill="ff0000"/>
            <w:tcBorders>
              <w:top w:val="single" w:color="auto" w:sz="4" w:space="0"/>
              <w:left w:val="single" w:color="auto" w:sz="4" w:space="0"/>
              <w:bottom w:val="single" w:color="auto" w:sz="4" w:space="0"/>
              <w:right w:val="single" w:color="000000" w:sz="4" w:space="0"/>
            </w:tcBorders>
            <w:tcW w:w="106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暖通部分</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通风系统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其他风机</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设备支架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400</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金属结构刷油</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400</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消声器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消声器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消声器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消声器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消声器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消声器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2.51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8.25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2.18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41.34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286.58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45.8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271.81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452.76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柔性软风管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弯头导流叶片</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23.04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耐火极限风管保护</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636.5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管道刷油</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525.1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通风检测、调试</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系统</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1215"/>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抗震支架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项</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此项待深化设计后确定，费用为不可竞争</w:t>
            </w:r>
            <w:r/>
          </w:p>
        </w:tc>
      </w:tr>
      <w:tr>
        <w:trPr>
          <w:jc w:val="center"/>
          <w:trHeight w:val="93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4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项</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92d050"/>
            <w:tcBorders>
              <w:top w:val="none" w:color="000000" w:sz="4" w:space="0"/>
              <w:left w:val="none" w:color="000000" w:sz="4" w:space="0"/>
              <w:bottom w:val="single" w:color="auto" w:sz="4" w:space="0"/>
              <w:right w:val="none" w:color="000000" w:sz="4" w:space="0"/>
            </w:tcBorders>
            <w:tcW w:w="1220" w:type="dxa"/>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22745.66</w:t>
            </w:r>
            <w:r/>
          </w:p>
        </w:tc>
        <w:tc>
          <w:tcPr>
            <w:shd w:val="clear" w:color="ffffff" w:fill="92d050"/>
            <w:tcBorders>
              <w:top w:val="none" w:color="000000"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000000" w:fill="92d050"/>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000000"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w:t>
            </w:r>
            <w:r/>
          </w:p>
        </w:tc>
      </w:tr>
      <w:tr>
        <w:trPr>
          <w:jc w:val="center"/>
          <w:trHeight w:val="300"/>
        </w:trPr>
        <w:tc>
          <w:tcPr>
            <w:gridSpan w:val="9"/>
            <w:shd w:val="clear" w:color="000000" w:fill="ff0000"/>
            <w:tcBorders>
              <w:top w:val="single" w:color="auto" w:sz="4" w:space="0"/>
              <w:left w:val="single" w:color="auto" w:sz="4" w:space="0"/>
              <w:bottom w:val="single" w:color="auto" w:sz="4" w:space="0"/>
              <w:right w:val="single" w:color="000000" w:sz="4" w:space="0"/>
            </w:tcBorders>
            <w:tcW w:w="106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消防部分</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火灾自动报警系统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火灾报警系统控制主机</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火灾报警控制微机(CRT)</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火灾显示板（层显）</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模块（模块箱）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模块（模块箱）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模块（模块箱）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消防广播（扬声器）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声光报警器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消防报警电话插孔（电话）</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点型探测器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点型探测器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按钮</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消防报警电话插孔（电话）</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消防报警电话插孔（电话）</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端子箱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模块（模块箱）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桥架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38.64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1304.24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控制电缆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143.24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84.74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4178.18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907.8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264.2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355.7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铁构件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76.5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防火堵洞</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项</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防火控制装置调试</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自动报警系统调试</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自动报警系统调试</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自动报警系统调试</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系统</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应急照明集中控制系统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联动控制箱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96.3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消防电源监控系统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联动控制箱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50.63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119.82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240.64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自动报警系统调试</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系统</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电气火灾监控系统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联动控制箱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46.8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112.6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225.2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自动报警系统调试</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系统</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防火门监控系统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联动控制箱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模块（模块箱）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模块（模块箱）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出入口执行机构设备</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48.3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113.4</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防火控制装置调试</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液位显示系统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远程控制箱（柜）</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27.08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控制电缆</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53.6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gridSpan w:val="9"/>
            <w:shd w:val="clear" w:color="ffffff" w:fill="ffff00"/>
            <w:tcBorders>
              <w:top w:val="single" w:color="auto" w:sz="4" w:space="0"/>
              <w:left w:val="single" w:color="auto" w:sz="4" w:space="0"/>
              <w:bottom w:val="single" w:color="auto" w:sz="4" w:space="0"/>
              <w:right w:val="single" w:color="000000" w:sz="4" w:space="0"/>
            </w:tcBorders>
            <w:tcW w:w="1062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消火栓系统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室内消火栓箱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灭火器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组</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消火栓钢管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179.57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消火栓钢管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162.03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管道绝热</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0.47</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防潮层、保护层</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管道刷油</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114.58</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管道支架</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688.29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金属结构刷油</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688.29</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水箱</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沟槽</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回填</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ffffff" w:fill="ffffff"/>
            <w:tcBorders>
              <w:top w:val="none" w:color="000000" w:sz="4" w:space="0"/>
              <w:left w:val="none" w:color="000000" w:sz="4" w:space="0"/>
              <w:bottom w:val="single" w:color="auto" w:sz="4" w:space="0"/>
              <w:right w:val="single" w:color="auto" w:sz="4" w:space="0"/>
            </w:tcBorders>
            <w:tcW w:w="248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水灭火控制装置调试</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点</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825"/>
        </w:trPr>
        <w:tc>
          <w:tcPr>
            <w:shd w:val="clear" w:color="000000" w:fill="92d050"/>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4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项</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92d050"/>
            <w:tcBorders>
              <w:top w:val="none" w:color="000000" w:sz="4" w:space="0"/>
              <w:left w:val="none" w:color="000000" w:sz="4" w:space="0"/>
              <w:bottom w:val="single" w:color="auto" w:sz="4" w:space="0"/>
              <w:right w:val="none" w:color="000000" w:sz="4" w:space="0"/>
            </w:tcBorders>
            <w:tcW w:w="1220" w:type="dxa"/>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16895.40</w:t>
            </w:r>
            <w:r/>
          </w:p>
        </w:tc>
        <w:tc>
          <w:tcPr>
            <w:shd w:val="clear" w:color="ffffff" w:fill="92d050"/>
            <w:tcBorders>
              <w:top w:val="none" w:color="000000" w:sz="4" w:space="0"/>
              <w:left w:val="single" w:color="auto"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000000" w:fill="92d050"/>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ffffff"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000000" w:fill="92d050"/>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w:t>
            </w:r>
            <w:r/>
          </w:p>
        </w:tc>
      </w:tr>
    </w:tbl>
    <w:p>
      <w:pPr>
        <w:pStyle w:val="708"/>
        <w:rPr>
          <w:rFonts w:eastAsiaTheme="minorEastAsia"/>
          <w:color w:val="auto"/>
        </w:rPr>
      </w:pPr>
      <w:r>
        <w:rPr>
          <w:rFonts w:eastAsiaTheme="minorEastAsia"/>
          <w:color w:val="auto"/>
        </w:rPr>
      </w:r>
      <w:r/>
    </w:p>
    <w:tbl>
      <w:tblPr>
        <w:tblW w:w="10440" w:type="dxa"/>
        <w:jc w:val="center"/>
        <w:tblLook w:val="04A0" w:firstRow="1" w:lastRow="0" w:firstColumn="1" w:lastColumn="0" w:noHBand="0" w:noVBand="1"/>
      </w:tblPr>
      <w:tblGrid>
        <w:gridCol w:w="516"/>
        <w:gridCol w:w="2546"/>
        <w:gridCol w:w="1068"/>
        <w:gridCol w:w="1068"/>
        <w:gridCol w:w="1116"/>
        <w:gridCol w:w="1068"/>
        <w:gridCol w:w="1068"/>
        <w:gridCol w:w="1068"/>
        <w:gridCol w:w="1068"/>
      </w:tblGrid>
      <w:tr>
        <w:trPr>
          <w:jc w:val="center"/>
          <w:trHeight w:val="270"/>
        </w:trPr>
        <w:tc>
          <w:tcPr>
            <w:gridSpan w:val="9"/>
            <w:shd w:val="clear" w:color="auto" w:fill="auto"/>
            <w:tcBorders>
              <w:top w:val="none" w:color="000000" w:sz="4" w:space="0"/>
              <w:left w:val="none" w:color="000000" w:sz="4" w:space="0"/>
              <w:bottom w:val="single" w:color="auto" w:sz="4" w:space="0"/>
              <w:right w:val="none" w:color="000000" w:sz="4" w:space="0"/>
            </w:tcBorders>
            <w:tcW w:w="104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浦口•兰花塘未来农业发展示体验中心项目-桥林兰花塘稻米全产业链原粮储存设施</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54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最高限价</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产品类型</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所属类型</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产品属性</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备注</w:t>
            </w:r>
            <w:r/>
          </w:p>
        </w:tc>
      </w:tr>
      <w:tr>
        <w:trPr>
          <w:jc w:val="center"/>
          <w:trHeight w:val="270"/>
        </w:trPr>
        <w:tc>
          <w:tcPr>
            <w:gridSpan w:val="9"/>
            <w:shd w:val="clear" w:color="000000" w:fill="ff0000"/>
            <w:tcBorders>
              <w:top w:val="single" w:color="auto" w:sz="4" w:space="0"/>
              <w:left w:val="single" w:color="auto" w:sz="4" w:space="0"/>
              <w:bottom w:val="single" w:color="auto" w:sz="4" w:space="0"/>
              <w:right w:val="single" w:color="auto"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主体部分</w:t>
            </w:r>
            <w:r/>
          </w:p>
        </w:tc>
      </w:tr>
      <w:tr>
        <w:trPr>
          <w:jc w:val="center"/>
          <w:trHeight w:val="270"/>
        </w:trPr>
        <w:tc>
          <w:tcPr>
            <w:gridSpan w:val="9"/>
            <w:shd w:val="clear" w:color="ffffff" w:fill="ffff00"/>
            <w:tcBorders>
              <w:top w:val="single" w:color="auto" w:sz="4" w:space="0"/>
              <w:left w:val="single" w:color="auto" w:sz="4" w:space="0"/>
              <w:bottom w:val="single" w:color="auto" w:sz="4" w:space="0"/>
              <w:right w:val="single" w:color="000000" w:sz="4" w:space="0"/>
            </w:tcBorders>
            <w:tcW w:w="104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钢结构</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钢托架</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2.68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8.134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钢板楼板</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125.93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钢梯</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集水井成品花纹盖板</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0.034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排水沟镂空金属盖板</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3.68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砌块墙钢丝网加固</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307.51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砌块墙钢丝网加固</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1049.53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ffffff" w:fill="ffff00"/>
            <w:tcBorders>
              <w:top w:val="single" w:color="auto" w:sz="4" w:space="0"/>
              <w:left w:val="single" w:color="auto" w:sz="4" w:space="0"/>
              <w:bottom w:val="single" w:color="auto" w:sz="4" w:space="0"/>
              <w:right w:val="single" w:color="000000" w:sz="4" w:space="0"/>
            </w:tcBorders>
            <w:tcW w:w="104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金属油漆、涂料</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金属面油漆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459.77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墙面涂料</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192.76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墙面涂料</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4616.04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墙面涂料</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721.39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天棚涂料</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66.82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天棚涂料</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1721.61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天棚涂料</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91.82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金属构件防火涂料</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133.84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金属构件防火涂料</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365.93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ffffff" w:fill="ffff00"/>
            <w:tcBorders>
              <w:top w:val="single" w:color="auto" w:sz="4" w:space="0"/>
              <w:left w:val="single" w:color="auto" w:sz="4" w:space="0"/>
              <w:bottom w:val="single" w:color="auto" w:sz="4" w:space="0"/>
              <w:right w:val="single" w:color="auto" w:sz="4" w:space="0"/>
            </w:tcBorders>
            <w:tcW w:w="104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墙体</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多孔砖墙</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54.34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多孔砖墙</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26.22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砌块墙</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56.33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砌块墙</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47.62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ffffff" w:fill="ffff00"/>
            <w:tcBorders>
              <w:top w:val="single" w:color="auto" w:sz="4" w:space="0"/>
              <w:left w:val="single" w:color="auto" w:sz="4" w:space="0"/>
              <w:bottom w:val="single" w:color="auto" w:sz="4" w:space="0"/>
              <w:right w:val="single" w:color="000000" w:sz="4" w:space="0"/>
            </w:tcBorders>
            <w:tcW w:w="104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门窗</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铝合金玻璃门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铝合金门联窗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9.45</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钢质乙级防火门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樘</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钢质乙级防火门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樘</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金属（塑钢、断桥）窗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37.76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金属（塑钢、断桥）窗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77.51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钢制甲级防火窗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钢制乙级防火窗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ffffff" w:fill="ffff00"/>
            <w:tcBorders>
              <w:top w:val="single" w:color="auto" w:sz="4" w:space="0"/>
              <w:left w:val="single" w:color="auto" w:sz="4" w:space="0"/>
              <w:bottom w:val="single" w:color="auto" w:sz="4" w:space="0"/>
              <w:right w:val="single" w:color="000000" w:sz="4" w:space="0"/>
            </w:tcBorders>
            <w:tcW w:w="104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屋面及防水</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屋面卷材防水</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74.46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屋面卷材防水</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896.1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屋面涂膜防水</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896.1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屋面涂膜防水</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0.57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屋面刚性层</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65.28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屋面刚性层</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828.63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屋面刚性层</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0.57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钢板止水带</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64.8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墙面卷材防水</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339.25</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墙面涂膜防水</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285.33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天棚涂膜防水</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194.4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楼（地）面卷材防水</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464.71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楼（地）面涂膜防水</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174.28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楼（地）面涂膜防水</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784.84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ffffff" w:fill="ffff00"/>
            <w:tcBorders>
              <w:top w:val="single" w:color="auto" w:sz="4" w:space="0"/>
              <w:left w:val="single" w:color="auto" w:sz="4" w:space="0"/>
              <w:bottom w:val="single" w:color="auto" w:sz="4" w:space="0"/>
              <w:right w:val="single" w:color="000000" w:sz="4" w:space="0"/>
            </w:tcBorders>
            <w:tcW w:w="104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楼地面装饰</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382.44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505.92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739.58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6.57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902.23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踢脚线油漆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39.24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ffffff" w:fill="ffff00"/>
            <w:tcBorders>
              <w:top w:val="single" w:color="auto" w:sz="4" w:space="0"/>
              <w:left w:val="single" w:color="auto" w:sz="4" w:space="0"/>
              <w:bottom w:val="single" w:color="auto" w:sz="4" w:space="0"/>
              <w:right w:val="single" w:color="000000" w:sz="4" w:space="0"/>
            </w:tcBorders>
            <w:tcW w:w="104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墙、柱面装饰与隔断、幕墙</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墙面一般抹灰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343.68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墙面一般抹灰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1645.1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墙面一般抹灰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34.79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墙面一般抹灰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478.09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墙面一般抹灰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2978.66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墙面一般抹灰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1637.38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穿孔铝单板幕墙</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781.07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带骨架幕墙</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574.69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幕墙与建筑物的封边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373.85</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铝单板雨篷</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2.76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ffffff" w:fill="ffff00"/>
            <w:tcBorders>
              <w:top w:val="single" w:color="auto" w:sz="4" w:space="0"/>
              <w:left w:val="single" w:color="auto" w:sz="4" w:space="0"/>
              <w:bottom w:val="single" w:color="auto" w:sz="4" w:space="0"/>
              <w:right w:val="single" w:color="000000" w:sz="4" w:space="0"/>
            </w:tcBorders>
            <w:tcW w:w="104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保温、隔热、防腐</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保温隔热屋面</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788.03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保温隔热墙面</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343.68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保温隔热墙面（首层）</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385.4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保温隔热墙面</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982.56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金属栏杆</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23.7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20.56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41.12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67.73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9.16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屋面检修上人孔</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ffffff" w:fill="ffff00"/>
            <w:tcBorders>
              <w:top w:val="single" w:color="auto" w:sz="4" w:space="0"/>
              <w:left w:val="single" w:color="auto" w:sz="4" w:space="0"/>
              <w:bottom w:val="single" w:color="auto" w:sz="4" w:space="0"/>
              <w:right w:val="single" w:color="000000" w:sz="4" w:space="0"/>
            </w:tcBorders>
            <w:tcW w:w="104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钢筋混凝土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垫层</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55.25</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满堂基础</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16.24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池底</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85.81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桩承台基础</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76.72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桩承台基础</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166.08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矩形柱</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91.18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构造柱</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13.06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门框柱</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3.42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基础梁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基础梁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20.87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圈梁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3.49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过梁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直形墙</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295.48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池壁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124.93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挡土墙</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23.86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池盖</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70.64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有梁板</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368.96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平板</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0.06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直形楼梯</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80.53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室外入口坡道</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19.08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室外散水</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71.88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压顶</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0.49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0.138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1.691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34.678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19.862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28.059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32.072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砌体加筋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0.921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0.287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0.655</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2.914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41.882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0.014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0.213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6.747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14.296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3.57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14.777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0.051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0.007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0.159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8.586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高强螺栓</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预埋铁件</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4.317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机械连接</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1923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钢筋电渣压力焊接头</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8991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ffffff" w:fill="ffff00"/>
            <w:tcBorders>
              <w:top w:val="single" w:color="auto" w:sz="4" w:space="0"/>
              <w:left w:val="single" w:color="auto" w:sz="4" w:space="0"/>
              <w:bottom w:val="single" w:color="auto" w:sz="4" w:space="0"/>
              <w:right w:val="single" w:color="auto" w:sz="4" w:space="0"/>
            </w:tcBorders>
            <w:tcW w:w="1044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土石方</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平整场地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819.56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挖一般土方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2237.33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沟槽土方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44.99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挖基坑土方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600.81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回填</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1821.29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余方弃置</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1061.84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720"/>
        </w:trPr>
        <w:tc>
          <w:tcPr>
            <w:shd w:val="clear" w:color="000000" w:fill="92d050"/>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54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项</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92d050"/>
            <w:tcBorders>
              <w:top w:val="none" w:color="000000" w:sz="4" w:space="0"/>
              <w:left w:val="none" w:color="000000" w:sz="4" w:space="0"/>
              <w:bottom w:val="single" w:color="auto" w:sz="4" w:space="0"/>
              <w:right w:val="none" w:color="000000" w:sz="4" w:space="0"/>
            </w:tcBorders>
            <w:tcW w:w="1068" w:type="dxa"/>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285070.25</w:t>
            </w:r>
            <w:r/>
          </w:p>
        </w:tc>
        <w:tc>
          <w:tcPr>
            <w:shd w:val="clear" w:color="ffffff" w:fill="92d050"/>
            <w:tcBorders>
              <w:top w:val="none" w:color="000000" w:sz="4" w:space="0"/>
              <w:left w:val="single" w:color="auto"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000000" w:fill="92d050"/>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000000"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w:t>
            </w:r>
            <w:r/>
          </w:p>
        </w:tc>
      </w:tr>
      <w:tr>
        <w:trPr>
          <w:jc w:val="center"/>
          <w:trHeight w:val="270"/>
        </w:trPr>
        <w:tc>
          <w:tcPr>
            <w:gridSpan w:val="9"/>
            <w:shd w:val="clear" w:color="000000" w:fill="ff00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桩基部分</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预制钢筋混凝土管桩</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预制钢筋混凝土管桩</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预制钢筋混凝土管桩</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预制钢筋混凝土管桩</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钢筋笼</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0.791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钢筋笼</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9.863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预埋铁件</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t</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0.232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预制管桩填芯</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18.37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预制管桩填芯</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18.14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720"/>
        </w:trPr>
        <w:tc>
          <w:tcPr>
            <w:shd w:val="clear" w:color="000000" w:fill="92d050"/>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54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项</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92d050"/>
            <w:tcBorders>
              <w:top w:val="none" w:color="000000" w:sz="4" w:space="0"/>
              <w:left w:val="none" w:color="000000" w:sz="4" w:space="0"/>
              <w:bottom w:val="single" w:color="auto" w:sz="4" w:space="0"/>
              <w:right w:val="none" w:color="000000" w:sz="4" w:space="0"/>
            </w:tcBorders>
            <w:tcW w:w="1068" w:type="dxa"/>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56737.85</w:t>
            </w:r>
            <w:r/>
          </w:p>
        </w:tc>
        <w:tc>
          <w:tcPr>
            <w:shd w:val="clear" w:color="ffffff" w:fill="92d050"/>
            <w:tcBorders>
              <w:top w:val="none" w:color="000000" w:sz="4" w:space="0"/>
              <w:left w:val="single" w:color="auto"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000000" w:fill="92d050"/>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000000"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w:t>
            </w:r>
            <w:r/>
          </w:p>
        </w:tc>
      </w:tr>
      <w:tr>
        <w:trPr>
          <w:jc w:val="center"/>
          <w:trHeight w:val="270"/>
        </w:trPr>
        <w:tc>
          <w:tcPr>
            <w:gridSpan w:val="9"/>
            <w:shd w:val="clear" w:color="000000" w:fill="ff00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电气部分</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配电箱</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桥架、配管</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电缆保护管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87.76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30.97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23.09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42.32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24.3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44.16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442.1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铁构件</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48.6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防火堵洞</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电缆、电线</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137.5</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93.27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39.74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27.66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36.96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102.1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20.97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12.81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防水电缆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19.65</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电力电缆头</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电力电缆头</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电力电缆头</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1463.16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214.29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开关、插座</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照明开关</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照明开关</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照明开关</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插座</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灯具</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工厂灯</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普通灯具</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普通灯具</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荧光灯</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防雷接地系统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端子箱</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端子箱</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均压环</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514.19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避雷网</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388.81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避雷引下线</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18.94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等电位端子箱、测试板</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接地母线</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34.2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接地母线</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接地装置</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系统</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720"/>
        </w:trPr>
        <w:tc>
          <w:tcPr>
            <w:shd w:val="clear" w:color="000000" w:fill="92d050"/>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54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项</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92d050"/>
            <w:tcBorders>
              <w:top w:val="none" w:color="000000" w:sz="4" w:space="0"/>
              <w:left w:val="none" w:color="000000" w:sz="4" w:space="0"/>
              <w:bottom w:val="single" w:color="auto" w:sz="4" w:space="0"/>
              <w:right w:val="none" w:color="000000" w:sz="4" w:space="0"/>
            </w:tcBorders>
            <w:tcW w:w="1068" w:type="dxa"/>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12467.97</w:t>
            </w:r>
            <w:r/>
          </w:p>
        </w:tc>
        <w:tc>
          <w:tcPr>
            <w:shd w:val="clear" w:color="ffffff" w:fill="92d050"/>
            <w:tcBorders>
              <w:top w:val="none" w:color="000000" w:sz="4" w:space="0"/>
              <w:left w:val="single" w:color="auto"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000000" w:fill="92d050"/>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000000"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w:t>
            </w:r>
            <w:r/>
          </w:p>
        </w:tc>
      </w:tr>
      <w:tr>
        <w:trPr>
          <w:jc w:val="center"/>
          <w:trHeight w:val="270"/>
        </w:trPr>
        <w:tc>
          <w:tcPr>
            <w:gridSpan w:val="9"/>
            <w:shd w:val="clear" w:color="000000" w:fill="ff00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给排水部分</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给水系统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复合管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10.07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水表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砌筑井</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座</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管道支架</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金属结构刷油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沟槽</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回填</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压力排水</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潜水泵</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镀锌钢管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7.94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镀锌钢管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管道刷油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5.37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管道支架</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金属结构刷油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沟槽</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回填</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雨水系统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66.02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侧排雨水斗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沟槽</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回填</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720"/>
        </w:trPr>
        <w:tc>
          <w:tcPr>
            <w:shd w:val="clear" w:color="000000" w:fill="92d050"/>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54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项</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92d050"/>
            <w:tcBorders>
              <w:top w:val="none" w:color="000000" w:sz="4" w:space="0"/>
              <w:left w:val="none" w:color="000000" w:sz="4" w:space="0"/>
              <w:bottom w:val="single" w:color="auto" w:sz="4" w:space="0"/>
              <w:right w:val="none" w:color="000000" w:sz="4" w:space="0"/>
            </w:tcBorders>
            <w:tcW w:w="1068" w:type="dxa"/>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1576.21</w:t>
            </w:r>
            <w:r/>
          </w:p>
        </w:tc>
        <w:tc>
          <w:tcPr>
            <w:shd w:val="clear" w:color="ffffff" w:fill="92d050"/>
            <w:tcBorders>
              <w:top w:val="none" w:color="000000" w:sz="4" w:space="0"/>
              <w:left w:val="single" w:color="auto"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000000" w:fill="92d050"/>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000000"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w:t>
            </w:r>
            <w:r/>
          </w:p>
        </w:tc>
      </w:tr>
      <w:tr>
        <w:trPr>
          <w:jc w:val="center"/>
          <w:trHeight w:val="270"/>
        </w:trPr>
        <w:tc>
          <w:tcPr>
            <w:gridSpan w:val="9"/>
            <w:shd w:val="clear" w:color="000000" w:fill="ff00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暖通部分</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通风系统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其他风机</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设备支架</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120</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金属结构刷油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120</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消声器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消声器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14.46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2.18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79.1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22.64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柔性软风管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弯头导流叶片</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0.3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碳钢阀门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管道刷油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116.2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通风检测、调试</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系统</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720"/>
        </w:trPr>
        <w:tc>
          <w:tcPr>
            <w:shd w:val="clear" w:color="000000" w:fill="92d050"/>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54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项</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92d050"/>
            <w:tcBorders>
              <w:top w:val="none" w:color="000000" w:sz="4" w:space="0"/>
              <w:left w:val="none" w:color="000000" w:sz="4" w:space="0"/>
              <w:bottom w:val="single" w:color="auto" w:sz="4" w:space="0"/>
              <w:right w:val="none" w:color="000000" w:sz="4" w:space="0"/>
            </w:tcBorders>
            <w:tcW w:w="1068" w:type="dxa"/>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2543.62</w:t>
            </w:r>
            <w:r/>
          </w:p>
        </w:tc>
        <w:tc>
          <w:tcPr>
            <w:shd w:val="clear" w:color="ffffff" w:fill="92d050"/>
            <w:tcBorders>
              <w:top w:val="none" w:color="000000" w:sz="4" w:space="0"/>
              <w:left w:val="single" w:color="auto"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000000" w:fill="92d050"/>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000000"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w:t>
            </w:r>
            <w:r/>
          </w:p>
        </w:tc>
      </w:tr>
      <w:tr>
        <w:trPr>
          <w:jc w:val="center"/>
          <w:trHeight w:val="270"/>
        </w:trPr>
        <w:tc>
          <w:tcPr>
            <w:gridSpan w:val="9"/>
            <w:shd w:val="clear" w:color="000000" w:fill="ff00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消防部分</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火灾自动报警系统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按钮</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端子箱</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模块（模块箱）</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108.99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消防电源监控系统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35.6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55.6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111.2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电气火灾监控系统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46.8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66.8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133.6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液位显示系统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远程控制箱（柜）</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27.08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控制电缆</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68.3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消火栓系统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室内消火栓箱</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室内消火栓箱</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灭火器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组</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消火栓钢管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26.13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消火栓钢管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31.52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倒流防止器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倒流防止器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管道刷油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12.8</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管道支架</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55</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金属结构刷油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55</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水表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组</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水表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组</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砌筑井</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座</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沟槽</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回填</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gridSpan w:val="9"/>
            <w:shd w:val="clear" w:color="000000" w:fill="ffff00"/>
            <w:tcBorders>
              <w:top w:val="single" w:color="auto" w:sz="4" w:space="0"/>
              <w:left w:val="single" w:color="auto" w:sz="4" w:space="0"/>
              <w:bottom w:val="single" w:color="auto" w:sz="4" w:space="0"/>
              <w:right w:val="single" w:color="000000" w:sz="4" w:space="0"/>
            </w:tcBorders>
            <w:tcW w:w="104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消火栓系统(泵房）</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离心式泵</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消火栓钢管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7.69</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消火栓钢管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11.97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消火栓钢管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50.26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消火栓钢管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25.84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压力仪表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压力仪表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压力仪表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流量仪表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物位检测仪表</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低压碳钢管件</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低压碳钢管件</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十八目防虫罩</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低压碳钢管件</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低压碳钢管件</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软接头（软管）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软接头（软管）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管道刷油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m2</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16.41</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管道支架</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61.67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ffffff" w:fill="ffffff"/>
            <w:tcBorders>
              <w:top w:val="none" w:color="000000" w:sz="4" w:space="0"/>
              <w:left w:val="none" w:color="000000" w:sz="4" w:space="0"/>
              <w:bottom w:val="single" w:color="auto" w:sz="4" w:space="0"/>
              <w:right w:val="single" w:color="auto" w:sz="4" w:space="0"/>
            </w:tcBorders>
            <w:tcW w:w="254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金属结构刷油</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kg</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61.67</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　</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ffffff" w:fill="ffffff"/>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r>
      <w:tr>
        <w:trPr>
          <w:jc w:val="center"/>
          <w:trHeight w:val="825"/>
        </w:trPr>
        <w:tc>
          <w:tcPr>
            <w:shd w:val="clear" w:color="000000" w:fill="92d050"/>
            <w:tcBorders>
              <w:top w:val="none" w:color="000000" w:sz="4" w:space="0"/>
              <w:left w:val="single" w:color="auto" w:sz="4" w:space="0"/>
              <w:bottom w:val="single" w:color="auto" w:sz="4" w:space="0"/>
              <w:right w:val="single" w:color="auto" w:sz="4" w:space="0"/>
            </w:tcBorders>
            <w:tcW w:w="41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54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项</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92d050"/>
            <w:tcBorders>
              <w:top w:val="none" w:color="000000" w:sz="4" w:space="0"/>
              <w:left w:val="none" w:color="000000" w:sz="4" w:space="0"/>
              <w:bottom w:val="single" w:color="auto" w:sz="4" w:space="0"/>
              <w:right w:val="none" w:color="000000" w:sz="4" w:space="0"/>
            </w:tcBorders>
            <w:tcW w:w="1068" w:type="dxa"/>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5210.92</w:t>
            </w:r>
            <w:r/>
          </w:p>
        </w:tc>
        <w:tc>
          <w:tcPr>
            <w:shd w:val="clear" w:color="ffffff" w:fill="92d050"/>
            <w:tcBorders>
              <w:top w:val="none" w:color="000000" w:sz="4" w:space="0"/>
              <w:left w:val="single" w:color="auto"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000000" w:fill="92d050"/>
            <w:tcBorders>
              <w:top w:val="none" w:color="000000" w:sz="4" w:space="0"/>
              <w:left w:val="none" w:color="000000" w:sz="4" w:space="0"/>
              <w:bottom w:val="single" w:color="auto" w:sz="4" w:space="0"/>
              <w:right w:val="single" w:color="auto" w:sz="4" w:space="0"/>
            </w:tcBorders>
            <w:tcW w:w="106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ffffff"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000000" w:fill="92d050"/>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w:t>
            </w:r>
            <w:r/>
          </w:p>
        </w:tc>
      </w:tr>
    </w:tbl>
    <w:p>
      <w:r/>
      <w:r/>
    </w:p>
    <w:p>
      <w:pPr>
        <w:rPr>
          <w:rFonts w:ascii="宋体" w:hAnsi="宋体" w:cs="宋体"/>
          <w:bCs/>
          <w:sz w:val="24"/>
          <w:szCs w:val="24"/>
        </w:rPr>
      </w:pPr>
      <w:r>
        <w:rPr>
          <w:rFonts w:ascii="宋体" w:hAnsi="宋体" w:cs="宋体"/>
          <w:bCs/>
          <w:sz w:val="24"/>
          <w:szCs w:val="24"/>
        </w:rPr>
      </w:r>
      <w:r/>
    </w:p>
    <w:p>
      <w:pPr>
        <w:numPr>
          <w:ilvl w:val="0"/>
          <w:numId w:val="7"/>
        </w:numPr>
        <w:rPr>
          <w:rFonts w:ascii="宋体" w:hAnsi="宋体" w:cs="宋体"/>
          <w:b/>
          <w:bCs/>
          <w:sz w:val="24"/>
          <w:szCs w:val="24"/>
        </w:rPr>
      </w:pPr>
      <w:r>
        <w:rPr>
          <w:rFonts w:hint="eastAsia" w:ascii="宋体" w:hAnsi="宋体" w:cs="宋体"/>
          <w:b/>
          <w:bCs/>
          <w:sz w:val="24"/>
          <w:szCs w:val="24"/>
        </w:rPr>
        <w:t xml:space="preserve">功能、性能、配置要求</w:t>
      </w:r>
      <w:r/>
    </w:p>
    <w:tbl>
      <w:tblPr>
        <w:tblW w:w="10136" w:type="dxa"/>
        <w:jc w:val="center"/>
        <w:tblInd w:w="108" w:type="dxa"/>
        <w:tblLook w:val="04A0" w:firstRow="1" w:lastRow="0" w:firstColumn="1" w:lastColumn="0" w:noHBand="0" w:noVBand="1"/>
      </w:tblPr>
      <w:tblGrid>
        <w:gridCol w:w="523"/>
        <w:gridCol w:w="3198"/>
        <w:gridCol w:w="6415"/>
      </w:tblGrid>
      <w:tr>
        <w:trPr>
          <w:jc w:val="center"/>
          <w:trHeight w:val="300"/>
        </w:trPr>
        <w:tc>
          <w:tcPr>
            <w:gridSpan w:val="3"/>
            <w:shd w:val="clear" w:color="auto" w:fill="auto"/>
            <w:tcBorders>
              <w:top w:val="none" w:color="000000" w:sz="4" w:space="0"/>
              <w:left w:val="none" w:color="000000" w:sz="4" w:space="0"/>
              <w:bottom w:val="single" w:color="auto" w:sz="4" w:space="0"/>
              <w:right w:val="none" w:color="000000" w:sz="4" w:space="0"/>
            </w:tcBorders>
            <w:tcW w:w="1013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浦口•兰花塘未来农业发展示体验中心项目-兰花塘稻米加工体验中心（一期）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功能、性能、配置要求</w:t>
            </w:r>
            <w:r/>
          </w:p>
        </w:tc>
      </w:tr>
      <w:tr>
        <w:trPr>
          <w:jc w:val="center"/>
          <w:trHeight w:val="300"/>
        </w:trPr>
        <w:tc>
          <w:tcPr>
            <w:gridSpan w:val="3"/>
            <w:shd w:val="clear" w:color="000000" w:fill="ff00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主体部分</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钢结构</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实腹钢柱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1.实腹钢柱 </w:t>
            </w:r>
            <w:r>
              <w:rPr>
                <w:rFonts w:hint="eastAsia" w:ascii="宋体" w:hAnsi="宋体" w:cs="宋体"/>
                <w:sz w:val="20"/>
                <w:szCs w:val="20"/>
              </w:rPr>
              <w:br/>
              <w:t xml:space="preserve">2.钢材品种、规格：Q355B</w:t>
            </w:r>
            <w:r>
              <w:rPr>
                <w:rFonts w:hint="eastAsia" w:ascii="宋体" w:hAnsi="宋体" w:cs="宋体"/>
                <w:sz w:val="20"/>
                <w:szCs w:val="20"/>
              </w:rPr>
              <w:br/>
              <w:t xml:space="preserve">3.喷砂(抛丸)除锈处理，除锈质量等级应达到Sa2.5级标准</w:t>
            </w:r>
            <w:r>
              <w:rPr>
                <w:rFonts w:hint="eastAsia" w:ascii="宋体" w:hAnsi="宋体" w:cs="宋体"/>
                <w:sz w:val="20"/>
                <w:szCs w:val="20"/>
              </w:rPr>
              <w:br/>
              <w:t xml:space="preserve">4.</w:t>
            </w:r>
            <w:r>
              <w:rPr>
                <w:rFonts w:hint="eastAsia" w:ascii="宋体" w:hAnsi="宋体" w:cs="宋体"/>
                <w:sz w:val="20"/>
                <w:szCs w:val="20"/>
              </w:rPr>
              <w:t xml:space="preserve">钢构件防腐采用富锌底涂料二遍(膜厚度70um),环氧云铁中间涂料一遍(漆膜厚度70jm)丙烯酸环氧面涂料三遍(漆膜厚度100mm),于漆膜总厚度240um。构件除锈完成后应在8小时(湿度较大时2-4小时)内，涂第一道防锈漆，底漆充分于燥后，才容许次层涂装高强螺栓连接接触面和工地焊缝两侧50mm范围内安装前不涂漆,待安装后补漆。安装完毕后未刷底漆的部分及补焊、擦伤，脱漆处均应补刷底漆两度，然后刷面漆一度，面漆颜色由采购人指定，在使用过程中应定期进行涂漆保护，对使用期间不能重新油漆的结构部位应采取特殊的防锈措施</w:t>
            </w:r>
            <w:r>
              <w:rPr>
                <w:rFonts w:hint="eastAsia" w:ascii="宋体" w:hAnsi="宋体" w:cs="宋体"/>
                <w:sz w:val="20"/>
                <w:szCs w:val="20"/>
              </w:rPr>
              <w:br/>
              <w:t xml:space="preserve">6.采用薄涂型防火涂料，钢柱及柱间支撑耐火极限不应小于2.5小时，满足耐火极限的防火涂料厚度及表面效果应能满足装修要求，采用的防火涂料应通过检验并得到消防部门认可。</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钢梁</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1.钢梁 </w:t>
            </w:r>
            <w:r>
              <w:rPr>
                <w:rFonts w:hint="eastAsia" w:ascii="宋体" w:hAnsi="宋体" w:cs="宋体"/>
                <w:sz w:val="20"/>
                <w:szCs w:val="20"/>
              </w:rPr>
              <w:br/>
            </w:r>
            <w:r>
              <w:rPr>
                <w:rFonts w:hint="eastAsia" w:ascii="宋体" w:hAnsi="宋体" w:cs="宋体"/>
                <w:sz w:val="20"/>
                <w:szCs w:val="20"/>
              </w:rPr>
              <w:t xml:space="preserve">2.钢材品种、规格：Q355B</w:t>
            </w:r>
            <w:r>
              <w:rPr>
                <w:rFonts w:hint="eastAsia" w:ascii="宋体" w:hAnsi="宋体" w:cs="宋体"/>
                <w:sz w:val="20"/>
                <w:szCs w:val="20"/>
              </w:rPr>
              <w:br/>
              <w:t xml:space="preserve">3.喷砂(抛丸)除锈处理，除锈质量等级应达到Sa2.5级标准。</w:t>
            </w:r>
            <w:r>
              <w:rPr>
                <w:rFonts w:hint="eastAsia" w:ascii="宋体" w:hAnsi="宋体" w:cs="宋体"/>
                <w:sz w:val="20"/>
                <w:szCs w:val="20"/>
              </w:rPr>
              <w:br/>
              <w:t xml:space="preserve">4.</w:t>
            </w:r>
            <w:r>
              <w:rPr>
                <w:rFonts w:hint="eastAsia" w:ascii="宋体" w:hAnsi="宋体" w:cs="宋体"/>
                <w:sz w:val="20"/>
                <w:szCs w:val="20"/>
              </w:rPr>
              <w:t xml:space="preserve">钢构件防腐采用富锌底涂料二遍(膜厚度70um),环氧云铁中间涂料一遍(漆膜厚度70jm)丙烯酸环氧面涂料三遍(漆膜厚度100mm),于漆膜总厚度240um。构件除锈完成后应在8小时(湿度较大时2-4小时)内，涂第一道防锈漆，底漆充分于燥后，才容许次层涂装高强螺栓连接接触面和工地焊缝两侧50mm范围内安装前不涂漆,待安装后补漆。安装完毕后未刷底漆的部分及补焊、擦伤，脱漆处均应补刷底漆两度，然后刷面漆一度，面漆颜色由采购人指定，在使用过程中应定期进行涂漆保护，对使用期间不能重新油漆的结构部位应采取特殊的防锈措施</w:t>
            </w:r>
            <w:r>
              <w:rPr>
                <w:rFonts w:hint="eastAsia" w:ascii="宋体" w:hAnsi="宋体" w:cs="宋体"/>
                <w:sz w:val="20"/>
                <w:szCs w:val="20"/>
              </w:rPr>
              <w:br/>
              <w:t xml:space="preserve">6.采用薄涂型防火涂料，钢梁耐火极限不应小于1.5小时，满足耐火极限的防火涂料厚度及表面效果应能满足装修要求，采用的防火涂料应通过检验并得到消防部门认可。</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钢板楼板</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压型钢板</w:t>
            </w:r>
            <w:r>
              <w:rPr>
                <w:rFonts w:hint="eastAsia" w:ascii="宋体" w:hAnsi="宋体" w:cs="宋体"/>
                <w:sz w:val="20"/>
                <w:szCs w:val="20"/>
              </w:rPr>
              <w:br/>
              <w:t xml:space="preserve">1.型材品种、规格：热镀锌1.2mm厚YX75-230-690（1）型，φ16*120栓钉@230</w:t>
            </w:r>
            <w:r>
              <w:rPr>
                <w:rFonts w:hint="eastAsia" w:ascii="宋体" w:hAnsi="宋体" w:cs="宋体"/>
                <w:sz w:val="20"/>
                <w:szCs w:val="20"/>
              </w:rPr>
              <w:br/>
              <w:t xml:space="preserve">2.压型钢板采用热浸镀锌防腐，镀层标准为A级镀锌量为275g/m2</w:t>
            </w:r>
            <w:r>
              <w:rPr>
                <w:rFonts w:hint="eastAsia" w:ascii="宋体" w:hAnsi="宋体" w:cs="宋体"/>
                <w:sz w:val="20"/>
                <w:szCs w:val="20"/>
              </w:rPr>
              <w:br/>
              <w:t xml:space="preserve">3.材料损耗费用自行考虑，结算不做调整</w:t>
            </w:r>
            <w:r>
              <w:rPr>
                <w:rFonts w:hint="eastAsia" w:ascii="宋体" w:hAnsi="宋体" w:cs="宋体"/>
                <w:sz w:val="20"/>
                <w:szCs w:val="20"/>
              </w:rPr>
              <w:br/>
              <w:t xml:space="preserve">4.</w:t>
            </w:r>
            <w:r>
              <w:rPr>
                <w:rFonts w:hint="eastAsia" w:ascii="宋体" w:hAnsi="宋体" w:cs="宋体"/>
                <w:sz w:val="20"/>
                <w:szCs w:val="20"/>
              </w:rPr>
              <w:t xml:space="preserve">钢构件防腐采用富锌底涂料二遍(膜厚度70um),环氧云铁中间涂料一遍(漆膜厚度70jm)丙烯酸环氧面涂料三遍(漆膜厚度100mm),于漆膜总厚度240um。构件除锈完成后应在8小时(湿度较大时2-4小时)内，涂第一道防锈漆，底漆充分于燥后，才容许次层涂装高强螺栓连接接触面和工地焊缝两侧50mm范围内安装前不涂漆,待安装后补漆。安装完毕后未刷底漆的部分及补焊、擦伤，脱漆处均应补刷底漆两度，然后刷面漆一度，面漆颜色由采购人指定，在使用过程中应定期进行涂漆保护，对使用期间不能重新油漆的结构部位应采取特殊的防锈措施</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钢梯</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1.钢梯 </w:t>
            </w:r>
            <w:r>
              <w:rPr>
                <w:rFonts w:hint="eastAsia" w:ascii="宋体" w:hAnsi="宋体" w:cs="宋体"/>
                <w:sz w:val="20"/>
                <w:szCs w:val="20"/>
              </w:rPr>
              <w:br/>
              <w:t xml:space="preserve">2.钢材品种、规格：Q355B</w:t>
            </w:r>
            <w:r>
              <w:rPr>
                <w:rFonts w:hint="eastAsia" w:ascii="宋体" w:hAnsi="宋体" w:cs="宋体"/>
                <w:sz w:val="20"/>
                <w:szCs w:val="20"/>
              </w:rPr>
              <w:br/>
              <w:t xml:space="preserve">3.构件除锈完成后，应在8小时（湿度较大时2-4小时）内，涂第一道防锈漆</w:t>
            </w:r>
            <w:r>
              <w:rPr>
                <w:rFonts w:hint="eastAsia" w:ascii="宋体" w:hAnsi="宋体" w:cs="宋体"/>
                <w:sz w:val="20"/>
                <w:szCs w:val="20"/>
              </w:rPr>
              <w:br/>
              <w:t xml:space="preserve">4.喷砂(抛丸)除锈处理，除锈质量等级应达到Sa2.5级标准。</w:t>
            </w:r>
            <w:r>
              <w:rPr>
                <w:rFonts w:hint="eastAsia" w:ascii="宋体" w:hAnsi="宋体" w:cs="宋体"/>
                <w:sz w:val="20"/>
                <w:szCs w:val="20"/>
              </w:rPr>
              <w:br/>
              <w:t xml:space="preserve">5.</w:t>
            </w:r>
            <w:r>
              <w:rPr>
                <w:rFonts w:hint="eastAsia" w:ascii="宋体" w:hAnsi="宋体" w:cs="宋体"/>
                <w:sz w:val="20"/>
                <w:szCs w:val="20"/>
              </w:rPr>
              <w:t xml:space="preserve">钢构件防腐采用富锌底涂料二遍(膜厚度70um),环氧云铁中间涂料一遍(漆膜厚度70jm)丙烯酸环氧面涂料三遍(漆膜厚度100mm),于漆膜总厚度240um。构件除锈完成后应在8小时(湿度较大时2-4小时)内，涂第一道防锈漆，底漆充分于燥后，才容许次层涂装高强螺栓连接接触面和工地焊缝两侧50mm范围内安装前不涂漆,待安装后补漆。安装完毕后未刷底漆的部分及补焊、擦伤，脱漆处均应补刷底漆两度，然后刷面漆一度，面漆颜色由采购人指定，在使用过程中应定期进行涂漆保护，对使用期间不能重新油漆的结构部位应采取特殊的防锈措施</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零星钢构件</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1.其他钢构件 </w:t>
            </w:r>
            <w:r>
              <w:rPr>
                <w:rFonts w:hint="eastAsia" w:ascii="宋体" w:hAnsi="宋体" w:cs="宋体"/>
                <w:sz w:val="20"/>
                <w:szCs w:val="20"/>
              </w:rPr>
              <w:br/>
              <w:t xml:space="preserve">2.钢材品种、规格：Q355B</w:t>
            </w:r>
            <w:r>
              <w:rPr>
                <w:rFonts w:hint="eastAsia" w:ascii="宋体" w:hAnsi="宋体" w:cs="宋体"/>
                <w:sz w:val="20"/>
                <w:szCs w:val="20"/>
              </w:rPr>
              <w:br/>
              <w:t xml:space="preserve">3.</w:t>
            </w:r>
            <w:r>
              <w:rPr>
                <w:rFonts w:hint="eastAsia" w:ascii="宋体" w:hAnsi="宋体" w:cs="宋体"/>
                <w:sz w:val="20"/>
                <w:szCs w:val="20"/>
              </w:rPr>
              <w:t xml:space="preserve">钢构件防腐采用富锌底涂料二遍(膜厚度70um),环氧云铁中间涂料一遍(漆膜厚度70jm)丙烯酸环氧面涂料三遍(漆膜厚度100mm),于漆膜总厚度240um。构件除锈完成后应在8小时(湿度较大时2-4小时)内，涂第一道防锈漆，底漆充分于燥后，才容许次层涂装高强螺栓连接接触面和工地焊缝两侧50mm范围内安装前不涂漆,待安装后补漆。安装完毕后未刷底漆的部分及补焊、擦伤，脱漆处均应补刷底漆两度，然后刷面漆一度，面漆颜色由采购人指定，在使用过程中应定期进行涂漆保护，对使用期间不能重新油漆的结构部位应采取特殊的防锈措施</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钢爬梯</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1.钢爬梯 </w:t>
            </w:r>
            <w:r>
              <w:rPr>
                <w:rFonts w:hint="eastAsia" w:ascii="宋体" w:hAnsi="宋体" w:cs="宋体"/>
                <w:sz w:val="20"/>
                <w:szCs w:val="20"/>
              </w:rPr>
              <w:br/>
              <w:t xml:space="preserve">2.钢材品种、规格：Q235B</w:t>
            </w:r>
            <w:r>
              <w:rPr>
                <w:rFonts w:hint="eastAsia" w:ascii="宋体" w:hAnsi="宋体" w:cs="宋体"/>
                <w:sz w:val="20"/>
                <w:szCs w:val="20"/>
              </w:rPr>
              <w:br/>
              <w:t xml:space="preserve">3.构件除锈完成后，应在8小时（湿度较大时2-4小时）内，涂第一道防锈漆</w:t>
            </w:r>
            <w:r>
              <w:rPr>
                <w:rFonts w:hint="eastAsia" w:ascii="宋体" w:hAnsi="宋体" w:cs="宋体"/>
                <w:sz w:val="20"/>
                <w:szCs w:val="20"/>
              </w:rPr>
              <w:br/>
            </w:r>
            <w:r>
              <w:rPr>
                <w:rFonts w:hint="eastAsia" w:ascii="宋体" w:hAnsi="宋体" w:cs="宋体"/>
                <w:sz w:val="20"/>
                <w:szCs w:val="20"/>
              </w:rPr>
              <w:t xml:space="preserve">4.喷砂(抛丸)除锈处理，除锈质量等级应达到Sa2.5级标准</w:t>
            </w:r>
            <w:r>
              <w:rPr>
                <w:rFonts w:hint="eastAsia" w:ascii="宋体" w:hAnsi="宋体" w:cs="宋体"/>
                <w:sz w:val="20"/>
                <w:szCs w:val="20"/>
              </w:rPr>
              <w:br/>
              <w:t xml:space="preserve">5.</w:t>
            </w:r>
            <w:r>
              <w:rPr>
                <w:rFonts w:hint="eastAsia" w:ascii="宋体" w:hAnsi="宋体" w:cs="宋体"/>
                <w:sz w:val="20"/>
                <w:szCs w:val="20"/>
              </w:rPr>
              <w:t xml:space="preserve">钢构件防腐采用富锌底涂料二遍(膜厚度70um),环氧云铁中间涂料一遍(漆膜厚度70jm)丙烯酸环氧面涂料三遍(漆膜厚度100mm),于漆膜总厚度240um。构件除锈完成后应在8小时(湿度较大时2-4小时)内，涂第一道防锈漆，底漆充分于燥后，才容许次层涂装高强螺栓连接接触面和工地焊缝两侧50mm范围内安装前不涂漆,待安装后补漆。安装完毕后未刷底漆的部分及补焊、擦伤，脱漆处均应补刷底漆两度，然后刷面漆一度，面漆颜色由采购人指定，在使用过程中应定期进行涂漆保护，对使用期间不能重新油漆的结构部位应采取特殊的防锈措施</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砌块墙钢丝网加固</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1.不同墙体交界处贴热镀锌钢丝网，加强带与各基体的搭接宽150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砌块墙钢丝网加固</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1.楼梯间和人流通道满挂钢丝网</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金属油漆、涂料</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金属面油漆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1.钢构件防腐采用富锌底涂料二遍(漆膜厚度70μm),环氧云铁中间涂料一遍(漆膜厚度70μm),丙烯酸环氧面涂料三遍(漆膜厚度100μm),干漆膜总厚度240μm</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天棚涂料</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顶棚二（烘干间内部除有水房间和电井外的各功能房间） </w:t>
            </w:r>
            <w:r>
              <w:rPr>
                <w:rFonts w:hint="eastAsia" w:ascii="宋体" w:hAnsi="宋体" w:cs="宋体"/>
                <w:sz w:val="20"/>
                <w:szCs w:val="20"/>
              </w:rPr>
              <w:br/>
              <w:t xml:space="preserve">1.腻子批磨两遍,打磨平整 2.无机涂料二道饰面</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墙面涂料</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外墙六（仿石涂料） </w:t>
            </w:r>
            <w:r>
              <w:rPr>
                <w:rFonts w:hint="eastAsia" w:ascii="宋体" w:hAnsi="宋体" w:cs="宋体"/>
                <w:sz w:val="20"/>
                <w:szCs w:val="20"/>
              </w:rPr>
              <w:br/>
              <w:t xml:space="preserve">1.外墙仿石涂料/平涂(一底一中两面) 2.外墙耐水腻子,打磨平整(平整度≤3mm)</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墙面涂料</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内墙二（烘干间内部除有水房间和电井外的各功能房间）</w:t>
            </w:r>
            <w:r>
              <w:rPr>
                <w:rFonts w:hint="eastAsia" w:ascii="宋体" w:hAnsi="宋体" w:cs="宋体"/>
                <w:sz w:val="20"/>
                <w:szCs w:val="20"/>
              </w:rPr>
              <w:br/>
              <w:t xml:space="preserve">1.无机涂料二道饰面 2.封底漆一遍 3.满刮2mm厚白色面层腻子</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天棚涂料</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顶棚三（烘干间一层卫生间、集灰间,仓储与烘干间之间连通廊道、雨蓬）</w:t>
            </w:r>
            <w:r>
              <w:rPr>
                <w:rFonts w:hint="eastAsia" w:ascii="宋体" w:hAnsi="宋体" w:cs="宋体"/>
                <w:sz w:val="20"/>
                <w:szCs w:val="20"/>
              </w:rPr>
              <w:br/>
              <w:t xml:space="preserve">1.防霉耐水腻子批磨两遍,打磨平整,下挂四周墙体100mm 2.无机涂料二道饰面</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金属构件防火涂料</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1.实腹钢柱Q355B 2.薄型2.5h防火涂料</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金属构件防火涂料</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1.钢梁Q355B 2.薄型1.5h防火涂料</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金属构件防火涂料</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1.其他加固构件Q355B 2.薄型1.5h防火涂料</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墙体</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多孔砖墙</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1.砖品种、规格、强度等级：A3.5煤矸石多孔砖 2.墙体类型：内墙200厚</w:t>
            </w:r>
            <w:r>
              <w:rPr>
                <w:rFonts w:hint="eastAsia" w:ascii="宋体" w:hAnsi="宋体" w:cs="宋体"/>
                <w:sz w:val="20"/>
                <w:szCs w:val="20"/>
              </w:rPr>
              <w:br/>
              <w:t xml:space="preserve">3.砂浆强度等级、配合比：专用砌筑砂浆Ma5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多孔砖墙</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1.部位：顶层墙体 2.砖品种、规格、强度等级：A3.5煤矸石多孔砖</w:t>
            </w:r>
            <w:r>
              <w:rPr>
                <w:rFonts w:hint="eastAsia" w:ascii="宋体" w:hAnsi="宋体" w:cs="宋体"/>
                <w:sz w:val="20"/>
                <w:szCs w:val="20"/>
              </w:rPr>
              <w:br/>
              <w:t xml:space="preserve">3.墙体类型：内墙200厚 4.砂浆强度等级、配合比：专用砌筑砂浆Ma7.5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砌块墙</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1.砖品种、规格、强度等级：MU7.5混凝土空心砌块（砂加气） 2.墙体类型：外墙200厚</w:t>
            </w:r>
            <w:r>
              <w:rPr>
                <w:rFonts w:hint="eastAsia" w:ascii="宋体" w:hAnsi="宋体" w:cs="宋体"/>
                <w:sz w:val="20"/>
                <w:szCs w:val="20"/>
              </w:rPr>
              <w:br/>
              <w:t xml:space="preserve">3.砂浆强度等级、配合比：水泥砌筑砂浆Mb5 4.用于无水房间</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砌块墙</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1.部位：顶层墙体 2.砖品种、规格、强度等级：MU7.5混凝土空心砌块（砂加气）</w:t>
            </w:r>
            <w:r>
              <w:rPr>
                <w:rFonts w:hint="eastAsia" w:ascii="宋体" w:hAnsi="宋体" w:cs="宋体"/>
                <w:sz w:val="20"/>
                <w:szCs w:val="20"/>
              </w:rPr>
              <w:br/>
              <w:t xml:space="preserve">3.墙体类型：外墙200厚 4.砂浆强度等级、配合比：水泥砌筑砂浆Mb7.5  5.用于无水房间</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门窗</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金属(塑钢）门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1.门代号及洞口尺寸:M1527、M1530、M2427、M2430、M2525</w:t>
            </w:r>
            <w:r>
              <w:rPr>
                <w:rFonts w:hint="eastAsia" w:ascii="宋体" w:hAnsi="宋体" w:cs="宋体"/>
                <w:sz w:val="20"/>
                <w:szCs w:val="20"/>
              </w:rPr>
              <w:br/>
              <w:t xml:space="preserve">2.门的主型材喷涂断桥隔热铝合金型材</w:t>
            </w:r>
            <w:r>
              <w:rPr>
                <w:rFonts w:hint="eastAsia" w:ascii="宋体" w:hAnsi="宋体" w:cs="宋体"/>
                <w:sz w:val="20"/>
                <w:szCs w:val="20"/>
              </w:rPr>
              <w:br/>
              <w:t xml:space="preserve">3.玻璃：6(Low-E)+12Ar+6钢化中空玻璃</w:t>
            </w:r>
            <w:r>
              <w:rPr>
                <w:rFonts w:hint="eastAsia" w:ascii="宋体" w:hAnsi="宋体" w:cs="宋体"/>
                <w:sz w:val="20"/>
                <w:szCs w:val="20"/>
              </w:rPr>
              <w:br/>
              <w:t xml:space="preserve">4.密封条为注胶密封 5.含五金配件</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1.门代号及洞口尺寸:FM甲0921 2.成品甲级单扇防火门，含闭门器</w:t>
            </w:r>
            <w:r>
              <w:rPr>
                <w:rFonts w:hint="eastAsia" w:ascii="宋体" w:hAnsi="宋体" w:cs="宋体"/>
                <w:sz w:val="20"/>
                <w:szCs w:val="20"/>
              </w:rPr>
              <w:br/>
              <w:t xml:space="preserve">3.其它:含成品门窗框及扇制作、运输、安装、刷漆、闭门器、顺序器及所有配套五金等,按照业主需要并满足设计及规范要求</w:t>
            </w:r>
            <w:r>
              <w:rPr>
                <w:rFonts w:hint="eastAsia" w:ascii="宋体" w:hAnsi="宋体" w:cs="宋体"/>
                <w:sz w:val="20"/>
                <w:szCs w:val="20"/>
              </w:rPr>
              <w:br/>
            </w:r>
            <w:r>
              <w:rPr>
                <w:rFonts w:hint="eastAsia" w:ascii="宋体" w:hAnsi="宋体" w:cs="宋体"/>
                <w:sz w:val="20"/>
                <w:szCs w:val="20"/>
              </w:rPr>
              <w:t xml:space="preserve">4.耐火极限符合设计及规范验收要求，产品:消防部门认可</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1.门代号及洞口尺寸:FM甲1117 2.成品甲级单扇防火门，含闭门器</w:t>
            </w:r>
            <w:r>
              <w:rPr>
                <w:rFonts w:hint="eastAsia" w:ascii="宋体" w:hAnsi="宋体" w:cs="宋体"/>
                <w:sz w:val="20"/>
                <w:szCs w:val="20"/>
              </w:rPr>
              <w:br/>
              <w:t xml:space="preserve">3.其它:含成品门窗框及扇制作、运输、安装、刷漆、闭门器、顺序器及所有配套五金等,按照业主需要并满足设计及规范要求</w:t>
            </w:r>
            <w:r>
              <w:rPr>
                <w:rFonts w:hint="eastAsia" w:ascii="宋体" w:hAnsi="宋体" w:cs="宋体"/>
                <w:sz w:val="20"/>
                <w:szCs w:val="20"/>
              </w:rPr>
              <w:br/>
              <w:t xml:space="preserve">4.耐火极限符合设计及规范验收要求，产品:消防部门认可</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1.门代号及洞口尺寸:FM甲1323 2.成品甲级双扇防火门，含闭门器</w:t>
            </w:r>
            <w:r>
              <w:rPr>
                <w:rFonts w:hint="eastAsia" w:ascii="宋体" w:hAnsi="宋体" w:cs="宋体"/>
                <w:sz w:val="20"/>
                <w:szCs w:val="20"/>
              </w:rPr>
              <w:br/>
              <w:t xml:space="preserve">3.其它:含成品门窗框及扇制作、运输、安装、刷漆、闭门器、顺序器及所有配套五金等,按照业主需要并满足设计及规范要求</w:t>
            </w:r>
            <w:r>
              <w:rPr>
                <w:rFonts w:hint="eastAsia" w:ascii="宋体" w:hAnsi="宋体" w:cs="宋体"/>
                <w:sz w:val="20"/>
                <w:szCs w:val="20"/>
              </w:rPr>
              <w:br/>
              <w:t xml:space="preserve">4.耐火极限符合设计及规范验收要求，产品:消防部门认可</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1.门代号及洞口尺寸:FM甲1523 2.成品甲级双扇防火门，含闭门器</w:t>
            </w:r>
            <w:r>
              <w:rPr>
                <w:rFonts w:hint="eastAsia" w:ascii="宋体" w:hAnsi="宋体" w:cs="宋体"/>
                <w:sz w:val="20"/>
                <w:szCs w:val="20"/>
              </w:rPr>
              <w:br/>
              <w:t xml:space="preserve">3.其它:含成品门窗框及扇制作、运输、安装、刷漆、闭门器、顺序器及所有配套五金等,按照业主需要并满足设计及规范要求</w:t>
            </w:r>
            <w:r>
              <w:rPr>
                <w:rFonts w:hint="eastAsia" w:ascii="宋体" w:hAnsi="宋体" w:cs="宋体"/>
                <w:sz w:val="20"/>
                <w:szCs w:val="20"/>
              </w:rPr>
              <w:br/>
              <w:t xml:space="preserve">4.耐火极限符合设计及规范验收要求，产品:消防部门认可</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1.门代号及洞口尺寸:FM乙0921 2.成品乙级单扇防火门，含闭门器</w:t>
            </w:r>
            <w:r>
              <w:rPr>
                <w:rFonts w:hint="eastAsia" w:ascii="宋体" w:hAnsi="宋体" w:cs="宋体"/>
                <w:sz w:val="20"/>
                <w:szCs w:val="20"/>
              </w:rPr>
              <w:br/>
              <w:t xml:space="preserve">3.其它:含成品门窗框及扇制作、运输、安装、刷漆、闭门器、顺序器及所有配套五金等,按照业主需要并满足设计及规范要求</w:t>
            </w:r>
            <w:r>
              <w:rPr>
                <w:rFonts w:hint="eastAsia" w:ascii="宋体" w:hAnsi="宋体" w:cs="宋体"/>
                <w:sz w:val="20"/>
                <w:szCs w:val="20"/>
              </w:rPr>
              <w:br/>
              <w:t xml:space="preserve">4.耐火极限符合设计及规范验收要求，产品:消防部门认可</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1.门代号及洞口尺寸:FM乙1223 2.成品乙级双扇防火门，含闭门器</w:t>
            </w:r>
            <w:r>
              <w:rPr>
                <w:rFonts w:hint="eastAsia" w:ascii="宋体" w:hAnsi="宋体" w:cs="宋体"/>
                <w:sz w:val="20"/>
                <w:szCs w:val="20"/>
              </w:rPr>
              <w:br/>
              <w:t xml:space="preserve">3.其它:含成品门窗框及扇制作、运输、安装、刷漆、闭门器、顺序器及所有配套五金等,按照业主需要并满足设计及规范要求</w:t>
            </w:r>
            <w:r>
              <w:rPr>
                <w:rFonts w:hint="eastAsia" w:ascii="宋体" w:hAnsi="宋体" w:cs="宋体"/>
                <w:sz w:val="20"/>
                <w:szCs w:val="20"/>
              </w:rPr>
              <w:br/>
              <w:t xml:space="preserve">4.耐火极限符合设计及规范验收要求，产品:消防部门认可</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1.门代号及洞口尺寸:FM乙1323 2.成品乙级双扇防火门，含闭门器</w:t>
            </w:r>
            <w:r>
              <w:rPr>
                <w:rFonts w:hint="eastAsia" w:ascii="宋体" w:hAnsi="宋体" w:cs="宋体"/>
                <w:sz w:val="20"/>
                <w:szCs w:val="20"/>
              </w:rPr>
              <w:br/>
              <w:t xml:space="preserve">3.其它:含成品门窗框及扇制作、运输、安装、刷漆、闭门器、顺序器及所有配套五金等,按照业主需要并满足设计及规范要求</w:t>
            </w:r>
            <w:r>
              <w:rPr>
                <w:rFonts w:hint="eastAsia" w:ascii="宋体" w:hAnsi="宋体" w:cs="宋体"/>
                <w:sz w:val="20"/>
                <w:szCs w:val="20"/>
              </w:rPr>
              <w:br/>
              <w:t xml:space="preserve">4.耐火极限符合设计及规范验收要求，产品:消防部门认可</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1.门代号及洞口尺寸:FM乙1523 2.成品乙级双扇防火门，含闭门器</w:t>
            </w:r>
            <w:r>
              <w:rPr>
                <w:rFonts w:hint="eastAsia" w:ascii="宋体" w:hAnsi="宋体" w:cs="宋体"/>
                <w:sz w:val="20"/>
                <w:szCs w:val="20"/>
              </w:rPr>
              <w:br/>
              <w:t xml:space="preserve">3.其它:含成品门窗框及扇制作、运输、安装、刷漆、闭门器、顺序器及所有配套五金等,按照业主需要并满足设计及规范要求</w:t>
            </w:r>
            <w:r>
              <w:rPr>
                <w:rFonts w:hint="eastAsia" w:ascii="宋体" w:hAnsi="宋体" w:cs="宋体"/>
                <w:sz w:val="20"/>
                <w:szCs w:val="20"/>
              </w:rPr>
              <w:br/>
              <w:t xml:space="preserve">4.耐火极限符合设计及规范验收要求，产品:消防部门认可</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钢质防火门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1.门代号及洞口尺寸:FM丙0921 2.成品丙级单扇防火门，含闭门器</w:t>
            </w:r>
            <w:r>
              <w:rPr>
                <w:rFonts w:hint="eastAsia" w:ascii="宋体" w:hAnsi="宋体" w:cs="宋体"/>
                <w:sz w:val="20"/>
                <w:szCs w:val="20"/>
              </w:rPr>
              <w:br/>
              <w:t xml:space="preserve">3.其它:含成品门窗框及扇制作、运输、安装、刷漆、闭门器、顺序器及所有配套五金等,按照业主需要并满足设计及规范要求</w:t>
            </w:r>
            <w:r>
              <w:rPr>
                <w:rFonts w:hint="eastAsia" w:ascii="宋体" w:hAnsi="宋体" w:cs="宋体"/>
                <w:sz w:val="20"/>
                <w:szCs w:val="20"/>
              </w:rPr>
              <w:br/>
              <w:t xml:space="preserve">4.耐火极限符合设计及规范验收要求，产品:消防部门认可</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金属卷帘(闸）门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1.防火卷材门，含配套电动提升装置 防火卷帘 2.门代号及洞口尺寸:JL5040</w:t>
            </w:r>
            <w:r>
              <w:rPr>
                <w:rFonts w:hint="eastAsia" w:ascii="宋体" w:hAnsi="宋体" w:cs="宋体"/>
                <w:sz w:val="20"/>
                <w:szCs w:val="20"/>
              </w:rPr>
              <w:br/>
              <w:t xml:space="preserve">3.由消防部门认可的厂家生产制作</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金属（塑钢、断桥）窗</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1.铝合金推拉窗制作安装 2.窗的主型材喷涂断桥隔热铝合金型材</w:t>
            </w:r>
            <w:r>
              <w:rPr>
                <w:rFonts w:hint="eastAsia" w:ascii="宋体" w:hAnsi="宋体" w:cs="宋体"/>
                <w:sz w:val="20"/>
                <w:szCs w:val="20"/>
              </w:rPr>
              <w:br/>
              <w:t xml:space="preserve">3.玻璃：6(Low-E)+12Ar+6钢化中空玻璃 4.密封条为注胶密封 5.含五金配件</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金属（塑钢、断桥）窗</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1.铝合金固定窗制作安装 2.窗的主型材喷涂断桥隔热铝合金型材</w:t>
            </w:r>
            <w:r>
              <w:rPr>
                <w:rFonts w:hint="eastAsia" w:ascii="宋体" w:hAnsi="宋体" w:cs="宋体"/>
                <w:sz w:val="20"/>
                <w:szCs w:val="20"/>
              </w:rPr>
              <w:br/>
              <w:t xml:space="preserve">3.玻璃：6(Low-E)+12Ar+6钢化中空玻璃 4.密封条为注胶密封 5.含五金配件</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金属（塑钢、断桥）窗</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1.铝合金上悬窗制作安装 2.窗的主型材喷涂断桥隔热铝合金型材</w:t>
            </w:r>
            <w:r>
              <w:rPr>
                <w:rFonts w:hint="eastAsia" w:ascii="宋体" w:hAnsi="宋体" w:cs="宋体"/>
                <w:sz w:val="20"/>
                <w:szCs w:val="20"/>
              </w:rPr>
              <w:br/>
              <w:t xml:space="preserve">3.玻璃：6(Low-E)+12Ar+6钢化中空玻璃 4.密封条为注胶密封 5.含五金配件</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金属百叶窗</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1.窗类型:铝合金百叶</w:t>
            </w:r>
            <w:r>
              <w:rPr>
                <w:rFonts w:hint="eastAsia" w:ascii="宋体" w:hAnsi="宋体" w:cs="宋体"/>
                <w:sz w:val="20"/>
                <w:szCs w:val="20"/>
              </w:rPr>
              <w:br/>
              <w:t xml:space="preserve">2.带门框、带铰链、可开启，含锁等五金配件及辅材等所有费用</w:t>
            </w:r>
            <w:r>
              <w:rPr>
                <w:rFonts w:hint="eastAsia" w:ascii="宋体" w:hAnsi="宋体" w:cs="宋体"/>
                <w:sz w:val="20"/>
                <w:szCs w:val="20"/>
              </w:rPr>
              <w:br/>
              <w:t xml:space="preserve">3.投标人报价含运输、安装等费用</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屋面及防水</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楼（地）面砂浆防水(防潮）</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20厚1:2水泥砂浆掺5%防水剂的防潮层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屋面卷材防水</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屋面二 1.3.0mm厚SBS改性沥青防水卷材(聚酯胎),加强地漏、管道周</w:t>
            </w:r>
            <w:r>
              <w:rPr>
                <w:rFonts w:hint="eastAsia" w:ascii="宋体" w:hAnsi="宋体" w:cs="宋体"/>
                <w:sz w:val="20"/>
                <w:szCs w:val="20"/>
              </w:rPr>
              <w:t xml:space="preserve">围,沿四周墙体上翻女儿墙或墙体至屋面完成面300mm高</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屋面涂膜防水</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屋面二 1.2.0mm厚非固化橡胶沥青防水涂料,上翻至完成面以上300mm</w:t>
            </w:r>
            <w:r>
              <w:rPr>
                <w:rFonts w:hint="eastAsia" w:ascii="宋体" w:hAnsi="宋体" w:cs="宋体"/>
                <w:sz w:val="20"/>
                <w:szCs w:val="20"/>
              </w:rPr>
              <w:br/>
              <w:t xml:space="preserve">2.女儿墙墙根部、出屋面管道、落水口等防水附加层:2.0mm厚非固化橡胶沥青防水涂料,在阴角部分涂刷,宽度不小于250mm,卷起高度不小于300mm</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屋面涂膜防水</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屋面三 1.1.5mm厚JS-Ⅱ型聚合物水泥基防水涂料(靠外墙建筑完成面处上翻250mm)</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屋面刚性层</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屋面二 1.最薄处50mm厚C30混凝土找坡,坡度3%,表面压光,内配Ф4@100X100双向钢筋网片,平面四周(沿墙和水沟边)设伸缝,缝宽20mm,缝内嵌改性沥青密封膏,平面内间距≤3000mm设缩缝</w:t>
            </w:r>
            <w:r>
              <w:rPr>
                <w:rFonts w:hint="eastAsia" w:ascii="宋体" w:hAnsi="宋体" w:cs="宋体"/>
                <w:sz w:val="20"/>
                <w:szCs w:val="20"/>
              </w:rPr>
              <w:br/>
              <w:t xml:space="preserve">2.无纺布隔离层,容重≥200g/m2  </w:t>
            </w:r>
            <w:r>
              <w:rPr>
                <w:rFonts w:hint="eastAsia" w:ascii="宋体" w:hAnsi="宋体" w:cs="宋体"/>
                <w:sz w:val="20"/>
                <w:szCs w:val="20"/>
              </w:rPr>
              <w:br/>
              <w:t xml:space="preserve">3.现浇钢筋混凝土板,修补平整,表面清扫干净,闭水检验,阴角导R=50角</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屋面刚性层</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屋面三（雨蓬、管井顶面） 1.最薄处10mm厚水泥砂浆找坡层 </w:t>
            </w:r>
            <w:r>
              <w:rPr>
                <w:rFonts w:hint="eastAsia" w:ascii="宋体" w:hAnsi="宋体" w:cs="宋体"/>
                <w:sz w:val="20"/>
                <w:szCs w:val="20"/>
              </w:rPr>
              <w:br/>
              <w:t xml:space="preserve">2.现浇钢筋混凝土板,随捣随抹平</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墙面涂膜防水</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内墙三（集灰间） 1.刷1.2mm厚JS-Ⅱ型聚合物水泥基防水涂料满铺</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楼（地）面涂膜防水</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地面二：烘干间一层的烘干车间、投料间、检修通道兼疏散通道、楼梯间</w:t>
            </w:r>
            <w:r>
              <w:rPr>
                <w:rFonts w:hint="eastAsia" w:ascii="宋体" w:hAnsi="宋体" w:cs="宋体"/>
                <w:sz w:val="20"/>
                <w:szCs w:val="20"/>
              </w:rPr>
              <w:br/>
              <w:t xml:space="preserve">1.刷1.5mm厚JS-Ⅱ型聚合物水泥防水涂料(防潮层),四周上卷300高</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楼（地）面涂膜防水</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地面三：烘干间一层的集灰间、值班室、配电间、电井、补风井</w:t>
            </w:r>
            <w:r>
              <w:rPr>
                <w:rFonts w:hint="eastAsia" w:ascii="宋体" w:hAnsi="宋体" w:cs="宋体"/>
                <w:sz w:val="20"/>
                <w:szCs w:val="20"/>
              </w:rPr>
              <w:br/>
              <w:t xml:space="preserve">1.刷1.5mm厚JS-Ⅱ型聚合物水泥防水涂料(防潮层),四周上卷300高</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楼（地）面涂膜防水</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地面四：烘干间一层的卫生间 1.刷1.5mm厚JS-Ⅱ型聚合物水泥防水涂料(防潮层),四周上卷300高(卫生间盥洗台处上翻至1200mm处)</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楼（地）面涂膜防水</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地面五：烘干间一层的控制室</w:t>
            </w:r>
            <w:r>
              <w:rPr>
                <w:rFonts w:hint="eastAsia" w:ascii="宋体" w:hAnsi="宋体" w:cs="宋体"/>
                <w:sz w:val="20"/>
                <w:szCs w:val="20"/>
              </w:rPr>
              <w:br/>
              <w:t xml:space="preserve">1.刷1.5mm厚JS-Ⅱ型聚合物水泥防水涂料(防潮层),四周上卷300高</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楼（地）面涂膜防水</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地面六：烘干间一层的配电房</w:t>
            </w:r>
            <w:r>
              <w:rPr>
                <w:rFonts w:hint="eastAsia" w:ascii="宋体" w:hAnsi="宋体" w:cs="宋体"/>
                <w:sz w:val="20"/>
                <w:szCs w:val="20"/>
              </w:rPr>
              <w:br/>
              <w:t xml:space="preserve">1.刷1.5mm厚JS-Ⅱ型聚合物水泥防水涂料(防潮层),四周上卷300高</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楼地面装饰</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地面二：烘干间一层的烘干车间、投料间、检修通道兼疏散通道、楼梯间</w:t>
            </w:r>
            <w:r>
              <w:rPr>
                <w:rFonts w:hint="eastAsia" w:ascii="宋体" w:hAnsi="宋体" w:cs="宋体"/>
                <w:sz w:val="20"/>
                <w:szCs w:val="20"/>
              </w:rPr>
              <w:br/>
              <w:t xml:space="preserve">1.20mm厚1:3水泥砂浆找平层</w:t>
            </w:r>
            <w:r>
              <w:rPr>
                <w:rFonts w:hint="eastAsia" w:ascii="宋体" w:hAnsi="宋体" w:cs="宋体"/>
                <w:sz w:val="20"/>
                <w:szCs w:val="20"/>
              </w:rPr>
              <w:br/>
              <w:t xml:space="preserve">2.50mm厚C25细石混凝土,内配双向Φ4@200钢筋网片,表面抹平压实</w:t>
            </w:r>
            <w:r>
              <w:rPr>
                <w:rFonts w:hint="eastAsia" w:ascii="宋体" w:hAnsi="宋体" w:cs="宋体"/>
                <w:sz w:val="20"/>
                <w:szCs w:val="20"/>
              </w:rPr>
              <w:br/>
              <w:t xml:space="preserve">3.100mm厚C25细石混凝土(内配Φ6@200双向钢筋),随抹随光</w:t>
            </w:r>
            <w:r>
              <w:rPr>
                <w:rFonts w:hint="eastAsia" w:ascii="宋体" w:hAnsi="宋体" w:cs="宋体"/>
                <w:sz w:val="20"/>
                <w:szCs w:val="20"/>
              </w:rPr>
              <w:br/>
              <w:t xml:space="preserve">4.150mm厚粒径5~32卵石(碎石)灌M2.5混合砂浆振捣密实</w:t>
            </w:r>
            <w:r>
              <w:rPr>
                <w:rFonts w:hint="eastAsia" w:ascii="宋体" w:hAnsi="宋体" w:cs="宋体"/>
                <w:sz w:val="20"/>
                <w:szCs w:val="20"/>
              </w:rPr>
              <w:br/>
              <w:t xml:space="preserve">5.素土夯实,夯实系数不小于0.93,每层不超过300mm</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地面三：烘干间一层的集灰间、值班室、配电间、电井、补风井</w:t>
            </w:r>
            <w:r>
              <w:rPr>
                <w:rFonts w:hint="eastAsia" w:ascii="宋体" w:hAnsi="宋体" w:cs="宋体"/>
                <w:sz w:val="20"/>
                <w:szCs w:val="20"/>
              </w:rPr>
              <w:br/>
              <w:t xml:space="preserve">1.50mm厚C25细石混凝土,内配双向Φ4@200钢筋网片,表面抹平压实</w:t>
            </w:r>
            <w:r>
              <w:rPr>
                <w:rFonts w:hint="eastAsia" w:ascii="宋体" w:hAnsi="宋体" w:cs="宋体"/>
                <w:sz w:val="20"/>
                <w:szCs w:val="20"/>
              </w:rPr>
              <w:br/>
              <w:t xml:space="preserve">2.100mm厚C25细石混凝土(内配Φ6@200双向钢筋),随抹随光</w:t>
            </w:r>
            <w:r>
              <w:rPr>
                <w:rFonts w:hint="eastAsia" w:ascii="宋体" w:hAnsi="宋体" w:cs="宋体"/>
                <w:sz w:val="20"/>
                <w:szCs w:val="20"/>
              </w:rPr>
              <w:br/>
              <w:t xml:space="preserve">3.150mm厚粒径5~32卵石(碎石)灌M2.5混合砂浆振捣密实</w:t>
            </w:r>
            <w:r>
              <w:rPr>
                <w:rFonts w:hint="eastAsia" w:ascii="宋体" w:hAnsi="宋体" w:cs="宋体"/>
                <w:sz w:val="20"/>
                <w:szCs w:val="20"/>
              </w:rPr>
              <w:br/>
              <w:t xml:space="preserve">4.素土夯实,夯实系数不小于0.93,每层不超过300mm</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块料楼地面</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地面四：烘干间一层的卫生间</w:t>
            </w:r>
            <w:r>
              <w:rPr>
                <w:rFonts w:hint="eastAsia" w:ascii="宋体" w:hAnsi="宋体" w:cs="宋体"/>
                <w:sz w:val="20"/>
                <w:szCs w:val="20"/>
              </w:rPr>
              <w:br/>
              <w:t xml:space="preserve">1.8~10mm厚防滑地砖面层</w:t>
            </w:r>
            <w:r>
              <w:rPr>
                <w:rFonts w:hint="eastAsia" w:ascii="宋体" w:hAnsi="宋体" w:cs="宋体"/>
                <w:sz w:val="20"/>
                <w:szCs w:val="20"/>
              </w:rPr>
              <w:br/>
              <w:t xml:space="preserve">2.30厚1:3干硬性砂浆结合层</w:t>
            </w:r>
            <w:r>
              <w:rPr>
                <w:rFonts w:hint="eastAsia" w:ascii="宋体" w:hAnsi="宋体" w:cs="宋体"/>
                <w:sz w:val="20"/>
                <w:szCs w:val="20"/>
              </w:rPr>
              <w:br/>
              <w:t xml:space="preserve">3.最薄处40mm厚C25细石混凝土(内配双向Φ4@200钢筋网片)找坡层,1%坡向地漏,原浆收光</w:t>
            </w:r>
            <w:r>
              <w:rPr>
                <w:rFonts w:hint="eastAsia" w:ascii="宋体" w:hAnsi="宋体" w:cs="宋体"/>
                <w:sz w:val="20"/>
                <w:szCs w:val="20"/>
              </w:rPr>
              <w:br/>
              <w:t xml:space="preserve">4.100mm厚C25细石混凝土(内配Φ6@200双向钢筋),随抹随光</w:t>
            </w:r>
            <w:r>
              <w:rPr>
                <w:rFonts w:hint="eastAsia" w:ascii="宋体" w:hAnsi="宋体" w:cs="宋体"/>
                <w:sz w:val="20"/>
                <w:szCs w:val="20"/>
              </w:rPr>
              <w:br/>
              <w:t xml:space="preserve">5.150mm厚粒径5~32卵石(碎石)灌M2.5混合砂浆振捣密实</w:t>
            </w:r>
            <w:r>
              <w:rPr>
                <w:rFonts w:hint="eastAsia" w:ascii="宋体" w:hAnsi="宋体" w:cs="宋体"/>
                <w:sz w:val="20"/>
                <w:szCs w:val="20"/>
              </w:rPr>
              <w:br/>
              <w:t xml:space="preserve">6.素土夯实,夯实系数不小于0.93,每层不超过300mm</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自流坪楼地面</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地面五：烘干间一层的控制室</w:t>
            </w:r>
            <w:r>
              <w:rPr>
                <w:rFonts w:hint="eastAsia" w:ascii="宋体" w:hAnsi="宋体" w:cs="宋体"/>
                <w:sz w:val="20"/>
                <w:szCs w:val="20"/>
              </w:rPr>
              <w:br/>
              <w:t xml:space="preserve">1.1.5~2mm厚环氧抗静电涂料</w:t>
            </w:r>
            <w:r>
              <w:rPr>
                <w:rFonts w:hint="eastAsia" w:ascii="宋体" w:hAnsi="宋体" w:cs="宋体"/>
                <w:sz w:val="20"/>
                <w:szCs w:val="20"/>
              </w:rPr>
              <w:br/>
              <w:t xml:space="preserve">2.刮涂导电腻子二遍 +铺设导电铜箔并接地</w:t>
            </w:r>
            <w:r>
              <w:rPr>
                <w:rFonts w:hint="eastAsia" w:ascii="宋体" w:hAnsi="宋体" w:cs="宋体"/>
                <w:sz w:val="20"/>
                <w:szCs w:val="20"/>
              </w:rPr>
              <w:br/>
              <w:t xml:space="preserve">3.1.0mm厚环氧封闭底漆(二遍),整体打磨吸尘</w:t>
            </w:r>
            <w:r>
              <w:rPr>
                <w:rFonts w:hint="eastAsia" w:ascii="宋体" w:hAnsi="宋体" w:cs="宋体"/>
                <w:sz w:val="20"/>
                <w:szCs w:val="20"/>
              </w:rPr>
              <w:br/>
            </w:r>
            <w:r>
              <w:rPr>
                <w:rFonts w:hint="eastAsia" w:ascii="宋体" w:hAnsi="宋体" w:cs="宋体"/>
                <w:sz w:val="20"/>
                <w:szCs w:val="20"/>
              </w:rPr>
              <w:t xml:space="preserve">4.50mm厚C25细石混凝土,内配双向Φ4@200钢筋网片,表面抹平压实</w:t>
            </w:r>
            <w:r>
              <w:rPr>
                <w:rFonts w:hint="eastAsia" w:ascii="宋体" w:hAnsi="宋体" w:cs="宋体"/>
                <w:sz w:val="20"/>
                <w:szCs w:val="20"/>
              </w:rPr>
              <w:br/>
              <w:t xml:space="preserve">5.100mm厚C25细石混凝土(内配Φ6@200双向钢筋),随抹随光</w:t>
            </w:r>
            <w:r>
              <w:rPr>
                <w:rFonts w:hint="eastAsia" w:ascii="宋体" w:hAnsi="宋体" w:cs="宋体"/>
                <w:sz w:val="20"/>
                <w:szCs w:val="20"/>
              </w:rPr>
              <w:br/>
              <w:t xml:space="preserve">6.150mm厚粒径5~32卵石(碎石)灌M2.5混合砂浆振捣密实</w:t>
            </w:r>
            <w:r>
              <w:rPr>
                <w:rFonts w:hint="eastAsia" w:ascii="宋体" w:hAnsi="宋体" w:cs="宋体"/>
                <w:sz w:val="20"/>
                <w:szCs w:val="20"/>
              </w:rPr>
              <w:br/>
              <w:t xml:space="preserve">7.素土夯实,夯实系数不小于0.93,每层不超过300mm</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自流坪楼地面</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地面六：烘干间一层的配电房</w:t>
            </w:r>
            <w:r>
              <w:rPr>
                <w:rFonts w:hint="eastAsia" w:ascii="宋体" w:hAnsi="宋体" w:cs="宋体"/>
                <w:sz w:val="20"/>
                <w:szCs w:val="20"/>
              </w:rPr>
              <w:br/>
              <w:t xml:space="preserve">1.刷防尘地坪漆</w:t>
            </w:r>
            <w:r>
              <w:rPr>
                <w:rFonts w:hint="eastAsia" w:ascii="宋体" w:hAnsi="宋体" w:cs="宋体"/>
                <w:sz w:val="20"/>
                <w:szCs w:val="20"/>
              </w:rPr>
              <w:br/>
              <w:t xml:space="preserve">2.50mm厚C25细石混凝土,内配双向Φ4@200钢筋网片,表面抹平压实/ C25细石混凝土随捣随抹光(0.8m深电缆沟具体做法可按供电部门的电力设计图要求)</w:t>
            </w:r>
            <w:r>
              <w:rPr>
                <w:rFonts w:hint="eastAsia" w:ascii="宋体" w:hAnsi="宋体" w:cs="宋体"/>
                <w:sz w:val="20"/>
                <w:szCs w:val="20"/>
              </w:rPr>
              <w:br/>
              <w:t xml:space="preserve">3.100mm厚C25细石混凝土(内配Φ6@200双向钢筋),随抹随光</w:t>
            </w:r>
            <w:r>
              <w:rPr>
                <w:rFonts w:hint="eastAsia" w:ascii="宋体" w:hAnsi="宋体" w:cs="宋体"/>
                <w:sz w:val="20"/>
                <w:szCs w:val="20"/>
              </w:rPr>
              <w:br/>
              <w:t xml:space="preserve">4.150mm厚粒径5~32卵石(碎石)灌M2.5混合砂浆振捣密实</w:t>
            </w:r>
            <w:r>
              <w:rPr>
                <w:rFonts w:hint="eastAsia" w:ascii="宋体" w:hAnsi="宋体" w:cs="宋体"/>
                <w:sz w:val="20"/>
                <w:szCs w:val="20"/>
              </w:rPr>
              <w:br/>
              <w:t xml:space="preserve">5.素土夯实,夯实系数不小于0.93,每层不超过300mm</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楼面一：烘干间二层的检修通道兼疏散通道、楼梯间</w:t>
            </w:r>
            <w:r>
              <w:rPr>
                <w:rFonts w:hint="eastAsia" w:ascii="宋体" w:hAnsi="宋体" w:cs="宋体"/>
                <w:sz w:val="20"/>
                <w:szCs w:val="20"/>
              </w:rPr>
              <w:br/>
              <w:t xml:space="preserve">1.50mm厚C25细石混凝土,内配双向Φ4@200钢筋网片,表面抹平压实</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楼面二：烘干间二层的设备间、配电间、电井,烘干间屋面的正压机房、排烟机房</w:t>
            </w:r>
            <w:r>
              <w:rPr>
                <w:rFonts w:hint="eastAsia" w:ascii="宋体" w:hAnsi="宋体" w:cs="宋体"/>
                <w:sz w:val="20"/>
                <w:szCs w:val="20"/>
              </w:rPr>
              <w:br/>
              <w:t xml:space="preserve">1.50mm厚C25细石混凝土,内配双向Φ4@200钢筋网片,表面抹平压实</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踢脚线油漆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烘干间内部除有水房间和电井外的各功能房间</w:t>
            </w:r>
            <w:r>
              <w:rPr>
                <w:rFonts w:hint="eastAsia" w:ascii="宋体" w:hAnsi="宋体" w:cs="宋体"/>
                <w:sz w:val="20"/>
                <w:szCs w:val="20"/>
              </w:rPr>
              <w:br/>
              <w:t xml:space="preserve">1.100mm高刷无光漆或深灰色防霉涂料</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墙、柱面装饰与隔断、幕墙</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外墙三（干挂铝板） 1.20mm厚1:3水泥防水砂浆找平 2.墙体基层清理并甩浆处理</w:t>
            </w:r>
            <w:r>
              <w:rPr>
                <w:rFonts w:hint="eastAsia" w:ascii="宋体" w:hAnsi="宋体" w:cs="宋体"/>
                <w:sz w:val="20"/>
                <w:szCs w:val="20"/>
              </w:rPr>
              <w:br/>
              <w:t xml:space="preserve">3.基层墙体(钢筋混凝土墙体或砖墙)</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外墙六（仿石涂料） 1.20mm厚1:3水泥防水砂浆找平 2.墙体基层清理并甩浆处理 3.基层墙体(钢筋混凝土墙体或砖墙)</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内墙二（烘干间内部除有水房间和电井外的各功能房间）【混凝土墙】</w:t>
            </w:r>
            <w:r>
              <w:rPr>
                <w:rFonts w:hint="eastAsia" w:ascii="宋体" w:hAnsi="宋体" w:cs="宋体"/>
                <w:sz w:val="20"/>
                <w:szCs w:val="20"/>
              </w:rPr>
              <w:br/>
              <w:t xml:space="preserve">1.15mm厚1:3水泥砂浆粉刷抹面压实(不同墙体材料交界处挂耐碱玻纤网格布一道300mm宽后抹砂浆)(楼梯间满挂钢丝网) 2.基层处理(粉前刷界面剂一道,砖墙不刷)</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内墙二（烘干间内部除有水房间和电井外的各功能房间）【砖墙】</w:t>
            </w:r>
            <w:r>
              <w:rPr>
                <w:rFonts w:hint="eastAsia" w:ascii="宋体" w:hAnsi="宋体" w:cs="宋体"/>
                <w:sz w:val="20"/>
                <w:szCs w:val="20"/>
              </w:rPr>
              <w:br/>
              <w:t xml:space="preserve">1.15mm厚1:3水泥砂浆粉刷抹面压实(不同墙体材料交界处挂耐碱玻纤网格布一道300mm宽后抹砂浆)(楼梯间满挂钢丝网)</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块料墙面</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内墙三（卫生间）【砖墙】 </w:t>
            </w:r>
            <w:r>
              <w:rPr>
                <w:rFonts w:hint="eastAsia" w:ascii="宋体" w:hAnsi="宋体" w:cs="宋体"/>
                <w:sz w:val="20"/>
                <w:szCs w:val="20"/>
              </w:rPr>
              <w:br/>
              <w:t xml:space="preserve">1.5~10mm厚面砖,专用勾缝剂(面砖禁止选用吸水率&lt;6%)(仅用于卫生间)</w:t>
            </w:r>
            <w:r>
              <w:rPr>
                <w:rFonts w:hint="eastAsia" w:ascii="宋体" w:hAnsi="宋体" w:cs="宋体"/>
                <w:sz w:val="20"/>
                <w:szCs w:val="20"/>
              </w:rPr>
              <w:br/>
              <w:t xml:space="preserve">2.专用粘结剂结合层(瓷砖背胶处理根据瓷砖材质决定)(仅用于卫生间)</w:t>
            </w:r>
            <w:r>
              <w:rPr>
                <w:rFonts w:hint="eastAsia" w:ascii="宋体" w:hAnsi="宋体" w:cs="宋体"/>
                <w:sz w:val="20"/>
                <w:szCs w:val="20"/>
              </w:rPr>
              <w:br/>
              <w:t xml:space="preserve">3.15mm厚1:3水泥防水砂浆打底扫毛(不同墙体材料交界处挂耐碱玻纤网格布一道300mm宽后抹砂浆) 4.基层处理(粉前刷界面剂一道,砖墙不刷)</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内墙三（烘干间一层的卫生间、集灰间）【砖墙】</w:t>
            </w:r>
            <w:r>
              <w:rPr>
                <w:rFonts w:hint="eastAsia" w:ascii="宋体" w:hAnsi="宋体" w:cs="宋体"/>
                <w:sz w:val="20"/>
                <w:szCs w:val="20"/>
              </w:rPr>
              <w:br/>
              <w:t xml:space="preserve">1.15mm厚1:3水泥防水砂浆打底扫毛(不同墙体材料交界处挂耐碱玻纤网格布一道300mm宽后抹砂浆) 2.基层处理(粉前刷界面剂一道,砖墙不刷)</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内墙四（烘干间一层二层的电井）【砖墙】 1.12mm厚1:3水泥砂浆抹面,表面压光</w:t>
            </w:r>
            <w:r>
              <w:rPr>
                <w:rFonts w:hint="eastAsia" w:ascii="宋体" w:hAnsi="宋体" w:cs="宋体"/>
                <w:sz w:val="20"/>
                <w:szCs w:val="20"/>
              </w:rPr>
              <w:br/>
              <w:t xml:space="preserve">2.墙体基层清理,砼墙甩浆处理 3.基层墙体(钢筋混凝土墙体或砖墙)</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带骨架幕墙</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部位：玻璃幕墙（固定） </w:t>
            </w:r>
            <w:r>
              <w:rPr>
                <w:rFonts w:hint="eastAsia" w:ascii="宋体" w:hAnsi="宋体" w:cs="宋体"/>
                <w:sz w:val="20"/>
                <w:szCs w:val="20"/>
              </w:rPr>
              <w:br/>
              <w:t xml:space="preserve">1.主龙骨:60×120×4镀锌钢管(表面热镀锌)、次龙骨:L50×5镀锌角钢(表面热镀锌) </w:t>
            </w:r>
            <w:r>
              <w:rPr>
                <w:rFonts w:hint="eastAsia" w:ascii="宋体" w:hAnsi="宋体" w:cs="宋体"/>
                <w:sz w:val="20"/>
                <w:szCs w:val="20"/>
              </w:rPr>
              <w:br/>
              <w:t xml:space="preserve">2.65系列6(Low-E)+12Ar+6钢化中空玻璃 </w:t>
            </w:r>
            <w:r>
              <w:rPr>
                <w:rFonts w:hint="eastAsia" w:ascii="宋体" w:hAnsi="宋体" w:cs="宋体"/>
                <w:sz w:val="20"/>
                <w:szCs w:val="20"/>
              </w:rPr>
              <w:br/>
              <w:t xml:space="preserve">3.M6×100不锈钢螺栓 </w:t>
            </w:r>
            <w:r>
              <w:rPr>
                <w:rFonts w:hint="eastAsia" w:ascii="宋体" w:hAnsi="宋体" w:cs="宋体"/>
                <w:sz w:val="20"/>
                <w:szCs w:val="20"/>
              </w:rPr>
              <w:br/>
            </w:r>
            <w:r>
              <w:rPr>
                <w:rFonts w:hint="eastAsia" w:ascii="宋体" w:hAnsi="宋体" w:cs="宋体"/>
                <w:sz w:val="20"/>
                <w:szCs w:val="20"/>
              </w:rPr>
              <w:t xml:space="preserve">4.含4厚连接角铝、防火密封胶条、铝合金封口板、专用钢压板、铝合金盖板、钢压板与专用卡件螺丝连接、防火膨胀胶条、玻璃钢托件等配件</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带骨架幕墙</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部位：玻璃幕墙（窗）</w:t>
            </w:r>
            <w:r>
              <w:rPr>
                <w:rFonts w:hint="eastAsia" w:ascii="宋体" w:hAnsi="宋体" w:cs="宋体"/>
                <w:sz w:val="20"/>
                <w:szCs w:val="20"/>
              </w:rPr>
              <w:br/>
              <w:t xml:space="preserve">1.主龙骨:60×120×4镀锌钢管(表面热镀锌)、次龙骨:L50×5镀锌角钢(表面热镀锌)</w:t>
            </w:r>
            <w:r>
              <w:rPr>
                <w:rFonts w:hint="eastAsia" w:ascii="宋体" w:hAnsi="宋体" w:cs="宋体"/>
                <w:sz w:val="20"/>
                <w:szCs w:val="20"/>
              </w:rPr>
              <w:br/>
              <w:t xml:space="preserve">2.6(Low-E)+12Ar+6钢化中空玻璃</w:t>
            </w:r>
            <w:r>
              <w:rPr>
                <w:rFonts w:hint="eastAsia" w:ascii="宋体" w:hAnsi="宋体" w:cs="宋体"/>
                <w:sz w:val="20"/>
                <w:szCs w:val="20"/>
              </w:rPr>
              <w:br/>
              <w:t xml:space="preserve">3.铝合金立柱、铝合金横梁、明框装饰条、耐候密封胶、三元乙丙橡胶条、减噪垫片、铝合金压板、横梁连接角码、10#镀锌槽钢连接件、不锈钢螺栓、不锈钢螺栓组 、4厚连接角铝</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带骨架幕墙</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部位：玻璃幕墙（门）</w:t>
            </w:r>
            <w:r>
              <w:rPr>
                <w:rFonts w:hint="eastAsia" w:ascii="宋体" w:hAnsi="宋体" w:cs="宋体"/>
                <w:sz w:val="20"/>
                <w:szCs w:val="20"/>
              </w:rPr>
              <w:br/>
              <w:t xml:space="preserve">1.主龙骨:60×120×4镀锌钢管(表面热镀锌)、次龙骨:L50×5镀锌角钢(表面热镀锌)</w:t>
            </w:r>
            <w:r>
              <w:rPr>
                <w:rFonts w:hint="eastAsia" w:ascii="宋体" w:hAnsi="宋体" w:cs="宋体"/>
                <w:sz w:val="20"/>
                <w:szCs w:val="20"/>
              </w:rPr>
              <w:br/>
              <w:t xml:space="preserve">2.100系列6(Low-E)+9Ar+6钢化中空玻璃</w:t>
            </w:r>
            <w:r>
              <w:rPr>
                <w:rFonts w:hint="eastAsia" w:ascii="宋体" w:hAnsi="宋体" w:cs="宋体"/>
                <w:sz w:val="20"/>
                <w:szCs w:val="20"/>
              </w:rPr>
              <w:br/>
              <w:t xml:space="preserve">3.铝合金立柱、铝合金横梁、明框装饰条、耐候密封胶、三元乙丙橡胶条、减噪垫片、铝合金压板、横梁连接角码、10#镀锌槽钢连接件、不锈钢螺栓、不锈钢螺栓组 、4厚连接角铝</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幕墙与建筑物的封边</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部位：幕墙与建筑物封边</w:t>
            </w:r>
            <w:r>
              <w:rPr>
                <w:rFonts w:hint="eastAsia" w:ascii="宋体" w:hAnsi="宋体" w:cs="宋体"/>
                <w:sz w:val="20"/>
                <w:szCs w:val="20"/>
              </w:rPr>
              <w:br/>
              <w:t xml:space="preserve">1.隔断采用1.5mm热镀锌钢板制作，内填石棉条封堵，包封钢板与主体及幕墙间的缝隙采用防火密封胶密封</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铝单板雨篷</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1.部位：铝单板雨蓬（3mm铝单板氟碳喷涂，100*50*4热镀锌方钢龙骨，L50*5连接角铝）按投影面积计算</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墙面装饰</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1.龙骨材料种类、规格、中距:立柱100*50*4热镀锌方管，50*50*5热镀锌角钢，横梁50*50*4热镀锌方管；</w:t>
            </w:r>
            <w:r>
              <w:rPr>
                <w:rFonts w:hint="eastAsia" w:ascii="宋体" w:hAnsi="宋体" w:cs="宋体"/>
                <w:sz w:val="20"/>
                <w:szCs w:val="20"/>
              </w:rPr>
              <w:br/>
              <w:t xml:space="preserve">2.隔离层材料种类、规格:防火岩棉、镀锌铁皮</w:t>
            </w:r>
            <w:r>
              <w:rPr>
                <w:rFonts w:hint="eastAsia" w:ascii="宋体" w:hAnsi="宋体" w:cs="宋体"/>
                <w:sz w:val="20"/>
                <w:szCs w:val="20"/>
              </w:rPr>
              <w:br/>
              <w:t xml:space="preserve">3.面层材料品种、规格、颜色:3mm氟碳喷涂穿孔铝单板</w:t>
            </w:r>
            <w:r>
              <w:rPr>
                <w:rFonts w:hint="eastAsia" w:ascii="宋体" w:hAnsi="宋体" w:cs="宋体"/>
                <w:sz w:val="20"/>
                <w:szCs w:val="20"/>
              </w:rPr>
              <w:br/>
              <w:t xml:space="preserve">4.包含预埋件，连接件，角铝连接件及不锈钢螺栓组等</w:t>
            </w:r>
            <w:r>
              <w:rPr>
                <w:rFonts w:hint="eastAsia" w:ascii="宋体" w:hAnsi="宋体" w:cs="宋体"/>
                <w:sz w:val="20"/>
                <w:szCs w:val="20"/>
              </w:rPr>
              <w:br/>
              <w:t xml:space="preserve">5.嵌缝材料：硅酮密封胶及泡沫棒</w:t>
            </w:r>
            <w:r>
              <w:rPr>
                <w:rFonts w:hint="eastAsia" w:ascii="宋体" w:hAnsi="宋体" w:cs="宋体"/>
                <w:sz w:val="20"/>
                <w:szCs w:val="20"/>
              </w:rPr>
              <w:br/>
              <w:t xml:space="preserve">6.幕墙与建筑物封边：隔断采用1.5mm热镀锌钢板制作，内填石棉条封堵，包封钢板与主体及幕墙间的缝隙采用防火密封胶密封</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格栅吊顶</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屋面格栅：白色铝方管氟碳喷涂，壁厚3mm</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金属栏杆</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护窗栏杆 h=900mm 做法参见15J403-1-D13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楼梯栏杆 h=900mm 做法参见15J403-1-D13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楼梯栏杆 h=1200mm 做法参见15J403-1-D13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护窗栏杆 h=500mm 做法参见15J403-1-D13</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检修孔</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1.屋面检修上人孔 2.做法详见12J201-H20</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钢筋混凝土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垫层</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2.混凝土强度等级:C15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满堂基础</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桩承台基础</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矩形柱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构造柱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2.混凝土强度等级:C25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矩形梁</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 商品混凝土 2.混凝土强度等级 C30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圈梁</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2.混凝土强度等级:C25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过梁</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2.混凝土强度等级:C25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挡土墙</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 3.部位:地下室外墙</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有梁板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平板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平板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 3.层高:12m内</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平板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 3.层高:18m内</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雨篷、悬挑板、阳台板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1.水平挑檐板式雨篷(C30商品混凝土) 2.雨篷砼含量每增减(C30商品混凝土)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散水</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1.覆土种植(如为暗散水) 2.100mm厚C20混凝土,随捣随抹光,台阶向外坡1%</w:t>
            </w:r>
            <w:r>
              <w:rPr>
                <w:rFonts w:hint="eastAsia" w:ascii="宋体" w:hAnsi="宋体" w:cs="宋体"/>
                <w:sz w:val="20"/>
                <w:szCs w:val="20"/>
              </w:rPr>
              <w:br/>
              <w:t xml:space="preserve">3.素土夯实或地下室回填层,夯实系数不小于0.93,向外坡4%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坡道</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1.100mm厚C20细石混凝土,内配双向A4@200钢筋网片,表面抹平压实</w:t>
            </w:r>
            <w:r>
              <w:rPr>
                <w:rFonts w:hint="eastAsia" w:ascii="宋体" w:hAnsi="宋体" w:cs="宋体"/>
                <w:sz w:val="20"/>
                <w:szCs w:val="20"/>
              </w:rPr>
              <w:br/>
              <w:t xml:space="preserve">2.150mm厚粒径5~32卵石(碎石)灌M2.5混合砂浆振捣密实</w:t>
            </w:r>
            <w:r>
              <w:rPr>
                <w:rFonts w:hint="eastAsia" w:ascii="宋体" w:hAnsi="宋体" w:cs="宋体"/>
                <w:sz w:val="20"/>
                <w:szCs w:val="20"/>
              </w:rPr>
              <w:br/>
              <w:t xml:space="preserve">3.素土夯实,夯实系数不小于0.93,每层不超过300mm</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台阶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1.100mm厚C20细石混凝土,内配双向A4@200钢筋网片,表面抹平压实</w:t>
            </w:r>
            <w:r>
              <w:rPr>
                <w:rFonts w:hint="eastAsia" w:ascii="宋体" w:hAnsi="宋体" w:cs="宋体"/>
                <w:sz w:val="20"/>
                <w:szCs w:val="20"/>
              </w:rPr>
              <w:br/>
              <w:t xml:space="preserve">2.150mm厚粒径5~32卵石(碎石)灌M2.5混合砂浆振捣密实</w:t>
            </w:r>
            <w:r>
              <w:rPr>
                <w:rFonts w:hint="eastAsia" w:ascii="宋体" w:hAnsi="宋体" w:cs="宋体"/>
                <w:sz w:val="20"/>
                <w:szCs w:val="20"/>
              </w:rPr>
              <w:br/>
              <w:t xml:space="preserve">3.素土夯实,夯实系数不小于0.93,每层不超过300mm</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压顶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2.混凝土强度等级:C25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1.钢筋种类、规格:HPB300 Φ6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1.钢筋种类、规格:HPB300 Φ8-10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Φ6</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Φ8-10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Φ12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Φ14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Φ16-25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砌体加筋</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1.钢筋种类、规格:HPB400 Φ6 2.部位:砌体加固筋</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地脚锚栓</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1.锚栓钢号为Q235钢，地脚螺栓制作Φ24以内 M24 L＝600两个螺帽</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高强螺栓</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1.10.9级摩擦型连接高强度螺栓（型号综合考虑）</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预埋铁件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1.预埋铁件</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机械连接</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1.连接方式:机械连接 2.螺纹套筒种类:直螺纹接头 3.规格:≤Φ25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钢筋电渣压力焊接头</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1.钢筋类型、规格:电渣压力焊 2.规格:≤Φ25</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土石方</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平整场地</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1.土壤类别:详见地勘报告，应根据勘察现场后综合考虑</w:t>
            </w:r>
            <w:r>
              <w:rPr>
                <w:rFonts w:hint="eastAsia" w:ascii="宋体" w:hAnsi="宋体" w:cs="宋体"/>
                <w:sz w:val="20"/>
                <w:szCs w:val="20"/>
              </w:rPr>
              <w:br/>
              <w:t xml:space="preserve">2.取、弃土运距:挖土装车，运距自行考虑</w:t>
            </w:r>
            <w:r>
              <w:rPr>
                <w:rFonts w:hint="eastAsia" w:ascii="宋体" w:hAnsi="宋体" w:cs="宋体"/>
                <w:sz w:val="20"/>
                <w:szCs w:val="20"/>
              </w:rPr>
              <w:br/>
              <w:t xml:space="preserve">3.综合考虑白天和夜间降效及白天不能出土现场临时堆放等因素投标人综合考虑，中标后不再调整</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沟槽土方</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1.土壤类别:详见地勘报告，应根据勘察现场后综合考虑</w:t>
            </w:r>
            <w:r>
              <w:rPr>
                <w:rFonts w:hint="eastAsia" w:ascii="宋体" w:hAnsi="宋体" w:cs="宋体"/>
                <w:sz w:val="20"/>
                <w:szCs w:val="20"/>
              </w:rPr>
              <w:br/>
              <w:t xml:space="preserve">2.清单量为实际开挖量</w:t>
            </w:r>
            <w:r>
              <w:rPr>
                <w:rFonts w:hint="eastAsia" w:ascii="宋体" w:hAnsi="宋体" w:cs="宋体"/>
                <w:sz w:val="20"/>
                <w:szCs w:val="20"/>
              </w:rPr>
              <w:br/>
              <w:t xml:space="preserve">3.土、淤泥、石方(包括但不限于生活垃圾淤泥及植物等)投标人综合考虑报价，结算时不调整综合单价</w:t>
            </w:r>
            <w:r>
              <w:rPr>
                <w:rFonts w:hint="eastAsia" w:ascii="宋体" w:hAnsi="宋体" w:cs="宋体"/>
                <w:sz w:val="20"/>
                <w:szCs w:val="20"/>
              </w:rPr>
              <w:br/>
              <w:t xml:space="preserve">4.人工配合机械挖土，人工修边坡、整平、夯实，坑底预留人工挖土等，由投标人结合投标方案自行综合考虑报价，结算不另计算</w:t>
            </w:r>
            <w:r>
              <w:rPr>
                <w:rFonts w:hint="eastAsia" w:ascii="宋体" w:hAnsi="宋体" w:cs="宋体"/>
                <w:sz w:val="20"/>
                <w:szCs w:val="20"/>
              </w:rPr>
              <w:br/>
              <w:t xml:space="preserve">5.场内运距:投标人自行考虑，运距变化时不做调整</w:t>
            </w:r>
            <w:r>
              <w:rPr>
                <w:rFonts w:hint="eastAsia" w:ascii="宋体" w:hAnsi="宋体" w:cs="宋体"/>
                <w:sz w:val="20"/>
                <w:szCs w:val="20"/>
              </w:rPr>
              <w:br/>
              <w:t xml:space="preserve">6.桩间挖土的增加费用自行考虑</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挖基坑土方</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1.土壤类别:详见地勘报告，应根据勘察现场后综合考虑</w:t>
            </w:r>
            <w:r>
              <w:rPr>
                <w:rFonts w:hint="eastAsia" w:ascii="宋体" w:hAnsi="宋体" w:cs="宋体"/>
                <w:sz w:val="20"/>
                <w:szCs w:val="20"/>
              </w:rPr>
              <w:br/>
              <w:t xml:space="preserve">2.清单量为实际开挖量</w:t>
            </w:r>
            <w:r>
              <w:rPr>
                <w:rFonts w:hint="eastAsia" w:ascii="宋体" w:hAnsi="宋体" w:cs="宋体"/>
                <w:sz w:val="20"/>
                <w:szCs w:val="20"/>
              </w:rPr>
              <w:br/>
              <w:t xml:space="preserve">3.土、淤泥、石方(包括但不限于生活垃圾淤泥及植物等)投标人综合考虑报价，结算时不调整综合单价</w:t>
            </w:r>
            <w:r>
              <w:rPr>
                <w:rFonts w:hint="eastAsia" w:ascii="宋体" w:hAnsi="宋体" w:cs="宋体"/>
                <w:sz w:val="20"/>
                <w:szCs w:val="20"/>
              </w:rPr>
              <w:br/>
              <w:t xml:space="preserve">4.人工配合机械挖土，人工修边坡、整平、夯实，坑底预留人工挖土等，由投标人结合投标方案自行综合考虑报价，结算不另计算</w:t>
            </w:r>
            <w:r>
              <w:rPr>
                <w:rFonts w:hint="eastAsia" w:ascii="宋体" w:hAnsi="宋体" w:cs="宋体"/>
                <w:sz w:val="20"/>
                <w:szCs w:val="20"/>
              </w:rPr>
              <w:br/>
              <w:t xml:space="preserve">5.场内运距:投标人自行考虑，运距变化时不做调整</w:t>
            </w:r>
            <w:r>
              <w:rPr>
                <w:rFonts w:hint="eastAsia" w:ascii="宋体" w:hAnsi="宋体" w:cs="宋体"/>
                <w:sz w:val="20"/>
                <w:szCs w:val="20"/>
              </w:rPr>
              <w:br/>
              <w:t xml:space="preserve">6.桩间挖土的增加费用自行考虑</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回填</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1.密实度要求:分层夯填（碾压），压实系数满足设计要求</w:t>
            </w:r>
            <w:r>
              <w:rPr>
                <w:rFonts w:hint="eastAsia" w:ascii="宋体" w:hAnsi="宋体" w:cs="宋体"/>
                <w:sz w:val="20"/>
                <w:szCs w:val="20"/>
              </w:rPr>
              <w:br/>
              <w:t xml:space="preserve">2.填方材料品种:满足设计要求及验收规范</w:t>
            </w:r>
            <w:r>
              <w:rPr>
                <w:rFonts w:hint="eastAsia" w:ascii="宋体" w:hAnsi="宋体" w:cs="宋体"/>
                <w:sz w:val="20"/>
                <w:szCs w:val="20"/>
              </w:rPr>
              <w:br/>
            </w:r>
            <w:r>
              <w:rPr>
                <w:rFonts w:hint="eastAsia" w:ascii="宋体" w:hAnsi="宋体" w:cs="宋体"/>
                <w:sz w:val="20"/>
                <w:szCs w:val="20"/>
              </w:rPr>
              <w:t xml:space="preserve">3.清单量为实际回填量</w:t>
            </w:r>
            <w:r>
              <w:rPr>
                <w:rFonts w:hint="eastAsia" w:ascii="宋体" w:hAnsi="宋体" w:cs="宋体"/>
                <w:sz w:val="20"/>
                <w:szCs w:val="20"/>
              </w:rPr>
              <w:br/>
              <w:t xml:space="preserve">4.包含装车运回、运距、堆土场费、保洁费等相关的一切费用，场内内倒及运距自行考虑</w:t>
            </w:r>
            <w:r>
              <w:rPr>
                <w:rFonts w:hint="eastAsia" w:ascii="宋体" w:hAnsi="宋体" w:cs="宋体"/>
                <w:sz w:val="20"/>
                <w:szCs w:val="20"/>
              </w:rPr>
              <w:br/>
              <w:t xml:space="preserve">5.若需要单双轮车配合，投标人综合考虑，中标后不再调整</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回填</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回填1:1砂石分层回填夯实(每层250mm)</w:t>
            </w:r>
            <w:r>
              <w:rPr>
                <w:rFonts w:hint="eastAsia" w:ascii="宋体" w:hAnsi="宋体" w:cs="宋体"/>
                <w:sz w:val="20"/>
                <w:szCs w:val="20"/>
              </w:rPr>
              <w:br/>
              <w:t xml:space="preserve">压实系数不小于0.97,</w:t>
            </w:r>
            <w:r>
              <w:rPr>
                <w:rFonts w:hint="eastAsia" w:ascii="宋体" w:hAnsi="宋体" w:cs="宋体"/>
                <w:sz w:val="20"/>
                <w:szCs w:val="20"/>
              </w:rPr>
              <w:br/>
              <w:t xml:space="preserve">承载力特征值不小于65N/m2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余方弃置</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1.弃置种类:含普通土、淤泥、建筑垃圾、石方及植物等)，类别不同时不做调整</w:t>
            </w:r>
            <w:r>
              <w:rPr>
                <w:rFonts w:hint="eastAsia" w:ascii="宋体" w:hAnsi="宋体" w:cs="宋体"/>
                <w:sz w:val="20"/>
                <w:szCs w:val="20"/>
              </w:rPr>
              <w:br/>
              <w:t xml:space="preserve">2.自行勘察现场，弃土运距自行考虑，发生变化时不做调整</w:t>
            </w:r>
            <w:r>
              <w:rPr>
                <w:rFonts w:hint="eastAsia" w:ascii="宋体" w:hAnsi="宋体" w:cs="宋体"/>
                <w:sz w:val="20"/>
                <w:szCs w:val="20"/>
              </w:rPr>
              <w:br/>
              <w:t xml:space="preserve">3.渣土运至合法指定土场，弃土场的土场消纳费等其他费用由投标人自行考虑，自主报价</w:t>
            </w:r>
            <w:r>
              <w:rPr>
                <w:rFonts w:hint="eastAsia" w:ascii="宋体" w:hAnsi="宋体" w:cs="宋体"/>
                <w:sz w:val="20"/>
                <w:szCs w:val="20"/>
              </w:rPr>
              <w:br/>
              <w:t xml:space="preserve">4.渣土按自然方计算，虚方量增加所产生费用自行考虑</w:t>
            </w:r>
            <w:r>
              <w:rPr>
                <w:rFonts w:hint="eastAsia" w:ascii="宋体" w:hAnsi="宋体" w:cs="宋体"/>
                <w:sz w:val="20"/>
                <w:szCs w:val="20"/>
              </w:rPr>
              <w:br/>
              <w:t xml:space="preserve">5.综合考虑白天和夜间降效及白天不能出土现场临时堆放等因素投标人综合考虑，中标后不再调整</w:t>
            </w:r>
            <w:r>
              <w:rPr>
                <w:rFonts w:hint="eastAsia" w:ascii="宋体" w:hAnsi="宋体" w:cs="宋体"/>
                <w:sz w:val="20"/>
                <w:szCs w:val="20"/>
              </w:rPr>
              <w:br/>
              <w:t xml:space="preserve">6.渣土堆放地点需建设单位及当地政府认可</w:t>
            </w:r>
            <w:r/>
          </w:p>
        </w:tc>
      </w:tr>
      <w:tr>
        <w:trPr>
          <w:jc w:val="center"/>
          <w:trHeight w:val="300"/>
        </w:trPr>
        <w:tc>
          <w:tcPr>
            <w:shd w:val="clear" w:color="000000" w:fill="92d050"/>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000000" w:fill="92d050"/>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此项费用为固定，不可竞争，在投标报价时不得更改</w:t>
            </w:r>
            <w:r/>
          </w:p>
        </w:tc>
      </w:tr>
      <w:tr>
        <w:trPr>
          <w:jc w:val="center"/>
          <w:trHeight w:val="300"/>
        </w:trPr>
        <w:tc>
          <w:tcPr>
            <w:gridSpan w:val="3"/>
            <w:shd w:val="clear" w:color="000000" w:fill="ff00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桩基部分</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预制钢筋混凝土管桩</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1.地层情况:自行考虑</w:t>
            </w:r>
            <w:r>
              <w:rPr>
                <w:rFonts w:hint="eastAsia" w:ascii="宋体" w:hAnsi="宋体" w:cs="宋体"/>
                <w:sz w:val="20"/>
                <w:szCs w:val="20"/>
              </w:rPr>
              <w:br/>
              <w:t xml:space="preserve">2.送桩深度:根据设计桩顶标高及现场原始地面标高计算  </w:t>
            </w:r>
            <w:r>
              <w:rPr>
                <w:rFonts w:hint="eastAsia" w:ascii="宋体" w:hAnsi="宋体" w:cs="宋体"/>
                <w:sz w:val="20"/>
                <w:szCs w:val="20"/>
              </w:rPr>
              <w:br/>
              <w:t xml:space="preserve">3.抗压桩桩长:26米（15+11）（共计5根），桩端进入持力层深度不小于1.2m</w:t>
            </w:r>
            <w:r>
              <w:rPr>
                <w:rFonts w:hint="eastAsia" w:ascii="宋体" w:hAnsi="宋体" w:cs="宋体"/>
                <w:sz w:val="20"/>
                <w:szCs w:val="20"/>
              </w:rPr>
              <w:br/>
              <w:t xml:space="preserve">4.桩外径、壁厚:采用直径600mm(壁厚110mmm)的混凝土等级为C80的AB型先张法PHA预应力管桩（桩型号满足设计要求及相应图集规范）</w:t>
            </w:r>
            <w:r>
              <w:rPr>
                <w:rFonts w:hint="eastAsia" w:ascii="宋体" w:hAnsi="宋体" w:cs="宋体"/>
                <w:sz w:val="20"/>
                <w:szCs w:val="20"/>
              </w:rPr>
              <w:br/>
              <w:t xml:space="preserve">5.沉桩方法:静压</w:t>
            </w:r>
            <w:r>
              <w:rPr>
                <w:rFonts w:hint="eastAsia" w:ascii="宋体" w:hAnsi="宋体" w:cs="宋体"/>
                <w:sz w:val="20"/>
                <w:szCs w:val="20"/>
              </w:rPr>
              <w:br/>
              <w:t xml:space="preserve">6.管桩接桩采用《先张法预应力混凝土抗拔管桩(JH抱箍式连接)》Q/321183 JH002-2019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预制钢筋混凝土管桩</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1.地层情况:自行考虑</w:t>
            </w:r>
            <w:r>
              <w:rPr>
                <w:rFonts w:hint="eastAsia" w:ascii="宋体" w:hAnsi="宋体" w:cs="宋体"/>
                <w:sz w:val="20"/>
                <w:szCs w:val="20"/>
              </w:rPr>
              <w:br/>
              <w:t xml:space="preserve">2.送桩深度:根据设计桩顶标高及现场原始地面标高计算  </w:t>
            </w:r>
            <w:r>
              <w:rPr>
                <w:rFonts w:hint="eastAsia" w:ascii="宋体" w:hAnsi="宋体" w:cs="宋体"/>
                <w:sz w:val="20"/>
                <w:szCs w:val="20"/>
              </w:rPr>
              <w:br/>
              <w:t xml:space="preserve">3.抗压桩桩长:25米（15+10）（共计53根），桩端进入持力层深度不小于1.2m</w:t>
            </w:r>
            <w:r>
              <w:rPr>
                <w:rFonts w:hint="eastAsia" w:ascii="宋体" w:hAnsi="宋体" w:cs="宋体"/>
                <w:sz w:val="20"/>
                <w:szCs w:val="20"/>
              </w:rPr>
              <w:br/>
              <w:t xml:space="preserve">4.桩外径、壁厚:采用直径600mm(壁厚110mmm)的混凝土等级为C80的AB型先张法PHA预应力管桩（桩型号满足设计要求及相应图集规范）</w:t>
            </w:r>
            <w:r>
              <w:rPr>
                <w:rFonts w:hint="eastAsia" w:ascii="宋体" w:hAnsi="宋体" w:cs="宋体"/>
                <w:sz w:val="20"/>
                <w:szCs w:val="20"/>
              </w:rPr>
              <w:br/>
              <w:t xml:space="preserve">5.沉桩方法:静压</w:t>
            </w:r>
            <w:r>
              <w:rPr>
                <w:rFonts w:hint="eastAsia" w:ascii="宋体" w:hAnsi="宋体" w:cs="宋体"/>
                <w:sz w:val="20"/>
                <w:szCs w:val="20"/>
              </w:rPr>
              <w:br/>
              <w:t xml:space="preserve">6.管桩接桩采用《先张法预应力混凝土抗拔管桩(JH抱箍式连接)》Q/321183 JH002-2019</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钢筋笼</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1.钢筋种类、规格:HPB300 φ8</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钢筋笼</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φ20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预埋铁件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1.托板 2.3mm厚钢托板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预制管桩填芯</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1.填芯材料:微膨胀混凝土 2.砼强度:C40</w:t>
            </w:r>
            <w:r>
              <w:rPr>
                <w:rFonts w:hint="eastAsia" w:ascii="宋体" w:hAnsi="宋体" w:cs="宋体"/>
                <w:sz w:val="20"/>
                <w:szCs w:val="20"/>
              </w:rPr>
              <w:br/>
              <w:t xml:space="preserve">3.灌芯长度:3000mm 4.灌芯要求:桩顶处在灌实混凝土前,应将管桩内壁浮浆清除掉并清洗干净,再设置托板及钢筋骨架，满足设计及相应规范要求</w:t>
            </w:r>
            <w:r/>
          </w:p>
        </w:tc>
      </w:tr>
      <w:tr>
        <w:trPr>
          <w:jc w:val="center"/>
          <w:trHeight w:val="300"/>
        </w:trPr>
        <w:tc>
          <w:tcPr>
            <w:shd w:val="clear" w:color="000000" w:fill="92d050"/>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000000" w:fill="92d050"/>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此项费用为固定，不可竞争，在投标报价时不得更改</w:t>
            </w:r>
            <w:r/>
          </w:p>
        </w:tc>
      </w:tr>
      <w:tr>
        <w:trPr>
          <w:jc w:val="center"/>
          <w:trHeight w:val="300"/>
        </w:trPr>
        <w:tc>
          <w:tcPr>
            <w:gridSpan w:val="3"/>
            <w:shd w:val="clear" w:color="000000" w:fill="ff00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电气部分</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1.名称:双电源自动切换配电箱A-APE1</w:t>
            </w:r>
            <w:r>
              <w:rPr>
                <w:rFonts w:hint="eastAsia" w:ascii="宋体" w:hAnsi="宋体" w:cs="宋体"/>
                <w:sz w:val="20"/>
                <w:szCs w:val="20"/>
              </w:rPr>
              <w:br/>
              <w:t xml:space="preserve">2.规格:防潮防霉型，参考尺寸400×700×2200</w:t>
            </w:r>
            <w:r>
              <w:rPr>
                <w:rFonts w:hint="eastAsia" w:ascii="宋体" w:hAnsi="宋体" w:cs="宋体"/>
                <w:sz w:val="20"/>
                <w:szCs w:val="20"/>
              </w:rPr>
              <w:br/>
              <w:t xml:space="preserve">3.安装方式:落地安装,下设槽钢基础</w:t>
            </w:r>
            <w:r>
              <w:rPr>
                <w:rFonts w:hint="eastAsia" w:ascii="宋体" w:hAnsi="宋体" w:cs="宋体"/>
                <w:sz w:val="20"/>
                <w:szCs w:val="20"/>
              </w:rPr>
              <w:br/>
              <w:t xml:space="preserve">4.元器件及要求:满足设计要求，含消防电源监控模块、电气火灾监控模块</w:t>
            </w:r>
            <w:r>
              <w:rPr>
                <w:rFonts w:hint="eastAsia" w:ascii="宋体" w:hAnsi="宋体" w:cs="宋体"/>
                <w:sz w:val="20"/>
                <w:szCs w:val="20"/>
              </w:rPr>
              <w:br/>
              <w:t xml:space="preserve">5.满足设计及规范要求 6.端子板外部接线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1.名称:配电箱L1-AL1</w:t>
            </w:r>
            <w:r>
              <w:rPr>
                <w:rFonts w:hint="eastAsia" w:ascii="宋体" w:hAnsi="宋体" w:cs="宋体"/>
                <w:sz w:val="20"/>
                <w:szCs w:val="20"/>
              </w:rPr>
              <w:br/>
              <w:t xml:space="preserve">2.元器件及要求:满足设计要求，含消防电源监控模块、电气火灾监控模块</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1.名称:配电箱L1-AL2</w:t>
            </w:r>
            <w:r>
              <w:rPr>
                <w:rFonts w:hint="eastAsia" w:ascii="宋体" w:hAnsi="宋体" w:cs="宋体"/>
                <w:sz w:val="20"/>
                <w:szCs w:val="20"/>
              </w:rPr>
              <w:br/>
              <w:t xml:space="preserve">2.元器件及要求:满足设计要求，含消防电源监控模块、电气火灾监控模块</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1.名称:配电箱L2-AL1</w:t>
            </w:r>
            <w:r>
              <w:rPr>
                <w:rFonts w:hint="eastAsia" w:ascii="宋体" w:hAnsi="宋体" w:cs="宋体"/>
                <w:sz w:val="20"/>
                <w:szCs w:val="20"/>
              </w:rPr>
              <w:br/>
              <w:t xml:space="preserve">2.元器件及要求:满足设计要求，含消防电源监控模块、电气火灾监控模块</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1.名称:配电箱L2-AL2</w:t>
            </w:r>
            <w:r>
              <w:rPr>
                <w:rFonts w:hint="eastAsia" w:ascii="宋体" w:hAnsi="宋体" w:cs="宋体"/>
                <w:sz w:val="20"/>
                <w:szCs w:val="20"/>
              </w:rPr>
              <w:br/>
              <w:t xml:space="preserve">2.元器件及要求:满足设计要求，含消防电源监控模块、电气火灾监控模块</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1.名称:配电箱L1-ALEa</w:t>
            </w:r>
            <w:r>
              <w:rPr>
                <w:rFonts w:hint="eastAsia" w:ascii="宋体" w:hAnsi="宋体" w:cs="宋体"/>
                <w:sz w:val="20"/>
                <w:szCs w:val="20"/>
              </w:rPr>
              <w:br/>
              <w:t xml:space="preserve">2.元器件及要求:满足设计要求</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1.名称:配电箱L2-ALEa</w:t>
            </w:r>
            <w:r>
              <w:rPr>
                <w:rFonts w:hint="eastAsia" w:ascii="宋体" w:hAnsi="宋体" w:cs="宋体"/>
                <w:sz w:val="20"/>
                <w:szCs w:val="20"/>
              </w:rPr>
              <w:br/>
              <w:t xml:space="preserve">2.元器件及要求:满足设计要求</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1.名称:配电箱L1-AP</w:t>
            </w:r>
            <w:r>
              <w:rPr>
                <w:rFonts w:hint="eastAsia" w:ascii="宋体" w:hAnsi="宋体" w:cs="宋体"/>
                <w:sz w:val="20"/>
                <w:szCs w:val="20"/>
              </w:rPr>
              <w:br/>
              <w:t xml:space="preserve">2.元器件及要求:满足设计要求，含消防电源监控模块、电气火灾监控模块</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1.名称:配电箱L2-AP</w:t>
            </w:r>
            <w:r>
              <w:rPr>
                <w:rFonts w:hint="eastAsia" w:ascii="宋体" w:hAnsi="宋体" w:cs="宋体"/>
                <w:sz w:val="20"/>
                <w:szCs w:val="20"/>
              </w:rPr>
              <w:br/>
              <w:t xml:space="preserve">2.元器件及要求:满足设计要求，含消防电源监控模块、电气火灾监控模块</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1.名称:配电箱L1-ALE</w:t>
            </w:r>
            <w:r>
              <w:rPr>
                <w:rFonts w:hint="eastAsia" w:ascii="宋体" w:hAnsi="宋体" w:cs="宋体"/>
                <w:sz w:val="20"/>
                <w:szCs w:val="20"/>
              </w:rPr>
              <w:br/>
              <w:t xml:space="preserve">2.元器件及要求:满足设计要求，含消防电源监控模块、电气火灾监控模块</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1.名称:配电箱L1-ATE-xks</w:t>
            </w:r>
            <w:r>
              <w:rPr>
                <w:rFonts w:hint="eastAsia" w:ascii="宋体" w:hAnsi="宋体" w:cs="宋体"/>
                <w:sz w:val="20"/>
                <w:szCs w:val="20"/>
              </w:rPr>
              <w:br/>
              <w:t xml:space="preserve">2.元器件及要求:满足设计要求，含消防电源监控模块、电气火灾监控模块</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1.名称:配电箱WD-ATE-bf</w:t>
            </w:r>
            <w:r>
              <w:rPr>
                <w:rFonts w:hint="eastAsia" w:ascii="宋体" w:hAnsi="宋体" w:cs="宋体"/>
                <w:sz w:val="20"/>
                <w:szCs w:val="20"/>
              </w:rPr>
              <w:br/>
              <w:t xml:space="preserve">2.元器件及要求:满足设计要求，含消防电源监控模块、电气火灾监控模块</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1.名称:配电箱WD-ATE-py</w:t>
            </w:r>
            <w:r>
              <w:rPr>
                <w:rFonts w:hint="eastAsia" w:ascii="宋体" w:hAnsi="宋体" w:cs="宋体"/>
                <w:sz w:val="20"/>
                <w:szCs w:val="20"/>
              </w:rPr>
              <w:br/>
              <w:t xml:space="preserve">2.元器件及要求:满足设计要求，含消防电源监控模块、电气火灾监控模块</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1.名称:配电箱L1-ATE-sgjf</w:t>
            </w:r>
            <w:r>
              <w:rPr>
                <w:rFonts w:hint="eastAsia" w:ascii="宋体" w:hAnsi="宋体" w:cs="宋体"/>
                <w:sz w:val="20"/>
                <w:szCs w:val="20"/>
              </w:rPr>
              <w:br/>
              <w:t xml:space="preserve">2.元器件及要求:满足设计要求，含消防电源监控模块、电气火灾监控模块</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1.名称:配电箱L1-ATE-bds</w:t>
            </w:r>
            <w:r>
              <w:rPr>
                <w:rFonts w:hint="eastAsia" w:ascii="宋体" w:hAnsi="宋体" w:cs="宋体"/>
                <w:sz w:val="20"/>
                <w:szCs w:val="20"/>
              </w:rPr>
              <w:br/>
              <w:t xml:space="preserve">2.元器件及要求:满足设计要求，含消防电源监控模块、电气火灾监控模块</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1.名称:配电箱L1-ATP-jk</w:t>
            </w:r>
            <w:r>
              <w:rPr>
                <w:rFonts w:hint="eastAsia" w:ascii="宋体" w:hAnsi="宋体" w:cs="宋体"/>
                <w:sz w:val="20"/>
                <w:szCs w:val="20"/>
              </w:rPr>
              <w:br/>
              <w:t xml:space="preserve">2.元器件及要求:满足设计要求，含消防电源监控模块、电气火灾监控模块</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1.名称:配电箱L1-AP-pf2</w:t>
            </w:r>
            <w:r>
              <w:rPr>
                <w:rFonts w:hint="eastAsia" w:ascii="宋体" w:hAnsi="宋体" w:cs="宋体"/>
                <w:sz w:val="20"/>
                <w:szCs w:val="20"/>
              </w:rPr>
              <w:br/>
              <w:t xml:space="preserve">2.元器件及要求:满足设计要求，含消防电源监控模块、电气火灾监控模块</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1.名称:配电箱L1-AP-pf1</w:t>
            </w:r>
            <w:r>
              <w:rPr>
                <w:rFonts w:hint="eastAsia" w:ascii="宋体" w:hAnsi="宋体" w:cs="宋体"/>
                <w:sz w:val="20"/>
                <w:szCs w:val="20"/>
              </w:rPr>
              <w:br/>
              <w:t xml:space="preserve">2.元器件及要求:满足设计要求，含消防电源监控模块、电气火灾监控模块</w:t>
            </w:r>
            <w:r>
              <w:rPr>
                <w:rFonts w:hint="eastAsia" w:ascii="宋体" w:hAnsi="宋体" w:cs="宋体"/>
                <w:sz w:val="20"/>
                <w:szCs w:val="20"/>
              </w:rPr>
              <w:br/>
              <w:t xml:space="preserve">3.安装方式:底距地1.5米明装 4.满足设计及规范要求 5.端子板外部接线</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桥架、配管</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桥架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1.名称:非消防镀锌桥架（含盖板） 2.规格:400*200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桥架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1.名称:非消防镀锌桥架（含盖板） 2.规格:300*100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桥架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1.名称:非消防镀锌桥架（含盖板） 2.规格:200*100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桥架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1.名称:消防镀锌桥架（含盖板） 2.规格:200*100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电缆保护管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1.名称:电缆保护管 2.材质:热浸镀锌厚壁钢管 3.规格:DN200 4.敷设方式:埋地</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2.材质:热浸镀锌厚壁钢管 3.规格:DN40 4.敷设方式:明配</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2.材质:热浸镀锌厚壁钢管 3.规格:DN32 4.敷设方式:明配</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2.材质:热浸镀锌厚壁钢管 3.规格:DN25 4.敷设方式:明配</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2.材质:热浸镀锌厚壁钢管 3.规格:DN20 4.敷设方式:明配</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2.材质:热浸镀锌厚壁钢管 3.规格:DN25 4.敷设方式:暗配</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2.材质:热浸镀锌厚壁钢管 3.规格:DN20 4.敷设方式:暗配</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2.材质:紧定钢管 3.规格:JDG20 4.敷设方式:暗配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2.材质:紧定钢管 3.规格:JDG25 4.敷设方式:暗配</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2.材质:金属软管 3.规格:20 4.敷设方式:明配</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铁构件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1.名称:支吊架 2.规格:综合 3.其他:含防腐，其他满足设计要求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防火堵洞</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1.名称:防火堵洞 2.方式:自行考虑 3.部位:综合 4.满足设计及规范要求</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电缆、电线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2.规格:BBTRZ-4×70+1*35 3.符合设计及规范要求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2.规格:BBTRZ-4×50+1*25 3.符合设计及规范要求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2.规格:BBTRZ-4×25+1*16 3.符合设计及规范要求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2.规格:BBTRZ-5*16 3.符合设计及规范要求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2.规格:YJV-5*16 3.符合设计及规范要求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2.规格:YJV-5*10 3.符合设计及规范要求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2.规格:YJV-5*6 3.符合设计及规范要求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2.规格:YJV-5*4 3.符合设计及规范要求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2.规格:YJV-5*2.5 3.符合设计及规范要求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2.规格:ZRNH-YJV-4*16 3.符合设计及规范要求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2.规格:ZRNH-YJV-4*10 3.符合设计及规范要求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电力电缆头</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1.名称:电力电缆头 2.规格:120mm2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电力电缆头</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1.名称:电力电缆头 2.规格:35mm2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电力电缆头</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1.名称:电力电缆头 2.规格:16mm2</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1.名称:铜芯导线 2.配线形式:穿管敷设 3.规格:BV-4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1.名称:铜芯导线 2.配线形式:穿管敷设 3.规格:BV-2.5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1.名称:铜芯导线 2.配线形式:穿管敷设 3.规格:NH-BV-2.5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1.名称:铜芯导线 2.配线形式:穿管敷设 3.规格:ZRNH-BV-2.5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1.名称:铜芯导线 2.配线形式:穿管敷设 3.规格:ZRNH-RYJS-2*2.5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1.名称:铜芯导线 2.配线形式:穿管敷设 3.规格:NH-RYJS-2*1.5</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开关、插座</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照明开关</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1.名称:单联单控开关 2.规格:10A 3.安装方式:暗敷</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照明开关</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1.名称:单联双控开关 2.规格:10A 3.安装方式:暗敷</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照明开关</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1.名称:双联单控开关 2.规格:10A 3.安装方式:暗敷</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插座</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1.名称:单项二三眼安全型插座 2.规格:10A 3.:暗敷</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插座</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1.名称:空调插座 2.规格:15A 3.:暗敷</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其他电器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1.名称:现场启停按钮盒 2.安装方式:暗敷</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1.名称:金属接线盒 2.规格:A86 3.安装方式:暗装</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灯具</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工厂灯</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1.名称:LED-广照型工矿灯 2.规格:100W 3.安装形式:吊杆安装</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普通灯具</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1.名称:感应灯(延时感应) 2.规格:14w LED光源 3.类型:吸顶安装</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普通灯具</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1.名称:普通照明灯具 2.规格:14w LED光源 3.类型:吸顶安装</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荧光灯</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1.名称:双管灯 2.规格: 2x18w T8 LED光源 3.安装形式:吸顶安装</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荧光灯</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1.名称:双管筒式荧光灯 2.规格:250V,LED光源,8W(设备间自带蓄电池,最少持续供电时间180min) 3.安装形式:吸顶安装</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荧光灯</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1.名称:单管筒式荧光灯 2.规格:250V,LED光源,8W(设备间自带蓄电池,最少持续供电时间180min) 3.安装形式:吸顶安装</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装饰灯</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1.名称:A型集中电源疏散照明灯 2.规格:36V,LED光源,6W,A型 3.安装形式:墙壁/吊装</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装饰灯</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1.名称:A型集中电源疏散照明灯(壁装) 2.规格:36V,LED光源,6W,A型 3.安装形式:墙壁/吊装</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装饰灯</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1.名称:安全出口标志灯 2.规格:36V,LED光源,3W,A型 3.安装形式:墙壁</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装饰灯</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1.名称:方向标志灯  2.规格:36V,LED光源,3W,A型 3.安装形式:墙壁/吊装</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装饰灯</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1.名称:多信息复合标志灯 2.规格:36V,LED光源,3W,A型 3.安装形式:墙壁/吊装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装饰灯</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1.名称:楼层标志灯 2.规格:36V,LED光源,3W,A型 3.安装形式:墙壁</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装饰灯</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1.名称:疏散出口标志灯 2.规格:36V,LED光源,3W,A型 3.安装形式:墙壁</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1.名称:金属接线盒 2.规格:A86 3.安装方式:暗装</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防雷接地系统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端子箱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1.名称:等电位端子箱 2.符合设计及规范要求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端子箱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1.名称:总等电位端子箱 2.规格:400*200*120 3.安装方式:挂墙明装 4.符合设计及规范要求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均压环</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1.名称:基础接地网 2.材质:利用结构钢筋 3.符合设计及规范要求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避雷网</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1.名称:避雷网 2.材质:热镀锌圆钢 3.规格:φ10 4.安装形式:自行考虑</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避雷引下线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1.名称:避雷引下线 2.材质:利用柱内主筋 3.符合设计及规范要求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等电位端子箱、测试板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1.名称:接地测试箱 2.规格:100×100×6 3.符合设计及规范要求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接地母线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1.名称:接地母线 2.材质:热镀锌扁钢 3.规格:40×4 4.安装形式:符合设计及规范要求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接地母线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1.名称:接地母线 2.材质:热镀锌扁钢 3.规格:25×4 4.安装形式:符合设计及规范要求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2.材质:刚性塑料管 3.规格:PC25 4.敷设方式:暗配 5.含墙地面开槽修补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2.材质:刚性塑料管 3.规格:PC20 4.敷设方式:暗配 5.含墙地面开槽修补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1.名称:铜芯导线 2.配线形式:穿管敷设 3.规格:WDZ-BYJ-25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1.名称:铜芯导线 2.配线形式:穿管敷设 3.规格:WDZ-BYJ-16</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接地装置</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1.名称：接地网系统装置调试</w:t>
            </w:r>
            <w:r/>
          </w:p>
        </w:tc>
      </w:tr>
      <w:tr>
        <w:trPr>
          <w:jc w:val="center"/>
          <w:trHeight w:val="300"/>
        </w:trPr>
        <w:tc>
          <w:tcPr>
            <w:shd w:val="clear" w:color="000000" w:fill="92d050"/>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000000" w:fill="92d050"/>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此项费用为固定，不可竞争，在投标报价时不得更改</w:t>
            </w:r>
            <w:r/>
          </w:p>
        </w:tc>
      </w:tr>
      <w:tr>
        <w:trPr>
          <w:jc w:val="center"/>
          <w:trHeight w:val="300"/>
        </w:trPr>
        <w:tc>
          <w:tcPr>
            <w:gridSpan w:val="3"/>
            <w:shd w:val="clear" w:color="000000" w:fill="ff00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给排水部分</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给水系统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复合管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1.安装部位:埋地敷设 2.介质:冷水 3.材质、规格:衬塑钢管  DN65  4.连接形式:丝扣连接</w:t>
            </w:r>
            <w:r>
              <w:rPr>
                <w:rFonts w:hint="eastAsia" w:ascii="宋体" w:hAnsi="宋体" w:cs="宋体"/>
                <w:sz w:val="20"/>
                <w:szCs w:val="20"/>
              </w:rPr>
              <w:br/>
              <w:t xml:space="preserve">5.压力试验及吹、洗设计要求:满足设计要求 6.防腐要求:三油两布</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复合管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2.介质:冷水 3.材质、规格:衬塑钢管  DN65 4.连接形式:丝扣连接</w:t>
            </w:r>
            <w:r>
              <w:rPr>
                <w:rFonts w:hint="eastAsia" w:ascii="宋体" w:hAnsi="宋体" w:cs="宋体"/>
                <w:sz w:val="20"/>
                <w:szCs w:val="20"/>
              </w:rPr>
              <w:br/>
              <w:t xml:space="preserve">5.压力试验及吹、洗设计要求:满足设计要求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复合管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2.介质:冷水 3.材质、规格:衬塑钢管  DN50 4.连接形式:丝扣连接</w:t>
            </w:r>
            <w:r>
              <w:rPr>
                <w:rFonts w:hint="eastAsia" w:ascii="宋体" w:hAnsi="宋体" w:cs="宋体"/>
                <w:sz w:val="20"/>
                <w:szCs w:val="20"/>
              </w:rPr>
              <w:br/>
              <w:t xml:space="preserve">5.压力试验及吹、洗设计要求:满足设计要求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2.介质:冷水 3.材质、规格:PPR冷水管DN50 4.连接形式:热熔</w:t>
            </w:r>
            <w:r>
              <w:rPr>
                <w:rFonts w:hint="eastAsia" w:ascii="宋体" w:hAnsi="宋体" w:cs="宋体"/>
                <w:sz w:val="20"/>
                <w:szCs w:val="20"/>
              </w:rPr>
              <w:br/>
              <w:t xml:space="preserve">5.压力试验及吹、洗设计要求:满足设计要求 6.其他:含管件</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2.介质:冷水 3.材质、规格:PPR冷水管DN40 4.连接形式:热熔</w:t>
            </w:r>
            <w:r>
              <w:rPr>
                <w:rFonts w:hint="eastAsia" w:ascii="宋体" w:hAnsi="宋体" w:cs="宋体"/>
                <w:sz w:val="20"/>
                <w:szCs w:val="20"/>
              </w:rPr>
              <w:br/>
              <w:t xml:space="preserve">5.压力试验及吹、洗设计要求:满足设计要求 6.其他:含管件</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2.介质:冷水 3.材质、规格:PPR冷水管DN32 4.连接形式:热熔</w:t>
            </w:r>
            <w:r>
              <w:rPr>
                <w:rFonts w:hint="eastAsia" w:ascii="宋体" w:hAnsi="宋体" w:cs="宋体"/>
                <w:sz w:val="20"/>
                <w:szCs w:val="20"/>
              </w:rPr>
              <w:br/>
            </w:r>
            <w:r>
              <w:rPr>
                <w:rFonts w:hint="eastAsia" w:ascii="宋体" w:hAnsi="宋体" w:cs="宋体"/>
                <w:sz w:val="20"/>
                <w:szCs w:val="20"/>
              </w:rPr>
              <w:t xml:space="preserve">5.压力试验及吹、洗设计要求:满足设计要求 6.其他:含管件</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2.介质:冷水 3.材质、规格:PPR冷水管DN15 4.连接形式:热熔</w:t>
            </w:r>
            <w:r>
              <w:rPr>
                <w:rFonts w:hint="eastAsia" w:ascii="宋体" w:hAnsi="宋体" w:cs="宋体"/>
                <w:sz w:val="20"/>
                <w:szCs w:val="20"/>
              </w:rPr>
              <w:br/>
              <w:t xml:space="preserve">5.压力试验及吹、洗设计要求:满足设计要求 6.其他:含管件</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水表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1.安装部位（室内外）:室外 2.型号、规格:干式螺翼式  DN65 3.连接形式:丝扣连接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水表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1.安装部位（室内外）:室外 2.型号、规格:干式螺翼式  DN50 3.连接形式:丝扣连接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1.类型:闸阀 2.材质:不锈钢 3.规格、压力等级:DN65，0.6MPa 4.连接形式:丝扣连接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1.类型:闸阀 2.材质:不锈钢 3.规格、压力等级:DN50，0.6MPa 4.连接形式:丝扣连接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1.类型:球阀 2.材质:不锈钢 3.规格、压力等级:DN15，0.6MPa 4.连接形式:丝扣连接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1.类型:自动排气阀 2.规格、压力等级:DN15，0.6MPa 3.连接形式:丝扣连接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1.类型:法兰蝶阀2.规格、压力等级:DN50，0.6MPa 3.连接形式:法兰连接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1.类型:法兰过滤器 2.规格、压力等级:DN50，0.6MPa 3.连接形式:法兰连接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1.类型:遥控浮球阀 2.规格、压力等级:DN50，0.6MPa 3.连接形式:法兰连接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砌筑井</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1.名称:水表井</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管道支架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1.材质:碳钢 2.管架形式:一般管架 3.满足设计及规范要求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金属结构刷油</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1.除锈级别:轻锈 2.涂刷遍数、漆膜厚度:樟丹二道，灰色调和漆二道 3.满足设计及规范要求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挖沟槽</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1.土壤类别:三类土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回填方</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1.密实度要求:分层夯填（碾压），压实系数满足设计要求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1.名称、类型:刚性防水套管 2.规格:DN80 3.符合设计及规范要求 </w:t>
            </w:r>
            <w:r>
              <w:rPr>
                <w:rFonts w:hint="eastAsia" w:ascii="宋体" w:hAnsi="宋体" w:cs="宋体"/>
                <w:sz w:val="20"/>
                <w:szCs w:val="20"/>
              </w:rPr>
              <w:br/>
              <w:t xml:space="preserve">4.含制安、防腐、封堵等工作内容</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1.名称、类型:过墙过楼板钢套管制作、安装 2.规格:DN80 3.符合设计及规范要求</w:t>
            </w:r>
            <w:r>
              <w:rPr>
                <w:rFonts w:hint="eastAsia" w:ascii="宋体" w:hAnsi="宋体" w:cs="宋体"/>
                <w:sz w:val="20"/>
                <w:szCs w:val="20"/>
              </w:rPr>
              <w:br/>
              <w:t xml:space="preserve">4.含制安、防腐、封堵等工作内容</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凿（压）槽</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1.名称:刨沟槽（含墙面恢复） 2.规格:DN32 3.类型:混凝土或砌块墙 </w:t>
            </w:r>
            <w:r>
              <w:rPr>
                <w:rFonts w:hint="eastAsia" w:ascii="宋体" w:hAnsi="宋体" w:cs="宋体"/>
                <w:sz w:val="20"/>
                <w:szCs w:val="20"/>
              </w:rPr>
              <w:br/>
              <w:t xml:space="preserve">4.满足设计及规范要求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凿（压）槽</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1.名称:刨沟槽（含墙面恢复） 2.规格:DN15 3.类型:混凝土或砌块墙 4.满足设计及规范要求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管道绝热</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1.绝热材料品种:难燃橡塑管壳（B1级） 2.绝热厚度:50mm </w:t>
            </w:r>
            <w:r>
              <w:rPr>
                <w:rFonts w:hint="eastAsia" w:ascii="宋体" w:hAnsi="宋体" w:cs="宋体"/>
                <w:sz w:val="20"/>
                <w:szCs w:val="20"/>
              </w:rPr>
              <w:br/>
              <w:t xml:space="preserve">3.管道外径:φ57以下 4.满足设计及规范要求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防潮层、保护层</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1.材料:铝板 2.厚度:0.5mm 3.层数:单层 4.满足设计及规范要求</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污废水系统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2.介质:污废水 3.材质、规格:UPVC排水管De160 4.连接形式:粘接</w:t>
            </w:r>
            <w:r>
              <w:rPr>
                <w:rFonts w:hint="eastAsia" w:ascii="宋体" w:hAnsi="宋体" w:cs="宋体"/>
                <w:sz w:val="20"/>
                <w:szCs w:val="20"/>
              </w:rPr>
              <w:br/>
              <w:t xml:space="preserve">5.其他:符合设计及规范要求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2.介质:污废水 3.材质、规格:UPVC排水管De110 4.连接形式:粘接</w:t>
            </w:r>
            <w:r>
              <w:rPr>
                <w:rFonts w:hint="eastAsia" w:ascii="宋体" w:hAnsi="宋体" w:cs="宋体"/>
                <w:sz w:val="20"/>
                <w:szCs w:val="20"/>
              </w:rPr>
              <w:br/>
              <w:t xml:space="preserve">5.其他:符合设计及规范要求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2.介质:污废水 3.材质、规格:UPVC排水管De50 4.连接形式:粘接</w:t>
            </w:r>
            <w:r>
              <w:rPr>
                <w:rFonts w:hint="eastAsia" w:ascii="宋体" w:hAnsi="宋体" w:cs="宋体"/>
                <w:sz w:val="20"/>
                <w:szCs w:val="20"/>
              </w:rPr>
              <w:br/>
              <w:t xml:space="preserve">5.其他:符合设计及规范要求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挖沟槽</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1.土壤类别:三类土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回填方</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1.密实度要求:分层夯填（碾压），压实系数满足设计要求</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卫生洁具</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洗脸盆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1.材质:陶瓷 2.规格、类型:台式洗脸盆（按压式水龙头） </w:t>
            </w:r>
            <w:r>
              <w:rPr>
                <w:rFonts w:hint="eastAsia" w:ascii="宋体" w:hAnsi="宋体" w:cs="宋体"/>
                <w:sz w:val="20"/>
                <w:szCs w:val="20"/>
              </w:rPr>
              <w:br/>
              <w:t xml:space="preserve">3.附件:含水龙头、角阀、下水配件等 4.安装:自行考虑</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大便器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1.材质:陶瓷 2.规格、类型:蹲式大便器（延时冲洗阀） 3.安装:自行考虑</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小便器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1.材质:陶瓷 2.规格、类型:壁挂式小便器 </w:t>
            </w:r>
            <w:r>
              <w:rPr>
                <w:rFonts w:hint="eastAsia" w:ascii="宋体" w:hAnsi="宋体" w:cs="宋体"/>
                <w:sz w:val="20"/>
                <w:szCs w:val="20"/>
              </w:rPr>
              <w:br/>
              <w:t xml:space="preserve">3.附件:含角阀、进出水配件、冲水器等 4.安装:自行考虑</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给、排水附（配）件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1.名称:地漏 2.规格：DN50 3.满足设计及规范要求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给、排水附（配）件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1.名称:网框式地漏 2.规格：DN150 3.满足设计及规范要求</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雨水系统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2.介质:雨水 3.材质、规格:HDPE排水管De110 4.连接形式:热熔</w:t>
            </w:r>
            <w:r>
              <w:rPr>
                <w:rFonts w:hint="eastAsia" w:ascii="宋体" w:hAnsi="宋体" w:cs="宋体"/>
                <w:sz w:val="20"/>
                <w:szCs w:val="20"/>
              </w:rPr>
              <w:br/>
              <w:t xml:space="preserve">5.其他:符合设计及规范要求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87型雨水斗</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1.名称:87型雨水斗 2.规格:DN100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侧排雨水斗</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1.名称:侧排雨水斗 2.规格:DN100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挖沟槽</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1.土壤类别:三类土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回填方</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1.密实度要求:分层夯填（碾压），压实系数满足设计要求</w:t>
            </w:r>
            <w:r/>
          </w:p>
        </w:tc>
      </w:tr>
      <w:tr>
        <w:trPr>
          <w:jc w:val="center"/>
          <w:trHeight w:val="300"/>
        </w:trPr>
        <w:tc>
          <w:tcPr>
            <w:shd w:val="clear" w:color="000000" w:fill="92d050"/>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000000" w:fill="92d050"/>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此项费用为固定，不可竞争，在投标报价时不得更改</w:t>
            </w:r>
            <w:r/>
          </w:p>
        </w:tc>
      </w:tr>
      <w:tr>
        <w:trPr>
          <w:jc w:val="center"/>
          <w:trHeight w:val="300"/>
        </w:trPr>
        <w:tc>
          <w:tcPr>
            <w:gridSpan w:val="3"/>
            <w:shd w:val="clear" w:color="000000" w:fill="ff00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暖通部分</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通风系统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1.名称:排烟风机 HTF-1-12F 2.规格:L=85000m3/h,H=600Pa 3.功率:22kw  4.重量:572Kg</w:t>
            </w:r>
            <w:r>
              <w:rPr>
                <w:rFonts w:hint="eastAsia" w:ascii="宋体" w:hAnsi="宋体" w:cs="宋体"/>
                <w:sz w:val="20"/>
                <w:szCs w:val="20"/>
              </w:rPr>
              <w:br/>
              <w:t xml:space="preserve">5.单机试运转要求及检查接线:符合规范要求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1.名称:消防补风风风机 2.型号:HL3-2A-12 3.规格:L=64000m3/h,H=700Pa </w:t>
            </w:r>
            <w:r>
              <w:rPr>
                <w:rFonts w:hint="eastAsia" w:ascii="宋体" w:hAnsi="宋体" w:cs="宋体"/>
                <w:sz w:val="20"/>
                <w:szCs w:val="20"/>
              </w:rPr>
              <w:br/>
              <w:t xml:space="preserve">4.质量:G=635Kg 5.功率:N=22kW 6.单机试运转要求:符合规范要求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1.名称:配电房平时排风风机 2.型号:HTFC-1-10A 3.规格:L=2000m3/h,H=400Pa，,G=110Kg</w:t>
            </w:r>
            <w:r>
              <w:rPr>
                <w:rFonts w:hint="eastAsia" w:ascii="宋体" w:hAnsi="宋体" w:cs="宋体"/>
                <w:sz w:val="20"/>
                <w:szCs w:val="20"/>
              </w:rPr>
              <w:br/>
              <w:t xml:space="preserve">4.质量:G=110Kg 5.功率:N=1.50KW 6.单机试运转要求:符合规范要求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1.名称:车间平时排风风机 2.型号:HTFC-I-20A 3.规格:  L=25000m3/h,H=400Pa</w:t>
            </w:r>
            <w:r>
              <w:rPr>
                <w:rFonts w:hint="eastAsia" w:ascii="宋体" w:hAnsi="宋体" w:cs="宋体"/>
                <w:sz w:val="20"/>
                <w:szCs w:val="20"/>
              </w:rPr>
              <w:br/>
              <w:t xml:space="preserve">4.质量:G=380Kg 5.功率:N=11KW 6.单机试运转要求:符合规范要求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1.名称:车间平时排风风机 2.型号:HTFC-I-15A 3.规格:  L=10000m3/h,H=400Pa </w:t>
            </w:r>
            <w:r>
              <w:rPr>
                <w:rFonts w:hint="eastAsia" w:ascii="宋体" w:hAnsi="宋体" w:cs="宋体"/>
                <w:sz w:val="20"/>
                <w:szCs w:val="20"/>
              </w:rPr>
              <w:br/>
              <w:t xml:space="preserve">4.质量:G=190Kg 5.功率:N=4KW 6.单机试运转要求:符合规范要求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1.名称:设备机房事故兼平时排风风机  2.型号:HTFC-II-No.20A 防爆</w:t>
            </w:r>
            <w:r>
              <w:rPr>
                <w:rFonts w:hint="eastAsia" w:ascii="宋体" w:hAnsi="宋体" w:cs="宋体"/>
                <w:sz w:val="20"/>
                <w:szCs w:val="20"/>
              </w:rPr>
              <w:br/>
              <w:t xml:space="preserve">3.规格:事故L=28000m3/h,H=500Pa,N=15.5kW    平时L=14000m3/h,H=400Pa,N=5.1kW</w:t>
            </w:r>
            <w:r>
              <w:rPr>
                <w:rFonts w:hint="eastAsia" w:ascii="宋体" w:hAnsi="宋体" w:cs="宋体"/>
                <w:sz w:val="20"/>
                <w:szCs w:val="20"/>
              </w:rPr>
              <w:br/>
              <w:t xml:space="preserve">4.单机试运转要求:符合规范要求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1.名称:车间补风风机 2.型号:HL3-2A-7 3.规格:L=18000m3/h,H=350Pa </w:t>
            </w:r>
            <w:r>
              <w:rPr>
                <w:rFonts w:hint="eastAsia" w:ascii="宋体" w:hAnsi="宋体" w:cs="宋体"/>
                <w:sz w:val="20"/>
                <w:szCs w:val="20"/>
              </w:rPr>
              <w:br/>
              <w:t xml:space="preserve">4.质量:G=104Kg 5.功率:N=3KW </w:t>
            </w:r>
            <w:r>
              <w:rPr>
                <w:rFonts w:hint="eastAsia" w:ascii="宋体" w:hAnsi="宋体" w:cs="宋体"/>
                <w:sz w:val="20"/>
                <w:szCs w:val="20"/>
              </w:rPr>
              <w:br/>
              <w:t xml:space="preserve">6.单机试运转要求:符合规范要求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其他风机</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1.名称:吸顶式通风器（出风口带密闭止回阀(防逆流阀) </w:t>
            </w:r>
            <w:r>
              <w:rPr>
                <w:rFonts w:hint="eastAsia" w:ascii="宋体" w:hAnsi="宋体" w:cs="宋体"/>
                <w:sz w:val="20"/>
                <w:szCs w:val="20"/>
              </w:rPr>
              <w:br/>
              <w:t xml:space="preserve">2.规格:L=265m3/h H=210Pa(静压) N=36W</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设备支架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1.材质 型钢 2.形式 支吊架</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金属结构刷油</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1.除锈级别:轻微 2.油漆品种:两遍防锈漆，两遍调和漆</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消声器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 消音静压箱 2.规格 6000×700×1450(h) 3.材质 钢板 4.支架形式、材质 型钢支架、除锈、刷漆</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消声器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 消音静压箱 2.规格  4000×700×1000(h) 3.材质 钢板 4.支架形式、材质 型钢支架、除锈、刷漆</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消声器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1.名称:消音器 2.规格:1250*630 3.材质:钢质 4.支架形式、材质:型钢支架、除锈、刷漆</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消声器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1.名称:消音器 2.规格:1000*400 3.材质:钢质 4.支架形式、材质:型钢支架、除锈、刷漆</w:t>
            </w:r>
            <w:r/>
          </w:p>
        </w:tc>
      </w:tr>
      <w:tr>
        <w:trPr>
          <w:jc w:val="center"/>
          <w:trHeight w:val="1215"/>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消声器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1.名称:消音器 2.规格:800*630 3.材质:钢质 4.支架形式、材质:型钢支架、除锈、刷漆</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消声器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1.名称:消音器 2.规格:500*200 3.材质:钢质 4.支架形式、材质:型钢支架、除锈、刷漆</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1.名称:镀锌风管 2.形状:矩形 3.规格:周长800内 4.板材厚度:0.5</w:t>
            </w:r>
            <w:r>
              <w:rPr>
                <w:rFonts w:hint="eastAsia" w:ascii="宋体" w:hAnsi="宋体" w:cs="宋体"/>
                <w:sz w:val="20"/>
                <w:szCs w:val="20"/>
              </w:rPr>
              <w:br/>
              <w:t xml:space="preserve">5.接口形式:咬口连接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1.名称:镀锌风管 2.形状:矩形 3.规格:周长2000内 4.板材厚度:0.6</w:t>
            </w:r>
            <w:r>
              <w:rPr>
                <w:rFonts w:hint="eastAsia" w:ascii="宋体" w:hAnsi="宋体" w:cs="宋体"/>
                <w:sz w:val="20"/>
                <w:szCs w:val="20"/>
              </w:rPr>
              <w:br/>
              <w:t xml:space="preserve">5.接口形式:咬口连接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1.名称:镀锌风管 2.形状:矩形 3.规格:周长2000内 4.板材厚度:0.75</w:t>
            </w:r>
            <w:r>
              <w:rPr>
                <w:rFonts w:hint="eastAsia" w:ascii="宋体" w:hAnsi="宋体" w:cs="宋体"/>
                <w:sz w:val="20"/>
                <w:szCs w:val="20"/>
              </w:rPr>
              <w:br/>
              <w:t xml:space="preserve">5.接口形式:咬口连接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1.名称:镀锌风管 2.形状:矩形 3.规格:周长4000内 4.板材厚度:0.75</w:t>
            </w:r>
            <w:r>
              <w:rPr>
                <w:rFonts w:hint="eastAsia" w:ascii="宋体" w:hAnsi="宋体" w:cs="宋体"/>
                <w:sz w:val="20"/>
                <w:szCs w:val="20"/>
              </w:rPr>
              <w:br/>
              <w:t xml:space="preserve">5.接口形式:咬口连接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1.名称:镀锌风管 2.形状:矩形 3.规格:周长4000内 4.板材厚度:1.0</w:t>
            </w:r>
            <w:r>
              <w:rPr>
                <w:rFonts w:hint="eastAsia" w:ascii="宋体" w:hAnsi="宋体" w:cs="宋体"/>
                <w:sz w:val="20"/>
                <w:szCs w:val="20"/>
              </w:rPr>
              <w:br/>
              <w:t xml:space="preserve">5.接口形式:咬口连接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1.名称:镀锌风管 2.形状:矩形 3.规格:周长大于4000 4.板材厚度:1.0</w:t>
            </w:r>
            <w:r>
              <w:rPr>
                <w:rFonts w:hint="eastAsia" w:ascii="宋体" w:hAnsi="宋体" w:cs="宋体"/>
                <w:sz w:val="20"/>
                <w:szCs w:val="20"/>
              </w:rPr>
              <w:br/>
              <w:t xml:space="preserve">5.接口形式:咬口连接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1.名称:镀锌风管 2.形状:矩形 3.规格:周长大于4000 4.板材厚度:1.2 </w:t>
            </w:r>
            <w:r>
              <w:rPr>
                <w:rFonts w:hint="eastAsia" w:ascii="宋体" w:hAnsi="宋体" w:cs="宋体"/>
                <w:sz w:val="20"/>
                <w:szCs w:val="20"/>
              </w:rPr>
              <w:br/>
              <w:t xml:space="preserve">5.接口形式:咬口连接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1.名称:镀锌风管 2.形状:矩形 3.规格:周长大于4000 4.板材厚度:1.5</w:t>
            </w:r>
            <w:r>
              <w:rPr>
                <w:rFonts w:hint="eastAsia" w:ascii="宋体" w:hAnsi="宋体" w:cs="宋体"/>
                <w:sz w:val="20"/>
                <w:szCs w:val="20"/>
              </w:rPr>
              <w:br/>
              <w:t xml:space="preserve">5.接口形式:咬口连接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柔性软风管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1.名称:柔性风管 2.规格:随管道</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弯头导流叶片</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1.名称:弯头导流叶片 2.材质:镀锌钢板</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1.名称:风管穿墙套管 2.形状:矩形 3.规格:周长4000内 4.板材厚度:2mm以内</w:t>
            </w:r>
            <w:r>
              <w:rPr>
                <w:rFonts w:hint="eastAsia" w:ascii="宋体" w:hAnsi="宋体" w:cs="宋体"/>
                <w:sz w:val="20"/>
                <w:szCs w:val="20"/>
              </w:rPr>
              <w:br/>
              <w:t xml:space="preserve">5.接口形式:焊接 6.防火封堵:自行考虑</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耐火极限风管保护</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1.名称:耐火极限风管保护 2.材质:采用50mm岩棉+8mm硅酸钙板，外包龙骨固定</w:t>
            </w:r>
            <w:r>
              <w:rPr>
                <w:rFonts w:hint="eastAsia" w:ascii="宋体" w:hAnsi="宋体" w:cs="宋体"/>
                <w:sz w:val="20"/>
                <w:szCs w:val="20"/>
              </w:rPr>
              <w:br/>
              <w:t xml:space="preserve">3.形状:矩形</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1.名称:电动多叶调节阀 2.规格:1250×630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1.名称:排烟防火阀 280° 2.型号:PYH </w:t>
            </w:r>
            <w:r>
              <w:rPr>
                <w:rFonts w:hint="eastAsia" w:ascii="宋体" w:hAnsi="宋体" w:cs="宋体"/>
                <w:sz w:val="20"/>
                <w:szCs w:val="20"/>
              </w:rPr>
              <w:br/>
              <w:t xml:space="preserve">3.规格:2500×1250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1.名称:70°防火阀 2.规格:2000×800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1.名称:70°防火阀 2.规格:1250×630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1.名称:防火阀配套执行机构 2.类型:钢质</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1.名称:防火百叶风口 2.规格:1600×2000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1.名称:单层百叶风口 2.规格:2000×500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1.名称:单层百叶风口 2.规格:1600×800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1.名称:单层百叶风口 2.规格:1250×630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1.名称:单层百叶风口 2.规格:800×630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1.名称:单层百叶风口 2.规格:800×500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1.名称:单层百叶风口 2.规格:500×320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1.名称:防雨百叶风口 2.规格:2500×630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1.名称:防雨百叶风口 2.规格:2000×800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1.名称:防雨百叶风口 2.规格:1600×500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1.名称:防雨百叶风口 2.规格:800×250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管道刷油</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1.除锈级别:轻微 2.油漆品种:红丹二道，色漆二道</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通风检测、调试</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通风检测、调试。</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抗震支架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满足使用要求，以后续深化设计为准，此项为固定费用20000元，不可竞争，在投标报价时不得更改</w:t>
            </w:r>
            <w:r/>
          </w:p>
        </w:tc>
      </w:tr>
      <w:tr>
        <w:trPr>
          <w:jc w:val="center"/>
          <w:trHeight w:val="300"/>
        </w:trPr>
        <w:tc>
          <w:tcPr>
            <w:shd w:val="clear" w:color="000000" w:fill="92d050"/>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000000" w:fill="92d050"/>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此项费用为固定，不可竞争，在投标报价时不得更改</w:t>
            </w:r>
            <w:r/>
          </w:p>
        </w:tc>
      </w:tr>
      <w:tr>
        <w:trPr>
          <w:jc w:val="center"/>
          <w:trHeight w:val="300"/>
        </w:trPr>
        <w:tc>
          <w:tcPr>
            <w:gridSpan w:val="3"/>
            <w:shd w:val="clear" w:color="000000" w:fill="ff00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消防部分</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火灾自动报警系统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火灾报警系统控制主机</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1.名称:消控室控制设备 2.规格、线制:总线制</w:t>
            </w:r>
            <w:r>
              <w:rPr>
                <w:rFonts w:hint="eastAsia" w:ascii="宋体" w:hAnsi="宋体" w:cs="宋体"/>
                <w:sz w:val="20"/>
                <w:szCs w:val="20"/>
              </w:rPr>
              <w:br/>
              <w:t xml:space="preserve">3.包含:火灾报警控制器（联动型主机）、消防联动控制器手动控制盘、消防应急广播总机、消防电话总机、消防电源及备用电源、LED装置等 4.其他:满足设计及规范要求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火灾报警控制微机(CRT)</w:t>
            </w:r>
            <w:r/>
          </w:p>
        </w:tc>
        <w:tc>
          <w:tcPr>
            <w:shd w:val="clear" w:color="auto" w:fill="auto"/>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1.名称:火灾报警控制微机(CRT)</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火灾显示板（层显）</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1.名称:火灾显示盘 2.安装部位:墙壁明装，下沿距地1.5m</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模块（模块箱）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1.名称:短路隔离器</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模块（模块箱）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1.名称:输入模块</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模块（模块箱）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1.名称:输出/输入模块</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消防广播（扬声器）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1.名称:消防广播音箱 2.安装方式:吸顶安装</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声光报警器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1.名称:声光报警器 2.安装方式:墙壁明装，下沿距地2.3m</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消防报警电话插孔（电话）</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1.名称:带电话插孔手动报警按钮 </w:t>
            </w:r>
            <w:r>
              <w:rPr>
                <w:rFonts w:hint="eastAsia" w:ascii="宋体" w:hAnsi="宋体" w:cs="宋体"/>
                <w:sz w:val="20"/>
                <w:szCs w:val="20"/>
              </w:rPr>
              <w:br/>
              <w:t xml:space="preserve">2.安装方式:墙壁明装，下沿距地1.3m</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点型探测器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1.名称:感烟探测器 2.安装方式:吸顶</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点型探测器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1.名称:感温探测器 2.安装方式:吸顶</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按钮</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1.名称:消火栓按钮</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消防报警电话插孔（电话）</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1.名称:消防电话分机 2.安装方式:墙壁明装，下沿距地1.3m</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消防报警电话插孔（电话）</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1.名称:消防电话分机（119外线电话）</w:t>
            </w:r>
            <w:r>
              <w:rPr>
                <w:rFonts w:hint="eastAsia" w:ascii="宋体" w:hAnsi="宋体" w:cs="宋体"/>
                <w:sz w:val="20"/>
                <w:szCs w:val="20"/>
              </w:rPr>
              <w:br/>
              <w:t xml:space="preserve">2.安装方式:墙壁明装，下沿距地1.3m</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端子箱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1.名称:火警楼层接线端子箱 2.安装部位:底距地1.5m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模块（模块箱）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1.名称:火警模块箱</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1.名称:金属接线盒 2.规格:A86 3.安装方式:暗装</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桥架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1.名称:火灾报警金属桥架（含盖板、防火隔板） 2.规格:200*100</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2.材质:热浸镀锌厚壁钢管 3.规格:DN20 </w:t>
            </w:r>
            <w:r>
              <w:rPr>
                <w:rFonts w:hint="eastAsia" w:ascii="宋体" w:hAnsi="宋体" w:cs="宋体"/>
                <w:sz w:val="20"/>
                <w:szCs w:val="20"/>
              </w:rPr>
              <w:br/>
              <w:t xml:space="preserve">4.敷设方式:暗配 5.含墙地面开槽修补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控制电缆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1.名称:控制电缆 2.规格:ZRNH-KVV-2×1.5 3.符合设计及规范要求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1.名称:铜芯导线 2.配线形式:桥架/穿管敷设 3.规格:ZRNH-BV4</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1.名称:铜芯导线 2.配线形式:桥架/穿管敷设 3.规格:ZRNH-BV2.5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1.名称:铜芯双绞线 2.配线形式:桥架/穿管敷设 3.规格:ZRNH-RVS-2×1.5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1.名称:铜芯双绞线 2.配线形式:桥架/穿管敷设 3.规格:ZRNH-RVSP-2×1.5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1.名称:铜芯线 2.配线形式:桥架/穿管敷设 3.规格:NH-RVS-4X1.5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铁构件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1.名称:支吊架 2.规格:综合 3.其他:含防腐，其他满足设计要求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防火堵洞</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1.名称:防火堵洞 2.方式:自行考虑 3.满足设计及规范要求.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防火控制装置调试</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1.名称:防火阀调试 2.类型:（70℃/280℃）常开型、电控排烟阀、正压送风口等</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自动报警系统调试</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1.名称:消防通信分机及插孔调试 2.满足设计及规范要求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自动报警系统调试</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1.名称:广播音箱及喇叭调试 2.满足设计及规范要求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自动报警系统调试</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1.名称:自动报警系统调试 2.线制:总线</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应急照明集中控制系统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联动控制箱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1.名称:应急照明控制器 </w:t>
            </w:r>
            <w:r>
              <w:rPr>
                <w:rFonts w:hint="eastAsia" w:ascii="宋体" w:hAnsi="宋体" w:cs="宋体"/>
                <w:sz w:val="20"/>
                <w:szCs w:val="20"/>
              </w:rPr>
              <w:br/>
              <w:t xml:space="preserve">2.规格:远程监控、消防联动、火灾信息中心接入、人机操作、故障查询等</w:t>
            </w:r>
            <w:r>
              <w:rPr>
                <w:rFonts w:hint="eastAsia" w:ascii="宋体" w:hAnsi="宋体" w:cs="宋体"/>
                <w:sz w:val="20"/>
                <w:szCs w:val="20"/>
              </w:rPr>
              <w:br/>
              <w:t xml:space="preserve">3.安装方式:落地安装 4.其他:满足设计及规范要求</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1.名称:铜芯双绞线 2.配线形式:桥架/穿管敷设 3.规格:NH-RVSP-2×1.5</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消防电源监控系统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联动控制箱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1.名称:消防电源监控主机</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2.材质:热浸镀锌厚壁钢管 3.规格:DN20 </w:t>
            </w:r>
            <w:r>
              <w:rPr>
                <w:rFonts w:hint="eastAsia" w:ascii="宋体" w:hAnsi="宋体" w:cs="宋体"/>
                <w:sz w:val="20"/>
                <w:szCs w:val="20"/>
              </w:rPr>
              <w:br/>
              <w:t xml:space="preserve">4.敷设方式:暗配 5.含墙地面开槽修补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1.名称:铜芯双绞线 2.配线形式:穿管敷设 3.规格:ZRNH-RVS-2X2.5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1.名称:铜芯导线 2.配线形式:桥架/穿管敷设 3.规格:ZRNH-BV2.5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1.名称:金属接线盒 2.规格:A86 3.安装方式:暗装</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自动报警系统调试</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1.名称:消防电源监控系统调试</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电气火灾监控系统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联动控制箱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1.名称:电气火灾监控主机</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2.材质:热浸镀锌厚壁钢管 3.规格:DN20 </w:t>
            </w:r>
            <w:r>
              <w:rPr>
                <w:rFonts w:hint="eastAsia" w:ascii="宋体" w:hAnsi="宋体" w:cs="宋体"/>
                <w:sz w:val="20"/>
                <w:szCs w:val="20"/>
              </w:rPr>
              <w:br/>
              <w:t xml:space="preserve">4.敷设方式:暗配 5.含墙地面开槽修补</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1.名称:铜芯双绞线 2.配线形式:穿管敷设 3.规格:ZRNH-RVS-2X2.5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1.名称:铜芯导线 2.配线形式:桥架/穿管敷设 3.规格:ZRNH-BV2.5</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1.名称:金属接线盒 2.规格:A86 3.安装方式:暗装 </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自动报警系统调试</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1.名称:电气火灾监控系统调试</w:t>
            </w:r>
            <w:r/>
          </w:p>
        </w:tc>
      </w:tr>
      <w:tr>
        <w:trPr>
          <w:jc w:val="center"/>
          <w:trHeight w:val="30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防火门监控系统</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联动控制箱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1.名称:防火门监控主机</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模块（模块箱）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1.名称:常开防火门监控模块</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模块（模块箱）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1.名称:常闭防火门监控模块</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出入口执行机构设备</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1.名称:门磁开关</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1.名称:金属接线盒 2.规格:A86 3.安装方式:暗装</w:t>
            </w:r>
            <w:r/>
          </w:p>
        </w:tc>
      </w:tr>
      <w:tr>
        <w:trPr>
          <w:jc w:val="center"/>
          <w:trHeight w:val="825"/>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2.材质:热浸镀锌厚壁钢管 </w:t>
            </w:r>
            <w:r>
              <w:rPr>
                <w:rFonts w:hint="eastAsia" w:ascii="宋体" w:hAnsi="宋体" w:cs="宋体"/>
                <w:sz w:val="20"/>
                <w:szCs w:val="20"/>
              </w:rPr>
              <w:br/>
              <w:t xml:space="preserve">3.规格:DN20 4.敷设方式:暗配 5.含墙地面开槽修补</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2.材质:金属软管 3.规格:20 4.敷设方式:暗配</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1.名称:铜芯线 2.配线形式:桥架/穿管敷设 3.规格:NH-RVS-4X1.5</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防火控制装置调试</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1.名称:电动防火门调试</w:t>
            </w:r>
            <w:r/>
          </w:p>
        </w:tc>
      </w:tr>
      <w:tr>
        <w:trPr>
          <w:jc w:val="center"/>
          <w:trHeight w:val="27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液位显示系统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远程控制箱（柜）</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1.名称:液位显示装置</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2.材质:热浸镀锌厚壁钢管 3.规格:DN20 </w:t>
            </w:r>
            <w:r>
              <w:rPr>
                <w:rFonts w:hint="eastAsia" w:ascii="宋体" w:hAnsi="宋体" w:cs="宋体"/>
                <w:sz w:val="20"/>
                <w:szCs w:val="20"/>
              </w:rPr>
              <w:br/>
              <w:t xml:space="preserve">4.敷设方式:暗配 5.含墙地面开槽修补</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控制电缆</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1.名称:控制电缆 2.规格:ZRNH-KYJY-4x2.5  3.敷设方式、部位:穿管</w:t>
            </w:r>
            <w:r>
              <w:rPr>
                <w:rFonts w:hint="eastAsia" w:ascii="宋体" w:hAnsi="宋体" w:cs="宋体"/>
                <w:sz w:val="20"/>
                <w:szCs w:val="20"/>
              </w:rPr>
              <w:t xml:space="preserve">敷设</w:t>
            </w:r>
            <w:r/>
          </w:p>
        </w:tc>
      </w:tr>
      <w:tr>
        <w:trPr>
          <w:jc w:val="center"/>
          <w:trHeight w:val="270"/>
        </w:trPr>
        <w:tc>
          <w:tcPr>
            <w:gridSpan w:val="3"/>
            <w:shd w:val="clear" w:color="ffffff" w:fill="ffff00"/>
            <w:tcBorders>
              <w:top w:val="single" w:color="auto" w:sz="4" w:space="0"/>
              <w:left w:val="single" w:color="auto" w:sz="4" w:space="0"/>
              <w:bottom w:val="single" w:color="auto" w:sz="4" w:space="0"/>
              <w:right w:val="single" w:color="auto" w:sz="4" w:space="0"/>
            </w:tcBorders>
            <w:tcW w:w="1013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消火栓系统</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室内消火栓箱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1.名称:乙型单栓带灭火器箱组合式消防柜,箱体尺寸:1800x700x240,型号：SG24E65Z-J</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灭火器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1.形式:手提式磷酸铵盐干粉灭火器</w:t>
            </w:r>
            <w:r>
              <w:rPr>
                <w:rFonts w:hint="eastAsia" w:ascii="宋体" w:hAnsi="宋体" w:cs="宋体"/>
                <w:sz w:val="20"/>
                <w:szCs w:val="20"/>
              </w:rPr>
              <w:br/>
              <w:t xml:space="preserve">2.规格、型号:MF/ABC5，一组含灭火器箱1个，灭火器2具</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消火栓钢管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2.材质、规格:热浸镀锌钢管DN100 3.连接形式:沟槽</w:t>
            </w:r>
            <w:r>
              <w:rPr>
                <w:rFonts w:hint="eastAsia" w:ascii="宋体" w:hAnsi="宋体" w:cs="宋体"/>
                <w:sz w:val="20"/>
                <w:szCs w:val="20"/>
              </w:rPr>
              <w:br/>
              <w:t xml:space="preserve">4.压力试验及吹、洗设计要求:满足设计要求 5.其他:含管件、沟槽卡箍及连接附件</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消火栓钢管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2.材质、规格:热浸镀锌钢管DN65 3.连接形式:沟槽</w:t>
            </w:r>
            <w:r>
              <w:rPr>
                <w:rFonts w:hint="eastAsia" w:ascii="宋体" w:hAnsi="宋体" w:cs="宋体"/>
                <w:sz w:val="20"/>
                <w:szCs w:val="20"/>
              </w:rPr>
              <w:br/>
              <w:t xml:space="preserve">4.压力试验及吹、洗设计要求:满足设计要求 5.其他:含管件、沟槽卡箍及连接附件</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1.类型:带锁定装置蝶阀 2.材质:球墨铸铁 3.规格、压力等级:DN100，1.6MPa</w:t>
            </w:r>
            <w:r>
              <w:rPr>
                <w:rFonts w:hint="eastAsia" w:ascii="宋体" w:hAnsi="宋体" w:cs="宋体"/>
                <w:sz w:val="20"/>
                <w:szCs w:val="20"/>
              </w:rPr>
              <w:br/>
              <w:t xml:space="preserve">4.连接形式:沟槽 5.符合设计及规范要求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1.类型:明杆闸阀 2.材质:球墨铸铁 3.规格、压力等级:DN100，1.6MPa</w:t>
            </w:r>
            <w:r>
              <w:rPr>
                <w:rFonts w:hint="eastAsia" w:ascii="宋体" w:hAnsi="宋体" w:cs="宋体"/>
                <w:sz w:val="20"/>
                <w:szCs w:val="20"/>
              </w:rPr>
              <w:br/>
              <w:t xml:space="preserve">4.连接形式:沟槽 5.符合设计及规范要求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1.类型:自动排气阀 2.材质:满足设计要求 3.规格、压力等级:DN20</w:t>
            </w:r>
            <w:r>
              <w:rPr>
                <w:rFonts w:hint="eastAsia" w:ascii="宋体" w:hAnsi="宋体" w:cs="宋体"/>
                <w:sz w:val="20"/>
                <w:szCs w:val="20"/>
              </w:rPr>
              <w:br/>
              <w:t xml:space="preserve">4.连接形式:螺纹 5.符合设计及规范要求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1.类型:截止阀 2.材质:满足设计要求 3.规格、压力等级:DN20</w:t>
            </w:r>
            <w:r>
              <w:rPr>
                <w:rFonts w:hint="eastAsia" w:ascii="宋体" w:hAnsi="宋体" w:cs="宋体"/>
                <w:sz w:val="20"/>
                <w:szCs w:val="20"/>
              </w:rPr>
              <w:br/>
              <w:t xml:space="preserve">4.连接形式:螺纹 5.符合设计及规范要求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1.名称:流量开关 2.规格、压力等级:DN100 3.参数:启泵流量值：Q&gt;1.5L/s</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1.名称、类型:刚性防水套管 2.规格:DN100 </w:t>
            </w:r>
            <w:r>
              <w:rPr>
                <w:rFonts w:hint="eastAsia" w:ascii="宋体" w:hAnsi="宋体" w:cs="宋体"/>
                <w:sz w:val="20"/>
                <w:szCs w:val="20"/>
              </w:rPr>
              <w:br/>
              <w:t xml:space="preserve">3.符合设计及规范要求 4.含制安、防腐、封堵等工作内容</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1.名称、类型:过墙过楼板钢套管制作、安装 2.规格:DN150 </w:t>
            </w:r>
            <w:r>
              <w:rPr>
                <w:rFonts w:hint="eastAsia" w:ascii="宋体" w:hAnsi="宋体" w:cs="宋体"/>
                <w:sz w:val="20"/>
                <w:szCs w:val="20"/>
              </w:rPr>
              <w:br/>
              <w:t xml:space="preserve">3.符合设计及规范要求 4.含制安、防腐、封堵等工作内容</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1.名称、类型:过墙过楼板钢套管制作、安装 2.规格:DN100</w:t>
            </w:r>
            <w:r>
              <w:rPr>
                <w:rFonts w:hint="eastAsia" w:ascii="宋体" w:hAnsi="宋体" w:cs="宋体"/>
                <w:sz w:val="20"/>
                <w:szCs w:val="20"/>
              </w:rPr>
              <w:br/>
              <w:t xml:space="preserve">3.符合设计及规范要求 4.含制安、防腐、封堵等工作内容</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管道绝热</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1.绝热材料品种:难燃橡塑管壳（B1级） 2.绝热厚度:50mm</w:t>
            </w:r>
            <w:r>
              <w:rPr>
                <w:rFonts w:hint="eastAsia" w:ascii="宋体" w:hAnsi="宋体" w:cs="宋体"/>
                <w:sz w:val="20"/>
                <w:szCs w:val="20"/>
              </w:rPr>
              <w:br/>
              <w:t xml:space="preserve">3.管道外径:φ133以下 4.满足设计及规范要求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防潮层、保护层</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1.材料:铝板 2.厚度:0.5mm 3.层数:单层 4.满足设计及规范要求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管道刷油</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1.除锈级别:微锈 2.油漆品种:调和漆 </w:t>
            </w:r>
            <w:r>
              <w:rPr>
                <w:rFonts w:hint="eastAsia" w:ascii="宋体" w:hAnsi="宋体" w:cs="宋体"/>
                <w:sz w:val="20"/>
                <w:szCs w:val="20"/>
              </w:rPr>
              <w:br/>
              <w:t xml:space="preserve">3标志色方式、品种:红色调和漆二道 4.满足设计及规范要求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管道支架</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1.材质:碳钢 2.管架形式:一般管架 3.满足设计及规范要求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金属结构刷油</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1.除锈级别:轻锈 2.涂刷遍数、漆膜厚度:樟丹二道，灰色调和漆二道 3.满足设计及规范要求</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水箱</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1.名称:箱泵一体化消防稳压设备</w:t>
            </w:r>
            <w:r>
              <w:rPr>
                <w:rFonts w:hint="eastAsia" w:ascii="宋体" w:hAnsi="宋体" w:cs="宋体"/>
                <w:sz w:val="20"/>
                <w:szCs w:val="20"/>
              </w:rPr>
              <w:br/>
              <w:t xml:space="preserve">2.型号、规格:消防水箱有效容积18立方米，各套稳压设备：配立式囊式气压罐有效容积为150L，配两台稳压泵，参数为：Q=1.0L/s，H=25m，1.5kw；一用一备，稳压泵启泵压力：0.22MPa，停泵压力：0.27MPa。3.水箱采用柔性泡沫橡塑保温，保温层厚50mm，外包镀锌铁皮。</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挖沟槽</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1.土壤类别:三类土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回填方</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1.密实度要求:分层夯填（碾压），压实系数满足设计要求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ffffff" w:fill="ffffff"/>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水灭火控制装置调试</w:t>
            </w:r>
            <w:r/>
          </w:p>
        </w:tc>
        <w:tc>
          <w:tcPr>
            <w:shd w:val="clear" w:color="ffffff" w:fill="ffffff"/>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水灭火控制装置调试</w:t>
            </w:r>
            <w:r/>
          </w:p>
        </w:tc>
      </w:tr>
      <w:tr>
        <w:trPr>
          <w:jc w:val="center"/>
          <w:trHeight w:val="300"/>
        </w:trPr>
        <w:tc>
          <w:tcPr>
            <w:shd w:val="clear" w:color="000000" w:fill="92d050"/>
            <w:tcBorders>
              <w:top w:val="none" w:color="000000" w:sz="4" w:space="0"/>
              <w:left w:val="single" w:color="auto" w:sz="4" w:space="0"/>
              <w:bottom w:val="single" w:color="auto" w:sz="4" w:space="0"/>
              <w:right w:val="single" w:color="auto" w:sz="4" w:space="0"/>
            </w:tcBorders>
            <w:tcW w:w="52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319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000000" w:fill="92d050"/>
            <w:tcBorders>
              <w:top w:val="none" w:color="000000" w:sz="4" w:space="0"/>
              <w:left w:val="none" w:color="000000" w:sz="4" w:space="0"/>
              <w:bottom w:val="single" w:color="auto" w:sz="4" w:space="0"/>
              <w:right w:val="single" w:color="auto" w:sz="4" w:space="0"/>
            </w:tcBorders>
            <w:tcW w:w="6415"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此项费用为固定，不可竞争，在投标报价时不得更改</w:t>
            </w:r>
            <w:r/>
          </w:p>
        </w:tc>
      </w:tr>
    </w:tbl>
    <w:p>
      <w:pPr>
        <w:pStyle w:val="708"/>
        <w:rPr>
          <w:rFonts w:eastAsiaTheme="minorEastAsia"/>
          <w:lang w:val="en-US"/>
        </w:rPr>
      </w:pPr>
      <w:r>
        <w:rPr>
          <w:rFonts w:eastAsiaTheme="minorEastAsia"/>
          <w:lang w:val="en-US"/>
        </w:rPr>
      </w:r>
      <w:r/>
    </w:p>
    <w:p>
      <w:r/>
      <w:r/>
    </w:p>
    <w:p>
      <w:pPr>
        <w:pStyle w:val="708"/>
        <w:rPr>
          <w:rFonts w:eastAsiaTheme="minorEastAsia"/>
          <w:lang w:val="en-US"/>
        </w:rPr>
      </w:pPr>
      <w:r>
        <w:rPr>
          <w:rFonts w:eastAsiaTheme="minorEastAsia"/>
          <w:lang w:val="en-US"/>
        </w:rPr>
      </w:r>
      <w:r/>
    </w:p>
    <w:tbl>
      <w:tblPr>
        <w:tblW w:w="10216" w:type="dxa"/>
        <w:jc w:val="center"/>
        <w:tblInd w:w="108" w:type="dxa"/>
        <w:tblLook w:val="04A0" w:firstRow="1" w:lastRow="0" w:firstColumn="1" w:lastColumn="0" w:noHBand="0" w:noVBand="1"/>
      </w:tblPr>
      <w:tblGrid>
        <w:gridCol w:w="551"/>
        <w:gridCol w:w="2973"/>
        <w:gridCol w:w="6692"/>
      </w:tblGrid>
      <w:tr>
        <w:trPr>
          <w:jc w:val="center"/>
          <w:trHeight w:val="270"/>
        </w:trPr>
        <w:tc>
          <w:tcPr>
            <w:gridSpan w:val="3"/>
            <w:shd w:val="clear" w:color="auto" w:fill="auto"/>
            <w:tcBorders>
              <w:top w:val="none" w:color="000000" w:sz="4" w:space="0"/>
              <w:left w:val="none" w:color="000000" w:sz="4" w:space="0"/>
              <w:bottom w:val="single" w:color="auto" w:sz="4" w:space="0"/>
              <w:right w:val="none" w:color="000000"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浦口•兰花塘未来农业发展示体验中心项目-桥林兰花塘稻米全产业链原粮储存设施</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功能、性能、配置要求</w:t>
            </w:r>
            <w:r/>
          </w:p>
        </w:tc>
      </w:tr>
      <w:tr>
        <w:trPr>
          <w:jc w:val="center"/>
          <w:trHeight w:val="270"/>
        </w:trPr>
        <w:tc>
          <w:tcPr>
            <w:gridSpan w:val="3"/>
            <w:shd w:val="clear" w:color="000000" w:fill="ff00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主体部分</w:t>
            </w:r>
            <w:r/>
          </w:p>
        </w:tc>
      </w:tr>
      <w:tr>
        <w:trPr>
          <w:jc w:val="center"/>
          <w:trHeight w:val="270"/>
        </w:trPr>
        <w:tc>
          <w:tcPr>
            <w:gridSpan w:val="3"/>
            <w:shd w:val="clear" w:color="ffffff"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钢结构</w:t>
            </w:r>
            <w:r/>
          </w:p>
        </w:tc>
      </w:tr>
      <w:tr>
        <w:trPr>
          <w:jc w:val="center"/>
          <w:trHeight w:val="264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钢托架</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1.钢板材料均为Q355B,焊条为E53系列 </w:t>
            </w:r>
            <w:r>
              <w:rPr>
                <w:rFonts w:hint="eastAsia" w:ascii="宋体" w:hAnsi="宋体" w:cs="宋体"/>
                <w:sz w:val="20"/>
                <w:szCs w:val="20"/>
              </w:rPr>
              <w:br/>
              <w:t xml:space="preserve">2.钢牛腿等加劲板、腹板、滑动支座构件</w:t>
            </w:r>
            <w:r>
              <w:rPr>
                <w:rFonts w:hint="eastAsia" w:ascii="宋体" w:hAnsi="宋体" w:cs="宋体"/>
                <w:sz w:val="20"/>
                <w:szCs w:val="20"/>
              </w:rPr>
              <w:br/>
              <w:t xml:space="preserve">3.构件表面采用喷砂除锈,除锈等级Sa2.5,其质量要求应符合国家标准GB8923的规定</w:t>
            </w:r>
            <w:r>
              <w:rPr>
                <w:rFonts w:hint="eastAsia" w:ascii="宋体" w:hAnsi="宋体" w:cs="宋体"/>
                <w:sz w:val="20"/>
                <w:szCs w:val="20"/>
              </w:rPr>
              <w:br/>
              <w:t xml:space="preserve">4.</w:t>
            </w:r>
            <w:r>
              <w:rPr>
                <w:rFonts w:hint="eastAsia" w:ascii="宋体" w:hAnsi="宋体" w:cs="宋体"/>
                <w:sz w:val="20"/>
                <w:szCs w:val="20"/>
              </w:rPr>
              <w:t xml:space="preserve">钢构件防腐采用富锌底涂料二遍(膜厚度70um),环氧云铁中间涂料一遍(漆膜厚度70jm)丙烯酸环氧面涂料三遍(漆膜厚度100mm),于漆膜总厚度240um。构件除锈完成后应在8小时(湿度较大时2-4小时)内，涂第一道防锈漆，底漆充分于燥后，才容许次层涂装高强螺栓连接接触面和工地焊缝两侧50mm范围内安装前不涂漆,待安装后补漆。安装完毕后未刷底漆的部分及补焊、擦伤，脱漆处均应补刷底漆两度，然后刷面漆一度，面漆颜色由采购人指定，在使用过程中应定期进行涂漆保护，对使用期间不能重新油漆的结构部位应采取特殊的防锈措施</w:t>
            </w:r>
            <w:r/>
          </w:p>
        </w:tc>
      </w:tr>
      <w:tr>
        <w:trPr>
          <w:jc w:val="center"/>
          <w:trHeight w:val="336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钢梁</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1.钢板材料均为Q355B,焊条为E53系列 </w:t>
            </w:r>
            <w:r>
              <w:rPr>
                <w:rFonts w:hint="eastAsia" w:ascii="宋体" w:hAnsi="宋体" w:cs="宋体"/>
                <w:sz w:val="20"/>
                <w:szCs w:val="20"/>
              </w:rPr>
              <w:br/>
              <w:t xml:space="preserve">2.GL1：HN450×200×10×16</w:t>
            </w:r>
            <w:r>
              <w:rPr>
                <w:rFonts w:hint="eastAsia" w:ascii="宋体" w:hAnsi="宋体" w:cs="宋体"/>
                <w:sz w:val="20"/>
                <w:szCs w:val="20"/>
              </w:rPr>
              <w:br/>
              <w:t xml:space="preserve">3.构件表面采用喷砂除锈,除锈等级Sa2.5,其质量要求应符合国家标准GB8923的规定</w:t>
            </w:r>
            <w:r>
              <w:rPr>
                <w:rFonts w:hint="eastAsia" w:ascii="宋体" w:hAnsi="宋体" w:cs="宋体"/>
                <w:sz w:val="20"/>
                <w:szCs w:val="20"/>
              </w:rPr>
              <w:br/>
              <w:t xml:space="preserve">4.4.</w:t>
            </w:r>
            <w:r>
              <w:rPr>
                <w:rFonts w:hint="eastAsia" w:ascii="宋体" w:hAnsi="宋体" w:cs="宋体"/>
                <w:sz w:val="20"/>
                <w:szCs w:val="20"/>
              </w:rPr>
              <w:t xml:space="preserve">钢构件防腐采用富锌底涂料二遍(膜厚度70um),环氧云铁中间涂料一遍(漆膜厚度70jm)丙烯酸环氧面涂料三遍(漆膜厚度100mm),于漆膜总厚度240um。构件除锈完成后应在8小时(湿度较大时2-4小时)内，涂第一道防锈漆，底漆充分于燥后，才容许次层涂装高强螺栓连接接触面和工地焊缝两侧50mm范围内安装前不涂漆,待安装后补漆。安装完毕后未刷底漆的部分及补焊、擦伤，脱漆处均应补刷底漆两度，然后刷面漆一度，面漆颜色由采购人指定，在使用过程中应定期进行涂漆保护，对使用期间不能重新油漆的结构部位应采取特殊的防锈措施</w:t>
            </w:r>
            <w:r>
              <w:rPr>
                <w:rFonts w:hint="eastAsia" w:ascii="宋体" w:hAnsi="宋体" w:cs="宋体"/>
                <w:sz w:val="20"/>
                <w:szCs w:val="20"/>
              </w:rPr>
              <w:br/>
              <w:t xml:space="preserve">6.采用薄涂型防火涂料，钢梁耐火极限不应小于1.5小时，满足耐火极限的防火涂料厚度及表面效果应能满足装修要求，采用的防火涂料应通过检验并得到消防部门认可。</w:t>
            </w:r>
            <w:r/>
          </w:p>
        </w:tc>
      </w:tr>
      <w:tr>
        <w:trPr>
          <w:jc w:val="center"/>
          <w:trHeight w:val="31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钢板楼板</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压型钢板</w:t>
            </w:r>
            <w:r>
              <w:rPr>
                <w:rFonts w:hint="eastAsia" w:ascii="宋体" w:hAnsi="宋体" w:cs="宋体"/>
                <w:sz w:val="20"/>
                <w:szCs w:val="20"/>
              </w:rPr>
              <w:br/>
              <w:t xml:space="preserve">1.型材品种、规格：热镀锌1.2mm厚YX75-230-690（1）型，φ19@200栓钉，L=80</w:t>
            </w:r>
            <w:r>
              <w:rPr>
                <w:rFonts w:hint="eastAsia" w:ascii="宋体" w:hAnsi="宋体" w:cs="宋体"/>
                <w:sz w:val="20"/>
                <w:szCs w:val="20"/>
              </w:rPr>
              <w:br/>
              <w:t xml:space="preserve">2.压型钢板采用热浸镀锌防腐，镀层标准为A级镀锌量为275g/m2</w:t>
            </w:r>
            <w:r>
              <w:rPr>
                <w:rFonts w:hint="eastAsia" w:ascii="宋体" w:hAnsi="宋体" w:cs="宋体"/>
                <w:sz w:val="20"/>
                <w:szCs w:val="20"/>
              </w:rPr>
              <w:br/>
              <w:t xml:space="preserve">3.耐火极限要求1.5小时</w:t>
            </w:r>
            <w:r>
              <w:rPr>
                <w:rFonts w:hint="eastAsia" w:ascii="宋体" w:hAnsi="宋体" w:cs="宋体"/>
                <w:sz w:val="20"/>
                <w:szCs w:val="20"/>
              </w:rPr>
              <w:br/>
              <w:t xml:space="preserve">4.材料损耗费用自行考虑，结算不做调整</w:t>
            </w:r>
            <w:r>
              <w:rPr>
                <w:rFonts w:hint="eastAsia" w:ascii="宋体" w:hAnsi="宋体" w:cs="宋体"/>
                <w:sz w:val="20"/>
                <w:szCs w:val="20"/>
              </w:rPr>
              <w:br/>
              <w:t xml:space="preserve">5.</w:t>
            </w:r>
            <w:r>
              <w:rPr>
                <w:rFonts w:hint="eastAsia" w:ascii="宋体" w:hAnsi="宋体" w:cs="宋体"/>
                <w:sz w:val="20"/>
                <w:szCs w:val="20"/>
              </w:rPr>
              <w:t xml:space="preserve">钢构件防腐采用富锌底涂料二遍(膜厚度70um),环氧云铁中间涂料一遍(漆膜厚度70jm)丙烯酸环氧面涂料三遍(漆膜厚度100mm),于漆膜总厚度240um。构件除锈完成后应在8小时(湿度较大时2-4小时)内，涂第一道防锈漆，底漆充分于燥后，才容许次层涂装高强螺栓连接接触面和工地焊缝两侧50mm范围内安装前不涂漆,待安装后补漆。安装完毕后未刷底漆的部分及补焊、擦伤，脱漆处均应补刷底漆两度，然后刷面漆一度，面漆颜色由采购人指定，在使用过程中应定期进行涂漆保护，对使用期间不能重新油漆的结构部位应采取特殊的防锈措施</w:t>
            </w:r>
            <w:r/>
          </w:p>
        </w:tc>
      </w:tr>
      <w:tr>
        <w:trPr>
          <w:jc w:val="center"/>
          <w:trHeight w:val="264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钢梯</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1.钢爬梯</w:t>
            </w:r>
            <w:r>
              <w:rPr>
                <w:rFonts w:hint="eastAsia" w:ascii="宋体" w:hAnsi="宋体" w:cs="宋体"/>
                <w:sz w:val="20"/>
                <w:szCs w:val="20"/>
              </w:rPr>
              <w:br/>
              <w:t xml:space="preserve">2.钢材品种、规格：Q235B</w:t>
            </w:r>
            <w:r>
              <w:rPr>
                <w:rFonts w:hint="eastAsia" w:ascii="宋体" w:hAnsi="宋体" w:cs="宋体"/>
                <w:sz w:val="20"/>
                <w:szCs w:val="20"/>
              </w:rPr>
              <w:br/>
              <w:t xml:space="preserve">3.构件除锈完成后，应在8小时（湿度较大时2-4小时）内，涂第一道防锈漆</w:t>
            </w:r>
            <w:r>
              <w:rPr>
                <w:rFonts w:hint="eastAsia" w:ascii="宋体" w:hAnsi="宋体" w:cs="宋体"/>
                <w:sz w:val="20"/>
                <w:szCs w:val="20"/>
              </w:rPr>
              <w:br/>
              <w:t xml:space="preserve">4.喷砂(抛丸)除锈处理，除锈质量等级应达到Sa2.5级标准</w:t>
            </w:r>
            <w:r>
              <w:rPr>
                <w:rFonts w:hint="eastAsia" w:ascii="宋体" w:hAnsi="宋体" w:cs="宋体"/>
                <w:sz w:val="20"/>
                <w:szCs w:val="20"/>
              </w:rPr>
              <w:br/>
              <w:t xml:space="preserve">5.</w:t>
            </w:r>
            <w:r>
              <w:rPr>
                <w:rFonts w:hint="eastAsia" w:ascii="宋体" w:hAnsi="宋体" w:cs="宋体"/>
                <w:sz w:val="20"/>
                <w:szCs w:val="20"/>
              </w:rPr>
              <w:t xml:space="preserve">钢构件防腐采用富锌底涂料二遍(膜厚度70um),环氧云铁中间涂料一遍(漆膜厚度70jm)丙烯酸环氧面涂料三遍(漆膜厚度100mm),于漆膜总厚度240um。构件除锈完成后应在8小时(湿度较大时2-4小时)内，涂第一道防锈漆，底漆充分于燥后，才容许次层涂装高强螺栓连接接触面和工地焊缝两侧50mm范围内安装前不涂漆,待安装后补漆。安装完毕后未刷底漆的部分及补焊、擦伤，脱漆处均应补刷底漆两度，然后刷面漆一度，面漆颜色由采购人指定，在使用过程中应定期进行涂漆保护，对使用期间不能重新油漆的结构部位应采取特殊的防锈措施</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集水井成品花纹盖板</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1.盖板规格型号:6厚成品花纹钢盖板 2.部位:集水坑</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排水沟镂空金属盖板</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1.盖板规格型号:镂空金属盖板 2.部位:浅沟排水处</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砌块墙钢丝网加固</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1.不同墙体交界处贴热镀锌钢丝网，加强带与各基体的搭接宽150</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砌块墙钢丝网加固</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1.楼梯间和人流通道满挂钢丝网</w:t>
            </w:r>
            <w:r/>
          </w:p>
        </w:tc>
      </w:tr>
      <w:tr>
        <w:trPr>
          <w:jc w:val="center"/>
          <w:trHeight w:val="270"/>
        </w:trPr>
        <w:tc>
          <w:tcPr>
            <w:gridSpan w:val="3"/>
            <w:shd w:val="clear" w:color="ffffff"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金属油漆、涂料</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金属面油漆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1.钢构件防腐采用富锌底涂料二遍(漆膜厚度70μm),环氧云铁中间涂料一遍(漆膜厚度70μm),丙烯酸环氧面涂料三遍(漆膜厚度100μm),干漆膜总厚度240μm</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墙面涂料</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内墙一 1.耐水腻子批磨两遍(用于消防水泵房内侧)</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墙面涂料</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内墙二 1.无机涂料二道饰面 2.封底漆一遍 3.满刮2mm厚白色面层腻子</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墙面涂料</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外墙二 1.外墙仿石涂料(一底一中两面) 2.外墙耐水腻子,打磨平整(平整度≤3mm)</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天棚涂料</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顶棚一 1.耐水腻子批磨两遍(用于消防水泵房内侧)</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天棚涂料</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顶棚二 1.腻子批磨两遍,打磨平整 2.无机涂料二道饰面</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天棚涂料</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顶棚三 1.防霉耐水腻子批磨两遍,打磨平整,下挂四周墙体100mm 2.无机涂料二道饰面</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金属构件防火涂料</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1.钢梁 2.薄型2h防火涂料</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金属构件防火涂料</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1.其他加固构件 2.薄型2h防火涂料</w:t>
            </w:r>
            <w:r/>
          </w:p>
        </w:tc>
      </w:tr>
      <w:tr>
        <w:trPr>
          <w:jc w:val="center"/>
          <w:trHeight w:val="270"/>
        </w:trPr>
        <w:tc>
          <w:tcPr>
            <w:gridSpan w:val="3"/>
            <w:shd w:val="clear" w:color="ffffff"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墙体</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多孔砖墙</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1.砖品种、规格、强度等级：A3.5煤矸石多孔砖 2.墙体类型：内墙200厚</w:t>
            </w:r>
            <w:r>
              <w:rPr>
                <w:rFonts w:hint="eastAsia" w:ascii="宋体" w:hAnsi="宋体" w:cs="宋体"/>
                <w:sz w:val="20"/>
                <w:szCs w:val="20"/>
              </w:rPr>
              <w:br/>
              <w:t xml:space="preserve">3.砂浆强度等级、配合比：专用砌筑砂浆Ma5</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多孔砖墙</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1.部位：顶层墙体 2.砖品种、规格、强度等级：A3.5煤矸石多孔砖</w:t>
            </w:r>
            <w:r>
              <w:rPr>
                <w:rFonts w:hint="eastAsia" w:ascii="宋体" w:hAnsi="宋体" w:cs="宋体"/>
                <w:sz w:val="20"/>
                <w:szCs w:val="20"/>
              </w:rPr>
              <w:br/>
              <w:t xml:space="preserve">3.墙体类型：内墙200厚 4.砂浆强度等级、配合比：专用砌筑砂浆Ma7.5</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砌块墙</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1.砖品种、规格、强度等级：MU7.5混凝土空心砌块（砂加气） 2.墙体类型：外墙200厚</w:t>
            </w:r>
            <w:r>
              <w:rPr>
                <w:rFonts w:hint="eastAsia" w:ascii="宋体" w:hAnsi="宋体" w:cs="宋体"/>
                <w:sz w:val="20"/>
                <w:szCs w:val="20"/>
              </w:rPr>
              <w:br/>
              <w:t xml:space="preserve">3.砂浆强度等级、配合比：水泥砌筑砂浆Mb5 4.用于无水房间</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砌块墙</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1.部位：顶层墙体 2.砖品种、规格、强度等级：MU7.5混凝土空心砌块（砂加气）</w:t>
            </w:r>
            <w:r>
              <w:rPr>
                <w:rFonts w:hint="eastAsia" w:ascii="宋体" w:hAnsi="宋体" w:cs="宋体"/>
                <w:sz w:val="20"/>
                <w:szCs w:val="20"/>
              </w:rPr>
              <w:br/>
              <w:t xml:space="preserve">3.墙体类型：外墙200厚 4.砂浆强度等级、配合比：水泥砌筑砂浆Mb7.5  5.用于无水房间</w:t>
            </w:r>
            <w:r/>
          </w:p>
        </w:tc>
      </w:tr>
      <w:tr>
        <w:trPr>
          <w:jc w:val="center"/>
          <w:trHeight w:val="270"/>
        </w:trPr>
        <w:tc>
          <w:tcPr>
            <w:gridSpan w:val="3"/>
            <w:shd w:val="clear" w:color="ffffff"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门窗</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铝合金玻璃门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1.门代号及洞口尺寸:M1526 2.门的主型材喷涂断桥隔热铝合金型材</w:t>
            </w:r>
            <w:r>
              <w:rPr>
                <w:rFonts w:hint="eastAsia" w:ascii="宋体" w:hAnsi="宋体" w:cs="宋体"/>
                <w:sz w:val="20"/>
                <w:szCs w:val="20"/>
              </w:rPr>
              <w:br/>
              <w:t xml:space="preserve">3.玻璃：6(Low-E)+12Ar+6钢化中空玻璃 4.密封条为注胶密封 5.含五金配件 </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铝合金门联窗</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1.门联窗代号及洞口尺寸:MLC5424 </w:t>
            </w:r>
            <w:r>
              <w:rPr>
                <w:rFonts w:hint="eastAsia" w:ascii="宋体" w:hAnsi="宋体" w:cs="宋体"/>
                <w:sz w:val="20"/>
                <w:szCs w:val="20"/>
              </w:rPr>
              <w:br/>
              <w:t xml:space="preserve">2.门联窗的主型材喷涂断桥隔热铝合金型材</w:t>
            </w:r>
            <w:r>
              <w:rPr>
                <w:rFonts w:hint="eastAsia" w:ascii="宋体" w:hAnsi="宋体" w:cs="宋体"/>
                <w:sz w:val="20"/>
                <w:szCs w:val="20"/>
              </w:rPr>
              <w:br/>
              <w:t xml:space="preserve">3.玻璃：6(Low-E)+12Ar+6钢化中空玻璃 4.密封条为注胶密封 5.含五金配件</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钢质乙级防火门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1.门代号及洞口尺寸:FM乙1523 2.成品乙级双扇防火门，含闭门器</w:t>
            </w:r>
            <w:r>
              <w:rPr>
                <w:rFonts w:hint="eastAsia" w:ascii="宋体" w:hAnsi="宋体" w:cs="宋体"/>
                <w:sz w:val="20"/>
                <w:szCs w:val="20"/>
              </w:rPr>
              <w:br/>
              <w:t xml:space="preserve">3.其它:含成品门窗框及扇制作、运输、安装、刷漆、闭门器、顺序器及所有配套五金等,按照业主需要并满足设计及规范要求</w:t>
            </w:r>
            <w:r>
              <w:rPr>
                <w:rFonts w:hint="eastAsia" w:ascii="宋体" w:hAnsi="宋体" w:cs="宋体"/>
                <w:sz w:val="20"/>
                <w:szCs w:val="20"/>
              </w:rPr>
              <w:br/>
              <w:t xml:space="preserve">4.耐火极限符合设计及规范验收要求，产品:消防部门认可</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钢质乙级防火门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1.门代号及洞口尺寸:FM乙2023 2.成品乙级双扇防火门，含闭门器</w:t>
            </w:r>
            <w:r>
              <w:rPr>
                <w:rFonts w:hint="eastAsia" w:ascii="宋体" w:hAnsi="宋体" w:cs="宋体"/>
                <w:sz w:val="20"/>
                <w:szCs w:val="20"/>
              </w:rPr>
              <w:br/>
              <w:t xml:space="preserve">3.其它:含成品门窗框及扇制作、运输、安装、刷漆、闭门器、顺序器及所有配套五金等,按照业主需要并满足设计及规范要求</w:t>
            </w:r>
            <w:r>
              <w:rPr>
                <w:rFonts w:hint="eastAsia" w:ascii="宋体" w:hAnsi="宋体" w:cs="宋体"/>
                <w:sz w:val="20"/>
                <w:szCs w:val="20"/>
              </w:rPr>
              <w:br/>
              <w:t xml:space="preserve">4.耐火极限符合设计及规范验收要求，产品:消防部门认可</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金属（塑钢、断桥）窗</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1.铝合金固定窗制作安装 2.窗的主型材喷涂断桥隔热铝合金型材</w:t>
            </w:r>
            <w:r>
              <w:rPr>
                <w:rFonts w:hint="eastAsia" w:ascii="宋体" w:hAnsi="宋体" w:cs="宋体"/>
                <w:sz w:val="20"/>
                <w:szCs w:val="20"/>
              </w:rPr>
              <w:br/>
              <w:t xml:space="preserve">3.玻璃：6(Low-E)+12Ar+6钢化中空玻璃 4.密封条为注胶密封 5.含五金配件</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金属（塑钢、断桥）窗</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1.铝合金上悬窗制作安装 2.窗的主型材喷涂断桥隔热铝合金型材</w:t>
            </w:r>
            <w:r>
              <w:rPr>
                <w:rFonts w:hint="eastAsia" w:ascii="宋体" w:hAnsi="宋体" w:cs="宋体"/>
                <w:sz w:val="20"/>
                <w:szCs w:val="20"/>
              </w:rPr>
              <w:br/>
              <w:t xml:space="preserve">3.玻璃：6(Low-E)+12Ar+6钢化中空玻璃 4.密封条为注胶密封 5.含五金配件</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钢制甲级防火窗</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1.窗代号及洞口尺寸:FC甲4215 2.成品钢制甲级防火窗</w:t>
            </w:r>
            <w:r>
              <w:rPr>
                <w:rFonts w:hint="eastAsia" w:ascii="宋体" w:hAnsi="宋体" w:cs="宋体"/>
                <w:sz w:val="20"/>
                <w:szCs w:val="20"/>
              </w:rPr>
              <w:br/>
              <w:t xml:space="preserve">3.其它:含成品门窗框及扇制作、运输、安装、刷漆、闭门器、顺序器及所有配套五金等,按照业主需要并满足设计及规范要求</w:t>
            </w:r>
            <w:r>
              <w:rPr>
                <w:rFonts w:hint="eastAsia" w:ascii="宋体" w:hAnsi="宋体" w:cs="宋体"/>
                <w:sz w:val="20"/>
                <w:szCs w:val="20"/>
              </w:rPr>
              <w:br/>
              <w:t xml:space="preserve">4.耐火极限符合设计及规范验收要求，产品:消防部门认可</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钢制乙级防火窗</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1.窗代号及洞口尺寸:FC乙3815 2.成品钢制乙级防火窗</w:t>
            </w:r>
            <w:r>
              <w:rPr>
                <w:rFonts w:hint="eastAsia" w:ascii="宋体" w:hAnsi="宋体" w:cs="宋体"/>
                <w:sz w:val="20"/>
                <w:szCs w:val="20"/>
              </w:rPr>
              <w:br/>
              <w:t xml:space="preserve">3.其它:含成品门窗框及扇制作、运输、安装、刷漆、闭门器、顺序器及所有配套五金等,按照业主需要并满足设计及规范要求</w:t>
            </w:r>
            <w:r>
              <w:rPr>
                <w:rFonts w:hint="eastAsia" w:ascii="宋体" w:hAnsi="宋体" w:cs="宋体"/>
                <w:sz w:val="20"/>
                <w:szCs w:val="20"/>
              </w:rPr>
              <w:br/>
              <w:t xml:space="preserve">4.耐火极限符合设计及规范验收要求，产品:消防部门认可</w:t>
            </w:r>
            <w:r/>
          </w:p>
        </w:tc>
      </w:tr>
      <w:tr>
        <w:trPr>
          <w:jc w:val="center"/>
          <w:trHeight w:val="270"/>
        </w:trPr>
        <w:tc>
          <w:tcPr>
            <w:gridSpan w:val="3"/>
            <w:shd w:val="clear" w:color="ffffff"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屋面及防水</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屋面卷材防水</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顶板一 1.3mm+3mm厚SBS改性沥青耐根穿刺防水卷材(长纤聚胎脂Ⅱ型),遇建筑物外墙,卷材上翻高出室外地坪高程500mm</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屋面卷材防水</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屋面一、屋面二 1.3.0mm厚SBS改性沥青防水卷材(聚酯胎),加强地漏、管道周围,沿四周墙体上翻女儿墙或墙体至屋面完成面300mm高</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屋面涂膜防水</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屋面一、屋面二 1.2.0mm厚非固化橡胶沥青防水涂料,上翻至完成面以上300mm</w:t>
            </w:r>
            <w:r>
              <w:rPr>
                <w:rFonts w:hint="eastAsia" w:ascii="宋体" w:hAnsi="宋体" w:cs="宋体"/>
                <w:sz w:val="20"/>
                <w:szCs w:val="20"/>
              </w:rPr>
              <w:br/>
              <w:t xml:space="preserve">2.女儿墙墙根部、出屋面管道、落水口等防水附加层:2.0mm厚非固化橡胶沥青防水涂料,在阴角部分涂刷,宽度不小于250mm,卷起高度不小于300mm</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屋面涂膜防水</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屋面三 1.1.5mm厚JS-Ⅱ型聚合物水泥基防水涂料(靠外墙建筑完成面处上翻250mm)</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屋面刚性层</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顶板一 1.种植土 2.土工布滤水层,聚丙烯或聚酯材料200g/m2</w:t>
            </w:r>
            <w:r>
              <w:rPr>
                <w:rFonts w:hint="eastAsia" w:ascii="宋体" w:hAnsi="宋体" w:cs="宋体"/>
                <w:sz w:val="20"/>
                <w:szCs w:val="20"/>
              </w:rPr>
              <w:br/>
              <w:t xml:space="preserve">3.20mm厚凹凸型疏水板(抗压强度不应小于300KNm2)</w:t>
            </w:r>
            <w:r>
              <w:rPr>
                <w:rFonts w:hint="eastAsia" w:ascii="宋体" w:hAnsi="宋体" w:cs="宋体"/>
                <w:sz w:val="20"/>
                <w:szCs w:val="20"/>
              </w:rPr>
              <w:br/>
              <w:t xml:space="preserve">4.最薄处50mm厚C20细石混凝土找坡层兼保护层(内配Ф6@200双向钢筋,分格缝宽15mm,间距≤4m,密封材料填缝),短边居中向两侧2%找坡 5.10mm厚石灰砂浆隔离层</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屋面刚性层</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屋面一、屋面二</w:t>
            </w:r>
            <w:r>
              <w:rPr>
                <w:rFonts w:hint="eastAsia" w:ascii="宋体" w:hAnsi="宋体" w:cs="宋体"/>
                <w:sz w:val="20"/>
                <w:szCs w:val="20"/>
              </w:rPr>
              <w:br/>
              <w:t xml:space="preserve">1.最薄处50mm厚C30混凝土找坡,坡度3%,表面压光,内配Ф4@100X100双向钢筋网片,平面四周(沿墙和水沟边)设伸缝,缝宽20mm,缝内嵌改性沥青密封膏,平面内间距≤3000mm设缩缝</w:t>
            </w:r>
            <w:r>
              <w:rPr>
                <w:rFonts w:hint="eastAsia" w:ascii="宋体" w:hAnsi="宋体" w:cs="宋体"/>
                <w:sz w:val="20"/>
                <w:szCs w:val="20"/>
              </w:rPr>
              <w:br/>
              <w:t xml:space="preserve">2.无纺布隔离层,容重≥200g/m2 </w:t>
            </w:r>
            <w:r>
              <w:rPr>
                <w:rFonts w:hint="eastAsia" w:ascii="宋体" w:hAnsi="宋体" w:cs="宋体"/>
                <w:sz w:val="20"/>
                <w:szCs w:val="20"/>
              </w:rPr>
              <w:br/>
              <w:t xml:space="preserve">3.现浇钢筋混凝土板,修补平整,表面清扫干净,闭水检验,阴角导R=50角</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屋面刚性层</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屋面三 1.最薄处10mm厚水泥砂浆找坡层 2.现浇钢筋混凝土板,随捣随抹平</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钢板止水带</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1.3厚钢板止水带—300×3mm 2.外墙缝处</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墙面卷材防水</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外墙一 1.1.5mm厚BAC-P双面自粘防水卷材(地下室外墙与主体地上外墙连接处应连续涂刷至首层±0.00标高以上500高,外墙与顶板交界处应在顶板连续涂刷200宽收边,第三遍挂无纺布)</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墙面涂膜防水</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内墙一 1.1.0mm厚PMC-101水泥基渗透结晶防水涂料,用量1.5kg/平方米 (用于消防水池内侧)</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天棚涂膜防水</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顶棚一 1.1.0mm厚PMC-101水泥基渗透结晶防水涂料,用量1.5kg/平方米 (用于消防水池内侧)</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楼（地）面卷材防水</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地面一 1.1.2mm厚HDPE高密度聚乙烯防水卷材</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楼（地）面涂膜防水</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地面一 1.1.0mm厚PMC-101水泥基渗透结晶防水涂料,用量1.5kg/平方米 (用于消防水池内侧)</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楼（地）面涂膜防水</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地面二、地面三 1.刷1.5mm厚JS-Ⅱ型聚合物水泥防水涂料(防潮层),四周上卷300高</w:t>
            </w:r>
            <w:r/>
          </w:p>
        </w:tc>
      </w:tr>
      <w:tr>
        <w:trPr>
          <w:jc w:val="center"/>
          <w:trHeight w:val="270"/>
        </w:trPr>
        <w:tc>
          <w:tcPr>
            <w:gridSpan w:val="3"/>
            <w:shd w:val="clear" w:color="ffffff"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楼地面装饰</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地面一 1.100mm厚C20细石混凝土,随抹随光</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地面一 1.50mm厚C25细石混凝土保护层</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地面二 1.20mm厚1:3水泥砂浆找平层 </w:t>
            </w:r>
            <w:r>
              <w:rPr>
                <w:rFonts w:hint="eastAsia" w:ascii="宋体" w:hAnsi="宋体" w:cs="宋体"/>
                <w:sz w:val="20"/>
                <w:szCs w:val="20"/>
              </w:rPr>
              <w:br/>
              <w:t xml:space="preserve">2.50mm厚C25细石混凝土,内配双向Φ4@200钢筋网片,表面抹平压实</w:t>
            </w:r>
            <w:r>
              <w:rPr>
                <w:rFonts w:hint="eastAsia" w:ascii="宋体" w:hAnsi="宋体" w:cs="宋体"/>
                <w:sz w:val="20"/>
                <w:szCs w:val="20"/>
              </w:rPr>
              <w:br/>
              <w:t xml:space="preserve">3.100mm厚C25细石混凝土(内配Φ6@200双向钢筋),随抹随光</w:t>
            </w:r>
            <w:r>
              <w:rPr>
                <w:rFonts w:hint="eastAsia" w:ascii="宋体" w:hAnsi="宋体" w:cs="宋体"/>
                <w:sz w:val="20"/>
                <w:szCs w:val="20"/>
              </w:rPr>
              <w:br/>
              <w:t xml:space="preserve">4.150mm厚粒径5~32卵石(碎石)灌M2.5混合砂浆振捣密实 </w:t>
            </w:r>
            <w:r>
              <w:rPr>
                <w:rFonts w:hint="eastAsia" w:ascii="宋体" w:hAnsi="宋体" w:cs="宋体"/>
                <w:sz w:val="20"/>
                <w:szCs w:val="20"/>
              </w:rPr>
              <w:br/>
              <w:t xml:space="preserve">5.素土夯实,夯实系数不小于0.93,每层不超过300mm</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地面三 1.50mm厚C25细石混凝土,内配双向Φ4@200钢筋网片,表面抹平压实</w:t>
            </w:r>
            <w:r>
              <w:rPr>
                <w:rFonts w:hint="eastAsia" w:ascii="宋体" w:hAnsi="宋体" w:cs="宋体"/>
                <w:sz w:val="20"/>
                <w:szCs w:val="20"/>
              </w:rPr>
              <w:br/>
              <w:t xml:space="preserve">2.100mm厚C25细石混凝土(内配Φ6@200双向钢筋),随抹随光</w:t>
            </w:r>
            <w:r>
              <w:rPr>
                <w:rFonts w:hint="eastAsia" w:ascii="宋体" w:hAnsi="宋体" w:cs="宋体"/>
                <w:sz w:val="20"/>
                <w:szCs w:val="20"/>
              </w:rPr>
              <w:br/>
              <w:t xml:space="preserve">3.150mm厚粒径5~32卵石(碎石)灌M2.5混合砂浆振捣密实</w:t>
            </w:r>
            <w:r>
              <w:rPr>
                <w:rFonts w:hint="eastAsia" w:ascii="宋体" w:hAnsi="宋体" w:cs="宋体"/>
                <w:sz w:val="20"/>
                <w:szCs w:val="20"/>
              </w:rPr>
              <w:br/>
              <w:t xml:space="preserve">4.素土夯实,夯实系数不小于0.93,每层不超过300mm</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细石混凝土楼地面</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楼面一、楼面二 1.50mm厚C25细石混凝土,内配双向Φ4@200钢筋网片,表面抹平压实</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踢脚线油漆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踢脚 1.100mm高刷无光漆或深灰色防霉涂料</w:t>
            </w:r>
            <w:r/>
          </w:p>
        </w:tc>
      </w:tr>
      <w:tr>
        <w:trPr>
          <w:jc w:val="center"/>
          <w:trHeight w:val="270"/>
        </w:trPr>
        <w:tc>
          <w:tcPr>
            <w:gridSpan w:val="3"/>
            <w:shd w:val="clear" w:color="ffffff"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墙、柱面装饰与隔断、幕墙</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外墙一 1.20mm厚1:3水泥防水砂浆找平</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外墙二、外墙四 1.20mm厚1:3水泥防水砂浆找平 2.墙体基层清理并甩浆处理</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电梯基坑及提升机基坑外 1.刷(粉)20厚预拌砂浆内掺10%防水剂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内墙一 1.钢筋混凝土墙基层处理(粉前刷界面剂一道)</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内墙二【混凝土墙】</w:t>
            </w:r>
            <w:r>
              <w:rPr>
                <w:rFonts w:hint="eastAsia" w:ascii="宋体" w:hAnsi="宋体" w:cs="宋体"/>
                <w:sz w:val="20"/>
                <w:szCs w:val="20"/>
              </w:rPr>
              <w:br/>
              <w:t xml:space="preserve">1.15mm厚1:3水泥砂浆粉刷抹面压实(不同墙体材料交界处挂耐碱玻纤网格布一道300mm宽后抹砂浆)(楼梯间满挂钢丝网) 2.基层处理(粉前刷界面剂一道,砖墙不刷)</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墙面抹灰</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内墙二【砖墙】</w:t>
            </w:r>
            <w:r>
              <w:rPr>
                <w:rFonts w:hint="eastAsia" w:ascii="宋体" w:hAnsi="宋体" w:cs="宋体"/>
                <w:sz w:val="20"/>
                <w:szCs w:val="20"/>
              </w:rPr>
              <w:br/>
              <w:t xml:space="preserve">1.15mm厚1:3水泥砂浆粉刷抹面压实(不同墙体材料交界处挂耐碱玻纤网格布一道300mm宽后抹砂浆)(楼梯间满挂钢丝网)</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穿孔铝单板幕墙</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1.龙骨材料种类、规格、中距:立柱100*50*4热镀锌方管，50*50*5热镀锌角钢，横梁50*50*4热镀锌方管；</w:t>
            </w:r>
            <w:r>
              <w:rPr>
                <w:rFonts w:hint="eastAsia" w:ascii="宋体" w:hAnsi="宋体" w:cs="宋体"/>
                <w:sz w:val="20"/>
                <w:szCs w:val="20"/>
              </w:rPr>
              <w:br/>
              <w:t xml:space="preserve">2.隔离层材料种类、规格:防火岩棉、镀锌铁皮</w:t>
            </w:r>
            <w:r>
              <w:rPr>
                <w:rFonts w:hint="eastAsia" w:ascii="宋体" w:hAnsi="宋体" w:cs="宋体"/>
                <w:sz w:val="20"/>
                <w:szCs w:val="20"/>
              </w:rPr>
              <w:br/>
              <w:t xml:space="preserve">3.面层材料品种、规格、颜色:3mm氟碳喷涂穿孔铝单板</w:t>
            </w:r>
            <w:r>
              <w:rPr>
                <w:rFonts w:hint="eastAsia" w:ascii="宋体" w:hAnsi="宋体" w:cs="宋体"/>
                <w:sz w:val="20"/>
                <w:szCs w:val="20"/>
              </w:rPr>
              <w:br/>
              <w:t xml:space="preserve">4.包含预埋件，连接件，角铝连接件及不锈钢螺栓组等</w:t>
            </w:r>
            <w:r>
              <w:rPr>
                <w:rFonts w:hint="eastAsia" w:ascii="宋体" w:hAnsi="宋体" w:cs="宋体"/>
                <w:sz w:val="20"/>
                <w:szCs w:val="20"/>
              </w:rPr>
              <w:br/>
              <w:t xml:space="preserve">5.嵌缝材料：硅酮密封胶及泡沫棒</w:t>
            </w:r>
            <w:r>
              <w:rPr>
                <w:rFonts w:hint="eastAsia" w:ascii="宋体" w:hAnsi="宋体" w:cs="宋体"/>
                <w:sz w:val="20"/>
                <w:szCs w:val="20"/>
              </w:rPr>
              <w:br/>
              <w:t xml:space="preserve">6.幕墙与建筑物封边：隔断采用1.5mm热镀锌钢板制作，内填石棉条封堵，包封钢板与主体及幕墙间的缝隙采用防火密封胶密封</w:t>
            </w:r>
            <w:r/>
          </w:p>
        </w:tc>
      </w:tr>
      <w:tr>
        <w:trPr>
          <w:jc w:val="center"/>
          <w:trHeight w:val="31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带骨架幕墙</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玻璃幕墙MQ01、MQ02、MQ03、MQ04、MQ05、MQ07</w:t>
            </w:r>
            <w:r>
              <w:rPr>
                <w:rFonts w:hint="eastAsia" w:ascii="宋体" w:hAnsi="宋体" w:cs="宋体"/>
                <w:sz w:val="20"/>
                <w:szCs w:val="20"/>
              </w:rPr>
              <w:br/>
              <w:t xml:space="preserve">1.玻璃规格：6(LoW-E)+12A+6中空钢化玻璃</w:t>
            </w:r>
            <w:r>
              <w:rPr>
                <w:rFonts w:hint="eastAsia" w:ascii="宋体" w:hAnsi="宋体" w:cs="宋体"/>
                <w:sz w:val="20"/>
                <w:szCs w:val="20"/>
              </w:rPr>
              <w:br/>
              <w:t xml:space="preserve">2.铝型材喷涂方式：内可视面粉末喷涂，外可视面氟碳喷涂，不可视部分阳极氧化，材质6063-T6</w:t>
            </w:r>
            <w:r>
              <w:rPr>
                <w:rFonts w:hint="eastAsia" w:ascii="宋体" w:hAnsi="宋体" w:cs="宋体"/>
                <w:sz w:val="20"/>
                <w:szCs w:val="20"/>
              </w:rPr>
              <w:br/>
              <w:t xml:space="preserve">3.包含玻璃幕墙上下口铝单板收边，保温棉，预埋件、钢材连接件，角铝连接件、柔性垫片、三元乙丙胶条及螺栓组</w:t>
            </w:r>
            <w:r>
              <w:rPr>
                <w:rFonts w:hint="eastAsia" w:ascii="宋体" w:hAnsi="宋体" w:cs="宋体"/>
                <w:sz w:val="20"/>
                <w:szCs w:val="20"/>
              </w:rPr>
              <w:br/>
              <w:t xml:space="preserve">4.防火隔离带：防火岩棉，镀锌铁皮等</w:t>
            </w:r>
            <w:r>
              <w:rPr>
                <w:rFonts w:hint="eastAsia" w:ascii="宋体" w:hAnsi="宋体" w:cs="宋体"/>
                <w:sz w:val="20"/>
                <w:szCs w:val="20"/>
              </w:rPr>
              <w:br/>
              <w:t xml:space="preserve">6.五金：包含门五金，窗五金等</w:t>
            </w:r>
            <w:r>
              <w:rPr>
                <w:rFonts w:hint="eastAsia" w:ascii="宋体" w:hAnsi="宋体" w:cs="宋体"/>
                <w:sz w:val="20"/>
                <w:szCs w:val="20"/>
              </w:rPr>
              <w:br/>
              <w:t xml:space="preserve">7.背衬：2mm粉末喷涂铝单板</w:t>
            </w:r>
            <w:r>
              <w:rPr>
                <w:rFonts w:hint="eastAsia" w:ascii="宋体" w:hAnsi="宋体" w:cs="宋体"/>
                <w:sz w:val="20"/>
                <w:szCs w:val="20"/>
              </w:rPr>
              <w:br/>
              <w:t xml:space="preserve">8.嵌缝材料：硅酮密封胶及泡沫棒</w:t>
            </w:r>
            <w:r>
              <w:rPr>
                <w:rFonts w:hint="eastAsia" w:ascii="宋体" w:hAnsi="宋体" w:cs="宋体"/>
                <w:sz w:val="20"/>
                <w:szCs w:val="20"/>
              </w:rPr>
              <w:br/>
              <w:t xml:space="preserve">9.幕墙与建筑物封边：隔断采用1.5mm热镀锌钢板制作，内填石棉条封堵，包封钢板与主体及幕墙间的缝隙采用防火密封胶密封</w:t>
            </w:r>
            <w:r>
              <w:rPr>
                <w:rFonts w:hint="eastAsia" w:ascii="宋体" w:hAnsi="宋体" w:cs="宋体"/>
                <w:sz w:val="20"/>
                <w:szCs w:val="20"/>
              </w:rPr>
              <w:br/>
              <w:t xml:space="preserve">10.开启窗扇及门在报价中综合考虑</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幕墙与建筑物的封边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部位：幕墙与建筑物封边</w:t>
            </w:r>
            <w:r>
              <w:rPr>
                <w:rFonts w:hint="eastAsia" w:ascii="宋体" w:hAnsi="宋体" w:cs="宋体"/>
                <w:sz w:val="20"/>
                <w:szCs w:val="20"/>
              </w:rPr>
              <w:br/>
              <w:t xml:space="preserve">1.隔断采用1.5mm热镀锌钢板制作，内填石棉条封堵，包封钢板与主体及幕墙间的缝隙采用防火密封胶密封</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铝单板雨篷</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1.部位：铝单板雨蓬（3mm铝单板氟碳喷涂，100*50*4热镀锌方钢龙骨，L50*5连接角铝）按投影面积计算</w:t>
            </w:r>
            <w:r/>
          </w:p>
        </w:tc>
      </w:tr>
      <w:tr>
        <w:trPr>
          <w:jc w:val="center"/>
          <w:trHeight w:val="270"/>
        </w:trPr>
        <w:tc>
          <w:tcPr>
            <w:gridSpan w:val="3"/>
            <w:shd w:val="clear" w:color="ffffff"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保温、隔热、防腐</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保温隔热屋面</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屋面一 1.80mm厚挤塑聚苯板(XPS)保温层(B1级)</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保温隔热墙面</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外墙一 1.30mm厚挤塑泡沫板(XPS)保护层 </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保温隔热墙面（首层）</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外墙二、外墙四 1.6mm厚抗裂砂浆抹面,压入耐碱玻纤网格布一层(首层加设加强型网格布一层)</w:t>
            </w:r>
            <w:r>
              <w:rPr>
                <w:rFonts w:hint="eastAsia" w:ascii="宋体" w:hAnsi="宋体" w:cs="宋体"/>
                <w:sz w:val="20"/>
                <w:szCs w:val="20"/>
              </w:rPr>
              <w:br/>
              <w:t xml:space="preserve">2.50mm石墨复合保温板(A级),锚栓和托梁辅助固定 3.3mm厚专用粘结剂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保温隔热墙面</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外墙二、外墙四 1.6mm厚抗裂砂浆抹面,压入耐碱玻纤网格布一层</w:t>
            </w:r>
            <w:r>
              <w:rPr>
                <w:rFonts w:hint="eastAsia" w:ascii="宋体" w:hAnsi="宋体" w:cs="宋体"/>
                <w:sz w:val="20"/>
                <w:szCs w:val="20"/>
              </w:rPr>
              <w:br/>
              <w:t xml:space="preserve">2.50mm石墨复合保温板(A级),锚栓和托梁辅助固定 3.3mm厚专用粘结剂</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金属栏杆</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外窗防护栏杆 h=800mm 做法参见15J403-1-D13</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连廊栏杆 h=500mm 做法参见15J403-1-D13</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连廊栏杆 H=1100mm 做法参见15J403-1-D13</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楼梯栏杆 H=900mm 做法参见15J403-1-D13</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金属栏杆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楼梯栏杆 H=1100mm 做法参见15J403-1-D13</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屋面检修上人孔</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1.屋面检修上人孔 2.做法详见12J201-H20</w:t>
            </w:r>
            <w:r/>
          </w:p>
        </w:tc>
      </w:tr>
      <w:tr>
        <w:trPr>
          <w:jc w:val="center"/>
          <w:trHeight w:val="270"/>
        </w:trPr>
        <w:tc>
          <w:tcPr>
            <w:gridSpan w:val="3"/>
            <w:shd w:val="clear" w:color="ffffff" w:fill="ffff00"/>
            <w:tcBorders>
              <w:top w:val="single" w:color="auto" w:sz="4" w:space="0"/>
              <w:left w:val="single" w:color="auto" w:sz="4" w:space="0"/>
              <w:bottom w:val="single" w:color="auto" w:sz="4" w:space="0"/>
              <w:right w:val="single" w:color="000000" w:sz="4" w:space="0"/>
            </w:tcBorders>
            <w:tcW w:w="1021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土石方</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平整场地</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1.土壤类别:详见地勘报告，应根据勘察现场后综合考虑</w:t>
            </w:r>
            <w:r>
              <w:rPr>
                <w:rFonts w:hint="eastAsia" w:ascii="宋体" w:hAnsi="宋体" w:cs="宋体"/>
                <w:sz w:val="20"/>
                <w:szCs w:val="20"/>
              </w:rPr>
              <w:br/>
              <w:t xml:space="preserve">2.取、弃土运距:挖土装车，运距自行考虑</w:t>
            </w:r>
            <w:r>
              <w:rPr>
                <w:rFonts w:hint="eastAsia" w:ascii="宋体" w:hAnsi="宋体" w:cs="宋体"/>
                <w:sz w:val="20"/>
                <w:szCs w:val="20"/>
              </w:rPr>
              <w:br/>
              <w:t xml:space="preserve">3.综合考虑白天和夜间降效及白天不能出土现场临时堆放等因素投标人综合考虑，中标后不再调整</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挖一般土方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1.土壤类别:详见地勘报告，应根据勘察现场后综合考虑 </w:t>
            </w:r>
            <w:r>
              <w:rPr>
                <w:rFonts w:hint="eastAsia" w:ascii="宋体" w:hAnsi="宋体" w:cs="宋体"/>
                <w:sz w:val="20"/>
                <w:szCs w:val="20"/>
              </w:rPr>
              <w:br/>
              <w:t xml:space="preserve">2.清单量为实际开挖量                                                          3.土、淤泥、石方(包括但不限于生活垃圾淤泥及植物等)投标人综合考虑报价，结算时不调整综合单价</w:t>
            </w:r>
            <w:r>
              <w:rPr>
                <w:rFonts w:hint="eastAsia" w:ascii="宋体" w:hAnsi="宋体" w:cs="宋体"/>
                <w:sz w:val="20"/>
                <w:szCs w:val="20"/>
              </w:rPr>
              <w:br/>
              <w:t xml:space="preserve">4.人工配合机械挖土，人工修边坡、整平、夯实，坑底预留人工挖土等，由投标人结合投标方案自行综合考虑报价，结算不另计算</w:t>
            </w:r>
            <w:r>
              <w:rPr>
                <w:rFonts w:hint="eastAsia" w:ascii="宋体" w:hAnsi="宋体" w:cs="宋体"/>
                <w:sz w:val="20"/>
                <w:szCs w:val="20"/>
              </w:rPr>
              <w:br/>
              <w:t xml:space="preserve">5.场内运距:投标人自行考虑，运距变化时不做调整                                </w:t>
            </w:r>
            <w:r>
              <w:rPr>
                <w:rFonts w:hint="eastAsia" w:ascii="宋体" w:hAnsi="宋体" w:cs="宋体"/>
                <w:sz w:val="20"/>
                <w:szCs w:val="20"/>
              </w:rPr>
              <w:br/>
              <w:t xml:space="preserve">6.桩间挖土的增加费用自行考虑</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沟槽土方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1.土壤类别:详见地勘报告，应根据勘察现场后综合考虑</w:t>
            </w:r>
            <w:r>
              <w:rPr>
                <w:rFonts w:hint="eastAsia" w:ascii="宋体" w:hAnsi="宋体" w:cs="宋体"/>
                <w:sz w:val="20"/>
                <w:szCs w:val="20"/>
              </w:rPr>
              <w:br/>
              <w:t xml:space="preserve">2.清单量为实际开挖量</w:t>
            </w:r>
            <w:r>
              <w:rPr>
                <w:rFonts w:hint="eastAsia" w:ascii="宋体" w:hAnsi="宋体" w:cs="宋体"/>
                <w:sz w:val="20"/>
                <w:szCs w:val="20"/>
              </w:rPr>
              <w:br/>
              <w:t xml:space="preserve">3.土、淤泥、石方(包括但不限于生活垃圾淤泥及植物等)投标人综合考虑报价，结算时不调整综合单价</w:t>
            </w:r>
            <w:r>
              <w:rPr>
                <w:rFonts w:hint="eastAsia" w:ascii="宋体" w:hAnsi="宋体" w:cs="宋体"/>
                <w:sz w:val="20"/>
                <w:szCs w:val="20"/>
              </w:rPr>
              <w:br/>
              <w:t xml:space="preserve">4.人工配合机械挖土，人工修边坡、整平、夯实，坑底预留人工挖土等，由投标人结合投标方案自行综合考虑报价，结算不另计算</w:t>
            </w:r>
            <w:r>
              <w:rPr>
                <w:rFonts w:hint="eastAsia" w:ascii="宋体" w:hAnsi="宋体" w:cs="宋体"/>
                <w:sz w:val="20"/>
                <w:szCs w:val="20"/>
              </w:rPr>
              <w:br/>
              <w:t xml:space="preserve">5.场内运距:投标人自行考虑，运距变化时不做调整</w:t>
            </w:r>
            <w:r>
              <w:rPr>
                <w:rFonts w:hint="eastAsia" w:ascii="宋体" w:hAnsi="宋体" w:cs="宋体"/>
                <w:sz w:val="20"/>
                <w:szCs w:val="20"/>
              </w:rPr>
              <w:br/>
              <w:t xml:space="preserve">6.桩间挖土的增加费用自行考虑</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挖基坑土方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1.土壤类别:详见地勘报告，应根据勘察现场后综合考虑</w:t>
            </w:r>
            <w:r>
              <w:rPr>
                <w:rFonts w:hint="eastAsia" w:ascii="宋体" w:hAnsi="宋体" w:cs="宋体"/>
                <w:sz w:val="20"/>
                <w:szCs w:val="20"/>
              </w:rPr>
              <w:br/>
              <w:t xml:space="preserve">2.清单量为实际开挖量</w:t>
            </w:r>
            <w:r>
              <w:rPr>
                <w:rFonts w:hint="eastAsia" w:ascii="宋体" w:hAnsi="宋体" w:cs="宋体"/>
                <w:sz w:val="20"/>
                <w:szCs w:val="20"/>
              </w:rPr>
              <w:br/>
              <w:t xml:space="preserve">3.土、淤泥、石方(包括但不限于生活垃圾淤泥及植物等)投标人综合考虑报价，结算时不调整综合单价</w:t>
            </w:r>
            <w:r>
              <w:rPr>
                <w:rFonts w:hint="eastAsia" w:ascii="宋体" w:hAnsi="宋体" w:cs="宋体"/>
                <w:sz w:val="20"/>
                <w:szCs w:val="20"/>
              </w:rPr>
              <w:br/>
              <w:t xml:space="preserve">4.人工配合机械挖土，人工修边坡、整平、夯实，坑底预留人工挖土等，由投标人结合投标方案自行综合考虑报价，结算不另计算</w:t>
            </w:r>
            <w:r>
              <w:rPr>
                <w:rFonts w:hint="eastAsia" w:ascii="宋体" w:hAnsi="宋体" w:cs="宋体"/>
                <w:sz w:val="20"/>
                <w:szCs w:val="20"/>
              </w:rPr>
              <w:br/>
              <w:t xml:space="preserve">5.场内运距:投标人自行考虑，运距变化时不做调整</w:t>
            </w:r>
            <w:r>
              <w:rPr>
                <w:rFonts w:hint="eastAsia" w:ascii="宋体" w:hAnsi="宋体" w:cs="宋体"/>
                <w:sz w:val="20"/>
                <w:szCs w:val="20"/>
              </w:rPr>
              <w:br/>
              <w:t xml:space="preserve">6.桩间挖土的增加费用自行考虑</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回填</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1.密实度要求:分层夯填（碾压），压实系数满足设计要求</w:t>
            </w:r>
            <w:r>
              <w:rPr>
                <w:rFonts w:hint="eastAsia" w:ascii="宋体" w:hAnsi="宋体" w:cs="宋体"/>
                <w:sz w:val="20"/>
                <w:szCs w:val="20"/>
              </w:rPr>
              <w:br/>
              <w:t xml:space="preserve">2.填方材料品种:满足设计要求及验收规范</w:t>
            </w:r>
            <w:r>
              <w:rPr>
                <w:rFonts w:hint="eastAsia" w:ascii="宋体" w:hAnsi="宋体" w:cs="宋体"/>
                <w:sz w:val="20"/>
                <w:szCs w:val="20"/>
              </w:rPr>
              <w:br/>
              <w:t xml:space="preserve">3.清单量为实际回填量</w:t>
            </w:r>
            <w:r>
              <w:rPr>
                <w:rFonts w:hint="eastAsia" w:ascii="宋体" w:hAnsi="宋体" w:cs="宋体"/>
                <w:sz w:val="20"/>
                <w:szCs w:val="20"/>
              </w:rPr>
              <w:br/>
              <w:t xml:space="preserve">4.包含装车运回、运距、堆土场费、保洁费等相关的一切费用，场内内倒及运距自行考虑</w:t>
            </w:r>
            <w:r>
              <w:rPr>
                <w:rFonts w:hint="eastAsia" w:ascii="宋体" w:hAnsi="宋体" w:cs="宋体"/>
                <w:sz w:val="20"/>
                <w:szCs w:val="20"/>
              </w:rPr>
              <w:br/>
              <w:t xml:space="preserve">5.若需要单双轮车配合，投标人综合考虑，中标后不再调整</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余方弃置</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1.弃置种类:含普通土、淤泥、建筑垃圾、石方及植物等)，类别不同时不做调整</w:t>
            </w:r>
            <w:r>
              <w:rPr>
                <w:rFonts w:hint="eastAsia" w:ascii="宋体" w:hAnsi="宋体" w:cs="宋体"/>
                <w:sz w:val="20"/>
                <w:szCs w:val="20"/>
              </w:rPr>
              <w:br/>
              <w:t xml:space="preserve">2.自行勘察现场，弃土运距自行考虑，发生变化时不做调整</w:t>
            </w:r>
            <w:r>
              <w:rPr>
                <w:rFonts w:hint="eastAsia" w:ascii="宋体" w:hAnsi="宋体" w:cs="宋体"/>
                <w:sz w:val="20"/>
                <w:szCs w:val="20"/>
              </w:rPr>
              <w:br/>
              <w:t xml:space="preserve">3.渣土运至合法指定土场，弃土场的土场消纳费等其他费用由投标人自行考虑，自主报价</w:t>
            </w:r>
            <w:r>
              <w:rPr>
                <w:rFonts w:hint="eastAsia" w:ascii="宋体" w:hAnsi="宋体" w:cs="宋体"/>
                <w:sz w:val="20"/>
                <w:szCs w:val="20"/>
              </w:rPr>
              <w:br/>
              <w:t xml:space="preserve">4.渣土按自然方计算，虚方量增加所产生费用自行考虑</w:t>
            </w:r>
            <w:r>
              <w:rPr>
                <w:rFonts w:hint="eastAsia" w:ascii="宋体" w:hAnsi="宋体" w:cs="宋体"/>
                <w:sz w:val="20"/>
                <w:szCs w:val="20"/>
              </w:rPr>
              <w:br/>
              <w:t xml:space="preserve">5.综合考虑白天和夜间降效及白天不能出土现场临时堆放等因素投标人综合考虑，中标后不再调整</w:t>
            </w:r>
            <w:r>
              <w:rPr>
                <w:rFonts w:hint="eastAsia" w:ascii="宋体" w:hAnsi="宋体" w:cs="宋体"/>
                <w:sz w:val="20"/>
                <w:szCs w:val="20"/>
              </w:rPr>
              <w:br/>
              <w:t xml:space="preserve">6.渣土堆放地点需建设单位及当地政府认可</w:t>
            </w:r>
            <w:r/>
          </w:p>
        </w:tc>
      </w:tr>
      <w:tr>
        <w:trPr>
          <w:jc w:val="center"/>
          <w:trHeight w:val="270"/>
        </w:trPr>
        <w:tc>
          <w:tcPr>
            <w:gridSpan w:val="3"/>
            <w:shd w:val="clear" w:color="ffffff" w:fill="ffff00"/>
            <w:tcBorders>
              <w:top w:val="single" w:color="auto" w:sz="4" w:space="0"/>
              <w:left w:val="single" w:color="auto" w:sz="4" w:space="0"/>
              <w:bottom w:val="single" w:color="auto" w:sz="4" w:space="0"/>
              <w:right w:val="single" w:color="000000" w:sz="4" w:space="0"/>
            </w:tcBorders>
            <w:tcW w:w="10216"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钢筋混凝土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垫层</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2.混凝土强度等级:C15</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满堂基础</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2.混凝土强度等级:C30,抗渗等级P8</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池底</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2.混凝土强度等级:C30,抗渗等级P8 </w:t>
            </w:r>
            <w:r>
              <w:rPr>
                <w:rFonts w:hint="eastAsia" w:ascii="宋体" w:hAnsi="宋体" w:cs="宋体"/>
                <w:sz w:val="20"/>
                <w:szCs w:val="20"/>
              </w:rPr>
              <w:br/>
              <w:t xml:space="preserve">3.部位：消防水池及泵房平池底</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桩承台基础</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2.混凝土强度等级:C30,抗渗等级P8</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桩承台基础</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矩形柱</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构造柱</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2.混凝土强度等级:C25</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门框柱</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2.混凝土强度等级:C25</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基础梁</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2.混凝土强度等级:C30,抗渗等级P8</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基础梁</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圈梁</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2.混凝土强度等级:C25</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过梁</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2.混凝土强度等级:C25</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直形墙</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 3.墙厚:≤200mm</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池壁</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2.混凝土强度等级:C30,抗渗等级P8 </w:t>
            </w:r>
            <w:r>
              <w:rPr>
                <w:rFonts w:hint="eastAsia" w:ascii="宋体" w:hAnsi="宋体" w:cs="宋体"/>
                <w:sz w:val="20"/>
                <w:szCs w:val="20"/>
              </w:rPr>
              <w:br/>
              <w:t xml:space="preserve">3.部位:消防水池及泵房矩形池壁</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挡土墙</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2.混凝土强度等级:C30,抗渗等级P8 3.部位:地下室外墙</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池盖</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2.混凝土强度等级:C30,抗渗等级P8 </w:t>
            </w:r>
            <w:r>
              <w:rPr>
                <w:rFonts w:hint="eastAsia" w:ascii="宋体" w:hAnsi="宋体" w:cs="宋体"/>
                <w:sz w:val="20"/>
                <w:szCs w:val="20"/>
              </w:rPr>
              <w:br/>
              <w:t xml:space="preserve">3.部位:消防水池及泵房肋形池盖</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有梁板</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平板</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 3.部位:排烟井平板</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直形楼梯</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2.混凝土强度等级:C30 3.包含滑动支座</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室外入口坡道</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1.100mm厚C20细石混凝土,内配双向A4@200钢筋网片,表面抹平压实</w:t>
            </w:r>
            <w:r>
              <w:rPr>
                <w:rFonts w:hint="eastAsia" w:ascii="宋体" w:hAnsi="宋体" w:cs="宋体"/>
                <w:sz w:val="20"/>
                <w:szCs w:val="20"/>
              </w:rPr>
              <w:br/>
              <w:t xml:space="preserve">2.150mm厚粒径5~32卵石(碎石)灌M2.5混合砂浆振捣密实</w:t>
            </w:r>
            <w:r>
              <w:rPr>
                <w:rFonts w:hint="eastAsia" w:ascii="宋体" w:hAnsi="宋体" w:cs="宋体"/>
                <w:sz w:val="20"/>
                <w:szCs w:val="20"/>
              </w:rPr>
              <w:br/>
              <w:t xml:space="preserve">3.素土夯实,夯实系数不小于0.93,每层不超过300mm</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室外散水</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1.覆土种植(如为暗散水) 2.100mm厚C20混凝土,随捣随抹光,台阶向外坡1%</w:t>
            </w:r>
            <w:r>
              <w:rPr>
                <w:rFonts w:hint="eastAsia" w:ascii="宋体" w:hAnsi="宋体" w:cs="宋体"/>
                <w:sz w:val="20"/>
                <w:szCs w:val="20"/>
              </w:rPr>
              <w:br/>
              <w:t xml:space="preserve">3.素土夯实或地下室回填层,夯实系数不小于0.93,向外坡4%</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压顶</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1.混凝土种类:商品混凝土 2.混凝土强度等级:C25</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1.钢筋种类、规格:HPB300 Φ6 2.层高:＞3.6m，＜8m</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1.钢筋种类、规格:HPB300 Φ8-10 2.层高:＞3.6m，＜8m</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Φ6 2.层高:＞3.6m，＜8m</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Φ8-10 2.层高:＞3.6m，＜8m</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Φ12 2.层高:＞3.6m，＜8m</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Φ14 2.层高:＞3.6m，＜8m</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Φ16-25 2.层高:＞3.6m，＜8m</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砌体加筋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1.钢筋种类、规格:HPB400 Φ6 2.部位:砌体加固筋</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1.钢筋种类、规格:HRB400E Φ8-10 2.层高:＞3.6m，＜8m</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1.钢筋种类、规格:HRB400E Φ12 2.层高:＞3.6m，＜8m</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1.钢筋种类、规格:HRB400E Φ14 2.层高:＞3.6m，＜8m</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ΦE16-25 2.层高:＞3.6m，＜8m</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1.钢筋种类、规格:HPB300 Φ6 2.层高:＞3.6m，＜8m 3.用于水池油池</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Φ6 2.层高:＞3.6m，＜8m 3.用于水池油池</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Φ8-10 2.层高:＞3.6m，＜8m 3.用于水池油池</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Φ12 2.层高:＞3.6m，＜8m 3.用于水池油池</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Φ14 2.层高:＞3.6m，＜8m 3.用于水池油池</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Φ16-25 2.层高:＞3.6m，＜8m 3.用于水池油池</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1.钢筋种类、规格:HRB400E Φ8-10 2.层高:＞3.6m，＜8m 3.用于水池油池</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1.钢筋种类、规格:HRB400E Φ12 2.层高:＞3.6m，＜8m 3.用于水池油池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1.钢筋种类、规格:HRB400E Φ14 2.层高:＞3.6m，＜8m 3.用于水池油池</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现浇构件钢筋</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ΦE16-25 2.层高:＞3.6m，＜8m 3.用于水池油池</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高强螺栓</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1.10.9级摩擦型连接高强度螺栓（型号综合考虑）</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预埋铁件</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1.预埋铁件</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机械连接</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1.连接方式:机械连接 2.螺纹套筒种类:直螺纹接头 3.规格:≤Φ25</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钢筋电渣压力焊接头</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1.钢筋类型、规格:电渣压力焊 2.规格:≤Φ25</w:t>
            </w:r>
            <w:r/>
          </w:p>
        </w:tc>
      </w:tr>
      <w:tr>
        <w:trPr>
          <w:jc w:val="center"/>
          <w:trHeight w:val="300"/>
        </w:trPr>
        <w:tc>
          <w:tcPr>
            <w:shd w:val="clear" w:color="000000" w:fill="92d050"/>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000000" w:fill="92d050"/>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此项费用为固定，不可竞争，在投标报价时不得更改</w:t>
            </w:r>
            <w:r/>
          </w:p>
        </w:tc>
      </w:tr>
      <w:tr>
        <w:trPr>
          <w:jc w:val="center"/>
          <w:trHeight w:val="270"/>
        </w:trPr>
        <w:tc>
          <w:tcPr>
            <w:gridSpan w:val="3"/>
            <w:shd w:val="clear" w:color="000000" w:fill="ff0000"/>
            <w:tcBorders>
              <w:top w:val="single" w:color="auto" w:sz="4" w:space="0"/>
              <w:left w:val="single" w:color="auto" w:sz="4" w:space="0"/>
              <w:bottom w:val="single" w:color="auto" w:sz="4" w:space="0"/>
              <w:right w:val="single" w:color="000000"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桩基部分</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预制钢筋混凝土管桩</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1.地层情况:自行考虑</w:t>
            </w:r>
            <w:r>
              <w:rPr>
                <w:rFonts w:hint="eastAsia" w:ascii="宋体" w:hAnsi="宋体" w:cs="宋体"/>
                <w:sz w:val="20"/>
                <w:szCs w:val="20"/>
              </w:rPr>
              <w:br/>
              <w:t xml:space="preserve">2.送桩深度:根据设计桩顶标高及现场原始地面标高计算  </w:t>
            </w:r>
            <w:r>
              <w:rPr>
                <w:rFonts w:hint="eastAsia" w:ascii="宋体" w:hAnsi="宋体" w:cs="宋体"/>
                <w:sz w:val="20"/>
                <w:szCs w:val="20"/>
              </w:rPr>
              <w:br/>
              <w:t xml:space="preserve">3.抗压桩桩长:25米（15+10）（共计3根），桩端进入持力层深度不小于1.2m</w:t>
            </w:r>
            <w:r>
              <w:rPr>
                <w:rFonts w:hint="eastAsia" w:ascii="宋体" w:hAnsi="宋体" w:cs="宋体"/>
                <w:sz w:val="20"/>
                <w:szCs w:val="20"/>
              </w:rPr>
              <w:br/>
              <w:t xml:space="preserve">4.桩外径、壁厚:采用直径600mm(壁厚110mmm)的混凝土等级为C80的AB型先张法PHA预应力管桩（桩型号满足设计要求及相应图集规范）</w:t>
            </w:r>
            <w:r>
              <w:rPr>
                <w:rFonts w:hint="eastAsia" w:ascii="宋体" w:hAnsi="宋体" w:cs="宋体"/>
                <w:sz w:val="20"/>
                <w:szCs w:val="20"/>
              </w:rPr>
              <w:br/>
              <w:t xml:space="preserve">5.沉桩方法:静压</w:t>
            </w:r>
            <w:r>
              <w:rPr>
                <w:rFonts w:hint="eastAsia" w:ascii="宋体" w:hAnsi="宋体" w:cs="宋体"/>
                <w:sz w:val="20"/>
                <w:szCs w:val="20"/>
              </w:rPr>
              <w:br/>
              <w:t xml:space="preserve">6.管桩接桩采用《先张法预应力混凝土抗拔管桩(JH抱箍式连接)》Q/321183 JH002-2019</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预制钢筋混凝土管桩</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1.地层情况:自行考虑</w:t>
            </w:r>
            <w:r>
              <w:rPr>
                <w:rFonts w:hint="eastAsia" w:ascii="宋体" w:hAnsi="宋体" w:cs="宋体"/>
                <w:sz w:val="20"/>
                <w:szCs w:val="20"/>
              </w:rPr>
              <w:br/>
              <w:t xml:space="preserve">2.送桩深度:根据设计桩顶标高及现场原始地面标高计算  </w:t>
            </w:r>
            <w:r>
              <w:rPr>
                <w:rFonts w:hint="eastAsia" w:ascii="宋体" w:hAnsi="宋体" w:cs="宋体"/>
                <w:sz w:val="20"/>
                <w:szCs w:val="20"/>
              </w:rPr>
              <w:br/>
              <w:t xml:space="preserve">3.抗压桩桩长:26米（15+11）（共计51根），桩端进入持力层深度不小于1.2m</w:t>
            </w:r>
            <w:r>
              <w:rPr>
                <w:rFonts w:hint="eastAsia" w:ascii="宋体" w:hAnsi="宋体" w:cs="宋体"/>
                <w:sz w:val="20"/>
                <w:szCs w:val="20"/>
              </w:rPr>
              <w:br/>
              <w:t xml:space="preserve">4.桩外径、壁厚:采用直径600mm(壁厚110mmm)的混凝土等级为C80的AB型先张法PHA预应力管桩（桩型号满足设计要求及相应图集规范）</w:t>
            </w:r>
            <w:r>
              <w:rPr>
                <w:rFonts w:hint="eastAsia" w:ascii="宋体" w:hAnsi="宋体" w:cs="宋体"/>
                <w:sz w:val="20"/>
                <w:szCs w:val="20"/>
              </w:rPr>
              <w:br/>
              <w:t xml:space="preserve">5.沉桩方法:静压</w:t>
            </w:r>
            <w:r>
              <w:rPr>
                <w:rFonts w:hint="eastAsia" w:ascii="宋体" w:hAnsi="宋体" w:cs="宋体"/>
                <w:sz w:val="20"/>
                <w:szCs w:val="20"/>
              </w:rPr>
              <w:br/>
              <w:t xml:space="preserve">6.管桩接桩采用《先张法预应力混凝土抗拔管桩(JH抱箍式连接)》Q/321183 JH002-2019</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预制钢筋混凝土管桩</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1.地层情况:自行考虑</w:t>
            </w:r>
            <w:r>
              <w:rPr>
                <w:rFonts w:hint="eastAsia" w:ascii="宋体" w:hAnsi="宋体" w:cs="宋体"/>
                <w:sz w:val="20"/>
                <w:szCs w:val="20"/>
              </w:rPr>
              <w:br/>
              <w:t xml:space="preserve">2.送桩深度:根据设计桩顶标高及现场原始地面标高计算  </w:t>
            </w:r>
            <w:r>
              <w:rPr>
                <w:rFonts w:hint="eastAsia" w:ascii="宋体" w:hAnsi="宋体" w:cs="宋体"/>
                <w:sz w:val="20"/>
                <w:szCs w:val="20"/>
              </w:rPr>
              <w:br/>
              <w:t xml:space="preserve">3.抗压兼抗拔桩桩长:21米（共计27根），桩端进入持力层深度不小于1.2m</w:t>
            </w:r>
            <w:r>
              <w:rPr>
                <w:rFonts w:hint="eastAsia" w:ascii="宋体" w:hAnsi="宋体" w:cs="宋体"/>
                <w:sz w:val="20"/>
                <w:szCs w:val="20"/>
              </w:rPr>
              <w:br/>
              <w:t xml:space="preserve">4.桩外径、壁厚:采用直径600mm(壁厚110mmm)的混凝土等级为C80的AB型先张法PHA预应力管桩（桩型号满足设计要求及相应图集规范）</w:t>
            </w:r>
            <w:r>
              <w:rPr>
                <w:rFonts w:hint="eastAsia" w:ascii="宋体" w:hAnsi="宋体" w:cs="宋体"/>
                <w:sz w:val="20"/>
                <w:szCs w:val="20"/>
              </w:rPr>
              <w:br/>
              <w:t xml:space="preserve">5.沉桩方法:静压</w:t>
            </w:r>
            <w:r>
              <w:rPr>
                <w:rFonts w:hint="eastAsia" w:ascii="宋体" w:hAnsi="宋体" w:cs="宋体"/>
                <w:sz w:val="20"/>
                <w:szCs w:val="20"/>
              </w:rPr>
              <w:br/>
              <w:t xml:space="preserve">6.管桩接桩采用《先张法预应力混凝土抗拔管桩(JH抱箍式连接)》Q/321183 JH002-2019</w:t>
            </w:r>
            <w:r/>
          </w:p>
        </w:tc>
      </w:tr>
      <w:tr>
        <w:trPr>
          <w:jc w:val="center"/>
          <w:trHeight w:val="216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预制钢筋混凝土管桩</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1.地层情况:自行考虑</w:t>
            </w:r>
            <w:r>
              <w:rPr>
                <w:rFonts w:hint="eastAsia" w:ascii="宋体" w:hAnsi="宋体" w:cs="宋体"/>
                <w:sz w:val="20"/>
                <w:szCs w:val="20"/>
              </w:rPr>
              <w:br/>
              <w:t xml:space="preserve">2.送桩深度:根据设计桩顶标高及现场原始地面标高计算  </w:t>
            </w:r>
            <w:r>
              <w:rPr>
                <w:rFonts w:hint="eastAsia" w:ascii="宋体" w:hAnsi="宋体" w:cs="宋体"/>
                <w:sz w:val="20"/>
                <w:szCs w:val="20"/>
              </w:rPr>
              <w:br/>
              <w:t xml:space="preserve">3.抗压兼抗拔桩桩长:22米（11+11）（共计5根），桩端进入持力层深度不小于1.2m</w:t>
            </w:r>
            <w:r>
              <w:rPr>
                <w:rFonts w:hint="eastAsia" w:ascii="宋体" w:hAnsi="宋体" w:cs="宋体"/>
                <w:sz w:val="20"/>
                <w:szCs w:val="20"/>
              </w:rPr>
              <w:br/>
              <w:t xml:space="preserve">4.桩外径、壁厚:采用直径600mm(壁厚110mmm)的混凝土等级为C80的AB型先张法PHA预应力管桩（桩型号满足设计要求及相应图集规范）</w:t>
            </w:r>
            <w:r>
              <w:rPr>
                <w:rFonts w:hint="eastAsia" w:ascii="宋体" w:hAnsi="宋体" w:cs="宋体"/>
                <w:sz w:val="20"/>
                <w:szCs w:val="20"/>
              </w:rPr>
              <w:br/>
              <w:t xml:space="preserve">5.沉桩方法:静压</w:t>
            </w:r>
            <w:r>
              <w:rPr>
                <w:rFonts w:hint="eastAsia" w:ascii="宋体" w:hAnsi="宋体" w:cs="宋体"/>
                <w:sz w:val="20"/>
                <w:szCs w:val="20"/>
              </w:rPr>
              <w:br/>
              <w:t xml:space="preserve">6.管桩接桩采用《先张法预应力混凝土抗拔管桩(JH抱箍式连接)》Q/321183 JH002-2019</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钢筋笼</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1.钢筋种类、规格:HPB300 φ8</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钢筋笼</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1.钢筋种类、规格:HRB400 φ20</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预埋铁件</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1.托板 2.3mm厚钢托板</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预制管桩填芯</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1.填芯材料:微膨胀混凝土 2.砼强度:C40 3.灌芯长度:3000mm</w:t>
            </w:r>
            <w:r>
              <w:rPr>
                <w:rFonts w:hint="eastAsia" w:ascii="宋体" w:hAnsi="宋体" w:cs="宋体"/>
                <w:sz w:val="20"/>
                <w:szCs w:val="20"/>
              </w:rPr>
              <w:br/>
              <w:t xml:space="preserve">4.灌芯要求:桩顶处在灌实混凝土前,应将管桩内壁浮浆清除掉并清洗干净,再设置托板及钢筋骨架，满足设计及相应规范要求</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预制管桩填芯</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1.填芯材料:微膨胀混凝土 2.砼强度:C40 3.灌芯长度:5000mm</w:t>
            </w:r>
            <w:r>
              <w:rPr>
                <w:rFonts w:hint="eastAsia" w:ascii="宋体" w:hAnsi="宋体" w:cs="宋体"/>
                <w:sz w:val="20"/>
                <w:szCs w:val="20"/>
              </w:rPr>
              <w:br/>
              <w:t xml:space="preserve">4.灌芯要求:桩顶处在灌实混凝土前,应将管桩内壁浮浆清除掉并清洗干净,再设置托板及钢筋骨架，满足设计及相应规范要求</w:t>
            </w:r>
            <w:r/>
          </w:p>
        </w:tc>
      </w:tr>
      <w:tr>
        <w:trPr>
          <w:jc w:val="center"/>
          <w:trHeight w:val="300"/>
        </w:trPr>
        <w:tc>
          <w:tcPr>
            <w:shd w:val="clear" w:color="000000" w:fill="92d050"/>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000000" w:fill="92d050"/>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此项费用为固定，不可竞争，在投标报价时不得更改</w:t>
            </w:r>
            <w:r/>
          </w:p>
        </w:tc>
      </w:tr>
      <w:tr>
        <w:trPr>
          <w:jc w:val="center"/>
          <w:trHeight w:val="270"/>
        </w:trPr>
        <w:tc>
          <w:tcPr>
            <w:gridSpan w:val="3"/>
            <w:shd w:val="clear" w:color="000000" w:fill="ff00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电气部分</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配电箱</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1.名称:配电箱B1-ATE-xfba 2.规格:防潮防霉型，参考尺寸1000*2200*600</w:t>
            </w:r>
            <w:r>
              <w:rPr>
                <w:rFonts w:hint="eastAsia" w:ascii="宋体" w:hAnsi="宋体" w:cs="宋体"/>
                <w:sz w:val="20"/>
                <w:szCs w:val="20"/>
              </w:rPr>
              <w:br/>
              <w:t xml:space="preserve">3.安装方式:落地安装,下设槽钢基础</w:t>
            </w:r>
            <w:r>
              <w:rPr>
                <w:rFonts w:hint="eastAsia" w:ascii="宋体" w:hAnsi="宋体" w:cs="宋体"/>
                <w:sz w:val="20"/>
                <w:szCs w:val="20"/>
              </w:rPr>
              <w:br/>
              <w:t xml:space="preserve">4.元器件及要求:满足设计要求，含消防电源监控模块、电气火灾监控模块</w:t>
            </w:r>
            <w:r>
              <w:rPr>
                <w:rFonts w:hint="eastAsia" w:ascii="宋体" w:hAnsi="宋体" w:cs="宋体"/>
                <w:sz w:val="20"/>
                <w:szCs w:val="20"/>
              </w:rPr>
              <w:br/>
              <w:t xml:space="preserve">5.满足设计及规范要求 6.端子板外部接线</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1.名称:配电箱B1-ATE-xfb 2.规格:防潮防霉型，参考尺寸1000*2200*600</w:t>
            </w:r>
            <w:r>
              <w:rPr>
                <w:rFonts w:hint="eastAsia" w:ascii="宋体" w:hAnsi="宋体" w:cs="宋体"/>
                <w:sz w:val="20"/>
                <w:szCs w:val="20"/>
              </w:rPr>
              <w:br/>
              <w:t xml:space="preserve">3.安装方式:落地安装,下设槽钢基础</w:t>
            </w:r>
            <w:r>
              <w:rPr>
                <w:rFonts w:hint="eastAsia" w:ascii="宋体" w:hAnsi="宋体" w:cs="宋体"/>
                <w:sz w:val="20"/>
                <w:szCs w:val="20"/>
              </w:rPr>
              <w:br/>
              <w:t xml:space="preserve">4.元器件及要求:满足设计要求，含消防电源监控模块、电气火灾监控模块</w:t>
            </w:r>
            <w:r>
              <w:rPr>
                <w:rFonts w:hint="eastAsia" w:ascii="宋体" w:hAnsi="宋体" w:cs="宋体"/>
                <w:sz w:val="20"/>
                <w:szCs w:val="20"/>
              </w:rPr>
              <w:br/>
              <w:t xml:space="preserve">5.满足设计及规范要求 6.端子板外部接线</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1.名称:配电箱APZ 2.规格:防潮防霉型，参考尺寸1000*2200*600</w:t>
            </w:r>
            <w:r>
              <w:rPr>
                <w:rFonts w:hint="eastAsia" w:ascii="宋体" w:hAnsi="宋体" w:cs="宋体"/>
                <w:sz w:val="20"/>
                <w:szCs w:val="20"/>
              </w:rPr>
              <w:br/>
              <w:t xml:space="preserve">3.安装方式:落地安装,下设槽钢基础</w:t>
            </w:r>
            <w:r>
              <w:rPr>
                <w:rFonts w:hint="eastAsia" w:ascii="宋体" w:hAnsi="宋体" w:cs="宋体"/>
                <w:sz w:val="20"/>
                <w:szCs w:val="20"/>
              </w:rPr>
              <w:br/>
              <w:t xml:space="preserve">4.元器件及要求:满足设计要求，含消防电源监控模块、电气火灾监控模块</w:t>
            </w:r>
            <w:r>
              <w:rPr>
                <w:rFonts w:hint="eastAsia" w:ascii="宋体" w:hAnsi="宋体" w:cs="宋体"/>
                <w:sz w:val="20"/>
                <w:szCs w:val="20"/>
              </w:rPr>
              <w:br/>
              <w:t xml:space="preserve">5.满足设计及规范要求 6.端子板外部接线</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1.名称:配电箱L1-AL 2.元器件及要求:满足设计要求</w:t>
            </w:r>
            <w:r>
              <w:rPr>
                <w:rFonts w:hint="eastAsia" w:ascii="宋体" w:hAnsi="宋体" w:cs="宋体"/>
                <w:sz w:val="20"/>
                <w:szCs w:val="20"/>
              </w:rPr>
              <w:br/>
              <w:t xml:space="preserve">3.安装方式:底距地1.5米明装 4.满足设计及规范要求 5.端子板外部接线</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1.名称:配电箱L2-AL 2.元器件及要求:满足设计要求 3.安装方式:底距地1.5米明装</w:t>
            </w:r>
            <w:r>
              <w:rPr>
                <w:rFonts w:hint="eastAsia" w:ascii="宋体" w:hAnsi="宋体" w:cs="宋体"/>
                <w:sz w:val="20"/>
                <w:szCs w:val="20"/>
              </w:rPr>
              <w:br/>
              <w:t xml:space="preserve">4.满足设计及规范要求 5.端子板外部接线</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1.名称:配电箱L1-AP 2.元器件及要求:满足设计要求 3.安装方式:底距地1.5米明装</w:t>
            </w:r>
            <w:r>
              <w:rPr>
                <w:rFonts w:hint="eastAsia" w:ascii="宋体" w:hAnsi="宋体" w:cs="宋体"/>
                <w:sz w:val="20"/>
                <w:szCs w:val="20"/>
              </w:rPr>
              <w:br/>
              <w:t xml:space="preserve">4.满足设计及规范要求 5.端子板外部接线</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1.名称:配电箱L2-AP 2.元器件及要求:满足设计要求 3.安装方式:底距地1.5米明装</w:t>
            </w:r>
            <w:r>
              <w:rPr>
                <w:rFonts w:hint="eastAsia" w:ascii="宋体" w:hAnsi="宋体" w:cs="宋体"/>
                <w:sz w:val="20"/>
                <w:szCs w:val="20"/>
              </w:rPr>
              <w:br/>
              <w:t xml:space="preserve">4.满足设计及规范要求 5.端子板外部接线</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1.名称:配电箱B1-AP-qwb 2.元器件及要求:满足设计要求 3.安装方式:底距地1.5米明装 </w:t>
            </w:r>
            <w:r>
              <w:rPr>
                <w:rFonts w:hint="eastAsia" w:ascii="宋体" w:hAnsi="宋体" w:cs="宋体"/>
                <w:sz w:val="20"/>
                <w:szCs w:val="20"/>
              </w:rPr>
              <w:br/>
              <w:t xml:space="preserve">4.满足设计及规范要求 5.端子板外部接线</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1.名称:配电箱L2-AP-dt 2.元器件及要求:满足设计要求 3.安装方式:底距地1.5米明装</w:t>
            </w:r>
            <w:r>
              <w:rPr>
                <w:rFonts w:hint="eastAsia" w:ascii="宋体" w:hAnsi="宋体" w:cs="宋体"/>
                <w:sz w:val="20"/>
                <w:szCs w:val="20"/>
              </w:rPr>
              <w:br/>
              <w:t xml:space="preserve">4.满足设计及规范要求 5.端子板外部接线</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桥架、配管</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电缆保护管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1.名称:电缆保护管 2.材质:热浸镀锌钢管 3.规格:DN100 4.敷设方式:埋地</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2.材质:热浸镀锌钢管 3.规格:DN65 4.敷设方式:明配</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2.材质:热浸镀锌钢管 3.规格:DN50 4.敷设方式:明配</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2.材质:热浸镀锌钢管 3.规格:DN40 4.敷设方式:明配</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2.材质:热浸镀锌钢管 3.规格:DN25 4.敷设方式:明配</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2.材质:热浸镀锌钢管 3.规格:DN20 4.敷设方式:明配</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2.材质:热浸镀锌钢管 3.规格:DN20 4.敷设方式:暗配</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2.材质:紧定钢管 3.规格:JDG20 4.敷设方式:暗配</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2.材质:金属软管 3.规格:20 4.敷设方式:明配</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铁构件</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1.名称:支吊架 2.规格:综合 3.其他:含防腐，其他满足设计要求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防火堵洞</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1.名称:防火堵洞 2.方式:自行考虑 2.部位:综合 4.满足设计及规范要求</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电缆、电线</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2.规格:YJV-0.6/1-4×150 3.符合设计及规范要求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2.规格:BBTRZ-0.6/1-4×50 3.符合设计及规范要求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2.规格:YJV-4×50+1×25 3.符合设计及规范要求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2.规格:YJV-4×25+1×16 3.符合设计及规范要求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2.规格:YJV-5*16 3.符合设计及规范要求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2.规格:YJV-5*2.5 3.符合设计及规范要求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2.规格:ZRNH-YJV-5×16 3.符合设计及规范要求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 2.规格:ZRNH-YJY-5×4 3.符合设计及规范要求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防水电缆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1.名称:防水电缆 2.规格:4×2.5 3.潜污泵自带</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电力电缆头</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1.名称:电力电缆头 2.规格:120mm2</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电力电缆头</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1.名称:电力电缆头 2.规格:35mm2</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电力电缆头</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1.名称:电力电缆头 2.规格:16mm2</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1.名称:铜芯导线 2.配线形式:穿管敷设 3.规格:BV-2.5</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1.名称:铜芯导线 2.配线形式:穿管敷设 3.规格:ZRNH-BV-2.5</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开关、插座</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照明开关</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1.名称:单联单控开关 2.规格:10A 3.安装方式:暗敷</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照明开关</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1.名称:双联单控开关 2.规格:10A 3.安装方式:暗敷</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照明开关</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1.名称:三联单控开关 2.规格:10A 3.安装方式:暗敷</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插座</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1.名称:单项二三眼安全型插座 2.规格:10A 3.:暗敷</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1.名称:金属接线盒 2.规格:A86 3.安装方式:暗装</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灯具</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工厂灯</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1.名称:LED-广照型工矿灯 2.规格:100W 3.安装形式:吊杆安装</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普通灯具</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1.名称:感应灯(延时感应) 2.规格:14w LED光源 3.类型:吸顶安装</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普通灯具</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1.名称:普通照明灯具 2.规格:14w LED光源 3.类型:吸顶安装</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荧光灯</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1.名称:单管筒式荧光灯  </w:t>
            </w:r>
            <w:r>
              <w:rPr>
                <w:rFonts w:hint="eastAsia" w:ascii="宋体" w:hAnsi="宋体" w:cs="宋体"/>
                <w:sz w:val="20"/>
                <w:szCs w:val="20"/>
              </w:rPr>
              <w:br/>
              <w:t xml:space="preserve">2.规格:250V,LED光源,8W(设备间自带蓄电池,最少持续供电时间180min) </w:t>
            </w:r>
            <w:r>
              <w:rPr>
                <w:rFonts w:hint="eastAsia" w:ascii="宋体" w:hAnsi="宋体" w:cs="宋体"/>
                <w:sz w:val="20"/>
                <w:szCs w:val="20"/>
              </w:rPr>
              <w:br/>
              <w:t xml:space="preserve">3.安装形式:吸顶安装</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1.名称:金属接线盒 2.规格:A86 3.安装方式:暗装</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防雷接地系统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端子箱</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1.名称:等电位端子箱 2.符合设计及规范要求 </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端子箱</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1.名称:总等电位端子箱 2.规格:400*200*120 3.安装方式:挂墙明装 4.符合设计及规范要求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均压环</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1.名称:基础接地网 2.材质:利用结构钢筋 3.符合设计及规范要求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避雷网</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1.名称:避雷网 2.材质:热镀锌圆钢 3.规格:φ10 4.安装形式:自行考虑</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避雷引下线</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1.名称:避雷引下线 2.材质:利用柱内主筋 3.符合设计及规范要求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等电位端子箱、测试板</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1.名称:接地测试箱 2.规格:100×100×6 3.符合设计及规范要求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接地母线</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1.名称:接地母线 2.材质:热镀锌扁钢 3.规格:40×4 4.安装形式:符合设计及规范要求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接地母线</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1.名称:接地母线 2.材质:热镀锌扁钢 3.规格:25×4 4.安装形式:符合设计及规范要求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接地装置</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1.名称：接地网系统装置调试</w:t>
            </w:r>
            <w:r/>
          </w:p>
        </w:tc>
      </w:tr>
      <w:tr>
        <w:trPr>
          <w:jc w:val="center"/>
          <w:trHeight w:val="300"/>
        </w:trPr>
        <w:tc>
          <w:tcPr>
            <w:shd w:val="clear" w:color="000000" w:fill="92d050"/>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000000" w:fill="92d050"/>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此项费用为固定，不可竞争，在投标报价时不得更改</w:t>
            </w:r>
            <w:r/>
          </w:p>
        </w:tc>
      </w:tr>
      <w:tr>
        <w:trPr>
          <w:jc w:val="center"/>
          <w:trHeight w:val="270"/>
        </w:trPr>
        <w:tc>
          <w:tcPr>
            <w:gridSpan w:val="3"/>
            <w:shd w:val="clear" w:color="000000" w:fill="ff00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给排水部分</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给水系统</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复合管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2.介质:冷水 3.材质、规格:衬塑钢管  DN100 4.连接形式:丝扣连接</w:t>
            </w:r>
            <w:r>
              <w:rPr>
                <w:rFonts w:hint="eastAsia" w:ascii="宋体" w:hAnsi="宋体" w:cs="宋体"/>
                <w:sz w:val="20"/>
                <w:szCs w:val="20"/>
              </w:rPr>
              <w:br/>
              <w:t xml:space="preserve">5.压力试验及吹、洗设计要求:满足设计要求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水表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1.安装部位（室内外）:室外 2.型号、规格:干式螺翼式  DN100 3.连接形式:丝扣连接</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1.类型:法兰蝶阀 2.规格、压力等级:DN100，0.6MPa 3.连接形式:法兰连接</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1.类型:法兰过滤器 2.规格、压力等级:DN100，0.6MPa 3.连接形式:法兰连接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1.类型:遥控浮球阀 2.规格、压力等级:DN100，0.6MPa 3.连接形式:法兰连接</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砌筑井</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1.名称:水表井</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管道支架</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1.材质:碳钢 2.管架形式:一般管架 3.满足设计及规范要求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金属结构刷油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1.除锈级别:轻锈 2.涂刷遍数、漆膜厚度:樟丹二道，灰色调和漆二道 3.满足设计及规范要求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挖沟槽</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1.土壤类别:三类土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回填方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1.密实度要求:分层夯填（碾压），压实系数满足设计要求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1.名称、类型:刚性防水套管 2.规格:D150 </w:t>
            </w:r>
            <w:r>
              <w:rPr>
                <w:rFonts w:hint="eastAsia" w:ascii="宋体" w:hAnsi="宋体" w:cs="宋体"/>
                <w:sz w:val="20"/>
                <w:szCs w:val="20"/>
              </w:rPr>
              <w:br/>
              <w:t xml:space="preserve">3.符合设计及规范要求 4.含制安、防腐、封堵等工作内容</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压力排水</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潜水泵</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1.名称:潜污泵 2.规格:Q=25m3/h,H=13m,N=2.2kw</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镀锌钢管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2.介质:污水 3.规格、压力等级:DN100 4.连接形式:螺纹连接</w:t>
            </w:r>
            <w:r>
              <w:rPr>
                <w:rFonts w:hint="eastAsia" w:ascii="宋体" w:hAnsi="宋体" w:cs="宋体"/>
                <w:sz w:val="20"/>
                <w:szCs w:val="20"/>
              </w:rPr>
              <w:br/>
              <w:t xml:space="preserve">5.压力试验及吹、洗设计要求:符合设计要求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镀锌钢管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2.介质:污水 3.规格、压力等级:DN80 4.连接形式:螺纹连接</w:t>
            </w:r>
            <w:r>
              <w:rPr>
                <w:rFonts w:hint="eastAsia" w:ascii="宋体" w:hAnsi="宋体" w:cs="宋体"/>
                <w:sz w:val="20"/>
                <w:szCs w:val="20"/>
              </w:rPr>
              <w:br/>
              <w:t xml:space="preserve">5.压力试验及吹、洗设计要求:符合设计要求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管道刷油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1.除锈级别:微锈 2.油漆品种:调和漆 3标志色方式、品种:红色调和漆二道</w:t>
            </w:r>
            <w:r>
              <w:rPr>
                <w:rFonts w:hint="eastAsia" w:ascii="宋体" w:hAnsi="宋体" w:cs="宋体"/>
                <w:sz w:val="20"/>
                <w:szCs w:val="20"/>
              </w:rPr>
              <w:br/>
              <w:t xml:space="preserve">4.满足设计及规范要求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管道支架</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1.材质:碳钢 2.管架形式:一般管架 3.满足设计及规范要求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金属结构刷油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1.除锈级别:轻锈 2.涂刷遍数、漆膜厚度:樟丹二道，灰色调和漆二道 3.满足设计及规范要求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挖沟槽</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1.土壤类别:三类土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回填方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1.密实度要求:分层夯填（碾压），压实系数满足设计要求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1.名称、类型:刚性防水套管 2.规格:DN150 </w:t>
            </w:r>
            <w:r>
              <w:rPr>
                <w:rFonts w:hint="eastAsia" w:ascii="宋体" w:hAnsi="宋体" w:cs="宋体"/>
                <w:sz w:val="20"/>
                <w:szCs w:val="20"/>
              </w:rPr>
              <w:br/>
              <w:t xml:space="preserve">3.符合设计及规范要求 4.含制安、防腐、封堵等工作内容</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雨水系统</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塑料管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2.介质:雨水 3.材质、规格:HDPE排水管De110 4.连接形式:热熔</w:t>
            </w:r>
            <w:r>
              <w:rPr>
                <w:rFonts w:hint="eastAsia" w:ascii="宋体" w:hAnsi="宋体" w:cs="宋体"/>
                <w:sz w:val="20"/>
                <w:szCs w:val="20"/>
              </w:rPr>
              <w:br/>
              <w:t xml:space="preserve">5.其他:符合设计及规范要求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侧排雨水斗</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1.名称:侧排雨水斗 2.规格:DN100</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挖沟槽</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1.土壤类别:三类土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回填方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1.密实度要求:分层夯填（碾压），压实系数满足设计要求</w:t>
            </w:r>
            <w:r/>
          </w:p>
        </w:tc>
      </w:tr>
      <w:tr>
        <w:trPr>
          <w:jc w:val="center"/>
          <w:trHeight w:val="300"/>
        </w:trPr>
        <w:tc>
          <w:tcPr>
            <w:shd w:val="clear" w:color="000000" w:fill="92d050"/>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000000" w:fill="92d050"/>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此项费用为固定，不可竞争，在投标报价时不得更改</w:t>
            </w:r>
            <w:r/>
          </w:p>
        </w:tc>
      </w:tr>
      <w:tr>
        <w:trPr>
          <w:jc w:val="center"/>
          <w:trHeight w:val="270"/>
        </w:trPr>
        <w:tc>
          <w:tcPr>
            <w:gridSpan w:val="3"/>
            <w:shd w:val="clear" w:color="000000" w:fill="ff00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暖通部分</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通风系统</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1.名称:泵房平时排风风机 2.型号:HTFC-I-10A 3.规格:L=2000m3/h,H=400Pa</w:t>
            </w:r>
            <w:r>
              <w:rPr>
                <w:rFonts w:hint="eastAsia" w:ascii="宋体" w:hAnsi="宋体" w:cs="宋体"/>
                <w:sz w:val="20"/>
                <w:szCs w:val="20"/>
              </w:rPr>
              <w:br/>
              <w:t xml:space="preserve">4.质量:G=100Kg 5.功率:N=1.50KW 6.单机试运转要求:符合规范要求</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轴流通风机</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1.名称:仓库平时排风风机 HTFC-I-15A 2.型号:HTFC-I-15A 3.规格:L=9000m3/h,H=400Pa</w:t>
            </w:r>
            <w:r>
              <w:rPr>
                <w:rFonts w:hint="eastAsia" w:ascii="宋体" w:hAnsi="宋体" w:cs="宋体"/>
                <w:sz w:val="20"/>
                <w:szCs w:val="20"/>
              </w:rPr>
              <w:br/>
              <w:t xml:space="preserve">4.质量:G=186Kg 5.功率:N=2.2KW 6.单机试运转要求:符合规范要求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其他风机</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1.名称:壁式排风扇(配防虫网) 2.规格:L=6000m3/h,H=400Pa,N=2.2kW</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设备支架</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1.材质 型钢 2.形式 支吊架</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金属结构刷油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1.除锈级别:轻微 2.油漆品种:两遍防锈漆，两遍调和漆</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消声器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1.名称:管式消音器 2.规格:1000×320 3.材质:钢质 4.支架形式、材质:型钢支架、除锈、刷漆</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消声器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1.名称:管式消音器 2.规格:500*200 3.材质:钢质 4.支架形式、材质:型钢支架、除锈、刷漆</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1.名称:镀锌风管 2.形状:矩形 3.规格:周长2000内 4.板材厚度:0.6</w:t>
            </w:r>
            <w:r>
              <w:rPr>
                <w:rFonts w:hint="eastAsia" w:ascii="宋体" w:hAnsi="宋体" w:cs="宋体"/>
                <w:sz w:val="20"/>
                <w:szCs w:val="20"/>
              </w:rPr>
              <w:br/>
              <w:t xml:space="preserve">5.接口形式:咬口连接</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1.名称:镀锌风管 2.形状:矩形 3.规格:周长2000内 4.板材厚度:0.75</w:t>
            </w:r>
            <w:r>
              <w:rPr>
                <w:rFonts w:hint="eastAsia" w:ascii="宋体" w:hAnsi="宋体" w:cs="宋体"/>
                <w:sz w:val="20"/>
                <w:szCs w:val="20"/>
              </w:rPr>
              <w:br/>
              <w:t xml:space="preserve">5.接口形式:咬口连接</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1.名称:镀锌风管 2.形状:矩形 3.规格:周长4000内 4.板材厚度:0.75</w:t>
            </w:r>
            <w:r>
              <w:rPr>
                <w:rFonts w:hint="eastAsia" w:ascii="宋体" w:hAnsi="宋体" w:cs="宋体"/>
                <w:sz w:val="20"/>
                <w:szCs w:val="20"/>
              </w:rPr>
              <w:br/>
              <w:t xml:space="preserve">5.接口形式:咬口连接</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碳钢通风管道</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1.名称:镀锌风管 2.形状:矩形 3.规格:周长4000内 4.板材厚度:1.0</w:t>
            </w:r>
            <w:r>
              <w:rPr>
                <w:rFonts w:hint="eastAsia" w:ascii="宋体" w:hAnsi="宋体" w:cs="宋体"/>
                <w:sz w:val="20"/>
                <w:szCs w:val="20"/>
              </w:rPr>
              <w:br/>
              <w:t xml:space="preserve">5.接口形式:咬口连接</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柔性软风管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1.名称:柔性风管 2.规格:随管道</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弯头导流叶片</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1.名称:弯头导流叶片 2.材质:镀锌钢板</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碳钢阀门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1.名称:70°防火阀 2.规格:500*200</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1.名称:单层百叶风口 2.规格:1000×500</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1.名称:单层百叶风口 2.规格:500×200</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1.名称:防雨百叶风口 2.规格:2500×630</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1.名称:单层百叶风口 2.规格:630×200</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铝及铝合金风口、散流器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1.名称:防雨百叶风口 2.规格:1600×400</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管道刷油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1.除锈级别:轻微 2.油漆品种:红丹二道，色漆二道</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通风检测、调试</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通风检测、调试</w:t>
            </w:r>
            <w:r/>
          </w:p>
        </w:tc>
      </w:tr>
      <w:tr>
        <w:trPr>
          <w:jc w:val="center"/>
          <w:trHeight w:val="300"/>
        </w:trPr>
        <w:tc>
          <w:tcPr>
            <w:shd w:val="clear" w:color="000000" w:fill="92d050"/>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000000" w:fill="92d050"/>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此项费用为固定，不可竞争，在投标报价时不得更改</w:t>
            </w:r>
            <w:r/>
          </w:p>
        </w:tc>
      </w:tr>
      <w:tr>
        <w:trPr>
          <w:jc w:val="center"/>
          <w:trHeight w:val="270"/>
        </w:trPr>
        <w:tc>
          <w:tcPr>
            <w:gridSpan w:val="3"/>
            <w:shd w:val="clear" w:color="000000" w:fill="ff00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消防部分</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火灾自动报警系统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按钮</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1.名称:消火栓按钮</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端子箱</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1.名称:火警楼层接线端子箱 2.安装部位:底距地1.5m</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模块（模块箱）</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1.名称:火警模块箱</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接线盒</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1.名称:金属接线盒 2.规格:A86 3.安装方式:暗装</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2.材质:热浸镀锌厚壁钢管 3.规格:DN20 4.敷设方式:暗配 5.含墙地面开槽修补</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1.名称:铜芯双绞线 2.配线形式:桥架/穿管敷设 3.规格:ZRNH-RVS-2×1.5 </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消防电源监控系统</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2.材质:热浸镀锌厚壁钢管 3.规格:DN20 4.敷设方式:暗配 5.含墙地面开槽修补</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1.名称:铜芯双绞线 2.配线形式:穿管敷设 3.规格:ZRNH-RVS-2X2.5</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1.名称:铜芯导线 2.配线形式:桥架/穿管敷设 3.规格:ZRNH-BV2.5</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电气火灾监控系统</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2.材质:热浸镀锌厚壁钢管 3.规格:DN20 4.敷设方式:暗配 5.含墙地面开槽修补</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1.名称:铜芯双绞线 2.配线形式:穿管敷设 3.规格:ZRNH-RVS-2X2.5</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配线</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1.名称:铜芯导线 2.配线形式:桥架/穿管敷设 3.规格:ZRNH-BV2.5</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液位显示系统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远程控制箱（柜）</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1.名称:液位显示装置</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配管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1.名称:配管 2.材质:热浸镀锌厚壁钢管 3.规格:DN20 4.敷设方式:暗配 5.含墙地面开槽修补</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控制电缆</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1.名称:控制电缆 2.规格:ZRNH-KYJY-4x2.5 3.敷设方式、部位:穿管敷设</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消火栓系统</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室内消火栓箱</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1.名称:乙型单栓带灭火器箱组合式消防柜,箱体尺寸:1800x700x240,型号：SG24E65Z-J</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室内消火栓箱</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1.名称:消防软管卷盘。,箱体尺寸:800x650x240,型号：SG24AZ</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灭火器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1.形式:手提式磷酸铵盐干粉灭火器 2.规格、型号:MF/ABC5，一组含灭火器箱1个，灭火器2具</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消火栓钢管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2.材质、规格:热浸镀锌钢管DN32 3.连接形式:螺纹连接</w:t>
            </w:r>
            <w:r>
              <w:rPr>
                <w:rFonts w:hint="eastAsia" w:ascii="宋体" w:hAnsi="宋体" w:cs="宋体"/>
                <w:sz w:val="20"/>
                <w:szCs w:val="20"/>
              </w:rPr>
              <w:br/>
              <w:t xml:space="preserve">4.压力试验及吹、洗设计要求:满足设计要求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消火栓钢管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2.材质、规格:热浸镀锌钢管DN25 3.连接形式:螺纹连接</w:t>
            </w:r>
            <w:r>
              <w:rPr>
                <w:rFonts w:hint="eastAsia" w:ascii="宋体" w:hAnsi="宋体" w:cs="宋体"/>
                <w:sz w:val="20"/>
                <w:szCs w:val="20"/>
              </w:rPr>
              <w:br/>
              <w:t xml:space="preserve">4.压力试验及吹、洗设计要求:满足设计要求</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1.类型:自动排气阀 2.材质:满足设计要求 3.规格、压力等级:DN20 4.连接形式:螺纹</w:t>
            </w:r>
            <w:r>
              <w:rPr>
                <w:rFonts w:hint="eastAsia" w:ascii="宋体" w:hAnsi="宋体" w:cs="宋体"/>
                <w:sz w:val="20"/>
                <w:szCs w:val="20"/>
              </w:rPr>
              <w:br/>
              <w:t xml:space="preserve">5.符合设计及规范要求</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1.类型:截止阀 2.材质:满足设计要求 3.规格、压力等级:DN20 4.连接形式:螺纹</w:t>
            </w:r>
            <w:r>
              <w:rPr>
                <w:rFonts w:hint="eastAsia" w:ascii="宋体" w:hAnsi="宋体" w:cs="宋体"/>
                <w:sz w:val="20"/>
                <w:szCs w:val="20"/>
              </w:rPr>
              <w:br/>
              <w:t xml:space="preserve">5.符合设计及规范要求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倒流防止器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1.名称:真空破坏器 2.型号、规格:DN25 3.连接形式:螺纹连接</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倒流防止器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1.名称:真空破坏器 2.型号、规格:DN32 3.连接形式:螺纹连接</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1.类型:截止阀 2.材质:满足设计要求 3.规格、压力等级:DN25 4.连接形式:螺纹</w:t>
            </w:r>
            <w:r>
              <w:rPr>
                <w:rFonts w:hint="eastAsia" w:ascii="宋体" w:hAnsi="宋体" w:cs="宋体"/>
                <w:sz w:val="20"/>
                <w:szCs w:val="20"/>
              </w:rPr>
              <w:br/>
              <w:t xml:space="preserve">5.符合设计及规范要求</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螺纹阀门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1.类型:截止阀 2.材质:满足设计要求 3.规格、压力等级:DN32 4.连接形式:螺纹</w:t>
            </w:r>
            <w:r>
              <w:rPr>
                <w:rFonts w:hint="eastAsia" w:ascii="宋体" w:hAnsi="宋体" w:cs="宋体"/>
                <w:sz w:val="20"/>
                <w:szCs w:val="20"/>
              </w:rPr>
              <w:br/>
              <w:t xml:space="preserve">5.符合设计及规范要求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管道刷油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1.除锈级别:微锈 2.油漆品种:调和漆 </w:t>
            </w:r>
            <w:r>
              <w:rPr>
                <w:rFonts w:hint="eastAsia" w:ascii="宋体" w:hAnsi="宋体" w:cs="宋体"/>
                <w:sz w:val="20"/>
                <w:szCs w:val="20"/>
              </w:rPr>
              <w:br/>
              <w:t xml:space="preserve">3标志色方式、品种:红色调和漆二道 4.满足设计及规范要求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管道支架</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1.材质:碳钢 2.管架形式:一般管架 3.满足设计及规范要求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金属结构刷油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1.除锈级别:轻锈 2.涂刷遍数、漆膜厚度:樟丹二道，灰色调和漆二道 3.满足设计及规范要求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水表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1.安装部位(室内外）:室外 2.型号、规格:DN25 3.连接形式:螺纹连接</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水表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1.安装部位(室内外）:室外 2.型号、规格:DN32 3.连接形式:螺纹连接</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砌筑井</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1.名称:水表井</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挖沟槽</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1.土壤类别:三类土</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回填方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1.密实度要求:分层夯填（碾压），压实系数满足设计要求</w:t>
            </w:r>
            <w:r/>
          </w:p>
        </w:tc>
      </w:tr>
      <w:tr>
        <w:trPr>
          <w:jc w:val="center"/>
          <w:trHeight w:val="270"/>
        </w:trPr>
        <w:tc>
          <w:tcPr>
            <w:gridSpan w:val="3"/>
            <w:shd w:val="clear" w:color="000000" w:fill="ffff00"/>
            <w:tcBorders>
              <w:top w:val="single" w:color="auto" w:sz="4" w:space="0"/>
              <w:left w:val="single" w:color="auto" w:sz="4" w:space="0"/>
              <w:bottom w:val="single" w:color="auto" w:sz="4" w:space="0"/>
              <w:right w:val="single" w:color="auto" w:sz="4" w:space="0"/>
            </w:tcBorders>
            <w:tcW w:w="102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消火栓系统(泵房）</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离心式泵</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1.名称:室内消火栓给水泵 2.规格:Q=20L/s, H=60m, N=30kW/台。一用一备,选用立式泵转速2960r/min。3.含减震器，电动机检查接线 4.满足设计及规范要求</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消火栓钢管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2.材质、规格:热浸镀锌钢管DN300 3.连接形式:沟槽</w:t>
            </w:r>
            <w:r>
              <w:rPr>
                <w:rFonts w:hint="eastAsia" w:ascii="宋体" w:hAnsi="宋体" w:cs="宋体"/>
                <w:sz w:val="20"/>
                <w:szCs w:val="20"/>
              </w:rPr>
              <w:br/>
              <w:t xml:space="preserve">4.压力试验及吹、洗设计要求:满足设计要求 5.其他:含管件、沟槽卡箍及连接附件</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消火栓钢管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2.材质、规格:热浸镀锌钢管DN150 3.连接形式:沟槽</w:t>
            </w:r>
            <w:r>
              <w:rPr>
                <w:rFonts w:hint="eastAsia" w:ascii="宋体" w:hAnsi="宋体" w:cs="宋体"/>
                <w:sz w:val="20"/>
                <w:szCs w:val="20"/>
              </w:rPr>
              <w:br/>
              <w:t xml:space="preserve">4.压力试验及吹、洗设计要求:满足设计要求 5.其他:含管件、沟槽卡箍及连接附件</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消火栓钢管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2.材质、规格:热浸镀锌钢管DN100 3.连接形式:沟槽</w:t>
            </w:r>
            <w:r>
              <w:rPr>
                <w:rFonts w:hint="eastAsia" w:ascii="宋体" w:hAnsi="宋体" w:cs="宋体"/>
                <w:sz w:val="20"/>
                <w:szCs w:val="20"/>
              </w:rPr>
              <w:br/>
              <w:t xml:space="preserve">4.压力试验及吹、洗设计要求:满足设计要求 5.其他:含管件、沟槽卡箍及连接附件</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消火栓钢管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1.安装部位:室内 2.材质、规格:热浸镀锌钢管DN65 3.连接形式:沟槽</w:t>
            </w:r>
            <w:r>
              <w:rPr>
                <w:rFonts w:hint="eastAsia" w:ascii="宋体" w:hAnsi="宋体" w:cs="宋体"/>
                <w:sz w:val="20"/>
                <w:szCs w:val="20"/>
              </w:rPr>
              <w:br/>
              <w:t xml:space="preserve">4.压力试验及吹、洗设计要求:满足设计要求 5.其他:含管件、沟槽卡箍及连接附件 </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1.类型:明杆闸阀 2.材质:球墨铸铁 3.规格、压力等级:DN150，1.6MPa </w:t>
            </w:r>
            <w:r>
              <w:rPr>
                <w:rFonts w:hint="eastAsia" w:ascii="宋体" w:hAnsi="宋体" w:cs="宋体"/>
                <w:sz w:val="20"/>
                <w:szCs w:val="20"/>
              </w:rPr>
              <w:br/>
              <w:t xml:space="preserve">4.连接形式:法兰 5.符合设计及规范要求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1.类型:明杆闸阀 2.材质:球墨铸铁 3.规格、压力等级:DN100，2.0MPa</w:t>
            </w:r>
            <w:r>
              <w:rPr>
                <w:rFonts w:hint="eastAsia" w:ascii="宋体" w:hAnsi="宋体" w:cs="宋体"/>
                <w:sz w:val="20"/>
                <w:szCs w:val="20"/>
              </w:rPr>
              <w:br/>
              <w:t xml:space="preserve">4.连接形式:法兰 5.符合设计及规范要求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1.类型:明杆闸阀 2.材质:球墨铸铁 3.规格、压力等级:DN65，2.0MPa </w:t>
            </w:r>
            <w:r>
              <w:rPr>
                <w:rFonts w:hint="eastAsia" w:ascii="宋体" w:hAnsi="宋体" w:cs="宋体"/>
                <w:sz w:val="20"/>
                <w:szCs w:val="20"/>
              </w:rPr>
              <w:br/>
              <w:t xml:space="preserve">4.连接形式:法兰 5.符合设计及规范要求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1.类型:多功能水泵控制阀 2.材质:铸钢 3.规格、压力等级:DN100，2.0MPa</w:t>
            </w:r>
            <w:r>
              <w:rPr>
                <w:rFonts w:hint="eastAsia" w:ascii="宋体" w:hAnsi="宋体" w:cs="宋体"/>
                <w:sz w:val="20"/>
                <w:szCs w:val="20"/>
              </w:rPr>
              <w:br/>
              <w:t xml:space="preserve">4.连接形式:法兰 5.符合设计及规范要求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1.类型:持压泄压阀 2.材质:铸钢 3.规格、压力等级:DN100，2.0MPa</w:t>
            </w:r>
            <w:r>
              <w:rPr>
                <w:rFonts w:hint="eastAsia" w:ascii="宋体" w:hAnsi="宋体" w:cs="宋体"/>
                <w:sz w:val="20"/>
                <w:szCs w:val="20"/>
              </w:rPr>
              <w:br/>
              <w:t xml:space="preserve">4.连接形式:法兰 5.符合设计及规范要求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1.类型:缓闭止回阀 2.材质:球墨铸铁 3.规格、压力等级:DN150，2.0MPa</w:t>
            </w:r>
            <w:r>
              <w:rPr>
                <w:rFonts w:hint="eastAsia" w:ascii="宋体" w:hAnsi="宋体" w:cs="宋体"/>
                <w:sz w:val="20"/>
                <w:szCs w:val="20"/>
              </w:rPr>
              <w:br/>
              <w:t xml:space="preserve">4.连接形式:法兰 5.符合设计及规范要求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1.类型:Y型过滤器 2.规格、压力等级:DN150，1.6MPa </w:t>
            </w:r>
            <w:r>
              <w:rPr>
                <w:rFonts w:hint="eastAsia" w:ascii="宋体" w:hAnsi="宋体" w:cs="宋体"/>
                <w:sz w:val="20"/>
                <w:szCs w:val="20"/>
              </w:rPr>
              <w:br/>
              <w:t xml:space="preserve">3.连接形式:法兰 4.符合设计及规范要求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1.类型:Y型过滤器 2.规格、压力等级:DN100，1.6MPa 3.连接形式:法兰 4.符合设计及规范要求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1.类型:带锁定装置蝶阀 2.材质:球墨铸铁 3.规格、压力等级:DN100，2.0MPa</w:t>
            </w:r>
            <w:r>
              <w:rPr>
                <w:rFonts w:hint="eastAsia" w:ascii="宋体" w:hAnsi="宋体" w:cs="宋体"/>
                <w:sz w:val="20"/>
                <w:szCs w:val="20"/>
              </w:rPr>
              <w:br/>
            </w:r>
            <w:r>
              <w:rPr>
                <w:rFonts w:hint="eastAsia" w:ascii="宋体" w:hAnsi="宋体" w:cs="宋体"/>
                <w:sz w:val="20"/>
                <w:szCs w:val="20"/>
              </w:rPr>
              <w:t xml:space="preserve">4.连接形式:沟槽 5.符合设计及规范要求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焊接法兰阀门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1.类型:水锤吸纳器 2.规格、压力等级:DN100，2.0MPa 3.连接形式:沟槽</w:t>
            </w:r>
            <w:r>
              <w:rPr>
                <w:rFonts w:hint="eastAsia" w:ascii="宋体" w:hAnsi="宋体" w:cs="宋体"/>
                <w:sz w:val="20"/>
                <w:szCs w:val="20"/>
              </w:rPr>
              <w:br/>
              <w:t xml:space="preserve">4.满足设计及规范要求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压力仪表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1.名称:低压压力开关 2.规格:启泵压力0.62MPa 3.其他:满足设计及规范要求</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压力仪表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1.名称:压力表</w:t>
            </w:r>
            <w:r>
              <w:rPr>
                <w:rFonts w:hint="eastAsia" w:ascii="宋体" w:hAnsi="宋体" w:cs="宋体"/>
                <w:sz w:val="20"/>
                <w:szCs w:val="20"/>
              </w:rPr>
              <w:br/>
              <w:t xml:space="preserve">2.规格:直径不应小于100mm，应采用直径不小于6mm的管道与水泵进出口相接，并应设置关断阀门 3.其他:满足设计及规范要求</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压力仪表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1.名称:真空表</w:t>
            </w:r>
            <w:r>
              <w:rPr>
                <w:rFonts w:hint="eastAsia" w:ascii="宋体" w:hAnsi="宋体" w:cs="宋体"/>
                <w:sz w:val="20"/>
                <w:szCs w:val="20"/>
              </w:rPr>
              <w:br/>
              <w:t xml:space="preserve">2.规格:直径不应小于100mm，应采用直径不小于6mm的管道与水泵进出口相接，并应设置关断阀门 3.其他:满足设计及规范要求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流量仪表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1.名称:流量计 2.规格:DN100 3.其他:满足设计及规范要求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物位检测仪表</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1.名称:液位尺 2.规格:DN50，含两端阀门及连接配件 3.其他:满足设计及规范要求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低压碳钢管件</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1.名称:旋流防止器 2.规格:DN150，含支架 3.满足设计及规范要求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低压碳钢管件</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1.名称:溢水喇叭口 2.规格:DN150 3.满足设计及规范要求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十八目防虫罩</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1.名称:十八目防虫罩 2.其他:满足设计及规范要求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低压碳钢管件</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1.名称:弯头 2.材质:碳钢镀锌 3.规格:DN150 4.其他:满足设计及规范要求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低压碳钢管件</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1.名称:偏心大小头 2.材质:碳钢镀锌 3.规格:DN150/100 4.其他:满足设计及规范要求 </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软接头（软管）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1.名称:橡胶软接头 2.规格:DN150 3.连接形式:法兰 4.其他:满足设计及规范要求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软接头（软管）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1.名称:橡胶软接头 2.规格:DN100 3.连接形式:法兰 4.其他:满足设计及规范要求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1.名称、类型:柔性防水套管 2.规格:DN150 </w:t>
            </w:r>
            <w:r>
              <w:rPr>
                <w:rFonts w:hint="eastAsia" w:ascii="宋体" w:hAnsi="宋体" w:cs="宋体"/>
                <w:sz w:val="20"/>
                <w:szCs w:val="20"/>
              </w:rPr>
              <w:br/>
              <w:t xml:space="preserve">3.符合设计及规范要求 4.含制安、防腐、封堵等工作内容</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1.名称、类型:刚性防水套管 2.规格:DN350 3.符合设计及规范要求 </w:t>
            </w:r>
            <w:r>
              <w:rPr>
                <w:rFonts w:hint="eastAsia" w:ascii="宋体" w:hAnsi="宋体" w:cs="宋体"/>
                <w:sz w:val="20"/>
                <w:szCs w:val="20"/>
              </w:rPr>
              <w:br/>
              <w:t xml:space="preserve">4.含制安、防腐、封堵等工作内容</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1.名称、类型:刚性防水套管 2.规格:DN200 </w:t>
            </w:r>
            <w:r>
              <w:rPr>
                <w:rFonts w:hint="eastAsia" w:ascii="宋体" w:hAnsi="宋体" w:cs="宋体"/>
                <w:sz w:val="20"/>
                <w:szCs w:val="20"/>
              </w:rPr>
              <w:br/>
              <w:t xml:space="preserve">3.符合设计及规范要求 4.含制安、防腐、封堵等工作内容 </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1.名称、类型:刚性防水套管 2.规格:DN150 3.符合设计及规范要求</w:t>
            </w:r>
            <w:r>
              <w:rPr>
                <w:rFonts w:hint="eastAsia" w:ascii="宋体" w:hAnsi="宋体" w:cs="宋体"/>
                <w:sz w:val="20"/>
                <w:szCs w:val="20"/>
              </w:rPr>
              <w:br/>
              <w:t xml:space="preserve">4.含制安、防腐、封堵等工作内容</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1.名称、类型:刚性防水套管 2.规格:DN100 3.符合设计及规范要求 </w:t>
            </w:r>
            <w:r>
              <w:rPr>
                <w:rFonts w:hint="eastAsia" w:ascii="宋体" w:hAnsi="宋体" w:cs="宋体"/>
                <w:sz w:val="20"/>
                <w:szCs w:val="20"/>
              </w:rPr>
              <w:br/>
              <w:t xml:space="preserve">4.含制安、防腐、封堵等工作内容</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套管</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1.名称、类型:刚性防水套管 2.规格:DN50 3.符合设计及规范要求</w:t>
            </w:r>
            <w:r>
              <w:rPr>
                <w:rFonts w:hint="eastAsia" w:ascii="宋体" w:hAnsi="宋体" w:cs="宋体"/>
                <w:sz w:val="20"/>
                <w:szCs w:val="20"/>
              </w:rPr>
              <w:br/>
              <w:t xml:space="preserve">4.含制安、防腐、封堵等工作内容</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管道刷油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1.除锈级别:微锈 2.油漆品种:调和漆 </w:t>
            </w:r>
            <w:r>
              <w:rPr>
                <w:rFonts w:hint="eastAsia" w:ascii="宋体" w:hAnsi="宋体" w:cs="宋体"/>
                <w:sz w:val="20"/>
                <w:szCs w:val="20"/>
              </w:rPr>
              <w:br/>
              <w:t xml:space="preserve">3.标志色方式、品种:红色调和漆二道 4.满足设计及规范要求</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管道支架</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1.材质:碳钢 2.管架形式:弹性支吊架 3.满足设计及规范要求</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ffffff" w:fill="ffffff"/>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金属结构刷油</w:t>
            </w:r>
            <w:r/>
          </w:p>
        </w:tc>
        <w:tc>
          <w:tcPr>
            <w:shd w:val="clear" w:color="ffffff" w:fill="ffffff"/>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1.除锈级别:轻锈  2.涂刷遍数、漆膜厚度:樟丹二道，灰色调和漆二道 3.满足设计及规范要求</w:t>
            </w:r>
            <w:r/>
          </w:p>
        </w:tc>
      </w:tr>
      <w:tr>
        <w:trPr>
          <w:jc w:val="center"/>
          <w:trHeight w:val="300"/>
        </w:trPr>
        <w:tc>
          <w:tcPr>
            <w:shd w:val="clear" w:color="000000" w:fill="92d050"/>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92d050"/>
            <w:tcBorders>
              <w:top w:val="none" w:color="000000" w:sz="4" w:space="0"/>
              <w:left w:val="none" w:color="000000" w:sz="4" w:space="0"/>
              <w:bottom w:val="single" w:color="auto" w:sz="4" w:space="0"/>
              <w:right w:val="single" w:color="auto" w:sz="4" w:space="0"/>
            </w:tcBorders>
            <w:tcW w:w="297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不可竞争费</w:t>
            </w:r>
            <w:r/>
          </w:p>
        </w:tc>
        <w:tc>
          <w:tcPr>
            <w:shd w:val="clear" w:color="000000" w:fill="92d050"/>
            <w:tcBorders>
              <w:top w:val="none" w:color="000000" w:sz="4" w:space="0"/>
              <w:left w:val="none" w:color="000000" w:sz="4" w:space="0"/>
              <w:bottom w:val="single" w:color="auto" w:sz="4" w:space="0"/>
              <w:right w:val="single" w:color="auto" w:sz="4" w:space="0"/>
            </w:tcBorders>
            <w:tcW w:w="66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此项费用为固定，不可竞争，在投标报价时不得更改</w:t>
            </w:r>
            <w:r/>
          </w:p>
        </w:tc>
      </w:tr>
    </w:tbl>
    <w:p>
      <w:r/>
      <w:r/>
    </w:p>
    <w:p>
      <w:pPr>
        <w:numPr>
          <w:ilvl w:val="0"/>
          <w:numId w:val="7"/>
        </w:numPr>
        <w:rPr>
          <w:rFonts w:ascii="宋体" w:hAnsi="宋体" w:cs="宋体"/>
          <w:b/>
          <w:bCs/>
          <w:sz w:val="24"/>
          <w:szCs w:val="24"/>
        </w:rPr>
      </w:pPr>
      <w:r>
        <w:rPr>
          <w:rFonts w:hint="eastAsia" w:ascii="宋体" w:hAnsi="宋体" w:cs="宋体"/>
          <w:b/>
          <w:bCs/>
          <w:sz w:val="24"/>
          <w:szCs w:val="24"/>
        </w:rPr>
        <w:t xml:space="preserve">★商务要求</w:t>
      </w:r>
      <w:r/>
    </w:p>
    <w:p>
      <w:pPr>
        <w:pStyle w:val="708"/>
        <w:ind w:firstLine="480"/>
        <w:jc w:val="left"/>
        <w:rPr>
          <w:rFonts w:eastAsiaTheme="minorEastAsia"/>
          <w:color w:val="auto"/>
          <w:lang w:val="en-US"/>
        </w:rPr>
      </w:pPr>
      <w:r>
        <w:rPr>
          <w:rFonts w:hint="eastAsia" w:eastAsiaTheme="minorEastAsia"/>
          <w:color w:val="auto"/>
          <w:lang w:val="en-US"/>
        </w:rPr>
        <w:t xml:space="preserve">1、中标单位在确定中标资格后</w:t>
      </w:r>
      <w:r>
        <w:rPr>
          <w:rFonts w:hint="eastAsia" w:eastAsiaTheme="minorEastAsia"/>
          <w:color w:val="auto"/>
          <w:lang w:val="en-US"/>
        </w:rPr>
        <w:t xml:space="preserve">签订合同前</w:t>
      </w:r>
      <w:r>
        <w:rPr>
          <w:rFonts w:hint="eastAsia" w:eastAsiaTheme="minorEastAsia"/>
          <w:color w:val="auto"/>
          <w:lang w:val="en-US"/>
        </w:rPr>
        <w:t xml:space="preserve">，须采用合同规定的形式向采购单位缴纳10%作为本项目的履约保证金，项目验收合格后，采购单位退还履约保证金。若中标单位未按时交纳履约保证金，视为自动放弃中标资格。中标单位凭中标通知书、采购单位财务部门出具的履约保证金收款证明与实施单位签订合同。 (收款账户：南京市浦口区人民政府桥林街道办事处财政所，桥林农行账户：10122901040000087)。</w:t>
      </w:r>
      <w:r/>
    </w:p>
    <w:p>
      <w:pPr>
        <w:pStyle w:val="708"/>
        <w:ind w:firstLine="480"/>
        <w:rPr>
          <w:rFonts w:eastAsiaTheme="minorEastAsia"/>
          <w:color w:val="auto"/>
          <w:lang w:val="en-US"/>
        </w:rPr>
      </w:pPr>
      <w:r>
        <w:rPr>
          <w:rFonts w:hint="eastAsia" w:eastAsiaTheme="minorEastAsia"/>
          <w:color w:val="auto"/>
          <w:lang w:val="en-US"/>
        </w:rPr>
        <w:t xml:space="preserve">2、工作重点内容</w:t>
      </w:r>
      <w:r/>
    </w:p>
    <w:p>
      <w:pPr>
        <w:pStyle w:val="708"/>
        <w:ind w:firstLine="480"/>
        <w:rPr>
          <w:rFonts w:eastAsiaTheme="minorEastAsia"/>
          <w:color w:val="auto"/>
          <w:lang w:val="en-US"/>
        </w:rPr>
      </w:pPr>
      <w:r>
        <w:rPr>
          <w:rFonts w:hint="eastAsia" w:eastAsiaTheme="minorEastAsia"/>
          <w:color w:val="auto"/>
          <w:lang w:val="en-US"/>
        </w:rPr>
        <w:t xml:space="preserve">我单位承诺：积极配合跟踪审计单位出具跟审报告，自项目完成验收三个月内报送结算审计所有材料，否则视同我单位主动放弃申报结算资料资格，甲方有权要求相关审计单位根据实际情况直接出具审计报告，所产生的一切损失费用由我单位自行承担；若有特殊原因三个月内不能报送审计结算的情况，需提前 30天向甲方书面申请，经甲方会商同意后，凭相关会议纪要酌情延迟送审时间。 (提供承诺书扫描件上传)</w:t>
      </w:r>
      <w:r/>
    </w:p>
    <w:p>
      <w:pPr>
        <w:pStyle w:val="708"/>
        <w:ind w:firstLine="480"/>
        <w:rPr>
          <w:rFonts w:eastAsiaTheme="minorEastAsia"/>
          <w:color w:val="auto"/>
          <w:lang w:val="en-US"/>
        </w:rPr>
      </w:pPr>
      <w:r>
        <w:rPr>
          <w:rFonts w:hint="eastAsia" w:eastAsiaTheme="minorEastAsia"/>
          <w:color w:val="auto"/>
          <w:lang w:val="en-US"/>
        </w:rPr>
        <w:t xml:space="preserve">3、我单位承诺：根据供货进度和货款支付进度，及时足额兑付农民工工资等劳务人员报酬，不拖欠农民工工资，并建立有效的农民工工资支付制度，加强对农民工工资支付工作的管理。 (提供承诺书加盖公章上传)</w:t>
      </w:r>
      <w:r/>
    </w:p>
    <w:p>
      <w:pPr>
        <w:pStyle w:val="708"/>
        <w:ind w:firstLine="480"/>
        <w:rPr>
          <w:rFonts w:eastAsiaTheme="minorEastAsia"/>
          <w:color w:val="auto"/>
          <w:lang w:val="en-US"/>
        </w:rPr>
      </w:pPr>
      <w:r>
        <w:rPr>
          <w:rFonts w:hint="eastAsia" w:eastAsiaTheme="minorEastAsia"/>
          <w:color w:val="auto"/>
          <w:lang w:val="en-US"/>
        </w:rPr>
        <w:t xml:space="preserve">4、中标人不得转让、分包给其它单位或个人。</w:t>
      </w:r>
      <w:r/>
    </w:p>
    <w:p>
      <w:pPr>
        <w:pStyle w:val="708"/>
        <w:ind w:firstLine="480"/>
        <w:rPr>
          <w:rFonts w:eastAsiaTheme="minorEastAsia"/>
          <w:color w:val="auto"/>
          <w:lang w:val="en-US"/>
        </w:rPr>
      </w:pPr>
      <w:r>
        <w:rPr>
          <w:rFonts w:hint="eastAsia" w:eastAsiaTheme="minorEastAsia"/>
          <w:color w:val="auto"/>
          <w:lang w:val="en-US"/>
        </w:rPr>
        <w:t xml:space="preserve">5、供货过程中的水、电由投标人自行考虑。</w:t>
      </w:r>
      <w:r/>
    </w:p>
    <w:p>
      <w:pPr>
        <w:pStyle w:val="708"/>
        <w:ind w:firstLine="480"/>
        <w:rPr>
          <w:rFonts w:eastAsiaTheme="minorEastAsia"/>
          <w:color w:val="auto"/>
          <w:lang w:val="en-US"/>
        </w:rPr>
      </w:pPr>
      <w:r>
        <w:rPr>
          <w:rFonts w:hint="eastAsia" w:eastAsiaTheme="minorEastAsia"/>
          <w:color w:val="auto"/>
          <w:lang w:val="en-US"/>
        </w:rPr>
        <w:t xml:space="preserve">6、在供货过程中采购人有权对投标人进场材料进行随机抽检，检测费由投标人承担。若进场材料检测不合格达到两次，采购人将立即终止合同并保留追究供应商责任的权利。</w:t>
      </w:r>
      <w:r/>
    </w:p>
    <w:p>
      <w:pPr>
        <w:pStyle w:val="708"/>
        <w:ind w:firstLine="480"/>
        <w:rPr>
          <w:rFonts w:eastAsiaTheme="minorEastAsia"/>
          <w:color w:val="auto"/>
          <w:lang w:val="en-US"/>
        </w:rPr>
      </w:pPr>
      <w:r>
        <w:rPr>
          <w:rFonts w:hint="eastAsia" w:eastAsiaTheme="minorEastAsia"/>
          <w:color w:val="auto"/>
          <w:lang w:val="en-US"/>
        </w:rPr>
        <w:t xml:space="preserve">7、中标后，中标人将电子投标书纸质化打印6份，于合同签订当日送至街道，以备后续审查、审计、存档使用。</w:t>
      </w:r>
      <w:r/>
    </w:p>
    <w:p>
      <w:pPr>
        <w:pStyle w:val="708"/>
        <w:ind w:firstLine="480"/>
        <w:rPr>
          <w:rFonts w:eastAsiaTheme="minorEastAsia"/>
          <w:color w:val="auto"/>
          <w:lang w:val="en-US"/>
        </w:rPr>
      </w:pPr>
      <w:r>
        <w:rPr>
          <w:rFonts w:hint="eastAsia" w:eastAsiaTheme="minorEastAsia"/>
          <w:color w:val="auto"/>
          <w:lang w:val="en-US"/>
        </w:rPr>
        <w:t xml:space="preserve">8、为避免投标人非理性报价、防范恶意低价谋取成交影响项目实施，评标委员会在认为投标人报价明显低于其他实质响应投标人报价、有可能影响实施质量、难以诚信履约时，可以要求投标人在现场合理的时间内提供书面说明，内容包括但不限于报价的原因、具体可落实环节和理由等。投标人不能按评标委员会要求说明报价合理性的，评标委员会可以将其作为无效响应。</w:t>
      </w:r>
      <w:r/>
    </w:p>
    <w:p>
      <w:pPr>
        <w:pStyle w:val="708"/>
        <w:ind w:firstLine="480"/>
        <w:rPr>
          <w:rFonts w:eastAsiaTheme="minorEastAsia"/>
          <w:color w:val="auto"/>
          <w:lang w:val="en-US"/>
        </w:rPr>
      </w:pPr>
      <w:r>
        <w:rPr>
          <w:rFonts w:hint="eastAsia" w:eastAsiaTheme="minorEastAsia"/>
          <w:color w:val="auto"/>
          <w:lang w:val="en-US"/>
        </w:rPr>
        <w:t xml:space="preserve">9、供货清单应与招标文件、投标须知、图纸、规范及相关文件等一起使用。</w:t>
      </w:r>
      <w:r/>
    </w:p>
    <w:p>
      <w:pPr>
        <w:pStyle w:val="708"/>
        <w:ind w:firstLine="480"/>
        <w:rPr>
          <w:rFonts w:eastAsiaTheme="minorEastAsia"/>
          <w:color w:val="auto"/>
          <w:lang w:val="en-US"/>
        </w:rPr>
      </w:pPr>
      <w:r>
        <w:rPr>
          <w:rFonts w:hint="eastAsia" w:eastAsiaTheme="minorEastAsia"/>
          <w:color w:val="auto"/>
          <w:lang w:val="en-US"/>
        </w:rPr>
        <w:t xml:space="preserve">10、投标人在拿到供货清单后必须严格按此清单数量自主报价，不得随意更改清单，并充分考虑除设计变更及供货条件变更以外的各种风险因素。</w:t>
      </w:r>
      <w:r/>
    </w:p>
    <w:p>
      <w:pPr>
        <w:pStyle w:val="708"/>
        <w:ind w:firstLine="480"/>
        <w:rPr>
          <w:rFonts w:eastAsiaTheme="minorEastAsia"/>
          <w:color w:val="auto"/>
          <w:lang w:val="en-US"/>
        </w:rPr>
      </w:pPr>
      <w:r>
        <w:rPr>
          <w:rFonts w:hint="eastAsia" w:eastAsiaTheme="minorEastAsia"/>
          <w:color w:val="auto"/>
          <w:lang w:val="en-US"/>
        </w:rPr>
        <w:t xml:space="preserve">11、供货时，注意保护附近农田、绿地、输电线杆、花木、已建建（构）筑物、地下管线等设施，根据周围建（构）筑物的情况、地质条件、实施对周围环境的影响程度等因素综合考虑，必要时需采取支护和加固措施，确保周围建筑物和本项目结构安全，相关费用计入投标报价内，今后不再增加费用。未将防护费纳入报价的，视为已包括在清单其他项目和总价中。若供货期间发生保护不力导致损坏、影响正常运行的情况，无论是否中标人自身行为所致，造成损失费用概由中标人承担，并视情节轻重及有关规定进行罚款。</w:t>
      </w:r>
      <w:r/>
    </w:p>
    <w:p>
      <w:pPr>
        <w:pStyle w:val="708"/>
        <w:ind w:firstLine="480"/>
        <w:rPr>
          <w:rFonts w:eastAsiaTheme="minorEastAsia"/>
          <w:color w:val="auto"/>
          <w:lang w:val="en-US"/>
        </w:rPr>
      </w:pPr>
      <w:r>
        <w:rPr>
          <w:rFonts w:hint="eastAsia" w:eastAsiaTheme="minorEastAsia"/>
          <w:color w:val="auto"/>
          <w:lang w:val="en-US"/>
        </w:rPr>
        <w:t xml:space="preserve">12、投标人在报价时应结合本单位的具体情况，充分考虑各自实际的供货方案及技术措施，据实报价，一旦中标，除非设计图纸发生重大变更导致供货方案变化，投标报价的费用均不再调整，因现场实际方案与投标报价时方案不一致引起的费用改变，也不再另计。</w:t>
      </w:r>
      <w:r/>
    </w:p>
    <w:p>
      <w:pPr>
        <w:pStyle w:val="708"/>
        <w:ind w:firstLine="480"/>
        <w:rPr>
          <w:rFonts w:eastAsiaTheme="minorEastAsia"/>
          <w:color w:val="auto"/>
          <w:lang w:val="en-US"/>
        </w:rPr>
      </w:pPr>
      <w:r>
        <w:rPr>
          <w:rFonts w:hint="eastAsia" w:eastAsiaTheme="minorEastAsia"/>
          <w:color w:val="auto"/>
          <w:lang w:val="en-US"/>
        </w:rPr>
        <w:t xml:space="preserve">13、无论清单是否写明砼的性能要求，投标人都应根据设计图纸对砼的性能要求进行报价，今后不再另计。若因现场条件特殊需要增设地泵或其他措施，则投标人应将此部分费用计入相关投标报价中。</w:t>
      </w:r>
      <w:r/>
    </w:p>
    <w:p>
      <w:pPr>
        <w:pStyle w:val="708"/>
        <w:ind w:firstLine="480"/>
        <w:rPr>
          <w:rFonts w:eastAsiaTheme="minorEastAsia"/>
          <w:color w:val="auto"/>
          <w:lang w:val="en-US"/>
        </w:rPr>
      </w:pPr>
      <w:r>
        <w:rPr>
          <w:rFonts w:hint="eastAsia" w:eastAsiaTheme="minorEastAsia"/>
          <w:color w:val="auto"/>
          <w:lang w:val="en-US"/>
        </w:rPr>
        <w:t xml:space="preserve">14、保险费：投标人应根据招标文件要求并提供保单作为保险费用结算依据，低于投标报价部分实报实销，超</w:t>
      </w:r>
      <w:r>
        <w:rPr>
          <w:rFonts w:hint="eastAsia" w:eastAsiaTheme="minorEastAsia"/>
          <w:color w:val="auto"/>
          <w:lang w:val="en-US"/>
        </w:rPr>
        <w:t xml:space="preserve">出投标报价部分由投标人自行承担。 </w:t>
      </w:r>
      <w:r/>
    </w:p>
    <w:p>
      <w:pPr>
        <w:pStyle w:val="708"/>
        <w:ind w:firstLine="480"/>
        <w:rPr>
          <w:rFonts w:eastAsiaTheme="minorEastAsia"/>
          <w:color w:val="auto"/>
          <w:lang w:val="en-US"/>
        </w:rPr>
      </w:pPr>
      <w:r>
        <w:rPr>
          <w:rFonts w:hint="eastAsia" w:eastAsiaTheme="minorEastAsia"/>
          <w:color w:val="auto"/>
          <w:lang w:val="en-US"/>
        </w:rPr>
        <w:t xml:space="preserve">15、投标人使用招标人提供弃</w:t>
      </w:r>
      <w:r>
        <w:rPr>
          <w:rFonts w:hint="eastAsia" w:eastAsiaTheme="minorEastAsia"/>
          <w:color w:val="auto"/>
          <w:lang w:val="en-US"/>
        </w:rPr>
        <w:t xml:space="preserve">置</w:t>
      </w:r>
      <w:r>
        <w:rPr>
          <w:rFonts w:hint="eastAsia" w:eastAsiaTheme="minorEastAsia"/>
          <w:color w:val="auto"/>
          <w:lang w:val="en-US"/>
        </w:rPr>
        <w:t xml:space="preserve">区时，不得产生二次污染，如因投标人原因引起环境污染造成的罚款，由其自理。</w:t>
      </w:r>
      <w:r/>
    </w:p>
    <w:p>
      <w:pPr>
        <w:pStyle w:val="708"/>
        <w:ind w:firstLine="480"/>
        <w:rPr>
          <w:rFonts w:eastAsiaTheme="minorEastAsia"/>
          <w:color w:val="auto"/>
          <w:lang w:val="en-US"/>
        </w:rPr>
      </w:pPr>
      <w:r>
        <w:rPr>
          <w:rFonts w:hint="eastAsia" w:eastAsiaTheme="minorEastAsia"/>
          <w:color w:val="auto"/>
          <w:lang w:val="en-US"/>
        </w:rPr>
        <w:t xml:space="preserve">16、投标人在报价时须考虑供货至验收通过期间的市政道路保洁费用，此项费用由投标人自行考虑计入投标报价中，包括达到工完场</w:t>
      </w:r>
      <w:r>
        <w:rPr>
          <w:rFonts w:hint="eastAsia" w:eastAsiaTheme="minorEastAsia"/>
          <w:color w:val="auto"/>
          <w:lang w:val="en-US"/>
        </w:rPr>
        <w:t xml:space="preserve">清、通过验收、直至保修期满并通过</w:t>
      </w:r>
      <w:r>
        <w:rPr>
          <w:rFonts w:hint="eastAsia" w:eastAsiaTheme="minorEastAsia"/>
          <w:color w:val="auto"/>
          <w:lang w:val="en-US"/>
        </w:rPr>
        <w:t xml:space="preserve">验收所需的全部费用。</w:t>
      </w:r>
      <w:r/>
    </w:p>
    <w:p>
      <w:pPr>
        <w:pStyle w:val="708"/>
        <w:ind w:firstLine="480"/>
        <w:rPr>
          <w:rFonts w:eastAsiaTheme="minorEastAsia"/>
          <w:color w:val="auto"/>
          <w:lang w:val="en-US"/>
        </w:rPr>
      </w:pPr>
      <w:r>
        <w:rPr>
          <w:rFonts w:hint="eastAsia" w:eastAsiaTheme="minorEastAsia"/>
          <w:color w:val="auto"/>
          <w:lang w:val="en-US"/>
        </w:rPr>
        <w:t xml:space="preserve">17、供货过程中若因中标人原因影响环境造成的罚款，由其自理。</w:t>
      </w:r>
      <w:r/>
    </w:p>
    <w:p>
      <w:pPr>
        <w:pStyle w:val="708"/>
        <w:ind w:firstLine="480"/>
        <w:rPr>
          <w:rFonts w:eastAsiaTheme="minorEastAsia"/>
          <w:color w:val="auto"/>
          <w:lang w:val="en-US"/>
        </w:rPr>
      </w:pPr>
      <w:r>
        <w:rPr>
          <w:rFonts w:hint="eastAsia" w:eastAsiaTheme="minorEastAsia"/>
          <w:color w:val="auto"/>
          <w:lang w:val="en-US"/>
        </w:rPr>
        <w:t xml:space="preserve">18、投标人自行考虑供货区域内外相关清障费用（如存在的基础、场地、树木、树根、阻水构筑物、建筑物等）并计入相应投标报价中，今后不再另计。</w:t>
      </w:r>
      <w:r/>
    </w:p>
    <w:p>
      <w:pPr>
        <w:pStyle w:val="708"/>
        <w:ind w:firstLine="480"/>
        <w:rPr>
          <w:rFonts w:eastAsiaTheme="minorEastAsia"/>
          <w:color w:val="auto"/>
          <w:lang w:val="en-US"/>
        </w:rPr>
      </w:pPr>
      <w:r>
        <w:rPr>
          <w:rFonts w:hint="eastAsia" w:eastAsiaTheme="minorEastAsia"/>
          <w:color w:val="auto"/>
          <w:lang w:val="en-US"/>
        </w:rPr>
        <w:t xml:space="preserve">19、投标人应结合供货清单及招标图纸进行报价，若招标图纸中有相关做法、要求等说明，但清单特征未描述详细，视为报价已含。</w:t>
      </w:r>
      <w:r/>
    </w:p>
    <w:p>
      <w:pPr>
        <w:pStyle w:val="708"/>
        <w:ind w:firstLine="480"/>
        <w:rPr>
          <w:rFonts w:eastAsiaTheme="minorEastAsia"/>
          <w:color w:val="auto"/>
          <w:lang w:val="en-US"/>
        </w:rPr>
      </w:pPr>
      <w:r>
        <w:rPr>
          <w:rFonts w:hint="eastAsia" w:eastAsiaTheme="minorEastAsia"/>
          <w:color w:val="auto"/>
          <w:lang w:val="en-US"/>
        </w:rPr>
        <w:t xml:space="preserve">20、临时用电电源、临时用水水源由投标人自行解决。</w:t>
      </w:r>
      <w:r/>
    </w:p>
    <w:p>
      <w:pPr>
        <w:pStyle w:val="708"/>
        <w:ind w:firstLine="480"/>
        <w:rPr>
          <w:rFonts w:eastAsiaTheme="minorEastAsia"/>
          <w:color w:val="auto"/>
          <w:lang w:val="en-US"/>
        </w:rPr>
      </w:pPr>
      <w:r>
        <w:rPr>
          <w:rFonts w:hint="eastAsia" w:eastAsiaTheme="minorEastAsia"/>
          <w:color w:val="auto"/>
          <w:highlight w:val="yellow"/>
          <w:lang w:val="en-US"/>
        </w:rPr>
        <w:t xml:space="preserve">21、本项目</w:t>
      </w:r>
      <w:r>
        <w:rPr>
          <w:rFonts w:hint="eastAsia" w:eastAsiaTheme="minorEastAsia"/>
          <w:color w:val="auto"/>
          <w:highlight w:val="yellow"/>
          <w:lang w:val="en-US"/>
        </w:rPr>
        <w:t xml:space="preserve">中所有的混凝土模板、脚手架、垂直运输、大型机械进退场等相关措施费用</w:t>
      </w:r>
      <w:r>
        <w:rPr>
          <w:rFonts w:hint="eastAsia" w:eastAsiaTheme="minorEastAsia"/>
          <w:color w:val="auto"/>
          <w:highlight w:val="yellow"/>
          <w:lang w:val="en-US"/>
        </w:rPr>
        <w:t xml:space="preserve">及税金</w:t>
      </w:r>
      <w:r>
        <w:rPr>
          <w:rFonts w:hint="eastAsia" w:eastAsiaTheme="minorEastAsia"/>
          <w:color w:val="auto"/>
          <w:highlight w:val="yellow"/>
          <w:lang w:val="en-US"/>
        </w:rPr>
        <w:t xml:space="preserve">均已包含在投标总价中，由投标人报价时综合考虑</w:t>
      </w:r>
      <w:r>
        <w:rPr>
          <w:rFonts w:hint="eastAsia" w:eastAsiaTheme="minorEastAsia"/>
          <w:color w:val="auto"/>
          <w:highlight w:val="yellow"/>
          <w:lang w:val="en-US"/>
        </w:rPr>
        <w:t xml:space="preserve">。</w:t>
      </w:r>
      <w:r/>
    </w:p>
    <w:p>
      <w:pPr>
        <w:pStyle w:val="708"/>
        <w:ind w:firstLine="480"/>
        <w:rPr>
          <w:rFonts w:eastAsiaTheme="minorEastAsia"/>
          <w:color w:val="auto"/>
          <w:lang w:val="en-US"/>
        </w:rPr>
      </w:pPr>
      <w:r>
        <w:rPr>
          <w:rFonts w:hint="eastAsia" w:eastAsiaTheme="minorEastAsia"/>
          <w:color w:val="auto"/>
          <w:lang w:val="en-US"/>
        </w:rPr>
        <w:t xml:space="preserve">22、验收前，中标人对原有道路的损坏，需修补赔偿，便道等临时设施要清理，且清理出的废料应外运弃置，并符合相关管理要求。场外道路损坏，投标人自行负责。投标人应认真踏勘现场，充分考虑相关费用列入投标单价的报价中，结算时不得调整。</w:t>
      </w:r>
      <w:r/>
    </w:p>
    <w:p>
      <w:pPr>
        <w:pStyle w:val="708"/>
        <w:ind w:firstLine="480"/>
        <w:rPr>
          <w:rFonts w:eastAsiaTheme="minorEastAsia"/>
          <w:color w:val="auto"/>
          <w:lang w:val="en-US"/>
        </w:rPr>
      </w:pPr>
      <w:r>
        <w:rPr>
          <w:rFonts w:hint="eastAsia" w:eastAsiaTheme="minorEastAsia"/>
          <w:color w:val="auto"/>
          <w:lang w:val="en-US"/>
        </w:rPr>
        <w:t xml:space="preserve">23、供货期间，在场地外</w:t>
      </w:r>
      <w:r>
        <w:rPr>
          <w:rFonts w:hint="eastAsia" w:eastAsiaTheme="minorEastAsia"/>
          <w:color w:val="auto"/>
          <w:lang w:val="en-US"/>
        </w:rPr>
        <w:t xml:space="preserve">围运输材料及垃圾等过程中，涉及到与城管、交警、环保等部门、地方单位和个人的协调工作和由此发生的费用均由中标</w:t>
      </w:r>
      <w:r>
        <w:rPr>
          <w:rFonts w:hint="eastAsia" w:eastAsiaTheme="minorEastAsia"/>
          <w:color w:val="auto"/>
          <w:lang w:val="en-US"/>
        </w:rPr>
        <w:t xml:space="preserve">人负责和承担。投标人在供货完工移交之前做好设备等成品保护，如有损坏，投标人负责承担。</w:t>
      </w:r>
      <w:r/>
    </w:p>
    <w:p>
      <w:pPr>
        <w:pStyle w:val="708"/>
        <w:ind w:firstLine="480"/>
        <w:rPr>
          <w:rFonts w:eastAsiaTheme="minorEastAsia"/>
          <w:color w:val="auto"/>
          <w:lang w:val="en-US"/>
        </w:rPr>
      </w:pPr>
      <w:r>
        <w:rPr>
          <w:rFonts w:hint="eastAsia" w:eastAsiaTheme="minorEastAsia"/>
          <w:color w:val="auto"/>
          <w:lang w:val="en-US"/>
        </w:rPr>
        <w:t xml:space="preserve">24、供货现场必须采取扬尘污染防治措施及抛洒滴漏防治措施，必须符合江苏省及南京市的有关规定，由此产生的费用列入投标单价的报价中，结算时不得调整。</w:t>
      </w:r>
      <w:r/>
    </w:p>
    <w:p>
      <w:pPr>
        <w:pStyle w:val="708"/>
        <w:ind w:firstLine="480"/>
        <w:rPr>
          <w:rFonts w:eastAsiaTheme="minorEastAsia"/>
          <w:color w:val="auto"/>
          <w:lang w:val="en-US"/>
        </w:rPr>
      </w:pPr>
      <w:r>
        <w:rPr>
          <w:rFonts w:hint="eastAsia" w:eastAsiaTheme="minorEastAsia"/>
          <w:color w:val="auto"/>
          <w:lang w:val="en-US"/>
        </w:rPr>
        <w:t xml:space="preserve">25、投标人为安全生产主体责任方，在甲方及各级部门组织的安全检查中，每发现或通报一处安全隐患或违反安全生产的操作等问题，将对投标人处以 500 至 5000 元的罚款； 如投标人未按要求及时对安全隐患和问题进行整改，在复查中每发现一处未整改问题，处以总合同款 0.5-5‰的罚款(可累加)。</w:t>
      </w:r>
      <w:r/>
    </w:p>
    <w:p>
      <w:pPr>
        <w:pStyle w:val="708"/>
        <w:ind w:firstLine="480"/>
        <w:rPr>
          <w:rFonts w:eastAsiaTheme="minorEastAsia"/>
          <w:color w:val="auto"/>
          <w:lang w:val="en-US"/>
        </w:rPr>
      </w:pPr>
      <w:r>
        <w:rPr>
          <w:rFonts w:hint="eastAsia" w:eastAsiaTheme="minorEastAsia"/>
          <w:color w:val="auto"/>
          <w:lang w:val="en-US"/>
        </w:rPr>
        <w:t xml:space="preserve">26、发生安全生产责任事故的：一般责任事故将扣除 10%-30%合同款；重大责任事故将一票否决，扣除剩余合同款，并禁止再参与桥林地区政府投资项目。</w:t>
      </w:r>
      <w:r/>
    </w:p>
    <w:p>
      <w:pPr>
        <w:pStyle w:val="708"/>
        <w:ind w:firstLine="480"/>
        <w:rPr>
          <w:rFonts w:eastAsiaTheme="minorEastAsia"/>
          <w:color w:val="auto"/>
          <w:lang w:val="en-US"/>
        </w:rPr>
      </w:pPr>
      <w:r>
        <w:rPr>
          <w:rFonts w:hint="eastAsia" w:eastAsiaTheme="minorEastAsia"/>
          <w:color w:val="auto"/>
          <w:lang w:val="en-US"/>
        </w:rPr>
        <w:t xml:space="preserve">27、本项目在后期实施过程中由南京市桥林现代农业发展有限公司负责实施管理并办理结算付款事宜。</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五、付款条件</w:t>
      </w:r>
      <w:r/>
    </w:p>
    <w:p>
      <w:pPr>
        <w:spacing w:line="288" w:lineRule="auto"/>
        <w:rPr>
          <w:rFonts w:ascii="宋体" w:hAnsi="宋体" w:cs="宋体"/>
          <w:color w:val="ff0000"/>
          <w:sz w:val="24"/>
          <w:szCs w:val="24"/>
        </w:rPr>
      </w:pPr>
      <w:r>
        <w:rPr>
          <w:rFonts w:hint="eastAsia" w:ascii="宋体" w:hAnsi="宋体" w:cs="宋体"/>
          <w:color w:val="ff0000"/>
          <w:sz w:val="24"/>
          <w:szCs w:val="24"/>
        </w:rPr>
        <w:t xml:space="preserve">（1）合同签订并提供进场证明材料后，支付合同总额的30%作为预付款；</w:t>
      </w:r>
      <w:r>
        <w:rPr>
          <w:rFonts w:ascii="宋体" w:hAnsi="宋体" w:cs="宋体"/>
          <w:color w:val="ff0000"/>
          <w:sz w:val="24"/>
          <w:szCs w:val="24"/>
        </w:rPr>
        <w:t xml:space="preserve"> </w:t>
      </w:r>
      <w:r/>
    </w:p>
    <w:p>
      <w:pPr>
        <w:spacing w:line="288" w:lineRule="auto"/>
        <w:rPr>
          <w:rFonts w:ascii="宋体" w:hAnsi="宋体" w:cs="宋体"/>
          <w:sz w:val="24"/>
          <w:szCs w:val="24"/>
          <w:highlight w:val="yellow"/>
        </w:rPr>
      </w:pPr>
      <w:r>
        <w:rPr>
          <w:rFonts w:hint="eastAsia" w:ascii="宋体" w:hAnsi="宋体" w:cs="宋体"/>
          <w:sz w:val="24"/>
          <w:szCs w:val="24"/>
          <w:highlight w:val="yellow"/>
        </w:rPr>
        <w:t xml:space="preserve">（2）供货完成</w:t>
      </w:r>
      <w:r>
        <w:rPr>
          <w:rFonts w:hint="eastAsia" w:ascii="宋体" w:hAnsi="宋体" w:cs="宋体"/>
          <w:sz w:val="24"/>
          <w:szCs w:val="24"/>
          <w:highlight w:val="yellow"/>
        </w:rPr>
        <w:t xml:space="preserve">验收合格后付至合同价的60%，并退还履约保证金（如有）；</w:t>
      </w:r>
      <w:r/>
    </w:p>
    <w:p>
      <w:pPr>
        <w:spacing w:line="288" w:lineRule="auto"/>
        <w:rPr>
          <w:rFonts w:ascii="宋体" w:hAnsi="宋体" w:cs="宋体"/>
          <w:sz w:val="24"/>
          <w:szCs w:val="24"/>
          <w:highlight w:val="yellow"/>
        </w:rPr>
      </w:pPr>
      <w:r>
        <w:rPr>
          <w:rFonts w:hint="eastAsia" w:ascii="宋体" w:hAnsi="宋体" w:cs="宋体"/>
          <w:sz w:val="24"/>
          <w:szCs w:val="24"/>
          <w:highlight w:val="yellow"/>
        </w:rPr>
        <w:t xml:space="preserve">（3）</w:t>
      </w:r>
      <w:r>
        <w:rPr>
          <w:rFonts w:hint="eastAsia" w:ascii="宋体" w:hAnsi="宋体" w:cs="宋体"/>
          <w:sz w:val="24"/>
          <w:szCs w:val="24"/>
          <w:highlight w:val="yellow"/>
        </w:rPr>
        <w:t xml:space="preserve">结算审计结束后付至审定价的70%；</w:t>
      </w:r>
      <w:r/>
    </w:p>
    <w:p>
      <w:pPr>
        <w:spacing w:line="288" w:lineRule="auto"/>
        <w:rPr>
          <w:rFonts w:ascii="宋体" w:hAnsi="宋体" w:cs="宋体"/>
          <w:sz w:val="24"/>
          <w:szCs w:val="24"/>
          <w:highlight w:val="yellow"/>
        </w:rPr>
      </w:pPr>
      <w:r>
        <w:rPr>
          <w:rFonts w:hint="eastAsia" w:ascii="宋体" w:hAnsi="宋体" w:cs="宋体"/>
          <w:sz w:val="24"/>
          <w:szCs w:val="24"/>
          <w:highlight w:val="yellow"/>
        </w:rPr>
        <w:t xml:space="preserve">（4）</w:t>
      </w:r>
      <w:r>
        <w:rPr>
          <w:rFonts w:hint="eastAsia" w:ascii="宋体" w:hAnsi="宋体" w:cs="宋体"/>
          <w:sz w:val="24"/>
          <w:szCs w:val="24"/>
          <w:highlight w:val="yellow"/>
        </w:rPr>
        <w:t xml:space="preserve">验收满一年，支付至审定价的85%；</w:t>
      </w:r>
      <w:r/>
    </w:p>
    <w:p>
      <w:pPr>
        <w:spacing w:line="288" w:lineRule="auto"/>
        <w:rPr>
          <w:rFonts w:ascii="宋体" w:hAnsi="宋体" w:cs="宋体"/>
          <w:sz w:val="24"/>
          <w:szCs w:val="24"/>
        </w:rPr>
      </w:pPr>
      <w:r>
        <w:rPr>
          <w:rFonts w:hint="eastAsia" w:ascii="宋体" w:hAnsi="宋体" w:cs="宋体"/>
          <w:sz w:val="24"/>
          <w:szCs w:val="24"/>
          <w:highlight w:val="yellow"/>
        </w:rPr>
        <w:t xml:space="preserve">（5）</w:t>
      </w:r>
      <w:r>
        <w:rPr>
          <w:rFonts w:hint="eastAsia" w:ascii="宋体" w:hAnsi="宋体" w:cs="宋体"/>
          <w:sz w:val="24"/>
          <w:szCs w:val="24"/>
          <w:highlight w:val="yellow"/>
        </w:rPr>
        <w:t xml:space="preserve">剩余的15%，缺陷责任期满且所有损坏的保修项目维修完成后，付清余款（不计利息）。</w:t>
      </w:r>
      <w:r/>
    </w:p>
    <w:p>
      <w:pPr>
        <w:pStyle w:val="708"/>
        <w:rPr>
          <w:rFonts w:eastAsiaTheme="minorEastAsia"/>
          <w:lang w:val="en-US"/>
        </w:rPr>
      </w:pPr>
      <w:r>
        <w:rPr>
          <w:rFonts w:hint="eastAsia" w:eastAsiaTheme="minorEastAsia"/>
          <w:lang w:val="en-US"/>
        </w:rPr>
        <w:t xml:space="preserve">注：有质量问题时，采购人暂扣尾款直至成交方修复好产品缺陷并赔偿采购人损失；有质量问题，一次性给采购人造成经济损失达到合同总价的2.5%以上或累计经济损失超过合同总价的5%时，成交方须承担修复责任，同时还应继续赔偿采购人经济损失。</w:t>
      </w:r>
      <w:r/>
    </w:p>
    <w:p>
      <w:pPr>
        <w:pStyle w:val="708"/>
        <w:ind w:firstLine="480"/>
        <w:rPr>
          <w:rFonts w:eastAsiaTheme="minorEastAsia"/>
          <w:color w:val="auto"/>
          <w:lang w:val="en-US"/>
        </w:rPr>
      </w:pPr>
      <w:r>
        <w:rPr>
          <w:rFonts w:hint="eastAsia" w:eastAsiaTheme="minorEastAsia"/>
          <w:color w:val="auto"/>
          <w:lang w:val="en-US"/>
        </w:rPr>
        <w:t xml:space="preserve">六、交货时间、地点</w:t>
      </w:r>
      <w:r/>
    </w:p>
    <w:p>
      <w:pPr>
        <w:pStyle w:val="708"/>
        <w:ind w:firstLine="480"/>
        <w:rPr>
          <w:rFonts w:eastAsiaTheme="minorEastAsia"/>
          <w:color w:val="auto"/>
          <w:lang w:val="en-US"/>
        </w:rPr>
      </w:pPr>
      <w:r>
        <w:rPr>
          <w:rFonts w:hint="eastAsia" w:eastAsiaTheme="minorEastAsia"/>
          <w:color w:val="auto"/>
          <w:lang w:val="en-US"/>
        </w:rPr>
        <w:t xml:space="preserve">（1）交货期：合同签订后≤150天完成全部设备、材料运抵现场，并安装、调试结束，验收合格，交付买方使用。</w:t>
      </w:r>
      <w:r/>
    </w:p>
    <w:p>
      <w:pPr>
        <w:pStyle w:val="708"/>
        <w:ind w:firstLine="480"/>
        <w:rPr>
          <w:rFonts w:eastAsiaTheme="minorEastAsia"/>
          <w:color w:val="auto"/>
          <w:lang w:val="en-US"/>
        </w:rPr>
      </w:pPr>
      <w:r>
        <w:rPr>
          <w:rFonts w:hint="eastAsia" w:eastAsiaTheme="minorEastAsia"/>
          <w:color w:val="auto"/>
          <w:lang w:val="en-US"/>
        </w:rPr>
        <w:t xml:space="preserve">（2）交货方式：中标人在买方指定地点交货，并完成安装、调试。</w:t>
      </w:r>
      <w:r/>
    </w:p>
    <w:p>
      <w:pPr>
        <w:pStyle w:val="708"/>
        <w:ind w:firstLine="480"/>
        <w:rPr>
          <w:rFonts w:eastAsiaTheme="minorEastAsia"/>
          <w:color w:val="auto"/>
          <w:lang w:val="en-US"/>
        </w:rPr>
      </w:pPr>
      <w:r>
        <w:rPr>
          <w:rFonts w:hint="eastAsia" w:eastAsiaTheme="minorEastAsia"/>
          <w:color w:val="auto"/>
          <w:lang w:val="en-US"/>
        </w:rPr>
        <w:t xml:space="preserve">（3）供货地点：采购人指定地点。由成交方负责办理运输和装卸等，费用由中标人负责。采购人组织验收，检验不合格或不符合质量要求，中标人除无条件退货、返工外，还应承担采购人由此造成的一切损失。</w:t>
      </w:r>
      <w:r/>
    </w:p>
    <w:p>
      <w:r/>
      <w:r/>
    </w:p>
    <w:p>
      <w:pPr>
        <w:pStyle w:val="708"/>
        <w:rPr>
          <w:rFonts w:eastAsiaTheme="minorEastAsia"/>
          <w:lang w:val="en-US"/>
        </w:rPr>
      </w:pPr>
      <w:r>
        <w:rPr>
          <w:rFonts w:eastAsiaTheme="minorEastAsia"/>
          <w:lang w:val="en-US"/>
        </w:rPr>
      </w:r>
      <w:r/>
    </w:p>
    <w:p>
      <w:r/>
      <w:r/>
    </w:p>
    <w:p>
      <w:pPr>
        <w:pStyle w:val="708"/>
        <w:rPr>
          <w:rFonts w:eastAsiaTheme="minorEastAsia"/>
          <w:lang w:val="en-US"/>
        </w:rPr>
      </w:pPr>
      <w:r>
        <w:rPr>
          <w:rFonts w:eastAsiaTheme="minorEastAsia"/>
          <w:lang w:val="en-US"/>
        </w:rPr>
      </w:r>
      <w:r/>
    </w:p>
    <w:p>
      <w:pPr>
        <w:pStyle w:val="708"/>
        <w:rPr>
          <w:color w:val="auto"/>
        </w:rPr>
      </w:pPr>
      <w:r>
        <w:rPr>
          <w:color w:val="auto"/>
        </w:rPr>
        <w:br w:type="page" w:clear="all"/>
      </w:r>
      <w:r/>
    </w:p>
    <w:p>
      <w:pPr>
        <w:jc w:val="center"/>
        <w:spacing w:before="120" w:after="120" w:line="0" w:lineRule="atLeast"/>
        <w:rPr>
          <w:rFonts w:ascii="黑体" w:eastAsia="黑体"/>
          <w:sz w:val="44"/>
          <w:szCs w:val="44"/>
        </w:rPr>
      </w:pPr>
      <w:r/>
      <w:bookmarkStart w:id="193" w:name="_Toc120614281"/>
      <w:r>
        <w:rPr>
          <w:rFonts w:hint="eastAsia" w:ascii="黑体" w:eastAsia="黑体"/>
          <w:sz w:val="44"/>
          <w:szCs w:val="44"/>
        </w:rPr>
        <w:t xml:space="preserve">第五章  评标方法与评标标准</w:t>
      </w:r>
      <w:r/>
    </w:p>
    <w:p>
      <w:pPr>
        <w:spacing w:line="288" w:lineRule="auto"/>
        <w:rPr>
          <w:rFonts w:ascii="宋体" w:hAnsi="宋体" w:cs="宋体"/>
          <w:b/>
          <w:bCs/>
          <w:sz w:val="24"/>
          <w:szCs w:val="24"/>
        </w:rPr>
      </w:pPr>
      <w:r>
        <w:rPr>
          <w:rFonts w:hint="eastAsia" w:ascii="宋体" w:hAnsi="宋体" w:cs="宋体"/>
          <w:b/>
          <w:bCs/>
          <w:sz w:val="24"/>
          <w:szCs w:val="24"/>
        </w:rPr>
        <w:t xml:space="preserve">一、评标方法</w:t>
      </w:r>
      <w:r/>
    </w:p>
    <w:p>
      <w:pPr>
        <w:ind w:firstLine="480"/>
        <w:spacing w:line="288" w:lineRule="auto"/>
        <w:rPr>
          <w:rFonts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采用综合评分法的，评标结果按评审后得分由高到低顺序排列。得分相同的，按投标报价由低到高顺序排列。得分且投标报价相同的，按“三、评标标准中2.2-2.</w:t>
      </w:r>
      <w:r>
        <w:rPr>
          <w:rFonts w:hint="eastAsia" w:ascii="宋体" w:hAnsi="宋体" w:cs="宋体"/>
          <w:sz w:val="24"/>
          <w:szCs w:val="24"/>
        </w:rPr>
        <w:t xml:space="preserve">6</w:t>
      </w:r>
      <w:r>
        <w:rPr>
          <w:rFonts w:hint="eastAsia" w:ascii="宋体" w:hAnsi="宋体" w:cs="宋体"/>
          <w:sz w:val="24"/>
          <w:szCs w:val="24"/>
        </w:rPr>
        <w:t xml:space="preserve">项”得分由高到低顺序排列。在投标文件满足招标文件全部实质性要求的供应商中，按照评审得分由高到低选取3名中标候选人。</w:t>
      </w:r>
      <w:r/>
    </w:p>
    <w:p>
      <w:pPr>
        <w:ind w:firstLine="480"/>
        <w:spacing w:line="288" w:lineRule="auto"/>
        <w:rPr>
          <w:rFonts w:ascii="宋体" w:hAnsi="宋体" w:cs="宋体"/>
          <w:sz w:val="24"/>
          <w:szCs w:val="24"/>
        </w:rPr>
      </w:pPr>
      <w:r>
        <w:rPr>
          <w:rFonts w:hint="eastAsia" w:ascii="宋体" w:hAnsi="宋体" w:cs="宋体"/>
          <w:sz w:val="24"/>
          <w:szCs w:val="24"/>
        </w:rPr>
        <w:t xml:space="preserve">核心产品评审说明：多家供应商提供的核心产品品牌相同的，按一家供应商计算，评审后得分最高的同品牌供应商获得中标人推荐资格。</w:t>
      </w:r>
      <w:r/>
    </w:p>
    <w:p>
      <w:pPr>
        <w:spacing w:line="288" w:lineRule="auto"/>
        <w:rPr>
          <w:rFonts w:ascii="宋体" w:hAnsi="宋体" w:cs="宋体"/>
          <w:b/>
          <w:bCs/>
          <w:sz w:val="24"/>
          <w:szCs w:val="24"/>
        </w:rPr>
      </w:pPr>
      <w:r>
        <w:rPr>
          <w:rFonts w:hint="eastAsia" w:ascii="宋体" w:hAnsi="宋体" w:cs="宋体"/>
          <w:b/>
          <w:bCs/>
          <w:sz w:val="24"/>
          <w:szCs w:val="24"/>
        </w:rPr>
        <w:t xml:space="preserve">二、政府采购政策功能落实</w:t>
      </w:r>
      <w:r/>
    </w:p>
    <w:p>
      <w:pPr>
        <w:ind w:firstLine="480"/>
        <w:rPr>
          <w:rFonts w:ascii="宋体" w:hAnsi="宋体" w:cs="宋体"/>
          <w:sz w:val="24"/>
          <w:szCs w:val="24"/>
        </w:rPr>
      </w:pPr>
      <w:r>
        <w:rPr>
          <w:rFonts w:hint="eastAsia" w:ascii="宋体" w:hAnsi="宋体" w:cs="宋体"/>
          <w:sz w:val="24"/>
          <w:szCs w:val="24"/>
        </w:rPr>
        <w:t xml:space="preserve">1、小微型企业价格扣除</w:t>
      </w:r>
      <w:r/>
    </w:p>
    <w:p>
      <w:pPr>
        <w:ind w:firstLine="480"/>
        <w:rPr>
          <w:rFonts w:ascii="宋体" w:hAnsi="宋体" w:cs="宋体"/>
          <w:sz w:val="24"/>
          <w:szCs w:val="24"/>
        </w:rPr>
      </w:pPr>
      <w:r>
        <w:rPr>
          <w:rFonts w:hint="eastAsia" w:ascii="宋体" w:hAnsi="宋体" w:cs="宋体"/>
          <w:sz w:val="24"/>
          <w:szCs w:val="24"/>
        </w:rPr>
        <w:t xml:space="preserve">（1）本项目对小微企业提供的服务给予</w:t>
      </w:r>
      <w:r>
        <w:rPr>
          <w:rFonts w:hint="eastAsia" w:ascii="宋体" w:hAnsi="宋体" w:cs="宋体"/>
          <w:sz w:val="24"/>
          <w:szCs w:val="24"/>
          <w:u w:val="single"/>
        </w:rPr>
        <w:t xml:space="preserve"> 10% </w:t>
      </w:r>
      <w:r>
        <w:rPr>
          <w:rFonts w:hint="eastAsia" w:ascii="宋体" w:hAnsi="宋体" w:cs="宋体"/>
          <w:sz w:val="24"/>
          <w:szCs w:val="24"/>
        </w:rPr>
        <w:t xml:space="preserve">的扣除价格，用扣除后的价格参与评审。</w:t>
      </w:r>
      <w:r/>
    </w:p>
    <w:p>
      <w:pPr>
        <w:ind w:firstLine="480"/>
        <w:spacing w:line="288" w:lineRule="auto"/>
        <w:rPr>
          <w:rFonts w:ascii="宋体" w:hAnsi="宋体" w:cs="宋体"/>
          <w:sz w:val="24"/>
          <w:szCs w:val="24"/>
        </w:rPr>
      </w:pPr>
      <w:r>
        <w:rPr>
          <w:rFonts w:hint="eastAsia" w:ascii="宋体" w:hAnsi="宋体" w:cs="宋体"/>
          <w:sz w:val="24"/>
          <w:szCs w:val="24"/>
        </w:rPr>
        <w:t xml:space="preserve">（2）企业按照采购文件的要求提供相应的《中小企业声明函》。</w:t>
      </w:r>
      <w:r/>
    </w:p>
    <w:p>
      <w:pPr>
        <w:ind w:firstLine="480"/>
        <w:spacing w:line="288" w:lineRule="auto"/>
        <w:rPr>
          <w:rFonts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ind w:firstLine="480"/>
        <w:rPr>
          <w:rFonts w:ascii="宋体" w:hAnsi="宋体" w:cs="宋体"/>
          <w:sz w:val="24"/>
          <w:szCs w:val="24"/>
        </w:rPr>
      </w:pPr>
      <w:r>
        <w:rPr>
          <w:rFonts w:hint="eastAsia" w:ascii="宋体" w:hAnsi="宋体" w:cs="宋体"/>
          <w:sz w:val="24"/>
          <w:szCs w:val="24"/>
        </w:rPr>
        <w:t xml:space="preserve">2、残疾人福利单位价格扣除</w:t>
      </w:r>
      <w:r/>
    </w:p>
    <w:p>
      <w:pPr>
        <w:ind w:firstLine="480"/>
        <w:rPr>
          <w:rFonts w:ascii="宋体" w:hAnsi="宋体" w:cs="宋体"/>
          <w:sz w:val="24"/>
          <w:szCs w:val="24"/>
        </w:rPr>
      </w:pPr>
      <w:r>
        <w:rPr>
          <w:rFonts w:hint="eastAsia" w:ascii="宋体" w:hAnsi="宋体" w:cs="宋体"/>
          <w:sz w:val="24"/>
          <w:szCs w:val="24"/>
        </w:rPr>
        <w:t xml:space="preserve">（1）本项目对残疾人福利性单位视同小型、微型企业，给予与小微企业相同的价格扣除，用扣除后的价格参与评审。</w:t>
      </w:r>
      <w:r/>
    </w:p>
    <w:p>
      <w:pPr>
        <w:ind w:firstLine="480"/>
        <w:rPr>
          <w:rFonts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p>
    <w:p>
      <w:pPr>
        <w:ind w:firstLine="480"/>
        <w:rPr>
          <w:rFonts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p>
    <w:p>
      <w:pPr>
        <w:ind w:firstLine="480"/>
        <w:rPr>
          <w:rFonts w:ascii="宋体" w:hAnsi="宋体" w:cs="宋体"/>
          <w:sz w:val="24"/>
          <w:szCs w:val="24"/>
        </w:rPr>
      </w:pPr>
      <w:r>
        <w:rPr>
          <w:rFonts w:hint="eastAsia" w:ascii="宋体" w:hAnsi="宋体" w:cs="宋体"/>
          <w:sz w:val="24"/>
          <w:szCs w:val="24"/>
        </w:rPr>
        <w:t xml:space="preserve">3、监狱和戒毒企业价格扣除</w:t>
      </w:r>
      <w:r/>
    </w:p>
    <w:p>
      <w:pPr>
        <w:ind w:firstLine="480"/>
        <w:rPr>
          <w:rFonts w:ascii="宋体" w:hAnsi="宋体" w:cs="宋体"/>
          <w:sz w:val="24"/>
          <w:szCs w:val="24"/>
        </w:rPr>
      </w:pPr>
      <w:r>
        <w:rPr>
          <w:rFonts w:hint="eastAsia" w:ascii="宋体" w:hAnsi="宋体" w:cs="宋体"/>
          <w:sz w:val="24"/>
          <w:szCs w:val="24"/>
        </w:rPr>
        <w:t xml:space="preserve">（1）本项目对监狱和戒毒企业（简称监狱企业）视同小型、微型企业，给予与小微企业相同的价格扣除，用扣除后的价格参与评审。</w:t>
      </w:r>
      <w:r/>
    </w:p>
    <w:p>
      <w:pPr>
        <w:ind w:firstLine="480"/>
        <w:rPr>
          <w:rFonts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w:t>
      </w:r>
      <w:r/>
    </w:p>
    <w:p>
      <w:pPr>
        <w:ind w:firstLine="480"/>
        <w:rPr>
          <w:rFonts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p>
    <w:p>
      <w:pPr>
        <w:ind w:firstLine="480"/>
        <w:rPr>
          <w:rFonts w:ascii="宋体" w:hAnsi="宋体" w:cs="宋体"/>
          <w:sz w:val="24"/>
          <w:szCs w:val="24"/>
        </w:rPr>
      </w:pPr>
      <w:r>
        <w:rPr>
          <w:rFonts w:hint="eastAsia" w:ascii="宋体" w:hAnsi="宋体" w:cs="宋体"/>
          <w:sz w:val="24"/>
          <w:szCs w:val="24"/>
        </w:rPr>
        <w:t xml:space="preserve">4、残疾人福利单位、监狱企业属于小型、微型企业的，不重复享受政策。上述价格扣除政策仅适用“不专门面向中小微企业采购项目”。</w:t>
      </w:r>
      <w:r/>
    </w:p>
    <w:p>
      <w:pPr>
        <w:ind w:firstLine="480"/>
        <w:rPr>
          <w:rFonts w:ascii="宋体" w:hAnsi="宋体" w:cs="宋体"/>
          <w:sz w:val="24"/>
          <w:szCs w:val="24"/>
        </w:rPr>
      </w:pPr>
      <w:r>
        <w:rPr>
          <w:rFonts w:hint="eastAsia" w:ascii="宋体" w:hAnsi="宋体" w:cs="宋体"/>
          <w:sz w:val="24"/>
          <w:szCs w:val="24"/>
        </w:rPr>
        <w:t xml:space="preserve">5、节能产品、环境标志产品规定</w:t>
      </w:r>
      <w:r/>
    </w:p>
    <w:p>
      <w:pPr>
        <w:ind w:firstLine="480"/>
        <w:rPr>
          <w:rFonts w:ascii="宋体" w:hAnsi="宋体" w:cs="宋体"/>
          <w:sz w:val="24"/>
          <w:szCs w:val="24"/>
        </w:rPr>
      </w:pPr>
      <w:r>
        <w:rPr>
          <w:rFonts w:hint="eastAsia" w:ascii="宋体" w:hAnsi="宋体" w:cs="宋体"/>
          <w:sz w:val="24"/>
          <w:szCs w:val="24"/>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firstLine="480"/>
        <w:rPr>
          <w:rFonts w:ascii="宋体" w:hAnsi="宋体" w:cs="宋体"/>
          <w:sz w:val="24"/>
          <w:szCs w:val="24"/>
        </w:rPr>
      </w:pPr>
      <w:r>
        <w:rPr>
          <w:rFonts w:hint="eastAsia" w:ascii="宋体" w:hAnsi="宋体" w:cs="宋体"/>
          <w:sz w:val="24"/>
          <w:szCs w:val="24"/>
        </w:rPr>
        <w:t xml:space="preserve">（2）采购的产品属于政府强制采购节能产品的，投标人应当选择依据国家标准中二级能效（水效）指标认证的节能产品投标，并提供有效的节能产品认证证书扫描件。 </w:t>
      </w:r>
      <w:r/>
    </w:p>
    <w:p>
      <w:pPr>
        <w:ind w:firstLine="480"/>
        <w:rPr>
          <w:rFonts w:ascii="宋体" w:hAnsi="宋体" w:cs="宋体"/>
          <w:sz w:val="24"/>
          <w:szCs w:val="24"/>
        </w:rPr>
      </w:pPr>
      <w:r>
        <w:rPr>
          <w:rFonts w:hint="eastAsia" w:ascii="宋体" w:hAnsi="宋体" w:cs="宋体"/>
          <w:sz w:val="24"/>
          <w:szCs w:val="24"/>
        </w:rPr>
        <w:t xml:space="preserve">（3）采购的产品属于环境标志产品的,供应商应当选择依据相关标准的最新版本认证的环境标志产品投标,并提供有效的环境标志产品认证证书扫描件。 </w:t>
      </w:r>
      <w:r/>
    </w:p>
    <w:p>
      <w:pPr>
        <w:ind w:firstLine="480"/>
        <w:rPr>
          <w:rFonts w:ascii="宋体" w:hAnsi="宋体" w:cs="宋体"/>
          <w:sz w:val="24"/>
          <w:szCs w:val="24"/>
        </w:rPr>
      </w:pPr>
      <w:r>
        <w:rPr>
          <w:rFonts w:hint="eastAsia" w:ascii="宋体" w:hAnsi="宋体" w:cs="宋体"/>
          <w:sz w:val="24"/>
          <w:szCs w:val="24"/>
        </w:rPr>
        <w:t xml:space="preserve">（特别说明：节能、环保产品必须纳入</w:t>
      </w:r>
      <w:r>
        <w:rPr>
          <w:rFonts w:ascii="宋体" w:hAnsi="宋体" w:cs="宋体"/>
          <w:sz w:val="24"/>
          <w:szCs w:val="24"/>
        </w:rPr>
        <w:t xml:space="preserve">“</w:t>
      </w:r>
      <w:r>
        <w:rPr>
          <w:rFonts w:hint="eastAsia" w:ascii="宋体" w:hAnsi="宋体" w:cs="宋体"/>
          <w:sz w:val="24"/>
          <w:szCs w:val="24"/>
        </w:rPr>
        <w:t xml:space="preserve">中国政府采购网 </w:t>
      </w:r>
      <w:r>
        <w:rPr>
          <w:rFonts w:ascii="宋体" w:hAnsi="宋体" w:cs="宋体"/>
          <w:sz w:val="24"/>
          <w:szCs w:val="24"/>
        </w:rPr>
        <w:t xml:space="preserve">http://www.ccgp.gov.cn”</w:t>
      </w:r>
      <w:r>
        <w:rPr>
          <w:rFonts w:hint="eastAsia" w:ascii="宋体" w:hAnsi="宋体" w:cs="宋体"/>
          <w:sz w:val="24"/>
          <w:szCs w:val="24"/>
        </w:rPr>
        <w:t xml:space="preserve">等官方网站</w:t>
      </w:r>
      <w:r>
        <w:rPr>
          <w:rFonts w:ascii="宋体" w:hAnsi="宋体" w:cs="宋体"/>
          <w:sz w:val="24"/>
          <w:szCs w:val="24"/>
        </w:rPr>
        <w:t xml:space="preserve">“</w:t>
      </w:r>
      <w:r>
        <w:rPr>
          <w:rFonts w:hint="eastAsia" w:ascii="宋体" w:hAnsi="宋体" w:cs="宋体"/>
          <w:sz w:val="24"/>
          <w:szCs w:val="24"/>
        </w:rPr>
        <w:t xml:space="preserve">节能、环保产品查询系统</w:t>
      </w:r>
      <w:r>
        <w:rPr>
          <w:rFonts w:ascii="宋体" w:hAnsi="宋体" w:cs="宋体"/>
          <w:sz w:val="24"/>
          <w:szCs w:val="24"/>
        </w:rPr>
        <w:t xml:space="preserve">”</w:t>
      </w:r>
      <w:r>
        <w:rPr>
          <w:rFonts w:hint="eastAsia" w:ascii="宋体" w:hAnsi="宋体" w:cs="宋体"/>
          <w:sz w:val="24"/>
          <w:szCs w:val="24"/>
        </w:rPr>
        <w:t xml:space="preserve">，且以提供的证书</w:t>
      </w:r>
      <w:r>
        <w:rPr>
          <w:rFonts w:hint="eastAsia" w:ascii="宋体" w:hAnsi="宋体" w:cs="宋体"/>
          <w:sz w:val="24"/>
          <w:szCs w:val="24"/>
        </w:rPr>
        <w:t xml:space="preserve">为准）。</w:t>
      </w:r>
      <w:r/>
    </w:p>
    <w:p>
      <w:pPr>
        <w:ind w:firstLine="480"/>
        <w:rPr>
          <w:rFonts w:ascii="宋体" w:hAnsi="宋体" w:cs="宋体"/>
          <w:sz w:val="24"/>
          <w:szCs w:val="24"/>
        </w:rPr>
      </w:pPr>
      <w:r>
        <w:rPr>
          <w:rFonts w:hint="eastAsia" w:ascii="宋体" w:hAnsi="宋体" w:cs="宋体"/>
          <w:sz w:val="24"/>
          <w:szCs w:val="24"/>
        </w:rPr>
        <w:t xml:space="preserve">6、绿色采购要求 </w:t>
      </w:r>
      <w:r/>
    </w:p>
    <w:p>
      <w:pPr>
        <w:ind w:firstLine="480"/>
        <w:rPr>
          <w:rFonts w:ascii="宋体" w:hAnsi="宋体" w:cs="宋体"/>
          <w:sz w:val="24"/>
          <w:szCs w:val="24"/>
        </w:rPr>
      </w:pPr>
      <w:r>
        <w:rPr>
          <w:rFonts w:hint="eastAsia" w:ascii="宋体" w:hAnsi="宋体" w:cs="宋体"/>
          <w:sz w:val="24"/>
          <w:szCs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firstLine="480"/>
        <w:rPr>
          <w:rFonts w:ascii="宋体" w:hAnsi="宋体" w:cs="宋体"/>
          <w:sz w:val="24"/>
          <w:szCs w:val="24"/>
        </w:rPr>
      </w:pPr>
      <w:r>
        <w:rPr>
          <w:rFonts w:hint="eastAsia" w:ascii="宋体" w:hAnsi="宋体" w:cs="宋体"/>
          <w:sz w:val="24"/>
          <w:szCs w:val="24"/>
        </w:rPr>
        <w:t xml:space="preserve">（2）本项目中涉及涂料、胶黏剂、油墨、清洗剂等挥发性有机物产品的，属于强制性标准的，供应商应当提供符合国家和江苏省相关VOCs 含量限制标准的产品。 </w:t>
      </w:r>
      <w:r/>
    </w:p>
    <w:p>
      <w:pPr>
        <w:ind w:firstLine="480"/>
      </w:pPr>
      <w:r>
        <w:rPr>
          <w:rFonts w:hint="eastAsia" w:ascii="宋体" w:hAnsi="宋体" w:cs="宋体"/>
          <w:sz w:val="24"/>
          <w:szCs w:val="24"/>
        </w:rPr>
        <w:t xml:space="preserve">（3）本项目涉及的数据中心相关设备、运维服务执行《绿色数据中心政府采购需求标准》（财库〔2023〕7号）的要求，供应商应当提供符合需求标准的产品及相关服务。</w:t>
      </w:r>
      <w:r/>
    </w:p>
    <w:p>
      <w:pPr>
        <w:spacing w:line="288" w:lineRule="auto"/>
        <w:rPr>
          <w:rFonts w:ascii="宋体" w:hAnsi="宋体" w:cs="宋体"/>
          <w:b/>
          <w:bCs/>
          <w:sz w:val="24"/>
          <w:szCs w:val="24"/>
        </w:rPr>
      </w:pPr>
      <w:r>
        <w:rPr>
          <w:rFonts w:hint="eastAsia" w:ascii="宋体" w:hAnsi="宋体" w:cs="宋体"/>
          <w:b/>
          <w:bCs/>
          <w:sz w:val="24"/>
          <w:szCs w:val="24"/>
        </w:rPr>
        <w:t xml:space="preserve">三、评标标准</w:t>
      </w:r>
      <w:r/>
    </w:p>
    <w:tbl>
      <w:tblPr>
        <w:tblStyle w:val="1073"/>
        <w:tblW w:w="935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637"/>
        <w:gridCol w:w="1016"/>
        <w:gridCol w:w="5719"/>
        <w:gridCol w:w="709"/>
        <w:gridCol w:w="1276"/>
      </w:tblGrid>
      <w:tr>
        <w:trPr>
          <w:jc w:val="center"/>
          <w:trHeight w:val="502"/>
        </w:trPr>
        <w:tc>
          <w:tcPr>
            <w:tcW w:w="637" w:type="dxa"/>
            <w:vAlign w:val="center"/>
            <w:textDirection w:val="lrTb"/>
            <w:noWrap w:val="false"/>
          </w:tcPr>
          <w:p>
            <w:pPr>
              <w:pStyle w:val="1096"/>
            </w:pPr>
            <w:r>
              <w:t xml:space="preserve">序号</w:t>
            </w:r>
            <w:r/>
          </w:p>
        </w:tc>
        <w:tc>
          <w:tcPr>
            <w:tcW w:w="1016" w:type="dxa"/>
            <w:vAlign w:val="center"/>
            <w:textDirection w:val="lrTb"/>
            <w:noWrap w:val="false"/>
          </w:tcPr>
          <w:p>
            <w:pPr>
              <w:pStyle w:val="1096"/>
            </w:pPr>
            <w:r>
              <w:t xml:space="preserve">评审因素</w:t>
            </w:r>
            <w:r/>
          </w:p>
        </w:tc>
        <w:tc>
          <w:tcPr>
            <w:tcW w:w="5719" w:type="dxa"/>
            <w:vAlign w:val="center"/>
            <w:textDirection w:val="lrTb"/>
            <w:noWrap w:val="false"/>
          </w:tcPr>
          <w:p>
            <w:pPr>
              <w:pStyle w:val="1096"/>
            </w:pPr>
            <w:r>
              <w:t xml:space="preserve">评审细则</w:t>
            </w:r>
            <w:r/>
          </w:p>
        </w:tc>
        <w:tc>
          <w:tcPr>
            <w:tcW w:w="709" w:type="dxa"/>
            <w:vAlign w:val="center"/>
            <w:textDirection w:val="lrTb"/>
            <w:noWrap w:val="false"/>
          </w:tcPr>
          <w:p>
            <w:pPr>
              <w:pStyle w:val="1096"/>
            </w:pPr>
            <w:r>
              <w:t xml:space="preserve">分值</w:t>
            </w:r>
            <w:r/>
          </w:p>
        </w:tc>
        <w:tc>
          <w:tcPr>
            <w:tcW w:w="1276" w:type="dxa"/>
            <w:vAlign w:val="center"/>
            <w:textDirection w:val="lrTb"/>
            <w:noWrap w:val="false"/>
          </w:tcPr>
          <w:p>
            <w:pPr>
              <w:pStyle w:val="1096"/>
            </w:pPr>
            <w:r>
              <w:t xml:space="preserve">分值类型</w:t>
            </w:r>
            <w:r/>
          </w:p>
        </w:tc>
      </w:tr>
      <w:tr>
        <w:trPr>
          <w:jc w:val="center"/>
          <w:trHeight w:val="315"/>
        </w:trPr>
        <w:tc>
          <w:tcPr>
            <w:gridSpan w:val="5"/>
            <w:tcW w:w="9357" w:type="dxa"/>
            <w:textDirection w:val="lrTb"/>
            <w:noWrap w:val="false"/>
          </w:tcPr>
          <w:p>
            <w:pPr>
              <w:pStyle w:val="1096"/>
            </w:pPr>
            <w:r>
              <w:t xml:space="preserve">价格</w:t>
            </w:r>
            <w:r/>
          </w:p>
        </w:tc>
      </w:tr>
      <w:tr>
        <w:trPr>
          <w:jc w:val="center"/>
          <w:trHeight w:val="1049"/>
        </w:trPr>
        <w:tc>
          <w:tcPr>
            <w:tcW w:w="637" w:type="dxa"/>
            <w:vAlign w:val="center"/>
            <w:textDirection w:val="lrTb"/>
            <w:noWrap w:val="false"/>
          </w:tcPr>
          <w:p>
            <w:pPr>
              <w:pStyle w:val="1096"/>
            </w:pPr>
            <w:r>
              <w:rPr>
                <w:rFonts w:hint="eastAsia"/>
              </w:rPr>
              <w:t xml:space="preserve">1.1</w:t>
            </w:r>
            <w:r/>
          </w:p>
        </w:tc>
        <w:tc>
          <w:tcPr>
            <w:tcW w:w="1016" w:type="dxa"/>
            <w:vAlign w:val="center"/>
            <w:textDirection w:val="lrTb"/>
            <w:noWrap w:val="false"/>
          </w:tcPr>
          <w:p>
            <w:pPr>
              <w:jc w:val="center"/>
            </w:pPr>
            <w:r>
              <w:rPr>
                <w:rFonts w:ascii="宋体" w:hAnsi="宋体" w:cs="宋体"/>
                <w:spacing w:val="-2"/>
                <w:lang w:val="zh-CN"/>
              </w:rPr>
              <w:t xml:space="preserve">价格分</w:t>
            </w:r>
            <w:r/>
          </w:p>
        </w:tc>
        <w:tc>
          <w:tcPr>
            <w:tcW w:w="5719" w:type="dxa"/>
            <w:textDirection w:val="lrTb"/>
            <w:noWrap w:val="false"/>
          </w:tcPr>
          <w:p>
            <w:pPr>
              <w:jc w:val="left"/>
            </w:pPr>
            <w:r>
              <w:rPr>
                <w:rFonts w:hint="eastAsia" w:ascii="宋体" w:hAnsi="宋体" w:cs="宋体"/>
                <w:spacing w:val="-2"/>
                <w:lang w:val="zh-CN"/>
              </w:rPr>
              <w:t xml:space="preserve">采用低价优先法计算，即满足招标文件要求且投标价格最低的投标报价为评标基准价，其价格分为满分。其他投标人的价格分统一按照下列公式计算:投标报价得分=(评标基准价/投标报价)×60</w:t>
            </w:r>
            <w:r/>
          </w:p>
        </w:tc>
        <w:tc>
          <w:tcPr>
            <w:tcW w:w="709" w:type="dxa"/>
            <w:vAlign w:val="center"/>
            <w:textDirection w:val="lrTb"/>
            <w:noWrap w:val="false"/>
          </w:tcPr>
          <w:p>
            <w:pPr>
              <w:pStyle w:val="1096"/>
              <w:rPr>
                <w:lang w:eastAsia="zh-CN"/>
              </w:rPr>
            </w:pPr>
            <w:r>
              <w:rPr>
                <w:rFonts w:hint="eastAsia"/>
                <w:lang w:eastAsia="zh-CN"/>
              </w:rPr>
              <w:t xml:space="preserve">6</w:t>
            </w:r>
            <w:r>
              <w:t xml:space="preserve">0</w:t>
            </w:r>
            <w:r>
              <w:rPr>
                <w:rFonts w:hint="eastAsia"/>
                <w:lang w:eastAsia="zh-CN"/>
              </w:rPr>
              <w:t xml:space="preserve">分</w:t>
            </w:r>
            <w:r/>
          </w:p>
        </w:tc>
        <w:tc>
          <w:tcPr>
            <w:tcW w:w="1276" w:type="dxa"/>
            <w:vAlign w:val="center"/>
            <w:textDirection w:val="lrTb"/>
            <w:noWrap w:val="false"/>
          </w:tcPr>
          <w:p>
            <w:pPr>
              <w:pStyle w:val="1096"/>
            </w:pPr>
            <w:r>
              <w:rPr>
                <w:rFonts w:hint="eastAsia"/>
              </w:rPr>
              <w:t xml:space="preserve">价格分</w:t>
            </w:r>
            <w:r/>
          </w:p>
        </w:tc>
      </w:tr>
      <w:tr>
        <w:trPr>
          <w:jc w:val="center"/>
          <w:trHeight w:val="450"/>
        </w:trPr>
        <w:tc>
          <w:tcPr>
            <w:gridSpan w:val="5"/>
            <w:tcW w:w="9357" w:type="dxa"/>
            <w:vAlign w:val="center"/>
            <w:textDirection w:val="lrTb"/>
            <w:noWrap w:val="false"/>
          </w:tcPr>
          <w:p>
            <w:pPr>
              <w:pStyle w:val="1096"/>
            </w:pPr>
            <w:r>
              <w:t xml:space="preserve">技术</w:t>
            </w:r>
            <w:r/>
          </w:p>
        </w:tc>
      </w:tr>
      <w:tr>
        <w:trPr>
          <w:jc w:val="center"/>
          <w:trHeight w:val="1005"/>
        </w:trPr>
        <w:tc>
          <w:tcPr>
            <w:tcW w:w="637" w:type="dxa"/>
            <w:vAlign w:val="center"/>
            <w:textDirection w:val="lrTb"/>
            <w:noWrap w:val="false"/>
          </w:tcPr>
          <w:p>
            <w:pPr>
              <w:pStyle w:val="1096"/>
            </w:pPr>
            <w:r>
              <w:rPr>
                <w:rFonts w:hint="eastAsia"/>
              </w:rPr>
              <w:t xml:space="preserve">2.1</w:t>
            </w:r>
            <w:r/>
          </w:p>
        </w:tc>
        <w:tc>
          <w:tcPr>
            <w:tcW w:w="1016" w:type="dxa"/>
            <w:vAlign w:val="center"/>
            <w:textDirection w:val="lrTb"/>
            <w:noWrap w:val="false"/>
          </w:tcPr>
          <w:p>
            <w:pPr>
              <w:jc w:val="center"/>
              <w:rPr>
                <w:rFonts w:ascii="宋体" w:hAnsi="宋体" w:cs="宋体"/>
                <w:spacing w:val="-2"/>
                <w:lang w:val="zh-CN"/>
              </w:rPr>
            </w:pPr>
            <w:r>
              <w:rPr>
                <w:rFonts w:ascii="宋体" w:hAnsi="宋体" w:cs="宋体"/>
                <w:spacing w:val="-2"/>
                <w:lang w:val="zh-CN"/>
              </w:rPr>
              <w:t xml:space="preserve">产品功能、 性能、配置要求</w:t>
            </w:r>
            <w:r/>
          </w:p>
        </w:tc>
        <w:tc>
          <w:tcPr>
            <w:tcW w:w="5719" w:type="dxa"/>
            <w:textDirection w:val="lrTb"/>
            <w:noWrap w:val="false"/>
          </w:tcPr>
          <w:p>
            <w:pPr>
              <w:jc w:val="left"/>
              <w:rPr>
                <w:rFonts w:ascii="宋体" w:hAnsi="宋体" w:cs="宋体"/>
                <w:spacing w:val="-2"/>
                <w:lang w:val="zh-CN"/>
              </w:rPr>
            </w:pPr>
            <w:r>
              <w:rPr>
                <w:rFonts w:hint="eastAsia" w:ascii="宋体" w:hAnsi="宋体" w:cs="宋体"/>
                <w:spacing w:val="-2"/>
                <w:lang w:val="zh-CN"/>
              </w:rPr>
              <w:t xml:space="preserve">投标产品的技术参数能够完全满足招标文件技术参数指标要求的得5分。</w:t>
            </w:r>
            <w:r/>
          </w:p>
          <w:p>
            <w:pPr>
              <w:jc w:val="left"/>
              <w:rPr>
                <w:spacing w:val="-2"/>
                <w:lang w:val="zh-CN"/>
              </w:rPr>
            </w:pPr>
            <w:r>
              <w:rPr>
                <w:rFonts w:hint="eastAsia" w:ascii="宋体" w:hAnsi="宋体" w:cs="宋体"/>
                <w:spacing w:val="-2"/>
                <w:lang w:val="zh-CN"/>
              </w:rPr>
              <w:t xml:space="preserve">加★项为实质性参数，不允许偏离，偏离做无效响应处理；加▲项的重要参数，每有一项负偏离扣 1 分； 一般参数每有一项负偏离扣 1 分，扣完为止。</w:t>
            </w:r>
            <w:r/>
          </w:p>
        </w:tc>
        <w:tc>
          <w:tcPr>
            <w:tcW w:w="709" w:type="dxa"/>
            <w:vAlign w:val="center"/>
            <w:textDirection w:val="lrTb"/>
            <w:noWrap w:val="false"/>
          </w:tcPr>
          <w:p>
            <w:pPr>
              <w:pStyle w:val="1096"/>
            </w:pPr>
            <w:r>
              <w:rPr>
                <w:rFonts w:hint="eastAsia"/>
                <w:lang w:eastAsia="zh-CN"/>
              </w:rPr>
              <w:t xml:space="preserve">5</w:t>
            </w:r>
            <w:r>
              <w:rPr>
                <w:rFonts w:hint="eastAsia"/>
                <w:spacing w:val="-4"/>
              </w:rPr>
              <w:t xml:space="preserve">分</w:t>
            </w:r>
            <w:r/>
          </w:p>
        </w:tc>
        <w:tc>
          <w:tcPr>
            <w:tcW w:w="1276" w:type="dxa"/>
            <w:vAlign w:val="center"/>
            <w:textDirection w:val="lrTb"/>
            <w:noWrap w:val="false"/>
          </w:tcPr>
          <w:p>
            <w:pPr>
              <w:pStyle w:val="1096"/>
            </w:pPr>
            <w:r>
              <w:t xml:space="preserve">客观分</w:t>
            </w:r>
            <w:r/>
          </w:p>
        </w:tc>
      </w:tr>
      <w:tr>
        <w:trPr>
          <w:jc w:val="center"/>
          <w:trHeight w:val="1188"/>
        </w:trPr>
        <w:tc>
          <w:tcPr>
            <w:tcW w:w="637" w:type="dxa"/>
            <w:vAlign w:val="center"/>
            <w:textDirection w:val="lrTb"/>
            <w:noWrap w:val="false"/>
          </w:tcPr>
          <w:p>
            <w:pPr>
              <w:pStyle w:val="1096"/>
            </w:pPr>
            <w:r>
              <w:rPr>
                <w:rFonts w:hint="eastAsia"/>
              </w:rPr>
              <w:t xml:space="preserve">2.2</w:t>
            </w:r>
            <w:r/>
          </w:p>
        </w:tc>
        <w:tc>
          <w:tcPr>
            <w:tcW w:w="1016" w:type="dxa"/>
            <w:vAlign w:val="center"/>
            <w:textDirection w:val="lrTb"/>
            <w:noWrap w:val="false"/>
          </w:tcPr>
          <w:p>
            <w:pPr>
              <w:jc w:val="center"/>
              <w:rPr>
                <w:rFonts w:ascii="宋体" w:hAnsi="宋体" w:cs="宋体"/>
                <w:spacing w:val="-2"/>
                <w:lang w:val="zh-CN"/>
              </w:rPr>
            </w:pPr>
            <w:r>
              <w:rPr>
                <w:rFonts w:hint="eastAsia" w:ascii="宋体" w:hAnsi="宋体" w:cs="宋体"/>
                <w:spacing w:val="-2"/>
                <w:lang w:val="zh-CN"/>
              </w:rPr>
              <w:t xml:space="preserve">实施总体方案</w:t>
            </w:r>
            <w:r/>
          </w:p>
        </w:tc>
        <w:tc>
          <w:tcPr>
            <w:tcW w:w="5719" w:type="dxa"/>
            <w:vAlign w:val="center"/>
            <w:textDirection w:val="lrTb"/>
            <w:noWrap w:val="false"/>
          </w:tcPr>
          <w:p>
            <w:pPr>
              <w:jc w:val="left"/>
              <w:rPr>
                <w:rFonts w:ascii="宋体" w:hAnsi="宋体" w:cs="宋体"/>
                <w:spacing w:val="-2"/>
                <w:lang w:val="zh-CN"/>
              </w:rPr>
            </w:pPr>
            <w:r>
              <w:rPr>
                <w:rFonts w:hint="eastAsia" w:ascii="宋体" w:hAnsi="宋体" w:cs="宋体"/>
                <w:spacing w:val="-2"/>
                <w:lang w:val="zh-CN"/>
              </w:rPr>
              <w:t xml:space="preserve">评委根据投标人提供的实施总体方案内容及对项目的需求分析进行评分：</w:t>
            </w:r>
            <w:r/>
          </w:p>
          <w:p>
            <w:pPr>
              <w:jc w:val="left"/>
              <w:rPr>
                <w:rFonts w:ascii="宋体" w:hAnsi="宋体" w:cs="宋体"/>
                <w:spacing w:val="-2"/>
                <w:lang w:val="zh-CN"/>
              </w:rPr>
            </w:pPr>
            <w:r>
              <w:rPr>
                <w:rFonts w:hint="eastAsia" w:ascii="宋体" w:hAnsi="宋体" w:cs="宋体"/>
                <w:spacing w:val="-2"/>
                <w:lang w:val="zh-CN"/>
              </w:rPr>
              <w:t xml:space="preserve">1、总体方案思路清晰、定位准确、理解透彻，得4分；</w:t>
            </w:r>
            <w:r/>
          </w:p>
          <w:p>
            <w:pPr>
              <w:jc w:val="left"/>
              <w:rPr>
                <w:rFonts w:ascii="宋体" w:hAnsi="宋体" w:cs="宋体"/>
                <w:spacing w:val="-2"/>
                <w:lang w:val="zh-CN"/>
              </w:rPr>
            </w:pPr>
            <w:r>
              <w:rPr>
                <w:rFonts w:hint="eastAsia" w:ascii="宋体" w:hAnsi="宋体" w:cs="宋体"/>
                <w:spacing w:val="-2"/>
                <w:lang w:val="zh-CN"/>
              </w:rPr>
              <w:t xml:space="preserve">2、总体方案思路较为清晰、能基本做到定位准确、理解透彻，得3分；</w:t>
            </w:r>
            <w:r/>
          </w:p>
          <w:p>
            <w:pPr>
              <w:jc w:val="left"/>
              <w:rPr>
                <w:rFonts w:ascii="宋体" w:hAnsi="宋体" w:cs="宋体"/>
                <w:spacing w:val="-2"/>
                <w:lang w:val="zh-CN"/>
              </w:rPr>
            </w:pPr>
            <w:r>
              <w:rPr>
                <w:rFonts w:hint="eastAsia" w:ascii="宋体" w:hAnsi="宋体" w:cs="宋体"/>
                <w:spacing w:val="-2"/>
                <w:lang w:val="zh-CN"/>
              </w:rPr>
              <w:t xml:space="preserve">3、方案一般、定位有偏差、思路清晰度不够，得2分；</w:t>
            </w:r>
            <w:r/>
          </w:p>
          <w:p>
            <w:pPr>
              <w:jc w:val="left"/>
              <w:rPr>
                <w:rFonts w:ascii="宋体" w:hAnsi="宋体" w:cs="宋体"/>
                <w:spacing w:val="-2"/>
                <w:lang w:val="zh-CN"/>
              </w:rPr>
            </w:pPr>
            <w:r>
              <w:rPr>
                <w:rFonts w:hint="eastAsia" w:ascii="宋体" w:hAnsi="宋体" w:cs="宋体"/>
                <w:spacing w:val="-2"/>
                <w:lang w:val="zh-CN"/>
              </w:rPr>
              <w:t xml:space="preserve">4、方案简单、理解力欠缺、思路混淆，得1分；</w:t>
            </w:r>
            <w:r/>
          </w:p>
          <w:p>
            <w:pPr>
              <w:jc w:val="left"/>
              <w:rPr>
                <w:rFonts w:ascii="宋体" w:hAnsi="宋体" w:cs="宋体"/>
                <w:spacing w:val="-2"/>
                <w:lang w:val="zh-CN"/>
              </w:rPr>
            </w:pPr>
            <w:r>
              <w:rPr>
                <w:rFonts w:hint="eastAsia" w:ascii="宋体" w:hAnsi="宋体" w:cs="宋体"/>
                <w:spacing w:val="-2"/>
                <w:lang w:val="zh-CN"/>
              </w:rPr>
              <w:t xml:space="preserve">其余不得分。</w:t>
            </w:r>
            <w:r/>
          </w:p>
        </w:tc>
        <w:tc>
          <w:tcPr>
            <w:tcW w:w="709" w:type="dxa"/>
            <w:vAlign w:val="center"/>
            <w:textDirection w:val="lrTb"/>
            <w:noWrap w:val="false"/>
          </w:tcPr>
          <w:p>
            <w:pPr>
              <w:jc w:val="center"/>
              <w:rPr>
                <w:rFonts w:ascii="宋体" w:hAnsi="宋体" w:cs="宋体"/>
                <w:spacing w:val="-2"/>
                <w:lang w:val="zh-CN"/>
              </w:rPr>
            </w:pPr>
            <w:r>
              <w:rPr>
                <w:rFonts w:hint="eastAsia" w:ascii="宋体" w:hAnsi="宋体" w:cs="宋体"/>
                <w:spacing w:val="-2"/>
              </w:rPr>
              <w:t xml:space="preserve">4分</w:t>
            </w:r>
            <w:r/>
          </w:p>
        </w:tc>
        <w:tc>
          <w:tcPr>
            <w:tcW w:w="1276" w:type="dxa"/>
            <w:vAlign w:val="center"/>
            <w:textDirection w:val="lrTb"/>
            <w:noWrap w:val="false"/>
          </w:tcPr>
          <w:p>
            <w:pPr>
              <w:pStyle w:val="1096"/>
            </w:pPr>
            <w:r>
              <w:t xml:space="preserve">主观分</w:t>
            </w:r>
            <w:r/>
          </w:p>
        </w:tc>
      </w:tr>
      <w:tr>
        <w:trPr>
          <w:jc w:val="center"/>
          <w:trHeight w:val="1188"/>
        </w:trPr>
        <w:tc>
          <w:tcPr>
            <w:tcW w:w="637" w:type="dxa"/>
            <w:vAlign w:val="center"/>
            <w:textDirection w:val="lrTb"/>
            <w:noWrap w:val="false"/>
          </w:tcPr>
          <w:p>
            <w:pPr>
              <w:pStyle w:val="1096"/>
            </w:pPr>
            <w:r>
              <w:rPr>
                <w:rFonts w:hint="eastAsia"/>
              </w:rPr>
              <w:t xml:space="preserve">2.3</w:t>
            </w:r>
            <w:r/>
          </w:p>
        </w:tc>
        <w:tc>
          <w:tcPr>
            <w:tcW w:w="1016" w:type="dxa"/>
            <w:vAlign w:val="center"/>
            <w:textDirection w:val="lrTb"/>
            <w:noWrap w:val="false"/>
          </w:tcPr>
          <w:p>
            <w:pPr>
              <w:jc w:val="center"/>
              <w:rPr>
                <w:rFonts w:ascii="宋体" w:hAnsi="宋体" w:cs="宋体"/>
                <w:spacing w:val="-2"/>
                <w:lang w:val="zh-CN"/>
              </w:rPr>
            </w:pPr>
            <w:r>
              <w:rPr>
                <w:rFonts w:hint="eastAsia" w:ascii="宋体" w:hAnsi="宋体" w:cs="宋体"/>
                <w:spacing w:val="-2"/>
                <w:lang w:val="zh-CN"/>
              </w:rPr>
              <w:t xml:space="preserve">供货现场平面和临时设施布置</w:t>
            </w:r>
            <w:r/>
          </w:p>
        </w:tc>
        <w:tc>
          <w:tcPr>
            <w:tcW w:w="5719" w:type="dxa"/>
            <w:vAlign w:val="center"/>
            <w:textDirection w:val="lrTb"/>
            <w:noWrap w:val="false"/>
          </w:tcPr>
          <w:p>
            <w:pPr>
              <w:jc w:val="left"/>
              <w:rPr>
                <w:rFonts w:ascii="宋体" w:hAnsi="宋体" w:cs="宋体"/>
                <w:spacing w:val="-2"/>
                <w:lang w:val="zh-CN"/>
              </w:rPr>
            </w:pPr>
            <w:r>
              <w:rPr>
                <w:rFonts w:hint="eastAsia" w:ascii="宋体" w:hAnsi="宋体" w:cs="宋体"/>
                <w:spacing w:val="-2"/>
                <w:lang w:val="zh-CN"/>
              </w:rPr>
              <w:t xml:space="preserve">评委根据投标人提供的供货现场平面和临时设施布置进行评分：</w:t>
            </w:r>
            <w:r/>
          </w:p>
          <w:p>
            <w:pPr>
              <w:jc w:val="left"/>
              <w:rPr>
                <w:rFonts w:ascii="宋体" w:hAnsi="宋体" w:cs="宋体"/>
                <w:spacing w:val="-2"/>
                <w:lang w:val="zh-CN"/>
              </w:rPr>
            </w:pPr>
            <w:r>
              <w:rPr>
                <w:rFonts w:hint="eastAsia" w:ascii="宋体" w:hAnsi="宋体" w:cs="宋体"/>
                <w:spacing w:val="-2"/>
                <w:lang w:val="zh-CN"/>
              </w:rPr>
              <w:t xml:space="preserve">1、现场平面布置设置紧凑有序，临时设施布置得当、对周边无影响，得4分；</w:t>
            </w:r>
            <w:r/>
          </w:p>
          <w:p>
            <w:pPr>
              <w:jc w:val="left"/>
              <w:rPr>
                <w:rFonts w:ascii="宋体" w:hAnsi="宋体" w:cs="宋体"/>
                <w:spacing w:val="-2"/>
                <w:lang w:val="zh-CN"/>
              </w:rPr>
            </w:pPr>
            <w:r>
              <w:rPr>
                <w:rFonts w:hint="eastAsia" w:ascii="宋体" w:hAnsi="宋体" w:cs="宋体"/>
                <w:spacing w:val="-2"/>
                <w:lang w:val="zh-CN"/>
              </w:rPr>
              <w:t xml:space="preserve">2、现场平面布置设置较为有序，临时设施布置相对得当、对周边无影响，得3分；</w:t>
            </w:r>
            <w:r/>
          </w:p>
          <w:p>
            <w:pPr>
              <w:jc w:val="left"/>
              <w:rPr>
                <w:rFonts w:ascii="宋体" w:hAnsi="宋体" w:cs="宋体"/>
                <w:spacing w:val="-2"/>
                <w:lang w:val="zh-CN"/>
              </w:rPr>
            </w:pPr>
            <w:r>
              <w:rPr>
                <w:rFonts w:hint="eastAsia" w:ascii="宋体" w:hAnsi="宋体" w:cs="宋体"/>
                <w:spacing w:val="-2"/>
                <w:lang w:val="zh-CN"/>
              </w:rPr>
              <w:t xml:space="preserve">3、现场平面布置设置一般，临时设施布置一般、对周边影响较小，得2分；</w:t>
            </w:r>
            <w:r/>
          </w:p>
          <w:p>
            <w:pPr>
              <w:jc w:val="left"/>
              <w:rPr>
                <w:rFonts w:ascii="宋体" w:hAnsi="宋体" w:cs="宋体"/>
                <w:spacing w:val="-2"/>
                <w:lang w:val="zh-CN"/>
              </w:rPr>
            </w:pPr>
            <w:r>
              <w:rPr>
                <w:rFonts w:hint="eastAsia" w:ascii="宋体" w:hAnsi="宋体" w:cs="宋体"/>
                <w:spacing w:val="-2"/>
                <w:lang w:val="zh-CN"/>
              </w:rPr>
              <w:t xml:space="preserve">4、现场平面布置设置混乱，临时设施布置无安排、对周边影响较大，得</w:t>
            </w:r>
            <w:r>
              <w:rPr>
                <w:rFonts w:hint="eastAsia" w:ascii="宋体" w:hAnsi="宋体" w:cs="宋体"/>
                <w:spacing w:val="-2"/>
                <w:lang w:val="zh-CN"/>
              </w:rPr>
              <w:t xml:space="preserve">1</w:t>
            </w:r>
            <w:r>
              <w:rPr>
                <w:rFonts w:hint="eastAsia" w:ascii="宋体" w:hAnsi="宋体" w:cs="宋体"/>
                <w:spacing w:val="-2"/>
                <w:lang w:val="zh-CN"/>
              </w:rPr>
              <w:t xml:space="preserve">分；</w:t>
            </w:r>
            <w:r/>
          </w:p>
          <w:p>
            <w:pPr>
              <w:jc w:val="left"/>
              <w:rPr>
                <w:rFonts w:ascii="宋体" w:hAnsi="宋体" w:cs="宋体"/>
                <w:spacing w:val="-2"/>
                <w:lang w:val="zh-CN"/>
              </w:rPr>
            </w:pPr>
            <w:r>
              <w:rPr>
                <w:rFonts w:hint="eastAsia" w:ascii="宋体" w:hAnsi="宋体" w:cs="宋体"/>
                <w:spacing w:val="-2"/>
                <w:lang w:val="zh-CN"/>
              </w:rPr>
              <w:t xml:space="preserve">其余不得分。</w:t>
            </w:r>
            <w:r/>
          </w:p>
        </w:tc>
        <w:tc>
          <w:tcPr>
            <w:tcW w:w="709" w:type="dxa"/>
            <w:vAlign w:val="center"/>
            <w:textDirection w:val="lrTb"/>
            <w:noWrap w:val="false"/>
          </w:tcPr>
          <w:p>
            <w:pPr>
              <w:jc w:val="center"/>
              <w:rPr>
                <w:rFonts w:ascii="宋体" w:hAnsi="宋体" w:cs="宋体"/>
                <w:spacing w:val="-2"/>
              </w:rPr>
            </w:pPr>
            <w:r>
              <w:rPr>
                <w:rFonts w:hint="eastAsia" w:ascii="宋体" w:hAnsi="宋体" w:cs="宋体"/>
                <w:spacing w:val="-2"/>
              </w:rPr>
              <w:t xml:space="preserve">4分</w:t>
            </w:r>
            <w:r/>
          </w:p>
        </w:tc>
        <w:tc>
          <w:tcPr>
            <w:tcW w:w="1276" w:type="dxa"/>
            <w:vAlign w:val="center"/>
            <w:textDirection w:val="lrTb"/>
            <w:noWrap w:val="false"/>
          </w:tcPr>
          <w:p>
            <w:pPr>
              <w:pStyle w:val="1096"/>
            </w:pPr>
            <w:r>
              <w:t xml:space="preserve">主观分</w:t>
            </w:r>
            <w:r/>
          </w:p>
        </w:tc>
      </w:tr>
      <w:tr>
        <w:trPr>
          <w:jc w:val="center"/>
          <w:trHeight w:val="1719"/>
        </w:trPr>
        <w:tc>
          <w:tcPr>
            <w:tcW w:w="637" w:type="dxa"/>
            <w:vAlign w:val="center"/>
            <w:textDirection w:val="lrTb"/>
            <w:noWrap w:val="false"/>
          </w:tcPr>
          <w:p>
            <w:pPr>
              <w:pStyle w:val="1096"/>
            </w:pPr>
            <w:r>
              <w:rPr>
                <w:rFonts w:hint="eastAsia"/>
              </w:rPr>
              <w:t xml:space="preserve">2.4</w:t>
            </w:r>
            <w:r/>
          </w:p>
        </w:tc>
        <w:tc>
          <w:tcPr>
            <w:tcW w:w="1016" w:type="dxa"/>
            <w:vAlign w:val="center"/>
            <w:textDirection w:val="lrTb"/>
            <w:noWrap w:val="false"/>
          </w:tcPr>
          <w:p>
            <w:pPr>
              <w:jc w:val="center"/>
              <w:rPr>
                <w:rFonts w:ascii="宋体" w:hAnsi="宋体" w:cs="宋体"/>
                <w:spacing w:val="-2"/>
                <w:lang w:val="zh-CN"/>
              </w:rPr>
            </w:pPr>
            <w:r>
              <w:rPr>
                <w:rFonts w:hint="eastAsia" w:ascii="宋体" w:hAnsi="宋体" w:cs="宋体"/>
                <w:spacing w:val="-2"/>
                <w:lang w:val="zh-CN"/>
              </w:rPr>
              <w:t xml:space="preserve">供货时间进度计划和保证措施</w:t>
            </w:r>
            <w:r/>
          </w:p>
        </w:tc>
        <w:tc>
          <w:tcPr>
            <w:tcW w:w="5719" w:type="dxa"/>
            <w:vAlign w:val="center"/>
            <w:textDirection w:val="lrTb"/>
            <w:noWrap w:val="false"/>
          </w:tcPr>
          <w:p>
            <w:pPr>
              <w:jc w:val="left"/>
              <w:rPr>
                <w:rFonts w:ascii="宋体" w:hAnsi="宋体" w:cs="宋体"/>
                <w:spacing w:val="-2"/>
                <w:lang w:val="zh-CN"/>
              </w:rPr>
            </w:pPr>
            <w:r>
              <w:rPr>
                <w:rFonts w:hint="eastAsia" w:ascii="宋体" w:hAnsi="宋体" w:cs="宋体"/>
                <w:spacing w:val="-2"/>
                <w:lang w:val="zh-CN"/>
              </w:rPr>
              <w:t xml:space="preserve">评委根据投标人提供的供货时间进度计划和保证措施进行评分：</w:t>
            </w:r>
            <w:r/>
          </w:p>
          <w:p>
            <w:pPr>
              <w:jc w:val="left"/>
              <w:rPr>
                <w:rFonts w:ascii="宋体" w:hAnsi="宋体" w:cs="宋体"/>
                <w:spacing w:val="-2"/>
                <w:lang w:val="zh-CN"/>
              </w:rPr>
            </w:pPr>
            <w:r>
              <w:rPr>
                <w:rFonts w:hint="eastAsia" w:ascii="宋体" w:hAnsi="宋体" w:cs="宋体"/>
                <w:spacing w:val="-2"/>
                <w:lang w:val="zh-CN"/>
              </w:rPr>
              <w:t xml:space="preserve">1、供货时间进度计划详实、实施进度合理，保证措施完善，提前完成供货，得4分；</w:t>
            </w:r>
            <w:r/>
          </w:p>
          <w:p>
            <w:pPr>
              <w:jc w:val="left"/>
              <w:rPr>
                <w:rFonts w:ascii="宋体" w:hAnsi="宋体" w:cs="宋体"/>
                <w:spacing w:val="-2"/>
                <w:lang w:val="zh-CN"/>
              </w:rPr>
            </w:pPr>
            <w:r>
              <w:rPr>
                <w:rFonts w:hint="eastAsia" w:ascii="宋体" w:hAnsi="宋体" w:cs="宋体"/>
                <w:spacing w:val="-2"/>
                <w:lang w:val="zh-CN"/>
              </w:rPr>
              <w:t xml:space="preserve">2、供货时间进度计划满足采购需求、实施进度合理，保证措施较为完善，保证按时完成供货，得3分；</w:t>
            </w:r>
            <w:r/>
          </w:p>
          <w:p>
            <w:pPr>
              <w:jc w:val="left"/>
              <w:rPr>
                <w:rFonts w:ascii="宋体" w:hAnsi="宋体" w:cs="宋体"/>
                <w:spacing w:val="-2"/>
                <w:lang w:val="zh-CN"/>
              </w:rPr>
            </w:pPr>
            <w:r>
              <w:rPr>
                <w:rFonts w:hint="eastAsia" w:ascii="宋体" w:hAnsi="宋体" w:cs="宋体"/>
                <w:spacing w:val="-2"/>
                <w:lang w:val="zh-CN"/>
              </w:rPr>
              <w:t xml:space="preserve">3、供货时间进度计划较为合理、实施进度较为合理，保证措施一般，保证按时完成供货，得2分；</w:t>
            </w:r>
            <w:r/>
          </w:p>
          <w:p>
            <w:pPr>
              <w:jc w:val="left"/>
              <w:rPr>
                <w:rFonts w:ascii="宋体" w:hAnsi="宋体" w:cs="宋体"/>
                <w:spacing w:val="-2"/>
                <w:lang w:val="zh-CN"/>
              </w:rPr>
            </w:pPr>
            <w:r>
              <w:rPr>
                <w:rFonts w:hint="eastAsia" w:ascii="宋体" w:hAnsi="宋体" w:cs="宋体"/>
                <w:spacing w:val="-2"/>
                <w:lang w:val="zh-CN"/>
              </w:rPr>
              <w:t xml:space="preserve">4、供货时间进度计划较为一般、实施进度一般，保证措施一般，不能保证按时完成供货，得1分；</w:t>
            </w:r>
            <w:r/>
          </w:p>
          <w:p>
            <w:pPr>
              <w:jc w:val="left"/>
              <w:rPr>
                <w:rFonts w:ascii="宋体" w:hAnsi="宋体" w:cs="宋体"/>
                <w:spacing w:val="-2"/>
                <w:lang w:val="zh-CN"/>
              </w:rPr>
            </w:pPr>
            <w:r>
              <w:rPr>
                <w:rFonts w:hint="eastAsia" w:ascii="宋体" w:hAnsi="宋体" w:cs="宋体"/>
                <w:spacing w:val="-2"/>
                <w:lang w:val="zh-CN"/>
              </w:rPr>
              <w:t xml:space="preserve">其余不得分。</w:t>
            </w:r>
            <w:r/>
          </w:p>
        </w:tc>
        <w:tc>
          <w:tcPr>
            <w:tcW w:w="709" w:type="dxa"/>
            <w:vAlign w:val="center"/>
            <w:textDirection w:val="lrTb"/>
            <w:noWrap w:val="false"/>
          </w:tcPr>
          <w:p>
            <w:pPr>
              <w:jc w:val="center"/>
              <w:rPr>
                <w:rFonts w:ascii="宋体" w:hAnsi="宋体" w:cs="宋体"/>
                <w:spacing w:val="-2"/>
                <w:lang w:val="zh-CN"/>
              </w:rPr>
            </w:pPr>
            <w:r>
              <w:rPr>
                <w:rFonts w:hint="eastAsia" w:ascii="宋体" w:hAnsi="宋体" w:cs="宋体"/>
                <w:spacing w:val="-2"/>
              </w:rPr>
              <w:t xml:space="preserve">4分</w:t>
            </w:r>
            <w:r/>
          </w:p>
        </w:tc>
        <w:tc>
          <w:tcPr>
            <w:tcW w:w="1276" w:type="dxa"/>
            <w:vAlign w:val="center"/>
            <w:textDirection w:val="lrTb"/>
            <w:noWrap w:val="false"/>
          </w:tcPr>
          <w:p>
            <w:pPr>
              <w:pStyle w:val="1096"/>
            </w:pPr>
            <w:r>
              <w:t xml:space="preserve">主观分</w:t>
            </w:r>
            <w:r/>
          </w:p>
        </w:tc>
      </w:tr>
      <w:tr>
        <w:trPr>
          <w:jc w:val="center"/>
          <w:trHeight w:val="277"/>
        </w:trPr>
        <w:tc>
          <w:tcPr>
            <w:tcW w:w="637" w:type="dxa"/>
            <w:vAlign w:val="center"/>
            <w:textDirection w:val="lrTb"/>
            <w:noWrap w:val="false"/>
          </w:tcPr>
          <w:p>
            <w:pPr>
              <w:pStyle w:val="1096"/>
            </w:pPr>
            <w:r>
              <w:rPr>
                <w:rFonts w:hint="eastAsia"/>
              </w:rPr>
              <w:t xml:space="preserve">2.5</w:t>
            </w:r>
            <w:r/>
          </w:p>
        </w:tc>
        <w:tc>
          <w:tcPr>
            <w:tcW w:w="1016" w:type="dxa"/>
            <w:vAlign w:val="center"/>
            <w:textDirection w:val="lrTb"/>
            <w:noWrap w:val="false"/>
          </w:tcPr>
          <w:p>
            <w:pPr>
              <w:jc w:val="center"/>
              <w:rPr>
                <w:rFonts w:ascii="宋体" w:hAnsi="宋体" w:cs="宋体"/>
                <w:spacing w:val="-2"/>
                <w:lang w:val="zh-CN"/>
              </w:rPr>
            </w:pPr>
            <w:r>
              <w:rPr>
                <w:rFonts w:hint="eastAsia" w:ascii="宋体" w:hAnsi="宋体" w:cs="宋体"/>
                <w:spacing w:val="-2"/>
                <w:lang w:val="zh-CN"/>
              </w:rPr>
              <w:t xml:space="preserve">供货及安装调试各阶段质量安全保证措施</w:t>
            </w:r>
            <w:r/>
          </w:p>
        </w:tc>
        <w:tc>
          <w:tcPr>
            <w:tcW w:w="5719" w:type="dxa"/>
            <w:vAlign w:val="center"/>
            <w:textDirection w:val="lrTb"/>
            <w:noWrap w:val="false"/>
          </w:tcPr>
          <w:p>
            <w:pPr>
              <w:jc w:val="left"/>
              <w:rPr>
                <w:rFonts w:ascii="宋体" w:hAnsi="宋体" w:cs="宋体"/>
                <w:spacing w:val="-2"/>
                <w:lang w:val="zh-CN"/>
              </w:rPr>
            </w:pPr>
            <w:r>
              <w:rPr>
                <w:rFonts w:hint="eastAsia" w:ascii="宋体" w:hAnsi="宋体" w:cs="宋体"/>
                <w:spacing w:val="-2"/>
                <w:lang w:val="zh-CN"/>
              </w:rPr>
              <w:t xml:space="preserve">评委根据投标人提供的供货及安装调试各阶段质量安全保证措施进行评分：</w:t>
            </w:r>
            <w:r/>
          </w:p>
          <w:p>
            <w:pPr>
              <w:jc w:val="left"/>
              <w:rPr>
                <w:rFonts w:ascii="宋体" w:hAnsi="宋体" w:cs="宋体"/>
                <w:spacing w:val="-2"/>
                <w:lang w:val="zh-CN"/>
              </w:rPr>
            </w:pPr>
            <w:r>
              <w:rPr>
                <w:rFonts w:hint="eastAsia" w:ascii="宋体" w:hAnsi="宋体" w:cs="宋体"/>
                <w:spacing w:val="-2"/>
                <w:lang w:val="zh-CN"/>
              </w:rPr>
              <w:t xml:space="preserve">1、各阶段质量控制合理、措施完善，保证措施可靠，得4分；</w:t>
            </w:r>
            <w:r/>
          </w:p>
          <w:p>
            <w:pPr>
              <w:jc w:val="left"/>
              <w:rPr>
                <w:rFonts w:ascii="宋体" w:hAnsi="宋体" w:cs="宋体"/>
                <w:spacing w:val="-2"/>
                <w:lang w:val="zh-CN"/>
              </w:rPr>
            </w:pPr>
            <w:r>
              <w:rPr>
                <w:rFonts w:hint="eastAsia" w:ascii="宋体" w:hAnsi="宋体" w:cs="宋体"/>
                <w:spacing w:val="-2"/>
                <w:lang w:val="zh-CN"/>
              </w:rPr>
              <w:t xml:space="preserve">2、各阶段质量控制合理、措施得当，质量保证措施符合采购特点，得3分；</w:t>
            </w:r>
            <w:r/>
          </w:p>
          <w:p>
            <w:pPr>
              <w:jc w:val="left"/>
              <w:rPr>
                <w:rFonts w:ascii="宋体" w:hAnsi="宋体" w:cs="宋体"/>
                <w:spacing w:val="-2"/>
                <w:lang w:val="zh-CN"/>
              </w:rPr>
            </w:pPr>
            <w:r>
              <w:rPr>
                <w:rFonts w:hint="eastAsia" w:ascii="宋体" w:hAnsi="宋体" w:cs="宋体"/>
                <w:spacing w:val="-2"/>
                <w:lang w:val="zh-CN"/>
              </w:rPr>
              <w:t xml:space="preserve">3、各阶段质量控制较为合理、措施一般，质量保证措施较为完善，得2分；</w:t>
            </w:r>
            <w:r/>
          </w:p>
          <w:p>
            <w:pPr>
              <w:jc w:val="left"/>
              <w:rPr>
                <w:rFonts w:ascii="宋体" w:hAnsi="宋体" w:cs="宋体"/>
                <w:spacing w:val="-2"/>
                <w:lang w:val="zh-CN"/>
              </w:rPr>
            </w:pPr>
            <w:r>
              <w:rPr>
                <w:rFonts w:hint="eastAsia" w:ascii="宋体" w:hAnsi="宋体" w:cs="宋体"/>
                <w:spacing w:val="-2"/>
                <w:lang w:val="zh-CN"/>
              </w:rPr>
              <w:t xml:space="preserve">4、各阶段质量控制不合理、措施不得当，质量保证措施不完善，得1分；</w:t>
            </w:r>
            <w:r/>
          </w:p>
          <w:p>
            <w:pPr>
              <w:jc w:val="left"/>
              <w:rPr>
                <w:rFonts w:ascii="宋体" w:hAnsi="宋体" w:cs="宋体"/>
                <w:spacing w:val="-2"/>
                <w:lang w:val="zh-CN"/>
              </w:rPr>
            </w:pPr>
            <w:r>
              <w:rPr>
                <w:rFonts w:hint="eastAsia" w:ascii="宋体" w:hAnsi="宋体" w:cs="宋体"/>
                <w:spacing w:val="-2"/>
                <w:lang w:val="zh-CN"/>
              </w:rPr>
              <w:t xml:space="preserve">其余不得分。</w:t>
            </w:r>
            <w:r/>
          </w:p>
        </w:tc>
        <w:tc>
          <w:tcPr>
            <w:tcW w:w="709" w:type="dxa"/>
            <w:vAlign w:val="center"/>
            <w:textDirection w:val="lrTb"/>
            <w:noWrap w:val="false"/>
          </w:tcPr>
          <w:p>
            <w:pPr>
              <w:jc w:val="center"/>
              <w:rPr>
                <w:rFonts w:ascii="宋体" w:hAnsi="宋体" w:cs="宋体"/>
                <w:spacing w:val="-3"/>
              </w:rPr>
            </w:pPr>
            <w:r>
              <w:rPr>
                <w:rFonts w:hint="eastAsia" w:ascii="宋体" w:hAnsi="宋体" w:cs="宋体"/>
                <w:spacing w:val="-2"/>
              </w:rPr>
              <w:t xml:space="preserve">4分</w:t>
            </w:r>
            <w:r/>
          </w:p>
        </w:tc>
        <w:tc>
          <w:tcPr>
            <w:tcW w:w="1276" w:type="dxa"/>
            <w:vAlign w:val="center"/>
            <w:textDirection w:val="lrTb"/>
            <w:noWrap w:val="false"/>
          </w:tcPr>
          <w:p>
            <w:pPr>
              <w:pStyle w:val="1096"/>
              <w:rPr>
                <w:lang w:eastAsia="zh-CN"/>
              </w:rPr>
            </w:pPr>
            <w:r>
              <w:t xml:space="preserve">主观分</w:t>
            </w:r>
            <w:r/>
          </w:p>
        </w:tc>
      </w:tr>
      <w:tr>
        <w:trPr>
          <w:jc w:val="center"/>
          <w:trHeight w:val="1171"/>
        </w:trPr>
        <w:tc>
          <w:tcPr>
            <w:tcW w:w="637" w:type="dxa"/>
            <w:vAlign w:val="center"/>
            <w:textDirection w:val="lrTb"/>
            <w:noWrap w:val="false"/>
          </w:tcPr>
          <w:p>
            <w:pPr>
              <w:pStyle w:val="1096"/>
            </w:pPr>
            <w:r>
              <w:rPr>
                <w:rFonts w:hint="eastAsia"/>
              </w:rPr>
              <w:t xml:space="preserve">2.6</w:t>
            </w:r>
            <w:r/>
          </w:p>
        </w:tc>
        <w:tc>
          <w:tcPr>
            <w:tcW w:w="1016" w:type="dxa"/>
            <w:vAlign w:val="center"/>
            <w:textDirection w:val="lrTb"/>
            <w:noWrap w:val="false"/>
          </w:tcPr>
          <w:p>
            <w:pPr>
              <w:jc w:val="center"/>
              <w:rPr>
                <w:rFonts w:ascii="宋体" w:hAnsi="宋体" w:cs="宋体"/>
                <w:spacing w:val="-2"/>
                <w:lang w:val="zh-CN"/>
              </w:rPr>
            </w:pPr>
            <w:r>
              <w:rPr>
                <w:rFonts w:hint="eastAsia" w:ascii="宋体" w:hAnsi="宋体" w:cs="宋体"/>
                <w:spacing w:val="-2"/>
                <w:lang w:val="zh-CN"/>
              </w:rPr>
              <w:t xml:space="preserve">项目验收方案</w:t>
            </w:r>
            <w:r/>
          </w:p>
        </w:tc>
        <w:tc>
          <w:tcPr>
            <w:tcW w:w="5719" w:type="dxa"/>
            <w:textDirection w:val="lrTb"/>
            <w:noWrap w:val="false"/>
          </w:tcPr>
          <w:p>
            <w:pPr>
              <w:jc w:val="left"/>
              <w:rPr>
                <w:rFonts w:ascii="宋体" w:hAnsi="宋体" w:cs="宋体"/>
                <w:spacing w:val="-2"/>
                <w:lang w:val="zh-CN"/>
              </w:rPr>
            </w:pPr>
            <w:r>
              <w:rPr>
                <w:rFonts w:hint="eastAsia" w:ascii="宋体" w:hAnsi="宋体" w:cs="宋体"/>
                <w:spacing w:val="-2"/>
                <w:lang w:val="zh-CN"/>
              </w:rPr>
              <w:t xml:space="preserve">评委根据投标人提供的项目验收方案内容的针对性、可行性、合理性进行评分：</w:t>
            </w:r>
            <w:r/>
          </w:p>
          <w:p>
            <w:pPr>
              <w:jc w:val="left"/>
              <w:rPr>
                <w:rFonts w:ascii="宋体" w:hAnsi="宋体" w:cs="宋体"/>
                <w:spacing w:val="-2"/>
                <w:lang w:val="zh-CN"/>
              </w:rPr>
            </w:pPr>
            <w:r>
              <w:rPr>
                <w:rFonts w:hint="eastAsia" w:ascii="宋体" w:hAnsi="宋体" w:cs="宋体"/>
                <w:spacing w:val="-2"/>
                <w:lang w:val="zh-CN"/>
              </w:rPr>
              <w:t xml:space="preserve">1、各阶段质量安全保证措施内容针对性、可行性、合理性好，得4分；</w:t>
            </w:r>
            <w:r/>
          </w:p>
          <w:p>
            <w:pPr>
              <w:jc w:val="left"/>
              <w:rPr>
                <w:rFonts w:ascii="宋体" w:hAnsi="宋体" w:cs="宋体"/>
                <w:spacing w:val="-2"/>
                <w:lang w:val="zh-CN"/>
              </w:rPr>
            </w:pPr>
            <w:r>
              <w:rPr>
                <w:rFonts w:hint="eastAsia" w:ascii="宋体" w:hAnsi="宋体" w:cs="宋体"/>
                <w:spacing w:val="-2"/>
                <w:lang w:val="zh-CN"/>
              </w:rPr>
              <w:t xml:space="preserve">2、各阶段质量安全保证措施内容针对性、可行性、合理性较好，得3分；</w:t>
            </w:r>
            <w:r/>
          </w:p>
          <w:p>
            <w:pPr>
              <w:jc w:val="left"/>
              <w:rPr>
                <w:rFonts w:ascii="宋体" w:hAnsi="宋体" w:cs="宋体"/>
                <w:spacing w:val="-2"/>
                <w:lang w:val="zh-CN"/>
              </w:rPr>
            </w:pPr>
            <w:r>
              <w:rPr>
                <w:rFonts w:hint="eastAsia" w:ascii="宋体" w:hAnsi="宋体" w:cs="宋体"/>
                <w:spacing w:val="-2"/>
                <w:lang w:val="zh-CN"/>
              </w:rPr>
              <w:t xml:space="preserve">3、各阶段质量安全保证措施内容针对性、可行性、合理性一般，得2分；</w:t>
            </w:r>
            <w:r/>
          </w:p>
          <w:p>
            <w:pPr>
              <w:jc w:val="left"/>
              <w:rPr>
                <w:rFonts w:ascii="宋体" w:hAnsi="宋体" w:cs="宋体"/>
                <w:spacing w:val="-2"/>
                <w:lang w:val="zh-CN"/>
              </w:rPr>
            </w:pPr>
            <w:r>
              <w:rPr>
                <w:rFonts w:hint="eastAsia" w:ascii="宋体" w:hAnsi="宋体" w:cs="宋体"/>
                <w:spacing w:val="-2"/>
                <w:lang w:val="zh-CN"/>
              </w:rPr>
              <w:t xml:space="preserve">4、各阶段质量安全保证措施内容针对性、可行性、合理性差，得1分；</w:t>
            </w:r>
            <w:r/>
          </w:p>
          <w:p>
            <w:pPr>
              <w:jc w:val="left"/>
              <w:rPr>
                <w:rFonts w:ascii="宋体" w:hAnsi="宋体" w:cs="宋体"/>
                <w:spacing w:val="-2"/>
                <w:lang w:val="zh-CN"/>
              </w:rPr>
            </w:pPr>
            <w:r>
              <w:rPr>
                <w:rFonts w:hint="eastAsia" w:ascii="宋体" w:hAnsi="宋体" w:cs="宋体"/>
                <w:spacing w:val="-2"/>
                <w:lang w:val="zh-CN"/>
              </w:rPr>
              <w:t xml:space="preserve">其余不得分。</w:t>
            </w:r>
            <w:r/>
          </w:p>
        </w:tc>
        <w:tc>
          <w:tcPr>
            <w:tcW w:w="709" w:type="dxa"/>
            <w:vAlign w:val="center"/>
            <w:textDirection w:val="lrTb"/>
            <w:noWrap w:val="false"/>
          </w:tcPr>
          <w:p>
            <w:pPr>
              <w:jc w:val="center"/>
              <w:rPr>
                <w:rFonts w:ascii="宋体" w:hAnsi="宋体" w:cs="宋体"/>
              </w:rPr>
            </w:pPr>
            <w:r>
              <w:rPr>
                <w:rFonts w:hint="eastAsia" w:ascii="宋体" w:hAnsi="宋体" w:cs="宋体"/>
                <w:spacing w:val="-2"/>
              </w:rPr>
              <w:t xml:space="preserve">4分</w:t>
            </w:r>
            <w:r/>
          </w:p>
        </w:tc>
        <w:tc>
          <w:tcPr>
            <w:tcW w:w="1276" w:type="dxa"/>
            <w:vAlign w:val="center"/>
            <w:textDirection w:val="lrTb"/>
            <w:noWrap w:val="false"/>
          </w:tcPr>
          <w:p>
            <w:pPr>
              <w:pStyle w:val="1096"/>
              <w:rPr>
                <w:spacing w:val="-3"/>
              </w:rPr>
            </w:pPr>
            <w:r>
              <w:t xml:space="preserve">主观分</w:t>
            </w:r>
            <w:r/>
          </w:p>
        </w:tc>
      </w:tr>
      <w:tr>
        <w:trPr>
          <w:jc w:val="center"/>
          <w:trHeight w:val="495"/>
        </w:trPr>
        <w:tc>
          <w:tcPr>
            <w:gridSpan w:val="5"/>
            <w:tcW w:w="9357" w:type="dxa"/>
            <w:vAlign w:val="center"/>
            <w:textDirection w:val="lrTb"/>
            <w:noWrap w:val="false"/>
          </w:tcPr>
          <w:p>
            <w:pPr>
              <w:pStyle w:val="1096"/>
            </w:pPr>
            <w:r>
              <w:t xml:space="preserve">服务</w:t>
            </w:r>
            <w:r/>
          </w:p>
        </w:tc>
      </w:tr>
      <w:tr>
        <w:trPr>
          <w:jc w:val="center"/>
          <w:trHeight w:val="1171"/>
        </w:trPr>
        <w:tc>
          <w:tcPr>
            <w:tcW w:w="637" w:type="dxa"/>
            <w:vAlign w:val="center"/>
            <w:textDirection w:val="lrTb"/>
            <w:noWrap w:val="false"/>
          </w:tcPr>
          <w:p>
            <w:pPr>
              <w:pStyle w:val="1096"/>
            </w:pPr>
            <w:r>
              <w:rPr>
                <w:rFonts w:hint="eastAsia"/>
              </w:rPr>
              <w:t xml:space="preserve">3.1</w:t>
            </w:r>
            <w:r/>
          </w:p>
        </w:tc>
        <w:tc>
          <w:tcPr>
            <w:tcW w:w="1016" w:type="dxa"/>
            <w:vAlign w:val="center"/>
            <w:textDirection w:val="lrTb"/>
            <w:noWrap w:val="false"/>
          </w:tcPr>
          <w:p>
            <w:pPr>
              <w:jc w:val="center"/>
              <w:rPr>
                <w:rFonts w:ascii="宋体" w:hAnsi="宋体" w:cs="宋体"/>
                <w:spacing w:val="-2"/>
                <w:lang w:val="zh-CN"/>
              </w:rPr>
            </w:pPr>
            <w:r>
              <w:rPr>
                <w:rFonts w:hint="eastAsia" w:ascii="宋体" w:hAnsi="宋体" w:cs="宋体"/>
                <w:spacing w:val="-2"/>
                <w:lang w:val="zh-CN"/>
              </w:rPr>
              <w:t xml:space="preserve">售后服务方案</w:t>
            </w:r>
            <w:r/>
          </w:p>
        </w:tc>
        <w:tc>
          <w:tcPr>
            <w:tcW w:w="5719" w:type="dxa"/>
            <w:textDirection w:val="lrTb"/>
            <w:noWrap w:val="false"/>
          </w:tcPr>
          <w:p>
            <w:pPr>
              <w:jc w:val="left"/>
              <w:rPr>
                <w:rFonts w:ascii="宋体" w:hAnsi="宋体" w:cs="宋体"/>
                <w:spacing w:val="-2"/>
                <w:lang w:val="zh-CN"/>
              </w:rPr>
            </w:pPr>
            <w:r>
              <w:rPr>
                <w:rFonts w:hint="eastAsia" w:ascii="宋体" w:hAnsi="宋体" w:cs="宋体"/>
                <w:spacing w:val="-2"/>
                <w:lang w:val="zh-CN"/>
              </w:rPr>
              <w:t xml:space="preserve">评委根据投标人提供的售后服务方案(含服务体系、服务内容、故障解决方案、专业技术人员保障体系等)进行评分:</w:t>
            </w:r>
            <w:r/>
          </w:p>
          <w:p>
            <w:pPr>
              <w:jc w:val="left"/>
              <w:rPr>
                <w:rFonts w:ascii="宋体" w:hAnsi="宋体" w:cs="宋体"/>
                <w:spacing w:val="-2"/>
                <w:lang w:val="zh-CN"/>
              </w:rPr>
            </w:pPr>
            <w:r>
              <w:rPr>
                <w:rFonts w:hint="eastAsia" w:ascii="宋体" w:hAnsi="宋体" w:cs="宋体"/>
                <w:spacing w:val="-2"/>
                <w:lang w:val="zh-CN"/>
              </w:rPr>
              <w:t xml:space="preserve">1、服务体系、服务内容、故障解决方案、专业技术人员保障体系完善的，得5分；</w:t>
            </w:r>
            <w:r/>
          </w:p>
          <w:p>
            <w:pPr>
              <w:jc w:val="left"/>
              <w:rPr>
                <w:rFonts w:ascii="宋体" w:hAnsi="宋体" w:cs="宋体"/>
                <w:spacing w:val="-2"/>
                <w:lang w:val="zh-CN"/>
              </w:rPr>
            </w:pPr>
            <w:r>
              <w:rPr>
                <w:rFonts w:hint="eastAsia" w:ascii="宋体" w:hAnsi="宋体" w:cs="宋体"/>
                <w:spacing w:val="-2"/>
                <w:lang w:val="zh-CN"/>
              </w:rPr>
              <w:t xml:space="preserve">2、服务体系较完善、服务内容较完整、故障解决方案一般、专业技术人员保障体系一般的得3分；</w:t>
            </w:r>
            <w:r/>
          </w:p>
          <w:p>
            <w:pPr>
              <w:jc w:val="left"/>
              <w:rPr>
                <w:rFonts w:ascii="宋体" w:hAnsi="宋体" w:cs="宋体"/>
                <w:spacing w:val="-2"/>
                <w:lang w:val="zh-CN"/>
              </w:rPr>
            </w:pPr>
            <w:r>
              <w:rPr>
                <w:rFonts w:hint="eastAsia" w:ascii="宋体" w:hAnsi="宋体" w:cs="宋体"/>
                <w:spacing w:val="-2"/>
                <w:lang w:val="zh-CN"/>
              </w:rPr>
              <w:t xml:space="preserve">3、有售后服务体系、服务内容、故障解决案、专业技术人员保障体系的，得 1分；</w:t>
            </w:r>
            <w:r/>
          </w:p>
          <w:p>
            <w:pPr>
              <w:jc w:val="left"/>
              <w:rPr>
                <w:rFonts w:ascii="宋体" w:hAnsi="宋体" w:cs="宋体"/>
                <w:spacing w:val="-2"/>
                <w:lang w:val="zh-CN"/>
              </w:rPr>
            </w:pPr>
            <w:r>
              <w:rPr>
                <w:rFonts w:hint="eastAsia" w:ascii="宋体" w:hAnsi="宋体" w:cs="宋体"/>
                <w:spacing w:val="-2"/>
                <w:lang w:val="zh-CN"/>
              </w:rPr>
              <w:t xml:space="preserve">其余不得分。</w:t>
            </w:r>
            <w:r/>
          </w:p>
        </w:tc>
        <w:tc>
          <w:tcPr>
            <w:tcW w:w="709" w:type="dxa"/>
            <w:vAlign w:val="center"/>
            <w:textDirection w:val="lrTb"/>
            <w:noWrap w:val="false"/>
          </w:tcPr>
          <w:p>
            <w:pPr>
              <w:jc w:val="center"/>
              <w:rPr>
                <w:rFonts w:ascii="宋体" w:hAnsi="宋体" w:cs="宋体"/>
              </w:rPr>
            </w:pPr>
            <w:r>
              <w:rPr>
                <w:rFonts w:hint="eastAsia" w:ascii="宋体" w:hAnsi="宋体" w:cs="宋体"/>
                <w:spacing w:val="-2"/>
              </w:rPr>
              <w:t xml:space="preserve">5分</w:t>
            </w:r>
            <w:r/>
          </w:p>
        </w:tc>
        <w:tc>
          <w:tcPr>
            <w:tcW w:w="1276" w:type="dxa"/>
            <w:vAlign w:val="center"/>
            <w:textDirection w:val="lrTb"/>
            <w:noWrap w:val="false"/>
          </w:tcPr>
          <w:p>
            <w:pPr>
              <w:pStyle w:val="1096"/>
              <w:rPr>
                <w:spacing w:val="-3"/>
              </w:rPr>
            </w:pPr>
            <w:r>
              <w:t xml:space="preserve">主观分</w:t>
            </w:r>
            <w:r/>
          </w:p>
        </w:tc>
      </w:tr>
      <w:tr>
        <w:trPr>
          <w:jc w:val="center"/>
          <w:trHeight w:val="879"/>
        </w:trPr>
        <w:tc>
          <w:tcPr>
            <w:tcW w:w="637" w:type="dxa"/>
            <w:vAlign w:val="center"/>
            <w:textDirection w:val="lrTb"/>
            <w:noWrap w:val="false"/>
          </w:tcPr>
          <w:p>
            <w:pPr>
              <w:pStyle w:val="1096"/>
            </w:pPr>
            <w:r>
              <w:rPr>
                <w:rFonts w:hint="eastAsia"/>
              </w:rPr>
              <w:t xml:space="preserve">3.2</w:t>
            </w:r>
            <w:r/>
          </w:p>
        </w:tc>
        <w:tc>
          <w:tcPr>
            <w:tcW w:w="1016" w:type="dxa"/>
            <w:vAlign w:val="center"/>
            <w:textDirection w:val="lrTb"/>
            <w:noWrap w:val="false"/>
          </w:tcPr>
          <w:p>
            <w:pPr>
              <w:jc w:val="center"/>
              <w:rPr>
                <w:rFonts w:ascii="宋体" w:hAnsi="宋体" w:cs="宋体"/>
                <w:spacing w:val="-2"/>
                <w:lang w:val="zh-CN"/>
              </w:rPr>
            </w:pPr>
            <w:r>
              <w:rPr>
                <w:rFonts w:hint="eastAsia" w:ascii="宋体" w:hAnsi="宋体" w:cs="宋体"/>
                <w:spacing w:val="-2"/>
                <w:lang w:val="zh-CN"/>
              </w:rPr>
              <w:t xml:space="preserve">本地化服务</w:t>
            </w:r>
            <w:r/>
          </w:p>
        </w:tc>
        <w:tc>
          <w:tcPr>
            <w:tcW w:w="5719" w:type="dxa"/>
            <w:textDirection w:val="lrTb"/>
            <w:noWrap w:val="false"/>
          </w:tcPr>
          <w:p>
            <w:pPr>
              <w:jc w:val="left"/>
              <w:rPr>
                <w:rFonts w:ascii="宋体" w:hAnsi="宋体" w:cs="宋体"/>
                <w:spacing w:val="-2"/>
                <w:lang w:val="zh-CN"/>
              </w:rPr>
            </w:pPr>
            <w:r>
              <w:rPr>
                <w:rFonts w:hint="eastAsia" w:ascii="宋体" w:hAnsi="宋体" w:cs="宋体"/>
                <w:spacing w:val="-2"/>
                <w:lang w:val="zh-CN"/>
              </w:rPr>
              <w:t xml:space="preserve">投标人具有本地化服务能力（提供承诺书或其他有效证明材料并加盖公章)的得2分，不提供或不具备本地化服务能力的不得分。（提供相关资料扫描上传至系统）</w:t>
            </w:r>
            <w:r/>
          </w:p>
        </w:tc>
        <w:tc>
          <w:tcPr>
            <w:tcW w:w="709" w:type="dxa"/>
            <w:vAlign w:val="center"/>
            <w:textDirection w:val="lrTb"/>
            <w:noWrap w:val="false"/>
          </w:tcPr>
          <w:p>
            <w:pPr>
              <w:jc w:val="center"/>
              <w:rPr>
                <w:rFonts w:ascii="宋体" w:hAnsi="宋体" w:cs="宋体"/>
              </w:rPr>
            </w:pPr>
            <w:r>
              <w:rPr>
                <w:rFonts w:hint="eastAsia" w:ascii="宋体" w:hAnsi="宋体" w:cs="宋体"/>
                <w:spacing w:val="-2"/>
              </w:rPr>
              <w:t xml:space="preserve">2分</w:t>
            </w:r>
            <w:r/>
          </w:p>
        </w:tc>
        <w:tc>
          <w:tcPr>
            <w:tcW w:w="1276" w:type="dxa"/>
            <w:vAlign w:val="center"/>
            <w:textDirection w:val="lrTb"/>
            <w:noWrap w:val="false"/>
          </w:tcPr>
          <w:p>
            <w:pPr>
              <w:pStyle w:val="1096"/>
              <w:rPr>
                <w:spacing w:val="-3"/>
              </w:rPr>
            </w:pPr>
            <w:r>
              <w:rPr>
                <w:rFonts w:hint="eastAsia"/>
                <w:lang w:eastAsia="zh-CN"/>
              </w:rPr>
              <w:t xml:space="preserve">客</w:t>
            </w:r>
            <w:r>
              <w:t xml:space="preserve">观分</w:t>
            </w:r>
            <w:r/>
          </w:p>
        </w:tc>
      </w:tr>
      <w:tr>
        <w:trPr>
          <w:jc w:val="center"/>
          <w:trHeight w:val="879"/>
        </w:trPr>
        <w:tc>
          <w:tcPr>
            <w:tcW w:w="637" w:type="dxa"/>
            <w:vAlign w:val="center"/>
            <w:textDirection w:val="lrTb"/>
            <w:noWrap w:val="false"/>
          </w:tcPr>
          <w:p>
            <w:pPr>
              <w:pStyle w:val="1096"/>
            </w:pPr>
            <w:r>
              <w:rPr>
                <w:rFonts w:hint="eastAsia"/>
              </w:rPr>
              <w:t xml:space="preserve">3.3</w:t>
            </w:r>
            <w:r/>
          </w:p>
        </w:tc>
        <w:tc>
          <w:tcPr>
            <w:tcW w:w="1016" w:type="dxa"/>
            <w:vAlign w:val="center"/>
            <w:textDirection w:val="lrTb"/>
            <w:noWrap w:val="false"/>
          </w:tcPr>
          <w:p>
            <w:pPr>
              <w:jc w:val="center"/>
              <w:rPr>
                <w:rFonts w:ascii="宋体" w:hAnsi="宋体" w:cs="宋体"/>
                <w:spacing w:val="-2"/>
                <w:lang w:val="zh-CN"/>
              </w:rPr>
            </w:pPr>
            <w:r>
              <w:rPr>
                <w:rFonts w:hint="eastAsia" w:ascii="宋体" w:hAnsi="宋体" w:cs="宋体"/>
                <w:spacing w:val="-2"/>
                <w:lang w:val="zh-CN"/>
              </w:rPr>
              <w:t xml:space="preserve">质保期承诺</w:t>
            </w:r>
            <w:r/>
          </w:p>
        </w:tc>
        <w:tc>
          <w:tcPr>
            <w:tcW w:w="5719" w:type="dxa"/>
            <w:textDirection w:val="lrTb"/>
            <w:noWrap w:val="false"/>
          </w:tcPr>
          <w:p>
            <w:pPr>
              <w:jc w:val="left"/>
              <w:rPr>
                <w:rFonts w:ascii="宋体" w:hAnsi="宋体" w:cs="宋体"/>
                <w:spacing w:val="-2"/>
                <w:lang w:val="zh-CN"/>
              </w:rPr>
            </w:pPr>
            <w:r>
              <w:rPr>
                <w:rFonts w:hint="eastAsia" w:ascii="宋体" w:hAnsi="宋体" w:cs="宋体"/>
                <w:spacing w:val="-2"/>
                <w:lang w:val="zh-CN"/>
              </w:rPr>
              <w:t xml:space="preserve">本项目所有产品免费质保期不得低于两年（自验收报告签字确认日起，开始进入质保期）。在采购人要求免费质保期（两年）基础上，投标人提供免费上门质保服务承诺函，每增加一年免费质保期加1分，累计不超过3分，未提供不得分。（提</w:t>
            </w:r>
            <w:r>
              <w:rPr>
                <w:rFonts w:hint="eastAsia" w:ascii="宋体" w:hAnsi="宋体" w:cs="宋体"/>
                <w:spacing w:val="-2"/>
                <w:lang w:val="zh-CN"/>
              </w:rPr>
              <w:t xml:space="preserve">供承诺函并加盖公章，扫描上传至系统) </w:t>
            </w:r>
            <w:r/>
          </w:p>
        </w:tc>
        <w:tc>
          <w:tcPr>
            <w:tcW w:w="709" w:type="dxa"/>
            <w:vAlign w:val="center"/>
            <w:textDirection w:val="lrTb"/>
            <w:noWrap w:val="false"/>
          </w:tcPr>
          <w:p>
            <w:pPr>
              <w:jc w:val="center"/>
              <w:rPr>
                <w:rFonts w:ascii="宋体" w:hAnsi="宋体" w:cs="宋体"/>
                <w:spacing w:val="-2"/>
              </w:rPr>
            </w:pPr>
            <w:r>
              <w:rPr>
                <w:rFonts w:hint="eastAsia" w:ascii="宋体" w:hAnsi="宋体" w:cs="宋体"/>
                <w:spacing w:val="-2"/>
              </w:rPr>
              <w:t xml:space="preserve">3分</w:t>
            </w:r>
            <w:r/>
          </w:p>
        </w:tc>
        <w:tc>
          <w:tcPr>
            <w:tcW w:w="1276" w:type="dxa"/>
            <w:vAlign w:val="center"/>
            <w:textDirection w:val="lrTb"/>
            <w:noWrap w:val="false"/>
          </w:tcPr>
          <w:p>
            <w:pPr>
              <w:pStyle w:val="1096"/>
            </w:pPr>
            <w:r>
              <w:rPr>
                <w:rFonts w:hint="eastAsia"/>
              </w:rPr>
              <w:t xml:space="preserve">客</w:t>
            </w:r>
            <w:r>
              <w:t xml:space="preserve">观分</w:t>
            </w:r>
            <w:r/>
          </w:p>
        </w:tc>
      </w:tr>
      <w:tr>
        <w:trPr>
          <w:jc w:val="center"/>
          <w:trHeight w:val="578"/>
        </w:trPr>
        <w:tc>
          <w:tcPr>
            <w:gridSpan w:val="5"/>
            <w:tcW w:w="9357" w:type="dxa"/>
            <w:vAlign w:val="center"/>
            <w:textDirection w:val="lrTb"/>
            <w:noWrap w:val="false"/>
          </w:tcPr>
          <w:p>
            <w:pPr>
              <w:pStyle w:val="1096"/>
              <w:rPr>
                <w:lang w:eastAsia="zh-CN"/>
              </w:rPr>
            </w:pPr>
            <w:r>
              <w:t xml:space="preserve">业绩</w:t>
            </w:r>
            <w:r/>
          </w:p>
        </w:tc>
      </w:tr>
      <w:tr>
        <w:trPr>
          <w:jc w:val="center"/>
          <w:trHeight w:val="1171"/>
        </w:trPr>
        <w:tc>
          <w:tcPr>
            <w:tcW w:w="637" w:type="dxa"/>
            <w:vAlign w:val="center"/>
            <w:textDirection w:val="lrTb"/>
            <w:noWrap w:val="false"/>
          </w:tcPr>
          <w:p>
            <w:pPr>
              <w:pStyle w:val="1096"/>
            </w:pPr>
            <w:r>
              <w:rPr>
                <w:rFonts w:hint="eastAsia"/>
              </w:rPr>
              <w:t xml:space="preserve">4.1</w:t>
            </w:r>
            <w:r/>
          </w:p>
        </w:tc>
        <w:tc>
          <w:tcPr>
            <w:tcW w:w="1016" w:type="dxa"/>
            <w:vAlign w:val="center"/>
            <w:textDirection w:val="lrTb"/>
            <w:noWrap w:val="false"/>
          </w:tcPr>
          <w:p>
            <w:pPr>
              <w:jc w:val="center"/>
              <w:rPr>
                <w:rFonts w:ascii="宋体" w:hAnsi="宋体" w:cs="宋体"/>
                <w:spacing w:val="-2"/>
                <w:lang w:val="zh-CN"/>
              </w:rPr>
            </w:pPr>
            <w:r>
              <w:rPr>
                <w:rFonts w:hint="eastAsia" w:ascii="宋体" w:hAnsi="宋体" w:cs="宋体"/>
                <w:spacing w:val="-2"/>
                <w:lang w:val="zh-CN"/>
              </w:rPr>
              <w:t xml:space="preserve">业绩</w:t>
            </w:r>
            <w:r/>
          </w:p>
        </w:tc>
        <w:tc>
          <w:tcPr>
            <w:tcW w:w="5719" w:type="dxa"/>
            <w:textDirection w:val="lrTb"/>
            <w:noWrap w:val="false"/>
          </w:tcPr>
          <w:p>
            <w:pPr>
              <w:jc w:val="left"/>
              <w:rPr>
                <w:rFonts w:ascii="宋体" w:hAnsi="宋体" w:cs="宋体"/>
                <w:spacing w:val="-2"/>
                <w:lang w:val="zh-CN"/>
              </w:rPr>
            </w:pPr>
            <w:r>
              <w:rPr>
                <w:rFonts w:hint="eastAsia" w:ascii="宋体" w:hAnsi="宋体" w:cs="宋体"/>
                <w:spacing w:val="-2"/>
                <w:lang w:val="zh-CN"/>
              </w:rPr>
              <w:t xml:space="preserve">投标人提供2021年07月01日（含）以来类似项目业绩案例，每提供一个得1分，本项最高得3分。（以上案例须同时提供中标通知书、合同、验收报告原件扫描件，</w:t>
            </w:r>
            <w:r>
              <w:rPr>
                <w:rFonts w:hint="eastAsia" w:ascii="宋体" w:hAnsi="宋体" w:cs="宋体"/>
                <w:spacing w:val="-2"/>
                <w:lang w:val="zh-CN"/>
              </w:rPr>
              <w:t xml:space="preserve">时间以验收报告材料为准，</w:t>
            </w:r>
            <w:r>
              <w:rPr>
                <w:rFonts w:hint="eastAsia" w:ascii="宋体" w:hAnsi="宋体" w:cs="宋体"/>
                <w:spacing w:val="-2"/>
                <w:lang w:val="zh-CN"/>
              </w:rPr>
              <w:t xml:space="preserve">扫描上传至系统，提供不全的不得分）</w:t>
            </w:r>
            <w:r/>
          </w:p>
        </w:tc>
        <w:tc>
          <w:tcPr>
            <w:tcW w:w="709" w:type="dxa"/>
            <w:vAlign w:val="center"/>
            <w:textDirection w:val="lrTb"/>
            <w:noWrap w:val="false"/>
          </w:tcPr>
          <w:p>
            <w:pPr>
              <w:jc w:val="center"/>
              <w:rPr>
                <w:rFonts w:ascii="宋体" w:hAnsi="宋体" w:cs="宋体"/>
              </w:rPr>
            </w:pPr>
            <w:r>
              <w:rPr>
                <w:rFonts w:hint="eastAsia" w:ascii="宋体" w:hAnsi="宋体" w:cs="宋体"/>
                <w:spacing w:val="-2"/>
              </w:rPr>
              <w:t xml:space="preserve">3分</w:t>
            </w:r>
            <w:r/>
          </w:p>
        </w:tc>
        <w:tc>
          <w:tcPr>
            <w:tcW w:w="1276" w:type="dxa"/>
            <w:vAlign w:val="center"/>
            <w:textDirection w:val="lrTb"/>
            <w:noWrap w:val="false"/>
          </w:tcPr>
          <w:p>
            <w:pPr>
              <w:pStyle w:val="1096"/>
              <w:rPr>
                <w:spacing w:val="-3"/>
              </w:rPr>
            </w:pPr>
            <w:r>
              <w:rPr>
                <w:rFonts w:hint="eastAsia"/>
                <w:lang w:eastAsia="zh-CN"/>
              </w:rPr>
              <w:t xml:space="preserve">客</w:t>
            </w:r>
            <w:r>
              <w:t xml:space="preserve">观分</w:t>
            </w:r>
            <w:r/>
          </w:p>
        </w:tc>
      </w:tr>
      <w:tr>
        <w:trPr>
          <w:jc w:val="center"/>
          <w:trHeight w:val="465"/>
        </w:trPr>
        <w:tc>
          <w:tcPr>
            <w:gridSpan w:val="5"/>
            <w:tcW w:w="9357" w:type="dxa"/>
            <w:textDirection w:val="lrTb"/>
            <w:noWrap w:val="false"/>
          </w:tcPr>
          <w:p>
            <w:pPr>
              <w:pStyle w:val="1096"/>
            </w:pPr>
            <w:r>
              <w:rPr>
                <w:rFonts w:hint="eastAsia"/>
              </w:rPr>
              <w:t xml:space="preserve">履约能力</w:t>
            </w:r>
            <w:r/>
          </w:p>
        </w:tc>
      </w:tr>
      <w:tr>
        <w:trPr>
          <w:jc w:val="center"/>
          <w:trHeight w:val="1039"/>
        </w:trPr>
        <w:tc>
          <w:tcPr>
            <w:tcW w:w="637" w:type="dxa"/>
            <w:vAlign w:val="center"/>
            <w:textDirection w:val="lrTb"/>
            <w:noWrap w:val="false"/>
          </w:tcPr>
          <w:p>
            <w:pPr>
              <w:pStyle w:val="1096"/>
            </w:pPr>
            <w:r>
              <w:rPr>
                <w:rFonts w:hint="eastAsia"/>
                <w:lang w:eastAsia="zh-CN"/>
              </w:rPr>
              <w:t xml:space="preserve">5</w:t>
            </w:r>
            <w:r>
              <w:t xml:space="preserve">.1</w:t>
            </w:r>
            <w:r/>
          </w:p>
        </w:tc>
        <w:tc>
          <w:tcPr>
            <w:tcW w:w="1016" w:type="dxa"/>
            <w:vAlign w:val="center"/>
            <w:textDirection w:val="lrTb"/>
            <w:noWrap w:val="false"/>
          </w:tcPr>
          <w:p>
            <w:pPr>
              <w:pStyle w:val="1096"/>
            </w:pPr>
            <w:r>
              <w:rPr>
                <w:rFonts w:hint="eastAsia"/>
              </w:rPr>
              <w:t xml:space="preserve">项目团队能力</w:t>
            </w:r>
            <w:r/>
          </w:p>
        </w:tc>
        <w:tc>
          <w:tcPr>
            <w:tcW w:w="5719" w:type="dxa"/>
            <w:vAlign w:val="center"/>
            <w:textDirection w:val="lrTb"/>
            <w:noWrap w:val="false"/>
          </w:tcPr>
          <w:p>
            <w:pPr>
              <w:jc w:val="left"/>
              <w:rPr>
                <w:rFonts w:ascii="宋体" w:hAnsi="宋体" w:cs="宋体"/>
              </w:rPr>
            </w:pPr>
            <w:r>
              <w:rPr>
                <w:rFonts w:hint="eastAsia" w:ascii="宋体" w:hAnsi="宋体" w:cs="宋体"/>
              </w:rPr>
              <w:t xml:space="preserve">项目团队中具有建设工程类中级专业技术职称工程师及以上的，得1分/人，最高得2分。（提供上述人员证书及投标人为其缴纳的2024年01月以来任意一个月的社保证明扫描件上传至系统）</w:t>
            </w:r>
            <w:r/>
          </w:p>
        </w:tc>
        <w:tc>
          <w:tcPr>
            <w:tcW w:w="709" w:type="dxa"/>
            <w:vAlign w:val="center"/>
            <w:textDirection w:val="lrTb"/>
            <w:noWrap w:val="false"/>
          </w:tcPr>
          <w:p>
            <w:pPr>
              <w:jc w:val="center"/>
              <w:rPr>
                <w:rFonts w:ascii="宋体" w:hAnsi="宋体" w:cs="宋体"/>
              </w:rPr>
            </w:pPr>
            <w:r>
              <w:rPr>
                <w:rFonts w:hint="eastAsia" w:ascii="宋体" w:hAnsi="宋体" w:cs="宋体"/>
              </w:rPr>
              <w:t xml:space="preserve">2分</w:t>
            </w:r>
            <w:r/>
          </w:p>
        </w:tc>
        <w:tc>
          <w:tcPr>
            <w:tcW w:w="1276" w:type="dxa"/>
            <w:vAlign w:val="center"/>
            <w:textDirection w:val="lrTb"/>
            <w:noWrap w:val="false"/>
          </w:tcPr>
          <w:p>
            <w:pPr>
              <w:pStyle w:val="1096"/>
              <w:rPr>
                <w:lang w:eastAsia="zh-CN"/>
              </w:rPr>
            </w:pPr>
            <w:r>
              <w:t xml:space="preserve">客观</w:t>
            </w:r>
            <w:r>
              <w:rPr>
                <w:rFonts w:hint="eastAsia"/>
                <w:lang w:eastAsia="zh-CN"/>
              </w:rPr>
              <w:t xml:space="preserve">分</w:t>
            </w:r>
            <w:r/>
          </w:p>
        </w:tc>
      </w:tr>
      <w:tr>
        <w:trPr>
          <w:jc w:val="center"/>
          <w:trHeight w:val="472"/>
        </w:trPr>
        <w:tc>
          <w:tcPr>
            <w:tcW w:w="637" w:type="dxa"/>
            <w:textDirection w:val="lrTb"/>
            <w:noWrap w:val="false"/>
          </w:tcPr>
          <w:p>
            <w:pPr>
              <w:pStyle w:val="1096"/>
            </w:pPr>
            <w:r>
              <w:t xml:space="preserve">合计</w:t>
            </w:r>
            <w:r/>
          </w:p>
        </w:tc>
        <w:tc>
          <w:tcPr>
            <w:gridSpan w:val="2"/>
            <w:tcW w:w="6735" w:type="dxa"/>
            <w:textDirection w:val="lrTb"/>
            <w:noWrap w:val="false"/>
          </w:tcPr>
          <w:p>
            <w:pPr>
              <w:jc w:val="center"/>
              <w:rPr>
                <w:rFonts w:ascii="Arial"/>
              </w:rPr>
            </w:pPr>
            <w:r>
              <w:rPr>
                <w:rFonts w:ascii="Arial"/>
              </w:rPr>
            </w:r>
            <w:r/>
          </w:p>
        </w:tc>
        <w:tc>
          <w:tcPr>
            <w:gridSpan w:val="2"/>
            <w:tcW w:w="1985" w:type="dxa"/>
            <w:textDirection w:val="lrTb"/>
            <w:noWrap w:val="false"/>
          </w:tcPr>
          <w:p>
            <w:pPr>
              <w:pStyle w:val="1096"/>
            </w:pPr>
            <w:r>
              <w:t xml:space="preserve">100</w:t>
            </w:r>
            <w:r>
              <w:rPr>
                <w:spacing w:val="-34"/>
              </w:rPr>
              <w:t xml:space="preserve"> </w:t>
            </w:r>
            <w:r>
              <w:t xml:space="preserve">分</w:t>
            </w:r>
            <w:r/>
          </w:p>
        </w:tc>
      </w:tr>
    </w:tbl>
    <w:p>
      <w:pPr>
        <w:pStyle w:val="708"/>
        <w:rPr>
          <w:color w:val="auto"/>
          <w:lang w:val="en-US"/>
        </w:rPr>
      </w:pPr>
      <w:r>
        <w:rPr>
          <w:color w:val="auto"/>
          <w:lang w:val="en-US"/>
        </w:rPr>
        <w:br w:type="page" w:clear="all"/>
      </w:r>
      <w:r/>
    </w:p>
    <w:p>
      <w:pPr>
        <w:pStyle w:val="708"/>
        <w:rPr>
          <w:color w:val="auto"/>
          <w:lang w:val="en-US"/>
        </w:rPr>
      </w:pPr>
      <w:r>
        <w:rPr>
          <w:color w:val="auto"/>
          <w:lang w:val="en-US"/>
        </w:rPr>
      </w:r>
      <w:r/>
    </w:p>
    <w:p>
      <w:pPr>
        <w:ind w:firstLine="2200"/>
        <w:spacing w:before="120" w:after="120" w:line="0" w:lineRule="atLeast"/>
        <w:rPr>
          <w:rFonts w:ascii="黑体" w:eastAsia="黑体"/>
          <w:sz w:val="44"/>
          <w:szCs w:val="44"/>
        </w:rPr>
      </w:pPr>
      <w:r>
        <w:rPr>
          <w:rFonts w:hint="eastAsia" w:ascii="黑体" w:eastAsia="黑体"/>
          <w:sz w:val="44"/>
          <w:szCs w:val="44"/>
        </w:rPr>
        <w:t xml:space="preserve">第六章  投标</w:t>
      </w:r>
      <w:bookmarkEnd w:id="191"/>
      <w:r/>
      <w:bookmarkEnd w:id="192"/>
      <w:r/>
      <w:bookmarkEnd w:id="193"/>
      <w:r>
        <w:rPr>
          <w:rFonts w:hint="eastAsia" w:ascii="黑体" w:eastAsia="黑体"/>
          <w:sz w:val="44"/>
          <w:szCs w:val="44"/>
        </w:rPr>
        <w:t xml:space="preserve">文件格式 </w:t>
      </w:r>
      <w:r/>
    </w:p>
    <w:p>
      <w:pPr>
        <w:jc w:val="center"/>
        <w:rPr>
          <w:rFonts w:ascii="宋体" w:hAnsi="宋体"/>
          <w:b/>
          <w:sz w:val="72"/>
          <w:szCs w:val="21"/>
        </w:rPr>
      </w:pPr>
      <w:r/>
      <w:bookmarkStart w:id="194" w:name="_Hlt26671244"/>
      <w:r/>
      <w:bookmarkStart w:id="195" w:name="_Hlt26955039"/>
      <w:r/>
      <w:bookmarkStart w:id="196" w:name="_Toc120614282"/>
      <w:r/>
      <w:bookmarkStart w:id="197" w:name="_Toc26554094"/>
      <w:r/>
      <w:bookmarkStart w:id="198" w:name="_Toc49090576"/>
      <w:r/>
      <w:bookmarkEnd w:id="194"/>
      <w:r/>
      <w:bookmarkEnd w:id="195"/>
      <w:r/>
      <w:r/>
    </w:p>
    <w:p>
      <w:pPr>
        <w:jc w:val="center"/>
        <w:rPr>
          <w:rFonts w:ascii="宋体" w:hAnsi="宋体"/>
          <w:b/>
          <w:sz w:val="72"/>
          <w:szCs w:val="21"/>
        </w:rPr>
      </w:pPr>
      <w:r>
        <w:rPr>
          <w:rFonts w:hint="eastAsia" w:ascii="宋体" w:hAnsi="宋体"/>
          <w:b/>
          <w:sz w:val="72"/>
          <w:szCs w:val="21"/>
        </w:rPr>
        <w:t xml:space="preserve">投  标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投标文件目录</w:t>
      </w:r>
      <w:bookmarkEnd w:id="196"/>
      <w:r/>
      <w:bookmarkEnd w:id="197"/>
      <w:r/>
      <w:bookmarkEnd w:id="198"/>
      <w:r/>
      <w:r/>
    </w:p>
    <w:p>
      <w:pPr>
        <w:ind w:firstLine="560"/>
        <w:spacing w:line="600" w:lineRule="exact"/>
        <w:rPr>
          <w:rFonts w:ascii="宋体" w:hAnsi="宋体" w:cs="宋体"/>
          <w:sz w:val="28"/>
          <w:szCs w:val="28"/>
        </w:rPr>
      </w:pPr>
      <w:r/>
      <w:bookmarkStart w:id="199"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二、满足特定资格要求的证明文件（如果设置特定资格要求，则需要提供）</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七、中小企业声明函</w:t>
      </w:r>
      <w:r/>
    </w:p>
    <w:p>
      <w:pPr>
        <w:ind w:firstLine="560"/>
        <w:spacing w:line="600" w:lineRule="exact"/>
        <w:rPr>
          <w:rFonts w:ascii="宋体" w:hAnsi="宋体" w:cs="宋体"/>
          <w:sz w:val="28"/>
          <w:szCs w:val="28"/>
        </w:rPr>
      </w:pPr>
      <w:r>
        <w:rPr>
          <w:rFonts w:hint="eastAsia" w:ascii="宋体" w:hAnsi="宋体" w:cs="宋体"/>
          <w:sz w:val="28"/>
          <w:szCs w:val="28"/>
        </w:rPr>
        <w:t xml:space="preserve">八、残疾人福利性单位声明函（如有）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九、投标分项报价表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十、商务要求响应及偏离表</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74"/>
        <w:rPr>
          <w:sz w:val="24"/>
        </w:rPr>
      </w:pPr>
      <w:r>
        <w:rPr>
          <w:sz w:val="24"/>
        </w:rPr>
      </w:r>
      <w:r/>
    </w:p>
    <w:p>
      <w:pPr>
        <w:pStyle w:val="1074"/>
        <w:rPr>
          <w:sz w:val="24"/>
        </w:rPr>
      </w:pPr>
      <w:r>
        <w:rPr>
          <w:sz w:val="24"/>
        </w:rPr>
      </w:r>
      <w:r/>
    </w:p>
    <w:p>
      <w:pPr>
        <w:pStyle w:val="1074"/>
        <w:rPr>
          <w:sz w:val="24"/>
        </w:rPr>
      </w:pPr>
      <w:r>
        <w:rPr>
          <w:sz w:val="24"/>
        </w:rPr>
      </w:r>
      <w:r/>
    </w:p>
    <w:p>
      <w:pPr>
        <w:pStyle w:val="1074"/>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pStyle w:val="708"/>
        <w:rPr>
          <w:color w:val="auto"/>
        </w:rPr>
      </w:pPr>
      <w:r>
        <w:rPr>
          <w:color w:val="auto"/>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708"/>
        <w:rPr>
          <w:rFonts w:eastAsiaTheme="minorEastAsia"/>
          <w:lang w:val="en-US"/>
        </w:rPr>
      </w:pPr>
      <w:r>
        <w:rPr>
          <w:rFonts w:eastAsiaTheme="minorEastAsia"/>
          <w:lang w:val="en-US"/>
        </w:rPr>
      </w:r>
      <w:r/>
    </w:p>
    <w:p>
      <w:r/>
      <w:r/>
    </w:p>
    <w:p>
      <w:pPr>
        <w:pStyle w:val="708"/>
        <w:rPr>
          <w:rFonts w:eastAsiaTheme="minorEastAsia"/>
          <w:lang w:val="en-US"/>
        </w:rPr>
      </w:pPr>
      <w:r>
        <w:rPr>
          <w:rFonts w:eastAsiaTheme="minorEastAsia"/>
          <w:lang w:val="en-US"/>
        </w:rPr>
      </w:r>
      <w:r/>
    </w:p>
    <w:p>
      <w:pPr>
        <w:rPr>
          <w:rFonts w:ascii="黑体" w:hAnsi="黑体" w:eastAsia="黑体"/>
          <w:i/>
          <w:sz w:val="32"/>
          <w:szCs w:val="32"/>
          <w:u w:val="single"/>
        </w:rPr>
      </w:pPr>
      <w:r>
        <w:rPr>
          <w:rFonts w:hint="eastAsia" w:ascii="黑体" w:hAnsi="黑体" w:eastAsia="黑体"/>
          <w:i/>
          <w:sz w:val="32"/>
          <w:szCs w:val="32"/>
          <w:u w:val="single"/>
        </w:rPr>
        <w:t xml:space="preserve">一、供应商信用承诺函</w:t>
      </w:r>
      <w:r/>
    </w:p>
    <w:p>
      <w:pPr>
        <w:jc w:val="center"/>
        <w:spacing w:line="360" w:lineRule="auto"/>
        <w:rPr>
          <w:rFonts w:ascii="黑体" w:eastAsia="黑体"/>
          <w:sz w:val="32"/>
          <w:szCs w:val="32"/>
          <w:lang w:val="zh-CN"/>
        </w:rPr>
        <w:outlineLvl w:val="0"/>
      </w:pPr>
      <w:r>
        <w:rPr>
          <w:rFonts w:hint="eastAsia" w:ascii="黑体" w:eastAsia="黑体"/>
          <w:sz w:val="32"/>
          <w:szCs w:val="32"/>
          <w:lang w:val="zh-CN"/>
        </w:rPr>
        <w:t xml:space="preserve">供应商信用承诺函</w:t>
      </w:r>
      <w:r/>
    </w:p>
    <w:p>
      <w:pPr>
        <w:spacing w:line="460" w:lineRule="exact"/>
        <w:rPr>
          <w:rFonts w:ascii="宋体" w:hAnsi="宋体"/>
          <w:sz w:val="24"/>
          <w:szCs w:val="24"/>
        </w:rPr>
      </w:pPr>
      <w:r>
        <w:rPr>
          <w:rFonts w:hint="eastAsia" w:ascii="宋体" w:hAnsi="宋体"/>
          <w:sz w:val="24"/>
          <w:szCs w:val="24"/>
        </w:rPr>
        <w:t xml:space="preserve">南京市公共资源交易中心浦口分中心：</w:t>
      </w:r>
      <w:r/>
    </w:p>
    <w:p>
      <w:pPr>
        <w:ind w:firstLine="492"/>
        <w:spacing w:line="460" w:lineRule="exact"/>
        <w:rPr>
          <w:rFonts w:ascii="宋体" w:hAnsi="宋体"/>
          <w:sz w:val="24"/>
          <w:szCs w:val="24"/>
        </w:rPr>
      </w:pPr>
      <w:r>
        <w:rPr>
          <w:rFonts w:hint="eastAsia" w:ascii="宋体" w:hAnsi="宋体"/>
          <w:sz w:val="24"/>
          <w:szCs w:val="24"/>
        </w:rPr>
        <w:t xml:space="preserve">我公司（供应商名称）郑重承诺：</w:t>
      </w:r>
      <w:r/>
    </w:p>
    <w:p>
      <w:pPr>
        <w:ind w:firstLine="492"/>
        <w:spacing w:line="460" w:lineRule="exact"/>
        <w:rPr>
          <w:rFonts w:ascii="宋体" w:hAnsi="宋体"/>
          <w:sz w:val="24"/>
          <w:szCs w:val="24"/>
        </w:rPr>
      </w:pPr>
      <w:r>
        <w:rPr>
          <w:rFonts w:hint="eastAsia" w:ascii="宋体" w:hAnsi="宋体"/>
          <w:sz w:val="24"/>
          <w:szCs w:val="24"/>
        </w:rPr>
        <w:t xml:space="preserve">我公司符合下列要求：</w:t>
      </w:r>
      <w:r/>
    </w:p>
    <w:p>
      <w:pPr>
        <w:ind w:firstLine="492"/>
        <w:spacing w:line="460" w:lineRule="exact"/>
        <w:rPr>
          <w:rFonts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rPr>
          <w:rFonts w:ascii="宋体" w:hAnsi="宋体"/>
          <w:sz w:val="24"/>
          <w:szCs w:val="24"/>
        </w:rPr>
      </w:pPr>
      <w:r>
        <w:rPr>
          <w:rFonts w:hint="eastAsia" w:ascii="宋体" w:hAnsi="宋体"/>
          <w:sz w:val="24"/>
          <w:szCs w:val="24"/>
        </w:rPr>
        <w:t xml:space="preserve">如果我公司中标（成交），将在中标（成交）结果公示后七个工作日内向采购人提供下列材料核验：</w:t>
      </w:r>
      <w:r/>
    </w:p>
    <w:p>
      <w:pPr>
        <w:ind w:firstLine="492"/>
        <w:spacing w:line="460" w:lineRule="exact"/>
        <w:rPr>
          <w:rFonts w:ascii="宋体" w:hAnsi="宋体"/>
          <w:sz w:val="24"/>
          <w:szCs w:val="24"/>
        </w:rPr>
      </w:pPr>
      <w:r>
        <w:rPr>
          <w:rFonts w:hint="eastAsia" w:ascii="宋体" w:hAnsi="宋体"/>
          <w:sz w:val="24"/>
          <w:szCs w:val="24"/>
        </w:rPr>
        <w:t xml:space="preserve">（1）营业执照副本或事业单位法人登记证书；</w:t>
      </w:r>
      <w:r/>
    </w:p>
    <w:p>
      <w:pPr>
        <w:ind w:firstLine="492"/>
        <w:spacing w:line="460" w:lineRule="exact"/>
        <w:rPr>
          <w:rFonts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1075"/>
        <w:rPr>
          <w:sz w:val="24"/>
          <w:szCs w:val="24"/>
        </w:rPr>
      </w:pPr>
      <w:r>
        <w:rPr>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供应商名称：（加盖CA电子公章）</w:t>
      </w:r>
      <w:r/>
    </w:p>
    <w:p>
      <w:pPr>
        <w:ind w:firstLine="5760"/>
        <w:spacing w:line="560" w:lineRule="exact"/>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b/>
          <w:bCs/>
          <w:szCs w:val="21"/>
        </w:rPr>
      </w:pPr>
      <w:r>
        <w:rPr>
          <w:rFonts w:hint="eastAsia" w:ascii="宋体" w:hAnsi="宋体"/>
          <w:b/>
          <w:bCs/>
          <w:szCs w:val="21"/>
        </w:rPr>
        <w:t xml:space="preserve">说明：执行南京市财政局《关于在政府采购活动中推行信用承诺制的通知》（宁财购通</w:t>
      </w:r>
      <w:r>
        <w:rPr>
          <w:rFonts w:hint="eastAsia" w:ascii="宋体" w:hAnsi="宋体"/>
          <w:b/>
          <w:bCs/>
          <w:szCs w:val="21"/>
          <w:lang w:val="zh-CN"/>
        </w:rPr>
        <w:t xml:space="preserve">〔202</w:t>
      </w:r>
      <w:r>
        <w:rPr>
          <w:rFonts w:hint="eastAsia" w:ascii="宋体" w:hAnsi="宋体"/>
          <w:b/>
          <w:bCs/>
          <w:szCs w:val="21"/>
        </w:rPr>
        <w:t xml:space="preserve">1</w:t>
      </w:r>
      <w:r>
        <w:rPr>
          <w:rFonts w:hint="eastAsia" w:ascii="宋体" w:hAnsi="宋体"/>
          <w:b/>
          <w:bCs/>
          <w:szCs w:val="21"/>
          <w:lang w:val="zh-CN"/>
        </w:rPr>
        <w:t xml:space="preserve">〕5号</w:t>
      </w:r>
      <w:r>
        <w:rPr>
          <w:rFonts w:hint="eastAsia" w:ascii="宋体" w:hAnsi="宋体"/>
          <w:b/>
          <w:bCs/>
          <w:szCs w:val="21"/>
        </w:rPr>
        <w:t xml:space="preserve">）要求。</w:t>
      </w:r>
      <w:r/>
    </w:p>
    <w:p>
      <w:pPr>
        <w:pStyle w:val="1076"/>
        <w:rPr>
          <w:rFonts w:ascii="宋体" w:hAnsi="宋体"/>
          <w:b/>
          <w:bCs/>
          <w:lang w:eastAsia="zh-CN"/>
        </w:rPr>
      </w:pPr>
      <w:r>
        <w:rPr>
          <w:rFonts w:ascii="宋体" w:hAnsi="宋体"/>
          <w:b/>
          <w:bCs/>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二、满足特定资格要求的证明文件</w:t>
      </w:r>
      <w:r/>
    </w:p>
    <w:p>
      <w:pPr>
        <w:pStyle w:val="1045"/>
        <w:ind w:firstLine="480"/>
        <w:rPr>
          <w:sz w:val="24"/>
          <w:szCs w:val="24"/>
        </w:rPr>
      </w:pPr>
      <w:r>
        <w:rPr>
          <w:rFonts w:hint="eastAsia"/>
          <w:sz w:val="24"/>
          <w:szCs w:val="24"/>
        </w:rPr>
        <w:t xml:space="preserve"> </w:t>
      </w:r>
      <w:r>
        <w:rPr>
          <w:rFonts w:hint="eastAsia"/>
          <w:sz w:val="24"/>
          <w:szCs w:val="24"/>
        </w:rPr>
        <w:t xml:space="preserve">如果本项目申请人的特定资格要求中要求提供的，必须提供。</w:t>
      </w:r>
      <w:r/>
    </w:p>
    <w:p>
      <w:pPr>
        <w:rPr>
          <w:rFonts w:ascii="黑体" w:hAnsi="黑体" w:eastAsia="黑体"/>
          <w:i/>
          <w:sz w:val="32"/>
          <w:szCs w:val="32"/>
          <w:u w:val="single"/>
        </w:rPr>
      </w:pPr>
      <w:r>
        <w:rPr>
          <w:rFonts w:ascii="黑体" w:hAnsi="黑体" w:eastAsia="黑体"/>
          <w:i/>
          <w:sz w:val="32"/>
          <w:szCs w:val="32"/>
          <w:u w:val="single"/>
        </w:rPr>
      </w:r>
      <w:r/>
    </w:p>
    <w:p>
      <w:pPr>
        <w:pStyle w:val="1076"/>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jc w:val="center"/>
        <w:spacing w:line="360" w:lineRule="auto"/>
        <w:rPr>
          <w:rFonts w:ascii="黑体" w:eastAsia="黑体"/>
          <w:sz w:val="32"/>
          <w:szCs w:val="32"/>
          <w:lang w:val="zh-CN"/>
        </w:rPr>
        <w:outlineLvl w:val="0"/>
      </w:pPr>
      <w:r>
        <w:rPr>
          <w:rFonts w:hint="eastAsia" w:ascii="黑体" w:eastAsia="黑体"/>
          <w:sz w:val="32"/>
          <w:szCs w:val="32"/>
          <w:lang w:val="zh-CN"/>
        </w:rPr>
        <w:t xml:space="preserve">法人授权书</w:t>
      </w:r>
      <w:r/>
    </w:p>
    <w:p>
      <w:pPr>
        <w:ind w:firstLine="480"/>
        <w:spacing w:line="360" w:lineRule="auto"/>
        <w:rPr>
          <w:rFonts w:ascii="宋体" w:hAnsi="宋体" w:cs="宋体"/>
          <w:sz w:val="24"/>
          <w:szCs w:val="24"/>
        </w:rPr>
      </w:pPr>
      <w:r>
        <w:rPr>
          <w:rFonts w:hint="eastAsia" w:ascii="宋体" w:hAnsi="宋体" w:cs="宋体"/>
          <w:sz w:val="24"/>
          <w:szCs w:val="24"/>
        </w:rPr>
        <w:t xml:space="preserve">本授权书声明：（投标人名称）授权（被授权人的姓名）为我方就</w:t>
      </w:r>
      <w:r>
        <w:rPr>
          <w:rFonts w:hint="eastAsia" w:ascii="宋体" w:hAnsi="宋体" w:cs="宋体"/>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p>
    <w:p>
      <w:pPr>
        <w:pStyle w:val="1045"/>
        <w:ind w:firstLine="480"/>
        <w:spacing w:line="480" w:lineRule="auto"/>
        <w:rPr>
          <w:rFonts w:ascii="宋体" w:hAnsi="宋体" w:cs="宋体"/>
          <w:sz w:val="24"/>
          <w:szCs w:val="24"/>
        </w:rPr>
      </w:pPr>
      <w:r>
        <w:rPr>
          <w:rFonts w:hint="eastAsia" w:ascii="宋体" w:hAnsi="宋体" w:cs="宋体"/>
          <w:sz w:val="24"/>
          <w:szCs w:val="24"/>
        </w:rPr>
        <w:t xml:space="preserve">本授权书于______年____月____日起生效，特此声明。</w:t>
      </w:r>
      <w:r/>
    </w:p>
    <w:p>
      <w:pPr>
        <w:pStyle w:val="1045"/>
        <w:ind w:firstLine="0"/>
        <w:spacing w:line="480" w:lineRule="auto"/>
        <w:rPr>
          <w:rFonts w:ascii="宋体" w:hAnsi="宋体" w:cs="宋体"/>
          <w:sz w:val="24"/>
          <w:szCs w:val="24"/>
          <w:u w:val="single"/>
        </w:rPr>
      </w:pPr>
      <w:r/>
      <w:bookmarkStart w:id="200" w:name="_Hlt26671380"/>
      <w:r/>
      <w:bookmarkStart w:id="201" w:name="_Hlt26955070"/>
      <w:r/>
      <w:bookmarkStart w:id="202" w:name="_格式3__银行出具的资信证明"/>
      <w:r/>
      <w:bookmarkEnd w:id="200"/>
      <w:r/>
      <w:bookmarkEnd w:id="201"/>
      <w:r/>
      <w:bookmarkEnd w:id="202"/>
      <w:r>
        <w:rPr>
          <w:rFonts w:hint="eastAsia" w:ascii="宋体" w:hAnsi="宋体" w:cs="宋体"/>
          <w:sz w:val="24"/>
          <w:szCs w:val="24"/>
        </w:rPr>
        <w:t xml:space="preserve">被授权人身份证号码：</w:t>
      </w:r>
      <w:r/>
    </w:p>
    <w:p>
      <w:pPr>
        <w:pStyle w:val="1045"/>
        <w:ind w:firstLine="0"/>
        <w:spacing w:line="480" w:lineRule="auto"/>
        <w:rPr>
          <w:rFonts w:ascii="宋体" w:hAnsi="宋体" w:cs="宋体"/>
          <w:sz w:val="24"/>
          <w:szCs w:val="24"/>
          <w:u w:val="single"/>
        </w:rPr>
      </w:pPr>
      <w:r>
        <w:rPr>
          <w:rFonts w:hint="eastAsia" w:ascii="宋体" w:hAnsi="宋体" w:cs="宋体"/>
          <w:sz w:val="24"/>
          <w:szCs w:val="24"/>
        </w:rPr>
        <w:t xml:space="preserve">    被授权人联系电话：（手机）</w:t>
      </w:r>
      <w:r/>
    </w:p>
    <w:p>
      <w:pPr>
        <w:pStyle w:val="1045"/>
        <w:ind w:firstLine="468"/>
        <w:spacing w:line="480" w:lineRule="auto"/>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              </w:t>
      </w:r>
      <w:r/>
    </w:p>
    <w:p>
      <w:pPr>
        <w:pStyle w:val="1045"/>
        <w:ind w:firstLine="480"/>
        <w:spacing w:line="480" w:lineRule="auto"/>
        <w:rPr>
          <w:rFonts w:ascii="宋体" w:hAnsi="宋体" w:cs="宋体"/>
          <w:sz w:val="24"/>
          <w:szCs w:val="24"/>
          <w:u w:val="single"/>
        </w:rPr>
      </w:pPr>
      <w:r>
        <w:rPr>
          <w:rFonts w:hint="eastAsia" w:ascii="宋体" w:hAnsi="宋体" w:cs="宋体"/>
          <w:sz w:val="24"/>
          <w:szCs w:val="24"/>
        </w:rPr>
        <w:t xml:space="preserve">单位地址：</w:t>
      </w:r>
      <w:r/>
    </w:p>
    <w:p>
      <w:pPr>
        <w:pStyle w:val="1045"/>
        <w:ind w:firstLine="480"/>
        <w:spacing w:line="480" w:lineRule="auto"/>
        <w:rPr>
          <w:rFonts w:ascii="宋体" w:hAnsi="宋体" w:cs="宋体"/>
          <w:i/>
          <w:sz w:val="32"/>
          <w:szCs w:val="32"/>
          <w:u w:val="single"/>
        </w:rPr>
      </w:pPr>
      <w:r>
        <w:rPr>
          <w:rFonts w:hint="eastAsia" w:ascii="宋体" w:hAnsi="宋体" w:cs="宋体"/>
          <w:sz w:val="24"/>
          <w:szCs w:val="24"/>
        </w:rPr>
        <w:t xml:space="preserve">日    期：</w:t>
      </w:r>
      <w:r/>
    </w:p>
    <w:p>
      <w:pPr>
        <w:pStyle w:val="968"/>
        <w:rPr>
          <w:i/>
          <w:sz w:val="24"/>
          <w:szCs w:val="24"/>
          <w:u w:val="single"/>
        </w:rPr>
      </w:pPr>
      <w:r>
        <w:rPr>
          <w:i/>
          <w:sz w:val="24"/>
          <w:szCs w:val="24"/>
          <w:u w:val="single"/>
        </w:rPr>
      </w:r>
      <w:r/>
    </w:p>
    <w:p>
      <w:pPr>
        <w:pStyle w:val="968"/>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1074"/>
        <w:rPr>
          <w:bCs/>
          <w:sz w:val="24"/>
        </w:rPr>
      </w:pPr>
      <w:r>
        <w:rPr>
          <w:bCs/>
          <w:sz w:val="24"/>
        </w:rPr>
      </w:r>
      <w:r/>
    </w:p>
    <w:p>
      <w:pPr>
        <w:pStyle w:val="1074"/>
        <w:rPr>
          <w:bCs/>
          <w:sz w:val="24"/>
        </w:rPr>
      </w:pPr>
      <w:r>
        <w:rPr>
          <w:bCs/>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708"/>
        <w:rPr>
          <w:rFonts w:eastAsiaTheme="minorEastAsia"/>
          <w:lang w:val="en-US"/>
        </w:rPr>
      </w:pPr>
      <w:r>
        <w:rPr>
          <w:rFonts w:eastAsiaTheme="minorEastAsia"/>
          <w:lang w:val="en-US"/>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四、投标函</w:t>
      </w:r>
      <w:r/>
    </w:p>
    <w:p>
      <w:pPr>
        <w:jc w:val="center"/>
        <w:spacing w:line="360" w:lineRule="auto"/>
        <w:rPr>
          <w:rFonts w:ascii="黑体" w:eastAsia="黑体"/>
          <w:sz w:val="32"/>
          <w:szCs w:val="32"/>
          <w:lang w:val="zh-CN"/>
        </w:rPr>
        <w:outlineLvl w:val="0"/>
      </w:pPr>
      <w:r>
        <w:rPr>
          <w:rFonts w:hint="eastAsia" w:ascii="黑体" w:eastAsia="黑体"/>
          <w:sz w:val="32"/>
          <w:szCs w:val="32"/>
        </w:rPr>
        <w:t xml:space="preserve">投标函</w:t>
      </w:r>
      <w:r/>
    </w:p>
    <w:p>
      <w:pPr>
        <w:pStyle w:val="1047"/>
        <w:spacing w:before="0" w:after="0" w:line="420" w:lineRule="exact"/>
        <w:rPr>
          <w:rFonts w:ascii="宋体" w:hAnsi="宋体"/>
          <w:szCs w:val="21"/>
        </w:rPr>
      </w:pPr>
      <w:r>
        <w:rPr>
          <w:rFonts w:hint="eastAsia" w:ascii="宋体" w:hAnsi="宋体"/>
          <w:szCs w:val="21"/>
        </w:rPr>
        <w:t xml:space="preserve">致：南京市公共资源交易中心浦口分中心</w:t>
      </w:r>
      <w:r/>
    </w:p>
    <w:p>
      <w:pPr>
        <w:pStyle w:val="1047"/>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lang w:val="zh-CN"/>
        </w:rPr>
        <w:t xml:space="preserve">（项目编号）</w:t>
      </w:r>
      <w:r>
        <w:rPr>
          <w:rFonts w:hint="eastAsia" w:ascii="宋体" w:hAnsi="宋体"/>
          <w:szCs w:val="21"/>
        </w:rPr>
        <w:t xml:space="preserve">招标文件，正式授权下述签字人(姓名)代表我方（投标人的名称），全权处理本次项目投标的有关事宜。</w:t>
      </w:r>
      <w:r/>
    </w:p>
    <w:p>
      <w:pPr>
        <w:pStyle w:val="1047"/>
        <w:spacing w:before="0" w:after="0" w:line="420" w:lineRule="exact"/>
        <w:rPr>
          <w:rFonts w:ascii="宋体" w:hAnsi="宋体"/>
          <w:szCs w:val="21"/>
        </w:rPr>
      </w:pPr>
      <w:r>
        <w:rPr>
          <w:rFonts w:hint="eastAsia" w:ascii="宋体" w:hAnsi="宋体"/>
          <w:szCs w:val="21"/>
        </w:rPr>
        <w:t xml:space="preserve">据此函，签字人兹宣布同意如下：</w:t>
      </w:r>
      <w:r/>
    </w:p>
    <w:p>
      <w:pPr>
        <w:pStyle w:val="1047"/>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1047"/>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47"/>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47"/>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47"/>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47"/>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2" w:hAnsi="Wingdings 2" w:eastAsia="Wingdings 2" w:cs="Wingdings 2"/>
          <w:sz w:val="24"/>
          <w:szCs w:val="24"/>
          <w:lang w:val="zh-CN"/>
        </w:rPr>
        <w:t xml:space="preserve"></w:t>
      </w:r>
      <w:r>
        <w:rPr>
          <w:rFonts w:hint="eastAsia" w:ascii="宋体" w:hAnsi="宋体"/>
          <w:sz w:val="24"/>
          <w:szCs w:val="24"/>
        </w:rPr>
        <w:t xml:space="preserve">大型企业 </w:t>
      </w:r>
      <w:r>
        <w:rPr>
          <w:rFonts w:ascii="Wingdings 2" w:hAnsi="Wingdings 2" w:eastAsia="Wingdings 2" w:cs="Wingdings 2"/>
          <w:sz w:val="24"/>
          <w:szCs w:val="24"/>
          <w:lang w:val="zh-CN"/>
        </w:rPr>
        <w:t xml:space="preserve"></w:t>
      </w:r>
      <w:r>
        <w:rPr>
          <w:rFonts w:hint="eastAsia" w:ascii="宋体" w:hAnsi="宋体"/>
          <w:sz w:val="24"/>
          <w:szCs w:val="24"/>
        </w:rPr>
        <w:t xml:space="preserve">中型企业 </w:t>
      </w:r>
      <w:r>
        <w:rPr>
          <w:rFonts w:ascii="Wingdings 2" w:hAnsi="Wingdings 2" w:eastAsia="Wingdings 2" w:cs="Wingdings 2"/>
          <w:sz w:val="24"/>
          <w:szCs w:val="24"/>
          <w:lang w:val="zh-CN"/>
        </w:rPr>
        <w:t xml:space="preserve"></w:t>
      </w:r>
      <w:r>
        <w:rPr>
          <w:rFonts w:hint="eastAsia" w:ascii="宋体" w:hAnsi="宋体"/>
          <w:sz w:val="24"/>
          <w:szCs w:val="24"/>
        </w:rPr>
        <w:t xml:space="preserve">小型企业 </w:t>
      </w:r>
      <w:r>
        <w:rPr>
          <w:rFonts w:ascii="Wingdings 2" w:hAnsi="Wingdings 2" w:eastAsia="Wingdings 2" w:cs="Wingdings 2"/>
          <w:sz w:val="24"/>
          <w:szCs w:val="24"/>
          <w:lang w:val="zh-CN"/>
        </w:rPr>
        <w:t xml:space="preserve"></w:t>
      </w:r>
      <w:r>
        <w:rPr>
          <w:rFonts w:hint="eastAsia" w:ascii="宋体" w:hAnsi="宋体"/>
          <w:sz w:val="24"/>
          <w:szCs w:val="24"/>
        </w:rPr>
        <w:t xml:space="preserve">微型企业（对应</w:t>
      </w:r>
      <w:r>
        <w:rPr>
          <w:rFonts w:ascii="Wingdings 2" w:hAnsi="Wingdings 2" w:eastAsia="Wingdings 2" w:cs="Wingdings 2"/>
          <w:sz w:val="24"/>
          <w:szCs w:val="24"/>
          <w:lang w:val="zh-CN"/>
        </w:rPr>
        <w:t xml:space="preserve"></w:t>
      </w:r>
      <w:r>
        <w:rPr>
          <w:rFonts w:hint="eastAsia" w:ascii="宋体" w:hAnsi="宋体"/>
          <w:sz w:val="24"/>
          <w:szCs w:val="24"/>
          <w:lang w:val="zh-CN"/>
        </w:rPr>
        <w:t xml:space="preserve">上打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47"/>
        <w:spacing w:before="0" w:after="0" w:line="420" w:lineRule="exact"/>
        <w:rPr>
          <w:rFonts w:ascii="宋体" w:hAnsi="宋体"/>
          <w:szCs w:val="21"/>
        </w:rPr>
      </w:pPr>
      <w:r>
        <w:rPr>
          <w:rFonts w:hint="eastAsia" w:ascii="宋体" w:hAnsi="宋体"/>
          <w:szCs w:val="21"/>
        </w:rPr>
        <w:t xml:space="preserve">8.与本投标有关的正式通讯地址为：</w:t>
      </w:r>
      <w:r/>
    </w:p>
    <w:p>
      <w:pPr>
        <w:pStyle w:val="1047"/>
        <w:ind w:left="420"/>
        <w:spacing w:before="0" w:after="0" w:line="420" w:lineRule="exact"/>
        <w:rPr>
          <w:rFonts w:ascii="宋体" w:hAnsi="宋体"/>
          <w:szCs w:val="21"/>
          <w:u w:val="single"/>
        </w:rPr>
      </w:pPr>
      <w:r>
        <w:rPr>
          <w:rFonts w:hint="eastAsia" w:ascii="宋体" w:hAnsi="宋体"/>
          <w:szCs w:val="21"/>
        </w:rPr>
        <w:t xml:space="preserve">投标人名称：</w:t>
      </w:r>
      <w:r>
        <w:rPr>
          <w:rFonts w:hint="eastAsia" w:ascii="宋体" w:hAnsi="宋体"/>
          <w:szCs w:val="21"/>
          <w:u w:val="single"/>
        </w:rPr>
        <w:t xml:space="preserve">（加盖CA电子公章）     </w:t>
      </w:r>
      <w:r/>
    </w:p>
    <w:p>
      <w:pPr>
        <w:pStyle w:val="1047"/>
        <w:ind w:left="420"/>
        <w:spacing w:before="0" w:after="0" w:line="420" w:lineRule="exact"/>
        <w:rPr>
          <w:rFonts w:ascii="宋体" w:hAnsi="宋体"/>
          <w:szCs w:val="21"/>
          <w:u w:val="single"/>
        </w:rPr>
      </w:pPr>
      <w:r>
        <w:rPr>
          <w:rFonts w:hint="eastAsia" w:ascii="宋体" w:hAnsi="宋体"/>
          <w:szCs w:val="21"/>
        </w:rPr>
        <w:t xml:space="preserve">地      址：</w:t>
      </w:r>
      <w:r/>
    </w:p>
    <w:p>
      <w:pPr>
        <w:pStyle w:val="1047"/>
        <w:ind w:left="420"/>
        <w:spacing w:before="0" w:after="0" w:line="420" w:lineRule="exact"/>
        <w:rPr>
          <w:rFonts w:ascii="宋体" w:hAnsi="宋体"/>
          <w:szCs w:val="21"/>
          <w:u w:val="single"/>
        </w:rPr>
      </w:pPr>
      <w:r>
        <w:rPr>
          <w:rFonts w:hint="eastAsia" w:ascii="宋体" w:hAnsi="宋体"/>
          <w:szCs w:val="21"/>
        </w:rPr>
        <w:t xml:space="preserve">邮      编：</w:t>
      </w:r>
      <w:r/>
    </w:p>
    <w:p>
      <w:pPr>
        <w:pStyle w:val="1047"/>
        <w:ind w:left="420"/>
        <w:spacing w:before="0" w:after="0" w:line="420" w:lineRule="exact"/>
        <w:rPr>
          <w:rFonts w:ascii="宋体" w:hAnsi="宋体"/>
          <w:szCs w:val="21"/>
          <w:u w:val="single"/>
        </w:rPr>
      </w:pPr>
      <w:r>
        <w:rPr>
          <w:rFonts w:hint="eastAsia" w:ascii="宋体" w:hAnsi="宋体"/>
          <w:szCs w:val="21"/>
        </w:rPr>
        <w:t xml:space="preserve">电      话：</w:t>
      </w:r>
      <w:r/>
    </w:p>
    <w:p>
      <w:pPr>
        <w:pStyle w:val="1047"/>
        <w:ind w:left="420"/>
        <w:spacing w:before="0" w:after="0" w:line="420" w:lineRule="exact"/>
        <w:rPr>
          <w:rFonts w:ascii="宋体" w:hAnsi="宋体"/>
          <w:szCs w:val="21"/>
          <w:u w:val="single"/>
        </w:rPr>
      </w:pPr>
      <w:r>
        <w:rPr>
          <w:rFonts w:hint="eastAsia" w:ascii="宋体" w:hAnsi="宋体"/>
          <w:szCs w:val="21"/>
        </w:rPr>
        <w:t xml:space="preserve">传      真：</w:t>
      </w:r>
      <w:r/>
    </w:p>
    <w:p>
      <w:pPr>
        <w:pStyle w:val="1047"/>
        <w:ind w:left="420"/>
        <w:spacing w:before="0" w:after="0" w:line="420" w:lineRule="exact"/>
        <w:rPr>
          <w:rFonts w:ascii="宋体" w:hAnsi="宋体"/>
          <w:szCs w:val="21"/>
          <w:u w:val="single"/>
        </w:rPr>
      </w:pPr>
      <w:r>
        <w:rPr>
          <w:rFonts w:hint="eastAsia" w:ascii="宋体" w:hAnsi="宋体"/>
          <w:szCs w:val="21"/>
        </w:rPr>
        <w:t xml:space="preserve">投标人开户行：</w:t>
      </w:r>
      <w:r/>
    </w:p>
    <w:p>
      <w:pPr>
        <w:pStyle w:val="1047"/>
        <w:ind w:left="420"/>
        <w:spacing w:before="0" w:after="0" w:line="420" w:lineRule="exact"/>
        <w:rPr>
          <w:rFonts w:ascii="宋体" w:hAnsi="宋体"/>
          <w:szCs w:val="21"/>
          <w:u w:val="single"/>
        </w:rPr>
      </w:pPr>
      <w:r>
        <w:rPr>
          <w:rFonts w:hint="eastAsia" w:ascii="宋体" w:hAnsi="宋体"/>
          <w:szCs w:val="21"/>
        </w:rPr>
        <w:t xml:space="preserve">账      号：</w:t>
      </w:r>
      <w:r/>
    </w:p>
    <w:p>
      <w:pPr>
        <w:pStyle w:val="1047"/>
        <w:ind w:left="420"/>
        <w:spacing w:before="0" w:after="0" w:line="420" w:lineRule="exact"/>
        <w:rPr>
          <w:rFonts w:ascii="宋体" w:hAnsi="宋体"/>
          <w:szCs w:val="21"/>
        </w:rPr>
      </w:pPr>
      <w:r>
        <w:rPr>
          <w:rFonts w:hint="eastAsia" w:ascii="宋体" w:hAnsi="宋体"/>
          <w:szCs w:val="21"/>
        </w:rPr>
        <w:t xml:space="preserve">日      期：年月日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pStyle w:val="708"/>
        <w:rPr>
          <w:rFonts w:eastAsiaTheme="minorEastAsia"/>
          <w:lang w:val="en-US"/>
        </w:rPr>
      </w:pPr>
      <w:r>
        <w:rPr>
          <w:rFonts w:eastAsiaTheme="minorEastAsia"/>
          <w:lang w:val="en-US"/>
        </w:rPr>
      </w:r>
      <w:r/>
    </w:p>
    <w:p>
      <w:pPr>
        <w:rPr>
          <w:rFonts w:eastAsia="仿宋_GB2312"/>
          <w:sz w:val="24"/>
          <w:szCs w:val="20"/>
        </w:rPr>
      </w:pPr>
      <w:r>
        <w:rPr>
          <w:rFonts w:hint="eastAsia" w:ascii="黑体" w:hAnsi="黑体" w:eastAsia="黑体"/>
          <w:i/>
          <w:sz w:val="32"/>
          <w:szCs w:val="32"/>
          <w:u w:val="single"/>
        </w:rPr>
        <w:t xml:space="preserve">五、开标一览表</w:t>
      </w:r>
      <w:r/>
    </w:p>
    <w:p>
      <w:pPr>
        <w:ind w:firstLine="480"/>
        <w:rPr>
          <w:rFonts w:ascii="宋体" w:hAnsi="宋体"/>
          <w:sz w:val="24"/>
          <w:szCs w:val="24"/>
        </w:rPr>
      </w:pPr>
      <w:r>
        <w:rPr>
          <w:rFonts w:hint="eastAsia" w:ascii="宋体" w:hAnsi="宋体"/>
          <w:sz w:val="24"/>
          <w:szCs w:val="24"/>
        </w:rPr>
        <w:t xml:space="preserve">投标人名称（加盖CA电子签章）：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47"/>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年月日</w:t>
      </w:r>
      <w:r/>
    </w:p>
    <w:p>
      <w:pPr>
        <w:ind w:firstLine="480"/>
        <w:rPr>
          <w:rFonts w:ascii="黑体" w:hAnsi="黑体" w:eastAsia="黑体"/>
          <w:b/>
          <w:i/>
          <w:sz w:val="32"/>
          <w:szCs w:val="32"/>
          <w:u w:val="single"/>
        </w:rPr>
      </w:pPr>
      <w:r>
        <w:rPr>
          <w:rFonts w:ascii="黑体" w:hAnsi="黑体" w:eastAsia="黑体"/>
          <w:b/>
          <w:i/>
          <w:sz w:val="32"/>
          <w:szCs w:val="32"/>
          <w:u w:val="single"/>
        </w:rPr>
      </w:r>
      <w:r/>
    </w:p>
    <w:p>
      <w:pPr>
        <w:pStyle w:val="708"/>
        <w:rPr>
          <w:color w:val="auto"/>
        </w:rPr>
      </w:pPr>
      <w:r>
        <w:rPr>
          <w:color w:val="auto"/>
        </w:rPr>
      </w:r>
      <w:r/>
    </w:p>
    <w:p>
      <w:pPr>
        <w:rPr>
          <w:rFonts w:ascii="黑体" w:hAnsi="黑体" w:eastAsia="黑体"/>
          <w:b/>
          <w:i/>
          <w:sz w:val="32"/>
          <w:szCs w:val="32"/>
          <w:u w:val="single"/>
        </w:rPr>
      </w:pPr>
      <w:r>
        <w:rPr>
          <w:rFonts w:ascii="黑体" w:hAnsi="黑体" w:eastAsia="黑体"/>
          <w:b/>
          <w:i/>
          <w:sz w:val="32"/>
          <w:szCs w:val="32"/>
          <w:u w:val="single"/>
        </w:rPr>
      </w:r>
      <w:r/>
    </w:p>
    <w:p>
      <w:pPr>
        <w:rPr>
          <w:rFonts w:ascii="黑体" w:hAnsi="黑体" w:eastAsia="黑体"/>
          <w:b/>
          <w:i/>
          <w:sz w:val="32"/>
          <w:szCs w:val="32"/>
          <w:u w:val="single"/>
        </w:rPr>
      </w:pPr>
      <w:r>
        <w:rPr>
          <w:rFonts w:ascii="黑体" w:hAnsi="黑体" w:eastAsia="黑体"/>
          <w:b/>
          <w:i/>
          <w:sz w:val="32"/>
          <w:szCs w:val="32"/>
          <w:u w:val="single"/>
        </w:rPr>
      </w:r>
      <w:r/>
    </w:p>
    <w:p>
      <w:pPr>
        <w:pStyle w:val="708"/>
        <w:rPr>
          <w:color w:val="auto"/>
        </w:rPr>
      </w:pPr>
      <w:r>
        <w:rPr>
          <w:color w:val="auto"/>
        </w:rPr>
      </w:r>
      <w:r/>
    </w:p>
    <w:p>
      <w:pPr>
        <w:spacing w:line="360" w:lineRule="auto"/>
        <w:rPr>
          <w:rFonts w:ascii="黑体" w:hAnsi="黑体" w:eastAsia="黑体"/>
          <w:i/>
          <w:sz w:val="32"/>
          <w:szCs w:val="32"/>
          <w:u w:val="single"/>
        </w:rPr>
        <w:outlineLvl w:val="0"/>
      </w:pPr>
      <w:r>
        <w:rPr>
          <w:rFonts w:hint="eastAsia" w:ascii="黑体" w:hAnsi="黑体" w:eastAsia="黑体"/>
          <w:i/>
          <w:sz w:val="32"/>
          <w:szCs w:val="32"/>
          <w:u w:val="single"/>
        </w:rPr>
        <w:t xml:space="preserve">六、</w:t>
      </w:r>
      <w:r>
        <w:rPr>
          <w:rFonts w:hint="eastAsia" w:ascii="黑体" w:hAnsi="黑体" w:eastAsia="黑体"/>
          <w:i/>
          <w:sz w:val="32"/>
          <w:szCs w:val="32"/>
          <w:u w:val="single"/>
          <w:lang w:val="zh-CN"/>
        </w:rPr>
        <w:t xml:space="preserve">核心产品</w:t>
      </w:r>
      <w:r>
        <w:rPr>
          <w:rFonts w:hint="eastAsia" w:ascii="黑体" w:hAnsi="黑体" w:eastAsia="黑体"/>
          <w:i/>
          <w:sz w:val="32"/>
          <w:szCs w:val="32"/>
          <w:u w:val="single"/>
        </w:rPr>
        <w:t xml:space="preserve">品牌</w:t>
      </w:r>
      <w:r>
        <w:rPr>
          <w:rFonts w:hint="eastAsia" w:ascii="黑体" w:hAnsi="黑体" w:eastAsia="黑体"/>
          <w:i/>
          <w:sz w:val="32"/>
          <w:szCs w:val="32"/>
          <w:u w:val="single"/>
          <w:lang w:val="zh-CN"/>
        </w:rPr>
        <w:t xml:space="preserve">一览表</w:t>
      </w:r>
      <w:r/>
    </w:p>
    <w:p>
      <w:pPr>
        <w:jc w:val="center"/>
        <w:spacing w:line="360" w:lineRule="auto"/>
        <w:widowControl/>
        <w:rPr>
          <w:rFonts w:ascii="黑体" w:hAnsi="宋体" w:eastAsia="黑体" w:cs="宋体"/>
          <w:sz w:val="32"/>
          <w:szCs w:val="32"/>
          <w:lang w:val="zh-CN"/>
        </w:rPr>
      </w:pPr>
      <w:r>
        <w:rPr>
          <w:rFonts w:hint="eastAsia" w:ascii="黑体" w:hAnsi="宋体" w:eastAsia="黑体" w:cs="宋体"/>
          <w:sz w:val="32"/>
          <w:szCs w:val="32"/>
          <w:lang w:val="zh-CN"/>
        </w:rPr>
        <w:t xml:space="preserve">核心产品</w:t>
      </w:r>
      <w:r>
        <w:rPr>
          <w:rFonts w:hint="eastAsia" w:ascii="黑体" w:hAnsi="宋体" w:eastAsia="黑体" w:cs="宋体"/>
          <w:sz w:val="32"/>
          <w:szCs w:val="32"/>
        </w:rPr>
        <w:t xml:space="preserve">品牌</w:t>
      </w:r>
      <w:r>
        <w:rPr>
          <w:rFonts w:hint="eastAsia" w:ascii="黑体" w:hAnsi="宋体" w:eastAsia="黑体" w:cs="宋体"/>
          <w:sz w:val="32"/>
          <w:szCs w:val="32"/>
          <w:lang w:val="zh-CN"/>
        </w:rPr>
        <w:t xml:space="preserve">一览表</w:t>
      </w:r>
      <w:r/>
    </w:p>
    <w:tbl>
      <w:tblPr>
        <w:tblpPr w:horzAnchor="margin" w:tblpXSpec="left" w:vertAnchor="text" w:tblpY="133" w:leftFromText="180" w:topFromText="0" w:rightFromText="180" w:bottomFromText="0"/>
        <w:tblW w:w="85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5"/>
        <w:gridCol w:w="2979"/>
        <w:gridCol w:w="2158"/>
        <w:gridCol w:w="2506"/>
      </w:tblGrid>
      <w:tr>
        <w:trPr>
          <w:trHeight w:val="723"/>
        </w:trPr>
        <w:tc>
          <w:tcPr>
            <w:tcW w:w="895"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W w:w="2979"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2158"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2506"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规格或型号</w:t>
            </w:r>
            <w:r/>
          </w:p>
        </w:tc>
      </w:tr>
      <w:tr>
        <w:trPr>
          <w:trHeight w:val="963"/>
        </w:trPr>
        <w:tc>
          <w:tcPr>
            <w:tcW w:w="895"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W w:w="29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XX产品</w:t>
            </w:r>
            <w:r/>
          </w:p>
        </w:tc>
        <w:tc>
          <w:tcPr>
            <w:tcW w:w="2158"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2506"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r>
    </w:tbl>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hint="eastAsia" w:ascii="宋体" w:hAnsi="宋体"/>
          <w:b/>
          <w:bCs/>
          <w:sz w:val="24"/>
          <w:szCs w:val="24"/>
        </w:rPr>
        <w:t xml:space="preserve">说明：供应商须按照表格要求明确填写所投“核心产品”的品牌，不得填报“/”“无”等内容，否则视为无效投标。</w:t>
      </w:r>
      <w:r/>
    </w:p>
    <w:p>
      <w:pPr>
        <w:jc w:val="left"/>
        <w:spacing w:line="360" w:lineRule="auto"/>
        <w:widowControl/>
        <w:rPr>
          <w:rFonts w:ascii="宋体" w:cs="宋体"/>
          <w:szCs w:val="21"/>
          <w:lang w:val="zh-CN"/>
        </w:rPr>
      </w:pPr>
      <w:r>
        <w:rPr>
          <w:rFonts w:hint="eastAsia" w:ascii="宋体" w:hAnsi="宋体" w:cs="宋体"/>
          <w:szCs w:val="21"/>
          <w:lang w:val="zh-CN"/>
        </w:rPr>
        <w:t xml:space="preserve">供应商名称（</w:t>
      </w:r>
      <w:r>
        <w:rPr>
          <w:rFonts w:hint="eastAsia" w:ascii="宋体" w:hAnsi="宋体"/>
          <w:sz w:val="24"/>
          <w:szCs w:val="24"/>
        </w:rPr>
        <w:t xml:space="preserve">加盖CA电子公章</w:t>
      </w:r>
      <w:r>
        <w:rPr>
          <w:rFonts w:hint="eastAsia" w:ascii="宋体" w:hAnsi="宋体" w:cs="宋体"/>
          <w:szCs w:val="21"/>
          <w:lang w:val="zh-CN"/>
        </w:rPr>
        <w:t xml:space="preserve">）：</w:t>
      </w:r>
      <w:r/>
    </w:p>
    <w:p>
      <w:r/>
      <w:r/>
    </w:p>
    <w:p>
      <w:pPr>
        <w:jc w:val="center"/>
        <w:spacing w:line="360" w:lineRule="auto"/>
        <w:rPr>
          <w:rFonts w:ascii="黑体" w:eastAsia="黑体"/>
          <w:sz w:val="32"/>
          <w:szCs w:val="32"/>
        </w:rPr>
        <w:outlineLvl w:val="0"/>
      </w:pPr>
      <w:r>
        <w:rPr>
          <w:rFonts w:ascii="黑体" w:eastAsia="黑体"/>
          <w:sz w:val="32"/>
          <w:szCs w:val="32"/>
        </w:rPr>
      </w:r>
      <w:r/>
    </w:p>
    <w:p>
      <w:pPr>
        <w:pStyle w:val="708"/>
        <w:rPr>
          <w:color w:val="auto"/>
        </w:rPr>
      </w:pPr>
      <w:r>
        <w:rPr>
          <w:color w:val="auto"/>
        </w:rPr>
      </w:r>
      <w:r/>
    </w:p>
    <w:p>
      <w:pPr>
        <w:jc w:val="center"/>
        <w:spacing w:line="360" w:lineRule="auto"/>
        <w:rPr>
          <w:rFonts w:ascii="黑体" w:eastAsia="黑体"/>
          <w:sz w:val="32"/>
          <w:szCs w:val="32"/>
        </w:rPr>
        <w:outlineLvl w:val="0"/>
      </w:pPr>
      <w:r>
        <w:rPr>
          <w:rFonts w:ascii="黑体" w:eastAsia="黑体"/>
          <w:sz w:val="32"/>
          <w:szCs w:val="32"/>
        </w:rPr>
      </w:r>
      <w:r/>
    </w:p>
    <w:p>
      <w:pPr>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
          <w:sz w:val="32"/>
          <w:szCs w:val="32"/>
          <w:u w:val="single"/>
        </w:rPr>
        <w:t xml:space="preserve">七、中小企业声明函</w:t>
      </w:r>
      <w:r/>
    </w:p>
    <w:p>
      <w:pPr>
        <w:jc w:val="center"/>
        <w:spacing w:line="360" w:lineRule="auto"/>
        <w:rPr>
          <w:rFonts w:ascii="黑体" w:hAnsi="Calibri" w:eastAsia="黑体"/>
          <w:sz w:val="32"/>
          <w:szCs w:val="32"/>
        </w:rPr>
        <w:outlineLvl w:val="0"/>
      </w:pPr>
      <w:r>
        <w:rPr>
          <w:rFonts w:hint="eastAsia" w:ascii="黑体" w:hAnsi="Calibri" w:eastAsia="黑体"/>
          <w:sz w:val="32"/>
          <w:szCs w:val="32"/>
        </w:rPr>
        <w:t xml:space="preserve">中小企业声明函（货物）</w:t>
      </w:r>
      <w:r/>
    </w:p>
    <w:p>
      <w:pPr>
        <w:ind w:firstLine="36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本公司（联合体）郑重声明，根据《政府采购促进中小企业发展管理办法》(财库[2020]46号)的规定，本公司（联合体）参加南京市公共资源交易中心浦口分中心组织的</w:t>
      </w:r>
      <w:r>
        <w:rPr>
          <w:rFonts w:hint="eastAsia" w:ascii="宋体" w:hAnsi="宋体" w:cs="宋体"/>
          <w:sz w:val="24"/>
          <w:szCs w:val="24"/>
          <w:u w:val="single"/>
        </w:rPr>
        <w:t xml:space="preserve">     （单位名称）</w:t>
      </w:r>
      <w:r>
        <w:rPr>
          <w:rFonts w:hint="eastAsia" w:ascii="宋体" w:hAnsi="宋体" w:cs="宋体"/>
          <w:sz w:val="24"/>
          <w:szCs w:val="24"/>
        </w:rPr>
        <w:t xml:space="preserve">采购编号为</w:t>
      </w:r>
      <w:r>
        <w:rPr>
          <w:rFonts w:hint="eastAsia" w:ascii="宋体" w:hAnsi="宋体" w:cs="宋体"/>
          <w:sz w:val="24"/>
          <w:szCs w:val="24"/>
          <w:u w:val="single"/>
        </w:rPr>
        <w:t xml:space="preserve">            ，      （项目名称）（分包号：**）</w:t>
      </w:r>
      <w:r>
        <w:rPr>
          <w:rFonts w:hint="eastAsia" w:ascii="宋体" w:hAnsi="宋体" w:cs="宋体"/>
          <w:sz w:val="24"/>
          <w:szCs w:val="24"/>
        </w:rPr>
        <w:t xml:space="preserve">的采购活动，</w:t>
      </w:r>
      <w:r>
        <w:rPr>
          <w:rFonts w:hint="eastAsia" w:ascii="宋体" w:hAnsi="宋体"/>
          <w:sz w:val="24"/>
          <w:szCs w:val="24"/>
        </w:rPr>
        <w:t xml:space="preserve">提供的货物</w:t>
      </w:r>
      <w:r>
        <w:rPr>
          <w:rFonts w:hint="eastAsia" w:ascii="宋体" w:hAnsi="宋体" w:cs="宋体"/>
          <w:sz w:val="24"/>
          <w:szCs w:val="24"/>
        </w:rPr>
        <w:t xml:space="preserve">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360"/>
        <w:spacing w:line="360" w:lineRule="auto"/>
        <w:rPr>
          <w:rFonts w:ascii="宋体" w:hAnsi="宋体" w:cs="宋体"/>
          <w:i/>
          <w:sz w:val="24"/>
          <w:szCs w:val="24"/>
          <w:u w:val="single"/>
        </w:rPr>
      </w:pPr>
      <w:r>
        <w:rPr>
          <w:rFonts w:hint="eastAsia" w:ascii="宋体" w:hAnsi="宋体" w:cs="宋体"/>
          <w:sz w:val="24"/>
          <w:szCs w:val="24"/>
        </w:rPr>
        <w:t xml:space="preserve">1.（标的名称）</w:t>
      </w:r>
      <w:r>
        <w:rPr>
          <w:rFonts w:hint="eastAsia" w:ascii="宋体" w:hAnsi="宋体" w:cs="宋体"/>
          <w:i/>
          <w:sz w:val="24"/>
          <w:szCs w:val="24"/>
        </w:rPr>
        <w:t xml:space="preserve">，</w:t>
      </w:r>
      <w:r>
        <w:rPr>
          <w:rFonts w:hint="eastAsia" w:ascii="宋体" w:hAnsi="宋体" w:cs="宋体"/>
          <w:sz w:val="24"/>
          <w:szCs w:val="24"/>
        </w:rPr>
        <w:t xml:space="preserve">属于行业(采购文件中明确的所属行业）；承接企业为（企业名称），从业人员人，营业收入为万元，资产总额为万元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，属于（中型企业、小型企业、微型企业）；</w:t>
      </w:r>
      <w:r/>
    </w:p>
    <w:p>
      <w:pPr>
        <w:ind w:firstLine="360"/>
        <w:spacing w:line="360" w:lineRule="auto"/>
        <w:rPr>
          <w:rFonts w:ascii="宋体" w:hAnsi="宋体" w:cs="宋体"/>
          <w:i/>
          <w:sz w:val="24"/>
          <w:szCs w:val="24"/>
          <w:u w:val="single"/>
        </w:rPr>
      </w:pPr>
      <w:r>
        <w:rPr>
          <w:rFonts w:hint="eastAsia" w:ascii="宋体" w:hAnsi="宋体" w:cs="宋体"/>
          <w:sz w:val="24"/>
          <w:szCs w:val="24"/>
        </w:rPr>
        <w:t xml:space="preserve">2.（标的名称）</w:t>
      </w:r>
      <w:r>
        <w:rPr>
          <w:rFonts w:hint="eastAsia" w:ascii="宋体" w:hAnsi="宋体" w:cs="宋体"/>
          <w:i/>
          <w:sz w:val="24"/>
          <w:szCs w:val="24"/>
        </w:rPr>
        <w:t xml:space="preserve">，</w:t>
      </w:r>
      <w:r>
        <w:rPr>
          <w:rFonts w:hint="eastAsia" w:ascii="宋体" w:hAnsi="宋体" w:cs="宋体"/>
          <w:sz w:val="24"/>
          <w:szCs w:val="24"/>
        </w:rPr>
        <w:t xml:space="preserve">属于行业(采购文件中明确的所属行业）；承接企业为（企业名称），从业人员人，营业收入为万元，资产总额为万元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，属于（中型企业、小型企业、微型企业）；</w:t>
      </w:r>
      <w:r/>
    </w:p>
    <w:p>
      <w:pPr>
        <w:ind w:firstLine="360"/>
        <w:spacing w:line="360" w:lineRule="auto"/>
        <w:rPr>
          <w:rFonts w:ascii="宋体" w:hAnsi="宋体" w:cs="宋体"/>
          <w:sz w:val="24"/>
          <w:szCs w:val="24"/>
        </w:rPr>
      </w:pPr>
      <w:r>
        <w:rPr>
          <w:rFonts w:hint="eastAsia" w:ascii="宋体" w:hAnsi="宋体" w:cs="宋体"/>
          <w:sz w:val="24"/>
          <w:szCs w:val="24"/>
        </w:rPr>
        <w:t xml:space="preserve">……</w:t>
      </w:r>
      <w:r/>
    </w:p>
    <w:p>
      <w:pPr>
        <w:ind w:firstLine="36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360"/>
        <w:spacing w:line="360" w:lineRule="auto"/>
        <w:rPr>
          <w:rFonts w:ascii="宋体" w:hAnsi="宋体" w:cs="宋体"/>
          <w:sz w:val="24"/>
          <w:szCs w:val="24"/>
        </w:rPr>
      </w:pPr>
      <w:r>
        <w:rPr>
          <w:rFonts w:ascii="宋体" w:hAnsi="宋体" w:cs="宋体"/>
          <w:sz w:val="24"/>
          <w:szCs w:val="24"/>
        </w:rPr>
      </w:r>
      <w:r/>
    </w:p>
    <w:p>
      <w:pPr>
        <w:ind w:firstLine="360"/>
        <w:spacing w:line="360" w:lineRule="auto"/>
        <w:rPr>
          <w:rFonts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w:t>
      </w:r>
      <w:r>
        <w:rPr>
          <w:rFonts w:hint="eastAsia" w:ascii="宋体" w:hAnsi="宋体"/>
          <w:sz w:val="24"/>
          <w:szCs w:val="24"/>
        </w:rPr>
        <w:t xml:space="preserve">货物采购项目中，货物的制造商应当为中小企业，不对其中涉及的服务的承接商、工程的承建商作出要求。</w:t>
      </w:r>
      <w:r>
        <w:rPr>
          <w:rFonts w:hint="eastAsia" w:ascii="宋体" w:hAnsi="宋体" w:cs="宋体"/>
          <w:sz w:val="24"/>
          <w:szCs w:val="24"/>
        </w:rPr>
        <w:t xml:space="preserve">）</w:t>
      </w:r>
      <w:r/>
    </w:p>
    <w:p>
      <w:pPr>
        <w:ind w:right="720"/>
        <w:spacing w:line="360" w:lineRule="auto"/>
        <w:rPr>
          <w:rFonts w:ascii="宋体" w:hAnsi="宋体" w:cs="宋体"/>
          <w:sz w:val="24"/>
          <w:szCs w:val="24"/>
        </w:rPr>
      </w:pPr>
      <w:r>
        <w:rPr>
          <w:rFonts w:ascii="宋体" w:hAnsi="宋体" w:cs="宋体"/>
          <w:sz w:val="24"/>
          <w:szCs w:val="24"/>
        </w:rPr>
      </w:r>
      <w:r/>
    </w:p>
    <w:p>
      <w:pPr>
        <w:ind w:right="180" w:firstLine="360"/>
        <w:jc w:val="right"/>
        <w:spacing w:line="360" w:lineRule="auto"/>
        <w:rPr>
          <w:rFonts w:ascii="宋体" w:hAnsi="宋体" w:cs="宋体"/>
          <w:sz w:val="24"/>
          <w:szCs w:val="24"/>
        </w:rPr>
      </w:pPr>
      <w:r>
        <w:rPr>
          <w:rFonts w:hint="eastAsia" w:ascii="宋体" w:hAnsi="宋体" w:cs="宋体"/>
          <w:sz w:val="24"/>
          <w:szCs w:val="24"/>
        </w:rPr>
        <w:t xml:space="preserve">企业名称：（加盖CA电子公章）</w:t>
      </w:r>
      <w:r/>
    </w:p>
    <w:p>
      <w:pPr>
        <w:ind w:firstLine="5760"/>
        <w:spacing w:line="460" w:lineRule="exact"/>
        <w:rPr>
          <w:rFonts w:ascii="黑体" w:hAnsi="黑体" w:eastAsia="黑体"/>
          <w:b/>
          <w:sz w:val="32"/>
          <w:szCs w:val="32"/>
        </w:rPr>
      </w:pPr>
      <w:r>
        <w:rPr>
          <w:rFonts w:hint="eastAsia" w:ascii="宋体" w:hAnsi="宋体" w:cs="宋体"/>
          <w:sz w:val="24"/>
          <w:szCs w:val="24"/>
        </w:rPr>
        <w:t xml:space="preserve">日  期：年___月___日</w:t>
      </w:r>
      <w:r>
        <w:rPr>
          <w:rFonts w:ascii="黑体" w:hAnsi="黑体" w:eastAsia="黑体"/>
          <w:b/>
          <w:sz w:val="32"/>
          <w:szCs w:val="32"/>
        </w:rPr>
        <w:br w:type="page" w:clear="all"/>
      </w:r>
      <w:r>
        <w:rPr>
          <w:rFonts w:hint="eastAsia" w:ascii="黑体" w:hAnsi="黑体" w:eastAsia="黑体"/>
          <w:b/>
          <w:sz w:val="32"/>
          <w:szCs w:val="32"/>
        </w:rPr>
        <w:t xml:space="preserve">八</w:t>
      </w:r>
      <w:r>
        <w:rPr>
          <w:rFonts w:hint="eastAsia" w:ascii="黑体" w:hAnsi="黑体" w:eastAsia="黑体"/>
          <w:iCs/>
          <w:sz w:val="32"/>
          <w:szCs w:val="32"/>
        </w:rPr>
        <w:t xml:space="preserve">、残疾人福利性单位声明函</w:t>
      </w:r>
      <w:r/>
    </w:p>
    <w:p>
      <w:pPr>
        <w:jc w:val="center"/>
        <w:spacing w:line="360" w:lineRule="auto"/>
        <w:rPr>
          <w:rFonts w:ascii="黑体" w:eastAsia="黑体"/>
          <w:sz w:val="32"/>
          <w:szCs w:val="32"/>
        </w:rPr>
        <w:outlineLvl w:val="0"/>
      </w:pPr>
      <w:r>
        <w:rPr>
          <w:rFonts w:hint="eastAsia" w:ascii="黑体" w:eastAsia="黑体"/>
          <w:sz w:val="32"/>
          <w:szCs w:val="32"/>
        </w:rPr>
        <w:t xml:space="preserve">残疾人福利性单位声明函</w:t>
      </w:r>
      <w:r/>
    </w:p>
    <w:p>
      <w:pPr>
        <w:ind w:firstLine="480"/>
        <w:spacing w:line="588" w:lineRule="exact"/>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u w:val="single"/>
        </w:rPr>
        <w:t xml:space="preserve">                  </w:t>
      </w:r>
      <w:r>
        <w:rPr>
          <w:rFonts w:hint="eastAsia" w:ascii="宋体" w:hAnsi="宋体"/>
          <w:sz w:val="24"/>
        </w:rPr>
        <w:t xml:space="preserve">的项目（分包号：**）采购活动</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74"/>
      </w:p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firstLine="5760"/>
        <w:spacing w:line="560" w:lineRule="exact"/>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460" w:lineRule="exact"/>
        <w:rPr>
          <w:rFonts w:ascii="黑体" w:hAnsi="黑体" w:eastAsia="黑体"/>
          <w:i/>
          <w:sz w:val="32"/>
          <w:szCs w:val="32"/>
          <w:u w:val="single"/>
        </w:rPr>
      </w:pPr>
      <w:r>
        <w:rPr>
          <w:rFonts w:hint="eastAsia" w:ascii="黑体" w:hAnsi="黑体" w:eastAsia="黑体"/>
          <w:i/>
          <w:sz w:val="32"/>
          <w:szCs w:val="32"/>
          <w:u w:val="single"/>
        </w:rPr>
        <w:t xml:space="preserve">九、投标分项报价表</w:t>
      </w:r>
      <w:r/>
    </w:p>
    <w:p>
      <w:pPr>
        <w:jc w:val="center"/>
        <w:spacing w:line="360" w:lineRule="auto"/>
        <w:rPr>
          <w:rFonts w:ascii="黑体" w:eastAsia="黑体"/>
          <w:sz w:val="32"/>
          <w:szCs w:val="32"/>
        </w:rPr>
        <w:outlineLvl w:val="0"/>
      </w:pPr>
      <w:r>
        <w:rPr>
          <w:rFonts w:hint="eastAsia" w:ascii="黑体" w:eastAsia="黑体"/>
          <w:sz w:val="32"/>
          <w:szCs w:val="32"/>
        </w:rPr>
        <w:t xml:space="preserve">投标分项报价表</w:t>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ascii="宋体" w:hAnsi="宋体"/>
                <w:sz w:val="24"/>
                <w:szCs w:val="24"/>
                <w:u w:val="single"/>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249"/>
        </w:trPr>
        <w:tc>
          <w:tcPr>
            <w:tcW w:w="500" w:type="dxa"/>
            <w:textDirection w:val="lrTb"/>
            <w:noWrap w:val="false"/>
          </w:tcPr>
          <w:p>
            <w:pPr>
              <w:jc w:val="center"/>
              <w:rPr>
                <w:rFonts w:ascii="宋体" w:hAnsi="宋体"/>
                <w:sz w:val="24"/>
                <w:szCs w:val="24"/>
              </w:rPr>
            </w:pPr>
            <w:r>
              <w:rPr>
                <w:rFonts w:ascii="宋体" w:hAnsi="宋体"/>
                <w:sz w:val="24"/>
                <w:szCs w:val="24"/>
              </w:rPr>
            </w:r>
            <w:r/>
          </w:p>
        </w:tc>
        <w:tc>
          <w:tcPr>
            <w:gridSpan w:val="8"/>
            <w:tcW w:w="779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966" w:type="dxa"/>
            <w:textDirection w:val="lrTb"/>
            <w:noWrap w:val="false"/>
          </w:tcPr>
          <w:p>
            <w:pP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备注：</w:t>
      </w:r>
      <w:r/>
    </w:p>
    <w:p>
      <w:pPr>
        <w:rPr>
          <w:rFonts w:ascii="宋体" w:hAnsi="宋体"/>
          <w:sz w:val="24"/>
          <w:szCs w:val="24"/>
        </w:rPr>
      </w:pPr>
      <w:r>
        <w:rPr>
          <w:rFonts w:hint="eastAsia" w:ascii="宋体" w:hAnsi="宋体"/>
          <w:sz w:val="24"/>
          <w:szCs w:val="24"/>
        </w:rPr>
        <w:t xml:space="preserve">1.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rPr>
          <w:rFonts w:ascii="宋体" w:hAnsi="宋体"/>
          <w:b/>
          <w:bCs/>
          <w:sz w:val="24"/>
          <w:szCs w:val="24"/>
        </w:rPr>
      </w:pPr>
      <w:r>
        <w:rPr>
          <w:rFonts w:hint="eastAsia" w:ascii="宋体" w:hAnsi="宋体"/>
          <w:b/>
          <w:bCs/>
          <w:sz w:val="24"/>
          <w:szCs w:val="24"/>
        </w:rPr>
        <w:t xml:space="preserve">2.“投标分项报价表”中“投标总报价”数额应当与“开标一览表”中“投标总报价”数额一致。</w:t>
      </w:r>
      <w:r/>
    </w:p>
    <w:p>
      <w:pPr>
        <w:rPr>
          <w:rFonts w:ascii="宋体" w:hAnsi="宋体"/>
          <w:b/>
          <w:bCs/>
          <w:sz w:val="24"/>
          <w:szCs w:val="24"/>
        </w:rPr>
      </w:pPr>
      <w:r>
        <w:rPr>
          <w:rFonts w:hint="eastAsia" w:ascii="宋体" w:hAnsi="宋体"/>
          <w:b/>
          <w:bCs/>
          <w:sz w:val="24"/>
          <w:szCs w:val="24"/>
        </w:rPr>
        <w:t xml:space="preserve">3.供应商所报产品须与“第四章-产品清单”中的产品一一对应，如有缺项、漏项或者超出报价上限的，视为无效投标。</w:t>
      </w:r>
      <w:r/>
    </w:p>
    <w:p>
      <w:pPr>
        <w:rPr>
          <w:rFonts w:ascii="宋体" w:hAnsi="宋体"/>
          <w:sz w:val="24"/>
          <w:szCs w:val="24"/>
        </w:rPr>
      </w:pPr>
      <w:r>
        <w:rPr>
          <w:rFonts w:hint="eastAsia" w:ascii="宋体" w:hAnsi="宋体"/>
          <w:sz w:val="24"/>
          <w:szCs w:val="24"/>
        </w:rPr>
        <w:t xml:space="preserve">4.行数不够，可自行添加。</w:t>
      </w:r>
      <w:r/>
    </w:p>
    <w:p>
      <w:pPr>
        <w:rPr>
          <w:rFonts w:ascii="宋体" w:hAnsi="宋体"/>
          <w:sz w:val="24"/>
          <w:szCs w:val="24"/>
        </w:rPr>
      </w:pPr>
      <w:r>
        <w:rPr>
          <w:rFonts w:ascii="宋体" w:hAnsi="宋体"/>
          <w:sz w:val="24"/>
          <w:szCs w:val="24"/>
        </w:rPr>
      </w:r>
      <w:r/>
    </w:p>
    <w:p>
      <w:pPr>
        <w:pStyle w:val="708"/>
        <w:rPr>
          <w:color w:val="auto"/>
        </w:rPr>
      </w:pPr>
      <w:r>
        <w:rPr>
          <w:color w:val="auto"/>
        </w:rPr>
      </w:r>
      <w:r/>
    </w:p>
    <w:p>
      <w:pPr>
        <w:rPr>
          <w:rFonts w:ascii="宋体" w:hAnsi="宋体"/>
          <w:sz w:val="24"/>
          <w:szCs w:val="24"/>
        </w:rPr>
      </w:pPr>
      <w:r>
        <w:rPr>
          <w:rFonts w:ascii="宋体" w:hAnsi="宋体"/>
          <w:sz w:val="24"/>
          <w:szCs w:val="24"/>
        </w:rPr>
      </w:r>
      <w:r/>
    </w:p>
    <w:p>
      <w:pPr>
        <w:pStyle w:val="708"/>
        <w:rPr>
          <w:color w:val="auto"/>
        </w:rPr>
      </w:pPr>
      <w:r>
        <w:rPr>
          <w:color w:val="auto"/>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bookmarkStart w:id="203" w:name="_Hlt26955054"/>
      <w:r/>
      <w:bookmarkStart w:id="204" w:name="_Hlt26580838"/>
      <w:r/>
      <w:bookmarkStart w:id="205" w:name="_Hlt26782999"/>
      <w:r/>
      <w:bookmarkStart w:id="206" w:name="_Hlt24879081"/>
      <w:r/>
      <w:bookmarkStart w:id="207" w:name="_Hlt26671343"/>
      <w:r/>
      <w:bookmarkStart w:id="208" w:name="_Hlt26671374"/>
      <w:r/>
      <w:bookmarkStart w:id="209" w:name="_Hlt26671372"/>
      <w:r/>
      <w:bookmarkStart w:id="210" w:name="_Hlt26955064"/>
      <w:r/>
      <w:bookmarkStart w:id="211" w:name="_Hlt26609391"/>
      <w:r/>
      <w:bookmarkStart w:id="212" w:name="_格式2__法定代表人授权书"/>
      <w:r/>
      <w:bookmarkStart w:id="213" w:name="_Hlt26955066"/>
      <w:r/>
      <w:bookmarkStart w:id="214" w:name="_Hlt26609389"/>
      <w:r/>
      <w:bookmarkStart w:id="215" w:name="_Hlt26955056"/>
      <w:r/>
      <w:bookmarkEnd w:id="199"/>
      <w:r/>
      <w:bookmarkEnd w:id="203"/>
      <w:r/>
      <w:bookmarkEnd w:id="189"/>
      <w:r/>
      <w:bookmarkEnd w:id="190"/>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黑体" w:hAnsi="黑体" w:eastAsia="黑体"/>
          <w:i/>
          <w:sz w:val="32"/>
          <w:szCs w:val="32"/>
          <w:u w:val="single"/>
        </w:rPr>
        <w:t xml:space="preserve">十、商务要求响应及偏离表</w:t>
      </w:r>
      <w:r/>
    </w:p>
    <w:p>
      <w:pPr>
        <w:jc w:val="center"/>
        <w:spacing w:line="360" w:lineRule="auto"/>
        <w:rPr>
          <w:rFonts w:ascii="黑体" w:eastAsia="黑体"/>
          <w:sz w:val="32"/>
          <w:szCs w:val="32"/>
        </w:rPr>
        <w:outlineLvl w:val="0"/>
      </w:pPr>
      <w:r>
        <w:rPr>
          <w:rFonts w:hint="eastAsia" w:ascii="黑体" w:eastAsia="黑体"/>
          <w:sz w:val="32"/>
          <w:szCs w:val="32"/>
        </w:rPr>
        <w:t xml:space="preserve">商务要求响应及偏离表</w:t>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128"/>
        <w:gridCol w:w="2832"/>
        <w:gridCol w:w="1641"/>
        <w:gridCol w:w="102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12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641"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c>
          <w:tcPr>
            <w:tcW w:w="102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128" w:type="dxa"/>
            <w:vAlign w:val="center"/>
            <w:textDirection w:val="lrTb"/>
            <w:noWrap w:val="false"/>
          </w:tcPr>
          <w:p>
            <w:pPr>
              <w:jc w:val="center"/>
              <w:rPr>
                <w:rFonts w:ascii="宋体" w:hAnsi="宋体"/>
                <w:sz w:val="24"/>
                <w:szCs w:val="24"/>
              </w:rPr>
            </w:pPr>
            <w:r>
              <w:rPr>
                <w:rFonts w:ascii="宋体" w:hAnsi="宋体"/>
                <w:sz w:val="24"/>
                <w:szCs w:val="24"/>
              </w:rPr>
              <w:t xml:space="preserve">商务要求（完全响应）</w:t>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1641" w:type="dxa"/>
            <w:textDirection w:val="lrTb"/>
            <w:noWrap w:val="false"/>
          </w:tcPr>
          <w:p>
            <w:pPr>
              <w:jc w:val="center"/>
              <w:rPr>
                <w:rFonts w:ascii="宋体" w:hAnsi="宋体"/>
                <w:sz w:val="24"/>
                <w:szCs w:val="24"/>
              </w:rPr>
            </w:pPr>
            <w:r>
              <w:rPr>
                <w:rFonts w:ascii="宋体" w:hAnsi="宋体"/>
                <w:sz w:val="24"/>
                <w:szCs w:val="24"/>
              </w:rPr>
            </w:r>
            <w:r/>
          </w:p>
        </w:tc>
        <w:tc>
          <w:tcPr>
            <w:tcW w:w="102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3128" w:type="dxa"/>
            <w:vAlign w:val="center"/>
            <w:textDirection w:val="lrTb"/>
            <w:noWrap w:val="false"/>
          </w:tcPr>
          <w:p>
            <w:pPr>
              <w:jc w:val="center"/>
              <w:rPr>
                <w:rFonts w:ascii="宋体" w:hAnsi="宋体" w:cs="宋体"/>
                <w:spacing w:val="-2"/>
                <w:lang w:val="zh-CN"/>
              </w:rPr>
            </w:pPr>
            <w:r>
              <w:rPr>
                <w:rFonts w:hint="eastAsia"/>
                <w:szCs w:val="21"/>
              </w:rPr>
              <w:t xml:space="preserve">制订</w:t>
            </w:r>
            <w:r>
              <w:rPr>
                <w:rFonts w:hint="eastAsia" w:ascii="宋体" w:hAnsi="宋体" w:cs="宋体"/>
                <w:spacing w:val="-2"/>
                <w:lang w:val="zh-CN"/>
              </w:rPr>
              <w:t xml:space="preserve">实施总体方案</w:t>
            </w:r>
            <w:r>
              <w:rPr>
                <w:rFonts w:hint="eastAsia"/>
                <w:szCs w:val="21"/>
              </w:rPr>
              <w:t xml:space="preserve">（完全响应）</w:t>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1641" w:type="dxa"/>
            <w:textDirection w:val="lrTb"/>
            <w:noWrap w:val="false"/>
          </w:tcPr>
          <w:p>
            <w:pPr>
              <w:jc w:val="center"/>
              <w:rPr>
                <w:rFonts w:ascii="宋体" w:hAnsi="宋体"/>
                <w:sz w:val="24"/>
                <w:szCs w:val="24"/>
              </w:rPr>
            </w:pPr>
            <w:r>
              <w:rPr>
                <w:rFonts w:ascii="宋体" w:hAnsi="宋体"/>
                <w:sz w:val="24"/>
                <w:szCs w:val="24"/>
              </w:rPr>
            </w:r>
            <w:r/>
          </w:p>
        </w:tc>
        <w:tc>
          <w:tcPr>
            <w:tcW w:w="102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3128" w:type="dxa"/>
            <w:vAlign w:val="center"/>
            <w:textDirection w:val="lrTb"/>
            <w:noWrap w:val="false"/>
          </w:tcPr>
          <w:p>
            <w:pPr>
              <w:jc w:val="center"/>
              <w:rPr>
                <w:rFonts w:ascii="宋体" w:hAnsi="宋体" w:cs="宋体"/>
                <w:spacing w:val="-2"/>
                <w:lang w:val="zh-CN"/>
              </w:rPr>
            </w:pPr>
            <w:r>
              <w:rPr>
                <w:rFonts w:hint="eastAsia"/>
                <w:szCs w:val="21"/>
              </w:rPr>
              <w:t xml:space="preserve">制订</w:t>
            </w:r>
            <w:r>
              <w:rPr>
                <w:rFonts w:hint="eastAsia" w:ascii="宋体" w:hAnsi="宋体" w:cs="宋体"/>
                <w:spacing w:val="-2"/>
                <w:lang w:val="zh-CN"/>
              </w:rPr>
              <w:t xml:space="preserve">供货现场平面和临时设施布置</w:t>
            </w:r>
            <w:r>
              <w:rPr>
                <w:rFonts w:hint="eastAsia"/>
                <w:szCs w:val="21"/>
              </w:rPr>
              <w:t xml:space="preserve">（完全响应）</w:t>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1641" w:type="dxa"/>
            <w:textDirection w:val="lrTb"/>
            <w:noWrap w:val="false"/>
          </w:tcPr>
          <w:p>
            <w:pPr>
              <w:jc w:val="center"/>
              <w:rPr>
                <w:rFonts w:ascii="宋体" w:hAnsi="宋体"/>
                <w:sz w:val="24"/>
                <w:szCs w:val="24"/>
              </w:rPr>
            </w:pPr>
            <w:r>
              <w:rPr>
                <w:rFonts w:ascii="宋体" w:hAnsi="宋体"/>
                <w:sz w:val="24"/>
                <w:szCs w:val="24"/>
              </w:rPr>
            </w:r>
            <w:r/>
          </w:p>
        </w:tc>
        <w:tc>
          <w:tcPr>
            <w:tcW w:w="102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W w:w="3128" w:type="dxa"/>
            <w:vAlign w:val="center"/>
            <w:textDirection w:val="lrTb"/>
            <w:noWrap w:val="false"/>
          </w:tcPr>
          <w:p>
            <w:pPr>
              <w:jc w:val="center"/>
              <w:rPr>
                <w:rFonts w:ascii="宋体" w:hAnsi="宋体" w:cs="宋体"/>
                <w:spacing w:val="-2"/>
                <w:lang w:val="zh-CN"/>
              </w:rPr>
            </w:pPr>
            <w:r>
              <w:rPr>
                <w:rFonts w:hint="eastAsia"/>
                <w:szCs w:val="21"/>
              </w:rPr>
              <w:t xml:space="preserve">制订</w:t>
            </w:r>
            <w:r>
              <w:rPr>
                <w:rFonts w:hint="eastAsia" w:ascii="宋体" w:hAnsi="宋体" w:cs="宋体"/>
                <w:spacing w:val="-2"/>
                <w:lang w:val="zh-CN"/>
              </w:rPr>
              <w:t xml:space="preserve">供货时间进度计划和保证措施</w:t>
            </w:r>
            <w:r>
              <w:rPr>
                <w:rFonts w:hint="eastAsia"/>
                <w:szCs w:val="21"/>
              </w:rPr>
              <w:t xml:space="preserve">（完全响应）</w:t>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1641" w:type="dxa"/>
            <w:textDirection w:val="lrTb"/>
            <w:noWrap w:val="false"/>
          </w:tcPr>
          <w:p>
            <w:pPr>
              <w:jc w:val="center"/>
              <w:rPr>
                <w:rFonts w:ascii="宋体" w:hAnsi="宋体"/>
                <w:sz w:val="24"/>
                <w:szCs w:val="24"/>
              </w:rPr>
            </w:pPr>
            <w:r>
              <w:rPr>
                <w:rFonts w:ascii="宋体" w:hAnsi="宋体"/>
                <w:sz w:val="24"/>
                <w:szCs w:val="24"/>
              </w:rPr>
            </w:r>
            <w:r/>
          </w:p>
        </w:tc>
        <w:tc>
          <w:tcPr>
            <w:tcW w:w="102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W w:w="3128" w:type="dxa"/>
            <w:vAlign w:val="center"/>
            <w:textDirection w:val="lrTb"/>
            <w:noWrap w:val="false"/>
          </w:tcPr>
          <w:p>
            <w:pPr>
              <w:jc w:val="center"/>
              <w:rPr>
                <w:rFonts w:ascii="宋体" w:hAnsi="宋体" w:cs="宋体"/>
                <w:spacing w:val="-2"/>
                <w:lang w:val="zh-CN"/>
              </w:rPr>
            </w:pPr>
            <w:r>
              <w:rPr>
                <w:rFonts w:hint="eastAsia"/>
                <w:szCs w:val="21"/>
              </w:rPr>
              <w:t xml:space="preserve">制订</w:t>
            </w:r>
            <w:r>
              <w:rPr>
                <w:rFonts w:hint="eastAsia" w:ascii="宋体" w:hAnsi="宋体" w:cs="宋体"/>
                <w:spacing w:val="-2"/>
                <w:lang w:val="zh-CN"/>
              </w:rPr>
              <w:t xml:space="preserve">供货及安装调试各阶段质量安全保证措施</w:t>
            </w:r>
            <w:r>
              <w:rPr>
                <w:rFonts w:hint="eastAsia"/>
                <w:szCs w:val="21"/>
              </w:rPr>
              <w:t xml:space="preserve">（完全响应）</w:t>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1641" w:type="dxa"/>
            <w:textDirection w:val="lrTb"/>
            <w:noWrap w:val="false"/>
          </w:tcPr>
          <w:p>
            <w:pPr>
              <w:jc w:val="center"/>
              <w:rPr>
                <w:rFonts w:ascii="宋体" w:hAnsi="宋体"/>
                <w:sz w:val="24"/>
                <w:szCs w:val="24"/>
              </w:rPr>
            </w:pPr>
            <w:r>
              <w:rPr>
                <w:rFonts w:ascii="宋体" w:hAnsi="宋体"/>
                <w:sz w:val="24"/>
                <w:szCs w:val="24"/>
              </w:rPr>
            </w:r>
            <w:r/>
          </w:p>
        </w:tc>
        <w:tc>
          <w:tcPr>
            <w:tcW w:w="102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W w:w="3128" w:type="dxa"/>
            <w:vAlign w:val="center"/>
            <w:textDirection w:val="lrTb"/>
            <w:noWrap w:val="false"/>
          </w:tcPr>
          <w:p>
            <w:pPr>
              <w:jc w:val="center"/>
              <w:rPr>
                <w:rFonts w:ascii="宋体" w:hAnsi="宋体" w:cs="宋体"/>
                <w:spacing w:val="-2"/>
                <w:lang w:val="zh-CN"/>
              </w:rPr>
            </w:pPr>
            <w:r>
              <w:rPr>
                <w:rFonts w:hint="eastAsia"/>
                <w:szCs w:val="21"/>
              </w:rPr>
              <w:t xml:space="preserve">制订</w:t>
            </w:r>
            <w:r>
              <w:rPr>
                <w:rFonts w:hint="eastAsia" w:ascii="宋体" w:hAnsi="宋体" w:cs="宋体"/>
                <w:spacing w:val="-2"/>
                <w:lang w:val="zh-CN"/>
              </w:rPr>
              <w:t xml:space="preserve">项目验收方案</w:t>
            </w:r>
            <w:r>
              <w:rPr>
                <w:rFonts w:hint="eastAsia"/>
                <w:szCs w:val="21"/>
              </w:rPr>
              <w:t xml:space="preserve">（完全响应）</w:t>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1641" w:type="dxa"/>
            <w:textDirection w:val="lrTb"/>
            <w:noWrap w:val="false"/>
          </w:tcPr>
          <w:p>
            <w:pPr>
              <w:jc w:val="center"/>
              <w:rPr>
                <w:rFonts w:ascii="宋体" w:hAnsi="宋体"/>
                <w:sz w:val="24"/>
                <w:szCs w:val="24"/>
              </w:rPr>
            </w:pPr>
            <w:r>
              <w:rPr>
                <w:rFonts w:ascii="宋体" w:hAnsi="宋体"/>
                <w:sz w:val="24"/>
                <w:szCs w:val="24"/>
              </w:rPr>
            </w:r>
            <w:r/>
          </w:p>
        </w:tc>
        <w:tc>
          <w:tcPr>
            <w:tcW w:w="102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W w:w="3128" w:type="dxa"/>
            <w:vAlign w:val="center"/>
            <w:textDirection w:val="lrTb"/>
            <w:noWrap w:val="false"/>
          </w:tcPr>
          <w:p>
            <w:pPr>
              <w:jc w:val="center"/>
              <w:rPr>
                <w:rFonts w:ascii="宋体" w:hAnsi="宋体" w:cs="宋体"/>
                <w:spacing w:val="-2"/>
                <w:lang w:val="zh-CN"/>
              </w:rPr>
            </w:pPr>
            <w:r>
              <w:rPr>
                <w:rFonts w:hint="eastAsia"/>
                <w:szCs w:val="21"/>
              </w:rPr>
              <w:t xml:space="preserve">制订</w:t>
            </w:r>
            <w:r>
              <w:rPr>
                <w:rFonts w:hint="eastAsia" w:ascii="宋体" w:hAnsi="宋体" w:cs="宋体"/>
                <w:spacing w:val="-2"/>
                <w:lang w:val="zh-CN"/>
              </w:rPr>
              <w:t xml:space="preserve">售后服务方案</w:t>
            </w:r>
            <w:r>
              <w:rPr>
                <w:rFonts w:hint="eastAsia"/>
                <w:szCs w:val="21"/>
              </w:rPr>
              <w:t xml:space="preserve">（完全响应）</w:t>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1641" w:type="dxa"/>
            <w:textDirection w:val="lrTb"/>
            <w:noWrap w:val="false"/>
          </w:tcPr>
          <w:p>
            <w:pPr>
              <w:jc w:val="center"/>
              <w:rPr>
                <w:rFonts w:ascii="宋体" w:hAnsi="宋体"/>
                <w:sz w:val="24"/>
                <w:szCs w:val="24"/>
              </w:rPr>
            </w:pPr>
            <w:r>
              <w:rPr>
                <w:rFonts w:ascii="宋体" w:hAnsi="宋体"/>
                <w:sz w:val="24"/>
                <w:szCs w:val="24"/>
              </w:rPr>
            </w:r>
            <w:r/>
          </w:p>
        </w:tc>
        <w:tc>
          <w:tcPr>
            <w:tcW w:w="102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W w:w="3128" w:type="dxa"/>
            <w:vAlign w:val="center"/>
            <w:textDirection w:val="lrTb"/>
            <w:noWrap w:val="false"/>
          </w:tcPr>
          <w:p>
            <w:pPr>
              <w:jc w:val="center"/>
              <w:spacing w:line="360" w:lineRule="auto"/>
              <w:rPr>
                <w:szCs w:val="21"/>
              </w:rPr>
            </w:pPr>
            <w:r>
              <w:rPr>
                <w:rFonts w:hint="eastAsia"/>
                <w:szCs w:val="21"/>
              </w:rPr>
              <w:t xml:space="preserve">付款条件（完全响应）</w:t>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1641" w:type="dxa"/>
            <w:textDirection w:val="lrTb"/>
            <w:noWrap w:val="false"/>
          </w:tcPr>
          <w:p>
            <w:pPr>
              <w:jc w:val="center"/>
              <w:rPr>
                <w:rFonts w:ascii="宋体" w:hAnsi="宋体"/>
                <w:sz w:val="24"/>
                <w:szCs w:val="24"/>
              </w:rPr>
            </w:pPr>
            <w:r>
              <w:rPr>
                <w:rFonts w:ascii="宋体" w:hAnsi="宋体"/>
                <w:sz w:val="24"/>
                <w:szCs w:val="24"/>
              </w:rPr>
            </w:r>
            <w:r/>
          </w:p>
        </w:tc>
        <w:tc>
          <w:tcPr>
            <w:tcW w:w="102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9</w:t>
            </w:r>
            <w:r/>
          </w:p>
        </w:tc>
        <w:tc>
          <w:tcPr>
            <w:tcW w:w="3128" w:type="dxa"/>
            <w:vAlign w:val="center"/>
            <w:textDirection w:val="lrTb"/>
            <w:noWrap w:val="false"/>
          </w:tcPr>
          <w:p>
            <w:pPr>
              <w:jc w:val="center"/>
              <w:spacing w:line="360" w:lineRule="auto"/>
              <w:rPr>
                <w:szCs w:val="21"/>
              </w:rPr>
            </w:pPr>
            <w:r>
              <w:rPr>
                <w:rFonts w:hint="eastAsia"/>
                <w:szCs w:val="21"/>
              </w:rPr>
              <w:t xml:space="preserve">交货时间地点（完全响应）</w:t>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1641" w:type="dxa"/>
            <w:textDirection w:val="lrTb"/>
            <w:noWrap w:val="false"/>
          </w:tcPr>
          <w:p>
            <w:pPr>
              <w:jc w:val="center"/>
              <w:rPr>
                <w:rFonts w:ascii="宋体" w:hAnsi="宋体"/>
                <w:sz w:val="24"/>
                <w:szCs w:val="24"/>
              </w:rPr>
            </w:pPr>
            <w:r>
              <w:rPr>
                <w:rFonts w:ascii="宋体" w:hAnsi="宋体"/>
                <w:sz w:val="24"/>
                <w:szCs w:val="24"/>
              </w:rPr>
            </w:r>
            <w:r/>
          </w:p>
        </w:tc>
        <w:tc>
          <w:tcPr>
            <w:tcW w:w="102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rPr>
                <w:rFonts w:ascii="宋体" w:hAnsi="宋体"/>
                <w:sz w:val="24"/>
                <w:szCs w:val="24"/>
              </w:rPr>
            </w:pPr>
            <w:r>
              <w:rPr>
                <w:rFonts w:ascii="宋体" w:hAnsi="宋体"/>
                <w:sz w:val="24"/>
                <w:szCs w:val="24"/>
              </w:rPr>
            </w:r>
            <w:r/>
          </w:p>
        </w:tc>
        <w:tc>
          <w:tcPr>
            <w:tcW w:w="3128" w:type="dxa"/>
            <w:vAlign w:val="center"/>
            <w:textDirection w:val="lrTb"/>
            <w:noWrap w:val="false"/>
          </w:tcPr>
          <w:p>
            <w:pPr>
              <w:jc w:val="center"/>
              <w:spacing w:line="360" w:lineRule="auto"/>
              <w:rPr>
                <w:szCs w:val="21"/>
              </w:rPr>
            </w:pPr>
            <w:r>
              <w:rPr>
                <w:rFonts w:hint="eastAsia"/>
                <w:szCs w:val="21"/>
              </w:rPr>
              <w:t xml:space="preserve">供应商认为其他需要响应的（自行添加）</w:t>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1641" w:type="dxa"/>
            <w:textDirection w:val="lrTb"/>
            <w:noWrap w:val="false"/>
          </w:tcPr>
          <w:p>
            <w:pPr>
              <w:jc w:val="center"/>
              <w:rPr>
                <w:rFonts w:ascii="宋体" w:hAnsi="宋体"/>
                <w:sz w:val="24"/>
                <w:szCs w:val="24"/>
              </w:rPr>
            </w:pPr>
            <w:r>
              <w:rPr>
                <w:rFonts w:ascii="宋体" w:hAnsi="宋体"/>
                <w:sz w:val="24"/>
                <w:szCs w:val="24"/>
              </w:rPr>
            </w:r>
            <w:r/>
          </w:p>
        </w:tc>
        <w:tc>
          <w:tcPr>
            <w:tcW w:w="102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pStyle w:val="803"/>
        <w:jc w:val="both"/>
        <w:spacing w:before="0" w:beforeAutospacing="0" w:after="0" w:afterAutospacing="0" w:line="480" w:lineRule="auto"/>
      </w:p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spacing w:line="360" w:lineRule="auto"/>
        <w:rPr>
          <w:rFonts w:ascii="宋体" w:hAnsi="宋体" w:cs="仿宋"/>
          <w:sz w:val="24"/>
          <w:szCs w:val="24"/>
        </w:rPr>
      </w:pPr>
      <w:r>
        <w:rPr>
          <w:rFonts w:hint="eastAsia" w:ascii="宋体" w:hAnsi="宋体" w:cs="仿宋"/>
          <w:sz w:val="24"/>
          <w:szCs w:val="24"/>
        </w:rPr>
        <w:t xml:space="preserve">1.供应商提出质疑时，应提交质疑函和必要的证明材料。</w:t>
      </w:r>
      <w:r/>
    </w:p>
    <w:p>
      <w:pPr>
        <w:spacing w:line="360" w:lineRule="auto"/>
        <w:rPr>
          <w:rFonts w:ascii="宋体" w:hAnsi="宋体" w:cs="仿宋"/>
          <w:sz w:val="24"/>
          <w:szCs w:val="24"/>
        </w:rPr>
      </w:pPr>
      <w:r>
        <w:rPr>
          <w:rFonts w:hint="eastAsia" w:ascii="宋体" w:hAnsi="宋体"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rFonts w:ascii="宋体" w:hAnsi="宋体" w:cs="仿宋"/>
          <w:sz w:val="24"/>
          <w:szCs w:val="24"/>
        </w:rPr>
      </w:pPr>
      <w:r>
        <w:rPr>
          <w:rFonts w:hint="eastAsia" w:ascii="宋体" w:hAnsi="宋体" w:cs="仿宋"/>
          <w:sz w:val="24"/>
          <w:szCs w:val="24"/>
        </w:rPr>
        <w:t xml:space="preserve">3.质疑供应商若对项目的某一分包进行质疑，质疑函中应列明具体分包号。</w:t>
      </w:r>
      <w:r/>
    </w:p>
    <w:p>
      <w:pPr>
        <w:spacing w:line="360" w:lineRule="auto"/>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spacing w:line="360" w:lineRule="auto"/>
        <w:rPr>
          <w:rFonts w:ascii="宋体" w:hAnsi="宋体" w:cs="仿宋"/>
          <w:sz w:val="24"/>
          <w:szCs w:val="24"/>
        </w:rPr>
      </w:pPr>
      <w:r>
        <w:rPr>
          <w:rFonts w:hint="eastAsia" w:ascii="宋体" w:hAnsi="宋体" w:cs="仿宋"/>
          <w:sz w:val="24"/>
          <w:szCs w:val="24"/>
        </w:rPr>
        <w:t xml:space="preserve">5.质疑函的质疑请求应与质疑事项相关。</w:t>
      </w:r>
      <w:r/>
    </w:p>
    <w:p>
      <w:pPr>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even" r:id="rId10"/>
      <w:footnotePr/>
      <w:endnotePr/>
      <w:type w:val="nextPage"/>
      <w:pgSz w:w="11906" w:h="16838" w:orient="portrait"/>
      <w:pgMar w:top="1418" w:right="136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howcard Gothic">
    <w:panose1 w:val="04020904020102020604"/>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33"/>
        <w:rFonts w:ascii="宋体" w:hAnsi="宋体"/>
      </w:rPr>
      <w:framePr w:wrap="around" w:vAnchor="text" w:hAnchor="margin" w:xAlign="center" w:y="1"/>
    </w:pPr>
    <w:r>
      <w:rPr>
        <w:rFonts w:ascii="宋体" w:hAnsi="宋体"/>
      </w:rPr>
      <w:fldChar w:fldCharType="begin"/>
    </w:r>
    <w:r>
      <w:rPr>
        <w:rStyle w:val="1033"/>
        <w:rFonts w:ascii="宋体" w:hAnsi="宋体"/>
      </w:rPr>
      <w:instrText xml:space="preserve">PAGE  </w:instrText>
    </w:r>
    <w:r>
      <w:rPr>
        <w:rFonts w:ascii="宋体" w:hAnsi="宋体"/>
      </w:rPr>
      <w:fldChar w:fldCharType="separate"/>
    </w:r>
    <w:r>
      <w:rPr>
        <w:rStyle w:val="1033"/>
        <w:rFonts w:ascii="宋体" w:hAnsi="宋体"/>
      </w:rPr>
      <w:t xml:space="preserve">78</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33"/>
      </w:rPr>
      <w:framePr w:wrap="around" w:vAnchor="text" w:hAnchor="margin" w:xAlign="center" w:y="1"/>
    </w:pPr>
    <w:r>
      <w:fldChar w:fldCharType="begin"/>
    </w:r>
    <w:r>
      <w:rPr>
        <w:rStyle w:val="1033"/>
      </w:rPr>
      <w:instrText xml:space="preserve">PAGE  </w:instrText>
    </w:r>
    <w:r>
      <w:fldChar w:fldCharType="separate"/>
    </w:r>
    <w:r>
      <w:rPr>
        <w:rStyle w:val="1033"/>
      </w:rPr>
      <w:t xml:space="preserve">1</w:t>
    </w:r>
    <w:r>
      <w:fldChar w:fldCharType="end"/>
    </w:r>
    <w:r/>
  </w:p>
  <w:p>
    <w:pPr>
      <w:pStyle w:val="1008"/>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0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7"/>
      <w:isLgl w:val="false"/>
      <w:suff w:val="nothing"/>
      <w:lvlText w:val=""/>
      <w:lvlJc w:val="left"/>
      <w:pPr>
        <w:ind w:left="0" w:firstLine="0"/>
      </w:pPr>
      <w:rPr>
        <w:rFonts w:hint="eastAsia"/>
      </w:rPr>
    </w:lvl>
    <w:lvl w:ilvl="6">
      <w:start w:val="1"/>
      <w:numFmt w:val="decimal"/>
      <w:pStyle w:val="979"/>
      <w:isLgl w:val="false"/>
      <w:suff w:val="nothing"/>
      <w:lvlText w:val=""/>
      <w:lvlJc w:val="left"/>
      <w:pPr>
        <w:ind w:left="0" w:firstLine="0"/>
      </w:pPr>
      <w:rPr>
        <w:rFonts w:hint="eastAsia"/>
      </w:rPr>
    </w:lvl>
    <w:lvl w:ilvl="7">
      <w:start w:val="1"/>
      <w:numFmt w:val="decimal"/>
      <w:pStyle w:val="981"/>
      <w:isLgl w:val="false"/>
      <w:suff w:val="nothing"/>
      <w:lvlText w:val=""/>
      <w:lvlJc w:val="left"/>
      <w:pPr>
        <w:ind w:left="0" w:firstLine="0"/>
      </w:pPr>
      <w:rPr>
        <w:rFonts w:hint="eastAsia"/>
      </w:rPr>
    </w:lvl>
    <w:lvl w:ilvl="8">
      <w:start w:val="1"/>
      <w:numFmt w:val="decimal"/>
      <w:pStyle w:val="983"/>
      <w:isLgl w:val="false"/>
      <w:suff w:val="nothing"/>
      <w:lvlText w:val=""/>
      <w:lvlJc w:val="left"/>
      <w:pPr>
        <w:ind w:left="0" w:firstLine="0"/>
      </w:pPr>
      <w:rPr>
        <w:rFonts w:hint="eastAsia"/>
      </w:rPr>
    </w:lvl>
  </w:abstractNum>
  <w:num w:numId="1">
    <w:abstractNumId w:val="7"/>
  </w:num>
  <w:num w:numId="2">
    <w:abstractNumId w:val="2"/>
  </w:num>
  <w:num w:numId="3">
    <w:abstractNumId w:val="3"/>
  </w:num>
  <w:num w:numId="4">
    <w:abstractNumId w:val="5"/>
  </w:num>
  <w:num w:numId="5">
    <w:abstractNumId w:val="1"/>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TOC Heading"/>
    <w:uiPriority w:val="39"/>
    <w:unhideWhenUsed/>
  </w:style>
  <w:style w:type="paragraph" w:styleId="695" w:default="1">
    <w:name w:val="Normal"/>
    <w:next w:val="708"/>
    <w:qFormat/>
    <w:pPr>
      <w:jc w:val="both"/>
      <w:widowControl w:val="off"/>
    </w:pPr>
    <w:rPr>
      <w:sz w:val="21"/>
      <w:szCs w:val="22"/>
    </w:rPr>
  </w:style>
  <w:style w:type="paragraph" w:styleId="696">
    <w:name w:val="Heading 1"/>
    <w:basedOn w:val="695"/>
    <w:next w:val="695"/>
    <w:link w:val="818"/>
    <w:uiPriority w:val="9"/>
    <w:qFormat/>
    <w:pPr>
      <w:keepLines/>
      <w:keepNext/>
      <w:spacing w:before="480" w:after="200"/>
      <w:outlineLvl w:val="0"/>
    </w:pPr>
    <w:rPr>
      <w:rFonts w:ascii="Arial" w:hAnsi="Arial" w:eastAsia="Arial"/>
      <w:sz w:val="40"/>
      <w:szCs w:val="40"/>
    </w:rPr>
  </w:style>
  <w:style w:type="paragraph" w:styleId="697">
    <w:name w:val="Heading 2"/>
    <w:basedOn w:val="695"/>
    <w:next w:val="695"/>
    <w:link w:val="819"/>
    <w:uiPriority w:val="9"/>
    <w:unhideWhenUsed/>
    <w:qFormat/>
    <w:pPr>
      <w:keepLines/>
      <w:keepNext/>
      <w:spacing w:before="360" w:after="200"/>
      <w:outlineLvl w:val="1"/>
    </w:pPr>
    <w:rPr>
      <w:rFonts w:ascii="Arial" w:hAnsi="Arial" w:eastAsia="Arial"/>
      <w:sz w:val="34"/>
      <w:szCs w:val="20"/>
    </w:rPr>
  </w:style>
  <w:style w:type="paragraph" w:styleId="698">
    <w:name w:val="Heading 3"/>
    <w:basedOn w:val="695"/>
    <w:next w:val="695"/>
    <w:link w:val="820"/>
    <w:uiPriority w:val="9"/>
    <w:unhideWhenUsed/>
    <w:qFormat/>
    <w:pPr>
      <w:keepLines/>
      <w:keepNext/>
      <w:spacing w:before="320" w:after="200"/>
      <w:outlineLvl w:val="2"/>
    </w:pPr>
    <w:rPr>
      <w:rFonts w:ascii="Arial" w:hAnsi="Arial" w:eastAsia="Arial"/>
      <w:sz w:val="30"/>
      <w:szCs w:val="30"/>
    </w:rPr>
  </w:style>
  <w:style w:type="paragraph" w:styleId="699">
    <w:name w:val="Heading 4"/>
    <w:basedOn w:val="695"/>
    <w:next w:val="695"/>
    <w:link w:val="821"/>
    <w:uiPriority w:val="9"/>
    <w:unhideWhenUsed/>
    <w:qFormat/>
    <w:pPr>
      <w:keepLines/>
      <w:keepNext/>
      <w:spacing w:before="320" w:after="200"/>
      <w:outlineLvl w:val="3"/>
    </w:pPr>
    <w:rPr>
      <w:rFonts w:ascii="Arial" w:hAnsi="Arial" w:eastAsia="Arial"/>
      <w:b/>
      <w:bCs/>
      <w:sz w:val="26"/>
      <w:szCs w:val="26"/>
    </w:rPr>
  </w:style>
  <w:style w:type="paragraph" w:styleId="700">
    <w:name w:val="Heading 5"/>
    <w:basedOn w:val="695"/>
    <w:next w:val="695"/>
    <w:link w:val="822"/>
    <w:uiPriority w:val="9"/>
    <w:unhideWhenUsed/>
    <w:qFormat/>
    <w:pPr>
      <w:keepLines/>
      <w:keepNext/>
      <w:spacing w:before="320" w:after="200"/>
      <w:outlineLvl w:val="4"/>
    </w:pPr>
    <w:rPr>
      <w:rFonts w:ascii="Arial" w:hAnsi="Arial" w:eastAsia="Arial"/>
      <w:b/>
      <w:bCs/>
      <w:sz w:val="24"/>
      <w:szCs w:val="24"/>
    </w:rPr>
  </w:style>
  <w:style w:type="paragraph" w:styleId="701">
    <w:name w:val="Heading 6"/>
    <w:basedOn w:val="695"/>
    <w:next w:val="695"/>
    <w:link w:val="823"/>
    <w:uiPriority w:val="9"/>
    <w:unhideWhenUsed/>
    <w:qFormat/>
    <w:pPr>
      <w:keepLines/>
      <w:keepNext/>
      <w:spacing w:before="320" w:after="200"/>
      <w:outlineLvl w:val="5"/>
    </w:pPr>
    <w:rPr>
      <w:rFonts w:ascii="Arial" w:hAnsi="Arial" w:eastAsia="Arial"/>
      <w:b/>
      <w:bCs/>
      <w:sz w:val="22"/>
    </w:rPr>
  </w:style>
  <w:style w:type="paragraph" w:styleId="702">
    <w:name w:val="Heading 7"/>
    <w:basedOn w:val="695"/>
    <w:next w:val="695"/>
    <w:link w:val="824"/>
    <w:uiPriority w:val="9"/>
    <w:unhideWhenUsed/>
    <w:qFormat/>
    <w:pPr>
      <w:keepLines/>
      <w:keepNext/>
      <w:spacing w:before="320" w:after="200"/>
      <w:outlineLvl w:val="6"/>
    </w:pPr>
    <w:rPr>
      <w:rFonts w:ascii="Arial" w:hAnsi="Arial" w:eastAsia="Arial"/>
      <w:b/>
      <w:bCs/>
      <w:i/>
      <w:iCs/>
      <w:sz w:val="22"/>
    </w:rPr>
  </w:style>
  <w:style w:type="paragraph" w:styleId="703">
    <w:name w:val="Heading 8"/>
    <w:basedOn w:val="695"/>
    <w:next w:val="695"/>
    <w:link w:val="825"/>
    <w:uiPriority w:val="9"/>
    <w:unhideWhenUsed/>
    <w:qFormat/>
    <w:pPr>
      <w:keepLines/>
      <w:keepNext/>
      <w:spacing w:before="320" w:after="200"/>
      <w:outlineLvl w:val="7"/>
    </w:pPr>
    <w:rPr>
      <w:rFonts w:ascii="Arial" w:hAnsi="Arial" w:eastAsia="Arial"/>
      <w:i/>
      <w:iCs/>
      <w:sz w:val="22"/>
    </w:rPr>
  </w:style>
  <w:style w:type="paragraph" w:styleId="704">
    <w:name w:val="Heading 9"/>
    <w:basedOn w:val="695"/>
    <w:next w:val="695"/>
    <w:link w:val="826"/>
    <w:uiPriority w:val="9"/>
    <w:unhideWhenUsed/>
    <w:qFormat/>
    <w:pPr>
      <w:keepLines/>
      <w:keepNext/>
      <w:spacing w:before="320" w:after="200"/>
      <w:outlineLvl w:val="8"/>
    </w:pPr>
    <w:rPr>
      <w:rFonts w:ascii="Arial" w:hAnsi="Arial" w:eastAsia="Arial"/>
      <w:i/>
      <w:iCs/>
      <w:szCs w:val="21"/>
    </w:rPr>
  </w:style>
  <w:style w:type="character" w:styleId="705" w:default="1">
    <w:name w:val="Default Paragraph Font"/>
    <w:uiPriority w:val="1"/>
    <w:semiHidden/>
    <w:unhideWhenUsed/>
  </w:style>
  <w:style w:type="table" w:styleId="706" w:default="1">
    <w:name w:val="Normal Table"/>
    <w:uiPriority w:val="99"/>
    <w:semiHidden/>
    <w:unhideWhenUsed/>
    <w:tblPr>
      <w:tblInd w:w="0" w:type="dxa"/>
      <w:tblCellMar>
        <w:left w:w="108" w:type="dxa"/>
        <w:top w:w="0" w:type="dxa"/>
        <w:right w:w="108" w:type="dxa"/>
        <w:bottom w:w="0" w:type="dxa"/>
      </w:tblCellMar>
    </w:tblPr>
  </w:style>
  <w:style w:type="numbering" w:styleId="707" w:default="1">
    <w:name w:val="No List"/>
    <w:uiPriority w:val="99"/>
    <w:semiHidden/>
    <w:unhideWhenUsed/>
  </w:style>
  <w:style w:type="paragraph" w:styleId="708" w:customStyle="1">
    <w:name w:val="索引 41"/>
    <w:basedOn w:val="695"/>
    <w:next w:val="695"/>
    <w:semiHidden/>
    <w:qFormat/>
    <w:rPr>
      <w:rFonts w:ascii="宋体" w:hAnsi="宋体" w:eastAsia="Calibri" w:cs="宋体"/>
      <w:color w:val="ff0000"/>
      <w:sz w:val="24"/>
      <w:lang w:val="zh-CN"/>
    </w:rPr>
  </w:style>
  <w:style w:type="paragraph" w:styleId="709">
    <w:name w:val="toc 7"/>
    <w:basedOn w:val="695"/>
    <w:next w:val="695"/>
    <w:uiPriority w:val="39"/>
    <w:unhideWhenUsed/>
    <w:qFormat/>
    <w:pPr>
      <w:ind w:left="1701"/>
      <w:spacing w:after="57"/>
    </w:pPr>
  </w:style>
  <w:style w:type="paragraph" w:styleId="710">
    <w:name w:val="Caption"/>
    <w:basedOn w:val="695"/>
    <w:next w:val="695"/>
    <w:uiPriority w:val="35"/>
    <w:semiHidden/>
    <w:unhideWhenUsed/>
    <w:qFormat/>
    <w:pPr>
      <w:spacing w:line="276" w:lineRule="auto"/>
    </w:pPr>
    <w:rPr>
      <w:b/>
      <w:bCs/>
      <w:color w:val="4f81bd" w:themeColor="accent1"/>
      <w:sz w:val="18"/>
      <w:szCs w:val="18"/>
    </w:rPr>
  </w:style>
  <w:style w:type="paragraph" w:styleId="711">
    <w:name w:val="annotation text"/>
    <w:basedOn w:val="695"/>
    <w:link w:val="1097"/>
    <w:uiPriority w:val="99"/>
    <w:semiHidden/>
    <w:unhideWhenUsed/>
    <w:pPr>
      <w:jc w:val="left"/>
    </w:pPr>
  </w:style>
  <w:style w:type="paragraph" w:styleId="712">
    <w:name w:val="Body Text"/>
    <w:basedOn w:val="695"/>
    <w:uiPriority w:val="1"/>
    <w:qFormat/>
    <w:pPr>
      <w:ind w:left="221"/>
      <w:jc w:val="left"/>
      <w:spacing w:before="158"/>
    </w:pPr>
    <w:rPr>
      <w:rFonts w:ascii="宋体" w:hAnsi="宋体" w:cs="宋体"/>
      <w:sz w:val="24"/>
      <w:szCs w:val="24"/>
    </w:rPr>
  </w:style>
  <w:style w:type="paragraph" w:styleId="713">
    <w:name w:val="toc 5"/>
    <w:basedOn w:val="695"/>
    <w:next w:val="695"/>
    <w:uiPriority w:val="39"/>
    <w:unhideWhenUsed/>
    <w:qFormat/>
    <w:pPr>
      <w:ind w:left="1134"/>
      <w:spacing w:after="57"/>
    </w:pPr>
  </w:style>
  <w:style w:type="paragraph" w:styleId="714">
    <w:name w:val="toc 3"/>
    <w:basedOn w:val="695"/>
    <w:next w:val="695"/>
    <w:uiPriority w:val="39"/>
    <w:unhideWhenUsed/>
    <w:qFormat/>
    <w:pPr>
      <w:ind w:left="567"/>
      <w:spacing w:after="57"/>
    </w:pPr>
  </w:style>
  <w:style w:type="paragraph" w:styleId="715">
    <w:name w:val="toc 8"/>
    <w:basedOn w:val="695"/>
    <w:next w:val="695"/>
    <w:uiPriority w:val="39"/>
    <w:unhideWhenUsed/>
    <w:qFormat/>
    <w:pPr>
      <w:ind w:left="1984"/>
      <w:spacing w:after="57"/>
    </w:pPr>
  </w:style>
  <w:style w:type="paragraph" w:styleId="716">
    <w:name w:val="endnote text"/>
    <w:basedOn w:val="695"/>
    <w:link w:val="779"/>
    <w:uiPriority w:val="99"/>
    <w:semiHidden/>
    <w:unhideWhenUsed/>
    <w:qFormat/>
    <w:rPr>
      <w:sz w:val="20"/>
    </w:rPr>
  </w:style>
  <w:style w:type="paragraph" w:styleId="717">
    <w:name w:val="Balloon Text"/>
    <w:basedOn w:val="695"/>
    <w:link w:val="1095"/>
    <w:uiPriority w:val="99"/>
    <w:semiHidden/>
    <w:unhideWhenUsed/>
    <w:rPr>
      <w:sz w:val="18"/>
      <w:szCs w:val="18"/>
    </w:rPr>
  </w:style>
  <w:style w:type="paragraph" w:styleId="718">
    <w:name w:val="Footer"/>
    <w:basedOn w:val="695"/>
    <w:uiPriority w:val="99"/>
    <w:unhideWhenUsed/>
    <w:qFormat/>
    <w:pPr>
      <w:tabs>
        <w:tab w:val="center" w:pos="7143" w:leader="none"/>
        <w:tab w:val="right" w:pos="14287" w:leader="none"/>
      </w:tabs>
    </w:pPr>
  </w:style>
  <w:style w:type="paragraph" w:styleId="719">
    <w:name w:val="Header"/>
    <w:basedOn w:val="695"/>
    <w:uiPriority w:val="99"/>
    <w:unhideWhenUsed/>
    <w:qFormat/>
    <w:pPr>
      <w:tabs>
        <w:tab w:val="center" w:pos="7143" w:leader="none"/>
        <w:tab w:val="right" w:pos="14287" w:leader="none"/>
      </w:tabs>
    </w:pPr>
  </w:style>
  <w:style w:type="paragraph" w:styleId="720">
    <w:name w:val="toc 1"/>
    <w:basedOn w:val="695"/>
    <w:next w:val="695"/>
    <w:uiPriority w:val="39"/>
    <w:unhideWhenUsed/>
    <w:qFormat/>
    <w:pPr>
      <w:spacing w:after="57"/>
    </w:pPr>
  </w:style>
  <w:style w:type="paragraph" w:styleId="721">
    <w:name w:val="toc 4"/>
    <w:basedOn w:val="695"/>
    <w:next w:val="695"/>
    <w:uiPriority w:val="39"/>
    <w:unhideWhenUsed/>
    <w:qFormat/>
    <w:pPr>
      <w:ind w:left="850"/>
      <w:spacing w:after="57"/>
    </w:pPr>
  </w:style>
  <w:style w:type="paragraph" w:styleId="722">
    <w:name w:val="Subtitle"/>
    <w:basedOn w:val="695"/>
    <w:next w:val="695"/>
    <w:link w:val="773"/>
    <w:uiPriority w:val="11"/>
    <w:qFormat/>
    <w:pPr>
      <w:spacing w:before="200" w:after="200"/>
    </w:pPr>
    <w:rPr>
      <w:sz w:val="24"/>
      <w:szCs w:val="24"/>
    </w:rPr>
  </w:style>
  <w:style w:type="paragraph" w:styleId="723">
    <w:name w:val="footnote text"/>
    <w:basedOn w:val="695"/>
    <w:link w:val="778"/>
    <w:uiPriority w:val="99"/>
    <w:semiHidden/>
    <w:unhideWhenUsed/>
    <w:qFormat/>
    <w:pPr>
      <w:spacing w:after="40"/>
    </w:pPr>
    <w:rPr>
      <w:sz w:val="18"/>
    </w:rPr>
  </w:style>
  <w:style w:type="paragraph" w:styleId="724">
    <w:name w:val="toc 6"/>
    <w:basedOn w:val="695"/>
    <w:next w:val="695"/>
    <w:uiPriority w:val="39"/>
    <w:unhideWhenUsed/>
    <w:qFormat/>
    <w:pPr>
      <w:ind w:left="1417"/>
      <w:spacing w:after="57"/>
    </w:pPr>
  </w:style>
  <w:style w:type="paragraph" w:styleId="725">
    <w:name w:val="table of figures"/>
    <w:basedOn w:val="695"/>
    <w:next w:val="695"/>
    <w:uiPriority w:val="99"/>
    <w:unhideWhenUsed/>
    <w:qFormat/>
  </w:style>
  <w:style w:type="paragraph" w:styleId="726">
    <w:name w:val="toc 2"/>
    <w:basedOn w:val="695"/>
    <w:next w:val="695"/>
    <w:uiPriority w:val="39"/>
    <w:unhideWhenUsed/>
    <w:qFormat/>
    <w:pPr>
      <w:ind w:left="283"/>
      <w:spacing w:after="57"/>
    </w:pPr>
  </w:style>
  <w:style w:type="paragraph" w:styleId="727">
    <w:name w:val="toc 9"/>
    <w:basedOn w:val="695"/>
    <w:next w:val="695"/>
    <w:uiPriority w:val="39"/>
    <w:unhideWhenUsed/>
    <w:qFormat/>
    <w:pPr>
      <w:ind w:left="2268"/>
      <w:spacing w:after="57"/>
    </w:pPr>
  </w:style>
  <w:style w:type="paragraph" w:styleId="728">
    <w:name w:val="Title"/>
    <w:basedOn w:val="695"/>
    <w:next w:val="695"/>
    <w:link w:val="772"/>
    <w:uiPriority w:val="10"/>
    <w:qFormat/>
    <w:pPr>
      <w:contextualSpacing/>
      <w:spacing w:before="300" w:after="200"/>
    </w:pPr>
    <w:rPr>
      <w:sz w:val="48"/>
      <w:szCs w:val="48"/>
    </w:rPr>
  </w:style>
  <w:style w:type="paragraph" w:styleId="729">
    <w:name w:val="annotation subject"/>
    <w:basedOn w:val="711"/>
    <w:next w:val="711"/>
    <w:link w:val="1098"/>
    <w:uiPriority w:val="99"/>
    <w:semiHidden/>
    <w:unhideWhenUsed/>
    <w:rPr>
      <w:b/>
      <w:bCs/>
    </w:rPr>
  </w:style>
  <w:style w:type="table" w:styleId="7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rPr>
  </w:style>
  <w:style w:type="character" w:styleId="733">
    <w:name w:val="annotation reference"/>
    <w:basedOn w:val="705"/>
    <w:uiPriority w:val="99"/>
    <w:semiHidden/>
    <w:unhideWhenUsed/>
    <w:rPr>
      <w:sz w:val="21"/>
      <w:szCs w:val="21"/>
    </w:rPr>
  </w:style>
  <w:style w:type="character" w:styleId="734">
    <w:name w:val="footnote reference"/>
    <w:uiPriority w:val="99"/>
    <w:unhideWhenUsed/>
    <w:qFormat/>
    <w:rPr>
      <w:vertAlign w:val="superscript"/>
    </w:rPr>
  </w:style>
  <w:style w:type="character" w:styleId="735" w:customStyle="1">
    <w:name w:val="Heading 1 Char"/>
    <w:basedOn w:val="705"/>
    <w:uiPriority w:val="9"/>
    <w:rPr>
      <w:rFonts w:ascii="Arial" w:hAnsi="Arial" w:eastAsia="Arial" w:cs="Arial"/>
      <w:sz w:val="40"/>
      <w:szCs w:val="40"/>
    </w:rPr>
  </w:style>
  <w:style w:type="character" w:styleId="736" w:customStyle="1">
    <w:name w:val="Heading 2 Char"/>
    <w:basedOn w:val="705"/>
    <w:uiPriority w:val="9"/>
    <w:rPr>
      <w:rFonts w:ascii="Arial" w:hAnsi="Arial" w:eastAsia="Arial" w:cs="Arial"/>
      <w:sz w:val="34"/>
    </w:rPr>
  </w:style>
  <w:style w:type="character" w:styleId="737" w:customStyle="1">
    <w:name w:val="Heading 3 Char"/>
    <w:basedOn w:val="705"/>
    <w:uiPriority w:val="9"/>
    <w:qFormat/>
    <w:rPr>
      <w:rFonts w:ascii="Arial" w:hAnsi="Arial" w:eastAsia="Arial" w:cs="Arial"/>
      <w:sz w:val="30"/>
      <w:szCs w:val="30"/>
    </w:rPr>
  </w:style>
  <w:style w:type="character" w:styleId="738" w:customStyle="1">
    <w:name w:val="Heading 4 Char"/>
    <w:basedOn w:val="705"/>
    <w:uiPriority w:val="9"/>
    <w:rPr>
      <w:rFonts w:ascii="Arial" w:hAnsi="Arial" w:eastAsia="Arial" w:cs="Arial"/>
      <w:b/>
      <w:bCs/>
      <w:sz w:val="26"/>
      <w:szCs w:val="26"/>
    </w:rPr>
  </w:style>
  <w:style w:type="character" w:styleId="739" w:customStyle="1">
    <w:name w:val="Heading 5 Char"/>
    <w:basedOn w:val="705"/>
    <w:uiPriority w:val="9"/>
    <w:qFormat/>
    <w:rPr>
      <w:rFonts w:ascii="Arial" w:hAnsi="Arial" w:eastAsia="Arial" w:cs="Arial"/>
      <w:b/>
      <w:bCs/>
      <w:sz w:val="24"/>
      <w:szCs w:val="24"/>
    </w:rPr>
  </w:style>
  <w:style w:type="character" w:styleId="740" w:customStyle="1">
    <w:name w:val="Heading 6 Char"/>
    <w:basedOn w:val="705"/>
    <w:uiPriority w:val="9"/>
    <w:rPr>
      <w:rFonts w:ascii="Arial" w:hAnsi="Arial" w:eastAsia="Arial" w:cs="Arial"/>
      <w:b/>
      <w:bCs/>
      <w:sz w:val="22"/>
      <w:szCs w:val="22"/>
    </w:rPr>
  </w:style>
  <w:style w:type="character" w:styleId="741" w:customStyle="1">
    <w:name w:val="Heading 7 Char"/>
    <w:basedOn w:val="705"/>
    <w:uiPriority w:val="9"/>
    <w:rPr>
      <w:rFonts w:ascii="Arial" w:hAnsi="Arial" w:eastAsia="Arial" w:cs="Arial"/>
      <w:b/>
      <w:bCs/>
      <w:i/>
      <w:iCs/>
      <w:sz w:val="22"/>
      <w:szCs w:val="22"/>
    </w:rPr>
  </w:style>
  <w:style w:type="character" w:styleId="742" w:customStyle="1">
    <w:name w:val="Heading 8 Char"/>
    <w:basedOn w:val="705"/>
    <w:uiPriority w:val="9"/>
    <w:rPr>
      <w:rFonts w:ascii="Arial" w:hAnsi="Arial" w:eastAsia="Arial" w:cs="Arial"/>
      <w:i/>
      <w:iCs/>
      <w:sz w:val="22"/>
      <w:szCs w:val="22"/>
    </w:rPr>
  </w:style>
  <w:style w:type="character" w:styleId="743" w:customStyle="1">
    <w:name w:val="Heading 9 Char"/>
    <w:basedOn w:val="705"/>
    <w:uiPriority w:val="9"/>
    <w:rPr>
      <w:rFonts w:ascii="Arial" w:hAnsi="Arial" w:eastAsia="Arial" w:cs="Arial"/>
      <w:i/>
      <w:iCs/>
      <w:sz w:val="21"/>
      <w:szCs w:val="21"/>
    </w:rPr>
  </w:style>
  <w:style w:type="character" w:styleId="744" w:customStyle="1">
    <w:name w:val="Title Char"/>
    <w:basedOn w:val="705"/>
    <w:uiPriority w:val="10"/>
    <w:rPr>
      <w:sz w:val="48"/>
      <w:szCs w:val="48"/>
    </w:rPr>
  </w:style>
  <w:style w:type="character" w:styleId="745" w:customStyle="1">
    <w:name w:val="Subtitle Char"/>
    <w:basedOn w:val="705"/>
    <w:uiPriority w:val="11"/>
    <w:qFormat/>
    <w:rPr>
      <w:sz w:val="24"/>
      <w:szCs w:val="24"/>
    </w:rPr>
  </w:style>
  <w:style w:type="character" w:styleId="746" w:customStyle="1">
    <w:name w:val="Quote Char"/>
    <w:uiPriority w:val="29"/>
    <w:rPr>
      <w:i/>
    </w:rPr>
  </w:style>
  <w:style w:type="character" w:styleId="747" w:customStyle="1">
    <w:name w:val="Intense Quote Char"/>
    <w:uiPriority w:val="30"/>
    <w:rPr>
      <w:i/>
    </w:rPr>
  </w:style>
  <w:style w:type="table" w:styleId="748" w:customStyle="1">
    <w:name w:val="Plain Table 1"/>
    <w:basedOn w:val="706"/>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706"/>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70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70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70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706"/>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70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5" w:customStyle="1">
    <w:name w:val="Grid Table 3"/>
    <w:basedOn w:val="706"/>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706"/>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5 Dark"/>
    <w:basedOn w:val="70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6 Colorful"/>
    <w:basedOn w:val="706"/>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59" w:customStyle="1">
    <w:name w:val="Grid Table 7 Colorful"/>
    <w:basedOn w:val="706"/>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0" w:customStyle="1">
    <w:name w:val="List Table 1 Light"/>
    <w:basedOn w:val="706"/>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2"/>
    <w:basedOn w:val="706"/>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2" w:customStyle="1">
    <w:name w:val="List Table 3"/>
    <w:basedOn w:val="706"/>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w:basedOn w:val="70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5 Dark"/>
    <w:basedOn w:val="706"/>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5" w:customStyle="1">
    <w:name w:val="List Table 6 Colorful"/>
    <w:basedOn w:val="706"/>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6" w:customStyle="1">
    <w:name w:val="List Table 7 Colorful"/>
    <w:basedOn w:val="706"/>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7" w:customStyle="1">
    <w:name w:val="Footnote Text Char"/>
    <w:uiPriority w:val="99"/>
    <w:qFormat/>
    <w:rPr>
      <w:sz w:val="18"/>
    </w:rPr>
  </w:style>
  <w:style w:type="character" w:styleId="768" w:customStyle="1">
    <w:name w:val="Endnote Text Char"/>
    <w:uiPriority w:val="99"/>
    <w:rPr>
      <w:sz w:val="20"/>
    </w:rPr>
  </w:style>
  <w:style w:type="paragraph" w:styleId="769" w:customStyle="1">
    <w:name w:val="TOC 标题1"/>
    <w:uiPriority w:val="39"/>
    <w:unhideWhenUsed/>
  </w:style>
  <w:style w:type="paragraph" w:styleId="770">
    <w:name w:val="List Paragraph"/>
    <w:basedOn w:val="695"/>
    <w:uiPriority w:val="34"/>
    <w:qFormat/>
    <w:pPr>
      <w:contextualSpacing/>
      <w:ind w:left="720"/>
    </w:pPr>
  </w:style>
  <w:style w:type="paragraph" w:styleId="771">
    <w:name w:val="No Spacing"/>
    <w:uiPriority w:val="1"/>
    <w:qFormat/>
  </w:style>
  <w:style w:type="character" w:styleId="772" w:customStyle="1">
    <w:name w:val="标题 Char1"/>
    <w:link w:val="728"/>
    <w:uiPriority w:val="10"/>
    <w:qFormat/>
    <w:rPr>
      <w:sz w:val="48"/>
      <w:szCs w:val="48"/>
    </w:rPr>
  </w:style>
  <w:style w:type="character" w:styleId="773" w:customStyle="1">
    <w:name w:val="副标题 Char1"/>
    <w:link w:val="722"/>
    <w:uiPriority w:val="11"/>
    <w:qFormat/>
    <w:rPr>
      <w:sz w:val="24"/>
      <w:szCs w:val="24"/>
    </w:rPr>
  </w:style>
  <w:style w:type="paragraph" w:styleId="774">
    <w:name w:val="Quote"/>
    <w:basedOn w:val="695"/>
    <w:next w:val="695"/>
    <w:link w:val="775"/>
    <w:uiPriority w:val="29"/>
    <w:qFormat/>
    <w:pPr>
      <w:ind w:left="720" w:right="720"/>
    </w:pPr>
    <w:rPr>
      <w:i/>
    </w:rPr>
  </w:style>
  <w:style w:type="character" w:styleId="775" w:customStyle="1">
    <w:name w:val="引用 Char1"/>
    <w:link w:val="774"/>
    <w:uiPriority w:val="29"/>
    <w:qFormat/>
    <w:rPr>
      <w:i/>
    </w:rPr>
  </w:style>
  <w:style w:type="paragraph" w:styleId="776">
    <w:name w:val="Intense Quote"/>
    <w:basedOn w:val="695"/>
    <w:next w:val="695"/>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Char1"/>
    <w:link w:val="776"/>
    <w:uiPriority w:val="30"/>
    <w:qFormat/>
    <w:rPr>
      <w:i/>
    </w:rPr>
  </w:style>
  <w:style w:type="character" w:styleId="778" w:customStyle="1">
    <w:name w:val="脚注文本 Char1"/>
    <w:link w:val="723"/>
    <w:uiPriority w:val="99"/>
    <w:qFormat/>
    <w:rPr>
      <w:sz w:val="18"/>
    </w:rPr>
  </w:style>
  <w:style w:type="character" w:styleId="779" w:customStyle="1">
    <w:name w:val="尾注文本 Char1"/>
    <w:link w:val="716"/>
    <w:uiPriority w:val="99"/>
    <w:qFormat/>
    <w:rPr>
      <w:sz w:val="20"/>
    </w:rPr>
  </w:style>
  <w:style w:type="paragraph" w:styleId="780" w:customStyle="1">
    <w:name w:val="TOC 标题1"/>
    <w:uiPriority w:val="39"/>
    <w:unhideWhenUsed/>
    <w:qFormat/>
  </w:style>
  <w:style w:type="character" w:styleId="781" w:customStyle="1">
    <w:name w:val="默认段落字体11"/>
    <w:uiPriority w:val="1"/>
    <w:unhideWhenUsed/>
    <w:qFormat/>
  </w:style>
  <w:style w:type="table" w:styleId="782" w:customStyle="1">
    <w:name w:val="普通表格11"/>
    <w:uiPriority w:val="99"/>
    <w:unhideWhenUsed/>
    <w:qFormat/>
    <w:tblPr>
      <w:tblCellMar>
        <w:left w:w="0" w:type="dxa"/>
        <w:top w:w="0" w:type="dxa"/>
        <w:right w:w="0" w:type="dxa"/>
        <w:bottom w:w="0" w:type="dxa"/>
      </w:tblCellMar>
    </w:tblPr>
  </w:style>
  <w:style w:type="paragraph" w:styleId="783" w:customStyle="1">
    <w:name w:val="目录 711"/>
    <w:basedOn w:val="695"/>
    <w:next w:val="695"/>
    <w:uiPriority w:val="39"/>
    <w:unhideWhenUsed/>
    <w:qFormat/>
    <w:pPr>
      <w:ind w:left="1701"/>
      <w:spacing w:after="57"/>
    </w:pPr>
  </w:style>
  <w:style w:type="paragraph" w:styleId="784" w:customStyle="1">
    <w:name w:val="批注文字11"/>
    <w:basedOn w:val="695"/>
    <w:link w:val="785"/>
    <w:uiPriority w:val="99"/>
    <w:unhideWhenUsed/>
    <w:qFormat/>
    <w:pPr>
      <w:jc w:val="left"/>
    </w:pPr>
  </w:style>
  <w:style w:type="character" w:styleId="785" w:customStyle="1">
    <w:name w:val="批注文字 Char"/>
    <w:basedOn w:val="781"/>
    <w:link w:val="784"/>
    <w:uiPriority w:val="99"/>
    <w:qFormat/>
    <w:rPr>
      <w:sz w:val="21"/>
      <w:szCs w:val="22"/>
    </w:rPr>
  </w:style>
  <w:style w:type="paragraph" w:styleId="786" w:customStyle="1">
    <w:name w:val="目录 511"/>
    <w:basedOn w:val="695"/>
    <w:next w:val="695"/>
    <w:uiPriority w:val="39"/>
    <w:unhideWhenUsed/>
    <w:qFormat/>
    <w:pPr>
      <w:ind w:left="1134"/>
      <w:spacing w:after="57"/>
    </w:pPr>
  </w:style>
  <w:style w:type="paragraph" w:styleId="787" w:customStyle="1">
    <w:name w:val="目录 311"/>
    <w:basedOn w:val="695"/>
    <w:next w:val="695"/>
    <w:uiPriority w:val="39"/>
    <w:unhideWhenUsed/>
    <w:qFormat/>
    <w:pPr>
      <w:ind w:left="567"/>
      <w:spacing w:after="57"/>
    </w:pPr>
  </w:style>
  <w:style w:type="paragraph" w:styleId="788" w:customStyle="1">
    <w:name w:val="目录 811"/>
    <w:basedOn w:val="695"/>
    <w:next w:val="695"/>
    <w:uiPriority w:val="39"/>
    <w:unhideWhenUsed/>
    <w:qFormat/>
    <w:pPr>
      <w:ind w:left="1984"/>
      <w:spacing w:after="57"/>
    </w:pPr>
  </w:style>
  <w:style w:type="paragraph" w:styleId="789" w:customStyle="1">
    <w:name w:val="尾注文本1"/>
    <w:basedOn w:val="695"/>
    <w:link w:val="790"/>
    <w:uiPriority w:val="99"/>
    <w:unhideWhenUsed/>
    <w:qFormat/>
    <w:rPr>
      <w:sz w:val="20"/>
      <w:szCs w:val="20"/>
    </w:rPr>
  </w:style>
  <w:style w:type="character" w:styleId="790" w:customStyle="1">
    <w:name w:val="尾注文本 Char"/>
    <w:link w:val="789"/>
    <w:uiPriority w:val="99"/>
    <w:qFormat/>
    <w:rPr>
      <w:sz w:val="20"/>
    </w:rPr>
  </w:style>
  <w:style w:type="paragraph" w:styleId="791" w:customStyle="1">
    <w:name w:val="批注框文本11"/>
    <w:basedOn w:val="695"/>
    <w:link w:val="792"/>
    <w:uiPriority w:val="99"/>
    <w:unhideWhenUsed/>
    <w:qFormat/>
    <w:rPr>
      <w:sz w:val="18"/>
      <w:szCs w:val="18"/>
    </w:rPr>
  </w:style>
  <w:style w:type="character" w:styleId="792" w:customStyle="1">
    <w:name w:val="批注框文本 Char"/>
    <w:basedOn w:val="781"/>
    <w:link w:val="791"/>
    <w:uiPriority w:val="99"/>
    <w:semiHidden/>
    <w:qFormat/>
    <w:rPr>
      <w:sz w:val="18"/>
      <w:szCs w:val="18"/>
    </w:rPr>
  </w:style>
  <w:style w:type="paragraph" w:styleId="793" w:customStyle="1">
    <w:name w:val="目录 111"/>
    <w:basedOn w:val="695"/>
    <w:next w:val="695"/>
    <w:uiPriority w:val="39"/>
    <w:unhideWhenUsed/>
    <w:qFormat/>
    <w:pPr>
      <w:spacing w:after="57"/>
    </w:pPr>
  </w:style>
  <w:style w:type="paragraph" w:styleId="794" w:customStyle="1">
    <w:name w:val="目录 411"/>
    <w:basedOn w:val="695"/>
    <w:next w:val="695"/>
    <w:uiPriority w:val="39"/>
    <w:unhideWhenUsed/>
    <w:qFormat/>
    <w:pPr>
      <w:ind w:left="850"/>
      <w:spacing w:after="57"/>
    </w:pPr>
  </w:style>
  <w:style w:type="paragraph" w:styleId="795" w:customStyle="1">
    <w:name w:val="副标题1"/>
    <w:basedOn w:val="695"/>
    <w:next w:val="695"/>
    <w:link w:val="796"/>
    <w:uiPriority w:val="11"/>
    <w:qFormat/>
    <w:pPr>
      <w:spacing w:before="200" w:after="200"/>
    </w:pPr>
    <w:rPr>
      <w:sz w:val="24"/>
      <w:szCs w:val="24"/>
    </w:rPr>
  </w:style>
  <w:style w:type="character" w:styleId="796" w:customStyle="1">
    <w:name w:val="副标题 Char"/>
    <w:link w:val="795"/>
    <w:uiPriority w:val="11"/>
    <w:qFormat/>
    <w:rPr>
      <w:sz w:val="24"/>
      <w:szCs w:val="24"/>
    </w:rPr>
  </w:style>
  <w:style w:type="paragraph" w:styleId="797" w:customStyle="1">
    <w:name w:val="脚注文本1"/>
    <w:basedOn w:val="695"/>
    <w:link w:val="798"/>
    <w:uiPriority w:val="99"/>
    <w:unhideWhenUsed/>
    <w:qFormat/>
    <w:pPr>
      <w:spacing w:after="40"/>
    </w:pPr>
    <w:rPr>
      <w:sz w:val="18"/>
      <w:szCs w:val="20"/>
    </w:rPr>
  </w:style>
  <w:style w:type="character" w:styleId="798" w:customStyle="1">
    <w:name w:val="脚注文本 Char"/>
    <w:link w:val="797"/>
    <w:uiPriority w:val="99"/>
    <w:qFormat/>
    <w:rPr>
      <w:sz w:val="18"/>
    </w:rPr>
  </w:style>
  <w:style w:type="paragraph" w:styleId="799" w:customStyle="1">
    <w:name w:val="目录 611"/>
    <w:basedOn w:val="695"/>
    <w:next w:val="695"/>
    <w:uiPriority w:val="39"/>
    <w:unhideWhenUsed/>
    <w:qFormat/>
    <w:pPr>
      <w:ind w:left="1417"/>
      <w:spacing w:after="57"/>
    </w:pPr>
  </w:style>
  <w:style w:type="paragraph" w:styleId="800" w:customStyle="1">
    <w:name w:val="图表目录11"/>
    <w:basedOn w:val="695"/>
    <w:next w:val="695"/>
    <w:uiPriority w:val="99"/>
    <w:unhideWhenUsed/>
    <w:qFormat/>
  </w:style>
  <w:style w:type="paragraph" w:styleId="801" w:customStyle="1">
    <w:name w:val="目录 211"/>
    <w:basedOn w:val="695"/>
    <w:next w:val="695"/>
    <w:uiPriority w:val="39"/>
    <w:unhideWhenUsed/>
    <w:qFormat/>
    <w:pPr>
      <w:ind w:left="283"/>
      <w:spacing w:after="57"/>
    </w:pPr>
  </w:style>
  <w:style w:type="paragraph" w:styleId="802" w:customStyle="1">
    <w:name w:val="目录 911"/>
    <w:basedOn w:val="695"/>
    <w:next w:val="695"/>
    <w:uiPriority w:val="39"/>
    <w:unhideWhenUsed/>
    <w:qFormat/>
    <w:pPr>
      <w:ind w:left="2268"/>
      <w:spacing w:after="57"/>
    </w:pPr>
  </w:style>
  <w:style w:type="paragraph" w:styleId="803" w:customStyle="1">
    <w:name w:val="普通(网站)11"/>
    <w:basedOn w:val="695"/>
    <w:qFormat/>
    <w:pPr>
      <w:jc w:val="left"/>
      <w:spacing w:before="100" w:beforeAutospacing="1" w:after="100" w:afterAutospacing="1"/>
    </w:pPr>
    <w:rPr>
      <w:sz w:val="24"/>
    </w:rPr>
  </w:style>
  <w:style w:type="paragraph" w:styleId="804" w:customStyle="1">
    <w:name w:val="标题11"/>
    <w:basedOn w:val="695"/>
    <w:next w:val="695"/>
    <w:link w:val="805"/>
    <w:uiPriority w:val="10"/>
    <w:qFormat/>
    <w:pPr>
      <w:contextualSpacing/>
      <w:spacing w:before="300" w:after="200"/>
    </w:pPr>
    <w:rPr>
      <w:sz w:val="48"/>
      <w:szCs w:val="48"/>
    </w:rPr>
  </w:style>
  <w:style w:type="character" w:styleId="805" w:customStyle="1">
    <w:name w:val="标题 Char"/>
    <w:link w:val="804"/>
    <w:uiPriority w:val="10"/>
    <w:qFormat/>
    <w:rPr>
      <w:sz w:val="48"/>
      <w:szCs w:val="48"/>
    </w:rPr>
  </w:style>
  <w:style w:type="paragraph" w:styleId="806" w:customStyle="1">
    <w:name w:val="批注主题11"/>
    <w:basedOn w:val="784"/>
    <w:next w:val="784"/>
    <w:link w:val="807"/>
    <w:uiPriority w:val="99"/>
    <w:unhideWhenUsed/>
    <w:qFormat/>
    <w:rPr>
      <w:b/>
      <w:bCs/>
    </w:rPr>
  </w:style>
  <w:style w:type="character" w:styleId="807" w:customStyle="1">
    <w:name w:val="批注主题 Char"/>
    <w:basedOn w:val="785"/>
    <w:link w:val="806"/>
    <w:qFormat/>
    <w:rPr>
      <w:sz w:val="21"/>
      <w:szCs w:val="22"/>
    </w:rPr>
  </w:style>
  <w:style w:type="table" w:styleId="808" w:customStyle="1">
    <w:name w:val="网格型11"/>
    <w:uiPriority w:val="59"/>
    <w:qFormat/>
    <w:tblPr>
      <w:tblCellMar>
        <w:left w:w="0" w:type="dxa"/>
        <w:top w:w="0" w:type="dxa"/>
        <w:right w:w="0" w:type="dxa"/>
        <w:bottom w:w="0" w:type="dxa"/>
      </w:tblCellMar>
    </w:tblPr>
  </w:style>
  <w:style w:type="character" w:styleId="809" w:customStyle="1">
    <w:name w:val="尾注引用1"/>
    <w:uiPriority w:val="99"/>
    <w:unhideWhenUsed/>
    <w:qFormat/>
    <w:rPr>
      <w:vertAlign w:val="superscript"/>
    </w:rPr>
  </w:style>
  <w:style w:type="character" w:styleId="810" w:customStyle="1">
    <w:name w:val="强调1"/>
    <w:basedOn w:val="781"/>
    <w:uiPriority w:val="20"/>
    <w:qFormat/>
    <w:rPr>
      <w:color w:val="f73131"/>
    </w:rPr>
  </w:style>
  <w:style w:type="character" w:styleId="811" w:customStyle="1">
    <w:name w:val="超链接11"/>
    <w:basedOn w:val="781"/>
    <w:uiPriority w:val="99"/>
    <w:unhideWhenUsed/>
    <w:qFormat/>
    <w:rPr>
      <w:color w:val="2440b3"/>
      <w:u w:val="none"/>
    </w:rPr>
  </w:style>
  <w:style w:type="character" w:styleId="812" w:customStyle="1">
    <w:name w:val="批注引用11"/>
    <w:qFormat/>
    <w:rPr>
      <w:sz w:val="21"/>
      <w:szCs w:val="21"/>
    </w:rPr>
  </w:style>
  <w:style w:type="character" w:styleId="813" w:customStyle="1">
    <w:name w:val="HTML 引文1"/>
    <w:basedOn w:val="781"/>
    <w:uiPriority w:val="99"/>
    <w:unhideWhenUsed/>
    <w:qFormat/>
    <w:rPr>
      <w:color w:val="008000"/>
    </w:rPr>
  </w:style>
  <w:style w:type="character" w:styleId="814" w:customStyle="1">
    <w:name w:val="脚注引用1"/>
    <w:uiPriority w:val="99"/>
    <w:unhideWhenUsed/>
    <w:qFormat/>
    <w:rPr>
      <w:vertAlign w:val="superscript"/>
    </w:rPr>
  </w:style>
  <w:style w:type="paragraph" w:styleId="815" w:customStyle="1">
    <w:name w:val="正文文本11"/>
    <w:basedOn w:val="695"/>
    <w:link w:val="816"/>
    <w:qFormat/>
    <w:rPr>
      <w:rFonts w:ascii="楷体_GB2312" w:hAnsi="Arial" w:eastAsia="楷体_GB2312"/>
      <w:sz w:val="28"/>
      <w:szCs w:val="28"/>
    </w:rPr>
  </w:style>
  <w:style w:type="character" w:styleId="816" w:customStyle="1">
    <w:name w:val="正文文本 字符"/>
    <w:link w:val="815"/>
    <w:uiPriority w:val="1"/>
    <w:qFormat/>
    <w:rPr>
      <w:rFonts w:ascii="楷体_GB2312" w:hAnsi="Arial" w:eastAsia="楷体_GB2312" w:cs="Times New Roman"/>
      <w:sz w:val="28"/>
      <w:szCs w:val="28"/>
    </w:rPr>
  </w:style>
  <w:style w:type="character" w:styleId="817" w:customStyle="1">
    <w:name w:val="默认段落字体1"/>
    <w:uiPriority w:val="1"/>
    <w:unhideWhenUsed/>
    <w:qFormat/>
  </w:style>
  <w:style w:type="character" w:styleId="818" w:customStyle="1">
    <w:name w:val="标题 1 Char"/>
    <w:link w:val="696"/>
    <w:uiPriority w:val="9"/>
    <w:qFormat/>
    <w:rPr>
      <w:rFonts w:ascii="Arial" w:hAnsi="Arial" w:eastAsia="Arial" w:cs="Arial"/>
      <w:sz w:val="40"/>
      <w:szCs w:val="40"/>
    </w:rPr>
  </w:style>
  <w:style w:type="character" w:styleId="819" w:customStyle="1">
    <w:name w:val="标题 2 Char"/>
    <w:link w:val="697"/>
    <w:uiPriority w:val="9"/>
    <w:qFormat/>
    <w:rPr>
      <w:rFonts w:ascii="Arial" w:hAnsi="Arial" w:eastAsia="Arial" w:cs="Arial"/>
      <w:sz w:val="34"/>
    </w:rPr>
  </w:style>
  <w:style w:type="character" w:styleId="820" w:customStyle="1">
    <w:name w:val="标题 3 Char"/>
    <w:link w:val="698"/>
    <w:uiPriority w:val="9"/>
    <w:qFormat/>
    <w:rPr>
      <w:rFonts w:ascii="Arial" w:hAnsi="Arial" w:eastAsia="Arial" w:cs="Arial"/>
      <w:sz w:val="30"/>
      <w:szCs w:val="30"/>
    </w:rPr>
  </w:style>
  <w:style w:type="character" w:styleId="821" w:customStyle="1">
    <w:name w:val="标题 4 Char"/>
    <w:link w:val="699"/>
    <w:uiPriority w:val="9"/>
    <w:qFormat/>
    <w:rPr>
      <w:rFonts w:ascii="Arial" w:hAnsi="Arial" w:eastAsia="Arial" w:cs="Arial"/>
      <w:b/>
      <w:bCs/>
      <w:sz w:val="26"/>
      <w:szCs w:val="26"/>
    </w:rPr>
  </w:style>
  <w:style w:type="character" w:styleId="822" w:customStyle="1">
    <w:name w:val="标题 5 Char"/>
    <w:link w:val="700"/>
    <w:uiPriority w:val="9"/>
    <w:qFormat/>
    <w:rPr>
      <w:rFonts w:ascii="Arial" w:hAnsi="Arial" w:eastAsia="Arial" w:cs="Arial"/>
      <w:b/>
      <w:bCs/>
      <w:sz w:val="24"/>
      <w:szCs w:val="24"/>
    </w:rPr>
  </w:style>
  <w:style w:type="character" w:styleId="823" w:customStyle="1">
    <w:name w:val="标题 6 Char"/>
    <w:link w:val="701"/>
    <w:uiPriority w:val="9"/>
    <w:qFormat/>
    <w:rPr>
      <w:rFonts w:ascii="Arial" w:hAnsi="Arial" w:eastAsia="Arial" w:cs="Arial"/>
      <w:b/>
      <w:bCs/>
      <w:sz w:val="22"/>
      <w:szCs w:val="22"/>
    </w:rPr>
  </w:style>
  <w:style w:type="character" w:styleId="824" w:customStyle="1">
    <w:name w:val="标题 7 Char"/>
    <w:link w:val="702"/>
    <w:uiPriority w:val="9"/>
    <w:qFormat/>
    <w:rPr>
      <w:rFonts w:ascii="Arial" w:hAnsi="Arial" w:eastAsia="Arial" w:cs="Arial"/>
      <w:b/>
      <w:bCs/>
      <w:i/>
      <w:iCs/>
      <w:sz w:val="22"/>
      <w:szCs w:val="22"/>
    </w:rPr>
  </w:style>
  <w:style w:type="character" w:styleId="825" w:customStyle="1">
    <w:name w:val="标题 8 Char"/>
    <w:link w:val="703"/>
    <w:uiPriority w:val="9"/>
    <w:qFormat/>
    <w:rPr>
      <w:rFonts w:ascii="Arial" w:hAnsi="Arial" w:eastAsia="Arial" w:cs="Arial"/>
      <w:i/>
      <w:iCs/>
      <w:sz w:val="22"/>
      <w:szCs w:val="22"/>
    </w:rPr>
  </w:style>
  <w:style w:type="character" w:styleId="826" w:customStyle="1">
    <w:name w:val="标题 9 Char"/>
    <w:link w:val="704"/>
    <w:uiPriority w:val="9"/>
    <w:qFormat/>
    <w:rPr>
      <w:rFonts w:ascii="Arial" w:hAnsi="Arial" w:eastAsia="Arial" w:cs="Arial"/>
      <w:i/>
      <w:iCs/>
      <w:sz w:val="21"/>
      <w:szCs w:val="21"/>
    </w:rPr>
  </w:style>
  <w:style w:type="paragraph" w:styleId="827" w:customStyle="1">
    <w:name w:val="列出段落1"/>
    <w:basedOn w:val="695"/>
    <w:uiPriority w:val="34"/>
    <w:qFormat/>
    <w:pPr>
      <w:contextualSpacing/>
      <w:ind w:left="720"/>
    </w:pPr>
  </w:style>
  <w:style w:type="paragraph" w:styleId="828" w:customStyle="1">
    <w:name w:val="无间隔1"/>
    <w:uiPriority w:val="1"/>
    <w:qFormat/>
  </w:style>
  <w:style w:type="paragraph" w:styleId="829" w:customStyle="1">
    <w:name w:val="引用1"/>
    <w:basedOn w:val="695"/>
    <w:next w:val="695"/>
    <w:link w:val="830"/>
    <w:uiPriority w:val="29"/>
    <w:qFormat/>
    <w:pPr>
      <w:ind w:left="720" w:right="720"/>
    </w:pPr>
    <w:rPr>
      <w:i/>
      <w:sz w:val="20"/>
      <w:szCs w:val="20"/>
    </w:rPr>
  </w:style>
  <w:style w:type="character" w:styleId="830" w:customStyle="1">
    <w:name w:val="引用 Char"/>
    <w:link w:val="829"/>
    <w:uiPriority w:val="29"/>
    <w:qFormat/>
    <w:rPr>
      <w:i/>
    </w:rPr>
  </w:style>
  <w:style w:type="paragraph" w:styleId="831" w:customStyle="1">
    <w:name w:val="明显引用1"/>
    <w:basedOn w:val="695"/>
    <w:next w:val="695"/>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32" w:customStyle="1">
    <w:name w:val="明显引用 Char"/>
    <w:link w:val="831"/>
    <w:uiPriority w:val="30"/>
    <w:qFormat/>
    <w:rPr>
      <w:i/>
    </w:rPr>
  </w:style>
  <w:style w:type="paragraph" w:styleId="833" w:customStyle="1">
    <w:name w:val="Header1"/>
    <w:basedOn w:val="695"/>
    <w:link w:val="834"/>
    <w:uiPriority w:val="99"/>
    <w:unhideWhenUsed/>
    <w:qFormat/>
    <w:pPr>
      <w:tabs>
        <w:tab w:val="center" w:pos="7143" w:leader="none"/>
        <w:tab w:val="right" w:pos="14287" w:leader="none"/>
      </w:tabs>
    </w:pPr>
  </w:style>
  <w:style w:type="character" w:styleId="834" w:customStyle="1">
    <w:name w:val="Header Char"/>
    <w:link w:val="833"/>
    <w:uiPriority w:val="99"/>
    <w:qFormat/>
  </w:style>
  <w:style w:type="paragraph" w:styleId="835" w:customStyle="1">
    <w:name w:val="Footer1"/>
    <w:basedOn w:val="695"/>
    <w:link w:val="836"/>
    <w:uiPriority w:val="99"/>
    <w:unhideWhenUsed/>
    <w:qFormat/>
    <w:pPr>
      <w:tabs>
        <w:tab w:val="center" w:pos="7143" w:leader="none"/>
        <w:tab w:val="right" w:pos="14287" w:leader="none"/>
      </w:tabs>
    </w:pPr>
  </w:style>
  <w:style w:type="character" w:styleId="836" w:customStyle="1">
    <w:name w:val="Footer Char"/>
    <w:link w:val="835"/>
    <w:uiPriority w:val="99"/>
    <w:qFormat/>
  </w:style>
  <w:style w:type="character" w:styleId="837" w:customStyle="1">
    <w:name w:val="Caption Char"/>
    <w:uiPriority w:val="99"/>
    <w:qFormat/>
  </w:style>
  <w:style w:type="paragraph" w:styleId="838" w:customStyle="1">
    <w:name w:val="Caption1"/>
    <w:basedOn w:val="695"/>
    <w:next w:val="695"/>
    <w:uiPriority w:val="35"/>
    <w:unhideWhenUsed/>
    <w:qFormat/>
    <w:pPr>
      <w:spacing w:line="276" w:lineRule="auto"/>
    </w:pPr>
    <w:rPr>
      <w:b/>
      <w:bCs/>
      <w:color w:val="4f81bd"/>
      <w:sz w:val="18"/>
      <w:szCs w:val="18"/>
    </w:rPr>
  </w:style>
  <w:style w:type="table" w:styleId="839" w:customStyle="1">
    <w:name w:val="Table Grid Light"/>
    <w:uiPriority w:val="59"/>
    <w:qFormat/>
    <w:tblPr>
      <w:tblCellMar>
        <w:left w:w="0" w:type="dxa"/>
        <w:top w:w="0" w:type="dxa"/>
        <w:right w:w="0" w:type="dxa"/>
        <w:bottom w:w="0" w:type="dxa"/>
      </w:tblCellMar>
    </w:tblPr>
  </w:style>
  <w:style w:type="table" w:styleId="840" w:customStyle="1">
    <w:name w:val="无格式表格 11"/>
    <w:uiPriority w:val="59"/>
    <w:qFormat/>
    <w:tblPr>
      <w:tblCellMar>
        <w:left w:w="0" w:type="dxa"/>
        <w:top w:w="0" w:type="dxa"/>
        <w:right w:w="0" w:type="dxa"/>
        <w:bottom w:w="0" w:type="dxa"/>
      </w:tblCellMar>
    </w:tblPr>
  </w:style>
  <w:style w:type="table" w:styleId="841" w:customStyle="1">
    <w:name w:val="无格式表格 21"/>
    <w:uiPriority w:val="59"/>
    <w:qFormat/>
    <w:tblPr>
      <w:tblCellMar>
        <w:left w:w="0" w:type="dxa"/>
        <w:top w:w="0" w:type="dxa"/>
        <w:right w:w="0" w:type="dxa"/>
        <w:bottom w:w="0" w:type="dxa"/>
      </w:tblCellMar>
    </w:tblPr>
  </w:style>
  <w:style w:type="table" w:styleId="842" w:customStyle="1">
    <w:name w:val="无格式表格 31"/>
    <w:uiPriority w:val="99"/>
    <w:qFormat/>
    <w:tblPr>
      <w:tblCellMar>
        <w:left w:w="0" w:type="dxa"/>
        <w:top w:w="0" w:type="dxa"/>
        <w:right w:w="0" w:type="dxa"/>
        <w:bottom w:w="0" w:type="dxa"/>
      </w:tblCellMar>
    </w:tblPr>
  </w:style>
  <w:style w:type="table" w:styleId="843" w:customStyle="1">
    <w:name w:val="无格式表格 41"/>
    <w:uiPriority w:val="99"/>
    <w:qFormat/>
    <w:tblPr>
      <w:tblCellMar>
        <w:left w:w="0" w:type="dxa"/>
        <w:top w:w="0" w:type="dxa"/>
        <w:right w:w="0" w:type="dxa"/>
        <w:bottom w:w="0" w:type="dxa"/>
      </w:tblCellMar>
    </w:tblPr>
  </w:style>
  <w:style w:type="table" w:styleId="844" w:customStyle="1">
    <w:name w:val="无格式表格 51"/>
    <w:uiPriority w:val="99"/>
    <w:qFormat/>
    <w:tblPr>
      <w:tblCellMar>
        <w:left w:w="0" w:type="dxa"/>
        <w:top w:w="0" w:type="dxa"/>
        <w:right w:w="0" w:type="dxa"/>
        <w:bottom w:w="0" w:type="dxa"/>
      </w:tblCellMar>
    </w:tblPr>
  </w:style>
  <w:style w:type="table" w:styleId="845" w:customStyle="1">
    <w:name w:val="网格表 1 浅色1"/>
    <w:uiPriority w:val="99"/>
    <w:qFormat/>
    <w:tblPr>
      <w:tblCellMar>
        <w:left w:w="0" w:type="dxa"/>
        <w:top w:w="0" w:type="dxa"/>
        <w:right w:w="0" w:type="dxa"/>
        <w:bottom w:w="0" w:type="dxa"/>
      </w:tblCellMar>
    </w:tblPr>
  </w:style>
  <w:style w:type="table" w:styleId="846" w:customStyle="1">
    <w:name w:val="Grid Table 1 Light - Accent 1"/>
    <w:uiPriority w:val="99"/>
    <w:qFormat/>
    <w:tblPr>
      <w:tblCellMar>
        <w:left w:w="0" w:type="dxa"/>
        <w:top w:w="0" w:type="dxa"/>
        <w:right w:w="0" w:type="dxa"/>
        <w:bottom w:w="0" w:type="dxa"/>
      </w:tblCellMar>
    </w:tblPr>
  </w:style>
  <w:style w:type="table" w:styleId="847" w:customStyle="1">
    <w:name w:val="Grid Table 1 Light - Accent 2"/>
    <w:uiPriority w:val="99"/>
    <w:qFormat/>
    <w:tblPr>
      <w:tblCellMar>
        <w:left w:w="0" w:type="dxa"/>
        <w:top w:w="0" w:type="dxa"/>
        <w:right w:w="0" w:type="dxa"/>
        <w:bottom w:w="0" w:type="dxa"/>
      </w:tblCellMar>
    </w:tblPr>
  </w:style>
  <w:style w:type="table" w:styleId="848" w:customStyle="1">
    <w:name w:val="Grid Table 1 Light - Accent 3"/>
    <w:uiPriority w:val="99"/>
    <w:qFormat/>
    <w:tblPr>
      <w:tblCellMar>
        <w:left w:w="0" w:type="dxa"/>
        <w:top w:w="0" w:type="dxa"/>
        <w:right w:w="0" w:type="dxa"/>
        <w:bottom w:w="0" w:type="dxa"/>
      </w:tblCellMar>
    </w:tblPr>
  </w:style>
  <w:style w:type="table" w:styleId="849" w:customStyle="1">
    <w:name w:val="Grid Table 1 Light - Accent 4"/>
    <w:uiPriority w:val="99"/>
    <w:qFormat/>
    <w:tblPr>
      <w:tblCellMar>
        <w:left w:w="0" w:type="dxa"/>
        <w:top w:w="0" w:type="dxa"/>
        <w:right w:w="0" w:type="dxa"/>
        <w:bottom w:w="0" w:type="dxa"/>
      </w:tblCellMar>
    </w:tblPr>
  </w:style>
  <w:style w:type="table" w:styleId="850" w:customStyle="1">
    <w:name w:val="Grid Table 1 Light - Accent 5"/>
    <w:uiPriority w:val="99"/>
    <w:qFormat/>
    <w:tblPr>
      <w:tblCellMar>
        <w:left w:w="0" w:type="dxa"/>
        <w:top w:w="0" w:type="dxa"/>
        <w:right w:w="0" w:type="dxa"/>
        <w:bottom w:w="0" w:type="dxa"/>
      </w:tblCellMar>
    </w:tblPr>
  </w:style>
  <w:style w:type="table" w:styleId="851" w:customStyle="1">
    <w:name w:val="Grid Table 1 Light - Accent 6"/>
    <w:uiPriority w:val="99"/>
    <w:qFormat/>
    <w:tblPr>
      <w:tblCellMar>
        <w:left w:w="0" w:type="dxa"/>
        <w:top w:w="0" w:type="dxa"/>
        <w:right w:w="0" w:type="dxa"/>
        <w:bottom w:w="0" w:type="dxa"/>
      </w:tblCellMar>
    </w:tblPr>
  </w:style>
  <w:style w:type="table" w:styleId="852" w:customStyle="1">
    <w:name w:val="网格表 21"/>
    <w:uiPriority w:val="99"/>
    <w:qFormat/>
    <w:tblPr>
      <w:tblCellMar>
        <w:left w:w="0" w:type="dxa"/>
        <w:top w:w="0" w:type="dxa"/>
        <w:right w:w="0" w:type="dxa"/>
        <w:bottom w:w="0" w:type="dxa"/>
      </w:tblCellMar>
    </w:tblPr>
  </w:style>
  <w:style w:type="table" w:styleId="853" w:customStyle="1">
    <w:name w:val="Grid Table 2 - Accent 1"/>
    <w:uiPriority w:val="99"/>
    <w:qFormat/>
    <w:tblPr>
      <w:tblCellMar>
        <w:left w:w="0" w:type="dxa"/>
        <w:top w:w="0" w:type="dxa"/>
        <w:right w:w="0" w:type="dxa"/>
        <w:bottom w:w="0" w:type="dxa"/>
      </w:tblCellMar>
    </w:tblPr>
  </w:style>
  <w:style w:type="table" w:styleId="854" w:customStyle="1">
    <w:name w:val="Grid Table 2 - Accent 2"/>
    <w:uiPriority w:val="99"/>
    <w:qFormat/>
    <w:tblPr>
      <w:tblCellMar>
        <w:left w:w="0" w:type="dxa"/>
        <w:top w:w="0" w:type="dxa"/>
        <w:right w:w="0" w:type="dxa"/>
        <w:bottom w:w="0" w:type="dxa"/>
      </w:tblCellMar>
    </w:tblPr>
  </w:style>
  <w:style w:type="table" w:styleId="855" w:customStyle="1">
    <w:name w:val="Grid Table 2 - Accent 3"/>
    <w:uiPriority w:val="99"/>
    <w:qFormat/>
    <w:tblPr>
      <w:tblCellMar>
        <w:left w:w="0" w:type="dxa"/>
        <w:top w:w="0" w:type="dxa"/>
        <w:right w:w="0" w:type="dxa"/>
        <w:bottom w:w="0" w:type="dxa"/>
      </w:tblCellMar>
    </w:tblPr>
  </w:style>
  <w:style w:type="table" w:styleId="856" w:customStyle="1">
    <w:name w:val="Grid Table 2 - Accent 4"/>
    <w:uiPriority w:val="99"/>
    <w:qFormat/>
    <w:tblPr>
      <w:tblCellMar>
        <w:left w:w="0" w:type="dxa"/>
        <w:top w:w="0" w:type="dxa"/>
        <w:right w:w="0" w:type="dxa"/>
        <w:bottom w:w="0" w:type="dxa"/>
      </w:tblCellMar>
    </w:tblPr>
  </w:style>
  <w:style w:type="table" w:styleId="857" w:customStyle="1">
    <w:name w:val="Grid Table 2 - Accent 5"/>
    <w:uiPriority w:val="99"/>
    <w:qFormat/>
    <w:tblPr>
      <w:tblCellMar>
        <w:left w:w="0" w:type="dxa"/>
        <w:top w:w="0" w:type="dxa"/>
        <w:right w:w="0" w:type="dxa"/>
        <w:bottom w:w="0" w:type="dxa"/>
      </w:tblCellMar>
    </w:tblPr>
  </w:style>
  <w:style w:type="table" w:styleId="858" w:customStyle="1">
    <w:name w:val="Grid Table 2 - Accent 6"/>
    <w:uiPriority w:val="99"/>
    <w:qFormat/>
    <w:tblPr>
      <w:tblCellMar>
        <w:left w:w="0" w:type="dxa"/>
        <w:top w:w="0" w:type="dxa"/>
        <w:right w:w="0" w:type="dxa"/>
        <w:bottom w:w="0" w:type="dxa"/>
      </w:tblCellMar>
    </w:tblPr>
  </w:style>
  <w:style w:type="table" w:styleId="859" w:customStyle="1">
    <w:name w:val="网格表 31"/>
    <w:uiPriority w:val="99"/>
    <w:qFormat/>
    <w:tblPr>
      <w:tblCellMar>
        <w:left w:w="0" w:type="dxa"/>
        <w:top w:w="0" w:type="dxa"/>
        <w:right w:w="0" w:type="dxa"/>
        <w:bottom w:w="0" w:type="dxa"/>
      </w:tblCellMar>
    </w:tblPr>
  </w:style>
  <w:style w:type="table" w:styleId="860" w:customStyle="1">
    <w:name w:val="Grid Table 3 - Accent 1"/>
    <w:uiPriority w:val="99"/>
    <w:qFormat/>
    <w:tblPr>
      <w:tblCellMar>
        <w:left w:w="0" w:type="dxa"/>
        <w:top w:w="0" w:type="dxa"/>
        <w:right w:w="0" w:type="dxa"/>
        <w:bottom w:w="0" w:type="dxa"/>
      </w:tblCellMar>
    </w:tblPr>
  </w:style>
  <w:style w:type="table" w:styleId="861" w:customStyle="1">
    <w:name w:val="Grid Table 3 - Accent 2"/>
    <w:uiPriority w:val="99"/>
    <w:qFormat/>
    <w:tblPr>
      <w:tblCellMar>
        <w:left w:w="0" w:type="dxa"/>
        <w:top w:w="0" w:type="dxa"/>
        <w:right w:w="0" w:type="dxa"/>
        <w:bottom w:w="0" w:type="dxa"/>
      </w:tblCellMar>
    </w:tblPr>
  </w:style>
  <w:style w:type="table" w:styleId="862" w:customStyle="1">
    <w:name w:val="Grid Table 3 - Accent 3"/>
    <w:uiPriority w:val="99"/>
    <w:qFormat/>
    <w:tblPr>
      <w:tblCellMar>
        <w:left w:w="0" w:type="dxa"/>
        <w:top w:w="0" w:type="dxa"/>
        <w:right w:w="0" w:type="dxa"/>
        <w:bottom w:w="0" w:type="dxa"/>
      </w:tblCellMar>
    </w:tblPr>
  </w:style>
  <w:style w:type="table" w:styleId="863" w:customStyle="1">
    <w:name w:val="Grid Table 3 - Accent 4"/>
    <w:uiPriority w:val="99"/>
    <w:qFormat/>
    <w:tblPr>
      <w:tblCellMar>
        <w:left w:w="0" w:type="dxa"/>
        <w:top w:w="0" w:type="dxa"/>
        <w:right w:w="0" w:type="dxa"/>
        <w:bottom w:w="0" w:type="dxa"/>
      </w:tblCellMar>
    </w:tblPr>
  </w:style>
  <w:style w:type="table" w:styleId="864" w:customStyle="1">
    <w:name w:val="Grid Table 3 - Accent 5"/>
    <w:uiPriority w:val="99"/>
    <w:qFormat/>
    <w:tblPr>
      <w:tblCellMar>
        <w:left w:w="0" w:type="dxa"/>
        <w:top w:w="0" w:type="dxa"/>
        <w:right w:w="0" w:type="dxa"/>
        <w:bottom w:w="0" w:type="dxa"/>
      </w:tblCellMar>
    </w:tblPr>
  </w:style>
  <w:style w:type="table" w:styleId="865" w:customStyle="1">
    <w:name w:val="Grid Table 3 - Accent 6"/>
    <w:uiPriority w:val="99"/>
    <w:qFormat/>
    <w:tblPr>
      <w:tblCellMar>
        <w:left w:w="0" w:type="dxa"/>
        <w:top w:w="0" w:type="dxa"/>
        <w:right w:w="0" w:type="dxa"/>
        <w:bottom w:w="0" w:type="dxa"/>
      </w:tblCellMar>
    </w:tblPr>
  </w:style>
  <w:style w:type="table" w:styleId="866" w:customStyle="1">
    <w:name w:val="网格表 41"/>
    <w:uiPriority w:val="59"/>
    <w:qFormat/>
    <w:tblPr>
      <w:tblCellMar>
        <w:left w:w="0" w:type="dxa"/>
        <w:top w:w="0" w:type="dxa"/>
        <w:right w:w="0" w:type="dxa"/>
        <w:bottom w:w="0" w:type="dxa"/>
      </w:tblCellMar>
    </w:tblPr>
  </w:style>
  <w:style w:type="table" w:styleId="867" w:customStyle="1">
    <w:name w:val="Grid Table 4 - Accent 1"/>
    <w:uiPriority w:val="59"/>
    <w:qFormat/>
    <w:tblPr>
      <w:tblCellMar>
        <w:left w:w="0" w:type="dxa"/>
        <w:top w:w="0" w:type="dxa"/>
        <w:right w:w="0" w:type="dxa"/>
        <w:bottom w:w="0" w:type="dxa"/>
      </w:tblCellMar>
    </w:tblPr>
  </w:style>
  <w:style w:type="table" w:styleId="868" w:customStyle="1">
    <w:name w:val="Grid Table 4 - Accent 2"/>
    <w:uiPriority w:val="59"/>
    <w:qFormat/>
    <w:tblPr>
      <w:tblCellMar>
        <w:left w:w="0" w:type="dxa"/>
        <w:top w:w="0" w:type="dxa"/>
        <w:right w:w="0" w:type="dxa"/>
        <w:bottom w:w="0" w:type="dxa"/>
      </w:tblCellMar>
    </w:tblPr>
  </w:style>
  <w:style w:type="table" w:styleId="869" w:customStyle="1">
    <w:name w:val="Grid Table 4 - Accent 3"/>
    <w:uiPriority w:val="59"/>
    <w:qFormat/>
    <w:tblPr>
      <w:tblCellMar>
        <w:left w:w="0" w:type="dxa"/>
        <w:top w:w="0" w:type="dxa"/>
        <w:right w:w="0" w:type="dxa"/>
        <w:bottom w:w="0" w:type="dxa"/>
      </w:tblCellMar>
    </w:tblPr>
  </w:style>
  <w:style w:type="table" w:styleId="870" w:customStyle="1">
    <w:name w:val="Grid Table 4 - Accent 4"/>
    <w:uiPriority w:val="59"/>
    <w:qFormat/>
    <w:tblPr>
      <w:tblCellMar>
        <w:left w:w="0" w:type="dxa"/>
        <w:top w:w="0" w:type="dxa"/>
        <w:right w:w="0" w:type="dxa"/>
        <w:bottom w:w="0" w:type="dxa"/>
      </w:tblCellMar>
    </w:tblPr>
  </w:style>
  <w:style w:type="table" w:styleId="871" w:customStyle="1">
    <w:name w:val="Grid Table 4 - Accent 5"/>
    <w:uiPriority w:val="59"/>
    <w:qFormat/>
    <w:tblPr>
      <w:tblCellMar>
        <w:left w:w="0" w:type="dxa"/>
        <w:top w:w="0" w:type="dxa"/>
        <w:right w:w="0" w:type="dxa"/>
        <w:bottom w:w="0" w:type="dxa"/>
      </w:tblCellMar>
    </w:tblPr>
  </w:style>
  <w:style w:type="table" w:styleId="872" w:customStyle="1">
    <w:name w:val="Grid Table 4 - Accent 6"/>
    <w:uiPriority w:val="59"/>
    <w:qFormat/>
    <w:tblPr>
      <w:tblCellMar>
        <w:left w:w="0" w:type="dxa"/>
        <w:top w:w="0" w:type="dxa"/>
        <w:right w:w="0" w:type="dxa"/>
        <w:bottom w:w="0" w:type="dxa"/>
      </w:tblCellMar>
    </w:tblPr>
  </w:style>
  <w:style w:type="table" w:styleId="873" w:customStyle="1">
    <w:name w:val="网格表 5 深色1"/>
    <w:uiPriority w:val="99"/>
    <w:qFormat/>
    <w:tblPr>
      <w:tblCellMar>
        <w:left w:w="0" w:type="dxa"/>
        <w:top w:w="0" w:type="dxa"/>
        <w:right w:w="0" w:type="dxa"/>
        <w:bottom w:w="0" w:type="dxa"/>
      </w:tblCellMar>
    </w:tblPr>
  </w:style>
  <w:style w:type="table" w:styleId="874" w:customStyle="1">
    <w:name w:val="Grid Table 5 Dark- Accent 1"/>
    <w:uiPriority w:val="99"/>
    <w:qFormat/>
    <w:tblPr>
      <w:tblCellMar>
        <w:left w:w="0" w:type="dxa"/>
        <w:top w:w="0" w:type="dxa"/>
        <w:right w:w="0" w:type="dxa"/>
        <w:bottom w:w="0" w:type="dxa"/>
      </w:tblCellMar>
    </w:tblPr>
  </w:style>
  <w:style w:type="table" w:styleId="875" w:customStyle="1">
    <w:name w:val="Grid Table 5 Dark - Accent 2"/>
    <w:uiPriority w:val="99"/>
    <w:qFormat/>
    <w:tblPr>
      <w:tblCellMar>
        <w:left w:w="0" w:type="dxa"/>
        <w:top w:w="0" w:type="dxa"/>
        <w:right w:w="0" w:type="dxa"/>
        <w:bottom w:w="0" w:type="dxa"/>
      </w:tblCellMar>
    </w:tblPr>
  </w:style>
  <w:style w:type="table" w:styleId="876" w:customStyle="1">
    <w:name w:val="Grid Table 5 Dark - Accent 3"/>
    <w:uiPriority w:val="99"/>
    <w:qFormat/>
    <w:tblPr>
      <w:tblCellMar>
        <w:left w:w="0" w:type="dxa"/>
        <w:top w:w="0" w:type="dxa"/>
        <w:right w:w="0" w:type="dxa"/>
        <w:bottom w:w="0" w:type="dxa"/>
      </w:tblCellMar>
    </w:tblPr>
  </w:style>
  <w:style w:type="table" w:styleId="877" w:customStyle="1">
    <w:name w:val="Grid Table 5 Dark- Accent 4"/>
    <w:uiPriority w:val="99"/>
    <w:qFormat/>
    <w:tblPr>
      <w:tblCellMar>
        <w:left w:w="0" w:type="dxa"/>
        <w:top w:w="0" w:type="dxa"/>
        <w:right w:w="0" w:type="dxa"/>
        <w:bottom w:w="0" w:type="dxa"/>
      </w:tblCellMar>
    </w:tblPr>
  </w:style>
  <w:style w:type="table" w:styleId="878" w:customStyle="1">
    <w:name w:val="Grid Table 5 Dark - Accent 5"/>
    <w:uiPriority w:val="99"/>
    <w:qFormat/>
    <w:tblPr>
      <w:tblCellMar>
        <w:left w:w="0" w:type="dxa"/>
        <w:top w:w="0" w:type="dxa"/>
        <w:right w:w="0" w:type="dxa"/>
        <w:bottom w:w="0" w:type="dxa"/>
      </w:tblCellMar>
    </w:tblPr>
  </w:style>
  <w:style w:type="table" w:styleId="879" w:customStyle="1">
    <w:name w:val="Grid Table 5 Dark - Accent 6"/>
    <w:uiPriority w:val="99"/>
    <w:qFormat/>
    <w:tblPr>
      <w:tblCellMar>
        <w:left w:w="0" w:type="dxa"/>
        <w:top w:w="0" w:type="dxa"/>
        <w:right w:w="0" w:type="dxa"/>
        <w:bottom w:w="0" w:type="dxa"/>
      </w:tblCellMar>
    </w:tblPr>
  </w:style>
  <w:style w:type="table" w:styleId="880" w:customStyle="1">
    <w:name w:val="网格表 6 彩色1"/>
    <w:uiPriority w:val="99"/>
    <w:qFormat/>
    <w:tblPr>
      <w:tblCellMar>
        <w:left w:w="0" w:type="dxa"/>
        <w:top w:w="0" w:type="dxa"/>
        <w:right w:w="0" w:type="dxa"/>
        <w:bottom w:w="0" w:type="dxa"/>
      </w:tblCellMar>
    </w:tblPr>
  </w:style>
  <w:style w:type="table" w:styleId="881" w:customStyle="1">
    <w:name w:val="Grid Table 6 Colorful - Accent 1"/>
    <w:uiPriority w:val="99"/>
    <w:qFormat/>
    <w:tblPr>
      <w:tblCellMar>
        <w:left w:w="0" w:type="dxa"/>
        <w:top w:w="0" w:type="dxa"/>
        <w:right w:w="0" w:type="dxa"/>
        <w:bottom w:w="0" w:type="dxa"/>
      </w:tblCellMar>
    </w:tblPr>
  </w:style>
  <w:style w:type="table" w:styleId="882" w:customStyle="1">
    <w:name w:val="Grid Table 6 Colorful - Accent 2"/>
    <w:uiPriority w:val="99"/>
    <w:qFormat/>
    <w:tblPr>
      <w:tblCellMar>
        <w:left w:w="0" w:type="dxa"/>
        <w:top w:w="0" w:type="dxa"/>
        <w:right w:w="0" w:type="dxa"/>
        <w:bottom w:w="0" w:type="dxa"/>
      </w:tblCellMar>
    </w:tblPr>
  </w:style>
  <w:style w:type="table" w:styleId="883" w:customStyle="1">
    <w:name w:val="Grid Table 6 Colorful - Accent 3"/>
    <w:uiPriority w:val="99"/>
    <w:qFormat/>
    <w:tblPr>
      <w:tblCellMar>
        <w:left w:w="0" w:type="dxa"/>
        <w:top w:w="0" w:type="dxa"/>
        <w:right w:w="0" w:type="dxa"/>
        <w:bottom w:w="0" w:type="dxa"/>
      </w:tblCellMar>
    </w:tblPr>
  </w:style>
  <w:style w:type="table" w:styleId="884" w:customStyle="1">
    <w:name w:val="Grid Table 6 Colorful - Accent 4"/>
    <w:uiPriority w:val="99"/>
    <w:qFormat/>
    <w:tblPr>
      <w:tblCellMar>
        <w:left w:w="0" w:type="dxa"/>
        <w:top w:w="0" w:type="dxa"/>
        <w:right w:w="0" w:type="dxa"/>
        <w:bottom w:w="0" w:type="dxa"/>
      </w:tblCellMar>
    </w:tblPr>
  </w:style>
  <w:style w:type="table" w:styleId="885" w:customStyle="1">
    <w:name w:val="Grid Table 6 Colorful - Accent 5"/>
    <w:uiPriority w:val="99"/>
    <w:qFormat/>
    <w:tblPr>
      <w:tblCellMar>
        <w:left w:w="0" w:type="dxa"/>
        <w:top w:w="0" w:type="dxa"/>
        <w:right w:w="0" w:type="dxa"/>
        <w:bottom w:w="0" w:type="dxa"/>
      </w:tblCellMar>
    </w:tblPr>
  </w:style>
  <w:style w:type="table" w:styleId="886" w:customStyle="1">
    <w:name w:val="Grid Table 6 Colorful - Accent 6"/>
    <w:uiPriority w:val="99"/>
    <w:qFormat/>
    <w:tblPr>
      <w:tblCellMar>
        <w:left w:w="0" w:type="dxa"/>
        <w:top w:w="0" w:type="dxa"/>
        <w:right w:w="0" w:type="dxa"/>
        <w:bottom w:w="0" w:type="dxa"/>
      </w:tblCellMar>
    </w:tblPr>
  </w:style>
  <w:style w:type="table" w:styleId="887" w:customStyle="1">
    <w:name w:val="网格表 7 彩色1"/>
    <w:uiPriority w:val="99"/>
    <w:qFormat/>
    <w:tblPr>
      <w:tblCellMar>
        <w:left w:w="0" w:type="dxa"/>
        <w:top w:w="0" w:type="dxa"/>
        <w:right w:w="0" w:type="dxa"/>
        <w:bottom w:w="0" w:type="dxa"/>
      </w:tblCellMar>
    </w:tblPr>
  </w:style>
  <w:style w:type="table" w:styleId="888" w:customStyle="1">
    <w:name w:val="Grid Table 7 Colorful - Accent 1"/>
    <w:uiPriority w:val="99"/>
    <w:qFormat/>
    <w:tblPr>
      <w:tblCellMar>
        <w:left w:w="0" w:type="dxa"/>
        <w:top w:w="0" w:type="dxa"/>
        <w:right w:w="0" w:type="dxa"/>
        <w:bottom w:w="0" w:type="dxa"/>
      </w:tblCellMar>
    </w:tblPr>
  </w:style>
  <w:style w:type="table" w:styleId="889" w:customStyle="1">
    <w:name w:val="Grid Table 7 Colorful - Accent 2"/>
    <w:uiPriority w:val="99"/>
    <w:qFormat/>
    <w:tblPr>
      <w:tblCellMar>
        <w:left w:w="0" w:type="dxa"/>
        <w:top w:w="0" w:type="dxa"/>
        <w:right w:w="0" w:type="dxa"/>
        <w:bottom w:w="0" w:type="dxa"/>
      </w:tblCellMar>
    </w:tblPr>
  </w:style>
  <w:style w:type="table" w:styleId="890" w:customStyle="1">
    <w:name w:val="Grid Table 7 Colorful - Accent 3"/>
    <w:uiPriority w:val="99"/>
    <w:qFormat/>
    <w:tblPr>
      <w:tblCellMar>
        <w:left w:w="0" w:type="dxa"/>
        <w:top w:w="0" w:type="dxa"/>
        <w:right w:w="0" w:type="dxa"/>
        <w:bottom w:w="0" w:type="dxa"/>
      </w:tblCellMar>
    </w:tblPr>
  </w:style>
  <w:style w:type="table" w:styleId="891" w:customStyle="1">
    <w:name w:val="Grid Table 7 Colorful - Accent 4"/>
    <w:uiPriority w:val="99"/>
    <w:qFormat/>
    <w:tblPr>
      <w:tblCellMar>
        <w:left w:w="0" w:type="dxa"/>
        <w:top w:w="0" w:type="dxa"/>
        <w:right w:w="0" w:type="dxa"/>
        <w:bottom w:w="0" w:type="dxa"/>
      </w:tblCellMar>
    </w:tblPr>
  </w:style>
  <w:style w:type="table" w:styleId="892" w:customStyle="1">
    <w:name w:val="Grid Table 7 Colorful - Accent 5"/>
    <w:uiPriority w:val="99"/>
    <w:qFormat/>
    <w:tblPr>
      <w:tblCellMar>
        <w:left w:w="0" w:type="dxa"/>
        <w:top w:w="0" w:type="dxa"/>
        <w:right w:w="0" w:type="dxa"/>
        <w:bottom w:w="0" w:type="dxa"/>
      </w:tblCellMar>
    </w:tblPr>
  </w:style>
  <w:style w:type="table" w:styleId="893" w:customStyle="1">
    <w:name w:val="Grid Table 7 Colorful - Accent 6"/>
    <w:uiPriority w:val="99"/>
    <w:qFormat/>
    <w:tblPr>
      <w:tblCellMar>
        <w:left w:w="0" w:type="dxa"/>
        <w:top w:w="0" w:type="dxa"/>
        <w:right w:w="0" w:type="dxa"/>
        <w:bottom w:w="0" w:type="dxa"/>
      </w:tblCellMar>
    </w:tblPr>
  </w:style>
  <w:style w:type="table" w:styleId="894" w:customStyle="1">
    <w:name w:val="清单表 1 浅色1"/>
    <w:uiPriority w:val="99"/>
    <w:qFormat/>
    <w:tblPr>
      <w:tblCellMar>
        <w:left w:w="0" w:type="dxa"/>
        <w:top w:w="0" w:type="dxa"/>
        <w:right w:w="0" w:type="dxa"/>
        <w:bottom w:w="0" w:type="dxa"/>
      </w:tblCellMar>
    </w:tblPr>
  </w:style>
  <w:style w:type="table" w:styleId="895" w:customStyle="1">
    <w:name w:val="List Table 1 Light - Accent 1"/>
    <w:uiPriority w:val="99"/>
    <w:qFormat/>
    <w:tblPr>
      <w:tblCellMar>
        <w:left w:w="0" w:type="dxa"/>
        <w:top w:w="0" w:type="dxa"/>
        <w:right w:w="0" w:type="dxa"/>
        <w:bottom w:w="0" w:type="dxa"/>
      </w:tblCellMar>
    </w:tblPr>
  </w:style>
  <w:style w:type="table" w:styleId="896" w:customStyle="1">
    <w:name w:val="List Table 1 Light - Accent 2"/>
    <w:uiPriority w:val="99"/>
    <w:qFormat/>
    <w:tblPr>
      <w:tblCellMar>
        <w:left w:w="0" w:type="dxa"/>
        <w:top w:w="0" w:type="dxa"/>
        <w:right w:w="0" w:type="dxa"/>
        <w:bottom w:w="0" w:type="dxa"/>
      </w:tblCellMar>
    </w:tblPr>
  </w:style>
  <w:style w:type="table" w:styleId="897" w:customStyle="1">
    <w:name w:val="List Table 1 Light - Accent 3"/>
    <w:uiPriority w:val="99"/>
    <w:qFormat/>
    <w:tblPr>
      <w:tblCellMar>
        <w:left w:w="0" w:type="dxa"/>
        <w:top w:w="0" w:type="dxa"/>
        <w:right w:w="0" w:type="dxa"/>
        <w:bottom w:w="0" w:type="dxa"/>
      </w:tblCellMar>
    </w:tblPr>
  </w:style>
  <w:style w:type="table" w:styleId="898" w:customStyle="1">
    <w:name w:val="List Table 1 Light - Accent 4"/>
    <w:uiPriority w:val="99"/>
    <w:qFormat/>
    <w:tblPr>
      <w:tblCellMar>
        <w:left w:w="0" w:type="dxa"/>
        <w:top w:w="0" w:type="dxa"/>
        <w:right w:w="0" w:type="dxa"/>
        <w:bottom w:w="0" w:type="dxa"/>
      </w:tblCellMar>
    </w:tblPr>
  </w:style>
  <w:style w:type="table" w:styleId="899" w:customStyle="1">
    <w:name w:val="List Table 1 Light - Accent 5"/>
    <w:uiPriority w:val="99"/>
    <w:qFormat/>
    <w:tblPr>
      <w:tblCellMar>
        <w:left w:w="0" w:type="dxa"/>
        <w:top w:w="0" w:type="dxa"/>
        <w:right w:w="0" w:type="dxa"/>
        <w:bottom w:w="0" w:type="dxa"/>
      </w:tblCellMar>
    </w:tblPr>
  </w:style>
  <w:style w:type="table" w:styleId="900" w:customStyle="1">
    <w:name w:val="List Table 1 Light - Accent 6"/>
    <w:uiPriority w:val="99"/>
    <w:qFormat/>
    <w:tblPr>
      <w:tblCellMar>
        <w:left w:w="0" w:type="dxa"/>
        <w:top w:w="0" w:type="dxa"/>
        <w:right w:w="0" w:type="dxa"/>
        <w:bottom w:w="0" w:type="dxa"/>
      </w:tblCellMar>
    </w:tblPr>
  </w:style>
  <w:style w:type="table" w:styleId="901" w:customStyle="1">
    <w:name w:val="清单表 21"/>
    <w:uiPriority w:val="99"/>
    <w:qFormat/>
    <w:tblPr>
      <w:tblCellMar>
        <w:left w:w="0" w:type="dxa"/>
        <w:top w:w="0" w:type="dxa"/>
        <w:right w:w="0" w:type="dxa"/>
        <w:bottom w:w="0" w:type="dxa"/>
      </w:tblCellMar>
    </w:tblPr>
  </w:style>
  <w:style w:type="table" w:styleId="902" w:customStyle="1">
    <w:name w:val="List Table 2 - Accent 1"/>
    <w:uiPriority w:val="99"/>
    <w:qFormat/>
    <w:tblPr>
      <w:tblCellMar>
        <w:left w:w="0" w:type="dxa"/>
        <w:top w:w="0" w:type="dxa"/>
        <w:right w:w="0" w:type="dxa"/>
        <w:bottom w:w="0" w:type="dxa"/>
      </w:tblCellMar>
    </w:tblPr>
  </w:style>
  <w:style w:type="table" w:styleId="903" w:customStyle="1">
    <w:name w:val="List Table 2 - Accent 2"/>
    <w:uiPriority w:val="99"/>
    <w:qFormat/>
    <w:tblPr>
      <w:tblCellMar>
        <w:left w:w="0" w:type="dxa"/>
        <w:top w:w="0" w:type="dxa"/>
        <w:right w:w="0" w:type="dxa"/>
        <w:bottom w:w="0" w:type="dxa"/>
      </w:tblCellMar>
    </w:tblPr>
  </w:style>
  <w:style w:type="table" w:styleId="904" w:customStyle="1">
    <w:name w:val="List Table 2 - Accent 3"/>
    <w:uiPriority w:val="99"/>
    <w:qFormat/>
    <w:tblPr>
      <w:tblCellMar>
        <w:left w:w="0" w:type="dxa"/>
        <w:top w:w="0" w:type="dxa"/>
        <w:right w:w="0" w:type="dxa"/>
        <w:bottom w:w="0" w:type="dxa"/>
      </w:tblCellMar>
    </w:tblPr>
  </w:style>
  <w:style w:type="table" w:styleId="905" w:customStyle="1">
    <w:name w:val="List Table 2 - Accent 4"/>
    <w:uiPriority w:val="99"/>
    <w:qFormat/>
    <w:tblPr>
      <w:tblCellMar>
        <w:left w:w="0" w:type="dxa"/>
        <w:top w:w="0" w:type="dxa"/>
        <w:right w:w="0" w:type="dxa"/>
        <w:bottom w:w="0" w:type="dxa"/>
      </w:tblCellMar>
    </w:tblPr>
  </w:style>
  <w:style w:type="table" w:styleId="906" w:customStyle="1">
    <w:name w:val="List Table 2 - Accent 5"/>
    <w:uiPriority w:val="99"/>
    <w:qFormat/>
    <w:tblPr>
      <w:tblCellMar>
        <w:left w:w="0" w:type="dxa"/>
        <w:top w:w="0" w:type="dxa"/>
        <w:right w:w="0" w:type="dxa"/>
        <w:bottom w:w="0" w:type="dxa"/>
      </w:tblCellMar>
    </w:tblPr>
  </w:style>
  <w:style w:type="table" w:styleId="907" w:customStyle="1">
    <w:name w:val="List Table 2 - Accent 6"/>
    <w:uiPriority w:val="99"/>
    <w:qFormat/>
    <w:tblPr>
      <w:tblCellMar>
        <w:left w:w="0" w:type="dxa"/>
        <w:top w:w="0" w:type="dxa"/>
        <w:right w:w="0" w:type="dxa"/>
        <w:bottom w:w="0" w:type="dxa"/>
      </w:tblCellMar>
    </w:tblPr>
  </w:style>
  <w:style w:type="table" w:styleId="908" w:customStyle="1">
    <w:name w:val="清单表 31"/>
    <w:uiPriority w:val="99"/>
    <w:qFormat/>
    <w:tblPr>
      <w:tblCellMar>
        <w:left w:w="0" w:type="dxa"/>
        <w:top w:w="0" w:type="dxa"/>
        <w:right w:w="0" w:type="dxa"/>
        <w:bottom w:w="0" w:type="dxa"/>
      </w:tblCellMar>
    </w:tblPr>
  </w:style>
  <w:style w:type="table" w:styleId="909" w:customStyle="1">
    <w:name w:val="List Table 3 - Accent 1"/>
    <w:uiPriority w:val="99"/>
    <w:qFormat/>
    <w:tblPr>
      <w:tblCellMar>
        <w:left w:w="0" w:type="dxa"/>
        <w:top w:w="0" w:type="dxa"/>
        <w:right w:w="0" w:type="dxa"/>
        <w:bottom w:w="0" w:type="dxa"/>
      </w:tblCellMar>
    </w:tblPr>
  </w:style>
  <w:style w:type="table" w:styleId="910" w:customStyle="1">
    <w:name w:val="List Table 3 - Accent 2"/>
    <w:uiPriority w:val="99"/>
    <w:qFormat/>
    <w:tblPr>
      <w:tblCellMar>
        <w:left w:w="0" w:type="dxa"/>
        <w:top w:w="0" w:type="dxa"/>
        <w:right w:w="0" w:type="dxa"/>
        <w:bottom w:w="0" w:type="dxa"/>
      </w:tblCellMar>
    </w:tblPr>
  </w:style>
  <w:style w:type="table" w:styleId="911" w:customStyle="1">
    <w:name w:val="List Table 3 - Accent 3"/>
    <w:uiPriority w:val="99"/>
    <w:qFormat/>
    <w:tblPr>
      <w:tblCellMar>
        <w:left w:w="0" w:type="dxa"/>
        <w:top w:w="0" w:type="dxa"/>
        <w:right w:w="0" w:type="dxa"/>
        <w:bottom w:w="0" w:type="dxa"/>
      </w:tblCellMar>
    </w:tblPr>
  </w:style>
  <w:style w:type="table" w:styleId="912" w:customStyle="1">
    <w:name w:val="List Table 3 - Accent 4"/>
    <w:uiPriority w:val="99"/>
    <w:qFormat/>
    <w:tblPr>
      <w:tblCellMar>
        <w:left w:w="0" w:type="dxa"/>
        <w:top w:w="0" w:type="dxa"/>
        <w:right w:w="0" w:type="dxa"/>
        <w:bottom w:w="0" w:type="dxa"/>
      </w:tblCellMar>
    </w:tblPr>
  </w:style>
  <w:style w:type="table" w:styleId="913" w:customStyle="1">
    <w:name w:val="List Table 3 - Accent 5"/>
    <w:uiPriority w:val="99"/>
    <w:qFormat/>
    <w:tblPr>
      <w:tblCellMar>
        <w:left w:w="0" w:type="dxa"/>
        <w:top w:w="0" w:type="dxa"/>
        <w:right w:w="0" w:type="dxa"/>
        <w:bottom w:w="0" w:type="dxa"/>
      </w:tblCellMar>
    </w:tblPr>
  </w:style>
  <w:style w:type="table" w:styleId="914" w:customStyle="1">
    <w:name w:val="List Table 3 - Accent 6"/>
    <w:uiPriority w:val="99"/>
    <w:qFormat/>
    <w:tblPr>
      <w:tblCellMar>
        <w:left w:w="0" w:type="dxa"/>
        <w:top w:w="0" w:type="dxa"/>
        <w:right w:w="0" w:type="dxa"/>
        <w:bottom w:w="0" w:type="dxa"/>
      </w:tblCellMar>
    </w:tblPr>
  </w:style>
  <w:style w:type="table" w:styleId="915" w:customStyle="1">
    <w:name w:val="清单表 41"/>
    <w:uiPriority w:val="99"/>
    <w:qFormat/>
    <w:tblPr>
      <w:tblCellMar>
        <w:left w:w="0" w:type="dxa"/>
        <w:top w:w="0" w:type="dxa"/>
        <w:right w:w="0" w:type="dxa"/>
        <w:bottom w:w="0" w:type="dxa"/>
      </w:tblCellMar>
    </w:tblPr>
  </w:style>
  <w:style w:type="table" w:styleId="916" w:customStyle="1">
    <w:name w:val="List Table 4 - Accent 1"/>
    <w:uiPriority w:val="99"/>
    <w:qFormat/>
    <w:tblPr>
      <w:tblCellMar>
        <w:left w:w="0" w:type="dxa"/>
        <w:top w:w="0" w:type="dxa"/>
        <w:right w:w="0" w:type="dxa"/>
        <w:bottom w:w="0" w:type="dxa"/>
      </w:tblCellMar>
    </w:tblPr>
  </w:style>
  <w:style w:type="table" w:styleId="917" w:customStyle="1">
    <w:name w:val="List Table 4 - Accent 2"/>
    <w:uiPriority w:val="99"/>
    <w:qFormat/>
    <w:tblPr>
      <w:tblCellMar>
        <w:left w:w="0" w:type="dxa"/>
        <w:top w:w="0" w:type="dxa"/>
        <w:right w:w="0" w:type="dxa"/>
        <w:bottom w:w="0" w:type="dxa"/>
      </w:tblCellMar>
    </w:tblPr>
  </w:style>
  <w:style w:type="table" w:styleId="918" w:customStyle="1">
    <w:name w:val="List Table 4 - Accent 3"/>
    <w:uiPriority w:val="99"/>
    <w:qFormat/>
    <w:tblPr>
      <w:tblCellMar>
        <w:left w:w="0" w:type="dxa"/>
        <w:top w:w="0" w:type="dxa"/>
        <w:right w:w="0" w:type="dxa"/>
        <w:bottom w:w="0" w:type="dxa"/>
      </w:tblCellMar>
    </w:tblPr>
  </w:style>
  <w:style w:type="table" w:styleId="919" w:customStyle="1">
    <w:name w:val="List Table 4 - Accent 4"/>
    <w:uiPriority w:val="99"/>
    <w:qFormat/>
    <w:tblPr>
      <w:tblCellMar>
        <w:left w:w="0" w:type="dxa"/>
        <w:top w:w="0" w:type="dxa"/>
        <w:right w:w="0" w:type="dxa"/>
        <w:bottom w:w="0" w:type="dxa"/>
      </w:tblCellMar>
    </w:tblPr>
  </w:style>
  <w:style w:type="table" w:styleId="920" w:customStyle="1">
    <w:name w:val="List Table 4 - Accent 5"/>
    <w:uiPriority w:val="99"/>
    <w:qFormat/>
    <w:tblPr>
      <w:tblCellMar>
        <w:left w:w="0" w:type="dxa"/>
        <w:top w:w="0" w:type="dxa"/>
        <w:right w:w="0" w:type="dxa"/>
        <w:bottom w:w="0" w:type="dxa"/>
      </w:tblCellMar>
    </w:tblPr>
  </w:style>
  <w:style w:type="table" w:styleId="921" w:customStyle="1">
    <w:name w:val="List Table 4 - Accent 6"/>
    <w:uiPriority w:val="99"/>
    <w:qFormat/>
    <w:tblPr>
      <w:tblCellMar>
        <w:left w:w="0" w:type="dxa"/>
        <w:top w:w="0" w:type="dxa"/>
        <w:right w:w="0" w:type="dxa"/>
        <w:bottom w:w="0" w:type="dxa"/>
      </w:tblCellMar>
    </w:tblPr>
  </w:style>
  <w:style w:type="table" w:styleId="922" w:customStyle="1">
    <w:name w:val="清单表 5 深色1"/>
    <w:uiPriority w:val="99"/>
    <w:qFormat/>
    <w:tblPr>
      <w:tblCellMar>
        <w:left w:w="0" w:type="dxa"/>
        <w:top w:w="0" w:type="dxa"/>
        <w:right w:w="0" w:type="dxa"/>
        <w:bottom w:w="0" w:type="dxa"/>
      </w:tblCellMar>
    </w:tblPr>
  </w:style>
  <w:style w:type="table" w:styleId="923" w:customStyle="1">
    <w:name w:val="List Table 5 Dark - Accent 1"/>
    <w:uiPriority w:val="99"/>
    <w:qFormat/>
    <w:tblPr>
      <w:tblCellMar>
        <w:left w:w="0" w:type="dxa"/>
        <w:top w:w="0" w:type="dxa"/>
        <w:right w:w="0" w:type="dxa"/>
        <w:bottom w:w="0" w:type="dxa"/>
      </w:tblCellMar>
    </w:tblPr>
  </w:style>
  <w:style w:type="table" w:styleId="924" w:customStyle="1">
    <w:name w:val="List Table 5 Dark - Accent 2"/>
    <w:uiPriority w:val="99"/>
    <w:qFormat/>
    <w:tblPr>
      <w:tblCellMar>
        <w:left w:w="0" w:type="dxa"/>
        <w:top w:w="0" w:type="dxa"/>
        <w:right w:w="0" w:type="dxa"/>
        <w:bottom w:w="0" w:type="dxa"/>
      </w:tblCellMar>
    </w:tblPr>
  </w:style>
  <w:style w:type="table" w:styleId="925" w:customStyle="1">
    <w:name w:val="List Table 5 Dark - Accent 3"/>
    <w:uiPriority w:val="99"/>
    <w:qFormat/>
    <w:tblPr>
      <w:tblCellMar>
        <w:left w:w="0" w:type="dxa"/>
        <w:top w:w="0" w:type="dxa"/>
        <w:right w:w="0" w:type="dxa"/>
        <w:bottom w:w="0" w:type="dxa"/>
      </w:tblCellMar>
    </w:tblPr>
  </w:style>
  <w:style w:type="table" w:styleId="926" w:customStyle="1">
    <w:name w:val="List Table 5 Dark - Accent 4"/>
    <w:uiPriority w:val="99"/>
    <w:qFormat/>
    <w:tblPr>
      <w:tblCellMar>
        <w:left w:w="0" w:type="dxa"/>
        <w:top w:w="0" w:type="dxa"/>
        <w:right w:w="0" w:type="dxa"/>
        <w:bottom w:w="0" w:type="dxa"/>
      </w:tblCellMar>
    </w:tblPr>
  </w:style>
  <w:style w:type="table" w:styleId="927" w:customStyle="1">
    <w:name w:val="List Table 5 Dark - Accent 5"/>
    <w:uiPriority w:val="99"/>
    <w:qFormat/>
    <w:tblPr>
      <w:tblCellMar>
        <w:left w:w="0" w:type="dxa"/>
        <w:top w:w="0" w:type="dxa"/>
        <w:right w:w="0" w:type="dxa"/>
        <w:bottom w:w="0" w:type="dxa"/>
      </w:tblCellMar>
    </w:tblPr>
  </w:style>
  <w:style w:type="table" w:styleId="928" w:customStyle="1">
    <w:name w:val="List Table 5 Dark - Accent 6"/>
    <w:uiPriority w:val="99"/>
    <w:qFormat/>
    <w:tblPr>
      <w:tblCellMar>
        <w:left w:w="0" w:type="dxa"/>
        <w:top w:w="0" w:type="dxa"/>
        <w:right w:w="0" w:type="dxa"/>
        <w:bottom w:w="0" w:type="dxa"/>
      </w:tblCellMar>
    </w:tblPr>
  </w:style>
  <w:style w:type="table" w:styleId="929" w:customStyle="1">
    <w:name w:val="清单表 6 彩色1"/>
    <w:uiPriority w:val="99"/>
    <w:qFormat/>
    <w:tblPr>
      <w:tblCellMar>
        <w:left w:w="0" w:type="dxa"/>
        <w:top w:w="0" w:type="dxa"/>
        <w:right w:w="0" w:type="dxa"/>
        <w:bottom w:w="0" w:type="dxa"/>
      </w:tblCellMar>
    </w:tblPr>
  </w:style>
  <w:style w:type="table" w:styleId="930" w:customStyle="1">
    <w:name w:val="List Table 6 Colorful - Accent 1"/>
    <w:uiPriority w:val="99"/>
    <w:qFormat/>
    <w:tblPr>
      <w:tblCellMar>
        <w:left w:w="0" w:type="dxa"/>
        <w:top w:w="0" w:type="dxa"/>
        <w:right w:w="0" w:type="dxa"/>
        <w:bottom w:w="0" w:type="dxa"/>
      </w:tblCellMar>
    </w:tblPr>
  </w:style>
  <w:style w:type="table" w:styleId="931" w:customStyle="1">
    <w:name w:val="List Table 6 Colorful - Accent 2"/>
    <w:uiPriority w:val="99"/>
    <w:qFormat/>
    <w:tblPr>
      <w:tblCellMar>
        <w:left w:w="0" w:type="dxa"/>
        <w:top w:w="0" w:type="dxa"/>
        <w:right w:w="0" w:type="dxa"/>
        <w:bottom w:w="0" w:type="dxa"/>
      </w:tblCellMar>
    </w:tblPr>
  </w:style>
  <w:style w:type="table" w:styleId="932" w:customStyle="1">
    <w:name w:val="List Table 6 Colorful - Accent 3"/>
    <w:uiPriority w:val="99"/>
    <w:qFormat/>
    <w:tblPr>
      <w:tblCellMar>
        <w:left w:w="0" w:type="dxa"/>
        <w:top w:w="0" w:type="dxa"/>
        <w:right w:w="0" w:type="dxa"/>
        <w:bottom w:w="0" w:type="dxa"/>
      </w:tblCellMar>
    </w:tblPr>
  </w:style>
  <w:style w:type="table" w:styleId="933" w:customStyle="1">
    <w:name w:val="List Table 6 Colorful - Accent 4"/>
    <w:uiPriority w:val="99"/>
    <w:qFormat/>
    <w:tblPr>
      <w:tblCellMar>
        <w:left w:w="0" w:type="dxa"/>
        <w:top w:w="0" w:type="dxa"/>
        <w:right w:w="0" w:type="dxa"/>
        <w:bottom w:w="0" w:type="dxa"/>
      </w:tblCellMar>
    </w:tblPr>
  </w:style>
  <w:style w:type="table" w:styleId="934" w:customStyle="1">
    <w:name w:val="List Table 6 Colorful - Accent 5"/>
    <w:uiPriority w:val="99"/>
    <w:qFormat/>
    <w:tblPr>
      <w:tblCellMar>
        <w:left w:w="0" w:type="dxa"/>
        <w:top w:w="0" w:type="dxa"/>
        <w:right w:w="0" w:type="dxa"/>
        <w:bottom w:w="0" w:type="dxa"/>
      </w:tblCellMar>
    </w:tblPr>
  </w:style>
  <w:style w:type="table" w:styleId="935" w:customStyle="1">
    <w:name w:val="List Table 6 Colorful - Accent 6"/>
    <w:uiPriority w:val="99"/>
    <w:qFormat/>
    <w:tblPr>
      <w:tblCellMar>
        <w:left w:w="0" w:type="dxa"/>
        <w:top w:w="0" w:type="dxa"/>
        <w:right w:w="0" w:type="dxa"/>
        <w:bottom w:w="0" w:type="dxa"/>
      </w:tblCellMar>
    </w:tblPr>
  </w:style>
  <w:style w:type="table" w:styleId="936" w:customStyle="1">
    <w:name w:val="清单表 7 彩色1"/>
    <w:uiPriority w:val="99"/>
    <w:qFormat/>
    <w:tblPr>
      <w:tblCellMar>
        <w:left w:w="0" w:type="dxa"/>
        <w:top w:w="0" w:type="dxa"/>
        <w:right w:w="0" w:type="dxa"/>
        <w:bottom w:w="0" w:type="dxa"/>
      </w:tblCellMar>
    </w:tblPr>
  </w:style>
  <w:style w:type="table" w:styleId="937" w:customStyle="1">
    <w:name w:val="List Table 7 Colorful - Accent 1"/>
    <w:uiPriority w:val="99"/>
    <w:qFormat/>
    <w:tblPr>
      <w:tblCellMar>
        <w:left w:w="0" w:type="dxa"/>
        <w:top w:w="0" w:type="dxa"/>
        <w:right w:w="0" w:type="dxa"/>
        <w:bottom w:w="0" w:type="dxa"/>
      </w:tblCellMar>
    </w:tblPr>
  </w:style>
  <w:style w:type="table" w:styleId="938" w:customStyle="1">
    <w:name w:val="List Table 7 Colorful - Accent 2"/>
    <w:uiPriority w:val="99"/>
    <w:qFormat/>
    <w:tblPr>
      <w:tblCellMar>
        <w:left w:w="0" w:type="dxa"/>
        <w:top w:w="0" w:type="dxa"/>
        <w:right w:w="0" w:type="dxa"/>
        <w:bottom w:w="0" w:type="dxa"/>
      </w:tblCellMar>
    </w:tblPr>
  </w:style>
  <w:style w:type="table" w:styleId="939" w:customStyle="1">
    <w:name w:val="List Table 7 Colorful - Accent 3"/>
    <w:uiPriority w:val="99"/>
    <w:qFormat/>
    <w:tblPr>
      <w:tblCellMar>
        <w:left w:w="0" w:type="dxa"/>
        <w:top w:w="0" w:type="dxa"/>
        <w:right w:w="0" w:type="dxa"/>
        <w:bottom w:w="0" w:type="dxa"/>
      </w:tblCellMar>
    </w:tblPr>
  </w:style>
  <w:style w:type="table" w:styleId="940" w:customStyle="1">
    <w:name w:val="List Table 7 Colorful - Accent 4"/>
    <w:uiPriority w:val="99"/>
    <w:qFormat/>
    <w:tblPr>
      <w:tblCellMar>
        <w:left w:w="0" w:type="dxa"/>
        <w:top w:w="0" w:type="dxa"/>
        <w:right w:w="0" w:type="dxa"/>
        <w:bottom w:w="0" w:type="dxa"/>
      </w:tblCellMar>
    </w:tblPr>
  </w:style>
  <w:style w:type="table" w:styleId="941" w:customStyle="1">
    <w:name w:val="List Table 7 Colorful - Accent 5"/>
    <w:uiPriority w:val="99"/>
    <w:qFormat/>
    <w:tblPr>
      <w:tblCellMar>
        <w:left w:w="0" w:type="dxa"/>
        <w:top w:w="0" w:type="dxa"/>
        <w:right w:w="0" w:type="dxa"/>
        <w:bottom w:w="0" w:type="dxa"/>
      </w:tblCellMar>
    </w:tblPr>
  </w:style>
  <w:style w:type="table" w:styleId="942" w:customStyle="1">
    <w:name w:val="List Table 7 Colorful - Accent 6"/>
    <w:uiPriority w:val="99"/>
    <w:qFormat/>
    <w:tblPr>
      <w:tblCellMar>
        <w:left w:w="0" w:type="dxa"/>
        <w:top w:w="0" w:type="dxa"/>
        <w:right w:w="0" w:type="dxa"/>
        <w:bottom w:w="0" w:type="dxa"/>
      </w:tblCellMar>
    </w:tblPr>
  </w:style>
  <w:style w:type="table" w:styleId="943" w:customStyle="1">
    <w:name w:val="Lined - Accent"/>
    <w:uiPriority w:val="99"/>
    <w:qFormat/>
    <w:rPr>
      <w:color w:val="404040"/>
    </w:rPr>
    <w:tblPr>
      <w:tblCellMar>
        <w:left w:w="0" w:type="dxa"/>
        <w:top w:w="0" w:type="dxa"/>
        <w:right w:w="0" w:type="dxa"/>
        <w:bottom w:w="0" w:type="dxa"/>
      </w:tblCellMar>
    </w:tblPr>
  </w:style>
  <w:style w:type="table" w:styleId="944" w:customStyle="1">
    <w:name w:val="Lined - Accent 1"/>
    <w:uiPriority w:val="99"/>
    <w:qFormat/>
    <w:rPr>
      <w:color w:val="404040"/>
    </w:rPr>
    <w:tblPr>
      <w:tblCellMar>
        <w:left w:w="0" w:type="dxa"/>
        <w:top w:w="0" w:type="dxa"/>
        <w:right w:w="0" w:type="dxa"/>
        <w:bottom w:w="0" w:type="dxa"/>
      </w:tblCellMar>
    </w:tblPr>
  </w:style>
  <w:style w:type="table" w:styleId="945" w:customStyle="1">
    <w:name w:val="Lined - Accent 2"/>
    <w:uiPriority w:val="99"/>
    <w:qFormat/>
    <w:rPr>
      <w:color w:val="404040"/>
    </w:rPr>
    <w:tblPr>
      <w:tblCellMar>
        <w:left w:w="0" w:type="dxa"/>
        <w:top w:w="0" w:type="dxa"/>
        <w:right w:w="0" w:type="dxa"/>
        <w:bottom w:w="0" w:type="dxa"/>
      </w:tblCellMar>
    </w:tblPr>
  </w:style>
  <w:style w:type="table" w:styleId="946" w:customStyle="1">
    <w:name w:val="Lined - Accent 3"/>
    <w:uiPriority w:val="99"/>
    <w:qFormat/>
    <w:rPr>
      <w:color w:val="404040"/>
    </w:rPr>
    <w:tblPr>
      <w:tblCellMar>
        <w:left w:w="0" w:type="dxa"/>
        <w:top w:w="0" w:type="dxa"/>
        <w:right w:w="0" w:type="dxa"/>
        <w:bottom w:w="0" w:type="dxa"/>
      </w:tblCellMar>
    </w:tblPr>
  </w:style>
  <w:style w:type="table" w:styleId="947" w:customStyle="1">
    <w:name w:val="Lined - Accent 4"/>
    <w:uiPriority w:val="99"/>
    <w:qFormat/>
    <w:rPr>
      <w:color w:val="404040"/>
    </w:rPr>
    <w:tblPr>
      <w:tblCellMar>
        <w:left w:w="0" w:type="dxa"/>
        <w:top w:w="0" w:type="dxa"/>
        <w:right w:w="0" w:type="dxa"/>
        <w:bottom w:w="0" w:type="dxa"/>
      </w:tblCellMar>
    </w:tblPr>
  </w:style>
  <w:style w:type="table" w:styleId="948" w:customStyle="1">
    <w:name w:val="Lined - Accent 5"/>
    <w:uiPriority w:val="99"/>
    <w:qFormat/>
    <w:rPr>
      <w:color w:val="404040"/>
    </w:rPr>
    <w:tblPr>
      <w:tblCellMar>
        <w:left w:w="0" w:type="dxa"/>
        <w:top w:w="0" w:type="dxa"/>
        <w:right w:w="0" w:type="dxa"/>
        <w:bottom w:w="0" w:type="dxa"/>
      </w:tblCellMar>
    </w:tblPr>
  </w:style>
  <w:style w:type="table" w:styleId="949" w:customStyle="1">
    <w:name w:val="Lined - Accent 6"/>
    <w:uiPriority w:val="99"/>
    <w:qFormat/>
    <w:rPr>
      <w:color w:val="404040"/>
    </w:rPr>
    <w:tblPr>
      <w:tblCellMar>
        <w:left w:w="0" w:type="dxa"/>
        <w:top w:w="0" w:type="dxa"/>
        <w:right w:w="0" w:type="dxa"/>
        <w:bottom w:w="0" w:type="dxa"/>
      </w:tblCellMar>
    </w:tblPr>
  </w:style>
  <w:style w:type="table" w:styleId="950" w:customStyle="1">
    <w:name w:val="Bordered &amp; Lined - Accent"/>
    <w:uiPriority w:val="99"/>
    <w:qFormat/>
    <w:rPr>
      <w:color w:val="404040"/>
    </w:rPr>
    <w:tblPr>
      <w:tblCellMar>
        <w:left w:w="0" w:type="dxa"/>
        <w:top w:w="0" w:type="dxa"/>
        <w:right w:w="0" w:type="dxa"/>
        <w:bottom w:w="0" w:type="dxa"/>
      </w:tblCellMar>
    </w:tblPr>
  </w:style>
  <w:style w:type="table" w:styleId="951" w:customStyle="1">
    <w:name w:val="Bordered &amp; Lined - Accent 1"/>
    <w:uiPriority w:val="99"/>
    <w:qFormat/>
    <w:rPr>
      <w:color w:val="404040"/>
    </w:rPr>
    <w:tblPr>
      <w:tblCellMar>
        <w:left w:w="0" w:type="dxa"/>
        <w:top w:w="0" w:type="dxa"/>
        <w:right w:w="0" w:type="dxa"/>
        <w:bottom w:w="0" w:type="dxa"/>
      </w:tblCellMar>
    </w:tblPr>
  </w:style>
  <w:style w:type="table" w:styleId="952" w:customStyle="1">
    <w:name w:val="Bordered &amp; Lined - Accent 2"/>
    <w:uiPriority w:val="99"/>
    <w:qFormat/>
    <w:rPr>
      <w:color w:val="404040"/>
    </w:rPr>
    <w:tblPr>
      <w:tblCellMar>
        <w:left w:w="0" w:type="dxa"/>
        <w:top w:w="0" w:type="dxa"/>
        <w:right w:w="0" w:type="dxa"/>
        <w:bottom w:w="0" w:type="dxa"/>
      </w:tblCellMar>
    </w:tblPr>
  </w:style>
  <w:style w:type="table" w:styleId="953" w:customStyle="1">
    <w:name w:val="Bordered &amp; Lined - Accent 3"/>
    <w:uiPriority w:val="99"/>
    <w:qFormat/>
    <w:rPr>
      <w:color w:val="404040"/>
    </w:rPr>
    <w:tblPr>
      <w:tblCellMar>
        <w:left w:w="0" w:type="dxa"/>
        <w:top w:w="0" w:type="dxa"/>
        <w:right w:w="0" w:type="dxa"/>
        <w:bottom w:w="0" w:type="dxa"/>
      </w:tblCellMar>
    </w:tblPr>
  </w:style>
  <w:style w:type="table" w:styleId="954" w:customStyle="1">
    <w:name w:val="Bordered &amp; Lined - Accent 4"/>
    <w:uiPriority w:val="99"/>
    <w:qFormat/>
    <w:rPr>
      <w:color w:val="404040"/>
    </w:rPr>
    <w:tblPr>
      <w:tblCellMar>
        <w:left w:w="0" w:type="dxa"/>
        <w:top w:w="0" w:type="dxa"/>
        <w:right w:w="0" w:type="dxa"/>
        <w:bottom w:w="0" w:type="dxa"/>
      </w:tblCellMar>
    </w:tblPr>
  </w:style>
  <w:style w:type="table" w:styleId="955" w:customStyle="1">
    <w:name w:val="Bordered &amp; Lined - Accent 5"/>
    <w:uiPriority w:val="99"/>
    <w:qFormat/>
    <w:rPr>
      <w:color w:val="404040"/>
    </w:rPr>
    <w:tblPr>
      <w:tblCellMar>
        <w:left w:w="0" w:type="dxa"/>
        <w:top w:w="0" w:type="dxa"/>
        <w:right w:w="0" w:type="dxa"/>
        <w:bottom w:w="0" w:type="dxa"/>
      </w:tblCellMar>
    </w:tblPr>
  </w:style>
  <w:style w:type="table" w:styleId="956" w:customStyle="1">
    <w:name w:val="Bordered &amp; Lined - Accent 6"/>
    <w:uiPriority w:val="99"/>
    <w:qFormat/>
    <w:rPr>
      <w:color w:val="404040"/>
    </w:rPr>
    <w:tblPr>
      <w:tblCellMar>
        <w:left w:w="0" w:type="dxa"/>
        <w:top w:w="0" w:type="dxa"/>
        <w:right w:w="0" w:type="dxa"/>
        <w:bottom w:w="0" w:type="dxa"/>
      </w:tblCellMar>
    </w:tblPr>
  </w:style>
  <w:style w:type="table" w:styleId="957" w:customStyle="1">
    <w:name w:val="Bordered"/>
    <w:uiPriority w:val="99"/>
    <w:qFormat/>
    <w:tblPr>
      <w:tblCellMar>
        <w:left w:w="0" w:type="dxa"/>
        <w:top w:w="0" w:type="dxa"/>
        <w:right w:w="0" w:type="dxa"/>
        <w:bottom w:w="0" w:type="dxa"/>
      </w:tblCellMar>
    </w:tblPr>
  </w:style>
  <w:style w:type="table" w:styleId="958" w:customStyle="1">
    <w:name w:val="Bordered - Accent 1"/>
    <w:uiPriority w:val="99"/>
    <w:qFormat/>
    <w:tblPr>
      <w:tblCellMar>
        <w:left w:w="0" w:type="dxa"/>
        <w:top w:w="0" w:type="dxa"/>
        <w:right w:w="0" w:type="dxa"/>
        <w:bottom w:w="0" w:type="dxa"/>
      </w:tblCellMar>
    </w:tblPr>
  </w:style>
  <w:style w:type="table" w:styleId="959" w:customStyle="1">
    <w:name w:val="Bordered - Accent 2"/>
    <w:uiPriority w:val="99"/>
    <w:qFormat/>
    <w:tblPr>
      <w:tblCellMar>
        <w:left w:w="0" w:type="dxa"/>
        <w:top w:w="0" w:type="dxa"/>
        <w:right w:w="0" w:type="dxa"/>
        <w:bottom w:w="0" w:type="dxa"/>
      </w:tblCellMar>
    </w:tblPr>
  </w:style>
  <w:style w:type="table" w:styleId="960" w:customStyle="1">
    <w:name w:val="Bordered - Accent 3"/>
    <w:uiPriority w:val="99"/>
    <w:qFormat/>
    <w:tblPr>
      <w:tblCellMar>
        <w:left w:w="0" w:type="dxa"/>
        <w:top w:w="0" w:type="dxa"/>
        <w:right w:w="0" w:type="dxa"/>
        <w:bottom w:w="0" w:type="dxa"/>
      </w:tblCellMar>
    </w:tblPr>
  </w:style>
  <w:style w:type="table" w:styleId="961" w:customStyle="1">
    <w:name w:val="Bordered - Accent 4"/>
    <w:uiPriority w:val="99"/>
    <w:qFormat/>
    <w:tblPr>
      <w:tblCellMar>
        <w:left w:w="0" w:type="dxa"/>
        <w:top w:w="0" w:type="dxa"/>
        <w:right w:w="0" w:type="dxa"/>
        <w:bottom w:w="0" w:type="dxa"/>
      </w:tblCellMar>
    </w:tblPr>
  </w:style>
  <w:style w:type="table" w:styleId="962" w:customStyle="1">
    <w:name w:val="Bordered - Accent 5"/>
    <w:uiPriority w:val="99"/>
    <w:qFormat/>
    <w:tblPr>
      <w:tblCellMar>
        <w:left w:w="0" w:type="dxa"/>
        <w:top w:w="0" w:type="dxa"/>
        <w:right w:w="0" w:type="dxa"/>
        <w:bottom w:w="0" w:type="dxa"/>
      </w:tblCellMar>
    </w:tblPr>
  </w:style>
  <w:style w:type="table" w:styleId="963" w:customStyle="1">
    <w:name w:val="Bordered - Accent 6"/>
    <w:uiPriority w:val="99"/>
    <w:qFormat/>
    <w:tblPr>
      <w:tblCellMar>
        <w:left w:w="0" w:type="dxa"/>
        <w:top w:w="0" w:type="dxa"/>
        <w:right w:w="0" w:type="dxa"/>
        <w:bottom w:w="0" w:type="dxa"/>
      </w:tblCellMar>
    </w:tblPr>
  </w:style>
  <w:style w:type="paragraph" w:styleId="964" w:customStyle="1">
    <w:name w:val="TOC 标题2"/>
    <w:uiPriority w:val="39"/>
    <w:qFormat/>
  </w:style>
  <w:style w:type="paragraph" w:styleId="965" w:customStyle="1">
    <w:name w:val="标题 11"/>
    <w:basedOn w:val="695"/>
    <w:next w:val="695"/>
    <w:link w:val="966"/>
    <w:qFormat/>
    <w:pPr>
      <w:jc w:val="center"/>
      <w:keepNext/>
      <w:outlineLvl w:val="0"/>
    </w:pPr>
    <w:rPr>
      <w:rFonts w:ascii="楷体_GB2312" w:eastAsia="楷体_GB2312"/>
      <w:sz w:val="28"/>
      <w:szCs w:val="28"/>
    </w:rPr>
  </w:style>
  <w:style w:type="character" w:styleId="966" w:customStyle="1">
    <w:name w:val="标题 1 字符"/>
    <w:link w:val="965"/>
    <w:qFormat/>
    <w:rPr>
      <w:rFonts w:ascii="楷体_GB2312" w:hAnsi="Times New Roman" w:eastAsia="楷体_GB2312" w:cs="Times New Roman"/>
      <w:sz w:val="28"/>
      <w:szCs w:val="28"/>
    </w:rPr>
  </w:style>
  <w:style w:type="paragraph" w:styleId="967" w:customStyle="1">
    <w:name w:val="标题 21"/>
    <w:basedOn w:val="695"/>
    <w:next w:val="968"/>
    <w:link w:val="969"/>
    <w:qFormat/>
    <w:pPr>
      <w:jc w:val="center"/>
      <w:keepLines/>
      <w:keepNext/>
      <w:spacing w:before="260" w:after="260" w:line="416" w:lineRule="auto"/>
      <w:outlineLvl w:val="1"/>
    </w:pPr>
    <w:rPr>
      <w:rFonts w:ascii="Arial" w:hAnsi="Arial" w:eastAsia="幼圆"/>
      <w:b/>
      <w:bCs/>
      <w:sz w:val="44"/>
      <w:szCs w:val="44"/>
    </w:rPr>
  </w:style>
  <w:style w:type="paragraph" w:styleId="968" w:customStyle="1">
    <w:name w:val="正文缩进1"/>
    <w:basedOn w:val="695"/>
    <w:link w:val="970"/>
    <w:qFormat/>
    <w:pPr>
      <w:ind w:firstLine="420"/>
    </w:pPr>
    <w:rPr>
      <w:sz w:val="20"/>
      <w:szCs w:val="21"/>
    </w:rPr>
  </w:style>
  <w:style w:type="character" w:styleId="969" w:customStyle="1">
    <w:name w:val="标题 2 字符"/>
    <w:link w:val="967"/>
    <w:qFormat/>
    <w:rPr>
      <w:rFonts w:ascii="Arial" w:hAnsi="Arial" w:eastAsia="幼圆" w:cs="Arial"/>
      <w:b/>
      <w:bCs/>
      <w:sz w:val="44"/>
      <w:szCs w:val="44"/>
    </w:rPr>
  </w:style>
  <w:style w:type="character" w:styleId="970" w:customStyle="1">
    <w:name w:val="正文缩进 字符"/>
    <w:link w:val="968"/>
    <w:qFormat/>
    <w:rPr>
      <w:szCs w:val="21"/>
    </w:rPr>
  </w:style>
  <w:style w:type="paragraph" w:styleId="971" w:customStyle="1">
    <w:name w:val="标题 31"/>
    <w:basedOn w:val="695"/>
    <w:next w:val="968"/>
    <w:link w:val="972"/>
    <w:qFormat/>
    <w:pPr>
      <w:keepLines/>
      <w:keepNext/>
      <w:spacing w:before="260" w:after="260" w:line="416" w:lineRule="auto"/>
      <w:outlineLvl w:val="2"/>
    </w:pPr>
    <w:rPr>
      <w:b/>
      <w:bCs/>
      <w:sz w:val="32"/>
      <w:szCs w:val="32"/>
    </w:rPr>
  </w:style>
  <w:style w:type="character" w:styleId="972" w:customStyle="1">
    <w:name w:val="标题 3 字符"/>
    <w:link w:val="971"/>
    <w:qFormat/>
    <w:rPr>
      <w:rFonts w:ascii="Times New Roman" w:hAnsi="Times New Roman" w:eastAsia="宋体" w:cs="Times New Roman"/>
      <w:b/>
      <w:bCs/>
      <w:sz w:val="32"/>
      <w:szCs w:val="32"/>
    </w:rPr>
  </w:style>
  <w:style w:type="paragraph" w:styleId="973" w:customStyle="1">
    <w:name w:val="标题 41"/>
    <w:basedOn w:val="695"/>
    <w:next w:val="968"/>
    <w:link w:val="974"/>
    <w:qFormat/>
    <w:pPr>
      <w:keepLines/>
      <w:keepNext/>
      <w:spacing w:before="280" w:after="290" w:line="376" w:lineRule="auto"/>
      <w:outlineLvl w:val="3"/>
    </w:pPr>
    <w:rPr>
      <w:rFonts w:ascii="Arial" w:hAnsi="Arial" w:eastAsia="黑体"/>
      <w:b/>
      <w:bCs/>
      <w:sz w:val="28"/>
      <w:szCs w:val="28"/>
    </w:rPr>
  </w:style>
  <w:style w:type="character" w:styleId="974" w:customStyle="1">
    <w:name w:val="标题 4 字符"/>
    <w:link w:val="973"/>
    <w:qFormat/>
    <w:rPr>
      <w:rFonts w:ascii="Arial" w:hAnsi="Arial" w:eastAsia="黑体" w:cs="Arial"/>
      <w:b/>
      <w:bCs/>
      <w:sz w:val="28"/>
      <w:szCs w:val="28"/>
    </w:rPr>
  </w:style>
  <w:style w:type="paragraph" w:styleId="975" w:customStyle="1">
    <w:name w:val="标题 51"/>
    <w:basedOn w:val="695"/>
    <w:next w:val="968"/>
    <w:link w:val="976"/>
    <w:qFormat/>
    <w:pPr>
      <w:keepNext/>
      <w:outlineLvl w:val="4"/>
    </w:pPr>
    <w:rPr>
      <w:rFonts w:ascii="宋体"/>
      <w:color w:val="000000"/>
      <w:sz w:val="28"/>
      <w:szCs w:val="28"/>
    </w:rPr>
  </w:style>
  <w:style w:type="character" w:styleId="976" w:customStyle="1">
    <w:name w:val="标题 5 字符"/>
    <w:link w:val="975"/>
    <w:qFormat/>
    <w:rPr>
      <w:rFonts w:ascii="宋体" w:hAnsi="Times New Roman" w:eastAsia="宋体" w:cs="Times New Roman"/>
      <w:color w:val="000000"/>
      <w:sz w:val="28"/>
      <w:szCs w:val="28"/>
    </w:rPr>
  </w:style>
  <w:style w:type="paragraph" w:styleId="977" w:customStyle="1">
    <w:name w:val="标题 61"/>
    <w:basedOn w:val="695"/>
    <w:next w:val="695"/>
    <w:link w:val="978"/>
    <w:qFormat/>
    <w:pPr>
      <w:numPr>
        <w:ilvl w:val="5"/>
        <w:numId w:val="1"/>
      </w:numPr>
      <w:keepLines/>
      <w:keepNext/>
      <w:spacing w:before="240" w:after="64" w:line="320" w:lineRule="auto"/>
      <w:outlineLvl w:val="5"/>
    </w:pPr>
    <w:rPr>
      <w:rFonts w:ascii="Arial" w:hAnsi="Arial" w:eastAsia="黑体"/>
      <w:b/>
      <w:bCs/>
      <w:sz w:val="24"/>
      <w:szCs w:val="24"/>
    </w:rPr>
  </w:style>
  <w:style w:type="character" w:styleId="978" w:customStyle="1">
    <w:name w:val="标题 6 字符"/>
    <w:link w:val="977"/>
    <w:qFormat/>
    <w:rPr>
      <w:rFonts w:ascii="Arial" w:hAnsi="Arial" w:eastAsia="黑体" w:cs="Times New Roman"/>
      <w:b/>
      <w:bCs/>
      <w:sz w:val="24"/>
      <w:szCs w:val="24"/>
    </w:rPr>
  </w:style>
  <w:style w:type="paragraph" w:styleId="979" w:customStyle="1">
    <w:name w:val="标题 71"/>
    <w:basedOn w:val="695"/>
    <w:next w:val="695"/>
    <w:link w:val="980"/>
    <w:qFormat/>
    <w:pPr>
      <w:numPr>
        <w:ilvl w:val="6"/>
        <w:numId w:val="1"/>
      </w:numPr>
      <w:keepLines/>
      <w:keepNext/>
      <w:spacing w:before="240" w:after="64" w:line="320" w:lineRule="auto"/>
      <w:outlineLvl w:val="6"/>
    </w:pPr>
    <w:rPr>
      <w:b/>
      <w:bCs/>
      <w:sz w:val="24"/>
      <w:szCs w:val="24"/>
    </w:rPr>
  </w:style>
  <w:style w:type="character" w:styleId="980" w:customStyle="1">
    <w:name w:val="标题 7 字符"/>
    <w:link w:val="979"/>
    <w:qFormat/>
    <w:rPr>
      <w:rFonts w:ascii="Times New Roman" w:hAnsi="Times New Roman" w:eastAsia="宋体" w:cs="Times New Roman"/>
      <w:b/>
      <w:bCs/>
      <w:sz w:val="24"/>
      <w:szCs w:val="24"/>
    </w:rPr>
  </w:style>
  <w:style w:type="paragraph" w:styleId="981" w:customStyle="1">
    <w:name w:val="标题 81"/>
    <w:basedOn w:val="695"/>
    <w:next w:val="695"/>
    <w:link w:val="982"/>
    <w:qFormat/>
    <w:pPr>
      <w:numPr>
        <w:ilvl w:val="7"/>
        <w:numId w:val="1"/>
      </w:numPr>
      <w:keepLines/>
      <w:keepNext/>
      <w:spacing w:before="240" w:after="64" w:line="320" w:lineRule="auto"/>
      <w:outlineLvl w:val="7"/>
    </w:pPr>
    <w:rPr>
      <w:rFonts w:ascii="Arial" w:hAnsi="Arial" w:eastAsia="黑体"/>
      <w:sz w:val="24"/>
      <w:szCs w:val="24"/>
    </w:rPr>
  </w:style>
  <w:style w:type="character" w:styleId="982" w:customStyle="1">
    <w:name w:val="标题 8 字符"/>
    <w:link w:val="981"/>
    <w:qFormat/>
    <w:rPr>
      <w:rFonts w:ascii="Arial" w:hAnsi="Arial" w:eastAsia="黑体" w:cs="Times New Roman"/>
      <w:sz w:val="24"/>
      <w:szCs w:val="24"/>
    </w:rPr>
  </w:style>
  <w:style w:type="paragraph" w:styleId="983" w:customStyle="1">
    <w:name w:val="标题 91"/>
    <w:basedOn w:val="695"/>
    <w:next w:val="695"/>
    <w:link w:val="984"/>
    <w:qFormat/>
    <w:pPr>
      <w:numPr>
        <w:ilvl w:val="8"/>
        <w:numId w:val="1"/>
      </w:numPr>
      <w:keepLines/>
      <w:keepNext/>
      <w:spacing w:before="240" w:after="64" w:line="320" w:lineRule="auto"/>
      <w:outlineLvl w:val="8"/>
    </w:pPr>
    <w:rPr>
      <w:rFonts w:ascii="Arial" w:hAnsi="Arial" w:eastAsia="黑体"/>
      <w:sz w:val="20"/>
      <w:szCs w:val="21"/>
    </w:rPr>
  </w:style>
  <w:style w:type="character" w:styleId="984" w:customStyle="1">
    <w:name w:val="标题 9 字符"/>
    <w:link w:val="983"/>
    <w:qFormat/>
    <w:rPr>
      <w:rFonts w:ascii="Arial" w:hAnsi="Arial" w:eastAsia="黑体" w:cs="Times New Roman"/>
      <w:szCs w:val="21"/>
    </w:rPr>
  </w:style>
  <w:style w:type="table" w:styleId="985" w:customStyle="1">
    <w:name w:val="普通表格1"/>
    <w:uiPriority w:val="99"/>
    <w:unhideWhenUsed/>
    <w:qFormat/>
    <w:tblPr>
      <w:tblCellMar>
        <w:left w:w="0" w:type="dxa"/>
        <w:top w:w="0" w:type="dxa"/>
        <w:right w:w="0" w:type="dxa"/>
        <w:bottom w:w="0" w:type="dxa"/>
      </w:tblCellMar>
    </w:tblPr>
  </w:style>
  <w:style w:type="paragraph" w:styleId="986" w:customStyle="1">
    <w:name w:val="列表 31"/>
    <w:basedOn w:val="695"/>
    <w:qFormat/>
    <w:pPr>
      <w:ind w:left="100" w:hanging="200"/>
    </w:pPr>
    <w:rPr>
      <w:szCs w:val="21"/>
    </w:rPr>
  </w:style>
  <w:style w:type="paragraph" w:styleId="987" w:customStyle="1">
    <w:name w:val="目录 71"/>
    <w:basedOn w:val="695"/>
    <w:next w:val="695"/>
    <w:semiHidden/>
    <w:qFormat/>
    <w:pPr>
      <w:ind w:left="1260"/>
      <w:jc w:val="left"/>
    </w:pPr>
    <w:rPr>
      <w:szCs w:val="21"/>
    </w:rPr>
  </w:style>
  <w:style w:type="paragraph" w:styleId="988" w:customStyle="1">
    <w:name w:val="文档结构图1"/>
    <w:basedOn w:val="695"/>
    <w:link w:val="989"/>
    <w:semiHidden/>
    <w:qFormat/>
    <w:pPr>
      <w:shd w:val="clear" w:color="auto" w:fill="000080"/>
    </w:pPr>
    <w:rPr>
      <w:sz w:val="20"/>
      <w:szCs w:val="21"/>
    </w:rPr>
  </w:style>
  <w:style w:type="character" w:styleId="989" w:customStyle="1">
    <w:name w:val="文档结构图 字符"/>
    <w:link w:val="988"/>
    <w:semiHidden/>
    <w:qFormat/>
    <w:rPr>
      <w:rFonts w:ascii="Times New Roman" w:hAnsi="Times New Roman" w:eastAsia="宋体" w:cs="Times New Roman"/>
      <w:szCs w:val="21"/>
      <w:shd w:val="clear" w:color="auto" w:fill="000080"/>
    </w:rPr>
  </w:style>
  <w:style w:type="paragraph" w:styleId="990" w:customStyle="1">
    <w:name w:val="批注文字1"/>
    <w:basedOn w:val="695"/>
    <w:link w:val="991"/>
    <w:uiPriority w:val="99"/>
    <w:unhideWhenUsed/>
    <w:qFormat/>
    <w:pPr>
      <w:jc w:val="left"/>
    </w:pPr>
  </w:style>
  <w:style w:type="character" w:styleId="991" w:customStyle="1">
    <w:name w:val="批注文字 字符"/>
    <w:link w:val="990"/>
    <w:uiPriority w:val="99"/>
    <w:semiHidden/>
    <w:qFormat/>
  </w:style>
  <w:style w:type="paragraph" w:styleId="992" w:customStyle="1">
    <w:name w:val="正文文本 31"/>
    <w:basedOn w:val="695"/>
    <w:link w:val="993"/>
    <w:qFormat/>
    <w:rPr>
      <w:rFonts w:ascii="仿宋_GB2312" w:hAnsi="Arial" w:eastAsia="仿宋_GB2312"/>
      <w:sz w:val="32"/>
      <w:szCs w:val="32"/>
    </w:rPr>
  </w:style>
  <w:style w:type="character" w:styleId="993" w:customStyle="1">
    <w:name w:val="正文文本 3 字符"/>
    <w:link w:val="992"/>
    <w:qFormat/>
    <w:rPr>
      <w:rFonts w:ascii="仿宋_GB2312" w:hAnsi="Arial" w:eastAsia="仿宋_GB2312" w:cs="Times New Roman"/>
      <w:sz w:val="32"/>
      <w:szCs w:val="32"/>
    </w:rPr>
  </w:style>
  <w:style w:type="paragraph" w:styleId="994" w:customStyle="1">
    <w:name w:val="正文文本缩进1"/>
    <w:basedOn w:val="695"/>
    <w:link w:val="995"/>
    <w:uiPriority w:val="99"/>
    <w:unhideWhenUsed/>
    <w:qFormat/>
    <w:pPr>
      <w:ind w:left="420"/>
      <w:spacing w:after="120"/>
    </w:pPr>
  </w:style>
  <w:style w:type="character" w:styleId="995" w:customStyle="1">
    <w:name w:val="正文文本缩进 字符"/>
    <w:link w:val="994"/>
    <w:uiPriority w:val="99"/>
    <w:semiHidden/>
    <w:qFormat/>
  </w:style>
  <w:style w:type="paragraph" w:styleId="996" w:customStyle="1">
    <w:name w:val="列表 21"/>
    <w:basedOn w:val="695"/>
    <w:qFormat/>
    <w:pPr>
      <w:ind w:left="100" w:hanging="200"/>
    </w:pPr>
    <w:rPr>
      <w:szCs w:val="21"/>
    </w:rPr>
  </w:style>
  <w:style w:type="paragraph" w:styleId="997" w:customStyle="1">
    <w:name w:val="目录 51"/>
    <w:basedOn w:val="695"/>
    <w:next w:val="695"/>
    <w:semiHidden/>
    <w:qFormat/>
    <w:pPr>
      <w:ind w:left="840"/>
      <w:jc w:val="left"/>
    </w:pPr>
    <w:rPr>
      <w:szCs w:val="21"/>
    </w:rPr>
  </w:style>
  <w:style w:type="paragraph" w:styleId="998" w:customStyle="1">
    <w:name w:val="目录 31"/>
    <w:basedOn w:val="695"/>
    <w:next w:val="695"/>
    <w:semiHidden/>
    <w:qFormat/>
    <w:pPr>
      <w:ind w:left="420"/>
      <w:jc w:val="left"/>
    </w:pPr>
    <w:rPr>
      <w:i/>
      <w:iCs/>
      <w:szCs w:val="24"/>
    </w:rPr>
  </w:style>
  <w:style w:type="paragraph" w:styleId="999" w:customStyle="1">
    <w:name w:val="纯文本1"/>
    <w:basedOn w:val="695"/>
    <w:link w:val="1000"/>
    <w:qFormat/>
    <w:rPr>
      <w:rFonts w:ascii="宋体" w:hAnsi="Courier New"/>
      <w:sz w:val="20"/>
      <w:szCs w:val="21"/>
    </w:rPr>
  </w:style>
  <w:style w:type="character" w:styleId="1000" w:customStyle="1">
    <w:name w:val="纯文本 字符"/>
    <w:link w:val="999"/>
    <w:qFormat/>
    <w:rPr>
      <w:rFonts w:ascii="宋体" w:hAnsi="Courier New" w:eastAsia="宋体" w:cs="Courier New"/>
      <w:szCs w:val="21"/>
    </w:rPr>
  </w:style>
  <w:style w:type="paragraph" w:styleId="1001" w:customStyle="1">
    <w:name w:val="目录 81"/>
    <w:basedOn w:val="695"/>
    <w:next w:val="695"/>
    <w:semiHidden/>
    <w:qFormat/>
    <w:pPr>
      <w:ind w:left="1470"/>
      <w:jc w:val="left"/>
    </w:pPr>
    <w:rPr>
      <w:szCs w:val="21"/>
    </w:rPr>
  </w:style>
  <w:style w:type="paragraph" w:styleId="1002" w:customStyle="1">
    <w:name w:val="日期1"/>
    <w:basedOn w:val="695"/>
    <w:next w:val="695"/>
    <w:link w:val="1003"/>
    <w:qFormat/>
    <w:rPr>
      <w:sz w:val="24"/>
      <w:szCs w:val="24"/>
    </w:rPr>
  </w:style>
  <w:style w:type="character" w:styleId="1003" w:customStyle="1">
    <w:name w:val="日期 字符"/>
    <w:link w:val="1002"/>
    <w:qFormat/>
    <w:rPr>
      <w:rFonts w:ascii="Times New Roman" w:hAnsi="Times New Roman" w:eastAsia="宋体" w:cs="Times New Roman"/>
      <w:sz w:val="24"/>
      <w:szCs w:val="24"/>
    </w:rPr>
  </w:style>
  <w:style w:type="paragraph" w:styleId="1004" w:customStyle="1">
    <w:name w:val="正文文本缩进 21"/>
    <w:basedOn w:val="695"/>
    <w:link w:val="1005"/>
    <w:qFormat/>
    <w:pPr>
      <w:ind w:left="630" w:firstLine="645"/>
    </w:pPr>
    <w:rPr>
      <w:rFonts w:ascii="Arial" w:hAnsi="Arial" w:eastAsia="仿宋_GB2312"/>
      <w:sz w:val="32"/>
      <w:szCs w:val="32"/>
    </w:rPr>
  </w:style>
  <w:style w:type="character" w:styleId="1005" w:customStyle="1">
    <w:name w:val="正文文本缩进 2 字符"/>
    <w:link w:val="1004"/>
    <w:qFormat/>
    <w:rPr>
      <w:rFonts w:ascii="Arial" w:hAnsi="Arial" w:eastAsia="仿宋_GB2312" w:cs="Arial"/>
      <w:sz w:val="32"/>
      <w:szCs w:val="32"/>
    </w:rPr>
  </w:style>
  <w:style w:type="paragraph" w:styleId="1006" w:customStyle="1">
    <w:name w:val="批注框文本1"/>
    <w:basedOn w:val="695"/>
    <w:link w:val="1007"/>
    <w:semiHidden/>
    <w:qFormat/>
    <w:rPr>
      <w:sz w:val="18"/>
      <w:szCs w:val="18"/>
    </w:rPr>
  </w:style>
  <w:style w:type="character" w:styleId="1007" w:customStyle="1">
    <w:name w:val="批注框文本 字符"/>
    <w:link w:val="1006"/>
    <w:semiHidden/>
    <w:qFormat/>
    <w:rPr>
      <w:rFonts w:ascii="Times New Roman" w:hAnsi="Times New Roman" w:eastAsia="宋体" w:cs="Times New Roman"/>
      <w:sz w:val="18"/>
      <w:szCs w:val="18"/>
    </w:rPr>
  </w:style>
  <w:style w:type="paragraph" w:styleId="1008" w:customStyle="1">
    <w:name w:val="页脚1"/>
    <w:basedOn w:val="695"/>
    <w:link w:val="1009"/>
    <w:qFormat/>
    <w:pPr>
      <w:jc w:val="left"/>
      <w:tabs>
        <w:tab w:val="center" w:pos="4153" w:leader="none"/>
        <w:tab w:val="right" w:pos="8306" w:leader="none"/>
      </w:tabs>
    </w:pPr>
    <w:rPr>
      <w:sz w:val="18"/>
      <w:szCs w:val="18"/>
    </w:rPr>
  </w:style>
  <w:style w:type="character" w:styleId="1009" w:customStyle="1">
    <w:name w:val="页脚 字符"/>
    <w:link w:val="1008"/>
    <w:qFormat/>
    <w:rPr>
      <w:rFonts w:ascii="Times New Roman" w:hAnsi="Times New Roman" w:eastAsia="宋体" w:cs="Times New Roman"/>
      <w:sz w:val="18"/>
      <w:szCs w:val="18"/>
    </w:rPr>
  </w:style>
  <w:style w:type="paragraph" w:styleId="1010" w:customStyle="1">
    <w:name w:val="页眉1"/>
    <w:basedOn w:val="695"/>
    <w:link w:val="1011"/>
    <w:qFormat/>
    <w:pPr>
      <w:jc w:val="center"/>
      <w:tabs>
        <w:tab w:val="center" w:pos="4153" w:leader="none"/>
        <w:tab w:val="right" w:pos="8306" w:leader="none"/>
      </w:tabs>
      <w:pBdr>
        <w:bottom w:val="single" w:color="000000" w:sz="6" w:space="1"/>
      </w:pBdr>
    </w:pPr>
    <w:rPr>
      <w:sz w:val="18"/>
      <w:szCs w:val="18"/>
    </w:rPr>
  </w:style>
  <w:style w:type="character" w:styleId="1011" w:customStyle="1">
    <w:name w:val="页眉 字符"/>
    <w:link w:val="1010"/>
    <w:qFormat/>
    <w:rPr>
      <w:rFonts w:ascii="Times New Roman" w:hAnsi="Times New Roman" w:eastAsia="宋体" w:cs="Times New Roman"/>
      <w:sz w:val="18"/>
      <w:szCs w:val="18"/>
    </w:rPr>
  </w:style>
  <w:style w:type="paragraph" w:styleId="1012" w:customStyle="1">
    <w:name w:val="目录 11"/>
    <w:basedOn w:val="695"/>
    <w:next w:val="695"/>
    <w:semiHidden/>
    <w:qFormat/>
    <w:pPr>
      <w:jc w:val="left"/>
      <w:spacing w:before="120" w:after="120" w:line="400" w:lineRule="exact"/>
      <w:tabs>
        <w:tab w:val="right" w:pos="8720" w:leader="dot"/>
      </w:tabs>
    </w:pPr>
    <w:rPr>
      <w:rFonts w:ascii="宋体" w:hAnsi="宋体"/>
      <w:caps/>
      <w:sz w:val="24"/>
      <w:szCs w:val="24"/>
    </w:rPr>
  </w:style>
  <w:style w:type="paragraph" w:styleId="1013" w:customStyle="1">
    <w:name w:val="目录 41"/>
    <w:basedOn w:val="695"/>
    <w:next w:val="695"/>
    <w:semiHidden/>
    <w:qFormat/>
    <w:pPr>
      <w:ind w:left="630"/>
      <w:jc w:val="left"/>
    </w:pPr>
    <w:rPr>
      <w:szCs w:val="21"/>
    </w:rPr>
  </w:style>
  <w:style w:type="paragraph" w:styleId="1014" w:customStyle="1">
    <w:name w:val="列表1"/>
    <w:basedOn w:val="695"/>
    <w:qFormat/>
    <w:pPr>
      <w:ind w:left="200" w:hanging="200"/>
    </w:pPr>
    <w:rPr>
      <w:szCs w:val="21"/>
    </w:rPr>
  </w:style>
  <w:style w:type="paragraph" w:styleId="1015" w:customStyle="1">
    <w:name w:val="目录 61"/>
    <w:basedOn w:val="695"/>
    <w:next w:val="695"/>
    <w:semiHidden/>
    <w:qFormat/>
    <w:pPr>
      <w:ind w:left="1050"/>
      <w:jc w:val="left"/>
    </w:pPr>
    <w:rPr>
      <w:szCs w:val="21"/>
    </w:rPr>
  </w:style>
  <w:style w:type="paragraph" w:styleId="1016" w:customStyle="1">
    <w:name w:val="正文文本缩进 31"/>
    <w:basedOn w:val="695"/>
    <w:link w:val="1017"/>
    <w:qFormat/>
    <w:pPr>
      <w:ind w:left="645" w:firstLine="645"/>
    </w:pPr>
    <w:rPr>
      <w:rFonts w:ascii="Arial" w:hAnsi="Arial" w:eastAsia="仿宋_GB2312"/>
      <w:color w:val="ffff00"/>
      <w:sz w:val="32"/>
      <w:szCs w:val="32"/>
    </w:rPr>
  </w:style>
  <w:style w:type="character" w:styleId="1017" w:customStyle="1">
    <w:name w:val="正文文本缩进 3 字符"/>
    <w:link w:val="1016"/>
    <w:qFormat/>
    <w:rPr>
      <w:rFonts w:ascii="Arial" w:hAnsi="Arial" w:eastAsia="仿宋_GB2312" w:cs="Arial"/>
      <w:color w:val="ffff00"/>
      <w:sz w:val="32"/>
      <w:szCs w:val="32"/>
    </w:rPr>
  </w:style>
  <w:style w:type="paragraph" w:styleId="1018" w:customStyle="1">
    <w:name w:val="图表目录1"/>
    <w:basedOn w:val="695"/>
    <w:next w:val="695"/>
    <w:semiHidden/>
    <w:qFormat/>
    <w:pPr>
      <w:ind w:left="840" w:hanging="420"/>
    </w:pPr>
    <w:rPr>
      <w:szCs w:val="21"/>
    </w:rPr>
  </w:style>
  <w:style w:type="paragraph" w:styleId="1019" w:customStyle="1">
    <w:name w:val="目录 21"/>
    <w:basedOn w:val="695"/>
    <w:next w:val="695"/>
    <w:semiHidden/>
    <w:qFormat/>
    <w:pPr>
      <w:ind w:left="210"/>
      <w:jc w:val="left"/>
    </w:pPr>
    <w:rPr>
      <w:smallCaps/>
      <w:szCs w:val="24"/>
    </w:rPr>
  </w:style>
  <w:style w:type="paragraph" w:styleId="1020" w:customStyle="1">
    <w:name w:val="目录 91"/>
    <w:basedOn w:val="695"/>
    <w:next w:val="695"/>
    <w:semiHidden/>
    <w:qFormat/>
    <w:pPr>
      <w:ind w:left="1680"/>
      <w:jc w:val="left"/>
    </w:pPr>
    <w:rPr>
      <w:szCs w:val="21"/>
    </w:rPr>
  </w:style>
  <w:style w:type="paragraph" w:styleId="1021" w:customStyle="1">
    <w:name w:val="正文文本 21"/>
    <w:basedOn w:val="695"/>
    <w:link w:val="1022"/>
    <w:qFormat/>
    <w:pPr>
      <w:jc w:val="center"/>
      <w:widowControl/>
    </w:pPr>
    <w:rPr>
      <w:rFonts w:ascii="楷体_GB2312" w:eastAsia="楷体_GB2312"/>
      <w:sz w:val="28"/>
      <w:szCs w:val="28"/>
    </w:rPr>
  </w:style>
  <w:style w:type="character" w:styleId="1022" w:customStyle="1">
    <w:name w:val="正文文本 2 字符"/>
    <w:link w:val="1021"/>
    <w:qFormat/>
    <w:rPr>
      <w:rFonts w:ascii="楷体_GB2312" w:hAnsi="Times New Roman" w:eastAsia="楷体_GB2312" w:cs="Times New Roman"/>
      <w:sz w:val="28"/>
      <w:szCs w:val="28"/>
    </w:rPr>
  </w:style>
  <w:style w:type="paragraph" w:styleId="1023" w:customStyle="1">
    <w:name w:val="普通(网站)1"/>
    <w:basedOn w:val="695"/>
    <w:uiPriority w:val="99"/>
    <w:qFormat/>
    <w:pPr>
      <w:jc w:val="left"/>
      <w:spacing w:before="100" w:beforeAutospacing="1" w:after="100" w:afterAutospacing="1"/>
      <w:widowControl/>
    </w:pPr>
    <w:rPr>
      <w:rFonts w:ascii="宋体" w:hAnsi="宋体" w:cs="宋体"/>
      <w:sz w:val="24"/>
      <w:szCs w:val="24"/>
    </w:rPr>
  </w:style>
  <w:style w:type="paragraph" w:styleId="1024" w:customStyle="1">
    <w:name w:val="索引 11"/>
    <w:basedOn w:val="695"/>
    <w:next w:val="695"/>
    <w:semiHidden/>
    <w:qFormat/>
    <w:pPr>
      <w:spacing w:line="240" w:lineRule="atLeast"/>
    </w:pPr>
    <w:rPr>
      <w:b/>
      <w:bCs/>
      <w:szCs w:val="21"/>
    </w:rPr>
  </w:style>
  <w:style w:type="paragraph" w:styleId="1025" w:customStyle="1">
    <w:name w:val="批注主题1"/>
    <w:basedOn w:val="990"/>
    <w:next w:val="990"/>
    <w:link w:val="1026"/>
    <w:semiHidden/>
    <w:qFormat/>
    <w:rPr>
      <w:b/>
      <w:bCs/>
      <w:sz w:val="20"/>
      <w:szCs w:val="21"/>
    </w:rPr>
  </w:style>
  <w:style w:type="character" w:styleId="1026" w:customStyle="1">
    <w:name w:val="批注主题 字符"/>
    <w:link w:val="1025"/>
    <w:semiHidden/>
    <w:qFormat/>
    <w:rPr>
      <w:rFonts w:ascii="Times New Roman" w:hAnsi="Times New Roman" w:eastAsia="宋体" w:cs="Times New Roman"/>
      <w:b/>
      <w:bCs/>
      <w:szCs w:val="21"/>
    </w:rPr>
  </w:style>
  <w:style w:type="paragraph" w:styleId="1027" w:customStyle="1">
    <w:name w:val="正文首行缩进1"/>
    <w:basedOn w:val="695"/>
    <w:link w:val="1028"/>
    <w:qFormat/>
    <w:pPr>
      <w:ind w:firstLine="200"/>
      <w:spacing w:line="360" w:lineRule="auto"/>
    </w:pPr>
    <w:rPr>
      <w:rFonts w:ascii="仿宋_GB2312" w:eastAsia="仿宋_GB2312"/>
      <w:sz w:val="30"/>
      <w:szCs w:val="30"/>
    </w:rPr>
  </w:style>
  <w:style w:type="character" w:styleId="1028" w:customStyle="1">
    <w:name w:val="正文首行缩进 字符"/>
    <w:link w:val="1027"/>
    <w:qFormat/>
    <w:rPr>
      <w:rFonts w:ascii="仿宋_GB2312" w:hAnsi="Times New Roman" w:eastAsia="仿宋_GB2312" w:cs="Times New Roman"/>
      <w:sz w:val="30"/>
      <w:szCs w:val="30"/>
    </w:rPr>
  </w:style>
  <w:style w:type="paragraph" w:styleId="1029" w:customStyle="1">
    <w:name w:val="正文首行缩进 21"/>
    <w:basedOn w:val="994"/>
    <w:link w:val="1030"/>
    <w:qFormat/>
    <w:pPr>
      <w:ind w:left="0" w:firstLine="420"/>
      <w:spacing w:after="0" w:line="360" w:lineRule="auto"/>
    </w:pPr>
    <w:rPr>
      <w:rFonts w:ascii="宋体" w:hAnsi="宋体"/>
      <w:sz w:val="20"/>
      <w:szCs w:val="20"/>
    </w:rPr>
  </w:style>
  <w:style w:type="character" w:styleId="1030" w:customStyle="1">
    <w:name w:val="正文首行缩进 2 字符"/>
    <w:link w:val="1029"/>
    <w:qFormat/>
    <w:rPr>
      <w:rFonts w:ascii="宋体" w:hAnsi="宋体" w:eastAsia="宋体" w:cs="Times New Roman"/>
      <w:szCs w:val="20"/>
    </w:rPr>
  </w:style>
  <w:style w:type="table" w:styleId="1031" w:customStyle="1">
    <w:name w:val="网格型1"/>
    <w:basedOn w:val="985"/>
    <w:qFormat/>
    <w:pPr>
      <w:jc w:val="both"/>
      <w:widowControl w:val="off"/>
    </w:pPr>
    <w:tblPr>
      <w:tblCellMar>
        <w:left w:w="0" w:type="dxa"/>
        <w:top w:w="0" w:type="dxa"/>
        <w:right w:w="0" w:type="dxa"/>
        <w:bottom w:w="0" w:type="dxa"/>
      </w:tblCellMar>
    </w:tblPr>
  </w:style>
  <w:style w:type="character" w:styleId="1032" w:customStyle="1">
    <w:name w:val="要点1"/>
    <w:qFormat/>
    <w:rPr>
      <w:b/>
      <w:bCs/>
    </w:rPr>
  </w:style>
  <w:style w:type="character" w:styleId="1033" w:customStyle="1">
    <w:name w:val="页码1"/>
    <w:qFormat/>
  </w:style>
  <w:style w:type="character" w:styleId="1034" w:customStyle="1">
    <w:name w:val="已访问的超链接1"/>
    <w:qFormat/>
    <w:rPr>
      <w:color w:val="800080"/>
      <w:u w:val="single"/>
    </w:rPr>
  </w:style>
  <w:style w:type="character" w:styleId="1035" w:customStyle="1">
    <w:name w:val="超链接1"/>
    <w:qFormat/>
    <w:rPr>
      <w:color w:val="0000ff"/>
      <w:u w:val="single"/>
    </w:rPr>
  </w:style>
  <w:style w:type="character" w:styleId="1036" w:customStyle="1">
    <w:name w:val="批注引用1"/>
    <w:semiHidden/>
    <w:qFormat/>
    <w:rPr>
      <w:sz w:val="21"/>
      <w:szCs w:val="21"/>
    </w:rPr>
  </w:style>
  <w:style w:type="character" w:styleId="1037" w:customStyle="1">
    <w:name w:val="font5 Char"/>
    <w:qFormat/>
    <w:rPr>
      <w:rFonts w:ascii="宋体" w:hAnsi="宋体" w:eastAsia="宋体"/>
      <w:sz w:val="28"/>
      <w:szCs w:val="28"/>
      <w:lang w:val="en-US" w:eastAsia="zh-CN" w:bidi="ar-SA"/>
    </w:rPr>
  </w:style>
  <w:style w:type="character" w:styleId="1038" w:customStyle="1">
    <w:name w:val="二级目录 Char"/>
    <w:link w:val="1039"/>
    <w:qFormat/>
    <w:rPr>
      <w:b/>
      <w:sz w:val="30"/>
      <w:szCs w:val="28"/>
    </w:rPr>
  </w:style>
  <w:style w:type="paragraph" w:styleId="1039" w:customStyle="1">
    <w:name w:val="二级目录"/>
    <w:next w:val="695"/>
    <w:link w:val="1038"/>
    <w:qFormat/>
    <w:pPr>
      <w:ind w:left="907" w:hanging="907"/>
      <w:tabs>
        <w:tab w:val="left" w:pos="907" w:leader="none"/>
        <w:tab w:val="left" w:pos="1145" w:leader="none"/>
      </w:tabs>
      <w:outlineLvl w:val="1"/>
    </w:pPr>
    <w:rPr>
      <w:b/>
      <w:sz w:val="30"/>
      <w:szCs w:val="28"/>
    </w:rPr>
  </w:style>
  <w:style w:type="character" w:styleId="1040" w:customStyle="1">
    <w:name w:val="列出段落 Char"/>
    <w:link w:val="1041"/>
    <w:qFormat/>
    <w:rPr>
      <w:rFonts w:ascii="Calibri" w:hAnsi="Calibri"/>
      <w:sz w:val="24"/>
      <w:szCs w:val="24"/>
      <w:lang w:eastAsia="en-US" w:bidi="en-US"/>
    </w:rPr>
  </w:style>
  <w:style w:type="paragraph" w:styleId="1041" w:customStyle="1">
    <w:name w:val="列出段落11"/>
    <w:basedOn w:val="695"/>
    <w:link w:val="1040"/>
    <w:qFormat/>
    <w:pPr>
      <w:contextualSpacing/>
      <w:ind w:left="720"/>
      <w:jc w:val="left"/>
      <w:widowControl/>
    </w:pPr>
    <w:rPr>
      <w:rFonts w:ascii="Calibri" w:hAnsi="Calibri"/>
      <w:sz w:val="24"/>
      <w:szCs w:val="24"/>
      <w:lang w:eastAsia="en-US" w:bidi="en-US"/>
    </w:rPr>
  </w:style>
  <w:style w:type="paragraph" w:styleId="1042" w:customStyle="1">
    <w:name w:val="Body Text(ch)"/>
    <w:basedOn w:val="695"/>
    <w:next w:val="815"/>
    <w:qFormat/>
    <w:pPr>
      <w:spacing w:after="120"/>
    </w:pPr>
    <w:rPr>
      <w:rFonts w:ascii="宋体" w:hAnsi="Arial"/>
      <w:bCs/>
      <w:iCs/>
      <w:szCs w:val="24"/>
    </w:rPr>
  </w:style>
  <w:style w:type="paragraph" w:styleId="1043" w:customStyle="1">
    <w:name w:val="xl27"/>
    <w:basedOn w:val="69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customStyle="1">
    <w:name w:val="xl26"/>
    <w:basedOn w:val="6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5" w:customStyle="1">
    <w:name w:val="Char"/>
    <w:basedOn w:val="695"/>
    <w:qFormat/>
    <w:pPr>
      <w:ind w:firstLine="200"/>
      <w:tabs>
        <w:tab w:val="left" w:pos="360" w:leader="none"/>
      </w:tabs>
    </w:pPr>
    <w:rPr>
      <w:sz w:val="28"/>
      <w:szCs w:val="30"/>
    </w:rPr>
  </w:style>
  <w:style w:type="paragraph" w:styleId="1046" w:customStyle="1">
    <w:name w:val="Char1"/>
    <w:basedOn w:val="988"/>
    <w:qFormat/>
    <w:rPr>
      <w:rFonts w:ascii="Tahoma" w:hAnsi="Tahoma"/>
      <w:sz w:val="24"/>
      <w:szCs w:val="24"/>
    </w:rPr>
  </w:style>
  <w:style w:type="paragraph" w:styleId="1047" w:customStyle="1">
    <w:name w:val="普通正文"/>
    <w:basedOn w:val="695"/>
    <w:qFormat/>
    <w:pPr>
      <w:ind w:firstLine="480"/>
      <w:jc w:val="left"/>
      <w:spacing w:before="120" w:after="120" w:line="360" w:lineRule="auto"/>
    </w:pPr>
    <w:rPr>
      <w:rFonts w:ascii="Arial" w:hAnsi="Arial"/>
      <w:sz w:val="24"/>
      <w:szCs w:val="24"/>
    </w:rPr>
  </w:style>
  <w:style w:type="paragraph" w:styleId="1048" w:customStyle="1">
    <w:name w:val="table_lines"/>
    <w:basedOn w:val="695"/>
    <w:qFormat/>
    <w:pPr>
      <w:jc w:val="left"/>
      <w:widowControl/>
    </w:pPr>
    <w:rPr>
      <w:sz w:val="20"/>
      <w:szCs w:val="20"/>
      <w:lang w:val="de-DE" w:eastAsia="de-DE"/>
    </w:rPr>
  </w:style>
  <w:style w:type="paragraph" w:styleId="1049" w:customStyle="1">
    <w:name w:val="附录1"/>
    <w:qFormat/>
    <w:pPr>
      <w:numPr>
        <w:numId w:val="2"/>
      </w:numPr>
      <w:spacing w:before="240" w:line="600" w:lineRule="atLeast"/>
    </w:pPr>
    <w:rPr>
      <w:b/>
      <w:i/>
      <w:sz w:val="28"/>
    </w:rPr>
  </w:style>
  <w:style w:type="paragraph" w:styleId="1050" w:customStyle="1">
    <w:name w:val="font7"/>
    <w:basedOn w:val="695"/>
    <w:qFormat/>
    <w:pPr>
      <w:jc w:val="left"/>
      <w:spacing w:before="100" w:beforeAutospacing="1" w:after="100" w:afterAutospacing="1"/>
      <w:widowControl/>
    </w:pPr>
    <w:rPr>
      <w:rFonts w:hint="eastAsia" w:ascii="宋体" w:hAnsi="宋体"/>
      <w:sz w:val="18"/>
      <w:szCs w:val="18"/>
    </w:rPr>
  </w:style>
  <w:style w:type="paragraph" w:styleId="1051" w:customStyle="1">
    <w:name w:val="Char Char Char Char"/>
    <w:basedOn w:val="988"/>
    <w:qFormat/>
    <w:pPr>
      <w:spacing w:line="360" w:lineRule="auto"/>
    </w:pPr>
    <w:rPr>
      <w:rFonts w:ascii="Tahoma" w:hAnsi="Tahoma"/>
      <w:sz w:val="24"/>
      <w:szCs w:val="24"/>
    </w:rPr>
  </w:style>
  <w:style w:type="paragraph" w:styleId="1052" w:customStyle="1">
    <w:name w:val="列出段落2"/>
    <w:basedOn w:val="695"/>
    <w:qFormat/>
    <w:pPr>
      <w:contextualSpacing/>
      <w:ind w:left="720"/>
      <w:jc w:val="left"/>
      <w:widowControl/>
    </w:pPr>
    <w:rPr>
      <w:rFonts w:ascii="Calibri" w:hAnsi="Calibri"/>
      <w:sz w:val="24"/>
      <w:szCs w:val="24"/>
      <w:lang w:eastAsia="en-US" w:bidi="en-US"/>
    </w:rPr>
  </w:style>
  <w:style w:type="paragraph" w:styleId="1053" w:customStyle="1">
    <w:name w:val="4"/>
    <w:basedOn w:val="695"/>
    <w:next w:val="1016"/>
    <w:qFormat/>
    <w:pPr>
      <w:ind w:firstLine="420"/>
      <w:spacing w:line="360" w:lineRule="auto"/>
    </w:pPr>
    <w:rPr>
      <w:color w:val="ff0000"/>
      <w:sz w:val="24"/>
      <w:szCs w:val="24"/>
    </w:rPr>
  </w:style>
  <w:style w:type="paragraph" w:styleId="1054" w:customStyle="1">
    <w:name w:val="普通 (Web)"/>
    <w:basedOn w:val="695"/>
    <w:qFormat/>
    <w:pPr>
      <w:jc w:val="left"/>
      <w:spacing w:before="100" w:beforeAutospacing="1" w:after="100" w:afterAutospacing="1"/>
      <w:widowControl/>
    </w:pPr>
    <w:rPr>
      <w:rFonts w:ascii="宋体" w:hAnsi="宋体"/>
      <w:sz w:val="24"/>
      <w:szCs w:val="24"/>
    </w:rPr>
  </w:style>
  <w:style w:type="paragraph" w:styleId="1055" w:customStyle="1">
    <w:name w:val="Char Char Char Char Char Char Char Char Char Char"/>
    <w:basedOn w:val="695"/>
    <w:qFormat/>
    <w:pPr>
      <w:spacing w:line="360" w:lineRule="auto"/>
    </w:pPr>
    <w:rPr>
      <w:sz w:val="24"/>
      <w:szCs w:val="20"/>
    </w:rPr>
  </w:style>
  <w:style w:type="paragraph" w:styleId="1056" w:customStyle="1">
    <w:name w:val="样式1"/>
    <w:basedOn w:val="695"/>
    <w:qFormat/>
    <w:pPr>
      <w:numPr>
        <w:numId w:val="3"/>
      </w:numPr>
    </w:pPr>
    <w:rPr>
      <w:rFonts w:ascii="宋体" w:hAnsi="宋体"/>
      <w:szCs w:val="21"/>
    </w:rPr>
  </w:style>
  <w:style w:type="paragraph" w:styleId="1057" w:customStyle="1">
    <w:name w:val="font6"/>
    <w:basedOn w:val="695"/>
    <w:qFormat/>
    <w:pPr>
      <w:jc w:val="left"/>
      <w:spacing w:before="100" w:beforeAutospacing="1" w:after="100" w:afterAutospacing="1"/>
      <w:widowControl/>
    </w:pPr>
    <w:rPr>
      <w:rFonts w:hint="eastAsia" w:ascii="宋体" w:hAnsi="宋体"/>
      <w:sz w:val="28"/>
      <w:szCs w:val="28"/>
      <w:u w:val="single"/>
    </w:rPr>
  </w:style>
  <w:style w:type="paragraph" w:styleId="1058" w:customStyle="1">
    <w:name w:val="xl25"/>
    <w:basedOn w:val="69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9" w:customStyle="1">
    <w:name w:val="图标"/>
    <w:basedOn w:val="695"/>
    <w:next w:val="69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0" w:customStyle="1">
    <w:name w:val="标题3"/>
    <w:basedOn w:val="695"/>
    <w:next w:val="695"/>
    <w:qFormat/>
    <w:pPr>
      <w:ind w:firstLine="624"/>
      <w:spacing w:line="590" w:lineRule="atLeast"/>
    </w:pPr>
    <w:rPr>
      <w:rFonts w:ascii="方正黑体_GBK" w:eastAsia="方正黑体_GBK"/>
      <w:sz w:val="32"/>
      <w:szCs w:val="32"/>
    </w:rPr>
  </w:style>
  <w:style w:type="paragraph" w:styleId="1061" w:customStyle="1">
    <w:name w:val="xl24"/>
    <w:basedOn w:val="69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customStyle="1">
    <w:name w:val="xl29"/>
    <w:basedOn w:val="69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3" w:customStyle="1">
    <w:name w:val="Char Char Char Char Char Char Char Char"/>
    <w:basedOn w:val="695"/>
    <w:qFormat/>
    <w:pPr>
      <w:jc w:val="left"/>
      <w:spacing w:after="160" w:line="240" w:lineRule="exact"/>
      <w:widowControl/>
    </w:pPr>
    <w:rPr>
      <w:rFonts w:ascii="Verdana" w:hAnsi="Verdana"/>
      <w:sz w:val="20"/>
      <w:szCs w:val="20"/>
      <w:lang w:eastAsia="en-US"/>
    </w:rPr>
  </w:style>
  <w:style w:type="paragraph" w:styleId="1064" w:customStyle="1">
    <w:name w:val="xl28"/>
    <w:basedOn w:val="69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5" w:customStyle="1">
    <w:name w:val="Char Char Char Char Char Char Char Char1"/>
    <w:basedOn w:val="695"/>
    <w:qFormat/>
    <w:pPr>
      <w:jc w:val="left"/>
      <w:spacing w:after="160" w:line="240" w:lineRule="exact"/>
      <w:widowControl/>
    </w:pPr>
    <w:rPr>
      <w:rFonts w:ascii="Verdana" w:hAnsi="Verdana"/>
      <w:sz w:val="20"/>
      <w:szCs w:val="20"/>
      <w:lang w:eastAsia="en-US"/>
    </w:rPr>
  </w:style>
  <w:style w:type="paragraph" w:styleId="1066" w:customStyle="1">
    <w:name w:val="xl30"/>
    <w:basedOn w:val="695"/>
    <w:qFormat/>
    <w:pPr>
      <w:jc w:val="center"/>
      <w:spacing w:before="100" w:beforeAutospacing="1" w:after="100" w:afterAutospacing="1"/>
      <w:widowControl/>
    </w:pPr>
    <w:rPr>
      <w:rFonts w:ascii="宋体" w:hAnsi="宋体"/>
      <w:b/>
      <w:bCs/>
      <w:sz w:val="36"/>
      <w:szCs w:val="36"/>
    </w:rPr>
  </w:style>
  <w:style w:type="paragraph" w:styleId="1067" w:customStyle="1">
    <w:name w:val="Char Char Char Char1"/>
    <w:basedOn w:val="988"/>
    <w:qFormat/>
    <w:pPr>
      <w:spacing w:line="360" w:lineRule="auto"/>
    </w:pPr>
    <w:rPr>
      <w:rFonts w:ascii="Tahoma" w:hAnsi="Tahoma"/>
      <w:sz w:val="24"/>
      <w:szCs w:val="24"/>
    </w:rPr>
  </w:style>
  <w:style w:type="paragraph" w:styleId="1068" w:customStyle="1">
    <w:name w:val="table_1stline"/>
    <w:basedOn w:val="695"/>
    <w:qFormat/>
    <w:pPr>
      <w:jc w:val="left"/>
      <w:spacing w:before="120"/>
      <w:widowControl/>
    </w:pPr>
    <w:rPr>
      <w:bCs/>
      <w:sz w:val="20"/>
      <w:szCs w:val="20"/>
      <w:lang w:val="de-DE" w:eastAsia="de-DE"/>
    </w:rPr>
  </w:style>
  <w:style w:type="paragraph" w:styleId="1069" w:customStyle="1">
    <w:name w:val="font5"/>
    <w:basedOn w:val="695"/>
    <w:qFormat/>
    <w:pPr>
      <w:jc w:val="left"/>
      <w:spacing w:before="100" w:beforeAutospacing="1" w:after="100" w:afterAutospacing="1"/>
      <w:widowControl/>
    </w:pPr>
    <w:rPr>
      <w:rFonts w:hint="eastAsia" w:ascii="宋体" w:hAnsi="宋体"/>
      <w:sz w:val="28"/>
      <w:szCs w:val="28"/>
    </w:rPr>
  </w:style>
  <w:style w:type="paragraph" w:styleId="1070" w:customStyle="1">
    <w:name w:val="标题1"/>
    <w:basedOn w:val="695"/>
    <w:next w:val="69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1" w:customStyle="1">
    <w:name w:val="修订1"/>
    <w:uiPriority w:val="99"/>
    <w:semiHidden/>
    <w:qFormat/>
    <w:rPr>
      <w:sz w:val="21"/>
      <w:szCs w:val="21"/>
    </w:rPr>
  </w:style>
  <w:style w:type="paragraph" w:styleId="1072" w:customStyle="1">
    <w:name w:val="无间隔11"/>
    <w:uiPriority w:val="99"/>
    <w:qFormat/>
    <w:pPr>
      <w:jc w:val="both"/>
      <w:widowControl w:val="off"/>
    </w:pPr>
    <w:rPr>
      <w:sz w:val="21"/>
      <w:szCs w:val="21"/>
    </w:rPr>
  </w:style>
  <w:style w:type="table" w:styleId="1073" w:customStyle="1">
    <w:name w:val="Table Normal"/>
    <w:uiPriority w:val="2"/>
    <w:qFormat/>
    <w:tblPr>
      <w:tblCellMar>
        <w:left w:w="0" w:type="dxa"/>
        <w:top w:w="0" w:type="dxa"/>
        <w:right w:w="0" w:type="dxa"/>
        <w:bottom w:w="0" w:type="dxa"/>
      </w:tblCellMar>
    </w:tblPr>
  </w:style>
  <w:style w:type="paragraph" w:styleId="1074" w:customStyle="1">
    <w:name w:val="正文文本12"/>
    <w:basedOn w:val="695"/>
    <w:uiPriority w:val="1"/>
    <w:qFormat/>
    <w:pPr>
      <w:ind w:left="120"/>
    </w:pPr>
    <w:rPr>
      <w:rFonts w:ascii="宋体" w:hAnsi="宋体" w:cs="宋体"/>
      <w:szCs w:val="21"/>
      <w:lang w:val="zh-CN" w:bidi="zh-CN"/>
    </w:rPr>
  </w:style>
  <w:style w:type="paragraph" w:styleId="1075" w:customStyle="1">
    <w:name w:val="正文文本 211"/>
    <w:basedOn w:val="695"/>
    <w:uiPriority w:val="99"/>
    <w:qFormat/>
    <w:pPr>
      <w:jc w:val="center"/>
    </w:pPr>
    <w:rPr>
      <w:b/>
      <w:bCs/>
      <w:sz w:val="20"/>
      <w:szCs w:val="20"/>
    </w:rPr>
  </w:style>
  <w:style w:type="paragraph" w:styleId="1076" w:customStyle="1">
    <w:name w:val="正文文本1"/>
    <w:basedOn w:val="695"/>
    <w:next w:val="695"/>
    <w:semiHidden/>
    <w:qFormat/>
    <w:rPr>
      <w:rFonts w:ascii="Arial" w:hAnsi="Arial" w:eastAsia="Arial" w:cs="Arial"/>
      <w:szCs w:val="21"/>
      <w:lang w:eastAsia="en-US"/>
    </w:rPr>
  </w:style>
  <w:style w:type="paragraph" w:styleId="1077" w:customStyle="1">
    <w:name w:val="List Paragraph1"/>
    <w:basedOn w:val="695"/>
    <w:uiPriority w:val="99"/>
    <w:qFormat/>
    <w:pPr>
      <w:ind w:firstLine="420"/>
    </w:pPr>
  </w:style>
  <w:style w:type="character" w:styleId="1078" w:customStyle="1">
    <w:name w:val="font31"/>
    <w:qFormat/>
    <w:rPr>
      <w:rFonts w:hint="eastAsia" w:ascii="宋体" w:hAnsi="宋体" w:eastAsia="宋体" w:cs="宋体"/>
      <w:b/>
      <w:bCs/>
      <w:color w:val="000000"/>
      <w:sz w:val="28"/>
      <w:szCs w:val="28"/>
      <w:u w:val="none"/>
    </w:rPr>
  </w:style>
  <w:style w:type="character" w:styleId="1079" w:customStyle="1">
    <w:name w:val="font61"/>
    <w:qFormat/>
    <w:rPr>
      <w:rFonts w:hint="eastAsia" w:ascii="宋体" w:hAnsi="宋体" w:eastAsia="宋体" w:cs="宋体"/>
      <w:color w:val="000000"/>
      <w:sz w:val="28"/>
      <w:szCs w:val="28"/>
      <w:u w:val="none"/>
    </w:rPr>
  </w:style>
  <w:style w:type="character" w:styleId="1080" w:customStyle="1">
    <w:name w:val="font51"/>
    <w:qFormat/>
    <w:rPr>
      <w:rFonts w:hint="eastAsia" w:ascii="宋体" w:hAnsi="宋体" w:eastAsia="宋体" w:cs="宋体"/>
      <w:color w:val="000000"/>
      <w:sz w:val="28"/>
      <w:szCs w:val="28"/>
      <w:u w:val="none"/>
    </w:rPr>
  </w:style>
  <w:style w:type="character" w:styleId="1081" w:customStyle="1">
    <w:name w:val="font21"/>
    <w:basedOn w:val="817"/>
    <w:qFormat/>
    <w:rPr>
      <w:sz w:val="21"/>
      <w:szCs w:val="22"/>
      <w:lang w:eastAsia="zh-CN"/>
    </w:rPr>
  </w:style>
  <w:style w:type="paragraph" w:styleId="1082" w:customStyle="1">
    <w:name w:val="首行缩进"/>
    <w:basedOn w:val="695"/>
    <w:qFormat/>
    <w:pPr>
      <w:ind w:firstLine="420"/>
      <w:spacing w:line="360" w:lineRule="auto"/>
    </w:pPr>
    <w:rPr>
      <w:sz w:val="20"/>
    </w:rPr>
  </w:style>
  <w:style w:type="character" w:styleId="1083" w:customStyle="1">
    <w:name w:val="c-icon28"/>
    <w:basedOn w:val="781"/>
    <w:qFormat/>
  </w:style>
  <w:style w:type="character" w:styleId="1084" w:customStyle="1">
    <w:name w:val="hover18"/>
    <w:basedOn w:val="781"/>
    <w:qFormat/>
  </w:style>
  <w:style w:type="character" w:styleId="1085" w:customStyle="1">
    <w:name w:val="hover19"/>
    <w:basedOn w:val="781"/>
    <w:qFormat/>
    <w:rPr>
      <w:color w:val="315efb"/>
    </w:rPr>
  </w:style>
  <w:style w:type="character" w:styleId="1086" w:customStyle="1">
    <w:name w:val="hover20"/>
    <w:basedOn w:val="781"/>
    <w:qFormat/>
    <w:rPr>
      <w:color w:val="315efb"/>
    </w:rPr>
  </w:style>
  <w:style w:type="character" w:styleId="1087" w:customStyle="1">
    <w:name w:val="hover21"/>
    <w:basedOn w:val="781"/>
    <w:qFormat/>
    <w:rPr>
      <w:color w:val="315efb"/>
      <w:shd w:val="clear" w:color="auto" w:fill="f0f3fd"/>
    </w:rPr>
  </w:style>
  <w:style w:type="character" w:styleId="1088" w:customStyle="1">
    <w:name w:val="正文文本 字符1"/>
    <w:basedOn w:val="705"/>
    <w:uiPriority w:val="99"/>
    <w:semiHidden/>
    <w:qFormat/>
    <w:rPr>
      <w:sz w:val="21"/>
      <w:szCs w:val="22"/>
    </w:rPr>
  </w:style>
  <w:style w:type="paragraph" w:styleId="1089" w:customStyle="1">
    <w:name w:val="Table Paragraph"/>
    <w:basedOn w:val="695"/>
    <w:uiPriority w:val="1"/>
    <w:qFormat/>
    <w:pPr>
      <w:jc w:val="left"/>
    </w:pPr>
    <w:rPr>
      <w:rFonts w:ascii="宋体" w:hAnsi="宋体" w:cs="宋体"/>
      <w:sz w:val="22"/>
    </w:rPr>
  </w:style>
  <w:style w:type="paragraph" w:styleId="1090" w:customStyle="1">
    <w:name w:val="25"/>
    <w:basedOn w:val="695"/>
    <w:qFormat/>
    <w:pPr>
      <w:jc w:val="left"/>
      <w:spacing w:before="100" w:beforeAutospacing="1" w:after="100" w:afterAutospacing="1"/>
      <w:widowControl/>
    </w:pPr>
    <w:rPr>
      <w:rFonts w:ascii="宋体" w:hAnsi="宋体" w:cs="宋体"/>
      <w:sz w:val="24"/>
      <w:szCs w:val="24"/>
    </w:rPr>
  </w:style>
  <w:style w:type="character" w:styleId="1091" w:customStyle="1">
    <w:name w:val="font11"/>
    <w:basedOn w:val="705"/>
    <w:qFormat/>
    <w:rPr>
      <w:rFonts w:hint="eastAsia" w:ascii="宋体" w:hAnsi="宋体" w:eastAsia="宋体" w:cs="宋体"/>
      <w:color w:val="000000"/>
      <w:sz w:val="22"/>
      <w:szCs w:val="22"/>
      <w:u w:val="none"/>
    </w:rPr>
  </w:style>
  <w:style w:type="character" w:styleId="1092" w:customStyle="1">
    <w:name w:val="font01"/>
    <w:basedOn w:val="705"/>
    <w:qFormat/>
    <w:rPr>
      <w:rFonts w:hint="eastAsia" w:ascii="宋体" w:hAnsi="宋体" w:eastAsia="宋体" w:cs="宋体"/>
      <w:color w:val="000000"/>
      <w:sz w:val="22"/>
      <w:szCs w:val="22"/>
      <w:u w:val="none"/>
    </w:rPr>
  </w:style>
  <w:style w:type="character" w:styleId="1093" w:customStyle="1">
    <w:name w:val="NormalCharacter"/>
    <w:qFormat/>
  </w:style>
  <w:style w:type="character" w:styleId="1094" w:customStyle="1">
    <w:name w:val="15"/>
    <w:basedOn w:val="705"/>
    <w:qFormat/>
    <w:rPr>
      <w:rFonts w:hint="default" w:ascii="Calibri" w:hAnsi="Calibri"/>
    </w:rPr>
  </w:style>
  <w:style w:type="character" w:styleId="1095" w:customStyle="1">
    <w:name w:val="批注框文本 Char1"/>
    <w:basedOn w:val="705"/>
    <w:link w:val="717"/>
    <w:uiPriority w:val="99"/>
    <w:semiHidden/>
    <w:rPr>
      <w:sz w:val="18"/>
      <w:szCs w:val="18"/>
    </w:rPr>
  </w:style>
  <w:style w:type="paragraph" w:styleId="1096" w:customStyle="1">
    <w:name w:val="Table Text"/>
    <w:basedOn w:val="695"/>
    <w:semiHidden/>
    <w:qFormat/>
    <w:pPr>
      <w:ind w:right="89"/>
      <w:jc w:val="center"/>
      <w:spacing w:before="121" w:line="360" w:lineRule="auto"/>
    </w:pPr>
    <w:rPr>
      <w:rFonts w:ascii="宋体" w:hAnsi="宋体" w:cs="宋体"/>
      <w:lang w:eastAsia="en-US"/>
    </w:rPr>
  </w:style>
  <w:style w:type="character" w:styleId="1097" w:customStyle="1">
    <w:name w:val="批注文字 Char1"/>
    <w:basedOn w:val="705"/>
    <w:link w:val="711"/>
    <w:uiPriority w:val="99"/>
    <w:semiHidden/>
    <w:rPr>
      <w:sz w:val="21"/>
      <w:szCs w:val="22"/>
    </w:rPr>
  </w:style>
  <w:style w:type="character" w:styleId="1098" w:customStyle="1">
    <w:name w:val="批注主题 Char1"/>
    <w:basedOn w:val="1097"/>
    <w:link w:val="729"/>
    <w:uiPriority w:val="99"/>
    <w:semiHidden/>
    <w:rPr>
      <w:b/>
      <w:bCs/>
      <w:sz w:val="21"/>
      <w:szCs w:val="22"/>
    </w:rPr>
  </w:style>
  <w:style w:type="character" w:styleId="1099">
    <w:name w:val="FollowedHyperlink"/>
    <w:basedOn w:val="705"/>
    <w:uiPriority w:val="99"/>
    <w:semiHidden/>
    <w:unhideWhenUsed/>
    <w:rPr>
      <w:color w:val="800080"/>
      <w:u w:val="single"/>
    </w:rPr>
  </w:style>
  <w:style w:type="paragraph" w:styleId="1100" w:customStyle="1">
    <w:name w:val="xl75"/>
    <w:basedOn w:val="6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1" w:customStyle="1">
    <w:name w:val="xl76"/>
    <w:basedOn w:val="6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2" w:customStyle="1">
    <w:name w:val="xl77"/>
    <w:basedOn w:val="6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3" w:customStyle="1">
    <w:name w:val="xl78"/>
    <w:basedOn w:val="695"/>
    <w:pPr>
      <w:jc w:val="center"/>
      <w:spacing w:before="100" w:beforeAutospacing="1" w:after="100" w:afterAutospacing="1"/>
      <w:shd w:val="clear" w:color="ffffff"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4" w:customStyle="1">
    <w:name w:val="xl79"/>
    <w:basedOn w:val="695"/>
    <w:pPr>
      <w:jc w:val="center"/>
      <w:spacing w:before="100" w:beforeAutospacing="1" w:after="100" w:afterAutospacing="1"/>
      <w:shd w:val="clear" w:color="000000" w:fill="92d050"/>
      <w:widowControl/>
      <w:pBdr>
        <w:top w:val="single" w:color="auto" w:sz="4" w:space="0"/>
        <w:bottom w:val="single" w:color="auto" w:sz="4" w:space="0"/>
      </w:pBdr>
    </w:pPr>
    <w:rPr>
      <w:rFonts w:ascii="宋体" w:hAnsi="宋体" w:cs="宋体"/>
      <w:sz w:val="20"/>
      <w:szCs w:val="20"/>
    </w:rPr>
  </w:style>
  <w:style w:type="paragraph" w:styleId="1105" w:customStyle="1">
    <w:name w:val="xl80"/>
    <w:basedOn w:val="695"/>
    <w:pPr>
      <w:jc w:val="center"/>
      <w:spacing w:before="100" w:beforeAutospacing="1" w:after="100" w:afterAutospacing="1"/>
      <w:shd w:val="clear" w:color="000000" w:fill="92d050"/>
      <w:widowControl/>
      <w:pBdr>
        <w:top w:val="single" w:color="auto" w:sz="4" w:space="0"/>
        <w:bottom w:val="single" w:color="auto" w:sz="4" w:space="0"/>
        <w:right w:val="single" w:color="auto" w:sz="4" w:space="0"/>
      </w:pBdr>
    </w:pPr>
    <w:rPr>
      <w:rFonts w:ascii="宋体" w:hAnsi="宋体" w:cs="宋体"/>
      <w:sz w:val="20"/>
      <w:szCs w:val="20"/>
    </w:rPr>
  </w:style>
  <w:style w:type="paragraph" w:styleId="1106" w:customStyle="1">
    <w:name w:val="xl81"/>
    <w:basedOn w:val="695"/>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7" w:customStyle="1">
    <w:name w:val="xl82"/>
    <w:basedOn w:val="695"/>
    <w:pPr>
      <w:jc w:val="center"/>
      <w:spacing w:before="100" w:beforeAutospacing="1" w:after="100" w:afterAutospacing="1"/>
      <w:shd w:val="clear" w:color="ffffff" w:fill="ffff00"/>
      <w:widowControl/>
      <w:pBdr>
        <w:top w:val="single" w:color="auto" w:sz="4" w:space="0"/>
        <w:left w:val="single" w:color="auto" w:sz="4" w:space="0"/>
        <w:bottom w:val="single" w:color="auto" w:sz="4" w:space="0"/>
      </w:pBdr>
    </w:pPr>
    <w:rPr>
      <w:rFonts w:ascii="宋体" w:hAnsi="宋体" w:cs="宋体"/>
      <w:sz w:val="20"/>
      <w:szCs w:val="20"/>
    </w:rPr>
  </w:style>
  <w:style w:type="paragraph" w:styleId="1108" w:customStyle="1">
    <w:name w:val="xl83"/>
    <w:basedOn w:val="695"/>
    <w:pPr>
      <w:jc w:val="center"/>
      <w:spacing w:before="100" w:beforeAutospacing="1" w:after="100" w:afterAutospacing="1"/>
      <w:shd w:val="clear" w:color="ffffff" w:fill="ffff00"/>
      <w:widowControl/>
      <w:pBdr>
        <w:top w:val="single" w:color="auto" w:sz="4" w:space="0"/>
        <w:bottom w:val="single" w:color="auto" w:sz="4" w:space="0"/>
      </w:pBdr>
    </w:pPr>
    <w:rPr>
      <w:rFonts w:ascii="宋体" w:hAnsi="宋体" w:cs="宋体"/>
      <w:sz w:val="20"/>
      <w:szCs w:val="20"/>
    </w:rPr>
  </w:style>
  <w:style w:type="paragraph" w:styleId="1109" w:customStyle="1">
    <w:name w:val="xl84"/>
    <w:basedOn w:val="695"/>
    <w:pPr>
      <w:jc w:val="center"/>
      <w:spacing w:before="100" w:beforeAutospacing="1" w:after="100" w:afterAutospacing="1"/>
      <w:shd w:val="clear" w:color="ffffff" w:fill="ffff00"/>
      <w:widowControl/>
      <w:pBdr>
        <w:top w:val="single" w:color="auto" w:sz="4" w:space="0"/>
        <w:bottom w:val="single" w:color="auto" w:sz="4" w:space="0"/>
        <w:right w:val="single" w:color="auto" w:sz="4" w:space="0"/>
      </w:pBdr>
    </w:pPr>
    <w:rPr>
      <w:rFonts w:ascii="宋体" w:hAnsi="宋体" w:cs="宋体"/>
      <w:sz w:val="20"/>
      <w:szCs w:val="20"/>
    </w:rPr>
  </w:style>
  <w:style w:type="paragraph" w:styleId="1110" w:customStyle="1">
    <w:name w:val="xl85"/>
    <w:basedOn w:val="695"/>
    <w:pPr>
      <w:jc w:val="center"/>
      <w:spacing w:before="100" w:beforeAutospacing="1" w:after="100" w:afterAutospacing="1"/>
      <w:shd w:val="clear" w:color="000000" w:fill="ffff00"/>
      <w:widowControl/>
      <w:pBdr>
        <w:top w:val="single" w:color="auto" w:sz="4" w:space="0"/>
        <w:bottom w:val="single" w:color="auto" w:sz="4" w:space="0"/>
      </w:pBdr>
    </w:pPr>
    <w:rPr>
      <w:rFonts w:ascii="宋体" w:hAnsi="宋体" w:cs="宋体"/>
      <w:sz w:val="20"/>
      <w:szCs w:val="20"/>
    </w:rPr>
  </w:style>
  <w:style w:type="paragraph" w:styleId="1111" w:customStyle="1">
    <w:name w:val="xl86"/>
    <w:basedOn w:val="695"/>
    <w:pPr>
      <w:jc w:val="center"/>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宋体" w:hAnsi="宋体" w:cs="宋体"/>
      <w:sz w:val="20"/>
      <w:szCs w:val="20"/>
    </w:rPr>
  </w:style>
  <w:style w:type="paragraph" w:styleId="1112" w:customStyle="1">
    <w:name w:val="xl87"/>
    <w:basedOn w:val="695"/>
    <w:pPr>
      <w:jc w:val="center"/>
      <w:spacing w:before="100" w:beforeAutospacing="1" w:after="100" w:afterAutospacing="1"/>
      <w:shd w:val="clear" w:color="000000" w:fill="ff0000"/>
      <w:widowControl/>
      <w:pBdr>
        <w:top w:val="single" w:color="auto" w:sz="4" w:space="0"/>
        <w:bottom w:val="single" w:color="auto" w:sz="4" w:space="0"/>
      </w:pBdr>
    </w:pPr>
    <w:rPr>
      <w:rFonts w:ascii="宋体" w:hAnsi="宋体" w:cs="宋体"/>
      <w:sz w:val="20"/>
      <w:szCs w:val="20"/>
    </w:rPr>
  </w:style>
  <w:style w:type="paragraph" w:styleId="1113" w:customStyle="1">
    <w:name w:val="xl88"/>
    <w:basedOn w:val="695"/>
    <w:pPr>
      <w:jc w:val="center"/>
      <w:spacing w:before="100" w:beforeAutospacing="1" w:after="100" w:afterAutospacing="1"/>
      <w:shd w:val="clear" w:color="000000" w:fill="ff0000"/>
      <w:widowControl/>
      <w:pBdr>
        <w:top w:val="single" w:color="auto" w:sz="4" w:space="0"/>
        <w:bottom w:val="single" w:color="auto" w:sz="4" w:space="0"/>
        <w:right w:val="single" w:color="auto" w:sz="4" w:space="0"/>
      </w:pBdr>
    </w:pPr>
    <w:rPr>
      <w:rFonts w:ascii="宋体" w:hAnsi="宋体" w:cs="宋体"/>
      <w:sz w:val="20"/>
      <w:szCs w:val="20"/>
    </w:rPr>
  </w:style>
  <w:style w:type="paragraph" w:styleId="1114" w:customStyle="1">
    <w:name w:val="xl89"/>
    <w:basedOn w:val="695"/>
    <w:pPr>
      <w:jc w:val="center"/>
      <w:spacing w:before="100" w:beforeAutospacing="1" w:after="100" w:afterAutospacing="1"/>
      <w:shd w:val="clear" w:color="000000" w:fill="ff0000"/>
      <w:widowControl/>
      <w:pBdr>
        <w:top w:val="single" w:color="auto" w:sz="4" w:space="0"/>
        <w:left w:val="single" w:color="auto" w:sz="4" w:space="0"/>
        <w:bottom w:val="single" w:color="auto" w:sz="4" w:space="0"/>
      </w:pBdr>
    </w:pPr>
    <w:rPr>
      <w:rFonts w:ascii="宋体" w:hAnsi="宋体" w:cs="宋体"/>
      <w:sz w:val="20"/>
      <w:szCs w:val="20"/>
    </w:rPr>
  </w:style>
  <w:style w:type="paragraph" w:styleId="1115" w:customStyle="1">
    <w:name w:val="xl90"/>
    <w:basedOn w:val="695"/>
    <w:pPr>
      <w:jc w:val="center"/>
      <w:spacing w:before="100" w:beforeAutospacing="1" w:after="100" w:afterAutospacing="1"/>
      <w:widowControl/>
      <w:pBdr>
        <w:top w:val="single" w:color="auto" w:sz="4" w:space="0"/>
        <w:bottom w:val="single" w:color="auto" w:sz="4" w:space="0"/>
      </w:pBdr>
    </w:pPr>
    <w:rPr>
      <w:rFonts w:ascii="宋体" w:hAnsi="宋体" w:cs="宋体"/>
      <w:sz w:val="20"/>
      <w:szCs w:val="20"/>
    </w:rPr>
  </w:style>
  <w:style w:type="paragraph" w:styleId="1116" w:customStyle="1">
    <w:name w:val="xl91"/>
    <w:basedOn w:val="695"/>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117" w:customStyle="1">
    <w:name w:val="xl92"/>
    <w:basedOn w:val="695"/>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1118" w:customStyle="1">
    <w:name w:val="xl93"/>
    <w:basedOn w:val="695"/>
    <w:pPr>
      <w:jc w:val="center"/>
      <w:spacing w:before="100" w:beforeAutospacing="1" w:after="100" w:afterAutospacing="1"/>
      <w:shd w:val="clear" w:color="000000" w:fill="ffff00"/>
      <w:widowControl/>
      <w:pBdr>
        <w:top w:val="single" w:color="auto" w:sz="4" w:space="0"/>
        <w:left w:val="single" w:color="auto" w:sz="4" w:space="0"/>
        <w:bottom w:val="single" w:color="auto" w:sz="4" w:space="0"/>
      </w:pBdr>
    </w:pPr>
    <w:rPr>
      <w:rFonts w:ascii="宋体" w:hAnsi="宋体" w:cs="宋体"/>
      <w:sz w:val="20"/>
      <w:szCs w:val="20"/>
    </w:rPr>
  </w:style>
  <w:style w:type="paragraph" w:styleId="1119" w:customStyle="1">
    <w:name w:val="xl94"/>
    <w:basedOn w:val="6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0" w:customStyle="1">
    <w:name w:val="xl95"/>
    <w:basedOn w:val="6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1" w:customStyle="1">
    <w:name w:val="xl96"/>
    <w:basedOn w:val="695"/>
    <w:pPr>
      <w:jc w:val="left"/>
      <w:spacing w:before="100" w:beforeAutospacing="1" w:after="100" w:afterAutospacing="1"/>
      <w:widowControl/>
    </w:pPr>
    <w:rPr>
      <w:rFonts w:ascii="宋体" w:hAnsi="宋体" w:cs="宋体"/>
      <w:sz w:val="24"/>
      <w:szCs w:val="24"/>
    </w:rPr>
  </w:style>
  <w:style w:type="paragraph" w:styleId="1122" w:customStyle="1">
    <w:name w:val="xl97"/>
    <w:basedOn w:val="695"/>
    <w:pPr>
      <w:jc w:val="center"/>
      <w:spacing w:before="100" w:beforeAutospacing="1" w:after="100" w:afterAutospacing="1"/>
      <w:shd w:val="clear" w:color="ffffff"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3" w:customStyle="1">
    <w:name w:val="xl98"/>
    <w:basedOn w:val="695"/>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4" w:customStyle="1">
    <w:name w:val="xl99"/>
    <w:basedOn w:val="695"/>
    <w:pPr>
      <w:jc w:val="center"/>
      <w:spacing w:before="100" w:beforeAutospacing="1" w:after="100" w:afterAutospacing="1"/>
      <w:widowControl/>
      <w:pBdr>
        <w:bottom w:val="single" w:color="auto" w:sz="4" w:space="0"/>
      </w:pBdr>
    </w:pPr>
    <w:rPr>
      <w:rFonts w:ascii="宋体" w:hAnsi="宋体" w:cs="宋体"/>
      <w:sz w:val="20"/>
      <w:szCs w:val="20"/>
    </w:rPr>
  </w:style>
  <w:style w:type="paragraph" w:styleId="1125" w:customStyle="1">
    <w:name w:val="xl73"/>
    <w:basedOn w:val="695"/>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6" w:customStyle="1">
    <w:name w:val="xl74"/>
    <w:basedOn w:val="695"/>
    <w:pPr>
      <w:jc w:val="center"/>
      <w:spacing w:before="100" w:beforeAutospacing="1" w:after="100" w:afterAutospacing="1"/>
      <w:widowControl/>
    </w:pPr>
    <w:rPr>
      <w:rFonts w:ascii="宋体" w:hAnsi="宋体" w:cs="宋体"/>
      <w:sz w:val="24"/>
      <w:szCs w:val="24"/>
    </w:rPr>
  </w:style>
  <w:style w:type="paragraph" w:styleId="1127" w:customStyle="1">
    <w:name w:val="xl100"/>
    <w:basedOn w:val="695"/>
    <w:pPr>
      <w:jc w:val="center"/>
      <w:spacing w:before="100" w:beforeAutospacing="1" w:after="100" w:afterAutospacing="1"/>
      <w:shd w:val="clear" w:color="000000" w:fill="ff0000"/>
      <w:widowControl/>
      <w:pBdr>
        <w:top w:val="single" w:color="auto" w:sz="4" w:space="0"/>
        <w:bottom w:val="single" w:color="auto" w:sz="4" w:space="0"/>
        <w:right w:val="single" w:color="auto" w:sz="4" w:space="0"/>
      </w:pBdr>
    </w:pPr>
    <w:rPr>
      <w:rFonts w:ascii="宋体" w:hAnsi="宋体" w:cs="宋体"/>
      <w:sz w:val="20"/>
      <w:szCs w:val="20"/>
    </w:rPr>
  </w:style>
  <w:style w:type="paragraph" w:styleId="1128" w:customStyle="1">
    <w:name w:val="xl101"/>
    <w:basedOn w:val="695"/>
    <w:pPr>
      <w:jc w:val="center"/>
      <w:spacing w:before="100" w:beforeAutospacing="1" w:after="100" w:afterAutospacing="1"/>
      <w:shd w:val="clear" w:color="ffffff" w:fill="ffff00"/>
      <w:widowControl/>
      <w:pBdr>
        <w:top w:val="single" w:color="auto" w:sz="4" w:space="0"/>
        <w:left w:val="single" w:color="auto" w:sz="4" w:space="0"/>
        <w:bottom w:val="single" w:color="auto" w:sz="4" w:space="0"/>
      </w:pBdr>
    </w:pPr>
    <w:rPr>
      <w:rFonts w:ascii="宋体" w:hAnsi="宋体" w:cs="宋体"/>
      <w:sz w:val="20"/>
      <w:szCs w:val="20"/>
    </w:rPr>
  </w:style>
  <w:style w:type="paragraph" w:styleId="1129" w:customStyle="1">
    <w:name w:val="xl102"/>
    <w:basedOn w:val="695"/>
    <w:pPr>
      <w:jc w:val="center"/>
      <w:spacing w:before="100" w:beforeAutospacing="1" w:after="100" w:afterAutospacing="1"/>
      <w:shd w:val="clear" w:color="ffffff" w:fill="ffff00"/>
      <w:widowControl/>
      <w:pBdr>
        <w:top w:val="single" w:color="auto" w:sz="4" w:space="0"/>
        <w:bottom w:val="single" w:color="auto" w:sz="4" w:space="0"/>
      </w:pBdr>
    </w:pPr>
    <w:rPr>
      <w:rFonts w:ascii="宋体" w:hAnsi="宋体" w:cs="宋体"/>
      <w:sz w:val="20"/>
      <w:szCs w:val="20"/>
    </w:rPr>
  </w:style>
  <w:style w:type="paragraph" w:styleId="1130" w:customStyle="1">
    <w:name w:val="xl103"/>
    <w:basedOn w:val="695"/>
    <w:pPr>
      <w:jc w:val="center"/>
      <w:spacing w:before="100" w:beforeAutospacing="1" w:after="100" w:afterAutospacing="1"/>
      <w:shd w:val="clear" w:color="ffffff" w:fill="ffff00"/>
      <w:widowControl/>
      <w:pBdr>
        <w:top w:val="single" w:color="auto" w:sz="4" w:space="0"/>
        <w:bottom w:val="single" w:color="auto" w:sz="4" w:space="0"/>
        <w:right w:val="single" w:color="auto" w:sz="4" w:space="0"/>
      </w:pBdr>
    </w:pPr>
    <w:rPr>
      <w:rFonts w:ascii="宋体" w:hAnsi="宋体" w:cs="宋体"/>
      <w:sz w:val="20"/>
      <w:szCs w:val="20"/>
    </w:rPr>
  </w:style>
  <w:style w:type="paragraph" w:styleId="1131" w:customStyle="1">
    <w:name w:val="xl104"/>
    <w:basedOn w:val="695"/>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1132" w:customStyle="1">
    <w:name w:val="xl105"/>
    <w:basedOn w:val="695"/>
    <w:pPr>
      <w:jc w:val="center"/>
      <w:spacing w:before="100" w:beforeAutospacing="1" w:after="100" w:afterAutospacing="1"/>
      <w:widowControl/>
      <w:pBdr>
        <w:top w:val="single" w:color="auto" w:sz="4" w:space="0"/>
        <w:bottom w:val="single" w:color="auto" w:sz="4" w:space="0"/>
      </w:pBdr>
    </w:pPr>
    <w:rPr>
      <w:rFonts w:ascii="宋体" w:hAnsi="宋体" w:cs="宋体"/>
      <w:sz w:val="20"/>
      <w:szCs w:val="20"/>
    </w:rPr>
  </w:style>
  <w:style w:type="paragraph" w:styleId="1133" w:customStyle="1">
    <w:name w:val="xl106"/>
    <w:basedOn w:val="695"/>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134" w:customStyle="1">
    <w:name w:val="xl107"/>
    <w:basedOn w:val="695"/>
    <w:pPr>
      <w:jc w:val="center"/>
      <w:spacing w:before="100" w:beforeAutospacing="1" w:after="100" w:afterAutospacing="1"/>
      <w:shd w:val="clear" w:color="ffffff" w:fill="ffff00"/>
      <w:widowControl/>
      <w:pBdr>
        <w:top w:val="single" w:color="auto" w:sz="4" w:space="0"/>
        <w:left w:val="single" w:color="auto" w:sz="4" w:space="0"/>
        <w:bottom w:val="single" w:color="auto" w:sz="4" w:space="0"/>
      </w:pBdr>
    </w:pPr>
    <w:rPr>
      <w:rFonts w:ascii="宋体" w:hAnsi="宋体" w:cs="宋体"/>
      <w:sz w:val="20"/>
      <w:szCs w:val="20"/>
    </w:rPr>
  </w:style>
  <w:style w:type="paragraph" w:styleId="1135" w:customStyle="1">
    <w:name w:val="xl108"/>
    <w:basedOn w:val="695"/>
    <w:pPr>
      <w:jc w:val="center"/>
      <w:spacing w:before="100" w:beforeAutospacing="1" w:after="100" w:afterAutospacing="1"/>
      <w:shd w:val="clear" w:color="ffffff" w:fill="ffff00"/>
      <w:widowControl/>
      <w:pBdr>
        <w:top w:val="single" w:color="auto" w:sz="4" w:space="0"/>
        <w:bottom w:val="single" w:color="auto" w:sz="4" w:space="0"/>
      </w:pBdr>
    </w:pPr>
    <w:rPr>
      <w:rFonts w:ascii="宋体" w:hAnsi="宋体" w:cs="宋体"/>
      <w:sz w:val="20"/>
      <w:szCs w:val="20"/>
    </w:rPr>
  </w:style>
  <w:style w:type="paragraph" w:styleId="1136" w:customStyle="1">
    <w:name w:val="xl109"/>
    <w:basedOn w:val="695"/>
    <w:pPr>
      <w:jc w:val="center"/>
      <w:spacing w:before="100" w:beforeAutospacing="1" w:after="100" w:afterAutospacing="1"/>
      <w:shd w:val="clear" w:color="ffffff" w:fill="ffff00"/>
      <w:widowControl/>
      <w:pBdr>
        <w:top w:val="single" w:color="auto" w:sz="4" w:space="0"/>
        <w:bottom w:val="single" w:color="auto" w:sz="4" w:space="0"/>
        <w:right w:val="single" w:color="auto" w:sz="4" w:space="0"/>
      </w:pBdr>
    </w:pPr>
    <w:rPr>
      <w:rFonts w:ascii="宋体" w:hAnsi="宋体" w:cs="宋体"/>
      <w:sz w:val="20"/>
      <w:szCs w:val="20"/>
    </w:rPr>
  </w:style>
  <w:style w:type="paragraph" w:styleId="1137" w:customStyle="1">
    <w:name w:val="xl110"/>
    <w:basedOn w:val="695"/>
    <w:pPr>
      <w:jc w:val="center"/>
      <w:spacing w:before="100" w:beforeAutospacing="1" w:after="100" w:afterAutospacing="1"/>
      <w:shd w:val="clear" w:color="000000" w:fill="ff0000"/>
      <w:widowControl/>
      <w:pBdr>
        <w:top w:val="single" w:color="auto" w:sz="4" w:space="0"/>
        <w:left w:val="single" w:color="auto" w:sz="4" w:space="0"/>
        <w:bottom w:val="single" w:color="auto" w:sz="4" w:space="0"/>
      </w:pBdr>
    </w:pPr>
    <w:rPr>
      <w:rFonts w:ascii="宋体" w:hAnsi="宋体" w:cs="宋体"/>
      <w:sz w:val="20"/>
      <w:szCs w:val="20"/>
    </w:rPr>
  </w:style>
  <w:style w:type="paragraph" w:styleId="1138" w:customStyle="1">
    <w:name w:val="xl111"/>
    <w:basedOn w:val="695"/>
    <w:pPr>
      <w:jc w:val="center"/>
      <w:spacing w:before="100" w:beforeAutospacing="1" w:after="100" w:afterAutospacing="1"/>
      <w:shd w:val="clear" w:color="000000" w:fill="ff0000"/>
      <w:widowControl/>
      <w:pBdr>
        <w:top w:val="single" w:color="auto" w:sz="4" w:space="0"/>
        <w:bottom w:val="single" w:color="auto" w:sz="4" w:space="0"/>
      </w:pBdr>
    </w:pPr>
    <w:rPr>
      <w:rFonts w:ascii="宋体" w:hAnsi="宋体" w:cs="宋体"/>
      <w:sz w:val="20"/>
      <w:szCs w:val="20"/>
    </w:rPr>
  </w:style>
  <w:style w:type="paragraph" w:styleId="1139" w:customStyle="1">
    <w:name w:val="xl112"/>
    <w:basedOn w:val="695"/>
    <w:pPr>
      <w:jc w:val="center"/>
      <w:spacing w:before="100" w:beforeAutospacing="1" w:after="100" w:afterAutospacing="1"/>
      <w:shd w:val="clear" w:color="000000" w:fill="ff0000"/>
      <w:widowControl/>
      <w:pBdr>
        <w:top w:val="single" w:color="auto" w:sz="4" w:space="0"/>
        <w:bottom w:val="single" w:color="auto" w:sz="4" w:space="0"/>
        <w:right w:val="single" w:color="auto" w:sz="4" w:space="0"/>
      </w:pBdr>
    </w:pPr>
    <w:rPr>
      <w:rFonts w:ascii="宋体" w:hAnsi="宋体" w:cs="宋体"/>
      <w:sz w:val="20"/>
      <w:szCs w:val="20"/>
    </w:rPr>
  </w:style>
  <w:style w:type="paragraph" w:styleId="1140" w:customStyle="1">
    <w:name w:val="xl113"/>
    <w:basedOn w:val="695"/>
    <w:pPr>
      <w:jc w:val="center"/>
      <w:spacing w:before="100" w:beforeAutospacing="1" w:after="100" w:afterAutospacing="1"/>
      <w:shd w:val="clear" w:color="000000" w:fill="ffff00"/>
      <w:widowControl/>
      <w:pBdr>
        <w:top w:val="single" w:color="auto" w:sz="4" w:space="0"/>
        <w:left w:val="single" w:color="auto" w:sz="4" w:space="0"/>
        <w:bottom w:val="single" w:color="auto" w:sz="4" w:space="0"/>
      </w:pBdr>
    </w:pPr>
    <w:rPr>
      <w:rFonts w:ascii="宋体" w:hAnsi="宋体" w:cs="宋体"/>
      <w:sz w:val="20"/>
      <w:szCs w:val="20"/>
    </w:rPr>
  </w:style>
  <w:style w:type="paragraph" w:styleId="1141" w:customStyle="1">
    <w:name w:val="xl114"/>
    <w:basedOn w:val="695"/>
    <w:pPr>
      <w:jc w:val="center"/>
      <w:spacing w:before="100" w:beforeAutospacing="1" w:after="100" w:afterAutospacing="1"/>
      <w:shd w:val="clear" w:color="000000" w:fill="ffff00"/>
      <w:widowControl/>
      <w:pBdr>
        <w:top w:val="single" w:color="auto" w:sz="4" w:space="0"/>
        <w:bottom w:val="single" w:color="auto" w:sz="4" w:space="0"/>
      </w:pBdr>
    </w:pPr>
    <w:rPr>
      <w:rFonts w:ascii="宋体" w:hAnsi="宋体" w:cs="宋体"/>
      <w:sz w:val="20"/>
      <w:szCs w:val="20"/>
    </w:rPr>
  </w:style>
  <w:style w:type="paragraph" w:styleId="1142" w:customStyle="1">
    <w:name w:val="xl115"/>
    <w:basedOn w:val="695"/>
    <w:pPr>
      <w:jc w:val="center"/>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宋体" w:hAnsi="宋体" w:cs="宋体"/>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F4F23-9C52-40F4-85F0-A8779441E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陈彦乔</cp:lastModifiedBy>
  <cp:revision>306</cp:revision>
  <dcterms:created xsi:type="dcterms:W3CDTF">2024-04-29T08:18:00Z</dcterms:created>
  <dcterms:modified xsi:type="dcterms:W3CDTF">2024-08-15T09:46:07Z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252FE69144B642C4ABC5D10A2521D011_13</vt:lpwstr>
  </property>
</Properties>
</file>