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bookmarkStart w:id="189" w:name="_GoBack"/>
      <w:r/>
      <w:r/>
    </w:p>
    <w:p>
      <w:pPr>
        <w:jc w:val="center"/>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843"/>
        <w:jc w:val="left"/>
        <w:spacing w:before="120" w:after="120" w:line="360" w:lineRule="auto"/>
        <w:rPr>
          <w:rFonts w:ascii="Arial" w:hAnsi="Arial"/>
          <w:b/>
          <w:bCs/>
          <w:color w:val="000000" w:themeColor="text1"/>
          <w:sz w:val="28"/>
          <w:szCs w:val="28"/>
          <w:highlight w:val="none"/>
          <w14:textFill>
            <w14:solidFill>
              <w14:schemeClr w14:val="tx1"/>
            </w14:solidFill>
          </w14:textFill>
        </w:rPr>
      </w:pPr>
      <w:r>
        <w:rPr>
          <w:rFonts w:hint="eastAsia" w:ascii="Arial" w:hAnsi="Arial"/>
          <w:b/>
          <w:bCs/>
          <w:color w:val="000000" w:themeColor="text1"/>
          <w:sz w:val="28"/>
          <w:szCs w:val="22"/>
          <w:highlight w:val="none"/>
          <w14:textFill>
            <w14:solidFill>
              <w14:schemeClr w14:val="tx1"/>
            </w14:solidFill>
          </w14:textFill>
        </w:rPr>
        <w:t xml:space="preserve">项目名称：</w:t>
      </w:r>
      <w:r>
        <w:rPr>
          <w:rFonts w:hint="eastAsia" w:ascii="Arial" w:hAnsi="Arial"/>
          <w:b/>
          <w:bCs/>
          <w:color w:val="000000" w:themeColor="text1"/>
          <w:sz w:val="28"/>
          <w:szCs w:val="22"/>
          <w:highlight w:val="none"/>
          <w14:textFill>
            <w14:solidFill>
              <w14:schemeClr w14:val="tx1"/>
            </w14:solidFill>
          </w14:textFill>
        </w:rPr>
        <w:tab/>
      </w:r>
      <w:r>
        <w:rPr>
          <w:rFonts w:hint="eastAsia" w:ascii="Arial" w:hAnsi="Arial"/>
          <w:b/>
          <w:bCs/>
          <w:color w:val="000000" w:themeColor="text1"/>
          <w:sz w:val="28"/>
          <w:szCs w:val="22"/>
          <w:highlight w:val="none"/>
          <w14:textFill>
            <w14:solidFill>
              <w14:schemeClr w14:val="tx1"/>
            </w14:solidFill>
          </w14:textFill>
        </w:rPr>
        <w:t xml:space="preserve">江苏开放大学浦口校区学生公寓家具采购项目</w:t>
      </w:r>
      <w:r/>
    </w:p>
    <w:p>
      <w:pPr>
        <w:ind w:firstLine="960"/>
        <w:spacing w:before="120" w:after="120" w:line="360" w:lineRule="auto"/>
        <w:rPr>
          <w:rFonts w:ascii="Arial" w:hAnsi="Arial"/>
          <w:b/>
          <w:bCs/>
          <w:color w:val="000000" w:themeColor="text1"/>
          <w:sz w:val="28"/>
          <w:szCs w:val="28"/>
          <w:highlight w:val="none"/>
          <w14:textFill>
            <w14:solidFill>
              <w14:schemeClr w14:val="tx1"/>
            </w14:solidFill>
          </w14:textFill>
        </w:rPr>
      </w:pPr>
      <w:r>
        <w:rPr>
          <w:rFonts w:hint="eastAsia" w:ascii="Arial" w:hAnsi="Arial"/>
          <w:b/>
          <w:bCs/>
          <w:color w:val="000000" w:themeColor="text1"/>
          <w:sz w:val="28"/>
          <w:szCs w:val="22"/>
          <w:highlight w:val="none"/>
          <w14:textFill>
            <w14:solidFill>
              <w14:schemeClr w14:val="tx1"/>
            </w14:solidFill>
          </w14:textFill>
        </w:rPr>
        <w:t xml:space="preserve">项目编号：</w:t>
      </w:r>
      <w:r>
        <w:rPr>
          <w:rFonts w:hint="eastAsia" w:ascii="Segoe UI" w:hAnsi="Segoe UI" w:eastAsia="Segoe UI" w:cs="Segoe UI"/>
          <w:color w:val="000000" w:themeColor="text1"/>
          <w:sz w:val="28"/>
          <w:szCs w:val="28"/>
          <w:highlight w:val="none"/>
          <w:shd w:val="clear" w:color="auto" w:fill="ffffff"/>
          <w14:textFill>
            <w14:solidFill>
              <w14:schemeClr w14:val="tx1"/>
            </w14:solidFill>
          </w14:textFill>
        </w:rPr>
        <w:t xml:space="preserve">JSZC-320000-SCZX-G2025-0823</w:t>
      </w:r>
      <w:r>
        <w:rPr>
          <w:rFonts w:hint="eastAsia" w:ascii="Segoe UI" w:hAnsi="Segoe UI" w:eastAsia="Segoe UI" w:cs="Segoe UI"/>
          <w:color w:val="000000" w:themeColor="text1"/>
          <w:sz w:val="28"/>
          <w:szCs w:val="28"/>
          <w:highlight w:val="none"/>
          <w:shd w:val="clear" w:color="auto" w:fill="ffffff"/>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before="120" w:after="120" w:line="360" w:lineRule="auto"/>
        <w:rPr>
          <w:rFonts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江苏省政府采购中心</w:t>
      </w:r>
      <w:r/>
    </w:p>
    <w:p>
      <w:pPr>
        <w:jc w:val="center"/>
        <w:spacing w:before="120" w:after="120" w:line="360" w:lineRule="auto"/>
        <w:rPr>
          <w:rFonts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202</w:t>
      </w:r>
      <w:r>
        <w:rPr>
          <w:rFonts w:ascii="Arial" w:hAnsi="Arial"/>
          <w:b/>
          <w:bCs/>
          <w:color w:val="000000" w:themeColor="text1"/>
          <w:sz w:val="32"/>
          <w:szCs w:val="24"/>
          <w:highlight w:val="none"/>
          <w14:textFill>
            <w14:solidFill>
              <w14:schemeClr w14:val="tx1"/>
            </w14:solidFill>
          </w14:textFill>
        </w:rPr>
        <w:t xml:space="preserve">6</w:t>
      </w:r>
      <w:r>
        <w:rPr>
          <w:rFonts w:hint="eastAsia" w:ascii="Arial" w:hAnsi="Arial"/>
          <w:b/>
          <w:bCs/>
          <w:color w:val="000000" w:themeColor="text1"/>
          <w:sz w:val="32"/>
          <w:szCs w:val="24"/>
          <w:highlight w:val="none"/>
          <w14:textFill>
            <w14:solidFill>
              <w14:schemeClr w14:val="tx1"/>
            </w14:solidFill>
          </w14:textFill>
        </w:rPr>
        <w:t xml:space="preserve">年</w:t>
      </w:r>
      <w:r>
        <w:rPr>
          <w:rFonts w:hint="eastAsia" w:ascii="Arial" w:hAnsi="Arial"/>
          <w:b/>
          <w:bCs/>
          <w:color w:val="000000" w:themeColor="text1"/>
          <w:sz w:val="32"/>
          <w:szCs w:val="24"/>
          <w:highlight w:val="none"/>
          <w:lang w:val="en-US" w:eastAsia="zh-CN"/>
          <w14:textFill>
            <w14:solidFill>
              <w14:schemeClr w14:val="tx1"/>
            </w14:solidFill>
          </w14:textFill>
        </w:rPr>
        <w:t xml:space="preserve">1</w:t>
      </w:r>
      <w:r>
        <w:rPr>
          <w:rFonts w:hint="eastAsia" w:ascii="Arial" w:hAnsi="Arial"/>
          <w:b/>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ascii="Arial" w:hAnsi="Arial"/>
          <w:color w:val="000000" w:themeColor="text1"/>
          <w:sz w:val="24"/>
          <w:szCs w:val="24"/>
          <w:highlight w:val="none"/>
          <w:u w:val="single"/>
          <w14:textFill>
            <w14:solidFill>
              <w14:schemeClr w14:val="tx1"/>
            </w14:solidFill>
          </w14:textFill>
        </w:rPr>
      </w:r>
      <w:r/>
    </w:p>
    <w:p>
      <w:pPr>
        <w:jc w:val="center"/>
        <w:spacing w:before="120" w:after="120" w:line="360" w:lineRule="auto"/>
        <w:rPr>
          <w:rFonts w:ascii="Arial" w:hAnsi="Arial"/>
          <w:color w:val="000000" w:themeColor="text1"/>
          <w:sz w:val="24"/>
          <w:szCs w:val="24"/>
          <w:highlight w:val="none"/>
          <w14:textFill>
            <w14:solidFill>
              <w14:schemeClr w14:val="tx1"/>
            </w14:solidFill>
          </w14:textFill>
        </w:rPr>
      </w:pPr>
      <w:r>
        <w:rPr>
          <w:rFonts w:ascii="Arial" w:hAnsi="Arial"/>
          <w:color w:val="000000" w:themeColor="text1"/>
          <w:sz w:val="24"/>
          <w:szCs w:val="24"/>
          <w:highlight w:val="none"/>
          <w14:textFill>
            <w14:solidFill>
              <w14:schemeClr w14:val="tx1"/>
            </w14:solidFill>
          </w14:textFill>
        </w:rPr>
      </w: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…………………………………3 </w:t>
      </w: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14:textFill>
            <w14:solidFill>
              <w14:schemeClr w14:val="tx1"/>
            </w14:solidFill>
          </w14:textFill>
        </w:rPr>
        <w:t xml:space="preserve">……………………………6  </w:t>
      </w: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…………………………………16</w:t>
      </w: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…………………………………30</w:t>
      </w: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rPr>
          <w:rFonts w:hint="eastAsia" w:ascii="黑体" w:hAnsi="Showcard Gothic" w:eastAsia="黑体"/>
          <w:color w:val="000000" w:themeColor="text1"/>
          <w:sz w:val="36"/>
          <w:szCs w:val="21"/>
          <w:highlight w:val="none"/>
          <w14:textFill>
            <w14:solidFill>
              <w14:schemeClr w14:val="tx1"/>
            </w14:solidFill>
          </w14:textFill>
        </w:rPr>
        <w:t xml:space="preserve">……………………60</w:t>
      </w: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Showcard Gothic" w:eastAsia="黑体"/>
          <w:color w:val="000000" w:themeColor="text1"/>
          <w:sz w:val="36"/>
          <w:szCs w:val="21"/>
          <w:highlight w:val="none"/>
          <w14:textFill>
            <w14:solidFill>
              <w14:schemeClr w14:val="tx1"/>
            </w14:solidFill>
          </w14:textFill>
        </w:rPr>
        <w:t xml:space="preserve">……………………………69</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keepNext/>
        <w:rPr>
          <w:rFonts w:ascii="黑体" w:eastAsia="黑体"/>
          <w:bCs/>
          <w:color w:val="000000" w:themeColor="text1"/>
          <w:sz w:val="44"/>
          <w:szCs w:val="44"/>
          <w:highlight w:val="none"/>
          <w14:textFill>
            <w14:solidFill>
              <w14:schemeClr w14:val="tx1"/>
            </w14:solidFill>
          </w14:textFill>
        </w:rPr>
        <w:outlineLvl w:val="0"/>
      </w:pPr>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val="en-US" w:eastAsia="zh-CN"/>
          <w14:textFill>
            <w14:solidFill>
              <w14:schemeClr w14:val="tx1"/>
            </w14:solidFill>
          </w14:textFill>
        </w:rPr>
        <w:t xml:space="preserve">江苏开放大学</w:t>
      </w:r>
      <w:r>
        <w:rPr>
          <w:rFonts w:hint="eastAsia" w:ascii="宋体" w:hAnsi="宋体"/>
          <w:color w:val="000000" w:themeColor="text1"/>
          <w:sz w:val="24"/>
          <w:szCs w:val="24"/>
          <w:highlight w:val="none"/>
          <w14:textFill>
            <w14:solidFill>
              <w14:schemeClr w14:val="tx1"/>
            </w14:solidFill>
          </w14:textFill>
        </w:rPr>
        <w:t xml:space="preserve">的委托，江苏省政府采购中心就江苏开放大学浦口校区学生公寓家具采购项目(</w:t>
      </w:r>
      <w:r>
        <w:rPr>
          <w:rFonts w:hint="eastAsia" w:ascii="宋体" w:hAnsi="宋体"/>
          <w:color w:val="000000" w:themeColor="text1"/>
          <w:sz w:val="24"/>
          <w:szCs w:val="24"/>
          <w:highlight w:val="none"/>
          <w14:textFill>
            <w14:solidFill>
              <w14:schemeClr w14:val="tx1"/>
            </w14:solidFill>
          </w14:textFill>
        </w:rPr>
        <w:t xml:space="preserve">JSZC-320000-SCZX-G2025-0823</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 xml:space="preserve">江苏开放大学浦口校区学生公寓家具采购</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ascii="宋体" w:hAnsi="宋体"/>
          <w:color w:val="000000" w:themeColor="text1"/>
          <w:sz w:val="24"/>
          <w:szCs w:val="24"/>
          <w:highlight w:val="none"/>
          <w:u w:val="single"/>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single"/>
          <w14:textFill>
            <w14:solidFill>
              <w14:schemeClr w14:val="tx1"/>
            </w14:solidFill>
          </w14:textFill>
        </w:rPr>
        <w:t xml:space="preserve">年2</w:t>
      </w:r>
      <w:r>
        <w:rPr>
          <w:rFonts w:hint="eastAsia" w:ascii="宋体" w:hAnsi="宋体"/>
          <w:bCs/>
          <w:color w:val="000000" w:themeColor="text1"/>
          <w:sz w:val="24"/>
          <w:szCs w:val="24"/>
          <w:highlight w:val="none"/>
          <w:u w:val="single"/>
          <w14:textFill>
            <w14:solidFill>
              <w14:schemeClr w14:val="tx1"/>
            </w14:solidFill>
          </w14:textFill>
        </w:rPr>
        <w:t xml:space="preserve">月26</w:t>
      </w:r>
      <w:r>
        <w:rPr>
          <w:rFonts w:hint="eastAsia" w:ascii="宋体" w:hAnsi="宋体"/>
          <w:bCs/>
          <w:color w:val="000000" w:themeColor="text1"/>
          <w:sz w:val="24"/>
          <w:szCs w:val="24"/>
          <w:highlight w:val="none"/>
          <w:u w:val="single"/>
          <w14:textFill>
            <w14:solidFill>
              <w14:schemeClr w14:val="tx1"/>
            </w14:solidFill>
          </w14:textFill>
        </w:rPr>
        <w:t xml:space="preserve">日9点30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400" w:lineRule="exact"/>
        <w:rPr>
          <w:rFonts w:ascii="Segoe UI" w:hAnsi="Segoe UI" w:cs="Segoe UI"/>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14:textFill>
            <w14:solidFill>
              <w14:schemeClr w14:val="tx1"/>
            </w14:solidFill>
          </w14:textFill>
        </w:rPr>
        <w:t xml:space="preserve">JSZC-320000-SCZX-G2025-0823</w:t>
      </w:r>
      <w:r/>
    </w:p>
    <w:p>
      <w:pPr>
        <w:ind w:firstLine="480"/>
        <w:spacing w:line="400" w:lineRule="exact"/>
        <w:rPr>
          <w:rFonts w:ascii="Segoe UI" w:hAnsi="Segoe UI" w:cs="Segoe UI"/>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t xml:space="preserve">江苏开放大学浦口校区学生公寓家具采购项目</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w:t>
            </w:r>
            <w:r>
              <w:rPr>
                <w:rFonts w:ascii="宋体" w:hAnsi="宋体"/>
                <w:color w:val="000000" w:themeColor="text1"/>
                <w:sz w:val="24"/>
                <w:szCs w:val="24"/>
                <w:highlight w:val="none"/>
                <w14:textFill>
                  <w14:solidFill>
                    <w14:schemeClr w14:val="tx1"/>
                  </w14:solidFill>
                </w14:textFill>
              </w:rPr>
              <w:t xml:space="preserve">号</w:t>
            </w:r>
            <w:r/>
          </w:p>
        </w:tc>
        <w:tc>
          <w:tcPr>
            <w:tcW w:w="2800"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w:t>
            </w:r>
            <w:r>
              <w:rPr>
                <w:rFonts w:ascii="宋体" w:hAnsi="宋体"/>
                <w:color w:val="000000" w:themeColor="text1"/>
                <w:sz w:val="24"/>
                <w:szCs w:val="24"/>
                <w:highlight w:val="none"/>
                <w14:textFill>
                  <w14:solidFill>
                    <w14:schemeClr w14:val="tx1"/>
                  </w14:solidFill>
                </w14:textFill>
              </w:rPr>
              <w:t xml:space="preserve">金额</w:t>
            </w:r>
            <w:r>
              <w:rPr>
                <w:rFonts w:hint="eastAsia" w:ascii="宋体" w:hAnsi="宋体"/>
                <w:color w:val="000000" w:themeColor="text1"/>
                <w:sz w:val="24"/>
                <w:szCs w:val="24"/>
                <w:highlight w:val="none"/>
                <w14:textFill>
                  <w14:solidFill>
                    <w14:schemeClr w14:val="tx1"/>
                  </w14:solidFill>
                </w14:textFill>
              </w:rPr>
              <w:t xml:space="preserve">（人民币</w:t>
            </w:r>
            <w:r>
              <w:rPr>
                <w:rFonts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800" w:type="dxa"/>
            <w:textDirection w:val="lrTb"/>
            <w:noWrap w:val="false"/>
          </w:tcPr>
          <w:p>
            <w:pPr>
              <w:jc w:val="center"/>
              <w:spacing w:line="4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431</w:t>
            </w:r>
            <w:r/>
          </w:p>
        </w:tc>
      </w:tr>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800" w:type="dxa"/>
            <w:textDirection w:val="lrTb"/>
            <w:noWrap w:val="false"/>
          </w:tcPr>
          <w:p>
            <w:pPr>
              <w:jc w:val="center"/>
              <w:spacing w:line="4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452</w:t>
            </w:r>
            <w:r/>
          </w:p>
        </w:tc>
      </w:tr>
    </w:tbl>
    <w:p>
      <w:pPr>
        <w:ind w:firstLine="480"/>
        <w:spacing w:line="400" w:lineRule="exact"/>
        <w:rPr>
          <w:rFonts w:hint="eastAsia" w:eastAsia="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总预算：</w:t>
      </w:r>
      <w:r>
        <w:rPr>
          <w:rFonts w:hint="eastAsia" w:ascii="宋体" w:hAnsi="宋体"/>
          <w:color w:val="000000" w:themeColor="text1"/>
          <w:sz w:val="24"/>
          <w:szCs w:val="24"/>
          <w:highlight w:val="none"/>
          <w:lang w:val="en-US" w:eastAsia="zh-CN"/>
          <w14:textFill>
            <w14:solidFill>
              <w14:schemeClr w14:val="tx1"/>
            </w14:solidFill>
          </w14:textFill>
        </w:rPr>
        <w:t xml:space="preserve">883</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w:t>
      </w:r>
      <w:r>
        <w:rPr>
          <w:rFonts w:ascii="宋体" w:hAnsi="宋体"/>
          <w:color w:val="000000" w:themeColor="text1"/>
          <w:sz w:val="24"/>
          <w:szCs w:val="24"/>
          <w:highlight w:val="none"/>
          <w14:textFill>
            <w14:solidFill>
              <w14:schemeClr w14:val="tx1"/>
            </w14:solidFill>
          </w14:textFill>
        </w:rPr>
        <w:t xml:space="preserve">限价</w:t>
      </w:r>
      <w:r>
        <w:rPr>
          <w:rFonts w:hint="eastAsia" w:ascii="宋体" w:hAnsi="宋体"/>
          <w:color w:val="000000" w:themeColor="text1"/>
          <w:sz w:val="24"/>
          <w:szCs w:val="24"/>
          <w:highlight w:val="none"/>
          <w14:textFill>
            <w14:solidFill>
              <w14:schemeClr w14:val="tx1"/>
            </w14:solidFill>
          </w14:textFill>
        </w:rPr>
        <w:t xml:space="preserve">：</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w:t>
            </w:r>
            <w:r>
              <w:rPr>
                <w:rFonts w:ascii="宋体" w:hAnsi="宋体"/>
                <w:color w:val="000000" w:themeColor="text1"/>
                <w:sz w:val="24"/>
                <w:szCs w:val="24"/>
                <w:highlight w:val="none"/>
                <w14:textFill>
                  <w14:solidFill>
                    <w14:schemeClr w14:val="tx1"/>
                  </w14:solidFill>
                </w14:textFill>
              </w:rPr>
              <w:t xml:space="preserve">号</w:t>
            </w:r>
            <w:r/>
          </w:p>
        </w:tc>
        <w:tc>
          <w:tcPr>
            <w:tcW w:w="2800"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w:t>
            </w:r>
            <w:r>
              <w:rPr>
                <w:rFonts w:ascii="宋体" w:hAnsi="宋体"/>
                <w:color w:val="000000" w:themeColor="text1"/>
                <w:sz w:val="24"/>
                <w:szCs w:val="24"/>
                <w:highlight w:val="none"/>
                <w14:textFill>
                  <w14:solidFill>
                    <w14:schemeClr w14:val="tx1"/>
                  </w14:solidFill>
                </w14:textFill>
              </w:rPr>
              <w:t xml:space="preserve">设定最高</w:t>
            </w:r>
            <w:r>
              <w:rPr>
                <w:rFonts w:hint="eastAsia" w:ascii="宋体" w:hAnsi="宋体"/>
                <w:color w:val="000000" w:themeColor="text1"/>
                <w:sz w:val="24"/>
                <w:szCs w:val="24"/>
                <w:highlight w:val="none"/>
                <w14:textFill>
                  <w14:solidFill>
                    <w14:schemeClr w14:val="tx1"/>
                  </w14:solidFill>
                </w14:textFill>
              </w:rPr>
              <w:t xml:space="preserve">限价</w:t>
            </w:r>
            <w:r/>
          </w:p>
        </w:tc>
        <w:tc>
          <w:tcPr>
            <w:tcW w:w="3135"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最高</w:t>
            </w:r>
            <w:r>
              <w:rPr>
                <w:rFonts w:ascii="宋体" w:hAnsi="宋体"/>
                <w:color w:val="000000" w:themeColor="text1"/>
                <w:sz w:val="24"/>
                <w:szCs w:val="24"/>
                <w:highlight w:val="none"/>
                <w14:textFill>
                  <w14:solidFill>
                    <w14:schemeClr w14:val="tx1"/>
                  </w14:solidFill>
                </w14:textFill>
              </w:rPr>
              <w:t xml:space="preserve">限价</w:t>
            </w:r>
            <w:r>
              <w:rPr>
                <w:rFonts w:hint="eastAsia" w:ascii="宋体" w:hAnsi="宋体"/>
                <w:color w:val="000000" w:themeColor="text1"/>
                <w:sz w:val="24"/>
                <w:szCs w:val="24"/>
                <w:highlight w:val="none"/>
                <w14:textFill>
                  <w14:solidFill>
                    <w14:schemeClr w14:val="tx1"/>
                  </w14:solidFill>
                </w14:textFill>
              </w:rPr>
              <w:t xml:space="preserve">（人民币</w:t>
            </w:r>
            <w:r>
              <w:rPr>
                <w:rFonts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800"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w:t>
            </w:r>
            <w:r/>
          </w:p>
        </w:tc>
        <w:tc>
          <w:tcPr>
            <w:tcW w:w="3135" w:type="dxa"/>
            <w:textDirection w:val="lrTb"/>
            <w:noWrap w:val="false"/>
          </w:tcPr>
          <w:p>
            <w:pPr>
              <w:jc w:val="center"/>
              <w:spacing w:line="4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431</w:t>
            </w:r>
            <w:r/>
          </w:p>
        </w:tc>
      </w:tr>
      <w:tr>
        <w:trPr>
          <w:jc w:val="center"/>
        </w:trPr>
        <w:tc>
          <w:tcPr>
            <w:tcW w:w="114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800"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w:t>
            </w:r>
            <w:r/>
          </w:p>
        </w:tc>
        <w:tc>
          <w:tcPr>
            <w:tcW w:w="3135" w:type="dxa"/>
            <w:textDirection w:val="lrTb"/>
            <w:noWrap w:val="false"/>
          </w:tcPr>
          <w:p>
            <w:pPr>
              <w:jc w:val="center"/>
              <w:spacing w:line="4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452</w:t>
            </w:r>
            <w:r/>
          </w:p>
        </w:tc>
      </w:tr>
    </w:tbl>
    <w:p>
      <w:pPr>
        <w:ind w:firstLine="480"/>
        <w:spacing w:line="40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5.采购需求(简介)：学生公寓家具</w:t>
      </w:r>
      <w:r>
        <w:rPr>
          <w:rFonts w:hint="eastAsia" w:ascii="Segoe UI" w:hAnsi="Segoe UI" w:cs="Segoe UI"/>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（详细内容见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本招标文件第四章）</w:t>
      </w:r>
      <w:r/>
    </w:p>
    <w:p>
      <w:pPr>
        <w:ind w:left="0" w:firstLine="480"/>
        <w:jc w:val="both"/>
        <w:spacing w:line="400" w:lineRule="exact"/>
        <w:widowControl w:val="off"/>
        <w:rPr>
          <w:rFonts w:hint="default"/>
          <w:highlight w:val="none"/>
          <w:lang w:val="en-US" w:eastAsia="zh-CN"/>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w:t>
      </w:r>
      <w:r>
        <w:rPr>
          <w:rFonts w:ascii="Arial" w:hAnsi="Arial" w:eastAsia="Arial" w:cs="Arial"/>
          <w:color w:val="000000"/>
          <w:sz w:val="22"/>
          <w:highlight w:val="white"/>
        </w:rPr>
        <w:t xml:space="preserve">合同履行期限</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：合同签订生效，接到采购人通知后20天内完成生产，并通过初验。具体安装时间以采购人通知为准，安装工期20天。</w:t>
      </w: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bookmarkStart w:id="12" w:name="_Toc35393622"/>
      <w:r/>
      <w:bookmarkStart w:id="13" w:name="_Toc35393791"/>
      <w:r/>
      <w:bookmarkStart w:id="14" w:name="_Toc28359080"/>
      <w:r/>
      <w:bookmarkStart w:id="15" w:name="_Toc28359003"/>
      <w:r/>
      <w:bookmarkStart w:id="16" w:name="_Toc38985264"/>
      <w:r>
        <w:rPr>
          <w:rFonts w:hint="eastAsia"/>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themeColor="text1"/>
          <w:sz w:val="28"/>
          <w:szCs w:val="28"/>
          <w:highlight w:val="none"/>
          <w14:textFill>
            <w14:solidFill>
              <w14:schemeClr w14:val="tx1"/>
            </w14:solidFill>
          </w14:textFill>
        </w:rPr>
      </w:pPr>
      <w:r/>
      <w:bookmarkStart w:id="17" w:name="_Toc28359004"/>
      <w:r/>
      <w:bookmarkStart w:id="18" w:name="_Toc35393623"/>
      <w:r/>
      <w:bookmarkStart w:id="19" w:name="_Toc38985265"/>
      <w:r/>
      <w:bookmarkStart w:id="20" w:name="_Toc35393792"/>
      <w:r/>
      <w:bookmarkStart w:id="21" w:name="_Toc28359081"/>
      <w:r>
        <w:rPr>
          <w:rFonts w:hint="eastAsia" w:ascii="宋体" w:hAnsi="宋体"/>
          <w:color w:val="000000" w:themeColor="text1"/>
          <w:sz w:val="28"/>
          <w:szCs w:val="28"/>
          <w:highlight w:val="none"/>
          <w14:textFill>
            <w14:solidFill>
              <w14:schemeClr w14:val="tx1"/>
            </w14:solidFill>
          </w14:textFill>
        </w:rPr>
        <w:t xml:space="preserve">（一</w:t>
      </w: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通用</w:t>
      </w:r>
      <w:r>
        <w:rPr>
          <w:rFonts w:ascii="宋体" w:hAnsi="宋体"/>
          <w:color w:val="000000" w:themeColor="text1"/>
          <w:sz w:val="28"/>
          <w:szCs w:val="28"/>
          <w:highlight w:val="none"/>
          <w14:textFill>
            <w14:solidFill>
              <w14:schemeClr w14:val="tx1"/>
            </w14:solidFill>
          </w14:textFill>
        </w:rPr>
        <w:t xml:space="preserve">资格要求</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  上一年度（2024</w:t>
      </w:r>
      <w:r>
        <w:rPr>
          <w:rFonts w:hint="eastAsia" w:ascii="宋体" w:hAnsi="宋体"/>
          <w:color w:val="000000" w:themeColor="text1"/>
          <w:sz w:val="24"/>
          <w:szCs w:val="24"/>
          <w:highlight w:val="none"/>
          <w14:textFill>
            <w14:solidFill>
              <w14:schemeClr w14:val="tx1"/>
            </w14:solidFill>
          </w14:textFill>
        </w:rPr>
        <w:t xml:space="preserve">年度</w:t>
      </w:r>
      <w:r>
        <w:rPr>
          <w:rFonts w:hint="eastAsia" w:ascii="宋体" w:hAnsi="宋体"/>
          <w:color w:val="000000" w:themeColor="text1"/>
          <w:sz w:val="24"/>
          <w:szCs w:val="24"/>
          <w:highlight w:val="none"/>
          <w14:textFill>
            <w14:solidFill>
              <w14:schemeClr w14:val="tx1"/>
            </w14:solidFill>
          </w14:textFill>
        </w:rPr>
        <w:t xml:space="preserve">）的财务状况报告（成立不满一年无需提供）；</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1.4具备履行合同所必需的设备和专业技术能力的书面声明；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ind w:firstLine="480"/>
        <w:spacing w:line="400" w:lineRule="exact"/>
        <w:rPr>
          <w:rFonts w:ascii="华文新魏" w:hAnsi="宋体" w:eastAsia="华文新魏"/>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3.联合</w:t>
      </w:r>
      <w:r>
        <w:rPr>
          <w:rFonts w:ascii="宋体" w:hAnsi="宋体"/>
          <w:color w:val="000000" w:themeColor="text1"/>
          <w:sz w:val="24"/>
          <w:szCs w:val="24"/>
          <w:highlight w:val="none"/>
          <w14:textFill>
            <w14:solidFill>
              <w14:schemeClr w14:val="tx1"/>
            </w14:solidFill>
          </w14:textFill>
        </w:rPr>
        <w:t xml:space="preserve">体投标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否</w:t>
      </w:r>
      <w:r/>
    </w:p>
    <w:p>
      <w:pPr>
        <w:ind w:firstLine="560"/>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（二）本项目的特定资格要求：无</w:t>
      </w: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三、获取招标文件</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w:t>
      </w:r>
      <w:r/>
    </w:p>
    <w:p>
      <w:pPr>
        <w:ind w:firstLine="54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bookmarkStart w:id="22" w:name="_Toc28359082"/>
      <w:r/>
      <w:bookmarkStart w:id="23" w:name="_Toc28359005"/>
      <w:r/>
      <w:bookmarkStart w:id="24" w:name="_Toc38985266"/>
      <w:r/>
      <w:bookmarkStart w:id="25" w:name="_Toc35393624"/>
      <w:r/>
      <w:bookmarkStart w:id="26" w:name="_Toc35393793"/>
      <w:r>
        <w:rPr>
          <w:rFonts w:hint="eastAsia"/>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single"/>
          <w14:textFill>
            <w14:solidFill>
              <w14:schemeClr w14:val="tx1"/>
            </w14:solidFill>
          </w14:textFill>
        </w:rPr>
        <w:t xml:space="preserve">年2</w:t>
      </w:r>
      <w:r>
        <w:rPr>
          <w:rFonts w:hint="eastAsia" w:ascii="宋体" w:hAnsi="宋体"/>
          <w:bCs/>
          <w:color w:val="000000" w:themeColor="text1"/>
          <w:sz w:val="24"/>
          <w:szCs w:val="24"/>
          <w:highlight w:val="none"/>
          <w:u w:val="single"/>
          <w14:textFill>
            <w14:solidFill>
              <w14:schemeClr w14:val="tx1"/>
            </w14:solidFill>
          </w14:textFill>
        </w:rPr>
        <w:t xml:space="preserve">月26</w:t>
      </w:r>
      <w:r>
        <w:rPr>
          <w:rFonts w:hint="eastAsia" w:ascii="宋体" w:hAnsi="宋体"/>
          <w:bCs/>
          <w:color w:val="000000" w:themeColor="text1"/>
          <w:sz w:val="24"/>
          <w:szCs w:val="24"/>
          <w:highlight w:val="none"/>
          <w:u w:val="single"/>
          <w14:textFill>
            <w14:solidFill>
              <w14:schemeClr w14:val="tx1"/>
            </w14:solidFill>
          </w14:textFill>
        </w:rPr>
        <w:t xml:space="preserve">日9点30分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w:t>
      </w: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bookmarkStart w:id="27" w:name="_Toc35393625"/>
      <w:r/>
      <w:bookmarkStart w:id="28" w:name="_Toc28359084"/>
      <w:r/>
      <w:bookmarkStart w:id="29" w:name="_Toc38985267"/>
      <w:r/>
      <w:bookmarkStart w:id="30" w:name="_Toc28359007"/>
      <w:r/>
      <w:bookmarkStart w:id="31" w:name="_Toc35393794"/>
      <w:r>
        <w:rPr>
          <w:rFonts w:hint="eastAsia"/>
          <w:b/>
          <w:bCs/>
          <w:color w:val="000000" w:themeColor="text1"/>
          <w:sz w:val="32"/>
          <w:szCs w:val="32"/>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bookmarkStart w:id="32" w:name="_Toc35393795"/>
      <w:r/>
      <w:bookmarkStart w:id="33" w:name="_Toc38985268"/>
      <w:r/>
      <w:bookmarkStart w:id="34" w:name="_Toc35393626"/>
      <w:r>
        <w:rPr>
          <w:rFonts w:hint="eastAsia"/>
          <w:b/>
          <w:bCs/>
          <w:color w:val="000000" w:themeColor="text1"/>
          <w:sz w:val="32"/>
          <w:szCs w:val="32"/>
          <w:highlight w:val="none"/>
          <w14:textFill>
            <w14:solidFill>
              <w14:schemeClr w14:val="tx1"/>
            </w14:solidFill>
          </w14:textFill>
        </w:rPr>
        <w:t xml:space="preserve">六、其他补充事宜</w:t>
      </w:r>
      <w:bookmarkEnd w:id="32"/>
      <w:r/>
      <w:bookmarkEnd w:id="33"/>
      <w:r/>
      <w:bookmarkEnd w:id="34"/>
      <w:r/>
      <w:r/>
    </w:p>
    <w:p>
      <w:pPr>
        <w:ind w:firstLine="496"/>
        <w:keepLines/>
        <w:keepNext/>
        <w:spacing w:before="156" w:after="156" w:line="400" w:lineRule="exact"/>
        <w:rPr>
          <w:rFonts w:ascii="宋体" w:hAnsi="宋体"/>
          <w:color w:val="000000" w:themeColor="text1"/>
          <w:sz w:val="24"/>
          <w:szCs w:val="24"/>
          <w:highlight w:val="none"/>
          <w14:textFill>
            <w14:solidFill>
              <w14:schemeClr w14:val="tx1"/>
            </w14:solidFill>
          </w14:textFill>
        </w:rPr>
        <w:outlineLvl w:val="2"/>
      </w:pPr>
      <w:r/>
      <w:bookmarkStart w:id="35" w:name="_Toc38985269"/>
      <w:r/>
      <w:bookmarkStart w:id="36" w:name="_Toc35393627"/>
      <w:r/>
      <w:bookmarkStart w:id="37" w:name="_Toc28359085"/>
      <w:r/>
      <w:bookmarkStart w:id="38" w:name="_Toc35393796"/>
      <w:r/>
      <w:bookmarkStart w:id="39" w:name="_Toc28359008"/>
      <w:r>
        <w:rPr>
          <w:rFonts w:hint="eastAsia" w:ascii="宋体" w:hAnsi="宋体"/>
          <w:color w:val="000000" w:themeColor="text1"/>
          <w:sz w:val="24"/>
          <w:szCs w:val="24"/>
          <w:highlight w:val="none"/>
          <w14:textFill>
            <w14:solidFill>
              <w14:schemeClr w14:val="tx1"/>
            </w14:solidFill>
          </w14:textFill>
        </w:rPr>
        <w:t xml:space="preserve">无 </w:t>
      </w: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4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szCs w:val="24"/>
          <w:highlight w:val="none"/>
          <w:lang w:val="en-US" w:eastAsia="zh-CN"/>
          <w14:textFill>
            <w14:solidFill>
              <w14:schemeClr w14:val="tx1"/>
            </w14:solidFill>
          </w14:textFill>
        </w:rPr>
        <w:t xml:space="preserve">江苏开放大学</w:t>
      </w:r>
      <w:r/>
    </w:p>
    <w:p>
      <w:pPr>
        <w:ind w:firstLine="480"/>
        <w:jc w:val="left"/>
        <w:spacing w:line="400" w:lineRule="exact"/>
        <w:rPr>
          <w:rFonts w:hint="default" w:ascii="宋体" w:hAnsi="宋体" w:eastAsia="宋体"/>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址：江苏省南京市</w:t>
      </w:r>
      <w:r>
        <w:rPr>
          <w:rFonts w:hint="eastAsia" w:ascii="宋体" w:hAnsi="宋体"/>
          <w:color w:val="000000" w:themeColor="text1"/>
          <w:sz w:val="24"/>
          <w:szCs w:val="24"/>
          <w:highlight w:val="none"/>
          <w:lang w:val="en-US" w:eastAsia="zh-CN"/>
          <w14:textFill>
            <w14:solidFill>
              <w14:schemeClr w14:val="tx1"/>
            </w14:solidFill>
          </w14:textFill>
        </w:rPr>
        <w:t xml:space="preserve">鼓楼区江东北路399号</w:t>
      </w:r>
      <w:r/>
    </w:p>
    <w:p>
      <w:pPr>
        <w:ind w:firstLine="480"/>
        <w:jc w:val="left"/>
        <w:spacing w:line="400" w:lineRule="exact"/>
        <w:rPr>
          <w:rFonts w:hint="default" w:ascii="宋体" w:hAnsi="宋体" w:eastAsia="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联系人：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吕老师</w:t>
      </w:r>
      <w:r/>
    </w:p>
    <w:p>
      <w:pPr>
        <w:ind w:firstLine="480"/>
        <w:jc w:val="left"/>
        <w:spacing w:line="400" w:lineRule="exact"/>
        <w:rPr>
          <w:rFonts w:hint="default" w:ascii="宋体" w:hAnsi="宋体" w:eastAsia="宋体"/>
          <w:color w:val="000000" w:themeColor="text1"/>
          <w:sz w:val="24"/>
          <w:szCs w:val="24"/>
          <w:highlight w:val="none"/>
          <w:u w:val="singl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025-86265605</w:t>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2.江苏省政府采购中心信息</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址：南京市建邺区汉中门大街145号三楼　　</w:t>
      </w:r>
      <w:r/>
    </w:p>
    <w:p>
      <w:pPr>
        <w:ind w:firstLine="480"/>
        <w:spacing w:line="400" w:lineRule="exact"/>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w:t>
      </w:r>
      <w:r>
        <w:rPr>
          <w:rFonts w:hint="eastAsia" w:ascii="宋体" w:hAnsi="宋体"/>
          <w:color w:val="000000" w:themeColor="text1"/>
          <w:sz w:val="24"/>
          <w:szCs w:val="24"/>
          <w:highlight w:val="none"/>
          <w:u w:val="single"/>
          <w:lang w:eastAsia="zh-CN"/>
          <w14:textFill>
            <w14:solidFill>
              <w14:schemeClr w14:val="tx1"/>
            </w14:solidFill>
          </w14:textFill>
        </w:rPr>
        <w:t xml:space="preserve">王建浩、许滢</w:t>
      </w:r>
      <w:r/>
    </w:p>
    <w:p>
      <w:pPr>
        <w:ind w:firstLine="480"/>
        <w:keepLines/>
        <w:keepNext/>
        <w:spacing w:before="156" w:after="156" w:line="360" w:lineRule="auto"/>
        <w:rPr>
          <w:rFonts w:hint="default" w:ascii="宋体" w:hAnsi="宋体" w:eastAsia="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025-83668513</w:t>
      </w:r>
      <w:r/>
    </w:p>
    <w:p>
      <w:pPr>
        <w:keepLines/>
        <w:keepNext/>
        <w:spacing w:before="156" w:after="156" w:line="360" w:lineRule="auto"/>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八、其他</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参与政府采购项目，需要更换CA数字证书和电子签章。具体办理指南和操作手册见链接：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1100"/>
          <w:bCs/>
          <w:color w:val="000000" w:themeColor="text1"/>
          <w:szCs w:val="21"/>
          <w:highlight w:val="none"/>
          <w14:textFill>
            <w14:solidFill>
              <w14:schemeClr w14:val="tx1"/>
            </w14:solidFill>
          </w14:textFill>
        </w:rPr>
        <w:t xml:space="preserve">http://www.ccgp-jiangsu.gov.cn/jiangsu/zlxz/ee/ee3a4bc5a3454aa2b0d9312230633ce9.html</w:t>
      </w:r>
      <w:r>
        <w:rPr>
          <w:rStyle w:val="1100"/>
          <w:bCs/>
          <w:color w:val="000000" w:themeColor="text1"/>
          <w:szCs w:val="21"/>
          <w:highlight w:val="none"/>
          <w14:textFill>
            <w14:solidFill>
              <w14:schemeClr w14:val="tx1"/>
            </w14:solidFill>
          </w14:textFill>
        </w:rPr>
        <w:fldChar w:fldCharType="end"/>
      </w:r>
      <w:r>
        <w:rPr>
          <w:bCs/>
          <w:color w:val="000000" w:themeColor="text1"/>
          <w:szCs w:val="21"/>
          <w:highlight w:val="none"/>
          <w14:textFill>
            <w14:solidFill>
              <w14:schemeClr w14:val="tx1"/>
            </w14:solidFill>
          </w14:textFill>
        </w:rPr>
        <w:t xml:space="preserve">。</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如果“江苏政府采购网”</w:t>
      </w:r>
      <w:r>
        <w:rPr>
          <w:bCs/>
          <w:color w:val="000000" w:themeColor="text1"/>
          <w:szCs w:val="21"/>
          <w:highlight w:val="none"/>
          <w14:textFill>
            <w14:solidFill>
              <w14:schemeClr w14:val="tx1"/>
            </w14:solidFill>
          </w14:textFill>
        </w:rPr>
        <w:t xml:space="preserve">（www.ccgp-jiangsu.gov.cn）</w:t>
      </w:r>
      <w:r>
        <w:rPr>
          <w:rFonts w:hint="eastAsia"/>
          <w:bCs/>
          <w:color w:val="000000" w:themeColor="text1"/>
          <w:sz w:val="24"/>
          <w:szCs w:val="24"/>
          <w:highlight w:val="none"/>
          <w14:textFill>
            <w14:solidFill>
              <w14:schemeClr w14:val="tx1"/>
            </w14:solidFill>
          </w14:textFill>
        </w:rPr>
        <w:t xml:space="preserve">信息</w:t>
      </w:r>
      <w:r>
        <w:rPr>
          <w:rFonts w:hint="eastAsia" w:ascii="宋体" w:hAnsi="宋体"/>
          <w:bCs/>
          <w:color w:val="000000" w:themeColor="text1"/>
          <w:sz w:val="24"/>
          <w:szCs w:val="24"/>
          <w:highlight w:val="none"/>
          <w14:textFill>
            <w14:solidFill>
              <w14:schemeClr w14:val="tx1"/>
            </w14:solidFill>
          </w14:textFill>
        </w:rPr>
        <w:t xml:space="preserve">与“江苏政务服务网” </w:t>
      </w:r>
      <w:r>
        <w:rPr>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right="8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1"/>
      <w:r/>
      <w:bookmarkEnd w:id="2"/>
      <w:r/>
      <w:bookmarkEnd w:id="3"/>
      <w:r/>
      <w:bookmarkEnd w:id="4"/>
      <w:r/>
      <w:bookmarkEnd w:id="5"/>
      <w:r/>
      <w:r/>
    </w:p>
    <w:p>
      <w:pPr>
        <w:ind w:firstLine="2429"/>
        <w:keepLines/>
        <w:keepNext/>
        <w:spacing w:before="260" w:after="260" w:line="416" w:lineRule="auto"/>
        <w:rPr>
          <w:rFonts w:hint="eastAsia" w:ascii="黑体" w:hAnsi="Arial" w:eastAsia="黑体" w:cs="Arial"/>
          <w:color w:val="000000"/>
          <w:sz w:val="44"/>
          <w:szCs w:val="44"/>
          <w:highlight w:val="none"/>
        </w:rPr>
        <w:outlineLvl w:val="1"/>
      </w:pPr>
      <w:r/>
      <w:bookmarkStart w:id="40" w:name="_Toc120614211"/>
      <w:r/>
      <w:bookmarkStart w:id="41" w:name="_Toc120614221"/>
      <w:r/>
      <w:bookmarkStart w:id="42" w:name="_Toc513029242"/>
      <w:r/>
      <w:bookmarkStart w:id="43" w:name="_Toc16938558"/>
      <w:r/>
      <w:bookmarkStart w:id="44" w:name="_Toc20823314"/>
      <w:r/>
      <w:bookmarkStart w:id="45" w:name="_Toc479757207"/>
      <w:r>
        <w:rPr>
          <w:rFonts w:hint="eastAsia" w:ascii="黑体" w:hAnsi="Arial" w:eastAsia="黑体" w:cs="Arial"/>
          <w:b/>
          <w:bCs/>
          <w:color w:val="000000"/>
          <w:sz w:val="44"/>
          <w:szCs w:val="44"/>
          <w:highlight w:val="none"/>
        </w:rPr>
        <w:t xml:space="preserve">第二章  </w:t>
      </w:r>
      <w:bookmarkEnd w:id="40"/>
      <w:r/>
      <w:bookmarkStart w:id="46" w:name="_Toc16938518"/>
      <w:r/>
      <w:bookmarkStart w:id="47" w:name="_Toc120614213"/>
      <w:r/>
      <w:bookmarkStart w:id="48" w:name="_Toc20823274"/>
      <w:r/>
      <w:bookmarkStart w:id="49" w:name="_Toc513029202"/>
      <w:r>
        <w:rPr>
          <w:rFonts w:hint="eastAsia" w:ascii="黑体" w:hAnsi="Arial" w:eastAsia="黑体" w:cs="Arial"/>
          <w:b/>
          <w:bCs/>
          <w:color w:val="000000"/>
          <w:sz w:val="44"/>
          <w:szCs w:val="44"/>
          <w:highlight w:val="none"/>
        </w:rPr>
        <w:t xml:space="preserve">投标人须知</w:t>
      </w:r>
      <w:bookmarkEnd w:id="46"/>
      <w:r/>
      <w:bookmarkEnd w:id="47"/>
      <w:r/>
      <w:bookmarkEnd w:id="48"/>
      <w:r/>
      <w:bookmarkEnd w:id="49"/>
      <w:r/>
      <w:r/>
    </w:p>
    <w:p>
      <w:pPr>
        <w:ind w:firstLine="498"/>
        <w:keepLines/>
        <w:keepNext/>
        <w:spacing w:before="156" w:after="156" w:line="400" w:lineRule="exact"/>
        <w:rPr>
          <w:rFonts w:hint="eastAsia" w:ascii="Times New Roman" w:hAnsi="Times New Roman"/>
          <w:b/>
          <w:bCs/>
          <w:color w:val="000000"/>
          <w:sz w:val="32"/>
          <w:szCs w:val="32"/>
          <w:highlight w:val="none"/>
        </w:rPr>
        <w:outlineLvl w:val="2"/>
      </w:pPr>
      <w:r/>
      <w:bookmarkStart w:id="50" w:name="_Toc16938519"/>
      <w:r/>
      <w:bookmarkStart w:id="51" w:name="_Toc120614214"/>
      <w:r/>
      <w:bookmarkStart w:id="52" w:name="_Toc513029203"/>
      <w:r/>
      <w:bookmarkStart w:id="53" w:name="_Toc20823275"/>
      <w:r>
        <w:rPr>
          <w:rFonts w:hint="eastAsia" w:ascii="Times New Roman" w:hAnsi="Times New Roman"/>
          <w:b/>
          <w:bCs/>
          <w:color w:val="000000"/>
          <w:sz w:val="32"/>
          <w:szCs w:val="32"/>
          <w:highlight w:val="none"/>
        </w:rPr>
        <w:t xml:space="preserve">一、总则</w:t>
      </w:r>
      <w:bookmarkEnd w:id="50"/>
      <w:r/>
      <w:bookmarkEnd w:id="51"/>
      <w:r/>
      <w:bookmarkEnd w:id="52"/>
      <w:r/>
      <w:bookmarkEnd w:id="53"/>
      <w:r/>
      <w:r/>
    </w:p>
    <w:p>
      <w:pPr>
        <w:ind w:firstLine="420"/>
        <w:keepLines/>
        <w:keepNext/>
        <w:spacing w:line="400" w:lineRule="exact"/>
        <w:rPr>
          <w:rFonts w:hint="eastAsia" w:ascii="Arial" w:hAnsi="Arial" w:eastAsia="黑体" w:cs="Arial"/>
          <w:color w:val="000000"/>
          <w:sz w:val="28"/>
          <w:szCs w:val="28"/>
          <w:highlight w:val="none"/>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Arial" w:hAnsi="Arial" w:eastAsia="黑体" w:cs="Arial"/>
          <w:color w:val="000000"/>
          <w:sz w:val="28"/>
          <w:szCs w:val="28"/>
          <w:highlight w:val="none"/>
        </w:rPr>
        <w:t xml:space="preserve">1</w:t>
      </w:r>
      <w:bookmarkEnd w:id="55"/>
      <w:r>
        <w:rPr>
          <w:rFonts w:hint="eastAsia" w:ascii="Arial" w:hAnsi="Arial" w:eastAsia="黑体" w:cs="Arial"/>
          <w:color w:val="000000"/>
          <w:sz w:val="28"/>
          <w:szCs w:val="28"/>
          <w:highlight w:val="none"/>
        </w:rPr>
        <w:t xml:space="preserve">、招标方式</w:t>
      </w:r>
      <w:bookmarkEnd w:id="56"/>
      <w:r/>
      <w:bookmarkEnd w:id="57"/>
      <w:r/>
      <w:bookmarkEnd w:id="58"/>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59" w:name="_Toc20823277"/>
      <w:r/>
      <w:bookmarkStart w:id="60" w:name="_Toc16938521"/>
      <w:r/>
      <w:bookmarkStart w:id="61" w:name="_Toc513029205"/>
      <w:r>
        <w:rPr>
          <w:rFonts w:hint="eastAsia" w:ascii="Arial" w:hAnsi="Arial" w:eastAsia="黑体" w:cs="Arial"/>
          <w:color w:val="000000"/>
          <w:sz w:val="28"/>
          <w:szCs w:val="28"/>
          <w:highlight w:val="none"/>
        </w:rPr>
        <w:t xml:space="preserve">2、合格的投标人</w:t>
      </w:r>
      <w:bookmarkEnd w:id="59"/>
      <w:r/>
      <w:bookmarkEnd w:id="60"/>
      <w:r/>
      <w:bookmarkEnd w:id="61"/>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2"/>
        <w:keepLines/>
        <w:keepNext/>
        <w:spacing w:line="400" w:lineRule="exact"/>
        <w:rPr>
          <w:rFonts w:hint="eastAsia" w:ascii="方正魏碑_GBK" w:hAnsi="方正魏碑_GBK" w:eastAsia="方正魏碑_GBK" w:cs="方正魏碑_GBK"/>
          <w:b/>
          <w:bCs/>
          <w:color w:val="auto"/>
          <w:sz w:val="28"/>
          <w:szCs w:val="28"/>
          <w:highlight w:val="none"/>
          <w:lang w:eastAsia="zh-CN"/>
        </w:rPr>
        <w:outlineLvl w:val="3"/>
      </w:pPr>
      <w:r/>
      <w:bookmarkStart w:id="62" w:name="_Toc16938522"/>
      <w:r/>
      <w:bookmarkStart w:id="63" w:name="_Toc20823278"/>
      <w:r/>
      <w:bookmarkStart w:id="64" w:name="_Toc513029206"/>
      <w:r>
        <w:rPr>
          <w:rFonts w:hint="eastAsia" w:ascii="方正魏碑_GBK" w:hAnsi="方正魏碑_GBK" w:eastAsia="方正魏碑_GBK" w:cs="方正魏碑_GBK"/>
          <w:b/>
          <w:bCs/>
          <w:color w:val="auto"/>
          <w:sz w:val="28"/>
          <w:szCs w:val="28"/>
          <w:highlight w:val="none"/>
        </w:rPr>
        <w:t xml:space="preserve">3、适用法律</w:t>
      </w:r>
      <w:bookmarkEnd w:id="62"/>
      <w:r/>
      <w:bookmarkEnd w:id="63"/>
      <w:r/>
      <w:bookmarkEnd w:id="64"/>
      <w:r>
        <w:rPr>
          <w:rFonts w:hint="eastAsia" w:ascii="方正魏碑_GBK" w:hAnsi="方正魏碑_GBK" w:eastAsia="方正魏碑_GBK" w:cs="方正魏碑_GBK"/>
          <w:b/>
          <w:bCs/>
          <w:color w:val="auto"/>
          <w:sz w:val="28"/>
          <w:szCs w:val="28"/>
          <w:highlight w:val="none"/>
          <w:lang w:eastAsia="zh-CN"/>
        </w:rPr>
        <w:t xml:space="preserve">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方正魏碑_GBK" w:hAnsi="方正魏碑_GBK" w:eastAsia="方正魏碑_GBK" w:cs="方正魏碑_GBK"/>
          <w:color w:val="auto"/>
          <w:sz w:val="24"/>
          <w:szCs w:val="21"/>
          <w:highlight w:val="none"/>
          <w:lang w:val="en-US" w:eastAsia="zh-CN"/>
        </w:rPr>
      </w:pPr>
      <w:r>
        <w:rPr>
          <w:rFonts w:hint="eastAsia" w:ascii="方正魏碑_GBK" w:hAnsi="方正魏碑_GBK" w:eastAsia="方正魏碑_GBK" w:cs="方正魏碑_GBK"/>
          <w:color w:val="auto"/>
          <w:sz w:val="24"/>
          <w:szCs w:val="21"/>
          <w:highlight w:val="none"/>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65" w:name="_Toc20823279"/>
      <w:r/>
      <w:bookmarkStart w:id="66" w:name="_Toc16938523"/>
      <w:r/>
      <w:bookmarkStart w:id="67" w:name="_Toc513029207"/>
      <w:r/>
      <w:bookmarkStart w:id="68" w:name="_Toc462564067"/>
      <w:r>
        <w:rPr>
          <w:rFonts w:hint="eastAsia" w:ascii="Arial" w:hAnsi="Arial" w:eastAsia="黑体" w:cs="Arial"/>
          <w:color w:val="000000"/>
          <w:sz w:val="28"/>
          <w:szCs w:val="28"/>
          <w:highlight w:val="none"/>
        </w:rPr>
        <w:t xml:space="preserve">4、投标费用</w:t>
      </w:r>
      <w:bookmarkEnd w:id="65"/>
      <w:r/>
      <w:bookmarkEnd w:id="66"/>
      <w:r/>
      <w:bookmarkEnd w:id="67"/>
      <w:r/>
      <w:bookmarkEnd w:id="68"/>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452"/>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000000"/>
          <w:sz w:val="32"/>
          <w:szCs w:val="32"/>
          <w:highlight w:val="none"/>
        </w:rPr>
        <w:outlineLvl w:val="2"/>
      </w:pPr>
      <w:r/>
      <w:bookmarkStart w:id="69" w:name="_Toc20823281"/>
      <w:r/>
      <w:bookmarkStart w:id="70" w:name="_Toc120614215"/>
      <w:r/>
      <w:bookmarkStart w:id="71" w:name="_Toc513029209"/>
      <w:r/>
      <w:bookmarkStart w:id="72" w:name="_Toc16938525"/>
      <w:r>
        <w:rPr>
          <w:rFonts w:hint="eastAsia" w:ascii="Times New Roman" w:hAnsi="Times New Roman"/>
          <w:b/>
          <w:bCs/>
          <w:color w:val="000000"/>
          <w:sz w:val="32"/>
          <w:szCs w:val="32"/>
          <w:highlight w:val="none"/>
        </w:rPr>
        <w:t xml:space="preserve">二、招标文件</w:t>
      </w:r>
      <w:bookmarkEnd w:id="69"/>
      <w:r/>
      <w:bookmarkEnd w:id="70"/>
      <w:r/>
      <w:bookmarkEnd w:id="71"/>
      <w:r/>
      <w:bookmarkEnd w:id="72"/>
      <w:r/>
      <w:r/>
    </w:p>
    <w:p>
      <w:pPr>
        <w:ind w:firstLine="420"/>
        <w:keepLines/>
        <w:keepNext/>
        <w:spacing w:line="400" w:lineRule="exact"/>
        <w:rPr>
          <w:rFonts w:hint="eastAsia" w:ascii="Arial" w:hAnsi="Arial" w:eastAsia="黑体" w:cs="Arial"/>
          <w:color w:val="000000"/>
          <w:sz w:val="28"/>
          <w:szCs w:val="28"/>
          <w:highlight w:val="none"/>
        </w:rPr>
        <w:outlineLvl w:val="3"/>
      </w:pPr>
      <w:r/>
      <w:bookmarkStart w:id="73" w:name="_Toc16938526"/>
      <w:r/>
      <w:bookmarkStart w:id="74" w:name="_Toc513029210"/>
      <w:r/>
      <w:bookmarkStart w:id="75" w:name="_Toc20823282"/>
      <w:r>
        <w:rPr>
          <w:rFonts w:hint="eastAsia" w:ascii="Arial" w:hAnsi="Arial" w:eastAsia="黑体" w:cs="Arial"/>
          <w:color w:val="000000"/>
          <w:sz w:val="28"/>
          <w:szCs w:val="28"/>
          <w:highlight w:val="none"/>
        </w:rPr>
        <w:t xml:space="preserve">6、招标文件构成</w:t>
      </w:r>
      <w:bookmarkEnd w:id="73"/>
      <w:r/>
      <w:bookmarkEnd w:id="74"/>
      <w:r/>
      <w:bookmarkEnd w:id="75"/>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highlight w:val="none"/>
        </w:rPr>
        <w:outlineLvl w:val="3"/>
      </w:pPr>
      <w:r/>
      <w:bookmarkStart w:id="76" w:name="_Toc16938528"/>
      <w:r/>
      <w:bookmarkStart w:id="77" w:name="_Toc513029212"/>
      <w:r/>
      <w:bookmarkStart w:id="78" w:name="_Toc20823284"/>
      <w:r/>
      <w:bookmarkStart w:id="79"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6"/>
      <w:r/>
      <w:bookmarkEnd w:id="77"/>
      <w:r/>
      <w:bookmarkEnd w:id="78"/>
      <w:r/>
      <w:bookmarkEnd w:id="79"/>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80" w:name="_Toc513029213"/>
      <w:r/>
      <w:bookmarkStart w:id="81" w:name="_Toc120614216"/>
      <w:r/>
      <w:bookmarkStart w:id="82" w:name="_Toc16938529"/>
      <w:r/>
      <w:bookmarkStart w:id="83" w:name="_Toc462564072"/>
      <w:r/>
      <w:bookmarkStart w:id="84" w:name="_Toc20823285"/>
      <w:r>
        <w:rPr>
          <w:rFonts w:hint="eastAsia" w:ascii="Times New Roman" w:hAnsi="Times New Roman"/>
          <w:b/>
          <w:bCs/>
          <w:color w:val="000000"/>
          <w:sz w:val="32"/>
          <w:szCs w:val="32"/>
          <w:highlight w:val="none"/>
        </w:rPr>
        <w:t xml:space="preserve">三、投标文件的编制</w:t>
      </w:r>
      <w:bookmarkEnd w:id="80"/>
      <w:r/>
      <w:bookmarkEnd w:id="81"/>
      <w:r/>
      <w:bookmarkEnd w:id="82"/>
      <w:r/>
      <w:bookmarkEnd w:id="83"/>
      <w:r/>
      <w:bookmarkEnd w:id="84"/>
      <w:r/>
      <w:r/>
    </w:p>
    <w:p>
      <w:pPr>
        <w:ind w:firstLine="560"/>
        <w:keepLines/>
        <w:keepNext/>
        <w:spacing w:line="400" w:lineRule="exact"/>
        <w:rPr>
          <w:rFonts w:hint="eastAsia" w:ascii="Arial" w:hAnsi="Arial" w:eastAsia="黑体" w:cs="Arial"/>
          <w:b/>
          <w:color w:val="000000"/>
          <w:sz w:val="28"/>
          <w:szCs w:val="28"/>
          <w:highlight w:val="none"/>
        </w:rPr>
        <w:outlineLvl w:val="3"/>
      </w:pPr>
      <w:r/>
      <w:bookmarkStart w:id="85" w:name="_Toc16938530"/>
      <w:r/>
      <w:bookmarkStart w:id="86" w:name="_Toc462564073"/>
      <w:r/>
      <w:bookmarkStart w:id="87" w:name="_Toc20823286"/>
      <w:r/>
      <w:bookmarkStart w:id="88" w:name="_Toc513029214"/>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5"/>
      <w:r/>
      <w:bookmarkEnd w:id="86"/>
      <w:r/>
      <w:bookmarkEnd w:id="87"/>
      <w:r/>
      <w:bookmarkEnd w:id="88"/>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89" w:name="_Toc513029215"/>
      <w:r/>
      <w:bookmarkStart w:id="90" w:name="_Toc20823287"/>
      <w:r/>
      <w:bookmarkStart w:id="91" w:name="_Toc16938531"/>
      <w:r/>
      <w:bookmarkStart w:id="92"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9"/>
      <w:r/>
      <w:bookmarkEnd w:id="90"/>
      <w:r/>
      <w:bookmarkEnd w:id="91"/>
      <w:r/>
      <w:bookmarkEnd w:id="92"/>
      <w:r/>
      <w:r/>
    </w:p>
    <w:p>
      <w:pPr>
        <w:ind w:firstLine="480"/>
        <w:spacing w:line="40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bookmarkStart w:id="102" w:name="_Toc14577355"/>
      <w:r/>
      <w:bookmarkStart w:id="103"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6"/>
      <w:r/>
      <w:bookmarkEnd w:id="97"/>
      <w:r/>
      <w:bookmarkEnd w:id="98"/>
      <w:r/>
      <w:bookmarkEnd w:id="99"/>
      <w:r/>
      <w:bookmarkEnd w:id="100"/>
      <w:r/>
      <w:bookmarkEnd w:id="101"/>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2"/>
      <w:r/>
      <w:bookmarkEnd w:id="103"/>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4" w:name="_Hlt26954840"/>
      <w:r/>
      <w:bookmarkEnd w:id="104"/>
      <w:r>
        <w:rPr>
          <w:rFonts w:hint="eastAsia" w:ascii="宋体" w:hAnsi="宋体"/>
          <w:sz w:val="24"/>
          <w:szCs w:val="21"/>
          <w:highlight w:val="none"/>
        </w:rPr>
        <w:t xml:space="preserve">标人按照招标文件规定格式填报投标分项报价表</w:t>
      </w:r>
      <w:bookmarkStart w:id="105" w:name="_Hlt26670399"/>
      <w:r/>
      <w:bookmarkEnd w:id="105"/>
      <w:r>
        <w:rPr>
          <w:rFonts w:hint="eastAsia" w:ascii="宋体" w:hAnsi="宋体"/>
          <w:sz w:val="24"/>
          <w:szCs w:val="21"/>
          <w:highlight w:val="none"/>
        </w:rPr>
        <w:t xml:space="preserve">。</w:t>
      </w:r>
      <w:r/>
    </w:p>
    <w:p>
      <w:pPr>
        <w:ind w:firstLine="480"/>
        <w:spacing w:line="4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sz w:val="28"/>
          <w:szCs w:val="28"/>
          <w:highlight w:val="none"/>
        </w:rPr>
        <w:outlineLvl w:val="3"/>
      </w:pPr>
      <w:r/>
      <w:bookmarkStart w:id="106" w:name="_Hlt26670482"/>
      <w:r/>
      <w:bookmarkEnd w:id="106"/>
      <w:r/>
      <w:bookmarkStart w:id="107" w:name="_Hlt26954731"/>
      <w:r/>
      <w:bookmarkEnd w:id="107"/>
      <w:r/>
      <w:bookmarkStart w:id="108" w:name="_Hlt26670486"/>
      <w:r/>
      <w:bookmarkEnd w:id="108"/>
      <w:r/>
      <w:bookmarkStart w:id="109" w:name="_Hlt26954846"/>
      <w:r/>
      <w:bookmarkEnd w:id="109"/>
      <w:r/>
      <w:bookmarkStart w:id="110" w:name="_Hlt26954848"/>
      <w:r/>
      <w:bookmarkEnd w:id="110"/>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11" w:name="_Toc49090510"/>
      <w:r/>
      <w:bookmarkStart w:id="112" w:name="_Toc1457735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1"/>
      <w:r/>
      <w:bookmarkEnd w:id="112"/>
      <w:r/>
      <w:r/>
    </w:p>
    <w:p>
      <w:pPr>
        <w:ind w:firstLine="420"/>
        <w:keepLines/>
        <w:keepNext/>
        <w:spacing w:line="400" w:lineRule="exact"/>
        <w:rPr>
          <w:rFonts w:hint="eastAsia" w:ascii="Arial" w:hAnsi="Arial" w:eastAsia="黑体" w:cs="Arial"/>
          <w:color w:val="000000"/>
          <w:sz w:val="28"/>
          <w:szCs w:val="28"/>
          <w:highlight w:val="none"/>
        </w:rPr>
        <w:outlineLvl w:val="3"/>
      </w:pPr>
      <w:r/>
      <w:bookmarkStart w:id="113" w:name="_Toc14577360"/>
      <w:r/>
      <w:bookmarkStart w:id="114"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3"/>
      <w:r/>
      <w:bookmarkEnd w:id="114"/>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56" w:after="156" w:line="400" w:lineRule="exact"/>
        <w:rPr>
          <w:rFonts w:hint="eastAsia" w:ascii="Times New Roman" w:hAnsi="Times New Roman"/>
          <w:b/>
          <w:bCs/>
          <w:color w:val="000000"/>
          <w:sz w:val="32"/>
          <w:szCs w:val="32"/>
          <w:highlight w:val="none"/>
        </w:rPr>
        <w:outlineLvl w:val="2"/>
      </w:pPr>
      <w:r/>
      <w:bookmarkStart w:id="115" w:name="_Hlt26954739"/>
      <w:r/>
      <w:bookmarkEnd w:id="115"/>
      <w:r/>
      <w:bookmarkStart w:id="116" w:name="_Hlt26954852"/>
      <w:r/>
      <w:bookmarkEnd w:id="116"/>
      <w:r/>
      <w:bookmarkStart w:id="117" w:name="_Toc20823296"/>
      <w:r/>
      <w:bookmarkStart w:id="118" w:name="_Toc120614217"/>
      <w:r/>
      <w:bookmarkStart w:id="119" w:name="_Toc16938540"/>
      <w:r/>
      <w:bookmarkStart w:id="120" w:name="_Toc513029224"/>
      <w:r>
        <w:rPr>
          <w:rFonts w:hint="eastAsia" w:ascii="Times New Roman" w:hAnsi="Times New Roman"/>
          <w:b/>
          <w:bCs/>
          <w:color w:val="000000"/>
          <w:sz w:val="32"/>
          <w:szCs w:val="32"/>
          <w:highlight w:val="none"/>
        </w:rPr>
        <w:t xml:space="preserve">四、投标文件的递交</w:t>
      </w:r>
      <w:bookmarkEnd w:id="117"/>
      <w:r/>
      <w:bookmarkEnd w:id="118"/>
      <w:r/>
      <w:bookmarkEnd w:id="119"/>
      <w:r/>
      <w:bookmarkEnd w:id="120"/>
      <w:r/>
      <w:r/>
    </w:p>
    <w:p>
      <w:pPr>
        <w:ind w:firstLine="420"/>
        <w:keepLines/>
        <w:keepNext/>
        <w:spacing w:line="400" w:lineRule="exact"/>
        <w:rPr>
          <w:rFonts w:hint="eastAsia" w:ascii="黑体" w:hAnsi="Arial" w:eastAsia="黑体" w:cs="Arial"/>
          <w:color w:val="000000"/>
          <w:sz w:val="28"/>
          <w:szCs w:val="28"/>
          <w:highlight w:val="none"/>
        </w:rPr>
        <w:outlineLvl w:val="3"/>
      </w:pPr>
      <w:r/>
      <w:bookmarkStart w:id="121" w:name="_Toc16938541"/>
      <w:r/>
      <w:bookmarkStart w:id="122" w:name="_Toc20823297"/>
      <w:r/>
      <w:bookmarkStart w:id="123" w:name="_Toc513029225"/>
      <w:r/>
      <w:bookmarkStart w:id="124"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1"/>
      <w:r/>
      <w:bookmarkEnd w:id="122"/>
      <w:r/>
      <w:bookmarkEnd w:id="123"/>
      <w:r/>
      <w:bookmarkEnd w:id="124"/>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5" w:name="_Toc20823298"/>
      <w:r/>
      <w:bookmarkStart w:id="126" w:name="_Toc513029226"/>
      <w:r/>
      <w:bookmarkStart w:id="127" w:name="_Toc16938542"/>
      <w:r/>
      <w:r/>
    </w:p>
    <w:p>
      <w:pPr>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5"/>
      <w:r/>
      <w:bookmarkEnd w:id="126"/>
      <w:r/>
      <w:bookmarkEnd w:id="127"/>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28" w:name="_Toc16938543"/>
      <w:r/>
      <w:bookmarkStart w:id="129" w:name="_Toc513029227"/>
      <w:r/>
      <w:bookmarkStart w:id="130"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8"/>
      <w:r/>
      <w:bookmarkEnd w:id="129"/>
      <w:r/>
      <w:bookmarkEnd w:id="130"/>
      <w:r>
        <w:rPr>
          <w:rFonts w:hint="eastAsia" w:ascii="Arial" w:hAnsi="Arial" w:eastAsia="黑体" w:cs="Arial"/>
          <w:color w:val="000000"/>
          <w:sz w:val="28"/>
          <w:szCs w:val="28"/>
          <w:highlight w:val="none"/>
        </w:rPr>
        <w:t xml:space="preserve">的拒收</w:t>
      </w:r>
      <w:r/>
    </w:p>
    <w:p>
      <w:pPr>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31" w:name="_Toc20823300"/>
      <w:r/>
      <w:bookmarkStart w:id="132" w:name="_Toc16938544"/>
      <w:r/>
      <w:bookmarkStart w:id="133"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1"/>
      <w:r/>
      <w:bookmarkEnd w:id="132"/>
      <w:r/>
      <w:bookmarkEnd w:id="133"/>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134" w:name="_Toc20823301"/>
      <w:r/>
      <w:bookmarkStart w:id="135" w:name="_Toc513029229"/>
      <w:r/>
      <w:bookmarkStart w:id="136" w:name="_Toc16938545"/>
      <w:r/>
      <w:bookmarkStart w:id="137" w:name="_Toc120614218"/>
      <w:r>
        <w:rPr>
          <w:rFonts w:hint="eastAsia" w:ascii="Times New Roman" w:hAnsi="Times New Roman"/>
          <w:b/>
          <w:bCs/>
          <w:color w:val="000000"/>
          <w:sz w:val="32"/>
          <w:szCs w:val="32"/>
          <w:highlight w:val="none"/>
        </w:rPr>
        <w:t xml:space="preserve">五、开标与评标</w:t>
      </w:r>
      <w:bookmarkEnd w:id="134"/>
      <w:r/>
      <w:bookmarkEnd w:id="135"/>
      <w:r/>
      <w:bookmarkEnd w:id="136"/>
      <w:r/>
      <w:bookmarkEnd w:id="137"/>
      <w:r/>
      <w:r/>
    </w:p>
    <w:p>
      <w:pPr>
        <w:ind w:firstLine="420"/>
        <w:keepLines/>
        <w:keepNext/>
        <w:spacing w:line="400" w:lineRule="exact"/>
        <w:rPr>
          <w:rFonts w:hint="eastAsia" w:ascii="Arial" w:hAnsi="Arial" w:eastAsia="黑体" w:cs="Arial"/>
          <w:color w:val="000000"/>
          <w:sz w:val="28"/>
          <w:szCs w:val="28"/>
          <w:highlight w:val="none"/>
        </w:rPr>
        <w:outlineLvl w:val="3"/>
      </w:pPr>
      <w:r/>
      <w:bookmarkStart w:id="138" w:name="_Toc16938546"/>
      <w:r/>
      <w:bookmarkStart w:id="139" w:name="_Toc513029230"/>
      <w:r/>
      <w:bookmarkStart w:id="140"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8"/>
      <w:r/>
      <w:bookmarkEnd w:id="139"/>
      <w:r/>
      <w:bookmarkEnd w:id="140"/>
      <w:r/>
      <w:r/>
    </w:p>
    <w:p>
      <w:pPr>
        <w:ind w:firstLine="480"/>
        <w:spacing w:line="40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00" w:lineRule="exact"/>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highlight w:val="none"/>
        </w:rPr>
        <w:outlineLvl w:val="3"/>
      </w:pPr>
      <w:r/>
      <w:bookmarkStart w:id="141" w:name="_Toc16938547"/>
      <w:r/>
      <w:bookmarkStart w:id="142" w:name="_Toc513029231"/>
      <w:r/>
      <w:bookmarkStart w:id="143"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1"/>
      <w:r/>
      <w:bookmarkEnd w:id="142"/>
      <w:r/>
      <w:bookmarkEnd w:id="143"/>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44" w:name="_Toc513029232"/>
      <w:r/>
      <w:bookmarkStart w:id="145" w:name="_Toc16938548"/>
      <w:r/>
      <w:bookmarkStart w:id="146"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4"/>
      <w:r/>
      <w:bookmarkEnd w:id="145"/>
      <w:r/>
      <w:bookmarkEnd w:id="146"/>
      <w:r/>
      <w:r/>
    </w:p>
    <w:p>
      <w:pPr>
        <w:ind w:firstLine="480"/>
        <w:spacing w:line="400" w:lineRule="exact"/>
        <w:rPr>
          <w:rFonts w:ascii="宋体" w:hAnsi="宋体"/>
          <w:color w:val="000000"/>
          <w:sz w:val="24"/>
          <w:szCs w:val="24"/>
          <w:highlight w:val="none"/>
        </w:rPr>
      </w:pPr>
      <w:r/>
      <w:bookmarkStart w:id="147" w:name="_Toc16938549"/>
      <w:r/>
      <w:bookmarkStart w:id="148" w:name="_Toc20823305"/>
      <w:r/>
      <w:bookmarkStart w:id="149"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7"/>
      <w:r/>
      <w:bookmarkEnd w:id="148"/>
      <w:r/>
      <w:bookmarkEnd w:id="149"/>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rFonts w:ascii="Times New Roman" w:hAnsi="Times New Roman"/>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50" w:name="_Toc513029234"/>
      <w:r/>
      <w:bookmarkStart w:id="151" w:name="_Toc20823306"/>
      <w:r/>
      <w:bookmarkStart w:id="152"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25.8 异常低价投标审查</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25.8.1 评标过程中出现下列情形之一的，评标委员会应当启动异常低价投标审查程序：</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（1）投标报价低于采购项目预算50%的，即投标报价＜采购项目预算×50%；</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（2）投标报价低于采购项目最高限价45%的，即投标报价＜采购项目最高限价×45%；</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（3）评标委员会认定的供应商报价过低、有可能影响产品质量或者不能诚信履约的其他情形。</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0"/>
      <w:r/>
      <w:bookmarkEnd w:id="151"/>
      <w:r/>
      <w:bookmarkEnd w:id="152"/>
      <w:r>
        <w:rPr>
          <w:rFonts w:hint="eastAsia" w:ascii="Arial" w:hAnsi="Arial" w:eastAsia="黑体" w:cs="Arial"/>
          <w:sz w:val="28"/>
          <w:szCs w:val="28"/>
          <w:highlight w:val="none"/>
        </w:rPr>
        <w:t xml:space="preserve">无效投标条款和废标条款</w:t>
      </w:r>
      <w:r/>
    </w:p>
    <w:p>
      <w:pPr>
        <w:ind w:left="479"/>
        <w:spacing w:line="400" w:lineRule="exact"/>
        <w:rPr>
          <w:rFonts w:hint="eastAsia" w:ascii="宋体" w:hAnsi="宋体"/>
          <w:bCs/>
          <w:sz w:val="24"/>
          <w:szCs w:val="21"/>
          <w:highlight w:val="none"/>
        </w:rPr>
      </w:pPr>
      <w:r/>
      <w:bookmarkStart w:id="153" w:name="_Toc513029235"/>
      <w:r/>
      <w:bookmarkStart w:id="154" w:name="_Toc20823307"/>
      <w:r/>
      <w:bookmarkStart w:id="155" w:name="_Toc16938551"/>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w:t>
      </w:r>
      <w:r>
        <w:rPr>
          <w:rFonts w:hint="eastAsia" w:cs="仿宋"/>
          <w:color w:val="000000" w:themeColor="text1"/>
          <w:sz w:val="24"/>
          <w:highlight w:val="none"/>
          <w:lang w:val="zh-CN"/>
          <w14:textFill>
            <w14:solidFill>
              <w14:schemeClr w14:val="tx1"/>
            </w14:solidFill>
          </w14:textFill>
        </w:rPr>
        <w:t xml:space="preserve">★</w:t>
      </w:r>
      <w:r>
        <w:rPr>
          <w:rFonts w:hint="eastAsia" w:ascii="宋体" w:hAnsi="宋体"/>
          <w:b/>
          <w:bCs/>
          <w:sz w:val="24"/>
          <w:szCs w:val="21"/>
          <w:highlight w:val="none"/>
        </w:rPr>
        <w:t xml:space="preserve">号条款为实质性要求）</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560"/>
        <w:spacing w:line="400" w:lineRule="exact"/>
        <w:rPr>
          <w:rFonts w:hint="eastAsia" w:ascii="方正魏碑_GBK" w:hAnsi="方正魏碑_GBK" w:eastAsia="方正魏碑_GBK" w:cs="方正魏碑_GBK"/>
          <w:bCs/>
          <w:color w:val="auto"/>
          <w:sz w:val="28"/>
          <w:szCs w:val="28"/>
          <w:highlight w:val="none"/>
          <w:lang w:val="en-US" w:eastAsia="zh-CN"/>
        </w:rPr>
      </w:pPr>
      <w:r>
        <w:rPr>
          <w:rFonts w:hint="eastAsia" w:ascii="方正魏碑_GBK" w:hAnsi="方正魏碑_GBK" w:eastAsia="方正魏碑_GBK" w:cs="方正魏碑_GBK"/>
          <w:bCs/>
          <w:color w:val="auto"/>
          <w:sz w:val="28"/>
          <w:szCs w:val="28"/>
          <w:highlight w:val="none"/>
          <w:lang w:val="en-US" w:eastAsia="zh-CN"/>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其他法律、法规及本招标文件规定的属无效投标的情形。</w:t>
      </w:r>
      <w:r/>
    </w:p>
    <w:p>
      <w:pPr>
        <w:ind w:left="479"/>
        <w:spacing w:line="400" w:lineRule="exact"/>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lang w:val="en-US" w:eastAsia="zh-CN"/>
        </w:rPr>
        <w:t xml:space="preserve"> </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9"/>
        <w:spacing w:line="400" w:lineRule="exact"/>
        <w:rPr>
          <w:rFonts w:hint="default" w:ascii="宋体" w:hAnsi="宋体" w:eastAsia="宋体"/>
          <w:bCs/>
          <w:sz w:val="24"/>
          <w:szCs w:val="21"/>
          <w:highlight w:val="none"/>
          <w:lang w:val="en-US" w:eastAsia="zh-CN"/>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lang w:val="en-US" w:eastAsia="zh-CN"/>
        </w:rPr>
        <w:t xml:space="preserve">  </w:t>
      </w:r>
      <w:r/>
    </w:p>
    <w:p>
      <w:pPr>
        <w:ind w:left="479"/>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156" w:name="_Toc120614219"/>
      <w:r>
        <w:rPr>
          <w:rFonts w:hint="eastAsia" w:ascii="Times New Roman" w:hAnsi="Times New Roman"/>
          <w:b/>
          <w:bCs/>
          <w:color w:val="000000"/>
          <w:sz w:val="32"/>
          <w:szCs w:val="32"/>
          <w:highlight w:val="none"/>
        </w:rPr>
        <w:t xml:space="preserve">六、</w:t>
      </w:r>
      <w:bookmarkEnd w:id="153"/>
      <w:r/>
      <w:bookmarkEnd w:id="154"/>
      <w:r/>
      <w:bookmarkEnd w:id="155"/>
      <w:r>
        <w:rPr>
          <w:rFonts w:hint="eastAsia" w:ascii="Times New Roman" w:hAnsi="Times New Roman"/>
          <w:b/>
          <w:bCs/>
          <w:color w:val="000000"/>
          <w:sz w:val="32"/>
          <w:szCs w:val="32"/>
          <w:highlight w:val="none"/>
        </w:rPr>
        <w:t xml:space="preserve">定标</w:t>
      </w:r>
      <w:bookmarkEnd w:id="156"/>
      <w:r/>
      <w:r/>
    </w:p>
    <w:p>
      <w:pPr>
        <w:ind w:firstLine="600"/>
        <w:keepLines/>
        <w:keepNext/>
        <w:spacing w:line="400" w:lineRule="exact"/>
        <w:rPr>
          <w:rFonts w:hint="eastAsia" w:ascii="黑体" w:hAnsi="宋体" w:eastAsia="黑体"/>
          <w:bCs/>
          <w:color w:val="000000"/>
          <w:sz w:val="30"/>
          <w:szCs w:val="30"/>
          <w:highlight w:val="none"/>
        </w:rPr>
        <w:outlineLvl w:val="3"/>
      </w:pPr>
      <w:r/>
      <w:bookmarkStart w:id="157" w:name="_Toc513029238"/>
      <w:r/>
      <w:bookmarkStart w:id="158" w:name="_Toc16938554"/>
      <w:r/>
      <w:bookmarkStart w:id="159"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7"/>
      <w:r>
        <w:rPr>
          <w:rFonts w:hint="eastAsia" w:ascii="黑体" w:hAnsi="宋体" w:eastAsia="黑体"/>
          <w:bCs/>
          <w:color w:val="000000"/>
          <w:sz w:val="30"/>
          <w:szCs w:val="30"/>
          <w:highlight w:val="none"/>
        </w:rPr>
        <w:t xml:space="preserve">确定</w:t>
      </w:r>
      <w:bookmarkEnd w:id="158"/>
      <w:r/>
      <w:bookmarkEnd w:id="159"/>
      <w:r>
        <w:rPr>
          <w:rFonts w:hint="eastAsia" w:ascii="黑体" w:hAnsi="宋体" w:eastAsia="黑体"/>
          <w:bCs/>
          <w:color w:val="000000"/>
          <w:sz w:val="30"/>
          <w:szCs w:val="30"/>
          <w:highlight w:val="none"/>
        </w:rPr>
        <w:t xml:space="preserve">中标单位</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160" w:name="_Toc200451960"/>
      <w:r>
        <w:rPr>
          <w:rFonts w:hint="eastAsia" w:ascii="宋体" w:hAnsi="宋体"/>
          <w:color w:val="000000"/>
          <w:sz w:val="24"/>
          <w:szCs w:val="24"/>
          <w:highlight w:val="none"/>
        </w:rPr>
        <w:t xml:space="preserve">27.5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0"/>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   28.</w:t>
      </w:r>
      <w:r>
        <w:rPr>
          <w:rFonts w:hint="eastAsia" w:ascii="宋体" w:hAnsi="宋体"/>
          <w:sz w:val="24"/>
          <w:szCs w:val="24"/>
          <w:highlight w:val="none"/>
        </w:rPr>
        <w:t xml:space="preserve">4 </w:t>
      </w:r>
      <w:r>
        <w:rPr>
          <w:rFonts w:ascii="SimSun" w:hAnsi="SimSun" w:eastAsia="SimSun" w:cs="SimSun"/>
          <w:color w:val="000000"/>
          <w:sz w:val="24"/>
        </w:rPr>
        <w:t xml:space="preserve">供应商（含潜在供应商）对与本项目有关的所有询问、质疑均请向采购人提出，由采购人负责答复。</w:t>
      </w:r>
      <w:r/>
    </w:p>
    <w:p>
      <w:pPr>
        <w:ind w:firstLine="480"/>
        <w:spacing w:line="400" w:lineRule="exact"/>
        <w:rPr>
          <w:rFonts w:ascii="宋体" w:hAnsi="宋体"/>
          <w:b/>
          <w:bCs/>
          <w:sz w:val="24"/>
          <w:szCs w:val="24"/>
          <w:highlight w:val="none"/>
        </w:rPr>
      </w:pPr>
      <w:r>
        <w:rPr>
          <w:rFonts w:hint="eastAsia" w:ascii="宋体" w:hAnsi="宋体"/>
          <w:sz w:val="24"/>
          <w:szCs w:val="24"/>
          <w:highlight w:val="none"/>
        </w:rPr>
      </w:r>
      <w:r>
        <w:rPr>
          <w:rFonts w:ascii="宋体" w:hAnsi="宋体"/>
          <w:sz w:val="24"/>
          <w:szCs w:val="24"/>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highlight w:val="none"/>
        </w:rPr>
        <w:outlineLvl w:val="2"/>
      </w:pPr>
      <w:r/>
      <w:bookmarkStart w:id="161" w:name="_Toc120614220"/>
      <w:r/>
      <w:bookmarkStart w:id="162" w:name="_Toc16938552"/>
      <w:r/>
      <w:bookmarkStart w:id="163" w:name="_Toc20823308"/>
      <w:r/>
      <w:bookmarkStart w:id="164" w:name="_Toc513029236"/>
      <w:r>
        <w:rPr>
          <w:rFonts w:hint="eastAsia" w:ascii="Times New Roman" w:hAnsi="Times New Roman"/>
          <w:b/>
          <w:bCs/>
          <w:color w:val="000000"/>
          <w:sz w:val="32"/>
          <w:szCs w:val="32"/>
          <w:highlight w:val="none"/>
        </w:rPr>
        <w:t xml:space="preserve">七、授予合同</w:t>
      </w:r>
      <w:bookmarkEnd w:id="161"/>
      <w:r/>
      <w:bookmarkEnd w:id="162"/>
      <w:r/>
      <w:bookmarkEnd w:id="163"/>
      <w:r/>
      <w:bookmarkEnd w:id="164"/>
      <w:r/>
      <w:r/>
    </w:p>
    <w:p>
      <w:pPr>
        <w:ind w:firstLine="600"/>
        <w:keepLines/>
        <w:keepNext/>
        <w:spacing w:line="400" w:lineRule="exact"/>
        <w:rPr>
          <w:rFonts w:hint="eastAsia" w:ascii="黑体" w:hAnsi="宋体" w:eastAsia="黑体"/>
          <w:bCs/>
          <w:color w:val="000000"/>
          <w:sz w:val="30"/>
          <w:szCs w:val="30"/>
          <w:highlight w:val="none"/>
        </w:rPr>
        <w:outlineLvl w:val="3"/>
      </w:pPr>
      <w:r/>
      <w:bookmarkStart w:id="165" w:name="_Toc513029237"/>
      <w:r/>
      <w:bookmarkStart w:id="166" w:name="_Toc20823309"/>
      <w:r/>
      <w:bookmarkStart w:id="167"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5"/>
      <w:r/>
      <w:bookmarkEnd w:id="166"/>
      <w:r/>
      <w:bookmarkEnd w:id="167"/>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2640"/>
        <w:jc w:val="left"/>
        <w:keepNext/>
        <w:rPr>
          <w:rFonts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第三章  合同</w:t>
      </w:r>
      <w:bookmarkEnd w:id="41"/>
      <w:r/>
      <w:bookmarkEnd w:id="42"/>
      <w:r/>
      <w:bookmarkEnd w:id="43"/>
      <w:r/>
      <w:bookmarkEnd w:id="44"/>
      <w:r/>
      <w:bookmarkEnd w:id="45"/>
      <w:r>
        <w:rPr>
          <w:rFonts w:hint="eastAsia" w:ascii="黑体" w:eastAsia="黑体"/>
          <w:bCs/>
          <w:color w:val="000000" w:themeColor="text1"/>
          <w:sz w:val="44"/>
          <w:szCs w:val="28"/>
          <w:highlight w:val="none"/>
          <w14:textFill>
            <w14:solidFill>
              <w14:schemeClr w14:val="tx1"/>
            </w14:solidFill>
          </w14:textFill>
        </w:rPr>
        <w:t xml:space="preserve">文本</w:t>
      </w:r>
      <w:r/>
    </w:p>
    <w:p>
      <w:pPr>
        <w:spacing w:line="400" w:lineRule="exact"/>
        <w:rPr>
          <w:rFonts w:ascii="宋体" w:hAnsi="宋体"/>
          <w:bCs/>
          <w:color w:val="000000" w:themeColor="text1"/>
          <w:sz w:val="24"/>
          <w:szCs w:val="24"/>
          <w:highlight w:val="none"/>
          <w14:textFill>
            <w14:solidFill>
              <w14:schemeClr w14:val="tx1"/>
            </w14:solidFill>
          </w14:textFill>
        </w:rPr>
      </w:pPr>
      <w:r/>
      <w:bookmarkStart w:id="168" w:name="_Toc16938559"/>
      <w:r/>
      <w:bookmarkEnd w:id="168"/>
      <w:r/>
      <w:bookmarkStart w:id="169" w:name="_Toc20823315"/>
      <w:r/>
      <w:bookmarkEnd w:id="169"/>
      <w:r/>
      <w:bookmarkStart w:id="170" w:name="_Toc513029243"/>
      <w:r/>
      <w:bookmarkEnd w:id="170"/>
      <w:r/>
      <w:bookmarkStart w:id="171" w:name="_Toc3995"/>
      <w:r/>
      <w:bookmarkEnd w:id="171"/>
      <w:r/>
      <w:bookmarkStart w:id="172" w:name="_Hlt16619350"/>
      <w:r/>
      <w:bookmarkStart w:id="173" w:name="_Toc120614244"/>
      <w:r/>
      <w:bookmarkStart w:id="174" w:name="_Toc20823346"/>
      <w:r/>
      <w:bookmarkStart w:id="175" w:name="_Toc16938590"/>
      <w:r/>
      <w:bookmarkStart w:id="176" w:name="_Toc479757211"/>
      <w:r/>
      <w:bookmarkStart w:id="177" w:name="_Toc462564139"/>
      <w:r/>
      <w:r/>
    </w:p>
    <w:p>
      <w:pPr>
        <w:spacing w:line="5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05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105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105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eastAsia="zh-CN"/>
          <w14:textFill>
            <w14:solidFill>
              <w14:schemeClr w14:val="tx1"/>
            </w14:solidFill>
          </w14:textFill>
        </w:rPr>
        <w:t xml:space="preserve">财政部 政府采购货物买卖合同（试行）</w:t>
      </w:r>
      <w:r/>
    </w:p>
    <w:p>
      <w:pPr>
        <w:pStyle w:val="105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eastAsia="zh-CN"/>
          <w14:textFill>
            <w14:solidFill>
              <w14:schemeClr w14:val="tx1"/>
            </w14:solidFill>
          </w14:textFill>
        </w:rPr>
        <w:t xml:space="preserve">范    本</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甲方：</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乙方：</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pStyle w:val="1030"/>
        <w:spacing w:line="40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pStyle w:val="1030"/>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lang w:eastAsia="zh-CN"/>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lang w:eastAsia="zh-CN"/>
          <w14:textFill>
            <w14:solidFill>
              <w14:schemeClr w14:val="tx1"/>
            </w14:solidFill>
          </w14:textFill>
        </w:rPr>
        <w:t xml:space="preserve">政府采购合同协议书</w:t>
      </w:r>
      <w:r/>
    </w:p>
    <w:p>
      <w:pPr>
        <w:pStyle w:val="1030"/>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ascii="黑体" w:hAnsi="华文中宋" w:eastAsia="黑体"/>
          <w:b w:val="0"/>
          <w:bCs w:val="0"/>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甲方（全称）：（采购人、受采购人委托签订合同的单位或采购文件约定的合同甲方）</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乙方（全称）：（供应商）</w:t>
      </w:r>
      <w:r/>
    </w:p>
    <w:p>
      <w:pP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pStyle w:val="1059"/>
        <w:ind w:left="0" w:firstLine="1050"/>
        <w:spacing w:after="0" w:line="400" w:lineRule="exact"/>
        <w:tabs>
          <w:tab w:val="left" w:pos="999" w:leader="none"/>
        </w:tabs>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hint="eastAsia" w:ascii="宋体" w:hAnsi="宋体"/>
          <w:color w:val="000000" w:themeColor="text1"/>
          <w:szCs w:val="21"/>
          <w:highlight w:val="none"/>
          <w:u w:val="single"/>
          <w14:textFill>
            <w14:solidFill>
              <w14:schemeClr w14:val="tx1"/>
            </w14:solidFill>
          </w14:textFill>
        </w:rPr>
        <w:t xml:space="preserve">江苏开放大学浦口校区学生公寓家具采购项目</w:t>
      </w:r>
      <w:r/>
    </w:p>
    <w:p>
      <w:pPr>
        <w:pStyle w:val="1059"/>
        <w:ind w:left="0"/>
        <w:spacing w:after="0"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hint="eastAsia" w:ascii="宋体" w:hAnsi="宋体"/>
          <w:color w:val="000000" w:themeColor="text1"/>
          <w:szCs w:val="21"/>
          <w:highlight w:val="none"/>
          <w:u w:val="single"/>
          <w14:textFill>
            <w14:solidFill>
              <w14:schemeClr w14:val="tx1"/>
            </w14:solidFill>
          </w14:textFill>
        </w:rPr>
        <w:t xml:space="preserve">JSZC-320000-SCZX-G2025-0622</w:t>
      </w:r>
      <w:r/>
    </w:p>
    <w:p>
      <w:pPr>
        <w:pStyle w:val="1059"/>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个</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组等）：</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p>
      <w:pPr>
        <w:ind w:firstLine="94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pStyle w:val="1131"/>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1131"/>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1131"/>
        <w:ind w:firstLine="420"/>
        <w:rPr>
          <w:rFonts w:ascii="宋体" w:hAnsi="宋体" w:eastAsia="宋体" w:cs="宋体"/>
          <w:color w:val="000000" w:themeColor="text1"/>
          <w:sz w:val="21"/>
          <w:highlight w:val="none"/>
          <w:u w:val="singl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p>
    <w:p>
      <w:pPr>
        <w:pStyle w:val="1131"/>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1131"/>
        <w:ind w:firstLine="22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ind w:firstLine="840"/>
        <w:spacing w:line="400" w:lineRule="exact"/>
        <w:rPr>
          <w:rFonts w:eastAsia="华文楷体"/>
          <w:color w:val="000000" w:themeColor="text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131"/>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840"/>
        <w:spacing w:line="400" w:lineRule="exact"/>
        <w:rPr>
          <w:rFonts w:ascii="宋体" w:hAnsi="宋体" w:cs="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 金额：</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 品牌： 规格型号：</w:t>
      </w: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pStyle w:val="1131"/>
        <w:ind w:firstLine="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是否涉及绿色产品： </w:t>
      </w:r>
      <w:r/>
    </w:p>
    <w:p>
      <w:pPr>
        <w:pStyle w:val="1131"/>
        <w:ind w:firstLine="420"/>
        <w:rPr>
          <w:rFonts w:ascii="宋体" w:hAnsi="宋体" w:eastAsia="宋体"/>
          <w:color w:val="000000" w:themeColor="text1"/>
          <w:highlight w:val="none"/>
          <w:u w:val="singl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是，绿色产品政府采购相关政策确定的底级品目名称：</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pStyle w:val="1131"/>
        <w:ind w:firstLine="420"/>
        <w:rPr>
          <w:rFonts w:ascii="宋体" w:hAnsi="宋体"/>
          <w:color w:val="000000" w:themeColor="text1"/>
          <w:sz w:val="21"/>
          <w:highlight w:val="non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pStyle w:val="1103"/>
        <w:ind w:left="0" w:firstLine="420"/>
        <w:spacing w:line="400" w:lineRule="exact"/>
        <w:rPr>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p>
    <w:p>
      <w:pPr>
        <w:ind w:firstLine="630"/>
        <w:spacing w:line="400" w:lineRule="exact"/>
        <w:rPr>
          <w:rFonts w:hint="eastAsia"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p>
    <w:p>
      <w:pPr>
        <w:pStyle w:val="726"/>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（1）预付款：自合同签订10日内，采购人向供应商支付合同总价的30%；</w:t>
      </w:r>
      <w:r/>
    </w:p>
    <w:p>
      <w:pPr>
        <w:pStyle w:val="726"/>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（2）货物全部交付安装完成，经采购人正式组织验收合格，且供应商配合采购人完成固定资产登记后，支付至合同总价的95%。</w:t>
      </w:r>
      <w:r/>
    </w:p>
    <w:p>
      <w:pPr>
        <w:pStyle w:val="726"/>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（3）经验收之日起算，两年后货物无质量问题，支付剩余5%尾款。</w:t>
      </w:r>
      <w:r/>
    </w:p>
    <w:p>
      <w:pPr>
        <w:ind w:firstLine="480"/>
        <w:spacing w:line="360" w:lineRule="auto"/>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 xml:space="preserve">特别说明：</w:t>
      </w:r>
      <w:r/>
    </w:p>
    <w:p>
      <w:pPr>
        <w:ind w:firstLine="480"/>
        <w:spacing w:line="360" w:lineRule="auto"/>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 xml:space="preserve">1、本次招标不收取投标保证金。</w:t>
      </w:r>
      <w:r/>
    </w:p>
    <w:p>
      <w:pPr>
        <w:ind w:left="0" w:firstLine="480"/>
        <w:jc w:val="both"/>
        <w:spacing w:line="360" w:lineRule="auto"/>
        <w:widowControl w:val="off"/>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eastAsia="宋体" w:cs="Times New Roman"/>
          <w:b/>
          <w:bCs/>
          <w:color w:val="000000" w:themeColor="text1"/>
          <w:sz w:val="21"/>
          <w:szCs w:val="21"/>
          <w:highlight w:val="none"/>
          <w:u w:val="single"/>
          <w:lang w:val="en-US" w:eastAsia="zh-CN" w:bidi="ar-SA"/>
          <w14:textFill>
            <w14:solidFill>
              <w14:schemeClr w14:val="tx1"/>
            </w14:solidFill>
          </w14:textFill>
        </w:rPr>
        <w:t xml:space="preserve">2、签订合同后，招标人支付合同总价款的30%作为预付款。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firstLine="630"/>
        <w:spacing w:line="400" w:lineRule="exact"/>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 xml:space="preserve">当合同采购数量与实际使用数量不一致时，供应商应根据实际使用量供货，合同的最终结算金额按实际使用量乘以成交单价进行计算。</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5"/>
        </w:numPr>
        <w:ind w:firstLine="420"/>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（1）起始日期：年月日，完成日期：年月日。</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ind w:firstLine="420"/>
        <w:spacing w:line="400" w:lineRule="exact"/>
        <w:rPr>
          <w:u w:val="none"/>
        </w:rPr>
      </w:pPr>
      <w:r>
        <w:rPr>
          <w:rFonts w:hint="default" w:ascii="宋体" w:hAnsi="宋体" w:eastAsia="宋体" w:cs="宋体"/>
          <w:bCs/>
          <w:color w:val="000000" w:themeColor="text1"/>
          <w:szCs w:val="21"/>
          <w:highlight w:val="none"/>
          <w:u w:val="none"/>
          <w:lang w:val="en-US" w:eastAsia="zh-CN"/>
          <w14:textFill>
            <w14:solidFill>
              <w14:schemeClr w14:val="tx1"/>
            </w14:solidFill>
          </w14:textFill>
        </w:rPr>
        <w:t xml:space="preserve">收取履约保证金形式：供应商中标后需缴纳合同金额5%作为履约保证金，验收合格后无息退还履约保证金，如供应商未能履行合同规定义务，采购人有权从履约保证金中取得补偿。</w:t>
      </w:r>
      <w:r>
        <w:rPr>
          <w:u w:val="none"/>
        </w:rPr>
      </w:r>
      <w:r/>
    </w:p>
    <w:p>
      <w:pPr>
        <w:ind w:firstLine="420"/>
        <w:spacing w:line="400" w:lineRule="exact"/>
        <w:rPr>
          <w:u w:val="none"/>
        </w:rPr>
      </w:pPr>
      <w:r>
        <w:rPr>
          <w:rFonts w:hint="default" w:ascii="宋体" w:hAnsi="宋体" w:eastAsia="宋体" w:cs="宋体"/>
          <w:bCs/>
          <w:color w:val="000000" w:themeColor="text1"/>
          <w:szCs w:val="21"/>
          <w:highlight w:val="none"/>
          <w:u w:val="none"/>
          <w:lang w:val="en-US" w:eastAsia="zh-CN"/>
          <w14:textFill>
            <w14:solidFill>
              <w14:schemeClr w14:val="tx1"/>
            </w14:solidFill>
          </w14:textFill>
        </w:rPr>
        <w:t xml:space="preserve"> 收取履约保证金金额：合同金额的5% 。</w:t>
      </w:r>
      <w:r>
        <w:rPr>
          <w:u w:val="none"/>
        </w:rPr>
      </w:r>
      <w:r/>
    </w:p>
    <w:p>
      <w:pPr>
        <w:ind w:firstLine="420"/>
        <w:spacing w:line="400" w:lineRule="exact"/>
        <w:rPr>
          <w:rFonts w:hint="default" w:ascii="宋体" w:hAnsi="宋体" w:eastAsia="宋体" w:cs="宋体"/>
          <w:bCs/>
          <w:color w:val="000000" w:themeColor="text1"/>
          <w:szCs w:val="21"/>
          <w:highlight w:val="none"/>
          <w:u w:val="single"/>
          <w:lang w:val="en-US" w:eastAsia="zh-CN"/>
          <w14:textFill>
            <w14:solidFill>
              <w14:schemeClr w14:val="tx1"/>
            </w14:solidFill>
          </w14:textFill>
        </w:rPr>
      </w:pPr>
      <w:r>
        <w:rPr>
          <w:rFonts w:hint="default" w:ascii="宋体" w:hAnsi="宋体" w:eastAsia="宋体" w:cs="宋体"/>
          <w:bCs/>
          <w:color w:val="000000" w:themeColor="text1"/>
          <w:szCs w:val="21"/>
          <w:highlight w:val="none"/>
          <w:u w:val="none"/>
          <w:lang w:val="en-US" w:eastAsia="zh-CN"/>
          <w14:textFill>
            <w14:solidFill>
              <w14:schemeClr w14:val="tx1"/>
            </w14:solidFill>
          </w14:textFill>
        </w:rPr>
        <w:t xml:space="preserve"> 履约担保期限：自合同签订生效后至甲方最终书面确认验收合格之日，验收合格后采购人无息退还履约保证金。</w:t>
      </w:r>
      <w:r>
        <w:rPr>
          <w:rFonts w:hint="default" w:ascii="宋体" w:hAnsi="宋体" w:eastAsia="宋体" w:cs="宋体"/>
          <w:bCs/>
          <w:color w:val="000000" w:themeColor="text1"/>
          <w:szCs w:val="21"/>
          <w:highlight w:val="none"/>
          <w:u w:val="single"/>
          <w:lang w:val="en-US" w:eastAsia="zh-CN"/>
          <w14:textFill>
            <w14:solidFill>
              <w14:schemeClr w14:val="tx1"/>
            </w14:solidFill>
          </w14:textFill>
        </w:rPr>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6"/>
        </w:num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ind w:firstLine="2310"/>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详见招标文件第四章采购需求（应当包括每一项技术和商务要求的履约情况，特别是落实政府采购扶持中小企业，支持绿色发展和乡村振兴等政策情况）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详见招标文件第四章采购需求              </w:t>
      </w:r>
      <w:r/>
    </w:p>
    <w:p>
      <w:pPr>
        <w:pStyle w:val="1131"/>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pStyle w:val="1131"/>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本合同自生效。</w:t>
      </w: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rFonts w:hint="eastAsia" w:ascii="宋体" w:hAnsi="宋体"/>
          <w:b/>
          <w:color w:val="000000" w:themeColor="text1"/>
          <w:szCs w:val="21"/>
          <w:highlight w:val="none"/>
          <w:lang w:val="en-US" w:eastAsia="zh-CN"/>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本合同一式份，甲方执份，乙方执份，均具有同等法律效力。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合同订立时间：年月日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p>
    <w:p>
      <w:pPr>
        <w:pStyle w:val="1030"/>
        <w:spacing w:line="400" w:lineRule="exact"/>
        <w:rPr>
          <w:rFonts w:ascii="宋体" w:hAnsi="宋体"/>
          <w:b w:val="0"/>
          <w:bCs w:val="0"/>
          <w:color w:val="000000" w:themeColor="text1"/>
          <w:sz w:val="21"/>
          <w:szCs w:val="21"/>
          <w:highlight w:val="none"/>
          <w14:textFill>
            <w14:solidFill>
              <w14:schemeClr w14:val="tx1"/>
            </w14:solidFill>
          </w14:textFill>
        </w:rPr>
      </w:pPr>
      <w:r>
        <w:rPr>
          <w:rFonts w:ascii="宋体" w:hAnsi="宋体"/>
          <w:b w:val="0"/>
          <w:bCs w:val="0"/>
          <w:color w:val="000000" w:themeColor="text1"/>
          <w:sz w:val="21"/>
          <w:szCs w:val="21"/>
          <w:highlight w:val="none"/>
          <w14:textFill>
            <w14:solidFill>
              <w14:schemeClr w14:val="tx1"/>
            </w14:solidFill>
          </w14:textFill>
        </w:rPr>
      </w:r>
      <w:r/>
    </w:p>
    <w:p>
      <w:pPr>
        <w:pStyle w:val="110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7"/>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W w:w="4975"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、受采购人委托签订合同的单位或</w:t>
            </w:r>
            <w:r>
              <w:rPr>
                <w:rFonts w:hint="eastAsia"/>
                <w:color w:val="000000" w:themeColor="text1"/>
                <w:szCs w:val="21"/>
                <w:highlight w:val="none"/>
                <w14:textFill>
                  <w14:solidFill>
                    <w14:schemeClr w14:val="tx1"/>
                  </w14:solidFill>
                </w14:textFill>
              </w:rPr>
              <w:t xml:space="preserve">采购文件约定的合同甲方）</w:t>
            </w:r>
            <w:r/>
          </w:p>
        </w:tc>
        <w:tc>
          <w:tcPr>
            <w:gridSpan w:val="2"/>
            <w:tcW w:w="4735"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w:t>
            </w:r>
            <w:r>
              <w:rPr>
                <w:rFonts w:hint="eastAsia"/>
                <w:color w:val="000000" w:themeColor="text1"/>
                <w:szCs w:val="21"/>
                <w:highlight w:val="none"/>
                <w14:textFill>
                  <w14:solidFill>
                    <w14:schemeClr w14:val="tx1"/>
                  </w14:solidFill>
                </w14:textFill>
              </w:rPr>
              <w:t xml:space="preserve">（供应商）</w:t>
            </w:r>
            <w:r/>
          </w:p>
        </w:tc>
      </w:tr>
      <w:tr>
        <w:trPr>
          <w:trHeight w:val="917"/>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cantSplit/>
          <w:trHeight w:val="1171"/>
        </w:trPr>
        <w:tc>
          <w:tcPr>
            <w:tcW w:w="2186"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ind w:firstLine="100"/>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p>
        </w:tc>
        <w:tc>
          <w:tcPr>
            <w:tcW w:w="2789"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p>
        </w:tc>
        <w:tc>
          <w:tcPr>
            <w:tcW w:w="2447"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483"/>
        </w:trPr>
        <w:tc>
          <w:tcPr>
            <w:tcW w:w="2186" w:type="dxa"/>
            <w:vAlign w:val="center"/>
            <w:vMerge w:val="continue"/>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789" w:type="dxa"/>
            <w:vAlign w:val="center"/>
            <w:vMerge w:val="continue"/>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拥有者性别</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开户名称</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开户银行</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银行账号</w:t>
            </w: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86"/>
        </w:trPr>
        <w:tc>
          <w:tcPr>
            <w:gridSpan w:val="4"/>
            <w:tcW w:w="9710" w:type="dxa"/>
            <w:vAlign w:val="center"/>
            <w:textDirection w:val="lrTb"/>
            <w:noWrap w:val="false"/>
          </w:tcPr>
          <w:p>
            <w:pPr>
              <w:pStyle w:val="1059"/>
              <w:ind w:left="0"/>
              <w:jc w:val="left"/>
              <w:spacing w:before="156" w:after="0" w:line="360" w:lineRule="auto"/>
              <w:rPr>
                <w:color w:val="000000" w:themeColor="text1"/>
                <w:spacing w:val="2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注：涉及联合体或其他合同主体的信息应按上表格式加列。</w:t>
            </w:r>
            <w:r/>
          </w:p>
        </w:tc>
      </w:tr>
    </w:tbl>
    <w:p>
      <w:pPr>
        <w:pStyle w:val="1030"/>
        <w:spacing w:before="156"/>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lang w:eastAsia="zh-CN"/>
          <w14:textFill>
            <w14:solidFill>
              <w14:schemeClr w14:val="tx1"/>
            </w14:solidFill>
          </w14:textFill>
        </w:rPr>
        <w:br w:type="page" w:clear="all"/>
      </w:r>
      <w:r>
        <w:rPr>
          <w:rFonts w:hint="eastAsia" w:ascii="黑体" w:hAnsi="黑体" w:eastAsia="黑体"/>
          <w:b w:val="0"/>
          <w:bCs w:val="0"/>
          <w:color w:val="000000" w:themeColor="text1"/>
          <w:sz w:val="28"/>
          <w:szCs w:val="28"/>
          <w:highlight w:val="none"/>
          <w:lang w:eastAsia="zh-CN"/>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7"/>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p>
    <w:p>
      <w:pPr>
        <w:numPr>
          <w:ilvl w:val="0"/>
          <w:numId w:val="8"/>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1131"/>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1064"/>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 xml:space="preserve">8.1 质量标准</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4"/>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 xml:space="preserve">（2）采用中华人民共和国法定计量单位。</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1131"/>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9"/>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1"/>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113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1131"/>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1131"/>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31"/>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p>
    <w:p>
      <w:pPr>
        <w:pStyle w:val="1030"/>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华文中宋" w:eastAsia="黑体"/>
          <w:b w:val="0"/>
          <w:bCs w:val="0"/>
          <w:color w:val="000000" w:themeColor="text1"/>
          <w:sz w:val="28"/>
          <w:szCs w:val="28"/>
          <w:highlight w:val="none"/>
          <w:lang w:eastAsia="zh-CN"/>
          <w14:textFill>
            <w14:solidFill>
              <w14:schemeClr w14:val="tx1"/>
            </w14:solidFill>
          </w14:textFill>
        </w:rPr>
        <w:t xml:space="preserve">第三节 政府采购合同专用条款</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790"/>
      </w:tblGrid>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联合体具体要求</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其他术语解释</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履约验收中甲方提出异议或作出说明的期限</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自乙方交付之日起60天</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约定甲方承担的其他义务和责任</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为乙方履行合同提供必要且合理的配合和协助</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约定乙方承担的其他义务和责任</w:t>
            </w:r>
            <w:r/>
          </w:p>
        </w:tc>
        <w:tc>
          <w:tcPr>
            <w:tcW w:w="6790" w:type="dxa"/>
            <w:vAlign w:val="center"/>
            <w:textDirection w:val="lrTb"/>
            <w:noWrap w:val="false"/>
          </w:tcPr>
          <w:p>
            <w:pPr>
              <w:pStyle w:val="818"/>
              <w:numPr>
                <w:ilvl w:val="0"/>
                <w:numId w:val="11"/>
              </w:numPr>
              <w:ind w:left="0"/>
              <w:spacing w:line="360" w:lineRule="auto"/>
              <w:rPr>
                <w:rFonts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000000" w:themeColor="text1"/>
                <w:highlight w:val="none"/>
                <w14:textFill>
                  <w14:solidFill>
                    <w14:schemeClr w14:val="tx1"/>
                  </w14:solidFill>
                </w14:textFill>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000000" w:themeColor="text1"/>
                <w:highlight w:val="none"/>
                <w14:textFill>
                  <w14:solidFill>
                    <w14:schemeClr w14:val="tx1"/>
                  </w14:solidFill>
                </w14:textFill>
              </w:rPr>
              <w:t xml:space="preserve">。</w:t>
            </w:r>
            <w:r/>
          </w:p>
          <w:p>
            <w:pPr>
              <w:pStyle w:val="818"/>
              <w:numPr>
                <w:ilvl w:val="0"/>
                <w:numId w:val="11"/>
              </w:numPr>
              <w:ind w:left="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乙方应根据甲方的要求（</w:t>
            </w:r>
            <w:r>
              <w:rPr>
                <w:rFonts w:hint="eastAsia" w:cs="宋体"/>
                <w:color w:val="000000" w:themeColor="text1"/>
                <w:highlight w:val="none"/>
                <w14:textFill>
                  <w14:solidFill>
                    <w14:schemeClr w14:val="tx1"/>
                  </w14:solidFill>
                </w14:textFill>
              </w:rPr>
              <w:t xml:space="preserve">包括招标文件和本合同约定的要求</w:t>
            </w:r>
            <w:r>
              <w:rPr>
                <w:rFonts w:hint="eastAsia" w:ascii="宋体" w:hAnsi="宋体" w:cs="宋体"/>
                <w:color w:val="000000" w:themeColor="text1"/>
                <w:highlight w:val="none"/>
                <w14:textFill>
                  <w14:solidFill>
                    <w14:schemeClr w14:val="tx1"/>
                  </w14:solidFill>
                </w14:textFill>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000000" w:themeColor="text1"/>
                <w:highlight w:val="none"/>
                <w14:textFill>
                  <w14:solidFill>
                    <w14:schemeClr w14:val="tx1"/>
                  </w14:solidFill>
                </w14:textFill>
              </w:rPr>
              <w:t xml:space="preserve">良</w:t>
            </w:r>
            <w:r>
              <w:rPr>
                <w:rFonts w:hint="eastAsia" w:ascii="宋体" w:hAnsi="宋体" w:cs="宋体"/>
                <w:color w:val="000000" w:themeColor="text1"/>
                <w:highlight w:val="none"/>
                <w14:textFill>
                  <w14:solidFill>
                    <w14:schemeClr w14:val="tx1"/>
                  </w14:solidFill>
                </w14:textFill>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1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如因乙方运输、安装、后期维保或产品质量问题而发生事故造成甲方或第三方的人身伤害或财产损失，包括</w:t>
            </w:r>
            <w:r>
              <w:rPr>
                <w:rFonts w:hint="eastAsia" w:cs="宋体"/>
                <w:color w:val="000000" w:themeColor="text1"/>
                <w:highlight w:val="none"/>
                <w14:textFill>
                  <w14:solidFill>
                    <w14:schemeClr w14:val="tx1"/>
                  </w14:solidFill>
                </w14:textFill>
              </w:rPr>
              <w:t xml:space="preserve">出现</w:t>
            </w:r>
            <w:r>
              <w:rPr>
                <w:rFonts w:hint="eastAsia" w:ascii="宋体" w:hAnsi="宋体" w:cs="宋体"/>
                <w:color w:val="000000" w:themeColor="text1"/>
                <w:highlight w:val="none"/>
                <w14:textFill>
                  <w14:solidFill>
                    <w14:schemeClr w14:val="tx1"/>
                  </w14:solidFill>
                </w14:textFill>
              </w:rPr>
              <w:t xml:space="preserve">质量责任事故导致甲方被第三方索赔或遭受国家有关部门处罚</w:t>
            </w:r>
            <w:r>
              <w:rPr>
                <w:rFonts w:hint="eastAsia" w:cs="宋体"/>
                <w:color w:val="000000" w:themeColor="text1"/>
                <w:highlight w:val="none"/>
                <w14:textFill>
                  <w14:solidFill>
                    <w14:schemeClr w14:val="tx1"/>
                  </w14:solidFill>
                </w14:textFill>
              </w:rPr>
              <w:t xml:space="preserve">情形</w:t>
            </w:r>
            <w:r>
              <w:rPr>
                <w:rFonts w:hint="eastAsia" w:ascii="宋体" w:hAnsi="宋体" w:cs="宋体"/>
                <w:color w:val="000000" w:themeColor="text1"/>
                <w:highlight w:val="none"/>
                <w14:textFill>
                  <w14:solidFill>
                    <w14:schemeClr w14:val="tx1"/>
                  </w14:solidFill>
                </w14:textFill>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000000" w:themeColor="text1"/>
                <w:highlight w:val="none"/>
                <w14:textFill>
                  <w14:solidFill>
                    <w14:schemeClr w14:val="tx1"/>
                  </w14:solidFill>
                </w14:textFill>
              </w:rPr>
              <w:t xml:space="preserve">给予赔偿</w:t>
            </w:r>
            <w:r>
              <w:rPr>
                <w:rFonts w:hint="eastAsia" w:ascii="宋体" w:hAnsi="宋体" w:cs="宋体"/>
                <w:color w:val="000000" w:themeColor="text1"/>
                <w:highlight w:val="none"/>
                <w14:textFill>
                  <w14:solidFill>
                    <w14:schemeClr w14:val="tx1"/>
                  </w14:solidFill>
                </w14:textFill>
              </w:rPr>
              <w:t xml:space="preserve">；同时，造成本合同项下及甲方物品损毁的，乙方负责恢复原样，如无法复原则按被损坏物品市场价格1倍向甲方进行赔偿，并向甲方支付合同价</w:t>
            </w:r>
            <w:r>
              <w:rPr>
                <w:rFonts w:hint="eastAsia"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%违约金。</w:t>
            </w:r>
            <w:r/>
          </w:p>
          <w:p>
            <w:pPr>
              <w:pStyle w:val="81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1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color w:val="000000" w:themeColor="text1"/>
                <w:highlight w:val="none"/>
                <w14:textFill>
                  <w14:solidFill>
                    <w14:schemeClr w14:val="tx1"/>
                  </w14:solidFill>
                </w14:textFill>
              </w:rPr>
              <w:t xml:space="preserve"> 20 </w:t>
            </w:r>
            <w:r>
              <w:rPr>
                <w:rFonts w:hint="eastAsia" w:ascii="宋体" w:hAnsi="宋体" w:cs="宋体"/>
                <w:color w:val="000000" w:themeColor="text1"/>
                <w:highlight w:val="none"/>
                <w14:textFill>
                  <w14:solidFill>
                    <w14:schemeClr w14:val="tx1"/>
                  </w14:solidFill>
                </w14:textFill>
              </w:rPr>
              <w:t xml:space="preserve">%的违约金。若乙方支付的违约金不足以弥补甲方损失的，乙方还须继续承担损失赔偿责任。  </w:t>
            </w:r>
            <w:r/>
          </w:p>
          <w:p>
            <w:pPr>
              <w:pStyle w:val="818"/>
              <w:ind w:left="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以上条款中乙方的责任承担期限不受甲方已收货且出具验收确认书的限制。</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8.乙方应按投标文件列明的项目实施质量安全保障措施进行项目实施，相关措施应确保安装质量、安全、环境保护、文明施</w:t>
            </w:r>
            <w:r>
              <w:rPr>
                <w:rFonts w:hint="eastAsia" w:ascii="宋体" w:hAnsi="宋体" w:cs="宋体"/>
                <w:color w:val="000000" w:themeColor="text1"/>
                <w:highlight w:val="none"/>
                <w14:textFill>
                  <w14:solidFill>
                    <w14:schemeClr w14:val="tx1"/>
                  </w14:solidFill>
                </w14:textFill>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履行合同义务的顺序</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包装特殊要求</w:t>
            </w:r>
            <w:r/>
          </w:p>
        </w:tc>
        <w:tc>
          <w:tcPr>
            <w:tcW w:w="679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cantSplit/>
          <w:trHeight w:val="667"/>
        </w:trPr>
        <w:tc>
          <w:tcPr>
            <w:tcW w:w="1607" w:type="dxa"/>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指定现场</w:t>
            </w:r>
            <w:r/>
          </w:p>
        </w:tc>
        <w:tc>
          <w:tcPr>
            <w:tcW w:w="6790" w:type="dxa"/>
            <w:vAlign w:val="center"/>
            <w:textDirection w:val="lrTb"/>
            <w:noWrap w:val="false"/>
          </w:tcPr>
          <w:p>
            <w:pPr>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江苏开放大学浦口校区</w:t>
            </w:r>
            <w:r/>
          </w:p>
        </w:tc>
      </w:tr>
      <w:tr>
        <w:trPr>
          <w:trHeight w:val="772"/>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运输特殊要求</w:t>
            </w:r>
            <w:r/>
          </w:p>
        </w:tc>
        <w:tc>
          <w:tcPr>
            <w:tcW w:w="679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保险要求</w:t>
            </w:r>
            <w:r/>
          </w:p>
        </w:tc>
        <w:tc>
          <w:tcPr>
            <w:tcW w:w="6790" w:type="dxa"/>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质量保证期</w:t>
            </w:r>
            <w:r/>
          </w:p>
        </w:tc>
        <w:tc>
          <w:tcPr>
            <w:tcW w:w="6790" w:type="dxa"/>
            <w:vAlign w:val="center"/>
            <w:textDirection w:val="lrTb"/>
            <w:noWrap w:val="false"/>
          </w:tcPr>
          <w:p>
            <w:pPr>
              <w:ind w:firstLine="420"/>
              <w:jc w:val="left"/>
              <w:rPr>
                <w:rFonts w:ascii="宋体" w:hAnsi="宋体"/>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自项目验收合格之日起，个月</w:t>
            </w:r>
            <w:r>
              <w:rPr>
                <w:rFonts w:hint="eastAsia" w:ascii="宋体" w:hAnsi="宋体" w:cs="宋体"/>
                <w:color w:val="000000" w:themeColor="text1"/>
                <w:highlight w:val="none"/>
                <w14:textFill>
                  <w14:solidFill>
                    <w14:schemeClr w14:val="tx1"/>
                  </w14:solidFill>
                </w14:textFill>
              </w:rPr>
              <w:t xml:space="preserve">（招标要求不少于</w:t>
            </w:r>
            <w:r>
              <w:rPr>
                <w:rFonts w:hint="eastAsia" w:ascii="宋体" w:hAnsi="宋体" w:cs="宋体"/>
                <w:color w:val="000000" w:themeColor="text1"/>
                <w:highlight w:val="none"/>
                <w:lang w:val="en-US" w:eastAsia="zh-CN"/>
                <w14:textFill>
                  <w14:solidFill>
                    <w14:schemeClr w14:val="tx1"/>
                  </w14:solidFill>
                </w14:textFill>
              </w:rPr>
              <w:t xml:space="preserve">120</w:t>
            </w:r>
            <w:r>
              <w:rPr>
                <w:rFonts w:hint="eastAsia" w:ascii="宋体" w:hAnsi="宋体" w:cs="宋体"/>
                <w:color w:val="000000" w:themeColor="text1"/>
                <w:highlight w:val="none"/>
                <w14:textFill>
                  <w14:solidFill>
                    <w14:schemeClr w14:val="tx1"/>
                  </w14:solidFill>
                </w14:textFill>
              </w:rPr>
              <w:t xml:space="preserve">个月）</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货物质量缺陷</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内，如在使用过程中发生问题等，则乙方在接到甲方提出的维修维保要求通知后，应于2小时电话响应，对甲方的服务要求提出解决方案，经确认如有需要，技术人员须在12小时内到达甲方现场，并于【12】小时内完成维修维保工作；重大问题或其他无法迅速解决的问题应在48小时内解决或提出明确解决方案，否则乙方应赔偿甲方相应损失。</w:t>
            </w: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pStyle w:val="1131"/>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其他应当保密的信息</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合同价款支付时间</w:t>
            </w: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15个工作日内向乙方付清相应款项。</w:t>
            </w:r>
            <w:r/>
          </w:p>
          <w:p>
            <w:pPr>
              <w:spacing w:line="400" w:lineRule="exact"/>
              <w:rPr>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特别说明：项目需求中的采购数量为概数，供应商应根据采购人实际需要的使用量和产品供货，同总结算金额按实际安装且经采购人最终验收合格的数量乘以成交单价计算后的价款为准。 </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履约保证金不予退还的情形</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1.未经甲方书面认可，逾期交货；</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3.乙方不参与验收、故意拖延验收，货物验收不合格。</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4.乙方未及时按招标文件、投标文件和合同约定提供货物质保服务。</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履约保证金退还时间及逾期退还的违约金</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2.无逾期退还履约保证金的违约金。</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运行监督、维修期限</w:t>
            </w: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按招标文件的要求和乙方投标响应执行，具体如下：</w:t>
            </w: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货物回收的约定</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按相关法律法规执行。</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乙方提供的其他服务</w:t>
            </w:r>
            <w:r/>
          </w:p>
        </w:tc>
        <w:tc>
          <w:tcPr>
            <w:tcW w:w="6790" w:type="dxa"/>
            <w:vAlign w:val="center"/>
            <w:textDirection w:val="lrTb"/>
            <w:noWrap w:val="false"/>
          </w:tcPr>
          <w:p>
            <w:pPr>
              <w:numPr>
                <w:ilvl w:val="0"/>
                <w:numId w:val="12"/>
              </w:numPr>
              <w:jc w:val="left"/>
              <w:spacing w:line="378"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乙方对本合同约定货物提供</w:t>
            </w:r>
            <w:r>
              <w:rPr>
                <w:rFonts w:ascii="宋体" w:hAnsi="宋体" w:cs="宋体"/>
                <w:color w:val="000000" w:themeColor="text1"/>
                <w:highlight w:val="none"/>
                <w14:textFill>
                  <w14:solidFill>
                    <w14:schemeClr w14:val="tx1"/>
                  </w14:solidFill>
                </w14:textFill>
              </w:rPr>
              <w:t xml:space="preserve">终身维保服务，提供备品备件，以保证质保到期后及时维修和更换，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，且不再另外收取人工费</w:t>
            </w:r>
            <w:r>
              <w:rPr>
                <w:rFonts w:ascii="宋体" w:hAnsi="宋体" w:cs="宋体"/>
                <w:color w:val="000000" w:themeColor="text1"/>
                <w:highlight w:val="none"/>
                <w14:textFill>
                  <w14:solidFill>
                    <w14:schemeClr w14:val="tx1"/>
                  </w14:solidFill>
                </w14:textFill>
              </w:rPr>
              <w:t xml:space="preserve">。</w:t>
            </w:r>
            <w:r/>
          </w:p>
          <w:p>
            <w:pPr>
              <w:numPr>
                <w:ilvl w:val="0"/>
                <w:numId w:val="12"/>
              </w:num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能提供及时、有效的售后服务。</w:t>
            </w:r>
            <w:r>
              <w:rPr>
                <w:rFonts w:hint="eastAsia" w:ascii="宋体" w:hAnsi="宋体" w:cs="宋体"/>
                <w:color w:val="000000" w:themeColor="text1"/>
                <w:highlight w:val="none"/>
                <w14:textFill>
                  <w14:solidFill>
                    <w14:schemeClr w14:val="tx1"/>
                  </w14:solidFill>
                </w14:textFill>
              </w:rPr>
              <w:t xml:space="preserve">乙方须</w:t>
            </w:r>
            <w:r>
              <w:rPr>
                <w:rFonts w:ascii="宋体" w:hAnsi="宋体" w:cs="宋体"/>
                <w:color w:val="000000" w:themeColor="text1"/>
                <w:highlight w:val="none"/>
                <w14:textFill>
                  <w14:solidFill>
                    <w14:schemeClr w14:val="tx1"/>
                  </w14:solidFill>
                </w14:textFill>
              </w:rPr>
              <w:t xml:space="preserve">终身提供免费的应用咨询及技术帮助。如</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出现问题，</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须在2小时内响应，提供电话指导、远程诊断、故障排除等服务，并保证能在12小时内上门维修。</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提供针对本项目的售后服务方案，配备相应的售后服务人员，</w:t>
            </w:r>
            <w:r>
              <w:rPr>
                <w:rFonts w:hint="eastAsia" w:ascii="宋体" w:hAnsi="宋体" w:cs="宋体"/>
                <w:color w:val="000000" w:themeColor="text1"/>
                <w:highlight w:val="none"/>
                <w14:textFill>
                  <w14:solidFill>
                    <w14:schemeClr w14:val="tx1"/>
                  </w14:solidFill>
                </w14:textFill>
              </w:rPr>
              <w:t xml:space="preserve">售后人员姓名【 】联系方式【 】，</w:t>
            </w:r>
            <w:r>
              <w:rPr>
                <w:rFonts w:ascii="宋体" w:hAnsi="宋体" w:cs="宋体"/>
                <w:color w:val="000000" w:themeColor="text1"/>
                <w:highlight w:val="none"/>
                <w14:textFill>
                  <w14:solidFill>
                    <w14:schemeClr w14:val="tx1"/>
                  </w14:solidFill>
                </w14:textFill>
              </w:rPr>
              <w:t xml:space="preserve">确保项目要求的各项售后服务的实现。</w:t>
            </w:r>
            <w:r/>
          </w:p>
          <w:p>
            <w:p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本合同约定的货物</w:t>
            </w:r>
            <w:r>
              <w:rPr>
                <w:rFonts w:ascii="宋体" w:hAnsi="宋体" w:cs="宋体"/>
                <w:color w:val="000000" w:themeColor="text1"/>
                <w:highlight w:val="none"/>
                <w14:textFill>
                  <w14:solidFill>
                    <w14:schemeClr w14:val="tx1"/>
                  </w14:solidFill>
                </w14:textFill>
              </w:rPr>
              <w:t xml:space="preserve">质保期内发生的一切质量问题由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负责免费处理，如所购</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有重大质量问题，由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负责包换、包退</w:t>
            </w:r>
            <w:r>
              <w:rPr>
                <w:rFonts w:hint="eastAsia" w:ascii="宋体" w:hAnsi="宋体" w:cs="宋体"/>
                <w:color w:val="000000" w:themeColor="text1"/>
                <w:highlight w:val="none"/>
                <w14:textFill>
                  <w14:solidFill>
                    <w14:schemeClr w14:val="tx1"/>
                  </w14:solidFill>
                </w14:textFill>
              </w:rPr>
              <w:t xml:space="preserve">。</w:t>
            </w:r>
            <w:r/>
          </w:p>
          <w:p>
            <w:pPr>
              <w:jc w:val="left"/>
              <w:spacing w:line="378"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质保期结束后，</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继续免费提供各项技术支持和咨询，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，且不另外收取人工费</w:t>
            </w:r>
            <w:r>
              <w:rPr>
                <w:rFonts w:ascii="宋体" w:hAnsi="宋体" w:cs="宋体"/>
                <w:color w:val="000000" w:themeColor="text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修理、重作、更换相关具体规定</w:t>
            </w: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乙方提供的货物在质量期内因货物本身的质量问题发生故障，乙方应负责免费更换。对达不到技术要求者，根据实际情况，经双方协商，可按以下办法处理：</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更换：由乙方承担所发生的全部费用。</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贬值处理：由甲乙双方合议定价。</w:t>
            </w: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迟延交货赔偿费</w:t>
            </w: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乙方逾期交付货物的，</w:t>
            </w:r>
            <w:r>
              <w:rPr>
                <w:rFonts w:hint="eastAsia"/>
                <w:color w:val="000000" w:themeColor="text1"/>
                <w:szCs w:val="21"/>
                <w:highlight w:val="none"/>
                <w14:textFill>
                  <w14:solidFill>
                    <w14:schemeClr w14:val="tx1"/>
                  </w14:solidFill>
                </w14:textFill>
              </w:rPr>
              <w:t xml:space="preserve">每延迟一天按10000元/天累计计算</w:t>
            </w:r>
            <w:r>
              <w:rPr>
                <w:color w:val="000000" w:themeColor="text1"/>
                <w:szCs w:val="21"/>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逾期付款利息</w:t>
            </w: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理解</w:t>
            </w:r>
            <w:r>
              <w:rPr>
                <w:rFonts w:hint="eastAsia"/>
                <w:color w:val="000000" w:themeColor="text1"/>
                <w:szCs w:val="21"/>
                <w:highlight w:val="none"/>
                <w14:textFill>
                  <w14:solidFill>
                    <w14:schemeClr w14:val="tx1"/>
                  </w14:solidFill>
                </w14:textFill>
              </w:rPr>
              <w:t xml:space="preserve">甲方财务制度</w:t>
            </w:r>
            <w:r>
              <w:rPr>
                <w:color w:val="000000" w:themeColor="text1"/>
                <w:szCs w:val="21"/>
                <w:highlight w:val="none"/>
                <w14:textFill>
                  <w14:solidFill>
                    <w14:schemeClr w14:val="tx1"/>
                  </w14:solidFill>
                </w14:textFill>
              </w:rPr>
              <w:t xml:space="preserve">的特殊性，自愿放弃</w:t>
            </w:r>
            <w:r>
              <w:rPr>
                <w:rFonts w:hint="eastAsia"/>
                <w:color w:val="000000" w:themeColor="text1"/>
                <w:szCs w:val="21"/>
                <w:highlight w:val="none"/>
                <w14:textFill>
                  <w14:solidFill>
                    <w14:schemeClr w14:val="tx1"/>
                  </w14:solidFill>
                </w14:textFill>
              </w:rPr>
              <w:t xml:space="preserve">向甲方主张逾期付款利息</w:t>
            </w:r>
            <w:r>
              <w:rPr>
                <w:color w:val="000000" w:themeColor="text1"/>
                <w:szCs w:val="21"/>
                <w:highlight w:val="none"/>
                <w14:textFill>
                  <w14:solidFill>
                    <w14:schemeClr w14:val="tx1"/>
                  </w14:solidFill>
                </w14:textFill>
              </w:rPr>
              <w:t xml:space="preserve">。</w:t>
            </w:r>
            <w:r/>
          </w:p>
        </w:tc>
      </w:tr>
      <w:tr>
        <w:trPr>
          <w:trHeight w:val="87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第15.4款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其他违约责任</w:t>
            </w: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乙方如有转包或未经甲方同意的分包行为</w:t>
            </w:r>
            <w:r>
              <w:rPr>
                <w:rFonts w:hint="eastAsia"/>
                <w:color w:val="000000" w:themeColor="text1"/>
                <w:szCs w:val="21"/>
                <w:highlight w:val="none"/>
                <w14:textFill>
                  <w14:solidFill>
                    <w14:schemeClr w14:val="tx1"/>
                  </w14:solidFill>
                </w14:textFill>
              </w:rPr>
              <w:t xml:space="preserve">，则构成乙方违约，甲方有权单方解除合同，并没收乙方履约保证金。</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w:t>
            </w:r>
            <w:r>
              <w:rPr>
                <w:rFonts w:hint="eastAsia"/>
                <w:color w:val="000000" w:themeColor="text1"/>
                <w:highlight w:val="none"/>
                <w14:textFill>
                  <w14:solidFill>
                    <w14:schemeClr w14:val="tx1"/>
                  </w14:solidFill>
                </w14:textFill>
              </w:rPr>
              <w:t xml:space="preserve">履约保证金不足扣除或已退还乙方的，甲方有权要求乙方继续支付</w:t>
            </w:r>
            <w:r>
              <w:rPr>
                <w:rFonts w:hint="eastAsia"/>
                <w:color w:val="000000" w:themeColor="text1"/>
                <w:szCs w:val="21"/>
                <w:highlight w:val="none"/>
                <w14:textFill>
                  <w14:solidFill>
                    <w14:schemeClr w14:val="tx1"/>
                  </w14:solidFill>
                </w14:textFill>
              </w:rPr>
              <w:t xml:space="preserve">。</w:t>
            </w: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（4）如因产品质量问题，致使设备不能有效使用运转时长超过</w:t>
            </w:r>
            <w:r>
              <w:rPr>
                <w:rFonts w:hint="eastAsia"/>
                <w:color w:val="000000" w:themeColor="text1"/>
                <w:highlight w:val="none"/>
                <w14:textFill>
                  <w14:solidFill>
                    <w14:schemeClr w14:val="tx1"/>
                  </w14:solidFill>
                </w14:textFill>
              </w:rPr>
              <w:t xml:space="preserve">48小</w:t>
            </w:r>
            <w:r>
              <w:rPr>
                <w:rFonts w:hint="eastAsia"/>
                <w:color w:val="000000" w:themeColor="text1"/>
                <w:szCs w:val="21"/>
                <w:highlight w:val="none"/>
                <w14:textFill>
                  <w14:solidFill>
                    <w14:schemeClr w14:val="tx1"/>
                  </w14:solidFill>
                </w14:textFill>
              </w:rPr>
              <w:t xml:space="preserve">时，则构成乙方违约，乙方自自设备不能有效使用运转之日起，乙方应按每日2000.00元向</w:t>
            </w:r>
            <w:r>
              <w:rPr>
                <w:rFonts w:hint="eastAsia"/>
                <w:color w:val="000000" w:themeColor="text1"/>
                <w:highlight w:val="none"/>
                <w14:textFill>
                  <w14:solidFill>
                    <w14:schemeClr w14:val="tx1"/>
                  </w14:solidFill>
                </w14:textFill>
              </w:rPr>
              <w:t xml:space="preserve">甲方支付违约金，直至设备恢复正常使用之日。</w:t>
            </w: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（5）乙方未能按照本合同要求提供相应质保服务的，甲方有权将乙方列入采购黑名单，以后将不予合作。</w:t>
            </w:r>
            <w:r/>
          </w:p>
        </w:tc>
      </w:tr>
      <w:tr>
        <w:trPr>
          <w:trHeight w:val="9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第19.2款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解决争议的方法</w:t>
            </w:r>
            <w:r/>
          </w:p>
        </w:tc>
        <w:tc>
          <w:tcPr>
            <w:tcW w:w="6790" w:type="dxa"/>
            <w:vAlign w:val="center"/>
            <w:textDirection w:val="lrTb"/>
            <w:noWrap w:val="false"/>
          </w:tcPr>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因本合同及合同有关事项发生的争议，按下列第（2）种方式解决：</w:t>
            </w:r>
            <w:r/>
          </w:p>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（1）向仲裁委员会申请仲裁，仲裁地点为；</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（2）向 甲方所在地 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其他专用条款</w:t>
            </w: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乙方须确保在</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年</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月</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15.2（2）款向甲方支付违约金。</w:t>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pStyle w:val="1057"/>
        <w:jc w:val="center"/>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bookmarkEnd w:id="172"/>
      <w:r/>
      <w:r/>
    </w:p>
    <w:p>
      <w:pPr>
        <w:pStyle w:val="1057"/>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pStyle w:val="761"/>
        <w:rPr>
          <w:rFonts w:ascii="黑体" w:hAnsi="Courier New" w:eastAsia="黑体" w:cs="Courier New"/>
          <w:bCs/>
          <w:color w:val="000000" w:themeColor="text1"/>
          <w:sz w:val="44"/>
          <w:highlight w:val="none"/>
          <w14:textFill>
            <w14:solidFill>
              <w14:schemeClr w14:val="tx1"/>
            </w14:solidFill>
          </w14:textFill>
        </w:rPr>
      </w:pPr>
      <w:r>
        <w:rPr>
          <w:rFonts w:ascii="黑体" w:hAnsi="Courier New" w:eastAsia="黑体" w:cs="Courier New"/>
          <w:bCs/>
          <w:color w:val="000000" w:themeColor="text1"/>
          <w:sz w:val="44"/>
          <w:highlight w:val="none"/>
          <w14:textFill>
            <w14:solidFill>
              <w14:schemeClr w14:val="tx1"/>
            </w14:solidFill>
          </w14:textFill>
        </w:rPr>
      </w:r>
      <w:r/>
    </w:p>
    <w:p>
      <w:pPr>
        <w:spacing w:before="120" w:after="120" w:line="0" w:lineRule="atLeast"/>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r>
      <w:r/>
    </w:p>
    <w:p>
      <w:pPr>
        <w:spacing w:before="120" w:after="120" w:line="0" w:lineRule="atLeast"/>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r>
      <w:r/>
    </w:p>
    <w:p>
      <w:pPr>
        <w:jc w:val="left"/>
        <w:widowControl/>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br w:type="page" w:clear="all"/>
      </w:r>
      <w:r/>
    </w:p>
    <w:p>
      <w:pPr>
        <w:numPr>
          <w:ilvl w:val="0"/>
          <w:numId w:val="0"/>
        </w:num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lang w:val="en-US" w:eastAsia="zh-CN" w:bidi="ar-SA"/>
          <w14:textFill>
            <w14:solidFill>
              <w14:schemeClr w14:val="tx1"/>
            </w14:solidFill>
          </w14:textFill>
        </w:rPr>
        <w:t xml:space="preserve">第四章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3"/>
      <w:r/>
      <w:bookmarkEnd w:id="174"/>
      <w:r/>
      <w:bookmarkEnd w:id="175"/>
      <w:r/>
      <w:r/>
    </w:p>
    <w:p>
      <w:pPr>
        <w:jc w:val="center"/>
        <w:spacing w:line="560" w:lineRule="exact"/>
        <w:rPr>
          <w:rFonts w:hint="default" w:cs="仿宋"/>
          <w:color w:val="000000" w:themeColor="text1"/>
          <w:sz w:val="32"/>
          <w:szCs w:val="28"/>
          <w:highlight w:val="none"/>
          <w:lang w:val="en-US" w:eastAsia="zh-CN"/>
          <w14:textFill>
            <w14:solidFill>
              <w14:schemeClr w14:val="tx1"/>
            </w14:solidFill>
          </w14:textFill>
        </w:rPr>
      </w:pPr>
      <w:r/>
      <w:bookmarkStart w:id="178" w:name="_Toc26554093"/>
      <w:r/>
      <w:bookmarkStart w:id="179" w:name="_Toc49090575"/>
      <w:r>
        <w:rPr>
          <w:rFonts w:hint="eastAsia" w:ascii="黑体" w:hAnsi="Courier New" w:eastAsia="黑体" w:cs="Courier New"/>
          <w:bCs/>
          <w:color w:val="000000" w:themeColor="text1"/>
          <w:sz w:val="44"/>
          <w:szCs w:val="21"/>
          <w:highlight w:val="none"/>
          <w:lang w:val="en-US" w:eastAsia="zh-CN" w:bidi="ar-SA"/>
          <w14:textFill>
            <w14:solidFill>
              <w14:schemeClr w14:val="tx1"/>
            </w14:solidFill>
          </w14:textFill>
        </w:rPr>
        <w:t xml:space="preserve">分</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包一采购需求</w:t>
      </w:r>
      <w:r/>
    </w:p>
    <w:p>
      <w:pPr>
        <w:ind w:firstLine="480"/>
        <w:jc w:val="left"/>
        <w:spacing w:line="560" w:lineRule="exact"/>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lang w:val="zh-CN"/>
          <w14:textFill>
            <w14:solidFill>
              <w14:schemeClr w14:val="tx1"/>
            </w14:solidFill>
          </w14:textFill>
        </w:rPr>
        <w:t xml:space="preserve">标注“★”</w:t>
      </w:r>
      <w:r>
        <w:rPr>
          <w:rFonts w:hint="eastAsia" w:cs="仿宋"/>
          <w:color w:val="000000" w:themeColor="text1"/>
          <w:sz w:val="24"/>
          <w:highlight w:val="none"/>
          <w14:textFill>
            <w14:solidFill>
              <w14:schemeClr w14:val="tx1"/>
            </w14:solidFill>
          </w14:textFill>
        </w:rPr>
        <w:t xml:space="preserve">号和</w:t>
      </w:r>
      <w:r>
        <w:rPr>
          <w:rFonts w:hint="eastAsia" w:ascii="宋体" w:hAnsi="宋体"/>
          <w:b/>
          <w:bCs/>
          <w:i/>
          <w:sz w:val="24"/>
          <w:szCs w:val="21"/>
          <w:highlight w:val="none"/>
          <w:u w:val="single"/>
        </w:rPr>
        <w:t xml:space="preserve">斜体且有下划线部分</w:t>
      </w:r>
      <w:r>
        <w:rPr>
          <w:rFonts w:hint="eastAsia" w:cs="仿宋"/>
          <w:color w:val="000000" w:themeColor="text1"/>
          <w:sz w:val="24"/>
          <w:highlight w:val="none"/>
          <w14:textFill>
            <w14:solidFill>
              <w14:schemeClr w14:val="tx1"/>
            </w14:solidFill>
          </w14:textFill>
        </w:rPr>
        <w:t xml:space="preserve">的为实质性要求</w:t>
      </w:r>
      <w:r>
        <w:rPr>
          <w:rFonts w:hint="eastAsia" w:cs="仿宋"/>
          <w:color w:val="000000" w:themeColor="text1"/>
          <w:sz w:val="24"/>
          <w:highlight w:val="none"/>
          <w:lang w:val="zh-CN"/>
          <w14:textFill>
            <w14:solidFill>
              <w14:schemeClr w14:val="tx1"/>
            </w14:solidFill>
          </w14:textFill>
        </w:rPr>
        <w:t xml:space="preserve">，未完全满足的作无效投标处理。</w:t>
      </w:r>
      <w:r/>
    </w:p>
    <w:p>
      <w:pPr>
        <w:pStyle w:val="1196"/>
        <w:ind w:firstLine="482"/>
        <w:jc w:val="left"/>
        <w:spacing w:line="560" w:lineRule="exact"/>
        <w:rPr>
          <w:rFonts w:hint="eastAsia" w:eastAsia="宋体" w:cs="仿宋"/>
          <w:b/>
          <w:color w:val="000000" w:themeColor="text1"/>
          <w:sz w:val="24"/>
          <w:highlight w:val="none"/>
          <w:lang w:eastAsia="zh-CN"/>
          <w14:textFill>
            <w14:solidFill>
              <w14:schemeClr w14:val="tx1"/>
            </w14:solidFill>
          </w14:textFill>
        </w:rPr>
        <w:outlineLvl w:val="0"/>
      </w:pPr>
      <w:r/>
      <w:bookmarkStart w:id="180" w:name="_Toc2372"/>
      <w:r/>
      <w:bookmarkStart w:id="181" w:name="_Toc31134"/>
      <w:r>
        <w:rPr>
          <w:rFonts w:hint="eastAsia" w:cs="仿宋"/>
          <w:b/>
          <w:color w:val="000000" w:themeColor="text1"/>
          <w:sz w:val="24"/>
          <w:highlight w:val="none"/>
          <w14:textFill>
            <w14:solidFill>
              <w14:schemeClr w14:val="tx1"/>
            </w14:solidFill>
          </w14:textFill>
        </w:rPr>
        <w:t xml:space="preserve">一、项目</w:t>
      </w:r>
      <w:bookmarkEnd w:id="180"/>
      <w:r/>
      <w:bookmarkEnd w:id="181"/>
      <w:r>
        <w:rPr>
          <w:rFonts w:hint="eastAsia" w:cs="仿宋"/>
          <w:b/>
          <w:color w:val="000000" w:themeColor="text1"/>
          <w:sz w:val="24"/>
          <w:highlight w:val="none"/>
          <w:lang w:val="en-US" w:eastAsia="zh-CN"/>
          <w14:textFill>
            <w14:solidFill>
              <w14:schemeClr w14:val="tx1"/>
            </w14:solidFill>
          </w14:textFill>
        </w:rPr>
        <w:t xml:space="preserve">概况</w:t>
      </w:r>
      <w:r/>
    </w:p>
    <w:p>
      <w:pPr>
        <w:ind w:firstLine="480"/>
        <w:jc w:val="left"/>
        <w:spacing w:line="560" w:lineRule="exact"/>
        <w:rPr>
          <w:rFonts w:cs="仿宋"/>
          <w:color w:val="000000" w:themeColor="text1"/>
          <w:sz w:val="24"/>
          <w:highlight w:val="none"/>
          <w14:textFill>
            <w14:solidFill>
              <w14:schemeClr w14:val="tx1"/>
            </w14:solidFill>
          </w14:textFill>
        </w:rPr>
      </w:pPr>
      <w:r>
        <w:rPr>
          <w:rFonts w:hint="eastAsia" w:cs="仿宋"/>
          <w:b w:val="0"/>
          <w:bCs w:val="0"/>
          <w:color w:val="000000" w:themeColor="text1"/>
          <w:sz w:val="24"/>
          <w:highlight w:val="none"/>
          <w:lang w:val="en-US" w:eastAsia="zh-CN"/>
          <w14:textFill>
            <w14:solidFill>
              <w14:schemeClr w14:val="tx1"/>
            </w14:solidFill>
          </w14:textFill>
        </w:rPr>
        <w:t xml:space="preserve">1、</w:t>
      </w:r>
      <w:r>
        <w:rPr>
          <w:rFonts w:hint="eastAsia" w:cs="仿宋"/>
          <w:b/>
          <w:bCs/>
          <w:color w:val="000000" w:themeColor="text1"/>
          <w:sz w:val="24"/>
          <w:highlight w:val="none"/>
          <w:lang w:val="en-US" w:eastAsia="zh-CN"/>
          <w14:textFill>
            <w14:solidFill>
              <w14:schemeClr w14:val="tx1"/>
            </w14:solidFill>
          </w14:textFill>
        </w:rPr>
        <w:t xml:space="preserve">分</w:t>
      </w:r>
      <w:r>
        <w:rPr>
          <w:rFonts w:hint="eastAsia" w:cs="仿宋"/>
          <w:b/>
          <w:bCs/>
          <w:color w:val="000000" w:themeColor="text1"/>
          <w:sz w:val="24"/>
          <w:highlight w:val="none"/>
          <w14:textFill>
            <w14:solidFill>
              <w14:schemeClr w14:val="tx1"/>
            </w14:solidFill>
          </w14:textFill>
        </w:rPr>
        <w:t xml:space="preserve">包一：</w:t>
      </w:r>
      <w:r>
        <w:rPr>
          <w:rFonts w:hint="eastAsia" w:cs="仿宋"/>
          <w:color w:val="000000" w:themeColor="text1"/>
          <w:sz w:val="24"/>
          <w:highlight w:val="none"/>
          <w14:textFill>
            <w14:solidFill>
              <w14:schemeClr w14:val="tx1"/>
            </w14:solidFill>
          </w14:textFill>
        </w:rPr>
        <w:t xml:space="preserve">负责江苏开放大学浦口校区F区（男生公寓）楼栋家具采购，包括公寓组合床（中走梯）、公寓椅、单人床桌柜等，具体家具规格、数量详见本包段《采购标的清单》。</w:t>
      </w:r>
      <w:r/>
    </w:p>
    <w:p>
      <w:pPr>
        <w:pStyle w:val="724"/>
        <w:ind w:firstLine="512"/>
        <w:jc w:val="both"/>
        <w:spacing w:line="560" w:lineRule="exact"/>
        <w:rPr>
          <w:rFonts w:ascii="Times New Roman" w:hAnsi="Times New Roman" w:cs="仿宋"/>
          <w:b w:val="0"/>
          <w:bCs w:val="0"/>
          <w:color w:val="000000" w:themeColor="text1"/>
          <w:spacing w:val="8"/>
          <w:sz w:val="24"/>
          <w:highlight w:val="none"/>
          <w14:textFill>
            <w14:solidFill>
              <w14:schemeClr w14:val="tx1"/>
            </w14:solidFill>
          </w14:textFill>
        </w:rPr>
      </w:pPr>
      <w:r>
        <w:rPr>
          <w:rFonts w:hint="eastAsia" w:ascii="Times New Roman" w:hAnsi="Times New Roman" w:cs="仿宋"/>
          <w:b w:val="0"/>
          <w:bCs w:val="0"/>
          <w:color w:val="000000" w:themeColor="text1"/>
          <w:spacing w:val="8"/>
          <w:sz w:val="24"/>
          <w:highlight w:val="none"/>
          <w14:textFill>
            <w14:solidFill>
              <w14:schemeClr w14:val="tx1"/>
            </w14:solidFill>
          </w14:textFill>
        </w:rPr>
        <w:t xml:space="preserve">2、采购标准</w:t>
      </w:r>
      <w:r/>
    </w:p>
    <w:p>
      <w:pPr>
        <w:ind w:firstLine="512"/>
        <w:spacing w:line="560" w:lineRule="exact"/>
        <w:rPr>
          <w:rFonts w:cs="仿宋"/>
          <w:color w:val="000000" w:themeColor="text1"/>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（1）普通四</w:t>
      </w:r>
      <w:r>
        <w:rPr>
          <w:rFonts w:hint="eastAsia" w:cs="仿宋"/>
          <w:color w:val="000000" w:themeColor="text1"/>
          <w:sz w:val="24"/>
          <w:highlight w:val="none"/>
          <w14:textFill>
            <w14:solidFill>
              <w14:schemeClr w14:val="tx1"/>
            </w14:solidFill>
          </w14:textFill>
        </w:rPr>
        <w:t xml:space="preserve">人间：每间公寓组合床2套（</w:t>
      </w:r>
      <w:r>
        <w:rPr>
          <w:rFonts w:hint="eastAsia" w:cs="仿宋"/>
          <w:sz w:val="24"/>
          <w:highlight w:val="none"/>
        </w:rPr>
        <w:t xml:space="preserve">两人位为一套</w:t>
      </w:r>
      <w:r>
        <w:rPr>
          <w:rFonts w:hint="eastAsia" w:cs="仿宋"/>
          <w:color w:val="000000" w:themeColor="text1"/>
          <w:sz w:val="24"/>
          <w:highlight w:val="none"/>
          <w14:textFill>
            <w14:solidFill>
              <w14:schemeClr w14:val="tx1"/>
            </w14:solidFill>
          </w14:textFill>
        </w:rPr>
        <w:t xml:space="preserve">）、公寓椅4张，具体尺寸见</w:t>
      </w:r>
      <w:r>
        <w:rPr>
          <w:rFonts w:hint="eastAsia" w:cs="仿宋"/>
          <w:color w:val="000000" w:themeColor="text1"/>
          <w:spacing w:val="8"/>
          <w:sz w:val="24"/>
          <w:highlight w:val="none"/>
          <w14:textFill>
            <w14:solidFill>
              <w14:schemeClr w14:val="tx1"/>
            </w14:solidFill>
          </w14:textFill>
        </w:rPr>
        <w:t xml:space="preserve">《采购需求清单》。</w:t>
      </w:r>
      <w:r/>
    </w:p>
    <w:p>
      <w:pPr>
        <w:ind w:firstLine="480"/>
        <w:spacing w:line="560" w:lineRule="exact"/>
        <w:rPr>
          <w:highlight w:val="none"/>
        </w:rPr>
      </w:pPr>
      <w:r>
        <w:rPr>
          <w:rFonts w:hint="eastAsia" w:cs="仿宋"/>
          <w:color w:val="000000" w:themeColor="text1"/>
          <w:sz w:val="24"/>
          <w:highlight w:val="none"/>
          <w14:textFill>
            <w14:solidFill>
              <w14:schemeClr w14:val="tx1"/>
            </w14:solidFill>
          </w14:textFill>
        </w:rPr>
        <w:t xml:space="preserve">（2）普通单人间（无障碍房、值班室）：每间1.2m*2m单人床1张、公寓椅1张、书桌1组、衣柜1组。</w:t>
      </w:r>
      <w:r/>
    </w:p>
    <w:p>
      <w:pPr>
        <w:ind w:firstLine="512"/>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3、涉及家具采购的楼栋房间清单</w:t>
      </w:r>
      <w:r/>
    </w:p>
    <w:p>
      <w:pPr>
        <w:pStyle w:val="724"/>
        <w:jc w:val="center"/>
        <w:spacing w:line="560" w:lineRule="exact"/>
        <w:rPr>
          <w:rFonts w:ascii="Times New Roman" w:hAnsi="Times New Roman" w:cs="仿宋"/>
          <w:b w:val="0"/>
          <w:bCs w:val="0"/>
          <w:color w:val="000000" w:themeColor="text1"/>
          <w:spacing w:val="8"/>
          <w:sz w:val="24"/>
          <w:highlight w:val="none"/>
          <w14:textFill>
            <w14:solidFill>
              <w14:schemeClr w14:val="tx1"/>
            </w14:solidFill>
          </w14:textFill>
        </w:rPr>
      </w:pPr>
      <w:r>
        <w:rPr>
          <w:rFonts w:hint="eastAsia" w:cs="仿宋"/>
          <w:b w:val="0"/>
          <w:bCs w:val="0"/>
          <w:color w:val="000000" w:themeColor="text1"/>
          <w:spacing w:val="8"/>
          <w:sz w:val="24"/>
          <w:highlight w:val="none"/>
          <w:lang w:val="en-US" w:eastAsia="zh-CN"/>
          <w14:textFill>
            <w14:solidFill>
              <w14:schemeClr w14:val="tx1"/>
            </w14:solidFill>
          </w14:textFill>
        </w:rPr>
        <w:t xml:space="preserve">分</w:t>
      </w:r>
      <w:r>
        <w:rPr>
          <w:rFonts w:hint="eastAsia" w:ascii="Times New Roman" w:hAnsi="Times New Roman" w:cs="仿宋"/>
          <w:b w:val="0"/>
          <w:bCs w:val="0"/>
          <w:color w:val="000000" w:themeColor="text1"/>
          <w:spacing w:val="8"/>
          <w:sz w:val="24"/>
          <w:highlight w:val="none"/>
          <w14:textFill>
            <w14:solidFill>
              <w14:schemeClr w14:val="tx1"/>
            </w14:solidFill>
          </w14:textFill>
        </w:rPr>
        <w:t xml:space="preserve">包一楼栋房间清单</w:t>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1293"/>
        <w:gridCol w:w="2008"/>
        <w:gridCol w:w="2218"/>
        <w:gridCol w:w="3254"/>
      </w:tblGrid>
      <w:tr>
        <w:trPr>
          <w:trHeight w:val="720"/>
        </w:trPr>
        <w:tc>
          <w:tcPr>
            <w:tcW w:w="790"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区域</w:t>
            </w:r>
            <w:r/>
          </w:p>
        </w:tc>
        <w:tc>
          <w:tcPr>
            <w:tcW w:w="620"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楼栋</w:t>
            </w:r>
            <w:r/>
          </w:p>
        </w:tc>
        <w:tc>
          <w:tcPr>
            <w:tcW w:w="9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房间标准</w:t>
            </w:r>
            <w:r/>
          </w:p>
        </w:tc>
        <w:tc>
          <w:tcPr>
            <w:tcW w:w="1064"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房间数量（间）</w:t>
            </w:r>
            <w:r/>
          </w:p>
        </w:tc>
        <w:tc>
          <w:tcPr>
            <w:tcW w:w="1561"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备注</w:t>
            </w:r>
            <w:r/>
          </w:p>
        </w:tc>
      </w:tr>
      <w:tr>
        <w:trPr/>
        <w:tc>
          <w:tcPr>
            <w:tcW w:w="790"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F区</w:t>
            </w:r>
            <w:r/>
          </w:p>
          <w:p>
            <w:pPr>
              <w:pStyle w:val="724"/>
              <w:rPr>
                <w:rFonts w:ascii="Times New Roman" w:hAnsi="Times New Roman"/>
                <w:b w:val="0"/>
                <w:bCs w:val="0"/>
                <w:highlight w:val="none"/>
              </w:rPr>
            </w:pPr>
            <w:r>
              <w:rPr>
                <w:rFonts w:hint="eastAsia" w:ascii="Times New Roman" w:hAnsi="Times New Roman" w:cs="仿宋"/>
                <w:b w:val="0"/>
                <w:bCs w:val="0"/>
                <w:color w:val="000000" w:themeColor="text1"/>
                <w:sz w:val="24"/>
                <w:highlight w:val="none"/>
                <w14:textFill>
                  <w14:solidFill>
                    <w14:schemeClr w14:val="tx1"/>
                  </w14:solidFill>
                </w14:textFill>
              </w:rPr>
              <w:t xml:space="preserve">（331间）</w:t>
            </w:r>
            <w:r/>
          </w:p>
        </w:tc>
        <w:tc>
          <w:tcPr>
            <w:tcW w:w="620"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F1</w:t>
            </w:r>
            <w:r/>
          </w:p>
        </w:tc>
        <w:tc>
          <w:tcPr>
            <w:tcW w:w="9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w:t>
            </w:r>
            <w:r/>
          </w:p>
        </w:tc>
        <w:tc>
          <w:tcPr>
            <w:tcW w:w="1064"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197</w:t>
            </w:r>
            <w:r/>
          </w:p>
        </w:tc>
        <w:tc>
          <w:tcPr>
            <w:tcW w:w="1561"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普通四人间共325间、普通单人间共6间。</w:t>
            </w:r>
            <w:r/>
          </w:p>
        </w:tc>
      </w:tr>
      <w:tr>
        <w:trPr/>
        <w:tc>
          <w:tcPr>
            <w:tcW w:w="790"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620"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9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普通单人间</w:t>
            </w:r>
            <w:r/>
          </w:p>
        </w:tc>
        <w:tc>
          <w:tcPr>
            <w:tcW w:w="1064"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w:t>
            </w:r>
            <w:r/>
          </w:p>
        </w:tc>
        <w:tc>
          <w:tcPr>
            <w:tcW w:w="1561"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r>
        <w:trPr/>
        <w:tc>
          <w:tcPr>
            <w:tcW w:w="790"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620"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F2</w:t>
            </w:r>
            <w:r/>
          </w:p>
        </w:tc>
        <w:tc>
          <w:tcPr>
            <w:tcW w:w="9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w:t>
            </w:r>
            <w:r/>
          </w:p>
        </w:tc>
        <w:tc>
          <w:tcPr>
            <w:tcW w:w="1064"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128</w:t>
            </w:r>
            <w:r/>
          </w:p>
        </w:tc>
        <w:tc>
          <w:tcPr>
            <w:tcW w:w="1561"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r>
        <w:trPr/>
        <w:tc>
          <w:tcPr>
            <w:tcW w:w="790"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620"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9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普通单人间</w:t>
            </w:r>
            <w:r/>
          </w:p>
        </w:tc>
        <w:tc>
          <w:tcPr>
            <w:tcW w:w="1064"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w:t>
            </w:r>
            <w:r/>
          </w:p>
        </w:tc>
        <w:tc>
          <w:tcPr>
            <w:tcW w:w="1561"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bl>
    <w:p>
      <w:pPr>
        <w:ind w:firstLine="482"/>
        <w:jc w:val="left"/>
        <w:spacing w:line="560" w:lineRule="exact"/>
        <w:rPr>
          <w:rFonts w:cs="仿宋"/>
          <w:b/>
          <w:color w:val="000000" w:themeColor="text1"/>
          <w:sz w:val="24"/>
          <w:highlight w:val="none"/>
          <w14:textFill>
            <w14:solidFill>
              <w14:schemeClr w14:val="tx1"/>
            </w14:solidFill>
          </w14:textFill>
        </w:rPr>
      </w:pPr>
      <w:r>
        <w:rPr>
          <w:rFonts w:hint="eastAsia" w:cs="仿宋"/>
          <w:b/>
          <w:color w:val="000000" w:themeColor="text1"/>
          <w:sz w:val="24"/>
          <w:highlight w:val="none"/>
          <w14:textFill>
            <w14:solidFill>
              <w14:schemeClr w14:val="tx1"/>
            </w14:solidFill>
          </w14:textFill>
        </w:rPr>
        <w:t xml:space="preserve">二、采购标的</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656"/>
        <w:gridCol w:w="2870"/>
        <w:gridCol w:w="696"/>
        <w:gridCol w:w="696"/>
        <w:gridCol w:w="984"/>
      </w:tblGrid>
      <w:tr>
        <w:trPr>
          <w:jc w:val="center"/>
          <w:trHeight w:val="452"/>
        </w:trPr>
        <w:tc>
          <w:tcPr>
            <w:tcBorders>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楼栋</w:t>
            </w:r>
            <w:r/>
          </w:p>
        </w:tc>
        <w:tc>
          <w:tcPr>
            <w:tcW w:w="0" w:type="auto"/>
            <w:vAlign w:val="center"/>
            <w:textDirection w:val="lrTb"/>
            <w:noWrap w:val="false"/>
          </w:tcPr>
          <w:p>
            <w:pPr>
              <w:ind w:firstLine="88"/>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标的名称</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尺寸</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单位</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数量</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需求</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位置</w:t>
            </w:r>
            <w:r/>
          </w:p>
        </w:tc>
      </w:tr>
      <w:tr>
        <w:trPr>
          <w:jc w:val="center"/>
          <w:trHeight w:val="689"/>
        </w:trPr>
        <w:tc>
          <w:tcPr>
            <w:tcBorders>
              <w:bottom w:val="single" w:color="auto" w:sz="4" w:space="0"/>
            </w:tcBorders>
            <w:tcW w:w="0" w:type="auto"/>
            <w:vAlign w:val="center"/>
            <w:vMerge w:val="restart"/>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lang w:val="en-US" w:eastAsia="zh-CN"/>
                <w14:textFill>
                  <w14:solidFill>
                    <w14:schemeClr w14:val="tx1"/>
                  </w14:solidFill>
                </w14:textFill>
              </w:rPr>
              <w:t xml:space="preserve">分包一：</w:t>
            </w:r>
            <w:r>
              <w:rPr>
                <w:rFonts w:hint="eastAsia" w:cs="仿宋"/>
                <w:color w:val="000000" w:themeColor="text1"/>
                <w:sz w:val="24"/>
                <w:highlight w:val="none"/>
                <w14:textFill>
                  <w14:solidFill>
                    <w14:schemeClr w14:val="tx1"/>
                  </w14:solidFill>
                </w14:textFill>
              </w:rPr>
              <w:t xml:space="preserve">F区</w:t>
            </w:r>
            <w:r/>
          </w:p>
          <w:p>
            <w:pPr>
              <w:pStyle w:val="724"/>
              <w:rPr>
                <w:rFonts w:ascii="Times New Roman" w:hAnsi="Times New Roman"/>
                <w:highlight w:val="none"/>
              </w:rPr>
            </w:pPr>
            <w:r>
              <w:rPr>
                <w:rFonts w:hint="eastAsia" w:ascii="Times New Roman" w:hAnsi="Times New Roman" w:cs="仿宋"/>
                <w:b w:val="0"/>
                <w:bCs w:val="0"/>
                <w:color w:val="000000" w:themeColor="text1"/>
                <w:sz w:val="24"/>
                <w:highlight w:val="none"/>
                <w14:textFill>
                  <w14:solidFill>
                    <w14:schemeClr w14:val="tx1"/>
                  </w14:solidFill>
                </w14:textFill>
              </w:rPr>
              <w:t xml:space="preserve">（331间）</w:t>
            </w:r>
            <w:r/>
          </w:p>
        </w:tc>
        <w:tc>
          <w:tcPr>
            <w:tcBorders>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公寓组合床</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（中走梯）</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4500*900*2250mm</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套</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650</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普通</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四人间</w:t>
            </w:r>
            <w:r/>
          </w:p>
        </w:tc>
      </w:tr>
      <w:tr>
        <w:trPr>
          <w:jc w:val="center"/>
          <w:trHeight w:val="687"/>
        </w:trPr>
        <w:tc>
          <w:tcPr>
            <w:tcBorders>
              <w:top w:val="single" w:color="auto" w:sz="4" w:space="0"/>
              <w:bottom w:val="single" w:color="auto" w:sz="4" w:space="0"/>
            </w:tcBorders>
            <w:tcW w:w="0" w:type="auto"/>
            <w:vAlign w:val="center"/>
            <w:vMerge w:val="continue"/>
            <w:textDirection w:val="lrTb"/>
            <w:noWrap w:val="false"/>
          </w:tcPr>
          <w:p>
            <w:pPr>
              <w:jc w:val="center"/>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Borders>
              <w:top w:val="single" w:color="auto" w:sz="4" w:space="0"/>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单人床及家具</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床：2000*1200*850mm</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书桌：1200*600*2050mm</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衣柜：800*600*2050mm</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套</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6</w:t>
            </w:r>
            <w:r/>
          </w:p>
        </w:tc>
        <w:tc>
          <w:tcPr>
            <w:tcW w:w="0" w:type="auto"/>
            <w:vAlign w:val="center"/>
            <w:textDirection w:val="lrTb"/>
            <w:noWrap w:val="false"/>
          </w:tcPr>
          <w:p>
            <w:pPr>
              <w:jc w:val="center"/>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单人间</w:t>
            </w:r>
            <w:r/>
          </w:p>
        </w:tc>
      </w:tr>
      <w:tr>
        <w:trPr>
          <w:jc w:val="center"/>
          <w:trHeight w:val="687"/>
        </w:trPr>
        <w:tc>
          <w:tcPr>
            <w:tcBorders>
              <w:top w:val="single" w:color="auto" w:sz="4" w:space="0"/>
              <w:bottom w:val="single" w:color="auto" w:sz="4" w:space="0"/>
            </w:tcBorders>
            <w:tcW w:w="0" w:type="auto"/>
            <w:vAlign w:val="center"/>
            <w:vMerge w:val="continue"/>
            <w:textDirection w:val="lrTb"/>
            <w:noWrap w:val="false"/>
          </w:tcPr>
          <w:p>
            <w:pPr>
              <w:jc w:val="center"/>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Borders>
              <w:top w:val="single" w:color="auto" w:sz="4" w:space="0"/>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公寓椅</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宋体"/>
                <w:sz w:val="24"/>
                <w:highlight w:val="none"/>
              </w:rPr>
              <w:t xml:space="preserve">≥520*530*840</w:t>
            </w:r>
            <w:r>
              <w:rPr>
                <w:rFonts w:hint="eastAsia" w:cs="宋体"/>
                <w:sz w:val="24"/>
                <w:highlight w:val="none"/>
                <w:lang w:eastAsia="en-US"/>
              </w:rPr>
              <w:t xml:space="preserve">mm</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张</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1306</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spacing w:line="360" w:lineRule="auto"/>
        <w:rPr>
          <w:rFonts w:hint="default" w:eastAsia="宋体" w:cs="仿宋"/>
          <w:b/>
          <w:bCs/>
          <w:i w:val="0"/>
          <w:iCs w:val="0"/>
          <w:color w:val="000000" w:themeColor="text1"/>
          <w:sz w:val="24"/>
          <w:highlight w:val="none"/>
          <w:u w:val="none"/>
          <w:lang w:val="en-US" w:eastAsia="zh-CN"/>
          <w14:textFill>
            <w14:solidFill>
              <w14:schemeClr w14:val="tx1"/>
            </w14:solidFill>
          </w14:textFill>
        </w:rPr>
      </w:pPr>
      <w:r>
        <w:rPr>
          <w:rFonts w:hint="eastAsia" w:cs="仿宋"/>
          <w:b/>
          <w:bCs/>
          <w:i w:val="0"/>
          <w:iCs w:val="0"/>
          <w:color w:val="000000" w:themeColor="text1"/>
          <w:sz w:val="24"/>
          <w:highlight w:val="none"/>
          <w:u w:val="none"/>
          <w14:textFill>
            <w14:solidFill>
              <w14:schemeClr w14:val="tx1"/>
            </w14:solidFill>
          </w14:textFill>
        </w:rPr>
        <w:t xml:space="preserve">注：</w:t>
      </w:r>
      <w:r>
        <w:rPr>
          <w:rFonts w:hint="eastAsia" w:cs="仿宋"/>
          <w:b/>
          <w:bCs/>
          <w:i w:val="0"/>
          <w:iCs w:val="0"/>
          <w:color w:val="000000" w:themeColor="text1"/>
          <w:sz w:val="24"/>
          <w:highlight w:val="none"/>
          <w:u w:val="none"/>
          <w:lang w:val="en-US" w:eastAsia="zh-CN"/>
          <w14:textFill>
            <w14:solidFill>
              <w14:schemeClr w14:val="tx1"/>
            </w14:solidFill>
          </w14:textFill>
        </w:rPr>
        <w:t xml:space="preserve">分</w:t>
      </w:r>
      <w:r>
        <w:rPr>
          <w:rFonts w:hint="eastAsia" w:cs="仿宋"/>
          <w:b/>
          <w:bCs/>
          <w:i w:val="0"/>
          <w:iCs w:val="0"/>
          <w:color w:val="000000" w:themeColor="text1"/>
          <w:sz w:val="24"/>
          <w:highlight w:val="none"/>
          <w:u w:val="none"/>
          <w14:textFill>
            <w14:solidFill>
              <w14:schemeClr w14:val="tx1"/>
            </w14:solidFill>
          </w14:textFill>
        </w:rPr>
        <w:t xml:space="preserve">包一暂设有2间加长床房间，因房间尺寸受限，可按外挂梯形式加长，同步加长床下柜；具体加长长度，以现场实际环境为准，具体间数以招生情况为准，结算时不另行增加费用。(提供承诺函加盖公章)</w:t>
      </w:r>
      <w:r>
        <w:rPr>
          <w:rFonts w:hint="eastAsia" w:cs="仿宋"/>
          <w:b/>
          <w:bCs/>
          <w:i w:val="0"/>
          <w:iCs w:val="0"/>
          <w:color w:val="000000" w:themeColor="text1"/>
          <w:sz w:val="24"/>
          <w:highlight w:val="none"/>
          <w:u w:val="none"/>
          <w:lang w:val="en-US" w:eastAsia="zh-CN"/>
          <w14:textFill>
            <w14:solidFill>
              <w14:schemeClr w14:val="tx1"/>
            </w14:solidFill>
          </w14:textFill>
        </w:rPr>
        <w:t xml:space="preserve"> </w:t>
      </w:r>
      <w:r/>
    </w:p>
    <w:tbl>
      <w:tblPr>
        <w:tblStyle w:val="7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6245"/>
        <w:gridCol w:w="2899"/>
      </w:tblGrid>
      <w:tr>
        <w:trPr>
          <w:cantSplit/>
          <w:jc w:val="center"/>
          <w:trHeight w:val="907"/>
        </w:trPr>
        <w:tc>
          <w:tcPr>
            <w:tcW w:w="612" w:type="pct"/>
            <w:vAlign w:val="center"/>
            <w:textDirection w:val="lrTb"/>
            <w:noWrap w:val="false"/>
          </w:tcPr>
          <w:p>
            <w:pPr>
              <w:jc w:val="center"/>
              <w:spacing w:line="0" w:lineRule="atLeast"/>
              <w:rPr>
                <w:sz w:val="24"/>
                <w:highlight w:val="none"/>
              </w:rPr>
            </w:pPr>
            <w:r>
              <w:rPr>
                <w:rFonts w:hint="eastAsia"/>
                <w:sz w:val="24"/>
                <w:highlight w:val="none"/>
              </w:rPr>
              <w:t xml:space="preserve">采购包</w:t>
            </w:r>
            <w:r/>
          </w:p>
        </w:tc>
        <w:tc>
          <w:tcPr>
            <w:tcW w:w="2996" w:type="pct"/>
            <w:vAlign w:val="center"/>
            <w:textDirection w:val="lrTb"/>
            <w:noWrap w:val="false"/>
          </w:tcPr>
          <w:p>
            <w:pPr>
              <w:jc w:val="center"/>
              <w:spacing w:line="0" w:lineRule="atLeast"/>
              <w:rPr>
                <w:sz w:val="24"/>
                <w:highlight w:val="none"/>
              </w:rPr>
            </w:pPr>
            <w:r>
              <w:rPr>
                <w:rFonts w:hint="eastAsia"/>
                <w:sz w:val="24"/>
                <w:highlight w:val="none"/>
              </w:rPr>
              <w:t xml:space="preserve">采购</w:t>
            </w:r>
            <w:r>
              <w:rPr>
                <w:sz w:val="24"/>
                <w:highlight w:val="none"/>
              </w:rPr>
              <w:t xml:space="preserve">标的</w:t>
            </w:r>
            <w:r/>
          </w:p>
        </w:tc>
        <w:tc>
          <w:tcPr>
            <w:tcW w:w="1391" w:type="pct"/>
            <w:vAlign w:val="center"/>
            <w:textDirection w:val="lrTb"/>
            <w:noWrap w:val="false"/>
          </w:tcPr>
          <w:p>
            <w:pPr>
              <w:jc w:val="center"/>
              <w:spacing w:line="0" w:lineRule="atLeast"/>
              <w:rPr>
                <w:sz w:val="24"/>
                <w:highlight w:val="none"/>
              </w:rPr>
            </w:pPr>
            <w:r>
              <w:rPr>
                <w:rFonts w:hint="eastAsia"/>
                <w:sz w:val="24"/>
                <w:highlight w:val="none"/>
              </w:rPr>
              <w:t xml:space="preserve">对应中</w:t>
            </w:r>
            <w:r>
              <w:rPr>
                <w:sz w:val="24"/>
                <w:highlight w:val="none"/>
              </w:rPr>
              <w:t xml:space="preserve">小企业划分</w:t>
            </w:r>
            <w:r/>
          </w:p>
          <w:p>
            <w:pPr>
              <w:jc w:val="center"/>
              <w:spacing w:line="0" w:lineRule="atLeast"/>
              <w:rPr>
                <w:sz w:val="24"/>
                <w:highlight w:val="none"/>
              </w:rPr>
            </w:pPr>
            <w:r>
              <w:rPr>
                <w:sz w:val="24"/>
                <w:highlight w:val="none"/>
              </w:rPr>
              <w:t xml:space="preserve">标准所属行业</w:t>
            </w:r>
            <w:r/>
          </w:p>
        </w:tc>
      </w:tr>
      <w:tr>
        <w:trPr>
          <w:cantSplit/>
          <w:jc w:val="center"/>
          <w:trHeight w:val="907"/>
        </w:trPr>
        <w:tc>
          <w:tcPr>
            <w:tcW w:w="612" w:type="pct"/>
            <w:vAlign w:val="center"/>
            <w:textDirection w:val="lrTb"/>
            <w:noWrap w:val="false"/>
          </w:tcPr>
          <w:p>
            <w:pPr>
              <w:jc w:val="center"/>
              <w:spacing w:line="0" w:lineRule="atLeast"/>
              <w:rPr>
                <w:sz w:val="24"/>
                <w:highlight w:val="none"/>
              </w:rPr>
            </w:pPr>
            <w:r>
              <w:rPr>
                <w:rFonts w:hint="eastAsia"/>
                <w:sz w:val="24"/>
                <w:highlight w:val="none"/>
              </w:rPr>
              <w:t xml:space="preserve">一</w:t>
            </w:r>
            <w:r/>
          </w:p>
        </w:tc>
        <w:tc>
          <w:tcPr>
            <w:tcW w:w="2996" w:type="pct"/>
            <w:vAlign w:val="center"/>
            <w:textDirection w:val="lrTb"/>
            <w:noWrap w:val="false"/>
          </w:tcPr>
          <w:p>
            <w:pPr>
              <w:jc w:val="center"/>
              <w:spacing w:line="0" w:lineRule="atLeast"/>
              <w:tabs>
                <w:tab w:val="left" w:pos="2020" w:leader="none"/>
              </w:tabs>
              <w:rPr>
                <w:sz w:val="24"/>
                <w:highlight w:val="none"/>
              </w:rPr>
            </w:pPr>
            <w:r>
              <w:rPr>
                <w:rFonts w:hint="eastAsia" w:eastAsia="Segoe UI" w:cs="Segoe UI"/>
                <w:sz w:val="24"/>
                <w:highlight w:val="none"/>
                <w:shd w:val="clear" w:color="auto" w:fill="ffffff"/>
              </w:rPr>
              <w:t xml:space="preserve">江苏开放大学浦口校区F区学生公寓家具采购</w:t>
            </w:r>
            <w:r/>
          </w:p>
        </w:tc>
        <w:tc>
          <w:tcPr>
            <w:tcW w:w="1391" w:type="pct"/>
            <w:vAlign w:val="center"/>
            <w:textDirection w:val="lrTb"/>
            <w:noWrap w:val="false"/>
          </w:tcPr>
          <w:p>
            <w:pPr>
              <w:jc w:val="center"/>
              <w:spacing w:line="0" w:lineRule="atLeast"/>
              <w:rPr>
                <w:sz w:val="24"/>
                <w:highlight w:val="none"/>
              </w:rPr>
            </w:pPr>
            <w:r>
              <w:rPr>
                <w:rFonts w:hint="eastAsia"/>
                <w:sz w:val="24"/>
                <w:highlight w:val="none"/>
              </w:rPr>
              <w:t xml:space="preserve">工业</w:t>
            </w:r>
            <w:r/>
          </w:p>
        </w:tc>
      </w:tr>
    </w:tbl>
    <w:p>
      <w:pPr>
        <w:jc w:val="left"/>
        <w:spacing w:line="560" w:lineRule="exact"/>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lang w:val="en-US" w:eastAsia="zh-CN"/>
          <w14:textFill>
            <w14:solidFill>
              <w14:schemeClr w14:val="tx1"/>
            </w14:solidFill>
          </w14:textFill>
        </w:rPr>
        <w:t xml:space="preserve">分</w:t>
      </w:r>
      <w:r>
        <w:rPr>
          <w:rFonts w:hint="eastAsia" w:cs="仿宋"/>
          <w:color w:val="000000" w:themeColor="text1"/>
          <w:sz w:val="24"/>
          <w:highlight w:val="none"/>
          <w14:textFill>
            <w14:solidFill>
              <w14:schemeClr w14:val="tx1"/>
            </w14:solidFill>
          </w14:textFill>
        </w:rPr>
        <w:t xml:space="preserve">包一采购最高</w:t>
      </w:r>
      <w:r>
        <w:rPr>
          <w:rFonts w:hint="eastAsia" w:cs="仿宋"/>
          <w:color w:val="000000" w:themeColor="text1"/>
          <w:sz w:val="24"/>
          <w:highlight w:val="none"/>
          <w:lang w:val="en-US" w:eastAsia="zh-CN"/>
          <w14:textFill>
            <w14:solidFill>
              <w14:schemeClr w14:val="tx1"/>
            </w14:solidFill>
          </w14:textFill>
        </w:rPr>
        <w:t xml:space="preserve">限价：</w:t>
      </w:r>
      <w:r>
        <w:rPr>
          <w:rFonts w:hint="eastAsia" w:cs="仿宋"/>
          <w:color w:val="000000" w:themeColor="text1"/>
          <w:sz w:val="24"/>
          <w:highlight w:val="none"/>
          <w14:textFill>
            <w14:solidFill>
              <w14:schemeClr w14:val="tx1"/>
            </w14:solidFill>
          </w14:textFill>
        </w:rPr>
        <w:t xml:space="preserve">F区学生宿舍本次需采购公寓组合床（中走梯）1300张床位、单人间6套床位，按照3300元/床位的标准，共需431万元；</w:t>
      </w:r>
      <w:r/>
    </w:p>
    <w:p>
      <w:pPr>
        <w:pStyle w:val="1196"/>
        <w:ind w:firstLine="482"/>
        <w:jc w:val="left"/>
        <w:spacing w:line="360" w:lineRule="auto"/>
        <w:rPr>
          <w:rFonts w:cs="仿宋"/>
          <w:b/>
          <w:bCs/>
          <w:color w:val="000000" w:themeColor="text1"/>
          <w:sz w:val="24"/>
          <w:highlight w:val="none"/>
          <w14:textFill>
            <w14:solidFill>
              <w14:schemeClr w14:val="tx1"/>
            </w14:solidFill>
          </w14:textFill>
        </w:rPr>
      </w:pPr>
      <w:r/>
      <w:bookmarkStart w:id="182" w:name="_Toc11585"/>
      <w:r/>
      <w:bookmarkStart w:id="183" w:name="_Toc3297"/>
      <w:r>
        <w:rPr>
          <w:rFonts w:hint="eastAsia" w:cs="仿宋"/>
          <w:b/>
          <w:color w:val="000000" w:themeColor="text1"/>
          <w:sz w:val="24"/>
          <w:highlight w:val="none"/>
          <w14:textFill>
            <w14:solidFill>
              <w14:schemeClr w14:val="tx1"/>
            </w14:solidFill>
          </w14:textFill>
        </w:rPr>
        <w:t xml:space="preserve">三、</w:t>
      </w:r>
      <w:bookmarkEnd w:id="182"/>
      <w:r/>
      <w:bookmarkEnd w:id="183"/>
      <w:r>
        <w:rPr>
          <w:rFonts w:hint="eastAsia" w:cs="仿宋"/>
          <w:b/>
          <w:bCs/>
          <w:color w:val="000000" w:themeColor="text1"/>
          <w:sz w:val="24"/>
          <w:highlight w:val="none"/>
          <w14:textFill>
            <w14:solidFill>
              <w14:schemeClr w14:val="tx1"/>
            </w14:solidFill>
          </w14:textFill>
        </w:rPr>
        <w:t xml:space="preserve"> 功能、性能、配置要求</w:t>
      </w:r>
      <w:r/>
    </w:p>
    <w:p>
      <w:pPr>
        <w:pStyle w:val="1196"/>
        <w:ind w:firstLine="482"/>
        <w:jc w:val="left"/>
        <w:spacing w:line="360" w:lineRule="auto"/>
        <w:rPr>
          <w:rFonts w:hint="eastAsia" w:cs="仿宋"/>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注意：</w:t>
      </w:r>
      <w:r>
        <w:rPr>
          <w:rFonts w:hint="eastAsia" w:cs="仿宋"/>
          <w:color w:val="000000" w:themeColor="text1"/>
          <w:sz w:val="24"/>
          <w:highlight w:val="none"/>
          <w14:textFill>
            <w14:solidFill>
              <w14:schemeClr w14:val="tx1"/>
            </w14:solidFill>
          </w14:textFill>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可做参考提供相当于或高于所列品牌技术标准的材料和设备。</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901"/>
        <w:gridCol w:w="1598"/>
        <w:gridCol w:w="6934"/>
        <w:gridCol w:w="494"/>
      </w:tblGrid>
      <w:tr>
        <w:trPr/>
        <w:tc>
          <w:tcPr>
            <w:tcW w:w="0" w:type="auto"/>
            <w:textDirection w:val="lrTb"/>
            <w:noWrap w:val="false"/>
          </w:tcPr>
          <w:p>
            <w:pPr>
              <w:pStyle w:val="1196"/>
              <w:jc w:val="center"/>
              <w:spacing w:line="360" w:lineRule="auto"/>
              <w:rPr>
                <w:rFonts w:hint="eastAsia" w:eastAsia="宋体" w:cs="仿宋"/>
                <w:color w:val="000000" w:themeColor="text1"/>
                <w:sz w:val="24"/>
                <w:highlight w:val="none"/>
                <w:vertAlign w:val="baseline"/>
                <w:lang w:val="en-US" w:eastAsia="zh-CN"/>
                <w14:textFill>
                  <w14:solidFill>
                    <w14:schemeClr w14:val="tx1"/>
                  </w14:solidFill>
                </w14:textFill>
              </w:rPr>
            </w:pPr>
            <w:r>
              <w:rPr>
                <w:rFonts w:hint="eastAsia" w:cs="仿宋"/>
                <w:color w:val="000000" w:themeColor="text1"/>
                <w:sz w:val="24"/>
                <w:highlight w:val="none"/>
                <w:vertAlign w:val="baseline"/>
                <w:lang w:val="en-US" w:eastAsia="zh-CN"/>
                <w14:textFill>
                  <w14:solidFill>
                    <w14:schemeClr w14:val="tx1"/>
                  </w14:solidFill>
                </w14:textFill>
              </w:rPr>
              <w:t xml:space="preserve">序号</w:t>
            </w:r>
            <w:r/>
          </w:p>
        </w:tc>
        <w:tc>
          <w:tcPr>
            <w:tcW w:w="0" w:type="auto"/>
            <w:textDirection w:val="lrTb"/>
            <w:noWrap w:val="false"/>
          </w:tcPr>
          <w:p>
            <w:pPr>
              <w:pStyle w:val="1196"/>
              <w:jc w:val="center"/>
              <w:spacing w:line="360" w:lineRule="auto"/>
              <w:rPr>
                <w:rFonts w:hint="eastAsia" w:eastAsia="宋体" w:cs="仿宋"/>
                <w:color w:val="000000" w:themeColor="text1"/>
                <w:sz w:val="24"/>
                <w:highlight w:val="none"/>
                <w:vertAlign w:val="baseline"/>
                <w:lang w:val="en-US" w:eastAsia="zh-CN"/>
                <w14:textFill>
                  <w14:solidFill>
                    <w14:schemeClr w14:val="tx1"/>
                  </w14:solidFill>
                </w14:textFill>
              </w:rPr>
            </w:pPr>
            <w:r>
              <w:rPr>
                <w:rFonts w:hint="eastAsia" w:cs="仿宋"/>
                <w:color w:val="000000" w:themeColor="text1"/>
                <w:sz w:val="24"/>
                <w:highlight w:val="none"/>
                <w:vertAlign w:val="baseline"/>
                <w:lang w:val="en-US" w:eastAsia="zh-CN"/>
                <w14:textFill>
                  <w14:solidFill>
                    <w14:schemeClr w14:val="tx1"/>
                  </w14:solidFill>
                </w14:textFill>
              </w:rPr>
              <w:t xml:space="preserve">名称</w:t>
            </w:r>
            <w:r/>
          </w:p>
        </w:tc>
        <w:tc>
          <w:tcPr>
            <w:tcW w:w="1598" w:type="dxa"/>
            <w:textDirection w:val="lrTb"/>
            <w:noWrap w:val="false"/>
          </w:tcPr>
          <w:p>
            <w:pPr>
              <w:pStyle w:val="1196"/>
              <w:jc w:val="center"/>
              <w:spacing w:line="360" w:lineRule="auto"/>
              <w:rPr>
                <w:rFonts w:hint="eastAsia" w:eastAsia="宋体" w:cs="仿宋"/>
                <w:color w:val="000000" w:themeColor="text1"/>
                <w:sz w:val="24"/>
                <w:highlight w:val="none"/>
                <w:vertAlign w:val="baseline"/>
                <w:lang w:val="en-US" w:eastAsia="zh-CN"/>
                <w14:textFill>
                  <w14:solidFill>
                    <w14:schemeClr w14:val="tx1"/>
                  </w14:solidFill>
                </w14:textFill>
              </w:rPr>
            </w:pPr>
            <w:r>
              <w:rPr>
                <w:rFonts w:hint="eastAsia" w:cs="仿宋"/>
                <w:color w:val="000000" w:themeColor="text1"/>
                <w:sz w:val="24"/>
                <w:highlight w:val="none"/>
                <w:vertAlign w:val="baseline"/>
                <w:lang w:val="en-US" w:eastAsia="zh-CN"/>
                <w14:textFill>
                  <w14:solidFill>
                    <w14:schemeClr w14:val="tx1"/>
                  </w14:solidFill>
                </w14:textFill>
              </w:rPr>
              <w:t xml:space="preserve">规格（mm）</w:t>
            </w:r>
            <w:r/>
          </w:p>
        </w:tc>
        <w:tc>
          <w:tcPr>
            <w:tcW w:w="6934" w:type="dxa"/>
            <w:textDirection w:val="lrTb"/>
            <w:noWrap w:val="false"/>
          </w:tcPr>
          <w:p>
            <w:pPr>
              <w:pStyle w:val="1196"/>
              <w:jc w:val="center"/>
              <w:spacing w:line="360" w:lineRule="auto"/>
              <w:rPr>
                <w:rFonts w:hint="default" w:eastAsia="宋体" w:cs="仿宋"/>
                <w:color w:val="000000" w:themeColor="text1"/>
                <w:sz w:val="24"/>
                <w:highlight w:val="none"/>
                <w:vertAlign w:val="baseline"/>
                <w:lang w:val="en-US" w:eastAsia="zh-CN"/>
                <w14:textFill>
                  <w14:solidFill>
                    <w14:schemeClr w14:val="tx1"/>
                  </w14:solidFill>
                </w14:textFill>
              </w:rPr>
            </w:pPr>
            <w:r>
              <w:rPr>
                <w:rFonts w:hint="eastAsia" w:cs="仿宋"/>
                <w:color w:val="000000" w:themeColor="text1"/>
                <w:sz w:val="24"/>
                <w:highlight w:val="none"/>
                <w:vertAlign w:val="baseline"/>
                <w:lang w:val="en-US" w:eastAsia="zh-CN"/>
                <w14:textFill>
                  <w14:solidFill>
                    <w14:schemeClr w14:val="tx1"/>
                  </w14:solidFill>
                </w14:textFill>
              </w:rPr>
              <w:t xml:space="preserve">技术要求</w:t>
            </w:r>
            <w:r/>
          </w:p>
        </w:tc>
        <w:tc>
          <w:tcPr>
            <w:tcW w:w="0" w:type="auto"/>
            <w:textDirection w:val="lrTb"/>
            <w:noWrap w:val="false"/>
          </w:tcPr>
          <w:p>
            <w:pPr>
              <w:pStyle w:val="1196"/>
              <w:jc w:val="center"/>
              <w:spacing w:line="360" w:lineRule="auto"/>
              <w:rPr>
                <w:rFonts w:hint="eastAsia" w:eastAsia="宋体" w:cs="仿宋"/>
                <w:color w:val="000000" w:themeColor="text1"/>
                <w:sz w:val="24"/>
                <w:highlight w:val="none"/>
                <w:vertAlign w:val="baseline"/>
                <w:lang w:val="en-US" w:eastAsia="zh-CN"/>
                <w14:textFill>
                  <w14:solidFill>
                    <w14:schemeClr w14:val="tx1"/>
                  </w14:solidFill>
                </w14:textFill>
              </w:rPr>
            </w:pPr>
            <w:r>
              <w:rPr>
                <w:rFonts w:hint="eastAsia" w:cs="仿宋"/>
                <w:color w:val="000000" w:themeColor="text1"/>
                <w:sz w:val="24"/>
                <w:highlight w:val="none"/>
                <w:vertAlign w:val="baseline"/>
                <w:lang w:val="en-US" w:eastAsia="zh-CN"/>
                <w14:textFill>
                  <w14:solidFill>
                    <w14:schemeClr w14:val="tx1"/>
                  </w14:solidFill>
                </w14:textFill>
              </w:rPr>
              <w:t xml:space="preserve">备注</w:t>
            </w:r>
            <w:r/>
          </w:p>
        </w:tc>
      </w:tr>
      <w:tr>
        <w:trPr/>
        <w:tc>
          <w:tcPr>
            <w:tcW w:w="0" w:type="auto"/>
            <w:vAlign w:val="center"/>
            <w:textDirection w:val="lrTb"/>
            <w:noWrap w:val="false"/>
          </w:tcPr>
          <w:p>
            <w:pPr>
              <w:pStyle w:val="748"/>
              <w:jc w:val="center"/>
              <w:spacing w:line="276" w:lineRule="auto"/>
              <w:rPr>
                <w:rFonts w:hint="eastAsia" w:cs="仿宋"/>
                <w:color w:val="000000" w:themeColor="text1"/>
                <w:sz w:val="24"/>
                <w:highlight w:val="none"/>
                <w:vertAlign w:val="baseli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1</w:t>
            </w:r>
            <w:r/>
          </w:p>
        </w:tc>
        <w:tc>
          <w:tcPr>
            <w:tcW w:w="0" w:type="auto"/>
            <w:vAlign w:val="center"/>
            <w:textDirection w:val="lrTb"/>
            <w:noWrap w:val="false"/>
          </w:tcPr>
          <w:p>
            <w:pPr>
              <w:jc w:val="cente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公寓组合床（中走梯）</w:t>
            </w:r>
            <w:r/>
          </w:p>
        </w:tc>
        <w:tc>
          <w:tcPr>
            <w:tcW w:w="1598"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4500*900*2250</w:t>
            </w:r>
            <w:r/>
          </w:p>
          <w:p>
            <w:pPr>
              <w:jc w:val="cente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color w:val="000000" w:themeColor="text1"/>
                <w:highlight w:val="none"/>
                <w14:textFill>
                  <w14:solidFill>
                    <w14:schemeClr w14:val="tx1"/>
                  </w14:solidFill>
                </w14:textFill>
              </w:rPr>
              <w:t xml:space="preserve">蚊帐杆高度根据房间层高适配</w:t>
            </w:r>
            <w:r/>
          </w:p>
        </w:tc>
        <w:tc>
          <w:tcPr>
            <w:tcW w:w="6934" w:type="dxa"/>
            <w:vAlign w:val="center"/>
            <w:textDirection w:val="lrTb"/>
            <w:noWrap w:val="false"/>
          </w:tcPr>
          <w:p>
            <w:pPr>
              <w:jc w:val="center"/>
              <w:spacing w:line="360" w:lineRule="auto"/>
              <w:rPr>
                <w:b/>
                <w:bCs/>
                <w:highlight w:val="none"/>
              </w:rPr>
            </w:pPr>
            <w:r>
              <w:rPr>
                <w:rFonts w:hint="eastAsia"/>
                <w:b/>
                <w:bCs/>
                <w:highlight w:val="none"/>
              </w:rPr>
              <w:t xml:space="preserve">钢制部分</w:t>
            </w:r>
            <w:r/>
          </w:p>
          <w:p>
            <w:pPr>
              <w:spacing w:line="360" w:lineRule="auto"/>
              <w:rPr>
                <w:highlight w:val="none"/>
              </w:rPr>
            </w:pPr>
            <w:r>
              <w:rPr>
                <w:rFonts w:hint="eastAsia" w:cs="宋体"/>
                <w:sz w:val="22"/>
                <w:highlight w:val="none"/>
              </w:rPr>
              <w:t xml:space="preserve">▲</w:t>
            </w:r>
            <w:r>
              <w:rPr>
                <w:rFonts w:hint="eastAsia"/>
                <w:highlight w:val="none"/>
              </w:rPr>
              <w:t xml:space="preserve">材质要求：床框架采用公寓床隐藏式卡扣件连接，所有钢材均采用国家标准钢，各钢件经除油、防锈等工序处理，外层采用聚脂环氧粉末喷塑，具有长时间使用不生锈、不掉漆的特性；焊接表面波纹均匀，焊接处无夹渣、气孔、焊瘤、焊丝头咬边飞溅，无脱焊、虚焊及焊穿等现象。</w:t>
            </w:r>
            <w:r/>
          </w:p>
          <w:p>
            <w:pPr>
              <w:spacing w:line="360" w:lineRule="auto"/>
              <w:rPr>
                <w:highlight w:val="none"/>
              </w:rPr>
            </w:pPr>
            <w:r>
              <w:rPr>
                <w:rFonts w:hint="eastAsia" w:cs="宋体"/>
                <w:sz w:val="22"/>
                <w:highlight w:val="none"/>
              </w:rPr>
              <w:t xml:space="preserve">▲</w:t>
            </w:r>
            <w:r>
              <w:rPr>
                <w:rFonts w:hint="eastAsia"/>
                <w:b/>
                <w:bCs/>
                <w:highlight w:val="none"/>
              </w:rPr>
              <w:t xml:space="preserve">1、立柱：</w:t>
            </w:r>
            <w:r>
              <w:rPr>
                <w:rFonts w:hint="eastAsia"/>
                <w:highlight w:val="none"/>
              </w:rPr>
              <w:t xml:space="preserve">周长≥280mm、尺寸≥72</w:t>
            </w:r>
            <w:r>
              <w:rPr>
                <w:rFonts w:hint="eastAsia" w:cs="宋体"/>
                <w:color w:val="000000" w:themeColor="text1"/>
                <w:highlight w:val="none"/>
                <w14:textFill>
                  <w14:solidFill>
                    <w14:schemeClr w14:val="tx1"/>
                  </w14:solidFill>
                </w14:textFill>
              </w:rPr>
              <w:t xml:space="preserve">×</w:t>
            </w:r>
            <w:r>
              <w:rPr>
                <w:rFonts w:hint="eastAsia"/>
                <w:highlight w:val="none"/>
              </w:rPr>
              <w:t xml:space="preserve">72</w:t>
            </w:r>
            <w:r>
              <w:rPr>
                <w:rFonts w:hint="eastAsia" w:cs="宋体"/>
                <w:color w:val="000000" w:themeColor="text1"/>
                <w:highlight w:val="none"/>
                <w14:textFill>
                  <w14:solidFill>
                    <w14:schemeClr w14:val="tx1"/>
                  </w14:solidFill>
                </w14:textFill>
              </w:rPr>
              <w:t xml:space="preserve">×</w:t>
            </w:r>
            <w:r>
              <w:rPr>
                <w:rFonts w:hint="eastAsia"/>
                <w:highlight w:val="none"/>
              </w:rPr>
              <w:t xml:space="preserve">1.3mm；高频焊接闭口型材管，须带加强筋；立柱内侧采用内直角造型，木家具可牢卡在立柱之间，结构稳固；外立面带圆弧，安全美观。边立柱上下封口采用优质PP塑料的静音内外塞。</w:t>
            </w:r>
            <w:r/>
          </w:p>
          <w:p>
            <w:pPr>
              <w:spacing w:line="360" w:lineRule="auto"/>
              <w:rPr>
                <w:rFonts w:hint="eastAsia" w:eastAsia="宋体"/>
                <w:highlight w:val="none"/>
                <w:lang w:val="en-US" w:eastAsia="zh-CN"/>
              </w:rPr>
            </w:pPr>
            <w:r>
              <w:rPr>
                <w:rFonts w:hint="eastAsia" w:cs="宋体"/>
                <w:sz w:val="22"/>
                <w:highlight w:val="none"/>
              </w:rPr>
              <w:t xml:space="preserve">▲</w:t>
            </w:r>
            <w:r>
              <w:rPr>
                <w:rFonts w:hint="eastAsia"/>
                <w:b/>
                <w:bCs/>
                <w:highlight w:val="none"/>
              </w:rPr>
              <w:t xml:space="preserve">2、前横梁、后横梁：</w:t>
            </w:r>
            <w:r>
              <w:rPr>
                <w:rFonts w:hint="eastAsia"/>
                <w:highlight w:val="none"/>
              </w:rPr>
              <w:t xml:space="preserve">≥100</w:t>
            </w:r>
            <w:r>
              <w:rPr>
                <w:rFonts w:hint="eastAsia" w:cs="宋体"/>
                <w:color w:val="000000" w:themeColor="text1"/>
                <w:highlight w:val="none"/>
                <w14:textFill>
                  <w14:solidFill>
                    <w14:schemeClr w14:val="tx1"/>
                  </w14:solidFill>
                </w14:textFill>
              </w:rPr>
              <w:t xml:space="preserve">×40×</w:t>
            </w:r>
            <w:r>
              <w:rPr>
                <w:rFonts w:hint="eastAsia"/>
                <w:highlight w:val="none"/>
              </w:rPr>
              <w:t xml:space="preserve">1.3mm高频焊接闭口型钢管，须带加强筋；横梁上部为直边使连接件与横梁齐平整体美观，下部为圆弧造型，并配有防撞条。</w:t>
            </w:r>
            <w:r/>
          </w:p>
          <w:p>
            <w:pPr>
              <w:spacing w:line="360" w:lineRule="auto"/>
              <w:rPr>
                <w:highlight w:val="none"/>
              </w:rPr>
            </w:pPr>
            <w:r>
              <w:rPr>
                <w:rFonts w:hint="eastAsia"/>
                <w:b/>
                <w:bCs/>
                <w:highlight w:val="none"/>
              </w:rPr>
              <w:t xml:space="preserve">3、公寓床卡式连接件：</w:t>
            </w:r>
            <w:r>
              <w:rPr>
                <w:rFonts w:hint="eastAsia"/>
                <w:highlight w:val="none"/>
              </w:rPr>
              <w:t xml:space="preserve">床横梁与床立柱采取卡件连接，卡件采用隐藏式，正面连接处无焊接痕迹及工艺孔。</w:t>
            </w:r>
            <w:r/>
          </w:p>
          <w:p>
            <w:pPr>
              <w:spacing w:line="360" w:lineRule="auto"/>
              <w:rPr>
                <w:b/>
                <w:bCs/>
                <w:highlight w:val="none"/>
              </w:rPr>
            </w:pPr>
            <w:r>
              <w:rPr>
                <w:rFonts w:hint="eastAsia" w:cs="宋体"/>
                <w:sz w:val="22"/>
                <w:highlight w:val="none"/>
              </w:rPr>
              <w:t xml:space="preserve">▲</w:t>
            </w:r>
            <w:r>
              <w:rPr>
                <w:rFonts w:hint="eastAsia"/>
                <w:b/>
                <w:bCs/>
                <w:highlight w:val="none"/>
              </w:rPr>
              <w:t xml:space="preserve">4、床前护栏：</w:t>
            </w:r>
            <w:r>
              <w:rPr>
                <w:rFonts w:hint="eastAsia"/>
                <w:highlight w:val="none"/>
              </w:rPr>
              <w:t xml:space="preserve">钢木结构，采用≥25×25×1.5mm高频焊接闭口管材，高度≥350mm，内嵌ENF级18mm三聚氰胺饰面实木多层板，内侧自带永久性床褥上表面最大高度警示线，护栏设透气孔，自带圆弧角，表面光滑、平整立体感强；护栏内部位置安装PP材质注塑成型储物盒，便于存放手机、眼镜等小物品；在床护栏适当处设置江苏开放大学校标及床位编号。</w:t>
            </w:r>
            <w:r/>
          </w:p>
          <w:p>
            <w:pPr>
              <w:spacing w:line="360" w:lineRule="auto"/>
              <w:rPr>
                <w:highlight w:val="none"/>
              </w:rPr>
            </w:pPr>
            <w:r>
              <w:rPr>
                <w:rFonts w:hint="eastAsia"/>
                <w:b/>
                <w:bCs/>
                <w:highlight w:val="none"/>
              </w:rPr>
              <w:t xml:space="preserve">5、床后护栏：</w:t>
            </w:r>
            <w:r>
              <w:rPr>
                <w:rFonts w:hint="eastAsia"/>
                <w:highlight w:val="none"/>
              </w:rPr>
              <w:t xml:space="preserve">钢木结构，高度≥300mm，整体采用≥25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1.2mm管材，内嵌18mm厚ENF级三聚氰胺饰面实木多层板。</w:t>
            </w:r>
            <w:r/>
          </w:p>
          <w:p>
            <w:pPr>
              <w:spacing w:line="360" w:lineRule="auto"/>
              <w:rPr>
                <w:highlight w:val="none"/>
              </w:rPr>
            </w:pPr>
            <w:r>
              <w:rPr>
                <w:rFonts w:hint="eastAsia"/>
                <w:b/>
                <w:bCs/>
                <w:highlight w:val="none"/>
              </w:rPr>
              <w:t xml:space="preserve">6、床头、床尾护栏：</w:t>
            </w:r>
            <w:r>
              <w:rPr>
                <w:rFonts w:hint="eastAsia"/>
                <w:highlight w:val="none"/>
              </w:rPr>
              <w:t xml:space="preserve">钢木结构，横梁采用≥40*60*1.2mm方管，护栏采用≥25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1.2mm高频焊接闭口管材，内嵌18mm厚ENF级三聚氰胺饰面实木多层板。</w:t>
            </w:r>
            <w:r/>
          </w:p>
          <w:p>
            <w:pPr>
              <w:spacing w:line="360" w:lineRule="auto"/>
              <w:rPr>
                <w:highlight w:val="none"/>
              </w:rPr>
            </w:pPr>
            <w:r>
              <w:rPr>
                <w:rFonts w:hint="eastAsia"/>
                <w:b/>
                <w:bCs/>
                <w:highlight w:val="none"/>
              </w:rPr>
              <w:t xml:space="preserve">7、床板支撑：</w:t>
            </w:r>
            <w:r>
              <w:rPr>
                <w:rFonts w:hint="eastAsia"/>
                <w:highlight w:val="none"/>
              </w:rPr>
              <w:t xml:space="preserve">采用数量≥6根，尺寸≥25×25×1.0mm高频焊管制作，床撑卡槽采用一次冲压成型U型卡槽。</w:t>
            </w:r>
            <w:r/>
          </w:p>
          <w:p>
            <w:pPr>
              <w:pStyle w:val="727"/>
              <w:ind w:left="0"/>
              <w:rPr>
                <w:highlight w:val="none"/>
              </w:rPr>
            </w:pPr>
            <w:r>
              <w:rPr>
                <w:rFonts w:hint="eastAsia" w:ascii="Times New Roman" w:hAnsi="Times New Roman"/>
                <w:b/>
                <w:bCs/>
                <w:sz w:val="21"/>
                <w:szCs w:val="21"/>
                <w:highlight w:val="none"/>
              </w:rPr>
              <w:t xml:space="preserve">8</w:t>
            </w:r>
            <w:r>
              <w:rPr>
                <w:rFonts w:hint="eastAsia" w:ascii="Times New Roman" w:hAnsi="Times New Roman" w:cs="Times New Roman"/>
                <w:b/>
                <w:bCs/>
                <w:sz w:val="21"/>
                <w:highlight w:val="none"/>
              </w:rPr>
              <w:t xml:space="preserve">、床下走梯两侧护板及扶手：</w:t>
            </w:r>
            <w:r>
              <w:rPr>
                <w:rFonts w:hint="eastAsia" w:ascii="Times New Roman" w:hAnsi="Times New Roman" w:cs="Times New Roman"/>
                <w:sz w:val="21"/>
                <w:highlight w:val="none"/>
              </w:rPr>
              <w:t xml:space="preserve">钢木结构，封板18mm厚ENF级三聚氰胺饰面实木多层板。中间设置加固扶手，采用规格≥40mm×20mm×1.2mm管材，护栏前后两侧与立柱连接。</w:t>
            </w:r>
            <w:r/>
          </w:p>
          <w:p>
            <w:pPr>
              <w:spacing w:line="360" w:lineRule="auto"/>
              <w:rPr>
                <w:highlight w:val="none"/>
              </w:rPr>
            </w:pPr>
            <w:r>
              <w:rPr>
                <w:rFonts w:hint="eastAsia"/>
                <w:b/>
                <w:bCs/>
                <w:highlight w:val="none"/>
              </w:rPr>
              <w:t xml:space="preserve">9、床板：</w:t>
            </w:r>
            <w:r>
              <w:rPr>
                <w:rFonts w:hint="eastAsia"/>
                <w:highlight w:val="none"/>
              </w:rPr>
              <w:t xml:space="preserve">采用HDPE高密度聚乙烯全新料，一次中空吹塑成型，不能两块或者多块拼接。厚度≥18mm，尺寸与床框内部服帖，四周单侧间隙≤10mm，床板设有透气孔。</w:t>
            </w:r>
            <w:r/>
          </w:p>
          <w:p>
            <w:pPr>
              <w:pStyle w:val="727"/>
              <w:ind w:left="0"/>
              <w:rPr>
                <w:rFonts w:ascii="Times New Roman" w:hAnsi="Times New Roman" w:cs="Times New Roman"/>
                <w:sz w:val="21"/>
                <w:highlight w:val="none"/>
              </w:rPr>
            </w:pPr>
            <w:r>
              <w:rPr>
                <w:rFonts w:hint="eastAsia" w:ascii="Times New Roman" w:hAnsi="Times New Roman" w:cs="宋体"/>
                <w:b/>
                <w:bCs/>
                <w:sz w:val="21"/>
                <w:szCs w:val="22"/>
                <w:highlight w:val="none"/>
              </w:rPr>
              <w:t xml:space="preserve">10</w:t>
            </w:r>
            <w:r>
              <w:rPr>
                <w:rFonts w:hint="eastAsia" w:ascii="Times New Roman" w:hAnsi="Times New Roman" w:cs="Times New Roman"/>
                <w:b/>
                <w:bCs/>
                <w:sz w:val="21"/>
                <w:highlight w:val="none"/>
              </w:rPr>
              <w:t xml:space="preserve">、蚊帐架：</w:t>
            </w:r>
            <w:r>
              <w:rPr>
                <w:rFonts w:hint="eastAsia" w:ascii="Times New Roman" w:hAnsi="Times New Roman" w:cs="Times New Roman"/>
                <w:sz w:val="21"/>
                <w:highlight w:val="none"/>
              </w:rPr>
              <w:t xml:space="preserve">采用≥25</w:t>
            </w:r>
            <w:r>
              <w:rPr>
                <w:rFonts w:hint="eastAsia" w:ascii="Times New Roman" w:hAnsi="Times New Roman" w:cs="宋体"/>
                <w:color w:val="000000" w:themeColor="text1"/>
                <w:highlight w:val="none"/>
                <w14:textFill>
                  <w14:solidFill>
                    <w14:schemeClr w14:val="tx1"/>
                  </w14:solidFill>
                </w14:textFill>
              </w:rPr>
              <w:t xml:space="preserve">×25×</w:t>
            </w:r>
            <w:r>
              <w:rPr>
                <w:rFonts w:hint="eastAsia" w:ascii="Times New Roman" w:hAnsi="Times New Roman" w:cs="Times New Roman"/>
                <w:sz w:val="21"/>
                <w:highlight w:val="none"/>
              </w:rPr>
              <w:t xml:space="preserve">1.2mm高频焊接闭口型管材，蚊帐架下口带凹槽安装轨道滑轮，满足挂蚊帐及围帘需求，蚊帐架两侧与立柱连接。</w:t>
            </w:r>
            <w:r/>
          </w:p>
          <w:p>
            <w:pPr>
              <w:spacing w:line="360" w:lineRule="auto"/>
              <w:rPr>
                <w:b/>
                <w:bCs/>
                <w:highlight w:val="none"/>
              </w:rPr>
            </w:pPr>
            <w:r>
              <w:rPr>
                <w:b/>
                <w:bCs/>
                <w:highlight w:val="none"/>
              </w:rPr>
            </w:r>
            <w:r/>
          </w:p>
          <w:p>
            <w:pPr>
              <w:jc w:val="center"/>
              <w:spacing w:line="360" w:lineRule="auto"/>
              <w:rPr>
                <w:b/>
                <w:bCs/>
                <w:highlight w:val="none"/>
              </w:rPr>
            </w:pPr>
            <w:r>
              <w:rPr>
                <w:rFonts w:hint="eastAsia"/>
                <w:b/>
                <w:bCs/>
                <w:highlight w:val="none"/>
              </w:rPr>
              <w:t xml:space="preserve">木质部分</w:t>
            </w:r>
            <w:r/>
          </w:p>
          <w:p>
            <w:pPr>
              <w:spacing w:line="360" w:lineRule="auto"/>
              <w:rPr>
                <w:b/>
                <w:bCs w:val="0"/>
                <w:i/>
                <w:iCs/>
                <w:highlight w:val="none"/>
                <w:u w:val="single"/>
              </w:rPr>
            </w:pPr>
            <w:r>
              <w:rPr>
                <w:rFonts w:hint="eastAsia" w:ascii="微软雅黑" w:hAnsi="微软雅黑" w:cs="微软雅黑"/>
                <w:b/>
                <w:bCs w:val="0"/>
                <w:i/>
                <w:iCs/>
                <w:szCs w:val="21"/>
                <w:highlight w:val="none"/>
                <w:u w:val="single"/>
              </w:rPr>
              <w:t xml:space="preserve">★</w:t>
            </w:r>
            <w:r>
              <w:rPr>
                <w:rFonts w:hint="eastAsia"/>
                <w:b/>
                <w:bCs w:val="0"/>
                <w:i/>
                <w:iCs/>
                <w:highlight w:val="none"/>
                <w:u w:val="single"/>
              </w:rPr>
              <w:t xml:space="preserve">材质要求：本次招标范围内所有板材（包括但不限于桌面板、柜门板、侧板、层板、背板、底板、顶板），芯材为全桉木。</w:t>
            </w:r>
            <w:r/>
          </w:p>
          <w:p>
            <w:pPr>
              <w:spacing w:line="360" w:lineRule="auto"/>
              <w:rPr>
                <w:highlight w:val="none"/>
              </w:rPr>
            </w:pPr>
            <w:r>
              <w:rPr>
                <w:rFonts w:hint="eastAsia" w:cs="宋体"/>
                <w:sz w:val="22"/>
                <w:highlight w:val="none"/>
              </w:rPr>
              <w:t xml:space="preserve">▲</w:t>
            </w:r>
            <w:r>
              <w:rPr>
                <w:rFonts w:hint="eastAsia"/>
                <w:b/>
                <w:bCs/>
                <w:highlight w:val="none"/>
              </w:rPr>
              <w:t xml:space="preserve">1、侧板、层板、背板等：</w:t>
            </w:r>
            <w:r>
              <w:rPr>
                <w:rFonts w:hint="eastAsia"/>
                <w:highlight w:val="none"/>
              </w:rPr>
              <w:t xml:space="preserve">背板、侧板、层板均选用18mmENF级三聚氰胺饰面实木多层板。板材表面不得有缺角和破损，无明显的干湿花、污斑及划痕。</w:t>
            </w:r>
            <w:r/>
          </w:p>
          <w:p>
            <w:pPr>
              <w:spacing w:line="360" w:lineRule="auto"/>
              <w:rPr>
                <w:highlight w:val="none"/>
              </w:rPr>
            </w:pPr>
            <w:r>
              <w:rPr>
                <w:rFonts w:hint="eastAsia" w:cs="宋体"/>
                <w:sz w:val="22"/>
                <w:highlight w:val="none"/>
              </w:rPr>
              <w:t xml:space="preserve">▲</w:t>
            </w:r>
            <w:r>
              <w:rPr>
                <w:rFonts w:hint="eastAsia"/>
                <w:highlight w:val="none"/>
              </w:rPr>
              <w:t xml:space="preserve">2</w:t>
            </w:r>
            <w:r>
              <w:rPr>
                <w:rFonts w:hint="eastAsia"/>
                <w:b/>
                <w:bCs/>
                <w:highlight w:val="none"/>
              </w:rPr>
              <w:t xml:space="preserve">、桌面板：</w:t>
            </w:r>
            <w:r>
              <w:rPr>
                <w:rFonts w:hint="eastAsia"/>
                <w:highlight w:val="none"/>
              </w:rPr>
              <w:t xml:space="preserve">采用≥25mm厚ENF级三聚氰胺饰面实木多层板，面材采用≥0.7mm厚防火板，桌面成“L”形，桌面前口制作成圆润造型，桌面后侧加≥50mm高档条。</w:t>
            </w:r>
            <w:r/>
          </w:p>
          <w:p>
            <w:pPr>
              <w:spacing w:line="360" w:lineRule="auto"/>
              <w:rPr>
                <w:highlight w:val="none"/>
              </w:rPr>
            </w:pPr>
            <w:r>
              <w:rPr>
                <w:rFonts w:hint="eastAsia"/>
                <w:b/>
                <w:bCs/>
                <w:highlight w:val="none"/>
              </w:rPr>
              <w:t xml:space="preserve">3、抽屉面板、小柜门板、衣柜门板：</w:t>
            </w:r>
            <w:r>
              <w:rPr>
                <w:rFonts w:hint="eastAsia"/>
                <w:highlight w:val="none"/>
              </w:rPr>
              <w:t xml:space="preserve">采用18mm厚ENF级三聚氰胺饰面实木多层板。配备铝合金暗扣拉手，衣柜大门板配有内嵌式铝合金锁盒，旋钮式挂锁设计，表面喷涂处理，挂锁不外露，确保使用时的安全性。衣柜内安装壁厚≥1.0mm不锈钢或铝合金挂衣杆。</w:t>
            </w:r>
            <w:r/>
          </w:p>
          <w:p>
            <w:pPr>
              <w:spacing w:line="360" w:lineRule="auto"/>
              <w:rPr>
                <w:highlight w:val="none"/>
              </w:rPr>
            </w:pPr>
            <w:r>
              <w:rPr>
                <w:rFonts w:hint="eastAsia" w:cs="宋体"/>
                <w:b/>
                <w:bCs/>
                <w:highlight w:val="none"/>
              </w:rPr>
              <w:t xml:space="preserve">4、衣柜底座、书桌底座：</w:t>
            </w:r>
            <w:r>
              <w:rPr>
                <w:rFonts w:hint="eastAsia" w:cs="宋体"/>
                <w:highlight w:val="none"/>
              </w:rPr>
              <w:t xml:space="preserve">采用≥25</w:t>
            </w:r>
            <w:r>
              <w:rPr>
                <w:rFonts w:hint="eastAsia" w:cs="宋体"/>
                <w:color w:val="000000" w:themeColor="text1"/>
                <w:highlight w:val="none"/>
                <w14:textFill>
                  <w14:solidFill>
                    <w14:schemeClr w14:val="tx1"/>
                  </w14:solidFill>
                </w14:textFill>
              </w:rPr>
              <w:t xml:space="preserve">×</w:t>
            </w:r>
            <w:r>
              <w:rPr>
                <w:rFonts w:hint="eastAsia" w:cs="宋体"/>
                <w:highlight w:val="none"/>
              </w:rPr>
              <w:t xml:space="preserve">50</w:t>
            </w:r>
            <w:r>
              <w:rPr>
                <w:rFonts w:hint="eastAsia" w:cs="宋体"/>
                <w:color w:val="000000" w:themeColor="text1"/>
                <w:highlight w:val="none"/>
                <w14:textFill>
                  <w14:solidFill>
                    <w14:schemeClr w14:val="tx1"/>
                  </w14:solidFill>
                </w14:textFill>
              </w:rPr>
              <w:t xml:space="preserve">×</w:t>
            </w:r>
            <w:r>
              <w:rPr>
                <w:rFonts w:hint="eastAsia" w:cs="宋体"/>
                <w:highlight w:val="none"/>
              </w:rPr>
              <w:t xml:space="preserve">1.2mm高频焊管焊接成框，与柜体紧密连接，表面静电粉末喷涂工艺，配有防水、</w:t>
            </w:r>
            <w:r>
              <w:rPr>
                <w:rFonts w:hint="eastAsia" w:cs="宋体"/>
                <w:color w:val="000000" w:themeColor="text1"/>
                <w:highlight w:val="none"/>
                <w14:textFill>
                  <w14:solidFill>
                    <w14:schemeClr w14:val="tx1"/>
                  </w14:solidFill>
                </w14:textFill>
              </w:rPr>
              <w:t xml:space="preserve">防滑、防噪音的PP软塑胶脚套。</w:t>
            </w:r>
            <w:r/>
          </w:p>
          <w:p>
            <w:pPr>
              <w:spacing w:line="360" w:lineRule="auto"/>
              <w:rPr>
                <w:highlight w:val="none"/>
              </w:rPr>
            </w:pPr>
            <w:r>
              <w:rPr>
                <w:rFonts w:hint="eastAsia" w:cs="宋体"/>
                <w:sz w:val="22"/>
                <w:highlight w:val="none"/>
              </w:rPr>
              <w:t xml:space="preserve">▲</w:t>
            </w:r>
            <w:r>
              <w:rPr>
                <w:rFonts w:hint="eastAsia"/>
                <w:b/>
                <w:bCs/>
                <w:highlight w:val="none"/>
              </w:rPr>
              <w:t xml:space="preserve">5、中走梯：</w:t>
            </w:r>
            <w:r>
              <w:rPr>
                <w:rFonts w:hint="eastAsia"/>
                <w:highlight w:val="none"/>
              </w:rPr>
              <w:t xml:space="preserve">钢木结构，主体受力结构为钢制喷涂框架，钢架采用≥25×25×1.2mm方管，走梯钢架内嵌18mm厚ENF级三聚氰胺饰面实木多层板。走梯两侧</w:t>
            </w:r>
            <w:r>
              <w:rPr>
                <w:rFonts w:hint="eastAsia"/>
                <w:highlight w:val="none"/>
              </w:rPr>
              <w:t xml:space="preserve">加装床片扶手，正面为储物柜，门板选用18mm厚ENF级三聚氰胺饰面实木多层板，铝合金暗扣拉手，门板安装液压缓冲下翻门气撑杆，具有助力回弹功能，门板意外小角度打开时自动回缩，防止磕碰。起到开门缓冲慢下降并限位作用，防止门板掉落发出声响。走梯踏步板采用HDPE（高密度聚乙烯）材质中空吹塑工艺一次成型制作，每块踏板底部加钢管支撑，踏步上嵌有注塑荧光警示块，每块踏步设置注塑荧光警示，且具有防滑功能。走梯靠墙位置配有后背板，采用18mm厚ENF级三聚氰胺饰面实木多层板，背板顶部配置上床安全拉手，与床立柱做到牢固连接。</w:t>
            </w:r>
            <w:r/>
          </w:p>
          <w:p>
            <w:pPr>
              <w:spacing w:line="360" w:lineRule="auto"/>
              <w:rPr>
                <w:highlight w:val="none"/>
              </w:rPr>
            </w:pPr>
            <w:r>
              <w:rPr>
                <w:rFonts w:hint="eastAsia"/>
                <w:b/>
                <w:bCs/>
                <w:highlight w:val="none"/>
              </w:rPr>
              <w:t xml:space="preserve">6、功能要求：</w:t>
            </w:r>
            <w:r>
              <w:rPr>
                <w:rFonts w:hint="eastAsia"/>
                <w:highlight w:val="none"/>
              </w:rPr>
              <w:t xml:space="preserve">配备衣柜、书桌（书桌抽屉具有锁具功能）、开放式书架。衣柜内分上下两层，配置层板；衣柜旁设有同等高度储物格（鞋架）。桌面尺寸、书架布局等需由校方确认。桌面下方配抽屉及落地柜，桌面下部（落地柜里侧）设计≥26寸行李箱存放处。包含五金配件：阻尼铰链、阻尼导轨等，导轨宽度≥45mm，壁厚≥1mm，三节静音导轨。</w:t>
            </w:r>
            <w:r/>
          </w:p>
          <w:p>
            <w:pPr>
              <w:spacing w:line="360" w:lineRule="auto"/>
              <w:rPr>
                <w:rFonts w:hint="eastAsia" w:cs="仿宋"/>
                <w:color w:val="000000" w:themeColor="text1"/>
                <w:sz w:val="24"/>
                <w:highlight w:val="none"/>
                <w:vertAlign w:val="baseline"/>
                <w14:textFill>
                  <w14:solidFill>
                    <w14:schemeClr w14:val="tx1"/>
                  </w14:solidFill>
                </w14:textFill>
              </w:rPr>
            </w:pPr>
            <w:r>
              <w:rPr>
                <w:rFonts w:hint="eastAsia"/>
                <w:b/>
                <w:bCs/>
                <w:highlight w:val="none"/>
              </w:rPr>
              <w:t xml:space="preserve">7、封边</w:t>
            </w:r>
            <w:r>
              <w:rPr>
                <w:rFonts w:hint="eastAsia"/>
                <w:highlight w:val="none"/>
              </w:rPr>
              <w:t xml:space="preserve">：所有板材均需四面封边，采用≥1.0mm厚封边条，均采用PUR同色或激光封边。选用无醛封边胶，封边严密、平整、无脱胶、表面无胶渍，封边胶与封边条内胶为统一品牌。</w:t>
            </w:r>
            <w:r/>
          </w:p>
        </w:tc>
        <w:tc>
          <w:tcPr>
            <w:tcW w:w="0" w:type="auto"/>
            <w:vAlign w:val="center"/>
            <w:textDirection w:val="lrTb"/>
            <w:noWrap w:val="false"/>
          </w:tcPr>
          <w:p>
            <w:pPr>
              <w:pStyle w:val="748"/>
              <w:jc w:val="center"/>
              <w:spacing w:line="276" w:lineRule="auto"/>
              <w:rPr>
                <w:rFonts w:hint="default" w:eastAsia="宋体" w:cs="仿宋"/>
                <w:color w:val="000000" w:themeColor="text1"/>
                <w:sz w:val="24"/>
                <w:highlight w:val="none"/>
                <w:vertAlign w:val="baseline"/>
                <w:lang w:val="en-US" w:eastAsia="zh-CN"/>
                <w14:textFill>
                  <w14:solidFill>
                    <w14:schemeClr w14:val="tx1"/>
                  </w14:solidFill>
                </w14:textFill>
              </w:rPr>
            </w:pPr>
            <w:r>
              <w:rPr>
                <w:rFonts w:hint="eastAsia" w:ascii="Times New Roman" w:hAnsi="Times New Roman"/>
                <w:color w:val="000000" w:themeColor="text1"/>
                <w:sz w:val="21"/>
                <w:szCs w:val="21"/>
                <w:highlight w:val="none"/>
                <w:lang w:val="en-US" w:eastAsia="zh-CN"/>
                <w14:textFill>
                  <w14:solidFill>
                    <w14:schemeClr w14:val="tx1"/>
                  </w14:solidFill>
                </w14:textFill>
              </w:rPr>
              <w:t xml:space="preserve">核心产品</w:t>
            </w:r>
            <w:r/>
          </w:p>
        </w:tc>
      </w:tr>
      <w:tr>
        <w:trPr/>
        <w:tc>
          <w:tcPr>
            <w:tcW w:w="493" w:type="dxa"/>
            <w:vAlign w:val="center"/>
            <w:textDirection w:val="lrTb"/>
            <w:noWrap w:val="false"/>
          </w:tcPr>
          <w:p>
            <w:pPr>
              <w:jc w:val="cente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color w:val="000000" w:themeColor="text1"/>
                <w:szCs w:val="22"/>
                <w:highlight w:val="none"/>
                <w:lang w:val="en-US" w:eastAsia="zh-CN"/>
                <w14:textFill>
                  <w14:solidFill>
                    <w14:schemeClr w14:val="tx1"/>
                  </w14:solidFill>
                </w14:textFill>
              </w:rPr>
              <w:t xml:space="preserve">2</w:t>
            </w:r>
            <w:r/>
          </w:p>
        </w:tc>
        <w:tc>
          <w:tcPr>
            <w:tcW w:w="901" w:type="dxa"/>
            <w:vAlign w:val="center"/>
            <w:textDirection w:val="lrTb"/>
            <w:noWrap w:val="false"/>
          </w:tcPr>
          <w:p>
            <w:pPr>
              <w:jc w:val="cente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公寓椅</w:t>
            </w:r>
            <w:r/>
          </w:p>
        </w:tc>
        <w:tc>
          <w:tcPr>
            <w:tcW w:w="1598" w:type="dxa"/>
            <w:vAlign w:val="center"/>
            <w:textDirection w:val="lrTb"/>
            <w:noWrap w:val="false"/>
          </w:tcPr>
          <w:p>
            <w:pPr>
              <w:jc w:val="cente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color w:val="000000" w:themeColor="text1"/>
                <w:highlight w:val="none"/>
                <w14:textFill>
                  <w14:solidFill>
                    <w14:schemeClr w14:val="tx1"/>
                  </w14:solidFill>
                </w14:textFill>
              </w:rPr>
              <w:t xml:space="preserve">≥520*530*840</w:t>
            </w:r>
            <w:r/>
          </w:p>
        </w:tc>
        <w:tc>
          <w:tcPr>
            <w:tcW w:w="6934" w:type="dxa"/>
            <w:vAlign w:val="center"/>
            <w:textDirection w:val="lrTb"/>
            <w:noWrap w:val="false"/>
          </w:tcPr>
          <w:p>
            <w:pPr>
              <w:spacing w:line="360" w:lineRule="auto"/>
              <w:rPr>
                <w:rFonts w:cs="宋体"/>
                <w:color w:val="000000" w:themeColor="text1"/>
                <w:highlight w:val="none"/>
                <w14:textFill>
                  <w14:solidFill>
                    <w14:schemeClr w14:val="tx1"/>
                  </w14:solidFill>
                </w14:textFill>
              </w:rPr>
            </w:pPr>
            <w:r>
              <w:rPr>
                <w:rFonts w:hint="eastAsia" w:cs="宋体"/>
                <w:b/>
                <w:bCs/>
                <w:highlight w:val="none"/>
              </w:rPr>
              <w:t xml:space="preserve">1、椅身：</w:t>
            </w:r>
            <w:r>
              <w:rPr>
                <w:rFonts w:cs="宋体"/>
                <w:color w:val="000000" w:themeColor="text1"/>
                <w:highlight w:val="none"/>
                <w14:textFill>
                  <w14:solidFill>
                    <w14:schemeClr w14:val="tx1"/>
                  </w14:solidFill>
                </w14:textFill>
              </w:rPr>
              <w:t xml:space="preserve">采用全新聚丙烯加玻璃纤维，由椅座、</w:t>
            </w:r>
            <w:r>
              <w:rPr>
                <w:rFonts w:hint="eastAsia" w:cs="宋体"/>
                <w:color w:val="000000" w:themeColor="text1"/>
                <w:highlight w:val="none"/>
                <w14:textFill>
                  <w14:solidFill>
                    <w14:schemeClr w14:val="tx1"/>
                  </w14:solidFill>
                </w14:textFill>
              </w:rPr>
              <w:t xml:space="preserve">椅</w:t>
            </w:r>
            <w:r>
              <w:rPr>
                <w:rFonts w:cs="宋体"/>
                <w:color w:val="000000" w:themeColor="text1"/>
                <w:highlight w:val="none"/>
                <w14:textFill>
                  <w14:solidFill>
                    <w14:schemeClr w14:val="tx1"/>
                  </w14:solidFill>
                </w14:textFill>
              </w:rPr>
              <w:t xml:space="preserve">背、装饰壳</w:t>
            </w:r>
            <w:r>
              <w:rPr>
                <w:rFonts w:hint="eastAsia" w:cs="宋体"/>
                <w:color w:val="000000" w:themeColor="text1"/>
                <w:highlight w:val="none"/>
                <w14:textFill>
                  <w14:solidFill>
                    <w14:schemeClr w14:val="tx1"/>
                  </w14:solidFill>
                </w14:textFill>
              </w:rPr>
              <w:t xml:space="preserve">三部分组成</w:t>
            </w:r>
            <w:r>
              <w:rPr>
                <w:rFonts w:cs="宋体"/>
                <w:color w:val="000000" w:themeColor="text1"/>
                <w:highlight w:val="none"/>
                <w14:textFill>
                  <w14:solidFill>
                    <w14:schemeClr w14:val="tx1"/>
                  </w14:solidFill>
                </w14:textFill>
              </w:rPr>
              <w:t xml:space="preserve">。</w:t>
            </w:r>
            <w:r/>
          </w:p>
          <w:p>
            <w:pPr>
              <w:spacing w:line="360" w:lineRule="auto"/>
              <w:rPr>
                <w:rFonts w:cs="宋体"/>
                <w:color w:val="000000" w:themeColor="text1"/>
                <w:highlight w:val="none"/>
                <w14:textFill>
                  <w14:solidFill>
                    <w14:schemeClr w14:val="tx1"/>
                  </w14:solidFill>
                </w14:textFill>
              </w:rPr>
            </w:pPr>
            <w:r>
              <w:rPr>
                <w:rFonts w:hint="eastAsia" w:cs="宋体"/>
                <w:b/>
                <w:bCs/>
                <w:highlight w:val="none"/>
              </w:rPr>
              <w:t xml:space="preserve">2、</w:t>
            </w:r>
            <w:r>
              <w:rPr>
                <w:rFonts w:cs="宋体"/>
                <w:b/>
                <w:bCs/>
                <w:highlight w:val="none"/>
              </w:rPr>
              <w:t xml:space="preserve">椅座</w:t>
            </w:r>
            <w:r>
              <w:rPr>
                <w:rFonts w:cs="宋体"/>
                <w:color w:val="000000" w:themeColor="text1"/>
                <w:highlight w:val="none"/>
                <w14:textFill>
                  <w14:solidFill>
                    <w14:schemeClr w14:val="tx1"/>
                  </w14:solidFill>
                </w14:textFill>
              </w:rPr>
              <w:t xml:space="preserve">：采用全新聚丙烯加玻璃纤维，后背几何镂空手提式设计，方便使用者单手手提和搬运功能。                                  </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3、脚架</w:t>
            </w:r>
            <w:r>
              <w:rPr>
                <w:rFonts w:cs="宋体"/>
                <w:b/>
                <w:bCs/>
                <w:color w:val="000000" w:themeColor="text1"/>
                <w:highlight w:val="none"/>
                <w14:textFill>
                  <w14:solidFill>
                    <w14:schemeClr w14:val="tx1"/>
                  </w14:solidFill>
                </w14:textFill>
              </w:rPr>
              <w:t xml:space="preserve">：</w:t>
            </w:r>
            <w:r>
              <w:rPr>
                <w:rFonts w:hint="eastAsia" w:cs="宋体"/>
                <w:color w:val="000000" w:themeColor="text1"/>
                <w:highlight w:val="none"/>
                <w14:textFill>
                  <w14:solidFill>
                    <w14:schemeClr w14:val="tx1"/>
                  </w14:solidFill>
                </w14:textFill>
              </w:rPr>
              <w:t xml:space="preserve">采用直径≥16mm，壁厚≥1.5mm的圆钢管，表面静电粉末喷涂处理，具有耐磨、防腐、抗老化性能</w:t>
            </w:r>
            <w:r>
              <w:rPr>
                <w:rFonts w:cs="宋体"/>
                <w:color w:val="000000" w:themeColor="text1"/>
                <w:highlight w:val="none"/>
                <w14:textFill>
                  <w14:solidFill>
                    <w14:schemeClr w14:val="tx1"/>
                  </w14:solidFill>
                </w14:textFill>
              </w:rPr>
              <w:t xml:space="preserve">。</w:t>
            </w:r>
            <w:r/>
          </w:p>
          <w:p>
            <w:pPr>
              <w:spacing w:line="360" w:lineRule="auto"/>
              <w:rPr>
                <w:rFonts w:hint="eastAsia" w:cs="仿宋"/>
                <w:color w:val="000000" w:themeColor="text1"/>
                <w:sz w:val="24"/>
                <w:highlight w:val="none"/>
                <w:vertAlign w:val="baseline"/>
                <w14:textFill>
                  <w14:solidFill>
                    <w14:schemeClr w14:val="tx1"/>
                  </w14:solidFill>
                </w14:textFill>
              </w:rPr>
            </w:pPr>
            <w:r>
              <w:rPr>
                <w:rFonts w:hint="eastAsia" w:cs="宋体"/>
                <w:sz w:val="22"/>
                <w:highlight w:val="none"/>
              </w:rPr>
              <w:t xml:space="preserve">▲</w:t>
            </w:r>
            <w:r>
              <w:rPr>
                <w:rFonts w:hint="eastAsia" w:cs="宋体"/>
                <w:b/>
                <w:bCs/>
                <w:highlight w:val="none"/>
              </w:rPr>
              <w:t xml:space="preserve">4、</w:t>
            </w:r>
            <w:r>
              <w:rPr>
                <w:rFonts w:cs="宋体"/>
                <w:b/>
                <w:bCs/>
                <w:highlight w:val="none"/>
              </w:rPr>
              <w:t xml:space="preserve">脚垫：</w:t>
            </w:r>
            <w:r>
              <w:rPr>
                <w:rFonts w:hint="eastAsia" w:cs="宋体"/>
                <w:color w:val="000000" w:themeColor="text1"/>
                <w:highlight w:val="none"/>
                <w14:textFill>
                  <w14:solidFill>
                    <w14:schemeClr w14:val="tx1"/>
                  </w14:solidFill>
                </w14:textFill>
              </w:rPr>
              <w:t xml:space="preserve">脚垫采用全新聚丙烯加玻璃纤维，具有较好的抗磨损性、防滑性、整体稳定性，使用时具有防倾翻功能。</w:t>
            </w:r>
            <w:r/>
          </w:p>
        </w:tc>
        <w:tc>
          <w:tcPr>
            <w:tcW w:w="0" w:type="auto"/>
            <w:textDirection w:val="lrTb"/>
            <w:noWrap w:val="false"/>
          </w:tcPr>
          <w:p>
            <w:pPr>
              <w:pStyle w:val="1196"/>
              <w:jc w:val="left"/>
              <w:spacing w:line="360" w:lineRule="auto"/>
              <w:rPr>
                <w:rFonts w:hint="eastAsia" w:cs="仿宋"/>
                <w:color w:val="000000" w:themeColor="text1"/>
                <w:sz w:val="24"/>
                <w:highlight w:val="none"/>
                <w:vertAlign w:val="baseline"/>
                <w14:textFill>
                  <w14:solidFill>
                    <w14:schemeClr w14:val="tx1"/>
                  </w14:solidFill>
                </w14:textFill>
              </w:rPr>
            </w:pPr>
            <w:r>
              <w:rPr>
                <w:rFonts w:hint="eastAsia" w:cs="仿宋"/>
                <w:color w:val="000000" w:themeColor="text1"/>
                <w:sz w:val="24"/>
                <w:highlight w:val="none"/>
                <w:vertAlign w:val="baseline"/>
                <w14:textFill>
                  <w14:solidFill>
                    <w14:schemeClr w14:val="tx1"/>
                  </w14:solidFill>
                </w14:textFill>
              </w:rPr>
            </w:r>
            <w:r/>
          </w:p>
        </w:tc>
      </w:tr>
      <w:tr>
        <w:trPr/>
        <w:tc>
          <w:tcPr>
            <w:tcW w:w="493" w:type="dxa"/>
            <w:vAlign w:val="center"/>
            <w:vMerge w:val="restart"/>
            <w:textDirection w:val="lrTb"/>
            <w:noWrap w:val="false"/>
          </w:tcPr>
          <w:p>
            <w:pPr>
              <w:jc w:val="center"/>
              <w:spacing w:line="360" w:lineRule="auto"/>
              <w:rPr>
                <w:rFonts w:hint="eastAsia" w:cs="宋体"/>
                <w:color w:val="000000" w:themeColor="text1"/>
                <w:szCs w:val="22"/>
                <w:highlight w:val="none"/>
                <w:lang w:val="en-US" w:eastAsia="zh-CN"/>
                <w14:textFill>
                  <w14:solidFill>
                    <w14:schemeClr w14:val="tx1"/>
                  </w14:solidFill>
                </w14:textFill>
              </w:rPr>
            </w:pPr>
            <w:r>
              <w:rPr>
                <w:rFonts w:hint="eastAsia" w:cs="宋体"/>
                <w:color w:val="000000" w:themeColor="text1"/>
                <w:szCs w:val="22"/>
                <w:highlight w:val="none"/>
                <w:lang w:val="en-US" w:eastAsia="zh-CN"/>
                <w14:textFill>
                  <w14:solidFill>
                    <w14:schemeClr w14:val="tx1"/>
                  </w14:solidFill>
                </w14:textFill>
              </w:rPr>
              <w:t xml:space="preserve">3</w:t>
            </w:r>
            <w:r/>
          </w:p>
        </w:tc>
        <w:tc>
          <w:tcPr>
            <w:tcW w:w="901" w:type="dxa"/>
            <w:vAlign w:val="center"/>
            <w:vMerge w:val="restart"/>
            <w:textDirection w:val="lrTb"/>
            <w:noWrap w:val="false"/>
          </w:tcPr>
          <w:p>
            <w:pPr>
              <w:jc w:val="cente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单人床组合家具</w:t>
            </w:r>
            <w:r/>
          </w:p>
        </w:tc>
        <w:tc>
          <w:tcPr>
            <w:tcW w:w="1598"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床</w:t>
            </w:r>
            <w:r/>
          </w:p>
          <w:p>
            <w:pPr>
              <w:jc w:val="cente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2000*1200</w:t>
            </w:r>
            <w:r/>
          </w:p>
        </w:tc>
        <w:tc>
          <w:tcPr>
            <w:tcW w:w="6934" w:type="dxa"/>
            <w:vAlign w:val="center"/>
            <w:textDirection w:val="lrTb"/>
            <w:noWrap w:val="false"/>
          </w:tcPr>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1、立柱</w:t>
            </w:r>
            <w:r>
              <w:rPr>
                <w:rFonts w:hint="eastAsia" w:cs="宋体"/>
                <w:color w:val="000000" w:themeColor="text1"/>
                <w:highlight w:val="none"/>
                <w14:textFill>
                  <w14:solidFill>
                    <w14:schemeClr w14:val="tx1"/>
                  </w14:solidFill>
                </w14:textFill>
              </w:rPr>
              <w:t xml:space="preserve">：采用≥50×50×1.3mm高频焊接闭口型材管，须带加强筋；立柱外立面带圆弧，安全美观。</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2、前横梁、后横梁：</w:t>
            </w:r>
            <w:r>
              <w:rPr>
                <w:rFonts w:hint="eastAsia" w:cs="宋体"/>
                <w:color w:val="000000" w:themeColor="text1"/>
                <w:highlight w:val="none"/>
                <w14:textFill>
                  <w14:solidFill>
                    <w14:schemeClr w14:val="tx1"/>
                  </w14:solidFill>
                </w14:textFill>
              </w:rPr>
              <w:t xml:space="preserve">采用≥40×60×1.3mm高频焊接闭口型材管，须带加强筋，与立柱采用卡式连接件进行固定，床沿正面与立柱平齐。</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3、卡式连接件：</w:t>
            </w:r>
            <w:r>
              <w:rPr>
                <w:rFonts w:hint="eastAsia"/>
                <w:highlight w:val="none"/>
              </w:rPr>
              <w:t xml:space="preserve">床横梁与床立柱采取卡件连接，卡件采用隐藏式，正面连接处无焊接痕迹及工艺孔。</w:t>
            </w:r>
            <w:r/>
          </w:p>
          <w:p>
            <w:pPr>
              <w:spacing w:line="360" w:lineRule="auto"/>
              <w:rPr>
                <w:rFonts w:cs="宋体"/>
                <w:highlight w:val="none"/>
              </w:rPr>
            </w:pPr>
            <w:r>
              <w:rPr>
                <w:rFonts w:hint="eastAsia" w:cs="宋体"/>
                <w:b/>
                <w:bCs/>
                <w:color w:val="000000" w:themeColor="text1"/>
                <w:highlight w:val="none"/>
                <w14:textFill>
                  <w14:solidFill>
                    <w14:schemeClr w14:val="tx1"/>
                  </w14:solidFill>
                </w14:textFill>
              </w:rPr>
              <w:t xml:space="preserve">4、床</w:t>
            </w:r>
            <w:r>
              <w:rPr>
                <w:rFonts w:hint="eastAsia" w:cs="宋体"/>
                <w:b/>
                <w:bCs/>
                <w:highlight w:val="none"/>
              </w:rPr>
              <w:t xml:space="preserve">板支撑：</w:t>
            </w:r>
            <w:r>
              <w:rPr>
                <w:rFonts w:hint="eastAsia" w:cs="宋体"/>
                <w:highlight w:val="none"/>
              </w:rPr>
              <w:t xml:space="preserve">采用数量≥6根，尺寸≥25×25×1.0mm</w:t>
            </w:r>
            <w:r>
              <w:rPr>
                <w:rFonts w:hint="eastAsia"/>
                <w:highlight w:val="none"/>
              </w:rPr>
              <w:t xml:space="preserve">高频焊管制作，床撑卡槽采用一次冲压成型U型卡槽。</w:t>
            </w:r>
            <w:r>
              <w:rPr>
                <w:rFonts w:hint="eastAsia" w:cs="宋体"/>
                <w:highlight w:val="none"/>
              </w:rPr>
              <w:t xml:space="preserve">。</w:t>
            </w:r>
            <w:r/>
          </w:p>
          <w:p>
            <w:pPr>
              <w:spacing w:line="360" w:lineRule="auto"/>
              <w:rPr>
                <w:rFonts w:cs="宋体"/>
                <w:highlight w:val="none"/>
              </w:rPr>
            </w:pPr>
            <w:r>
              <w:rPr>
                <w:rFonts w:hint="eastAsia" w:cs="宋体"/>
                <w:b/>
                <w:bCs/>
                <w:highlight w:val="none"/>
              </w:rPr>
              <w:t xml:space="preserve">5、后护栏：</w:t>
            </w:r>
            <w:r>
              <w:rPr>
                <w:rFonts w:hint="eastAsia" w:cs="宋体"/>
                <w:highlight w:val="none"/>
              </w:rPr>
              <w:t xml:space="preserve">采用≥25×25×1.2mm方管，高度≥150mm，内嵌18mm厚ENF级</w:t>
            </w:r>
            <w:r>
              <w:rPr>
                <w:rFonts w:hint="eastAsia"/>
                <w:highlight w:val="none"/>
              </w:rPr>
              <w:t xml:space="preserve">三聚氰胺饰面</w:t>
            </w:r>
            <w:r>
              <w:rPr>
                <w:rFonts w:hint="eastAsia" w:cs="宋体"/>
                <w:highlight w:val="none"/>
              </w:rPr>
              <w:t xml:space="preserve">实木多层板。</w:t>
            </w:r>
            <w:r/>
          </w:p>
          <w:p>
            <w:pPr>
              <w:spacing w:line="360" w:lineRule="auto"/>
              <w:rPr>
                <w:highlight w:val="none"/>
              </w:rPr>
            </w:pPr>
            <w:r>
              <w:rPr>
                <w:rFonts w:hint="eastAsia" w:cs="宋体"/>
                <w:b/>
                <w:bCs/>
                <w:highlight w:val="none"/>
              </w:rPr>
              <w:t xml:space="preserve">6、床下储物抽屉：</w:t>
            </w:r>
            <w:r>
              <w:rPr>
                <w:rFonts w:hint="eastAsia" w:ascii="宋体" w:hAnsi="宋体" w:cs="宋体"/>
                <w:szCs w:val="21"/>
                <w:highlight w:val="none"/>
              </w:rPr>
              <w:t xml:space="preserve">所有板材（包括背板）均采用</w:t>
            </w:r>
            <w:r>
              <w:rPr>
                <w:rFonts w:hint="eastAsia" w:cs="宋体"/>
                <w:highlight w:val="none"/>
              </w:rPr>
              <w:t xml:space="preserve">18mm厚ENF级</w:t>
            </w:r>
            <w:r>
              <w:rPr>
                <w:rFonts w:hint="eastAsia"/>
                <w:highlight w:val="none"/>
              </w:rPr>
              <w:t xml:space="preserve">三聚氰胺饰面</w:t>
            </w:r>
            <w:r>
              <w:rPr>
                <w:rFonts w:hint="eastAsia" w:cs="宋体"/>
                <w:highlight w:val="none"/>
              </w:rPr>
              <w:t xml:space="preserve">实木多层板</w:t>
            </w:r>
            <w:r>
              <w:rPr>
                <w:rFonts w:hint="eastAsia" w:ascii="宋体" w:hAnsi="宋体" w:cs="宋体"/>
                <w:szCs w:val="21"/>
                <w:highlight w:val="none"/>
              </w:rPr>
              <w:t xml:space="preserve">。柜体深度≥600mm。</w:t>
            </w:r>
            <w:r>
              <w:rPr>
                <w:rFonts w:hint="eastAsia"/>
                <w:szCs w:val="22"/>
                <w:highlight w:val="none"/>
              </w:rPr>
              <w:t xml:space="preserve">五金配件：</w:t>
            </w:r>
            <w:r>
              <w:rPr>
                <w:rFonts w:hint="eastAsia" w:ascii="宋体" w:hAnsi="宋体" w:cs="宋体"/>
                <w:szCs w:val="21"/>
                <w:highlight w:val="none"/>
              </w:rPr>
              <w:t xml:space="preserve">导轨宽度</w:t>
            </w:r>
            <w:r>
              <w:rPr>
                <w:rFonts w:hint="eastAsia"/>
                <w:highlight w:val="none"/>
              </w:rPr>
              <w:t xml:space="preserve">≥</w:t>
            </w:r>
            <w:r>
              <w:rPr>
                <w:rFonts w:hint="eastAsia" w:ascii="宋体" w:hAnsi="宋体" w:cs="宋体"/>
                <w:szCs w:val="21"/>
                <w:highlight w:val="none"/>
              </w:rPr>
              <w:t xml:space="preserve">45mm，壁厚</w:t>
            </w:r>
            <w:r>
              <w:rPr>
                <w:rFonts w:hint="eastAsia"/>
                <w:highlight w:val="none"/>
              </w:rPr>
              <w:t xml:space="preserve">≥</w:t>
            </w:r>
            <w:r>
              <w:rPr>
                <w:rFonts w:hint="eastAsia" w:ascii="宋体" w:hAnsi="宋体" w:cs="宋体"/>
                <w:szCs w:val="21"/>
                <w:highlight w:val="none"/>
              </w:rPr>
              <w:t xml:space="preserve">1mm，三节静音导轨</w:t>
            </w:r>
            <w:r>
              <w:rPr>
                <w:rFonts w:hint="eastAsia"/>
                <w:highlight w:val="none"/>
              </w:rPr>
              <w:t xml:space="preserve">。</w:t>
            </w:r>
            <w:r/>
          </w:p>
          <w:p>
            <w:pPr>
              <w:spacing w:line="360" w:lineRule="auto"/>
              <w:rPr>
                <w:rFonts w:cs="宋体"/>
                <w:highlight w:val="none"/>
              </w:rPr>
            </w:pPr>
            <w:r>
              <w:rPr>
                <w:rFonts w:hint="eastAsia"/>
                <w:b/>
                <w:bCs/>
                <w:highlight w:val="none"/>
              </w:rPr>
              <w:t xml:space="preserve">7、推拉盒钢架：</w:t>
            </w:r>
            <w:r>
              <w:rPr>
                <w:rFonts w:hint="eastAsia"/>
                <w:highlight w:val="none"/>
              </w:rPr>
              <w:t xml:space="preserve">床下存储行李箱的推拉盒钢架采用≥20×20×1.2mm方管制作，推拉盒尾部设挡板；限位钢架采用≥15×30×1.2mm矩形管，底部配置静音定向轮，推拉盒深度≥800mm，单侧具有引导限位功能，确保推拉行李架在使用过程中不会摇晃或倾斜。</w:t>
            </w:r>
            <w:r/>
          </w:p>
          <w:p>
            <w:pPr>
              <w:spacing w:line="360" w:lineRule="auto"/>
              <w:rPr>
                <w:rFonts w:hint="eastAsia" w:cs="宋体"/>
                <w:b/>
                <w:bCs/>
                <w:highlight w:val="none"/>
              </w:rPr>
            </w:pPr>
            <w:r>
              <w:rPr>
                <w:rFonts w:hint="eastAsia" w:cs="宋体"/>
                <w:b/>
                <w:bCs/>
                <w:highlight w:val="none"/>
              </w:rPr>
              <w:t xml:space="preserve">8、床板：</w:t>
            </w:r>
            <w:r>
              <w:rPr>
                <w:rFonts w:hint="eastAsia"/>
                <w:highlight w:val="none"/>
              </w:rPr>
              <w:t xml:space="preserve">采用HDPE高密度聚乙烯全新料，一次中空吹塑成型，厚度≥18mm。尺寸与床框内部服帖，四周单侧间隙应不大于10mm，保证不移动。</w:t>
            </w:r>
            <w:r/>
          </w:p>
        </w:tc>
        <w:tc>
          <w:tcPr>
            <w:tcW w:w="0" w:type="auto"/>
            <w:textDirection w:val="lrTb"/>
            <w:noWrap w:val="false"/>
          </w:tcPr>
          <w:p>
            <w:pPr>
              <w:pStyle w:val="1196"/>
              <w:jc w:val="left"/>
              <w:spacing w:line="360" w:lineRule="auto"/>
              <w:rPr>
                <w:rFonts w:hint="eastAsia" w:cs="仿宋"/>
                <w:color w:val="000000" w:themeColor="text1"/>
                <w:sz w:val="24"/>
                <w:highlight w:val="none"/>
                <w:vertAlign w:val="baseline"/>
                <w14:textFill>
                  <w14:solidFill>
                    <w14:schemeClr w14:val="tx1"/>
                  </w14:solidFill>
                </w14:textFill>
              </w:rPr>
            </w:pPr>
            <w:r>
              <w:rPr>
                <w:rFonts w:hint="eastAsia" w:cs="仿宋"/>
                <w:color w:val="000000" w:themeColor="text1"/>
                <w:sz w:val="24"/>
                <w:highlight w:val="none"/>
                <w:vertAlign w:val="baseline"/>
                <w14:textFill>
                  <w14:solidFill>
                    <w14:schemeClr w14:val="tx1"/>
                  </w14:solidFill>
                </w14:textFill>
              </w:rPr>
            </w:r>
            <w:r/>
          </w:p>
        </w:tc>
      </w:tr>
      <w:tr>
        <w:trPr/>
        <w:tc>
          <w:tcPr>
            <w:tcW w:w="493" w:type="dxa"/>
            <w:vAlign w:val="center"/>
            <w:vMerge w:val="continue"/>
            <w:textDirection w:val="lrTb"/>
            <w:noWrap w:val="false"/>
          </w:tcPr>
          <w:p>
            <w:pPr>
              <w:jc w:val="center"/>
              <w:spacing w:line="360" w:lineRule="auto"/>
              <w:rPr>
                <w:rFonts w:hint="eastAsia" w:cs="宋体"/>
                <w:color w:val="000000" w:themeColor="text1"/>
                <w:szCs w:val="22"/>
                <w:highlight w:val="none"/>
                <w:lang w:val="en-US" w:eastAsia="zh-CN"/>
                <w14:textFill>
                  <w14:solidFill>
                    <w14:schemeClr w14:val="tx1"/>
                  </w14:solidFill>
                </w14:textFill>
              </w:rPr>
            </w:pPr>
            <w:r>
              <w:rPr>
                <w:rFonts w:hint="eastAsia" w:cs="宋体"/>
                <w:color w:val="000000" w:themeColor="text1"/>
                <w:szCs w:val="22"/>
                <w:highlight w:val="none"/>
                <w:lang w:val="en-US" w:eastAsia="zh-CN"/>
                <w14:textFill>
                  <w14:solidFill>
                    <w14:schemeClr w14:val="tx1"/>
                  </w14:solidFill>
                </w14:textFill>
              </w:rPr>
            </w:r>
            <w:r/>
          </w:p>
        </w:tc>
        <w:tc>
          <w:tcPr>
            <w:tcW w:w="901" w:type="dxa"/>
            <w:vAlign w:val="center"/>
            <w:vMerge w:val="continue"/>
            <w:textDirection w:val="lrTb"/>
            <w:noWrap w:val="false"/>
          </w:tcPr>
          <w:p>
            <w:pPr>
              <w:jc w:val="cente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tc>
        <w:tc>
          <w:tcPr>
            <w:tcW w:w="1598"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书桌</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1200*600*2050</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衣柜</w:t>
            </w:r>
            <w:r/>
          </w:p>
          <w:p>
            <w:pPr>
              <w:jc w:val="cente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800*600*2050</w:t>
            </w:r>
            <w:r/>
          </w:p>
        </w:tc>
        <w:tc>
          <w:tcPr>
            <w:tcW w:w="6934" w:type="dxa"/>
            <w:vAlign w:val="center"/>
            <w:textDirection w:val="lrTb"/>
            <w:noWrap w:val="false"/>
          </w:tcPr>
          <w:p>
            <w:pPr>
              <w:spacing w:line="360" w:lineRule="auto"/>
              <w:rPr>
                <w:b/>
                <w:bCs w:val="0"/>
                <w:i/>
                <w:iCs/>
                <w:highlight w:val="none"/>
                <w:u w:val="single"/>
              </w:rPr>
            </w:pPr>
            <w:r>
              <w:rPr>
                <w:rFonts w:hint="eastAsia" w:ascii="微软雅黑" w:hAnsi="微软雅黑" w:cs="微软雅黑"/>
                <w:b/>
                <w:bCs w:val="0"/>
                <w:i/>
                <w:iCs/>
                <w:szCs w:val="21"/>
                <w:highlight w:val="none"/>
                <w:u w:val="single"/>
              </w:rPr>
              <w:t xml:space="preserve">★</w:t>
            </w:r>
            <w:r>
              <w:rPr>
                <w:rFonts w:hint="eastAsia"/>
                <w:b/>
                <w:bCs w:val="0"/>
                <w:i/>
                <w:iCs/>
                <w:highlight w:val="none"/>
                <w:u w:val="single"/>
              </w:rPr>
              <w:t xml:space="preserve">材质要求：本次招标范围内所有板材（包括但不限于桌面板、柜门板、侧板、层板、背板、底板、顶板），芯材为全桉木。</w:t>
            </w:r>
            <w:r/>
          </w:p>
          <w:p>
            <w:pPr>
              <w:spacing w:line="360" w:lineRule="auto"/>
              <w:rPr>
                <w:highlight w:val="none"/>
              </w:rPr>
            </w:pPr>
            <w:r>
              <w:rPr>
                <w:rFonts w:hint="eastAsia"/>
                <w:b/>
                <w:bCs/>
                <w:highlight w:val="none"/>
              </w:rPr>
              <w:t xml:space="preserve">1、侧板、层板、背板等：</w:t>
            </w:r>
            <w:r>
              <w:rPr>
                <w:rFonts w:hint="eastAsia"/>
                <w:highlight w:val="none"/>
              </w:rPr>
              <w:t xml:space="preserve">背板、侧板、层板均选用18mmENF级三聚氰胺饰面实木多层板。板材表面不得有缺角和破损，无明显的干湿花、污斑及划痕。</w:t>
            </w:r>
            <w:r/>
          </w:p>
          <w:p>
            <w:pPr>
              <w:spacing w:line="360" w:lineRule="auto"/>
              <w:rPr>
                <w:highlight w:val="none"/>
              </w:rPr>
            </w:pPr>
            <w:r>
              <w:rPr>
                <w:rFonts w:hint="eastAsia"/>
                <w:b/>
                <w:bCs/>
                <w:highlight w:val="none"/>
              </w:rPr>
              <w:t xml:space="preserve">2、桌面板：</w:t>
            </w:r>
            <w:r>
              <w:rPr>
                <w:rFonts w:hint="eastAsia"/>
                <w:highlight w:val="none"/>
              </w:rPr>
              <w:t xml:space="preserve">采用≥25mm厚ENF级三聚氰胺饰面实木多层板，面材采用≥0.7mm厚防火板，桌面成“L”形，桌面前口制作成圆润造型，桌面后侧加≥50mm高档条。</w:t>
            </w:r>
            <w:r/>
          </w:p>
          <w:p>
            <w:pPr>
              <w:spacing w:line="360" w:lineRule="auto"/>
              <w:rPr>
                <w:highlight w:val="none"/>
              </w:rPr>
            </w:pPr>
            <w:r>
              <w:rPr>
                <w:rFonts w:hint="eastAsia"/>
                <w:b/>
                <w:bCs/>
                <w:highlight w:val="none"/>
              </w:rPr>
              <w:t xml:space="preserve">3、抽屉面板、小柜门板、衣柜门板：</w:t>
            </w:r>
            <w:r>
              <w:rPr>
                <w:rFonts w:hint="eastAsia"/>
                <w:highlight w:val="none"/>
              </w:rPr>
              <w:t xml:space="preserve">采用18mm厚ENF级三聚氰胺饰面实木多层板。配备铝合金暗扣拉手，衣柜大门板配有内嵌式铝合金锁盒，旋钮式挂锁设计，表面喷涂处理，挂锁不外露，确保使用时的安全性。衣柜内安装壁厚≥1.0mm不锈钢或铝合金挂衣杆。</w:t>
            </w:r>
            <w:r/>
          </w:p>
          <w:p>
            <w:pPr>
              <w:spacing w:line="360" w:lineRule="auto"/>
              <w:rPr>
                <w:highlight w:val="none"/>
              </w:rPr>
            </w:pPr>
            <w:r>
              <w:rPr>
                <w:rFonts w:hint="eastAsia"/>
                <w:b/>
                <w:bCs/>
                <w:highlight w:val="none"/>
              </w:rPr>
              <w:t xml:space="preserve">4、功能要求：</w:t>
            </w:r>
            <w:r>
              <w:rPr>
                <w:rFonts w:hint="eastAsia"/>
                <w:highlight w:val="none"/>
              </w:rPr>
              <w:t xml:space="preserve">配备衣柜、书桌、桌上方开放式书架、书桌抽屉（具有锁具功能）等。布局需校方确认。包含五金配件：阻尼铰链、阻尼导轨等，导轨宽度≥45mm，壁厚≥1mm，三节静音导轨。</w:t>
            </w:r>
            <w:r/>
          </w:p>
          <w:p>
            <w:pPr>
              <w:spacing w:line="360" w:lineRule="auto"/>
              <w:rPr>
                <w:rFonts w:hint="eastAsia" w:cs="宋体"/>
                <w:b/>
                <w:bCs/>
                <w:highlight w:val="none"/>
              </w:rPr>
            </w:pPr>
            <w:r>
              <w:rPr>
                <w:rFonts w:hint="eastAsia"/>
                <w:b/>
                <w:bCs/>
                <w:highlight w:val="none"/>
              </w:rPr>
              <w:t xml:space="preserve">5、封边</w:t>
            </w:r>
            <w:r>
              <w:rPr>
                <w:rFonts w:hint="eastAsia"/>
                <w:highlight w:val="none"/>
              </w:rPr>
              <w:t xml:space="preserve">：所有板材均需四面封边，采用≥1.0mm厚封边条，均采用PUR同色或激光封边。选用无醛封边胶，封边严密、平整、无脱胶、表面无胶渍，封边胶与封边条内胶为统一品牌。</w:t>
            </w:r>
            <w:r/>
          </w:p>
        </w:tc>
        <w:tc>
          <w:tcPr>
            <w:tcW w:w="0" w:type="auto"/>
            <w:textDirection w:val="lrTb"/>
            <w:noWrap w:val="false"/>
          </w:tcPr>
          <w:p>
            <w:pPr>
              <w:pStyle w:val="1196"/>
              <w:jc w:val="left"/>
              <w:spacing w:line="360" w:lineRule="auto"/>
              <w:rPr>
                <w:rFonts w:hint="eastAsia" w:cs="仿宋"/>
                <w:color w:val="000000" w:themeColor="text1"/>
                <w:sz w:val="24"/>
                <w:highlight w:val="none"/>
                <w:vertAlign w:val="baseline"/>
                <w14:textFill>
                  <w14:solidFill>
                    <w14:schemeClr w14:val="tx1"/>
                  </w14:solidFill>
                </w14:textFill>
              </w:rPr>
            </w:pPr>
            <w:r>
              <w:rPr>
                <w:rFonts w:hint="eastAsia" w:cs="仿宋"/>
                <w:color w:val="000000" w:themeColor="text1"/>
                <w:sz w:val="24"/>
                <w:highlight w:val="none"/>
                <w:vertAlign w:val="baseline"/>
                <w14:textFill>
                  <w14:solidFill>
                    <w14:schemeClr w14:val="tx1"/>
                  </w14:solidFill>
                </w14:textFill>
              </w:rPr>
            </w:r>
            <w:r/>
          </w:p>
        </w:tc>
      </w:tr>
    </w:tbl>
    <w:p>
      <w:pPr>
        <w:pStyle w:val="1196"/>
        <w:ind w:firstLine="480"/>
        <w:jc w:val="left"/>
        <w:spacing w:line="360" w:lineRule="auto"/>
        <w:rPr>
          <w:rFonts w:hint="eastAsia"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090160" cy="3599815"/>
                <wp:effectExtent l="0" t="0" r="15240" b="635"/>
                <wp:docPr id="1"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1"/>
                        <pic:cNvPicPr>
                          <a:picLocks noChangeAspect="1"/>
                        </pic:cNvPicPr>
                        <pic:nvPr/>
                      </pic:nvPicPr>
                      <pic:blipFill>
                        <a:blip r:embed="rId13"/>
                        <a:stretch/>
                      </pic:blipFill>
                      <pic:spPr bwMode="auto">
                        <a:xfrm>
                          <a:off x="0" y="0"/>
                          <a:ext cx="5090160" cy="3599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8pt;height:283.4pt;mso-wrap-distance-left:0.0pt;mso-wrap-distance-top:0.0pt;mso-wrap-distance-right:0.0pt;mso-wrap-distance-bottom:0.0pt;" stroked="false">
                <v:path textboxrect="0,0,0,0"/>
                <v:imagedata r:id="rId13"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图1 </w:t>
      </w:r>
      <w:r>
        <w:rPr>
          <w:rFonts w:hint="eastAsia" w:cs="仿宋"/>
          <w:b/>
          <w:bCs/>
          <w:color w:val="000000" w:themeColor="text1"/>
          <w:sz w:val="24"/>
          <w:highlight w:val="none"/>
          <w:lang w:val="en-US" w:eastAsia="zh-CN"/>
          <w14:textFill>
            <w14:solidFill>
              <w14:schemeClr w14:val="tx1"/>
            </w14:solidFill>
          </w14:textFill>
        </w:rPr>
        <w:t xml:space="preserve">分</w:t>
      </w:r>
      <w:r>
        <w:rPr>
          <w:rFonts w:hint="eastAsia" w:cs="仿宋"/>
          <w:b/>
          <w:bCs/>
          <w:color w:val="000000" w:themeColor="text1"/>
          <w:sz w:val="24"/>
          <w:highlight w:val="none"/>
          <w14:textFill>
            <w14:solidFill>
              <w14:schemeClr w14:val="tx1"/>
            </w14:solidFill>
          </w14:textFill>
        </w:rPr>
        <w:t xml:space="preserve">包一平面布置示意图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2" name="图片 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2"/>
                        <pic:cNvPicPr>
                          <a:picLocks noChangeAspect="1"/>
                        </pic:cNvPicPr>
                        <pic:nvPr/>
                      </pic:nvPicPr>
                      <pic:blipFill>
                        <a:blip r:embed="rId14"/>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293.0pt;mso-wrap-distance-left:0.0pt;mso-wrap-distance-top:0.0pt;mso-wrap-distance-right:0.0pt;mso-wrap-distance-bottom:0.0pt;" stroked="false">
                <v:path textboxrect="0,0,0,0"/>
                <v:imagedata r:id="rId14" o:title=""/>
              </v:shape>
            </w:pict>
          </mc:Fallback>
        </mc:AlternateContent>
      </w:r>
      <w:r>
        <w:rPr>
          <w:rFonts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3" name="图片 5"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5"/>
                        <pic:cNvPicPr>
                          <a:picLocks noChangeAspect="1"/>
                        </pic:cNvPicPr>
                        <pic:nvPr/>
                      </pic:nvPicPr>
                      <pic:blipFill>
                        <a:blip r:embed="rId15"/>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293.0pt;mso-wrap-distance-left:0.0pt;mso-wrap-distance-top:0.0pt;mso-wrap-distance-right:0.0pt;mso-wrap-distance-bottom:0.0pt;" stroked="false">
                <v:path textboxrect="0,0,0,0"/>
                <v:imagedata r:id="rId15"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2</w:t>
      </w:r>
      <w:r>
        <w:rPr>
          <w:rFonts w:hint="eastAsia" w:cs="仿宋"/>
          <w:b/>
          <w:bCs/>
          <w:color w:val="000000" w:themeColor="text1"/>
          <w:sz w:val="24"/>
          <w:highlight w:val="none"/>
          <w14:textFill>
            <w14:solidFill>
              <w14:schemeClr w14:val="tx1"/>
            </w14:solidFill>
          </w14:textFill>
        </w:rPr>
        <w:t xml:space="preserve"> 公寓组合床（中走梯）示意图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4" name="图片 8"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2"/>
                        <pic:cNvPicPr>
                          <a:picLocks noChangeAspect="1"/>
                        </pic:cNvPicPr>
                        <pic:nvPr/>
                      </pic:nvPicPr>
                      <pic:blipFill>
                        <a:blip r:embed="rId16"/>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3pt;height:293.0pt;mso-wrap-distance-left:0.0pt;mso-wrap-distance-top:0.0pt;mso-wrap-distance-right:0.0pt;mso-wrap-distance-bottom:0.0pt;" stroked="false">
                <v:path textboxrect="0,0,0,0"/>
                <v:imagedata r:id="rId16" o:title=""/>
              </v:shape>
            </w:pict>
          </mc:Fallback>
        </mc:AlternateContent>
      </w: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5" name="图片 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3"/>
                        <pic:cNvPicPr>
                          <a:picLocks noChangeAspect="1"/>
                        </pic:cNvPicPr>
                        <pic:nvPr/>
                      </pic:nvPicPr>
                      <pic:blipFill>
                        <a:blip r:embed="rId17"/>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293.0pt;mso-wrap-distance-left:0.0pt;mso-wrap-distance-top:0.0pt;mso-wrap-distance-right:0.0pt;mso-wrap-distance-bottom:0.0pt;" stroked="false">
                <v:path textboxrect="0,0,0,0"/>
                <v:imagedata r:id="rId17" o:title=""/>
              </v:shape>
            </w:pict>
          </mc:Fallback>
        </mc:AlternateContent>
      </w: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6" name="图片 10"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4"/>
                        <pic:cNvPicPr>
                          <a:picLocks noChangeAspect="1"/>
                        </pic:cNvPicPr>
                        <pic:nvPr/>
                      </pic:nvPicPr>
                      <pic:blipFill>
                        <a:blip r:embed="rId18"/>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3pt;height:293.0pt;mso-wrap-distance-left:0.0pt;mso-wrap-distance-top:0.0pt;mso-wrap-distance-right:0.0pt;mso-wrap-distance-bottom:0.0pt;" stroked="false">
                <v:path textboxrect="0,0,0,0"/>
                <v:imagedata r:id="rId18"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3</w:t>
      </w:r>
      <w:r>
        <w:rPr>
          <w:rFonts w:hint="eastAsia" w:cs="仿宋"/>
          <w:b/>
          <w:bCs/>
          <w:color w:val="000000" w:themeColor="text1"/>
          <w:sz w:val="24"/>
          <w:highlight w:val="none"/>
          <w14:textFill>
            <w14:solidFill>
              <w14:schemeClr w14:val="tx1"/>
            </w14:solidFill>
          </w14:textFill>
        </w:rPr>
        <w:t xml:space="preserve"> 单人床组合家具示意图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4604" b="12700"/>
                <wp:docPr id="7" name="图片 13" descr="公寓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公寓梯"/>
                        <pic:cNvPicPr>
                          <a:picLocks noChangeAspect="1"/>
                        </pic:cNvPicPr>
                        <pic:nvPr/>
                      </pic:nvPicPr>
                      <pic:blipFill>
                        <a:blip r:embed="rId19"/>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293.0pt;mso-wrap-distance-left:0.0pt;mso-wrap-distance-top:0.0pt;mso-wrap-distance-right:0.0pt;mso-wrap-distance-bottom:0.0pt;" stroked="false">
                <v:path textboxrect="0,0,0,0"/>
                <v:imagedata r:id="rId19" o:title=""/>
              </v:shape>
            </w:pict>
          </mc:Fallback>
        </mc:AlternateContent>
      </w:r>
      <w:r/>
    </w:p>
    <w:p>
      <w:pPr>
        <w:pStyle w:val="1196"/>
        <w:jc w:val="center"/>
        <w:spacing w:line="360" w:lineRule="auto"/>
        <w:rPr>
          <w:rFonts w:hint="eastAsia"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4</w:t>
      </w:r>
      <w:r>
        <w:rPr>
          <w:rFonts w:hint="eastAsia" w:cs="仿宋"/>
          <w:b/>
          <w:bCs/>
          <w:color w:val="000000" w:themeColor="text1"/>
          <w:sz w:val="24"/>
          <w:highlight w:val="none"/>
          <w14:textFill>
            <w14:solidFill>
              <w14:schemeClr w14:val="tx1"/>
            </w14:solidFill>
          </w14:textFill>
        </w:rPr>
        <w:t xml:space="preserve"> 公寓椅示意图</w:t>
      </w:r>
      <w:r/>
    </w:p>
    <w:p>
      <w:pPr>
        <w:pStyle w:val="1196"/>
        <w:spacing w:line="360" w:lineRule="auto"/>
        <w:rPr>
          <w:rFonts w:hint="eastAsia" w:cs="仿宋"/>
          <w:b/>
          <w:bCs/>
          <w:color w:val="auto"/>
          <w:sz w:val="24"/>
          <w:highlight w:val="none"/>
        </w:rPr>
      </w:pPr>
      <w:r>
        <w:rPr>
          <w:rFonts w:hint="eastAsia" w:cs="仿宋"/>
          <w:b/>
          <w:bCs/>
          <w:color w:val="auto"/>
          <w:sz w:val="24"/>
          <w:highlight w:val="none"/>
        </w:rPr>
        <w:t xml:space="preserve">注：考虑部分房间尺寸可能与标准房间略有出入，请供应商中标后在制作和安装前逐一房间现场测量。所有需要优化设计的项目方案须经采购人确认后实施。</w:t>
      </w:r>
      <w:r/>
    </w:p>
    <w:p>
      <w:pPr>
        <w:pStyle w:val="1196"/>
        <w:spacing w:line="360" w:lineRule="auto"/>
        <w:rPr>
          <w:rFonts w:hint="eastAsia" w:cs="仿宋"/>
          <w:b/>
          <w:bCs/>
          <w:color w:val="auto"/>
          <w:sz w:val="24"/>
          <w:highlight w:val="none"/>
        </w:rPr>
      </w:pPr>
      <w:r>
        <w:rPr>
          <w:rFonts w:hint="eastAsia" w:cs="仿宋"/>
          <w:b/>
          <w:bCs/>
          <w:color w:val="auto"/>
          <w:sz w:val="24"/>
          <w:highlight w:val="none"/>
        </w:rPr>
      </w:r>
      <w:r/>
    </w:p>
    <w:p>
      <w:pPr>
        <w:pStyle w:val="1196"/>
        <w:jc w:val="left"/>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lang w:val="en-US" w:eastAsia="zh-CN"/>
          <w14:textFill>
            <w14:solidFill>
              <w14:schemeClr w14:val="tx1"/>
            </w14:solidFill>
          </w14:textFill>
        </w:rPr>
        <w:t xml:space="preserve">四、</w:t>
      </w:r>
      <w:r>
        <w:rPr>
          <w:rFonts w:hint="eastAsia" w:cs="仿宋"/>
          <w:b/>
          <w:bCs/>
          <w:color w:val="000000" w:themeColor="text1"/>
          <w:sz w:val="24"/>
          <w:highlight w:val="none"/>
          <w14:textFill>
            <w14:solidFill>
              <w14:schemeClr w14:val="tx1"/>
            </w14:solidFill>
          </w14:textFill>
        </w:rPr>
        <w:t xml:space="preserve"> 产品</w:t>
      </w:r>
      <w:r>
        <w:rPr>
          <w:rFonts w:hint="eastAsia" w:cs="仿宋"/>
          <w:b/>
          <w:bCs/>
          <w:color w:val="000000" w:themeColor="text1"/>
          <w:sz w:val="24"/>
          <w:highlight w:val="none"/>
          <w:lang w:val="en-US" w:eastAsia="zh-CN"/>
          <w14:textFill>
            <w14:solidFill>
              <w14:schemeClr w14:val="tx1"/>
            </w14:solidFill>
          </w14:textFill>
        </w:rPr>
        <w:t xml:space="preserve">标准及检测报告</w:t>
      </w:r>
      <w:r>
        <w:rPr>
          <w:rFonts w:hint="eastAsia" w:cs="仿宋"/>
          <w:b/>
          <w:bCs/>
          <w:color w:val="000000" w:themeColor="text1"/>
          <w:sz w:val="24"/>
          <w:highlight w:val="none"/>
          <w14:textFill>
            <w14:solidFill>
              <w14:schemeClr w14:val="tx1"/>
            </w14:solidFill>
          </w14:textFill>
        </w:rPr>
        <w:t xml:space="preserve">要求</w:t>
      </w:r>
      <w:r/>
    </w:p>
    <w:p>
      <w:pPr>
        <w:pStyle w:val="1196"/>
        <w:ind w:firstLine="480"/>
        <w:jc w:val="left"/>
        <w:spacing w:line="360" w:lineRule="auto"/>
        <w:rPr>
          <w:rFonts w:cs="仿宋"/>
          <w:color w:val="000000" w:themeColor="text1"/>
          <w:sz w:val="24"/>
          <w:highlight w:val="none"/>
          <w14:textFill>
            <w14:solidFill>
              <w14:schemeClr w14:val="tx1"/>
            </w14:solidFill>
          </w14:textFill>
        </w:rPr>
      </w:pPr>
      <w:r>
        <w:rPr>
          <w:rFonts w:cs="仿宋"/>
          <w:color w:val="000000" w:themeColor="text1"/>
          <w:sz w:val="24"/>
          <w:highlight w:val="none"/>
          <w14:textFill>
            <w14:solidFill>
              <w14:schemeClr w14:val="tx1"/>
            </w14:solidFill>
          </w14:textFill>
        </w:rPr>
        <w:t xml:space="preserve">供应商必须按国家标准执行，为采购人提供优质产品，保证所提供的产品属环保产品，符合国家环保标准，安全、无菌、无异味、无毒。所有产品的包装均应有良好的防潮、防湿、防雨、防锈、防腐及防碰撞的措施。凡由于包装不良造成的损失和由此产生的费用均由中标供应商承担。</w:t>
      </w:r>
      <w:r/>
    </w:p>
    <w:p>
      <w:pPr>
        <w:pStyle w:val="1196"/>
        <w:jc w:val="left"/>
        <w:spacing w:line="360" w:lineRule="auto"/>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1、供应商所提供的产品须符合但不局限于以下标准：</w:t>
      </w:r>
      <w:r/>
    </w:p>
    <w:tbl>
      <w:tblPr>
        <w:tblStyle w:val="753"/>
        <w:tblW w:w="4982"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614"/>
        <w:gridCol w:w="6861"/>
      </w:tblGrid>
      <w:tr>
        <w:trPr/>
        <w:tc>
          <w:tcPr>
            <w:gridSpan w:val="3"/>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采购标的须执行的标准</w:t>
            </w:r>
            <w:r/>
          </w:p>
        </w:tc>
      </w:tr>
      <w:tr>
        <w:trPr/>
        <w:tc>
          <w:tcPr>
            <w:tcBorders>
              <w:top w:val="single" w:color="auto" w:sz="4" w:space="0"/>
            </w:tcBorders>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w:t>
            </w:r>
            <w:r/>
          </w:p>
        </w:tc>
        <w:tc>
          <w:tcPr>
            <w:tcBorders>
              <w:top w:val="single" w:color="auto" w:sz="4" w:space="0"/>
            </w:tcBorders>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39600-2021</w:t>
            </w:r>
            <w:r/>
          </w:p>
        </w:tc>
        <w:tc>
          <w:tcPr>
            <w:tcBorders>
              <w:top w:val="single" w:color="auto" w:sz="4" w:space="0"/>
            </w:tcBorders>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人造板及其制品中甲醛释放量分级</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2</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 18584-2024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家具中有害物质限量</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3</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3324-2024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木家具通用技术条件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4</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3325-2024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金属家具通用技术条件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5</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32487-2016</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塑料家具通用技术条件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6</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39016-2020</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定制家具通用设计规范</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7</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9846-2015</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普通胶合板</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8</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15102-2017</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浸渍胶膜纸饰面纤维板和刨花板</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9</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2741-2013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学生公寓多功能家具</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10</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4463-2013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家具用封边条技术要求</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11</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2189-2013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家具五金杯状暗铰链</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12</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2454-2013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家具五金抽屉导轨</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13</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T/JSJJ008-2023</w:t>
            </w:r>
            <w:r/>
          </w:p>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T/SGHX 002-2023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学生宿舍用床</w:t>
            </w:r>
            <w:r/>
          </w:p>
        </w:tc>
      </w:tr>
      <w:tr>
        <w:trPr/>
        <w:tc>
          <w:tcPr>
            <w:tcW w:w="437" w:type="pct"/>
            <w:vAlign w:val="center"/>
            <w:textDirection w:val="lrTb"/>
            <w:noWrap w:val="false"/>
          </w:tcPr>
          <w:p>
            <w:pPr>
              <w:pStyle w:val="1196"/>
              <w:jc w:val="center"/>
              <w:spacing w:line="360" w:lineRule="auto"/>
              <w:rPr>
                <w:rFonts w:cs="仿宋"/>
                <w:color w:val="auto"/>
                <w:szCs w:val="21"/>
                <w:highlight w:val="none"/>
              </w:rPr>
            </w:pPr>
            <w:r>
              <w:rPr>
                <w:rFonts w:cs="仿宋"/>
                <w:color w:val="auto"/>
                <w:szCs w:val="21"/>
                <w:highlight w:val="none"/>
              </w:rPr>
              <w:t xml:space="preserve">14</w:t>
            </w:r>
            <w:r/>
          </w:p>
        </w:tc>
        <w:tc>
          <w:tcPr>
            <w:tcW w:w="1259"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QB/T 3826-1999</w:t>
            </w:r>
            <w:r/>
          </w:p>
        </w:tc>
        <w:tc>
          <w:tcPr>
            <w:tcW w:w="3304"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轻工产品金属镀层和化学处理层的耐腐性试验方法中性盐雾试验(NSS)法</w:t>
            </w:r>
            <w:r/>
          </w:p>
        </w:tc>
      </w:tr>
      <w:tr>
        <w:trPr/>
        <w:tc>
          <w:tcPr>
            <w:tcW w:w="437" w:type="pct"/>
            <w:vAlign w:val="center"/>
            <w:textDirection w:val="lrTb"/>
            <w:noWrap w:val="false"/>
          </w:tcPr>
          <w:p>
            <w:pPr>
              <w:pStyle w:val="1196"/>
              <w:jc w:val="center"/>
              <w:spacing w:line="360" w:lineRule="auto"/>
              <w:rPr>
                <w:rFonts w:cs="仿宋"/>
                <w:color w:val="auto"/>
                <w:szCs w:val="21"/>
                <w:highlight w:val="none"/>
              </w:rPr>
            </w:pPr>
            <w:r>
              <w:rPr>
                <w:rFonts w:cs="仿宋"/>
                <w:color w:val="auto"/>
                <w:szCs w:val="21"/>
                <w:highlight w:val="none"/>
              </w:rPr>
              <w:t xml:space="preserve">15</w:t>
            </w:r>
            <w:r/>
          </w:p>
        </w:tc>
        <w:tc>
          <w:tcPr>
            <w:tcW w:w="1259"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QB/T 3827-1999</w:t>
            </w:r>
            <w:r/>
          </w:p>
        </w:tc>
        <w:tc>
          <w:tcPr>
            <w:tcW w:w="3304"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轻工产品金属镀层和化学处理层的耐腐蚀试验方法乙酸盐雾试验(ASS)法</w:t>
            </w:r>
            <w:r/>
          </w:p>
        </w:tc>
      </w:tr>
    </w:tbl>
    <w:p>
      <w:pPr>
        <w:pStyle w:val="1196"/>
        <w:numPr>
          <w:ilvl w:val="0"/>
          <w:numId w:val="13"/>
        </w:numPr>
        <w:jc w:val="left"/>
        <w:spacing w:line="360" w:lineRule="auto"/>
        <w:rPr>
          <w:rFonts w:hint="eastAsia" w:cs="仿宋"/>
          <w:b w:val="0"/>
          <w:bCs w:val="0"/>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供应商提供的投标货物应符合绿色环保要求，所使用的主、辅材料应符合国家环保标准，</w:t>
      </w:r>
      <w:r>
        <w:rPr>
          <w:rFonts w:hint="eastAsia" w:cs="仿宋"/>
          <w:sz w:val="24"/>
          <w:highlight w:val="none"/>
        </w:rPr>
        <w:t xml:space="preserve">所用的基材达到阻燃B1级</w:t>
      </w:r>
      <w:r>
        <w:rPr>
          <w:rFonts w:hint="eastAsia" w:cs="仿宋"/>
          <w:color w:val="000000" w:themeColor="text1"/>
          <w:sz w:val="24"/>
          <w:highlight w:val="none"/>
          <w14:textFill>
            <w14:solidFill>
              <w14:schemeClr w14:val="tx1"/>
            </w14:solidFill>
          </w14:textFill>
        </w:rPr>
        <w:t xml:space="preserve">。如果以上所列的标准和规范，有新的版本或新的标准、规范，则按最新标准和规范执行；未能表述的质量要求请按国家有</w:t>
      </w:r>
      <w:r>
        <w:rPr>
          <w:rFonts w:hint="eastAsia" w:cs="仿宋"/>
          <w:b w:val="0"/>
          <w:bCs w:val="0"/>
          <w:color w:val="000000" w:themeColor="text1"/>
          <w:sz w:val="24"/>
          <w:highlight w:val="none"/>
          <w14:textFill>
            <w14:solidFill>
              <w14:schemeClr w14:val="tx1"/>
            </w14:solidFill>
          </w14:textFill>
        </w:rPr>
        <w:t xml:space="preserve">关技术规范执行。</w:t>
      </w:r>
      <w:r/>
    </w:p>
    <w:p>
      <w:pPr>
        <w:pStyle w:val="1196"/>
        <w:jc w:val="left"/>
        <w:spacing w:line="360" w:lineRule="auto"/>
        <w:rPr>
          <w:rFonts w:cs="仿宋"/>
          <w:b w:val="0"/>
          <w:bCs w:val="0"/>
          <w:color w:val="auto"/>
          <w:sz w:val="24"/>
          <w:highlight w:val="none"/>
        </w:rPr>
      </w:pPr>
      <w:r>
        <w:rPr>
          <w:rFonts w:hint="eastAsia" w:cs="仿宋"/>
          <w:b w:val="0"/>
          <w:bCs w:val="0"/>
          <w:color w:val="auto"/>
          <w:sz w:val="24"/>
          <w:highlight w:val="none"/>
        </w:rPr>
        <w:t xml:space="preserve">3、投标人提供2024年1月1日以来</w:t>
      </w:r>
      <w:r>
        <w:rPr>
          <w:rFonts w:hint="eastAsia" w:cs="仿宋"/>
          <w:b w:val="0"/>
          <w:bCs w:val="0"/>
          <w:color w:val="auto"/>
          <w:sz w:val="24"/>
          <w:highlight w:val="none"/>
          <w:lang w:val="en-US" w:eastAsia="zh-CN"/>
        </w:rPr>
        <w:t xml:space="preserve">的原材料和成品检</w:t>
      </w:r>
      <w:r>
        <w:rPr>
          <w:rFonts w:hint="eastAsia" w:cs="仿宋"/>
          <w:b w:val="0"/>
          <w:bCs w:val="0"/>
          <w:color w:val="auto"/>
          <w:sz w:val="24"/>
          <w:highlight w:val="none"/>
          <w:lang w:val="en-US" w:eastAsia="zh-CN"/>
        </w:rPr>
        <w:t xml:space="preserve">测报告</w:t>
      </w:r>
      <w:r>
        <w:rPr>
          <w:rFonts w:hint="eastAsia" w:cs="仿宋"/>
          <w:b w:val="0"/>
          <w:bCs w:val="0"/>
          <w:color w:val="auto"/>
          <w:sz w:val="24"/>
          <w:highlight w:val="none"/>
        </w:rPr>
        <w:t xml:space="preserve">，检测报告应为具有检验检测资质的检测机构出具，检测机构应通过相应的CMA认证，检测报告页面必须有CMA认证标志； </w:t>
      </w:r>
      <w:r/>
    </w:p>
    <w:p>
      <w:pPr>
        <w:pStyle w:val="1196"/>
        <w:ind w:firstLine="480"/>
        <w:jc w:val="left"/>
        <w:spacing w:line="360" w:lineRule="auto"/>
        <w:rPr>
          <w:rFonts w:cs="仿宋"/>
          <w:b/>
          <w:bCs/>
          <w:color w:val="auto"/>
          <w:sz w:val="24"/>
          <w:highlight w:val="none"/>
        </w:rPr>
      </w:pPr>
      <w:r>
        <w:rPr>
          <w:rFonts w:hint="eastAsia" w:cs="仿宋"/>
          <w:color w:val="auto"/>
          <w:sz w:val="24"/>
          <w:highlight w:val="none"/>
        </w:rPr>
        <w:t xml:space="preserve">（1）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2）提供公寓组合床的组合柜检测报告，需符合相关国家标准或行业标准，检测内容至少包括：甲醛释放量，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b/>
          <w:bCs/>
          <w:color w:val="auto"/>
          <w:sz w:val="24"/>
          <w:highlight w:val="none"/>
        </w:rPr>
      </w:pPr>
      <w:r>
        <w:rPr>
          <w:rFonts w:hint="eastAsia" w:cs="仿宋"/>
          <w:color w:val="auto"/>
          <w:sz w:val="24"/>
          <w:highlight w:val="none"/>
        </w:rPr>
        <w:t xml:space="preserve">（3）提供公寓椅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cs="仿宋"/>
          <w:color w:val="auto"/>
          <w:sz w:val="24"/>
          <w:highlight w:val="none"/>
        </w:rPr>
        <w:t xml:space="preserve">    （4）</w:t>
      </w:r>
      <w:r>
        <w:rPr>
          <w:rFonts w:ascii="SimSun" w:hAnsi="SimSun" w:eastAsia="SimSun" w:cs="SimSun"/>
          <w:color w:val="000000"/>
          <w:sz w:val="24"/>
        </w:rPr>
        <w:t xml:space="preserve">提供</w:t>
      </w:r>
      <w:r>
        <w:rPr>
          <w:rFonts w:ascii="SimSun" w:hAnsi="SimSun" w:eastAsia="SimSun" w:cs="SimSun"/>
          <w:b/>
          <w:color w:val="ff0000"/>
          <w:sz w:val="24"/>
        </w:rPr>
        <w:t xml:space="preserve">封边条</w:t>
      </w:r>
      <w:r>
        <w:rPr>
          <w:rFonts w:ascii="SimSun" w:hAnsi="SimSun" w:eastAsia="SimSun" w:cs="SimSun"/>
          <w:color w:val="000000"/>
          <w:sz w:val="24"/>
        </w:rPr>
        <w:t xml:space="preserve">检测报告。需符合相关国家标准或行业标准，检测内容至少包括：①耐干热性：应无龟裂、无鼓泡；②耐磨性：磨 30r 后应无露底现象；③耐开裂性（耐龟裂性）；④耐老化性（应无开裂）；⑤耐冷热循环性（应无龟裂、无鼓泡、无变色、无起皱）；⑥耐光色牢度（灰色样卡）≥4 级。【提供检测报告复印件】</w:t>
      </w:r>
      <w:r>
        <w:rPr>
          <w:sz w:val="22"/>
        </w:rPr>
      </w:r>
      <w:r/>
    </w:p>
    <w:p>
      <w:pPr>
        <w:pStyle w:val="1196"/>
        <w:ind w:firstLine="480"/>
        <w:jc w:val="left"/>
        <w:spacing w:line="360" w:lineRule="auto"/>
        <w:rPr>
          <w:rFonts w:cs="仿宋"/>
          <w:color w:val="auto"/>
          <w:sz w:val="24"/>
          <w:szCs w:val="24"/>
          <w:highlight w:val="none"/>
        </w:rPr>
      </w:pPr>
      <w:r>
        <w:rPr>
          <w:rFonts w:hint="eastAsia" w:cs="仿宋"/>
          <w:color w:val="auto"/>
          <w:sz w:val="24"/>
          <w:highlight w:val="none"/>
        </w:rPr>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（5）提供多层板检测报告，需符合相关国家标准或行业标准，检测内容至少包括：甲醛释放量；防霉性能检测。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（6）提供床立柱、床沿检测报告，需符合相关国家标准或行业标准，检测内容至少包括：中性盐雾连续喷雾≥500小时，耐霉菌性等级检测。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7）提供环氧树脂静电粉末检测报告，需符合相关国家标准或行业标准，检测内容至少包括：附着力（干附着力）；铅笔硬度（内聚破坏中擦伤）；耐冲击性（正向冲击）；耐碱性(168h)；耐酸性(240h)；耐湿性（500h）；耐盐雾性（中性盐雾 500h）；抗霉菌性能。</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cs="仿宋"/>
          <w:color w:val="auto"/>
          <w:sz w:val="24"/>
          <w:highlight w:val="none"/>
        </w:rPr>
        <w:t xml:space="preserve">   （8）</w:t>
      </w:r>
      <w:r>
        <w:rPr>
          <w:rFonts w:ascii="SimSun" w:hAnsi="SimSun" w:eastAsia="SimSun" w:cs="SimSun"/>
          <w:color w:val="000000"/>
          <w:sz w:val="24"/>
        </w:rPr>
        <w:t xml:space="preserve">提供防潮塑料脚套检测报告，需符合相关国家标准或行业标准，检测内容至少包括：理化性能：塑料件：耐冷热循环、硬度；塑料材料理化性能；</w:t>
      </w:r>
      <w:r>
        <w:rPr>
          <w:rFonts w:ascii="SimSun" w:hAnsi="SimSun" w:eastAsia="SimSun" w:cs="SimSun"/>
          <w:b/>
          <w:color w:val="ff0000"/>
          <w:sz w:val="24"/>
        </w:rPr>
        <w:t xml:space="preserve">重金属或可迁移有害元素</w:t>
      </w:r>
      <w:r>
        <w:rPr>
          <w:rFonts w:ascii="SimSun" w:hAnsi="SimSun" w:eastAsia="SimSun" w:cs="SimSun"/>
          <w:color w:val="000000"/>
          <w:sz w:val="24"/>
        </w:rPr>
        <w:t xml:space="preserve">；防霉性能检测；抗菌性能。【提供检测报告复印件】</w:t>
      </w:r>
      <w:r/>
    </w:p>
    <w:p>
      <w:pPr>
        <w:pStyle w:val="1196"/>
        <w:ind w:firstLine="480"/>
        <w:jc w:val="left"/>
        <w:spacing w:line="360" w:lineRule="auto"/>
        <w:rPr>
          <w:rFonts w:cs="仿宋"/>
          <w:color w:val="auto"/>
          <w:sz w:val="24"/>
          <w:szCs w:val="24"/>
          <w:highlight w:val="none"/>
        </w:rPr>
      </w:pPr>
      <w:r>
        <w:rPr>
          <w:rFonts w:hint="eastAsia" w:cs="仿宋"/>
          <w:color w:val="auto"/>
          <w:sz w:val="24"/>
          <w:highlight w:val="none"/>
        </w:rPr>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（9）提供阻尼铰链检测报告，需符合相关国家标准或行业标准，检测内容至少包括：过载（垂直静载荷、水平静载荷）；功能（垂直静载荷、水平静载荷、下沉量、操作力）；耐久性。</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hint="eastAsia" w:cs="仿宋"/>
          <w:b/>
          <w:bCs/>
          <w:color w:val="auto"/>
          <w:sz w:val="24"/>
          <w:highlight w:val="none"/>
        </w:rPr>
      </w:pPr>
      <w:r>
        <w:rPr>
          <w:rFonts w:hint="eastAsia" w:cs="仿宋"/>
          <w:color w:val="auto"/>
          <w:sz w:val="24"/>
          <w:highlight w:val="none"/>
        </w:rPr>
        <w:t xml:space="preserve">（10）提供阻尼静音导轨检测报告，需符合相关国家标准或行业标准，检测内容至少包括：垂直向下静载荷（过载）；水平侧向静载荷（过载）；猛关或猛开（过载）；功能（垂直向下静载荷、水平侧向静载荷、拉出安全性、猛开或猛关、下沉量）；耐久性。</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keepLines w:val="0"/>
        <w:keepNext w:val="0"/>
        <w:pageBreakBefore w:val="0"/>
        <w:spacing w:line="360" w:lineRule="auto"/>
        <w:widowControl w:val="off"/>
        <w:rPr>
          <w:rFonts w:hint="default"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4、产品证书要求</w:t>
      </w:r>
      <w:r/>
    </w:p>
    <w:p>
      <w:pPr>
        <w:ind w:firstLine="480"/>
        <w:keepLines w:val="0"/>
        <w:keepNext w:val="0"/>
        <w:pageBreakBefore w:val="0"/>
        <w:spacing w:line="360" w:lineRule="auto"/>
        <w:widowControl w:val="off"/>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（1）</w:t>
      </w:r>
      <w:r>
        <w:rPr>
          <w:rFonts w:hint="eastAsia" w:ascii="Times New Roman" w:hAnsi="Times New Roman" w:eastAsia="宋体" w:cs="仿宋"/>
          <w:color w:val="auto"/>
          <w:sz w:val="24"/>
          <w:szCs w:val="24"/>
          <w:highlight w:val="none"/>
          <w:lang w:val="en-US" w:eastAsia="zh-CN" w:bidi="ar-SA"/>
        </w:rPr>
        <w:t xml:space="preserve">投标人或家具制造商所投产品具有国家认监委认可的认证机构出具的有效家具防火阻燃产品认证证书，得1分。（提供证书扫描件及在全国认证认可信息公共服务平台的有效查询截图）</w:t>
      </w:r>
      <w:r>
        <w:rPr>
          <w:rFonts w:hint="eastAsia" w:ascii="Times New Roman" w:hAnsi="Times New Roman" w:eastAsia="宋体" w:cs="仿宋"/>
          <w:color w:val="auto"/>
          <w:sz w:val="24"/>
          <w:szCs w:val="24"/>
          <w:highlight w:val="none"/>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（2）投标人或家具制造商所投产品具有国家认监委认可的认证机构出具的有效家具产品有害物质限量认证证书的，得1分。（提供证书扫描件及在全国认证认可信息公共服务平台的有效查询截图）</w:t>
      </w:r>
      <w:r/>
    </w:p>
    <w:p>
      <w:pPr>
        <w:ind w:firstLine="480"/>
        <w:keepLines w:val="0"/>
        <w:keepNext w:val="0"/>
        <w:pageBreakBefore w:val="0"/>
        <w:spacing w:line="360" w:lineRule="auto"/>
        <w:widowControl w:val="off"/>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（3）投标人或家具制造商所投产品具有国家认监委认可的认证机构出具的有效期内的“产品防霉认证证书”，得1分。（提供证书扫描件及在全国认证认可信息公共服务平台的有效查询截图）</w:t>
      </w:r>
      <w:r/>
    </w:p>
    <w:p>
      <w:pPr>
        <w:pStyle w:val="1196"/>
        <w:jc w:val="left"/>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lang w:val="en-US" w:eastAsia="zh-CN"/>
          <w14:textFill>
            <w14:solidFill>
              <w14:schemeClr w14:val="tx1"/>
            </w14:solidFill>
          </w14:textFill>
        </w:rPr>
        <w:t xml:space="preserve">五、</w:t>
      </w:r>
      <w:r>
        <w:rPr>
          <w:rFonts w:hint="eastAsia" w:cs="仿宋"/>
          <w:b/>
          <w:bCs/>
          <w:color w:val="000000" w:themeColor="text1"/>
          <w:sz w:val="24"/>
          <w:highlight w:val="none"/>
          <w14:textFill>
            <w14:solidFill>
              <w14:schemeClr w14:val="tx1"/>
            </w14:solidFill>
          </w14:textFill>
        </w:rPr>
        <w:t xml:space="preserve"> 样品及样板间要求</w:t>
      </w:r>
      <w:r/>
    </w:p>
    <w:p>
      <w:pPr>
        <w:pStyle w:val="1196"/>
        <w:jc w:val="left"/>
        <w:spacing w:line="360" w:lineRule="auto"/>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1、本项目投标时需要递交符合要求的样品，清单如下：</w:t>
      </w:r>
      <w:r/>
    </w:p>
    <w:tbl>
      <w:tblPr>
        <w:tblStyle w:val="7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682"/>
        <w:gridCol w:w="7138"/>
        <w:gridCol w:w="787"/>
      </w:tblGrid>
      <w:tr>
        <w:trPr>
          <w:jc w:val="center"/>
          <w:trHeight w:val="371"/>
        </w:trPr>
        <w:tc>
          <w:tcPr>
            <w:tcW w:w="390"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序号</w:t>
            </w:r>
            <w:r/>
          </w:p>
        </w:tc>
        <w:tc>
          <w:tcPr>
            <w:tcW w:w="807"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样品名称</w:t>
            </w:r>
            <w:r/>
          </w:p>
        </w:tc>
        <w:tc>
          <w:tcPr>
            <w:tcW w:w="3424"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样式、规格尺寸、数量</w:t>
            </w:r>
            <w:r/>
          </w:p>
        </w:tc>
        <w:tc>
          <w:tcPr>
            <w:tcW w:w="377"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备注</w:t>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1</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立柱</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w:t>
            </w:r>
            <w:r>
              <w:rPr>
                <w:rFonts w:hint="eastAsia" w:cs="微软雅黑"/>
                <w:b/>
                <w:bCs/>
                <w:szCs w:val="21"/>
                <w:highlight w:val="none"/>
              </w:rPr>
              <w:t xml:space="preserve">、材质规格尺寸：</w:t>
            </w:r>
            <w:r>
              <w:rPr>
                <w:rFonts w:hint="eastAsia" w:cs="微软雅黑"/>
                <w:szCs w:val="21"/>
                <w:highlight w:val="none"/>
              </w:rPr>
              <w:t xml:space="preserve">长度≥300mm。采用优质材管，壁厚符合要求。表面涂层应光滑均匀，色泽一致，无流挂、疙瘩、皱皮等缺陷。</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1根</w:t>
            </w:r>
            <w:r/>
          </w:p>
        </w:tc>
        <w:tc>
          <w:tcPr>
            <w:tcW w:w="377" w:type="pct"/>
            <w:vAlign w:val="center"/>
            <w:vMerge w:val="restart"/>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shd w:val="clear" w:color="auto" w:fill="auto"/>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2</w:t>
            </w:r>
            <w:r/>
          </w:p>
        </w:tc>
        <w:tc>
          <w:tcPr>
            <w:shd w:val="clear" w:color="auto" w:fill="auto"/>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横梁</w:t>
            </w:r>
            <w:r/>
          </w:p>
          <w:p>
            <w:pPr>
              <w:jc w:val="center"/>
              <w:spacing w:line="420" w:lineRule="exact"/>
              <w:rPr>
                <w:rFonts w:cs="微软雅黑"/>
                <w:szCs w:val="21"/>
                <w:highlight w:val="none"/>
              </w:rPr>
            </w:pPr>
            <w:r>
              <w:rPr>
                <w:rFonts w:hint="eastAsia" w:cs="微软雅黑"/>
                <w:szCs w:val="21"/>
                <w:highlight w:val="none"/>
              </w:rPr>
              <w:t xml:space="preserve">（小样）</w:t>
            </w:r>
            <w:r/>
          </w:p>
        </w:tc>
        <w:tc>
          <w:tcPr>
            <w:shd w:val="clear" w:color="auto" w:fill="auto"/>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长度≥300mm。采用优质材管，壁厚符合要求。表面涂层应光滑均匀，色泽一致，无流挂、疙瘩、皱皮等缺陷。</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1根</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3</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床头护栏</w:t>
            </w:r>
            <w:r/>
          </w:p>
          <w:p>
            <w:pPr>
              <w:jc w:val="center"/>
              <w:spacing w:line="420" w:lineRule="exact"/>
              <w:rPr>
                <w:rFonts w:cs="微软雅黑"/>
                <w:szCs w:val="21"/>
                <w:highlight w:val="none"/>
              </w:rPr>
            </w:pPr>
            <w:r>
              <w:rPr>
                <w:rFonts w:hint="eastAsia" w:cs="微软雅黑"/>
                <w:szCs w:val="21"/>
                <w:highlight w:val="none"/>
              </w:rPr>
              <w:t xml:space="preserve">（成品）</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详见示意图及参数技术要求。</w:t>
            </w:r>
            <w:r>
              <w:rPr>
                <w:rFonts w:hint="eastAsia" w:cs="微软雅黑"/>
                <w:szCs w:val="21"/>
                <w:highlight w:val="none"/>
              </w:rPr>
              <w:t xml:space="preserve">采用优质钢木结构，保证强度和安全性能，板材四周经PUR或激光封边，光滑无倒刺。</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4</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桌面板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整体美观，结构稳定，色彩搭配合理，封边表面无裂纹、脱胶，边角圆润。</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5</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柜体板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符合技术参数要求，表面纹路清晰美观，外观平整无色差、无异味，贴面封边不应出现脱胶、鼓泡或开裂现象。</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6</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床板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整体美观，结构稳定，透气孔功能齐全，色彩搭配合理，平整纹理清晰。</w:t>
            </w:r>
            <w:r/>
          </w:p>
          <w:p>
            <w:pPr>
              <w:spacing w:line="420" w:lineRule="exact"/>
              <w:rPr>
                <w:rFonts w:cs="微软雅黑"/>
                <w:b/>
                <w:bCs/>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7</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五金配件</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阻尼铰链一个，阻尼导轨一个。</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铰链手感顺滑无毛刺、无肉眼可见的变形、翘曲；导轨推拉顺滑无卡顿。且品质优良、开合回弹顺畅，安全稳定，经久耐用。</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各1个</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8</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学生公寓椅</w:t>
            </w:r>
            <w:r/>
          </w:p>
          <w:p>
            <w:pPr>
              <w:jc w:val="center"/>
              <w:spacing w:line="420" w:lineRule="exact"/>
              <w:rPr>
                <w:rFonts w:cs="微软雅黑"/>
                <w:szCs w:val="21"/>
                <w:highlight w:val="none"/>
              </w:rPr>
            </w:pPr>
            <w:r>
              <w:rPr>
                <w:rFonts w:hint="eastAsia" w:cs="微软雅黑"/>
                <w:szCs w:val="21"/>
                <w:highlight w:val="none"/>
              </w:rPr>
              <w:t xml:space="preserve">（成品）</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详见示意图及参数技术要求。</w:t>
            </w:r>
            <w:r>
              <w:rPr>
                <w:rFonts w:hint="eastAsia" w:cs="微软雅黑"/>
                <w:szCs w:val="21"/>
                <w:highlight w:val="none"/>
              </w:rPr>
              <w:t xml:space="preserve">椅坐及椅背无毛刺，手感光滑。各部件连接结构牢固可靠，无松动、异响，符合人体工程学，坐感舒适。</w:t>
            </w:r>
            <w:r/>
          </w:p>
          <w:p>
            <w:pPr>
              <w:spacing w:line="420" w:lineRule="exact"/>
              <w:rPr>
                <w:rFonts w:cs="微软雅黑"/>
                <w:b/>
                <w:bCs/>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1张</w:t>
            </w:r>
            <w:r/>
          </w:p>
        </w:tc>
        <w:tc>
          <w:tcPr>
            <w:tcW w:w="377" w:type="pct"/>
            <w:vAlign w:val="center"/>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bl>
    <w:p>
      <w:pPr>
        <w:ind w:firstLine="240"/>
        <w:jc w:val="left"/>
        <w:spacing w:line="431" w:lineRule="exact"/>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2、样品递交及管理要求</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2026年2</w:t>
      </w:r>
      <w:r>
        <w:rPr>
          <w:rFonts w:hint="eastAsia" w:ascii="宋体" w:hAnsi="宋体"/>
          <w:b/>
          <w:color w:val="000000" w:themeColor="text1"/>
          <w:sz w:val="24"/>
          <w:szCs w:val="21"/>
          <w:highlight w:val="none"/>
          <w14:textFill>
            <w14:solidFill>
              <w14:schemeClr w14:val="tx1"/>
            </w14:solidFill>
          </w14:textFill>
        </w:rPr>
        <w:t xml:space="preserve">月25日下午14:30起至16:30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p>
    <w:p>
      <w:pPr>
        <w:pStyle w:val="1196"/>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样板间要求</w:t>
      </w:r>
      <w:r/>
    </w:p>
    <w:p>
      <w:pPr>
        <w:pStyle w:val="1196"/>
        <w:ind w:firstLine="480"/>
        <w:jc w:val="left"/>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196"/>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 交货期及交货地点</w:t>
      </w:r>
      <w:r/>
    </w:p>
    <w:p>
      <w:pPr>
        <w:pStyle w:val="1196"/>
        <w:ind w:firstLine="480"/>
        <w:jc w:val="left"/>
        <w:spacing w:line="360" w:lineRule="auto"/>
        <w:rPr>
          <w:rFonts w:hint="default" w:ascii="宋体" w:hAnsi="宋体" w:eastAsia="宋体" w:cs="宋体"/>
          <w:b w:val="0"/>
          <w:bCs w:val="0"/>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t xml:space="preserve">1、交货期：接到采购人通知后20天内完成生产，并通过初验。具体安装时间以采购人通知为准，安装工期20天。</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2、交货地点：江苏开放大学浦口校区指定地点。</w:t>
      </w:r>
      <w:r/>
    </w:p>
    <w:p>
      <w:pPr>
        <w:pStyle w:val="1196"/>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注意：</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1、因采购人原因导致供应商未能按期开工或者未按约定完工，影响工期，工期顺延。因供应商原因未能按时开工或中途无故停工，影响工期，工期不顺延。</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2、现场安装可能存在多厂家交叉施工，安装工期不顺延。如未按时完工，每延迟一天按10000元/天累计计算，从合同款中扣除违约金。供应商须提供加盖公司公章的承诺函。</w:t>
      </w:r>
      <w:r/>
    </w:p>
    <w:p>
      <w:pPr>
        <w:pStyle w:val="1170"/>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 包装、运输及安装</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3、由供应商负责组织安装，安装需符合我国国家有关技术规范要求和技术标准。</w:t>
      </w:r>
      <w:r>
        <w:rPr>
          <w:rFonts w:hint="eastAsia" w:ascii="宋体" w:hAnsi="宋体" w:eastAsia="宋体" w:cs="宋体"/>
          <w:b/>
          <w:bCs/>
          <w:sz w:val="24"/>
          <w:szCs w:val="24"/>
          <w:highlight w:val="none"/>
        </w:rPr>
        <w:t xml:space="preserve">需注意货物成品应不影响公寓内墙面弱电箱的后续检修</w:t>
      </w:r>
      <w:r>
        <w:rPr>
          <w:rFonts w:hint="eastAsia" w:ascii="宋体" w:hAnsi="宋体" w:eastAsia="宋体" w:cs="宋体"/>
          <w:sz w:val="24"/>
          <w:szCs w:val="24"/>
          <w:highlight w:val="none"/>
        </w:rPr>
        <w:t xml:space="preserve">，若无法</w:t>
      </w:r>
      <w:r>
        <w:rPr>
          <w:rFonts w:hint="eastAsia" w:ascii="宋体" w:hAnsi="宋体" w:eastAsia="宋体" w:cs="宋体"/>
          <w:color w:val="auto"/>
          <w:sz w:val="24"/>
          <w:szCs w:val="24"/>
          <w:highlight w:val="none"/>
        </w:rPr>
        <w:t xml:space="preserve">避免</w:t>
      </w:r>
      <w:r>
        <w:rPr>
          <w:rFonts w:hint="eastAsia" w:ascii="宋体" w:hAnsi="宋体" w:eastAsia="宋体" w:cs="宋体"/>
          <w:sz w:val="24"/>
          <w:szCs w:val="24"/>
          <w:highlight w:val="none"/>
        </w:rPr>
        <w:t xml:space="preserve">，则由供应商自行考虑背板开孔，结算时不另外增加费用。</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4、本项目履约过程中可能与各项目单位</w:t>
      </w:r>
      <w:r>
        <w:rPr>
          <w:rFonts w:hint="eastAsia" w:ascii="宋体" w:hAnsi="宋体" w:eastAsia="宋体" w:cs="宋体"/>
          <w:color w:val="auto"/>
          <w:sz w:val="24"/>
          <w:szCs w:val="24"/>
          <w:highlight w:val="none"/>
        </w:rPr>
        <w:t xml:space="preserve">存在</w:t>
      </w:r>
      <w:r>
        <w:rPr>
          <w:rFonts w:hint="eastAsia" w:ascii="宋体" w:hAnsi="宋体" w:eastAsia="宋体" w:cs="宋体"/>
          <w:color w:val="000000" w:themeColor="text1"/>
          <w:sz w:val="24"/>
          <w:szCs w:val="24"/>
          <w:highlight w:val="none"/>
          <w14:textFill>
            <w14:solidFill>
              <w14:schemeClr w14:val="tx1"/>
            </w14:solidFill>
          </w14:textFill>
        </w:rPr>
        <w:t xml:space="preserve">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以含在合同总价中，结算均不另行增加费用。</w:t>
      </w:r>
      <w:r/>
    </w:p>
    <w:p>
      <w:pPr>
        <w:pStyle w:val="1170"/>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、付款方式及履约保证金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1、付款方式</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（1）预付款：自合同签订10日内，采购人向供应商支付合同总价的30%；</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（2）货物全部交付安装完成，经采购人正式组织验收合格，且供应商配合采购人完成固定资产登记后，支付至合同总价的95%。</w:t>
      </w:r>
      <w:r/>
    </w:p>
    <w:p>
      <w:pPr>
        <w:pStyle w:val="727"/>
        <w:ind w:left="0" w:firstLine="480"/>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（3）经验收之日起算，两年后货物无质量问题，支付剩余5%尾款。</w:t>
      </w:r>
      <w:r/>
    </w:p>
    <w:p>
      <w:pPr>
        <w:ind w:firstLine="480"/>
        <w:spacing w:line="360" w:lineRule="auto"/>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2、履约保证金</w:t>
      </w:r>
      <w:r/>
    </w:p>
    <w:p>
      <w:pPr>
        <w:ind w:firstLine="480"/>
        <w:spacing w:line="360" w:lineRule="auto"/>
      </w:pPr>
      <w:r>
        <w:rPr>
          <w:rFonts w:hint="eastAsia" w:ascii="宋体" w:hAnsi="宋体" w:eastAsia="宋体" w:cs="宋体"/>
          <w:color w:val="000000" w:themeColor="text1"/>
          <w:sz w:val="24"/>
          <w:szCs w:val="24"/>
          <w:highlight w:val="none"/>
          <w14:textFill>
            <w14:solidFill>
              <w14:schemeClr w14:val="tx1"/>
            </w14:solidFill>
          </w14:textFill>
        </w:rPr>
        <w:t xml:space="preserve">收取履约保证金形式:供应商中标后需缴纳合同金额 5%作为履约保证金，验收合格后无息退还履约保证金，如供应商未能履行合同规定义务，采购人有权从履约保证金中取得补偿。</w:t>
      </w:r>
      <w:r/>
    </w:p>
    <w:p>
      <w:pPr>
        <w:ind w:firstLine="480"/>
        <w:spacing w:line="360" w:lineRule="auto"/>
      </w:pPr>
      <w:r>
        <w:rPr>
          <w:rFonts w:hint="eastAsia" w:ascii="宋体" w:hAnsi="宋体" w:eastAsia="宋体" w:cs="宋体"/>
          <w:color w:val="000000" w:themeColor="text1"/>
          <w:sz w:val="24"/>
          <w:szCs w:val="24"/>
          <w:highlight w:val="none"/>
          <w14:textFill>
            <w14:solidFill>
              <w14:schemeClr w14:val="tx1"/>
            </w14:solidFill>
          </w14:textFill>
        </w:rPr>
        <w:t xml:space="preserve">收取履约保证金金额:合同金额的5%。</w:t>
      </w:r>
      <w:r/>
    </w:p>
    <w:p>
      <w:pPr>
        <w:ind w:firstLine="480"/>
        <w:spacing w:line="360" w:lineRule="auto"/>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履约担保期限:自合同签订生效后至甲方最终书面确认验收合格之日，验收合格后采购人无息退还履约保证金。</w:t>
      </w: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1、本项目为总价包干项目，投标报价包含产品生产、运输、搬运、安装、检测等费用，采购人无须向供应商另外支付任何费用。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2、当合同采购数量与实际使用数量不一致时，供应商应根据实际使用量供货，合同的最终结算金额按实际使用量乘以成交单价进行计算。</w:t>
      </w:r>
      <w:r/>
    </w:p>
    <w:p>
      <w:pPr>
        <w:pStyle w:val="1170"/>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、验收要求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验收标准：符合国家有关标准、采购文件项目需求、技术要求及T/CNFA 10-2020《公共采购家具质量控制及验收规范》各项之要求。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   </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5、货物安装完成后，供应商需根据GB/T 18883</w:t>
      </w:r>
      <w:r>
        <w:rPr>
          <w:rFonts w:hint="eastAsia" w:ascii="宋体" w:hAnsi="宋体" w:eastAsia="宋体" w:cs="宋体"/>
          <w:color w:val="000000" w:themeColor="text1"/>
          <w:sz w:val="24"/>
          <w:szCs w:val="24"/>
          <w:highlight w:val="none"/>
          <w14:textFill>
            <w14:solidFill>
              <w14:schemeClr w14:val="tx1"/>
            </w14:solidFill>
          </w14:textFill>
        </w:rPr>
        <w:noBreakHyphen/>
      </w:r>
      <w:r>
        <w:rPr>
          <w:rFonts w:hint="eastAsia" w:ascii="宋体" w:hAnsi="宋体" w:eastAsia="宋体" w:cs="宋体"/>
          <w:color w:val="000000" w:themeColor="text1"/>
          <w:sz w:val="24"/>
          <w:szCs w:val="24"/>
          <w:highlight w:val="none"/>
          <w14:textFill>
            <w14:solidFill>
              <w14:schemeClr w14:val="tx1"/>
            </w14:solidFill>
          </w14:textFill>
        </w:rPr>
        <w:t xml:space="preserve">2022 《室内空气质量标准》，选择采购人和供应商双方均认可的检测机构，提供</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CMA认证的空气质量检测报告，一切费用由供应商自行承担。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pStyle w:val="1170"/>
        <w:ind w:firstLine="482"/>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、售后与服务</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1、本项目所有货物免费保修期至少10年（具体以供应商承诺函为准），保修期自采购人验收合格之日算起。保修范围包括合同中所有配置。</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2、供应商提交售后服务承诺，至少需包含以下内容：</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（1）为所供产品提供不低于10年免费质保服务（国家有相关质保规定优于本合同约定质保期的按国家相关规定执行）。</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承诺的免费质保期内，一旦发生质量问题，供应商保证在接到通知后的2小时内进行响应，并在24小时内组织专业人员到现场进行检修，确因产品本身质量问题的，将组织原厂人员进行维修、更换或退货处理，费用由供应商负责。</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（3）产品出现故障48小时不能修复的，免费提供同等功能的产品供采购人使用，直至故障修复。</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（4）质保期满后，能根据采购人要求提供充足的备品、备件，同时备品、备件的价格要略低于市场行情价。</w:t>
      </w:r>
      <w:r>
        <w:rPr>
          <w:rFonts w:hint="eastAsia" w:ascii="宋体" w:hAnsi="宋体" w:eastAsia="宋体" w:cs="宋体"/>
          <w:sz w:val="24"/>
          <w:szCs w:val="24"/>
          <w:highlight w:val="none"/>
        </w:rPr>
        <w:tab/>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3、保修期内，供应商负责对其提供的货物进行维修和维护，由此产生的一切费用均由供货商承担，不再收取任何费用。超过质保期外供应商仍要提供售后服务，只收取更换设备的材料成本费，不收取人工费。</w:t>
      </w:r>
      <w:r/>
    </w:p>
    <w:p>
      <w:pPr>
        <w:ind w:firstLine="360"/>
        <w:jc w:val="left"/>
        <w:spacing w:line="431"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投标人应制定完善的售后服务方案，方案内容应包含针对本次项目所提供的响应标准、备件体系、故障解决方案、专业技术人员保障等，其内容应具体详实，切实可行。</w:t>
      </w:r>
      <w:r/>
    </w:p>
    <w:p>
      <w:pPr>
        <w:ind w:firstLine="36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投标人应制定完善的本地化服务方案，方案内容应包含提供本地化服务的承诺，以及相应的本地化服务流程，确保一旦中标，能向采购人提供及时、有效的本地化服务。</w:t>
      </w:r>
      <w:r/>
    </w:p>
    <w:p>
      <w:pPr>
        <w:ind w:firstLine="360"/>
        <w:jc w:val="left"/>
        <w:spacing w:line="431"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十一、项目实施要求</w:t>
      </w:r>
      <w:r/>
    </w:p>
    <w:p>
      <w:pPr>
        <w:ind w:firstLine="480"/>
        <w:jc w:val="left"/>
        <w:spacing w:line="431"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投标人应按招标文件和投标文件列明的</w:t>
      </w:r>
      <w:r>
        <w:rPr>
          <w:rFonts w:ascii="宋体" w:hAnsi="宋体" w:cs="宋体"/>
          <w:b/>
          <w:bCs/>
          <w:color w:val="000000" w:themeColor="text1"/>
          <w:sz w:val="24"/>
          <w:szCs w:val="24"/>
          <w:highlight w:val="none"/>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设计、生产制造方案</w:t>
      </w:r>
      <w:r>
        <w:rPr>
          <w:rFonts w:ascii="宋体" w:hAnsi="宋体" w:cs="宋体"/>
          <w:color w:val="000000" w:themeColor="text1"/>
          <w:sz w:val="24"/>
          <w:szCs w:val="24"/>
          <w:highlight w:val="none"/>
          <w14:textFill>
            <w14:solidFill>
              <w14:schemeClr w14:val="tx1"/>
            </w14:solidFill>
          </w14:textFill>
        </w:rPr>
        <w:t xml:space="preserve">（含本项目</w:t>
      </w:r>
      <w:r>
        <w:rPr>
          <w:rFonts w:hint="default" w:ascii="宋体" w:hAnsi="宋体" w:cs="宋体"/>
          <w:color w:val="000000" w:themeColor="text1"/>
          <w:sz w:val="24"/>
          <w:szCs w:val="24"/>
          <w:highlight w:val="none"/>
          <w:lang w:val="en-US" w:eastAsia="zh-CN"/>
          <w14:textFill>
            <w14:solidFill>
              <w14:schemeClr w14:val="tx1"/>
            </w14:solidFill>
          </w14:textFill>
        </w:rPr>
        <w:t xml:space="preserve">设计生产制造方案，包括</w:t>
      </w:r>
      <w:r>
        <w:rPr>
          <w:rFonts w:hint="default" w:ascii="宋体" w:hAnsi="宋体" w:eastAsia="宋体" w:cs="宋体"/>
          <w:color w:val="000000" w:themeColor="text1"/>
          <w:sz w:val="24"/>
          <w:szCs w:val="24"/>
          <w:highlight w:val="none"/>
          <w14:textFill>
            <w14:solidFill>
              <w14:schemeClr w14:val="tx1"/>
            </w14:solidFill>
          </w14:textFill>
        </w:rPr>
        <w:t xml:space="preserve">产品效果图、供货周期、品牌（五金件、板材、钢材）、生产实施、生产进度计划、生产质量保证等</w:t>
      </w:r>
      <w:r>
        <w:rPr>
          <w:rFonts w:ascii="宋体" w:hAnsi="宋体" w:cs="宋体"/>
          <w:color w:val="000000" w:themeColor="text1"/>
          <w:sz w:val="24"/>
          <w:szCs w:val="24"/>
          <w:highlight w:val="none"/>
          <w14:textFill>
            <w14:solidFill>
              <w14:schemeClr w14:val="tx1"/>
            </w14:solidFill>
          </w14:textFill>
        </w:rPr>
        <w:t xml:space="preserve">）</w:t>
      </w:r>
      <w:r>
        <w:rPr>
          <w:rFonts w:hint="default" w:ascii="宋体" w:hAnsi="宋体" w:cs="宋体"/>
          <w:color w:val="000000" w:themeColor="text1"/>
          <w:sz w:val="24"/>
          <w:szCs w:val="24"/>
          <w:highlight w:val="none"/>
          <w:lang w:val="en-US" w:eastAsia="zh-CN"/>
          <w14:textFill>
            <w14:solidFill>
              <w14:schemeClr w14:val="tx1"/>
            </w14:solidFill>
          </w14:textFill>
        </w:rPr>
        <w:t xml:space="preserve">设计和生产制造，并经采购人同意后批量生产。</w:t>
      </w:r>
      <w:r/>
    </w:p>
    <w:p>
      <w:pPr>
        <w:ind w:firstLine="360"/>
        <w:jc w:val="left"/>
        <w:spacing w:line="431"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投标人应按招标文件和投标文件列明的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产品运输和安装方案</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包括安装人员、时间、顺序的规划、</w:t>
      </w:r>
      <w:r>
        <w:rPr>
          <w:rFonts w:hint="default" w:ascii="宋体" w:hAnsi="宋体" w:cs="宋体"/>
          <w:color w:val="000000" w:themeColor="text1"/>
          <w:sz w:val="24"/>
          <w:szCs w:val="24"/>
          <w:highlight w:val="none"/>
          <w:lang w:val="en-US" w:eastAsia="zh-CN"/>
          <w14:textFill>
            <w14:solidFill>
              <w14:schemeClr w14:val="tx1"/>
            </w14:solidFill>
          </w14:textFill>
        </w:rPr>
        <w:t xml:space="preserve">运输</w:t>
      </w:r>
      <w:r>
        <w:rPr>
          <w:rFonts w:hint="eastAsia" w:ascii="宋体" w:hAnsi="宋体" w:cs="宋体"/>
          <w:color w:val="000000" w:themeColor="text1"/>
          <w:sz w:val="24"/>
          <w:szCs w:val="24"/>
          <w:highlight w:val="none"/>
          <w14:textFill>
            <w14:solidFill>
              <w14:schemeClr w14:val="tx1"/>
            </w14:solidFill>
          </w14:textFill>
        </w:rPr>
        <w:t xml:space="preserve">方案</w:t>
      </w:r>
      <w:r>
        <w:rPr>
          <w:rFonts w:hint="default"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lang w:val="en-US" w:eastAsia="zh-CN"/>
          <w14:textFill>
            <w14:solidFill>
              <w14:schemeClr w14:val="tx1"/>
            </w14:solidFill>
          </w14:textFill>
        </w:rPr>
        <w:t xml:space="preserve">安装后</w:t>
      </w:r>
      <w:r>
        <w:rPr>
          <w:rFonts w:hint="default" w:ascii="宋体" w:hAnsi="宋体" w:eastAsia="宋体" w:cs="宋体"/>
          <w:color w:val="000000" w:themeColor="text1"/>
          <w:sz w:val="24"/>
          <w:szCs w:val="24"/>
          <w:highlight w:val="none"/>
          <w14:textFill>
            <w14:solidFill>
              <w14:schemeClr w14:val="tx1"/>
            </w14:solidFill>
          </w14:textFill>
        </w:rPr>
        <w:t xml:space="preserve">空气质量检测</w:t>
      </w:r>
      <w:r>
        <w:rPr>
          <w:rFonts w:hint="default" w:ascii="宋体" w:hAnsi="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cs="宋体"/>
          <w:color w:val="000000" w:themeColor="text1"/>
          <w:sz w:val="24"/>
          <w:szCs w:val="24"/>
          <w:highlight w:val="none"/>
          <w14:textFill>
            <w14:solidFill>
              <w14:schemeClr w14:val="tx1"/>
            </w14:solidFill>
          </w14:textFill>
        </w:rPr>
        <w:t xml:space="preserve">等</w:t>
      </w:r>
      <w:r>
        <w:rPr>
          <w:rFonts w:ascii="宋体" w:hAnsi="宋体" w:cs="宋体"/>
          <w:color w:val="000000" w:themeColor="text1"/>
          <w:sz w:val="24"/>
          <w:szCs w:val="24"/>
          <w:highlight w:val="none"/>
          <w14:textFill>
            <w14:solidFill>
              <w14:schemeClr w14:val="tx1"/>
            </w14:solidFill>
          </w14:textFill>
        </w:rPr>
        <w:t xml:space="preserve">）进行供货、安装调试，以确保项目按本合同约定如期完成。采购人向投标人免费提供适当的物品堆放场地，但物品保管由投标人自行负责。项目实施人员在采购人场地期间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p>
    <w:p>
      <w:pPr>
        <w:numPr>
          <w:ilvl w:val="0"/>
          <w:numId w:val="0"/>
        </w:numPr>
        <w:jc w:val="center"/>
        <w:spacing w:before="120" w:after="120" w:line="0" w:lineRule="atLeast"/>
        <w:rPr>
          <w:rFonts w:hint="default" w:ascii="黑体" w:hAnsi="Courier New" w:eastAsia="黑体" w:cs="Courier New"/>
          <w:bCs/>
          <w:color w:val="000000" w:themeColor="text1"/>
          <w:sz w:val="36"/>
          <w:szCs w:val="18"/>
          <w:highlight w:val="none"/>
          <w:lang w:val="en-US" w:eastAsia="zh-CN"/>
          <w14:textFill>
            <w14:solidFill>
              <w14:schemeClr w14:val="tx1"/>
            </w14:solidFill>
          </w14:textFill>
        </w:rPr>
      </w:pP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分包二</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需求</w:t>
      </w:r>
      <w:r/>
    </w:p>
    <w:p>
      <w:pPr>
        <w:ind w:firstLine="480"/>
        <w:jc w:val="left"/>
        <w:spacing w:line="560" w:lineRule="exact"/>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lang w:val="zh-CN"/>
          <w14:textFill>
            <w14:solidFill>
              <w14:schemeClr w14:val="tx1"/>
            </w14:solidFill>
          </w14:textFill>
        </w:rPr>
        <w:t xml:space="preserve">标注“★”</w:t>
      </w:r>
      <w:r>
        <w:rPr>
          <w:rFonts w:hint="eastAsia" w:cs="仿宋"/>
          <w:color w:val="000000" w:themeColor="text1"/>
          <w:sz w:val="24"/>
          <w:highlight w:val="none"/>
          <w14:textFill>
            <w14:solidFill>
              <w14:schemeClr w14:val="tx1"/>
            </w14:solidFill>
          </w14:textFill>
        </w:rPr>
        <w:t xml:space="preserve">号</w:t>
      </w:r>
      <w:r>
        <w:rPr>
          <w:rFonts w:hint="eastAsia" w:ascii="宋体" w:hAnsi="宋体"/>
          <w:b/>
          <w:bCs/>
          <w:i/>
          <w:sz w:val="24"/>
          <w:szCs w:val="21"/>
          <w:highlight w:val="none"/>
          <w:u w:val="single"/>
        </w:rPr>
        <w:t xml:space="preserve">斜体且有下划线部分</w:t>
      </w:r>
      <w:r>
        <w:rPr>
          <w:rFonts w:hint="eastAsia" w:cs="仿宋"/>
          <w:color w:val="000000" w:themeColor="text1"/>
          <w:sz w:val="24"/>
          <w:highlight w:val="none"/>
          <w14:textFill>
            <w14:solidFill>
              <w14:schemeClr w14:val="tx1"/>
            </w14:solidFill>
          </w14:textFill>
        </w:rPr>
        <w:t xml:space="preserve">的为实质性要求</w:t>
      </w:r>
      <w:r>
        <w:rPr>
          <w:rFonts w:hint="eastAsia" w:cs="仿宋"/>
          <w:color w:val="000000" w:themeColor="text1"/>
          <w:sz w:val="24"/>
          <w:highlight w:val="none"/>
          <w:lang w:val="zh-CN"/>
          <w14:textFill>
            <w14:solidFill>
              <w14:schemeClr w14:val="tx1"/>
            </w14:solidFill>
          </w14:textFill>
        </w:rPr>
        <w:t xml:space="preserve">，未完全满足的作无效投标处理。</w:t>
      </w:r>
      <w:r/>
    </w:p>
    <w:p>
      <w:pPr>
        <w:pStyle w:val="1196"/>
        <w:ind w:firstLine="482"/>
        <w:jc w:val="left"/>
        <w:spacing w:line="560" w:lineRule="exact"/>
        <w:rPr>
          <w:rFonts w:hint="eastAsia" w:eastAsia="宋体" w:cs="仿宋"/>
          <w:b/>
          <w:color w:val="000000" w:themeColor="text1"/>
          <w:sz w:val="24"/>
          <w:highlight w:val="none"/>
          <w:lang w:eastAsia="zh-CN"/>
          <w14:textFill>
            <w14:solidFill>
              <w14:schemeClr w14:val="tx1"/>
            </w14:solidFill>
          </w14:textFill>
        </w:rPr>
        <w:outlineLvl w:val="0"/>
      </w:pPr>
      <w:r>
        <w:rPr>
          <w:rFonts w:hint="eastAsia" w:cs="仿宋"/>
          <w:b/>
          <w:color w:val="000000" w:themeColor="text1"/>
          <w:sz w:val="24"/>
          <w:highlight w:val="none"/>
          <w14:textFill>
            <w14:solidFill>
              <w14:schemeClr w14:val="tx1"/>
            </w14:solidFill>
          </w14:textFill>
        </w:rPr>
        <w:t xml:space="preserve">一、项目</w:t>
      </w:r>
      <w:r>
        <w:rPr>
          <w:rFonts w:hint="eastAsia" w:cs="仿宋"/>
          <w:b/>
          <w:color w:val="000000" w:themeColor="text1"/>
          <w:sz w:val="24"/>
          <w:highlight w:val="none"/>
          <w:lang w:val="en-US" w:eastAsia="zh-CN"/>
          <w14:textFill>
            <w14:solidFill>
              <w14:schemeClr w14:val="tx1"/>
            </w14:solidFill>
          </w14:textFill>
        </w:rPr>
        <w:t xml:space="preserve">概况</w:t>
      </w:r>
      <w:r/>
    </w:p>
    <w:p>
      <w:pPr>
        <w:ind w:firstLine="480"/>
        <w:jc w:val="left"/>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w:t>
      </w:r>
      <w:r>
        <w:rPr>
          <w:rFonts w:hint="eastAsia" w:cs="仿宋"/>
          <w:b/>
          <w:bCs/>
          <w:color w:val="000000" w:themeColor="text1"/>
          <w:sz w:val="24"/>
          <w:highlight w:val="none"/>
          <w:lang w:val="en-US" w:eastAsia="zh-CN"/>
          <w14:textFill>
            <w14:solidFill>
              <w14:schemeClr w14:val="tx1"/>
            </w14:solidFill>
          </w14:textFill>
        </w:rPr>
        <w:t xml:space="preserve">分</w:t>
      </w:r>
      <w:r>
        <w:rPr>
          <w:rFonts w:hint="eastAsia" w:cs="仿宋"/>
          <w:b/>
          <w:bCs/>
          <w:color w:val="000000" w:themeColor="text1"/>
          <w:spacing w:val="8"/>
          <w:sz w:val="24"/>
          <w:highlight w:val="none"/>
          <w14:textFill>
            <w14:solidFill>
              <w14:schemeClr w14:val="tx1"/>
            </w14:solidFill>
          </w14:textFill>
        </w:rPr>
        <w:t xml:space="preserve">包二：</w:t>
      </w:r>
      <w:r>
        <w:rPr>
          <w:rFonts w:hint="eastAsia" w:cs="仿宋"/>
          <w:color w:val="000000" w:themeColor="text1"/>
          <w:spacing w:val="8"/>
          <w:sz w:val="24"/>
          <w:highlight w:val="none"/>
          <w14:textFill>
            <w14:solidFill>
              <w14:schemeClr w14:val="tx1"/>
            </w14:solidFill>
          </w14:textFill>
        </w:rPr>
        <w:t xml:space="preserve">负责</w:t>
      </w:r>
      <w:r>
        <w:rPr>
          <w:rFonts w:hint="eastAsia" w:cs="仿宋"/>
          <w:color w:val="000000" w:themeColor="text1"/>
          <w:sz w:val="24"/>
          <w:highlight w:val="none"/>
          <w14:textFill>
            <w14:solidFill>
              <w14:schemeClr w14:val="tx1"/>
            </w14:solidFill>
          </w14:textFill>
        </w:rPr>
        <w:t xml:space="preserve">江苏开放大学浦口校区</w:t>
      </w:r>
      <w:r>
        <w:rPr>
          <w:rFonts w:hint="eastAsia" w:cs="仿宋"/>
          <w:color w:val="000000" w:themeColor="text1"/>
          <w:spacing w:val="8"/>
          <w:sz w:val="24"/>
          <w:highlight w:val="none"/>
          <w14:textFill>
            <w14:solidFill>
              <w14:schemeClr w14:val="tx1"/>
            </w14:solidFill>
          </w14:textFill>
        </w:rPr>
        <w:t xml:space="preserve">G区（女生</w:t>
      </w:r>
      <w:r>
        <w:rPr>
          <w:rFonts w:hint="eastAsia" w:cs="仿宋"/>
          <w:color w:val="000000" w:themeColor="text1"/>
          <w:sz w:val="24"/>
          <w:highlight w:val="none"/>
          <w14:textFill>
            <w14:solidFill>
              <w14:schemeClr w14:val="tx1"/>
            </w14:solidFill>
          </w14:textFill>
        </w:rPr>
        <w:t xml:space="preserve">公寓</w:t>
      </w:r>
      <w:r>
        <w:rPr>
          <w:rFonts w:hint="eastAsia" w:cs="仿宋"/>
          <w:color w:val="000000" w:themeColor="text1"/>
          <w:spacing w:val="8"/>
          <w:sz w:val="24"/>
          <w:highlight w:val="none"/>
          <w14:textFill>
            <w14:solidFill>
              <w14:schemeClr w14:val="tx1"/>
            </w14:solidFill>
          </w14:textFill>
        </w:rPr>
        <w:t xml:space="preserve">）楼栋家具采购，包括公寓组合床（外挂梯）、公寓椅、</w:t>
      </w:r>
      <w:r>
        <w:rPr>
          <w:rFonts w:hint="eastAsia" w:cs="仿宋"/>
          <w:color w:val="000000" w:themeColor="text1"/>
          <w:sz w:val="24"/>
          <w:highlight w:val="none"/>
          <w14:textFill>
            <w14:solidFill>
              <w14:schemeClr w14:val="tx1"/>
            </w14:solidFill>
          </w14:textFill>
        </w:rPr>
        <w:t xml:space="preserve">单人床桌柜</w:t>
      </w:r>
      <w:r>
        <w:rPr>
          <w:rFonts w:hint="eastAsia" w:cs="仿宋"/>
          <w:color w:val="000000" w:themeColor="text1"/>
          <w:spacing w:val="8"/>
          <w:sz w:val="24"/>
          <w:highlight w:val="none"/>
          <w14:textFill>
            <w14:solidFill>
              <w14:schemeClr w14:val="tx1"/>
            </w14:solidFill>
          </w14:textFill>
        </w:rPr>
        <w:t xml:space="preserve">等，具体家具规格、数量详见本包段《采购标的清单》。</w:t>
      </w:r>
      <w:r/>
    </w:p>
    <w:p>
      <w:pPr>
        <w:pStyle w:val="724"/>
        <w:ind w:firstLine="512"/>
        <w:jc w:val="both"/>
        <w:spacing w:line="560" w:lineRule="exact"/>
        <w:rPr>
          <w:rFonts w:ascii="Times New Roman" w:hAnsi="Times New Roman" w:cs="仿宋"/>
          <w:b w:val="0"/>
          <w:bCs w:val="0"/>
          <w:color w:val="000000" w:themeColor="text1"/>
          <w:spacing w:val="8"/>
          <w:sz w:val="24"/>
          <w:highlight w:val="none"/>
          <w14:textFill>
            <w14:solidFill>
              <w14:schemeClr w14:val="tx1"/>
            </w14:solidFill>
          </w14:textFill>
        </w:rPr>
      </w:pPr>
      <w:r>
        <w:rPr>
          <w:rFonts w:hint="eastAsia" w:ascii="Times New Roman" w:hAnsi="Times New Roman" w:cs="仿宋"/>
          <w:b w:val="0"/>
          <w:bCs w:val="0"/>
          <w:color w:val="000000" w:themeColor="text1"/>
          <w:spacing w:val="8"/>
          <w:sz w:val="24"/>
          <w:highlight w:val="none"/>
          <w14:textFill>
            <w14:solidFill>
              <w14:schemeClr w14:val="tx1"/>
            </w14:solidFill>
          </w14:textFill>
        </w:rPr>
        <w:t xml:space="preserve">2、采购标准</w:t>
      </w:r>
      <w:r/>
    </w:p>
    <w:p>
      <w:pPr>
        <w:ind w:firstLine="512"/>
        <w:spacing w:line="560" w:lineRule="exact"/>
        <w:rPr>
          <w:rFonts w:cs="仿宋"/>
          <w:color w:val="000000" w:themeColor="text1"/>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（1）普通四</w:t>
      </w:r>
      <w:r>
        <w:rPr>
          <w:rFonts w:hint="eastAsia" w:cs="仿宋"/>
          <w:color w:val="000000" w:themeColor="text1"/>
          <w:sz w:val="24"/>
          <w:highlight w:val="none"/>
          <w14:textFill>
            <w14:solidFill>
              <w14:schemeClr w14:val="tx1"/>
            </w14:solidFill>
          </w14:textFill>
        </w:rPr>
        <w:t xml:space="preserve">人间：每间公寓组合床2套（</w:t>
      </w:r>
      <w:r>
        <w:rPr>
          <w:rFonts w:hint="eastAsia" w:cs="仿宋"/>
          <w:sz w:val="24"/>
          <w:highlight w:val="none"/>
        </w:rPr>
        <w:t xml:space="preserve">两人位为一套</w:t>
      </w:r>
      <w:r>
        <w:rPr>
          <w:rFonts w:hint="eastAsia" w:cs="仿宋"/>
          <w:color w:val="000000" w:themeColor="text1"/>
          <w:sz w:val="24"/>
          <w:highlight w:val="none"/>
          <w14:textFill>
            <w14:solidFill>
              <w14:schemeClr w14:val="tx1"/>
            </w14:solidFill>
          </w14:textFill>
        </w:rPr>
        <w:t xml:space="preserve">）、公寓椅4张，具体尺寸见</w:t>
      </w:r>
      <w:r>
        <w:rPr>
          <w:rFonts w:hint="eastAsia" w:cs="仿宋"/>
          <w:color w:val="000000" w:themeColor="text1"/>
          <w:spacing w:val="8"/>
          <w:sz w:val="24"/>
          <w:highlight w:val="none"/>
          <w14:textFill>
            <w14:solidFill>
              <w14:schemeClr w14:val="tx1"/>
            </w14:solidFill>
          </w14:textFill>
        </w:rPr>
        <w:t xml:space="preserve">《采购需求清单》。</w:t>
      </w:r>
      <w:r/>
    </w:p>
    <w:p>
      <w:pPr>
        <w:ind w:firstLine="480"/>
        <w:spacing w:line="560" w:lineRule="exact"/>
        <w:rPr>
          <w:highlight w:val="none"/>
        </w:rPr>
      </w:pPr>
      <w:r>
        <w:rPr>
          <w:rFonts w:hint="eastAsia" w:cs="仿宋"/>
          <w:color w:val="000000" w:themeColor="text1"/>
          <w:sz w:val="24"/>
          <w:highlight w:val="none"/>
          <w14:textFill>
            <w14:solidFill>
              <w14:schemeClr w14:val="tx1"/>
            </w14:solidFill>
          </w14:textFill>
        </w:rPr>
        <w:t xml:space="preserve">（2）普通单人间（无障碍房、值班室）：每间1.2m*2m单人床1张、公寓椅1张、书桌1组、衣柜1组。</w:t>
      </w:r>
      <w:r/>
    </w:p>
    <w:p>
      <w:pPr>
        <w:ind w:firstLine="512"/>
        <w:spacing w:line="560" w:lineRule="exact"/>
        <w:rPr>
          <w:rFonts w:hint="eastAsia" w:eastAsia="宋体" w:cs="仿宋"/>
          <w:color w:val="000000" w:themeColor="text1"/>
          <w:spacing w:val="8"/>
          <w:sz w:val="24"/>
          <w:highlight w:val="none"/>
          <w:lang w:val="en-US" w:eastAsia="zh-CN"/>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3、涉及家具采购的楼栋房间清单</w:t>
      </w:r>
      <w:r>
        <w:rPr>
          <w:rFonts w:hint="eastAsia" w:cs="仿宋"/>
          <w:color w:val="000000" w:themeColor="text1"/>
          <w:spacing w:val="8"/>
          <w:sz w:val="24"/>
          <w:highlight w:val="none"/>
          <w:lang w:val="en-US" w:eastAsia="zh-CN"/>
          <w14:textFill>
            <w14:solidFill>
              <w14:schemeClr w14:val="tx1"/>
            </w14:solidFill>
          </w14:textFill>
        </w:rPr>
        <w:t xml:space="preserve"> </w:t>
      </w:r>
      <w:r/>
    </w:p>
    <w:p>
      <w:pPr>
        <w:pStyle w:val="724"/>
        <w:jc w:val="center"/>
        <w:spacing w:line="560" w:lineRule="exact"/>
        <w:rPr>
          <w:rFonts w:ascii="Times New Roman" w:hAnsi="Times New Roman" w:cs="仿宋"/>
          <w:b w:val="0"/>
          <w:bCs w:val="0"/>
          <w:color w:val="000000" w:themeColor="text1"/>
          <w:spacing w:val="8"/>
          <w:sz w:val="24"/>
          <w:highlight w:val="none"/>
          <w14:textFill>
            <w14:solidFill>
              <w14:schemeClr w14:val="tx1"/>
            </w14:solidFill>
          </w14:textFill>
        </w:rPr>
      </w:pPr>
      <w:r>
        <w:rPr>
          <w:rFonts w:hint="eastAsia" w:cs="仿宋"/>
          <w:b w:val="0"/>
          <w:bCs w:val="0"/>
          <w:color w:val="000000" w:themeColor="text1"/>
          <w:spacing w:val="8"/>
          <w:sz w:val="24"/>
          <w:highlight w:val="none"/>
          <w:lang w:val="en-US" w:eastAsia="zh-CN"/>
          <w14:textFill>
            <w14:solidFill>
              <w14:schemeClr w14:val="tx1"/>
            </w14:solidFill>
          </w14:textFill>
        </w:rPr>
        <w:t xml:space="preserve">分</w:t>
      </w:r>
      <w:r>
        <w:rPr>
          <w:rFonts w:hint="eastAsia" w:ascii="Times New Roman" w:hAnsi="Times New Roman" w:cs="仿宋"/>
          <w:b w:val="0"/>
          <w:bCs w:val="0"/>
          <w:color w:val="000000" w:themeColor="text1"/>
          <w:spacing w:val="8"/>
          <w:sz w:val="24"/>
          <w:highlight w:val="none"/>
          <w14:textFill>
            <w14:solidFill>
              <w14:schemeClr w14:val="tx1"/>
            </w14:solidFill>
          </w14:textFill>
        </w:rPr>
        <w:t xml:space="preserve">包二楼栋房间清单</w:t>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1"/>
        <w:gridCol w:w="945"/>
        <w:gridCol w:w="2062"/>
        <w:gridCol w:w="2559"/>
        <w:gridCol w:w="3263"/>
      </w:tblGrid>
      <w:tr>
        <w:trPr/>
        <w:tc>
          <w:tcPr>
            <w:tcW w:w="76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区域</w:t>
            </w:r>
            <w:r/>
          </w:p>
        </w:tc>
        <w:tc>
          <w:tcPr>
            <w:tcW w:w="453"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楼栋</w:t>
            </w:r>
            <w:r/>
          </w:p>
        </w:tc>
        <w:tc>
          <w:tcPr>
            <w:tcW w:w="989"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房间标准</w:t>
            </w:r>
            <w:r/>
          </w:p>
        </w:tc>
        <w:tc>
          <w:tcPr>
            <w:tcW w:w="1227"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房间数量（间）</w:t>
            </w:r>
            <w:r/>
          </w:p>
        </w:tc>
        <w:tc>
          <w:tcPr>
            <w:tcW w:w="1565"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备注</w:t>
            </w:r>
            <w:r/>
          </w:p>
        </w:tc>
      </w:tr>
      <w:tr>
        <w:trPr/>
        <w:tc>
          <w:tcPr>
            <w:tcW w:w="763"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G区</w:t>
            </w:r>
            <w:r/>
          </w:p>
          <w:p>
            <w:pPr>
              <w:pStyle w:val="727"/>
              <w:ind w:left="0"/>
              <w:jc w:val="center"/>
              <w:rPr>
                <w:rFonts w:ascii="Times New Roman" w:hAnsi="Times New Roman"/>
                <w:highlight w:val="none"/>
              </w:rPr>
            </w:pPr>
            <w:r>
              <w:rPr>
                <w:rFonts w:hint="eastAsia" w:ascii="Times New Roman" w:hAnsi="Times New Roman" w:cs="仿宋"/>
                <w:color w:val="000000" w:themeColor="text1"/>
                <w:spacing w:val="8"/>
                <w:highlight w:val="none"/>
                <w14:textFill>
                  <w14:solidFill>
                    <w14:schemeClr w14:val="tx1"/>
                  </w14:solidFill>
                </w14:textFill>
              </w:rPr>
              <w:t xml:space="preserve">（381间）</w:t>
            </w:r>
            <w:r/>
          </w:p>
        </w:tc>
        <w:tc>
          <w:tcPr>
            <w:tcW w:w="453"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G2</w:t>
            </w:r>
            <w:r/>
          </w:p>
        </w:tc>
        <w:tc>
          <w:tcPr>
            <w:tcW w:w="989"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w:t>
            </w:r>
            <w:r/>
          </w:p>
        </w:tc>
        <w:tc>
          <w:tcPr>
            <w:tcW w:w="1227"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195</w:t>
            </w:r>
            <w:r/>
          </w:p>
        </w:tc>
        <w:tc>
          <w:tcPr>
            <w:tcW w:w="1565"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普通四人间共375间、普通单人间共6间。</w:t>
            </w:r>
            <w:r/>
          </w:p>
        </w:tc>
      </w:tr>
      <w:tr>
        <w:trPr/>
        <w:tc>
          <w:tcPr>
            <w:tcW w:w="763"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453"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989"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普通单人间</w:t>
            </w:r>
            <w:r/>
          </w:p>
        </w:tc>
        <w:tc>
          <w:tcPr>
            <w:tcW w:w="1227"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w:t>
            </w:r>
            <w:r/>
          </w:p>
        </w:tc>
        <w:tc>
          <w:tcPr>
            <w:tcW w:w="1565"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r>
        <w:trPr/>
        <w:tc>
          <w:tcPr>
            <w:tcW w:w="763"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453" w:type="pct"/>
            <w:vAlign w:val="center"/>
            <w:vMerge w:val="restart"/>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G3</w:t>
            </w:r>
            <w:r/>
          </w:p>
        </w:tc>
        <w:tc>
          <w:tcPr>
            <w:tcW w:w="989"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普通四人间</w:t>
            </w:r>
            <w:r/>
          </w:p>
        </w:tc>
        <w:tc>
          <w:tcPr>
            <w:tcW w:w="1227"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180</w:t>
            </w:r>
            <w:r/>
          </w:p>
        </w:tc>
        <w:tc>
          <w:tcPr>
            <w:tcW w:w="1565"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r>
        <w:trPr/>
        <w:tc>
          <w:tcPr>
            <w:tcW w:w="763"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453"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W w:w="989"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普通单人间</w:t>
            </w:r>
            <w:r/>
          </w:p>
        </w:tc>
        <w:tc>
          <w:tcPr>
            <w:tcW w:w="1227" w:type="pct"/>
            <w:vAlign w:val="center"/>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3</w:t>
            </w:r>
            <w:r/>
          </w:p>
        </w:tc>
        <w:tc>
          <w:tcPr>
            <w:tcW w:w="1565" w:type="pct"/>
            <w:vAlign w:val="center"/>
            <w:vMerge w:val="continue"/>
            <w:textDirection w:val="lrTb"/>
            <w:noWrap w:val="false"/>
          </w:tcPr>
          <w:p>
            <w:pPr>
              <w:jc w:val="center"/>
              <w:spacing w:line="560" w:lineRule="exact"/>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r>
    </w:tbl>
    <w:p>
      <w:pPr>
        <w:ind w:firstLine="482"/>
        <w:jc w:val="left"/>
        <w:spacing w:line="560" w:lineRule="exact"/>
        <w:rPr>
          <w:rFonts w:cs="仿宋"/>
          <w:b/>
          <w:color w:val="000000" w:themeColor="text1"/>
          <w:sz w:val="24"/>
          <w:highlight w:val="none"/>
          <w14:textFill>
            <w14:solidFill>
              <w14:schemeClr w14:val="tx1"/>
            </w14:solidFill>
          </w14:textFill>
        </w:rPr>
      </w:pPr>
      <w:r>
        <w:rPr>
          <w:rFonts w:hint="eastAsia" w:cs="仿宋"/>
          <w:b/>
          <w:color w:val="000000" w:themeColor="text1"/>
          <w:sz w:val="24"/>
          <w:highlight w:val="none"/>
          <w14:textFill>
            <w14:solidFill>
              <w14:schemeClr w14:val="tx1"/>
            </w14:solidFill>
          </w14:textFill>
        </w:rPr>
        <w:t xml:space="preserve">二、采购标的</w:t>
      </w:r>
      <w:r/>
    </w:p>
    <w:tbl>
      <w:tblPr>
        <w:tblStyle w:val="717"/>
        <w:tblpPr w:horzAnchor="page" w:tblpX="1782" w:vertAnchor="text" w:tblpY="56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0"/>
        <w:gridCol w:w="1656"/>
        <w:gridCol w:w="2870"/>
        <w:gridCol w:w="696"/>
        <w:gridCol w:w="696"/>
        <w:gridCol w:w="984"/>
      </w:tblGrid>
      <w:tr>
        <w:trPr>
          <w:trHeight w:val="452"/>
        </w:trPr>
        <w:tc>
          <w:tcPr>
            <w:tcBorders>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楼栋</w:t>
            </w:r>
            <w:r/>
          </w:p>
        </w:tc>
        <w:tc>
          <w:tcPr>
            <w:tcW w:w="0" w:type="auto"/>
            <w:vAlign w:val="center"/>
            <w:textDirection w:val="lrTb"/>
            <w:noWrap w:val="false"/>
          </w:tcPr>
          <w:p>
            <w:pPr>
              <w:ind w:firstLine="88"/>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标的名称</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尺寸</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单位</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数量</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需求</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位置</w:t>
            </w:r>
            <w:r/>
          </w:p>
        </w:tc>
      </w:tr>
      <w:tr>
        <w:trPr>
          <w:trHeight w:val="689"/>
        </w:trPr>
        <w:tc>
          <w:tcPr>
            <w:tcW w:w="0" w:type="auto"/>
            <w:vAlign w:val="center"/>
            <w:vMerge w:val="restart"/>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lang w:val="en-US" w:eastAsia="zh-CN"/>
                <w14:textFill>
                  <w14:solidFill>
                    <w14:schemeClr w14:val="tx1"/>
                  </w14:solidFill>
                </w14:textFill>
              </w:rPr>
              <w:t xml:space="preserve">分包二：</w:t>
            </w:r>
            <w:r>
              <w:rPr>
                <w:rFonts w:hint="eastAsia" w:cs="仿宋"/>
                <w:color w:val="000000" w:themeColor="text1"/>
                <w:sz w:val="24"/>
                <w:highlight w:val="none"/>
                <w14:textFill>
                  <w14:solidFill>
                    <w14:schemeClr w14:val="tx1"/>
                  </w14:solidFill>
                </w14:textFill>
              </w:rPr>
              <w:t xml:space="preserve">G区</w:t>
            </w:r>
            <w:r/>
          </w:p>
          <w:p>
            <w:pPr>
              <w:pStyle w:val="724"/>
              <w:rPr>
                <w:rFonts w:ascii="Times New Roman" w:hAnsi="Times New Roman"/>
                <w:highlight w:val="none"/>
              </w:rPr>
            </w:pPr>
            <w:r>
              <w:rPr>
                <w:rFonts w:hint="eastAsia" w:ascii="Times New Roman" w:hAnsi="Times New Roman" w:cs="仿宋"/>
                <w:b w:val="0"/>
                <w:bCs w:val="0"/>
                <w:color w:val="000000" w:themeColor="text1"/>
                <w:sz w:val="24"/>
                <w:highlight w:val="none"/>
                <w14:textFill>
                  <w14:solidFill>
                    <w14:schemeClr w14:val="tx1"/>
                  </w14:solidFill>
                </w14:textFill>
              </w:rPr>
              <w:t xml:space="preserve">（381间）</w:t>
            </w:r>
            <w:r/>
          </w:p>
        </w:tc>
        <w:tc>
          <w:tcPr>
            <w:tcBorders>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公寓组合床</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（外挂梯）</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4000*900*2250mm</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套</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750</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普通</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四人间</w:t>
            </w:r>
            <w:r/>
          </w:p>
        </w:tc>
      </w:tr>
      <w:tr>
        <w:trPr>
          <w:trHeight w:val="687"/>
        </w:trPr>
        <w:tc>
          <w:tcPr>
            <w:tcW w:w="0" w:type="auto"/>
            <w:vAlign w:val="center"/>
            <w:vMerge w:val="continue"/>
            <w:textDirection w:val="lrTb"/>
            <w:noWrap w:val="false"/>
          </w:tcPr>
          <w:p>
            <w:pPr>
              <w:jc w:val="center"/>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tcBorders>
              <w:top w:val="single" w:color="auto" w:sz="4" w:space="0"/>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单人床及家具</w:t>
            </w:r>
            <w:r/>
          </w:p>
        </w:tc>
        <w:tc>
          <w:tcPr>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床：2000*1200*850mm</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桌子：1200*600*2050mm</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柜子：800*600*2050mm</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套</w:t>
            </w:r>
            <w:r/>
          </w:p>
        </w:tc>
        <w:tc>
          <w:tcPr>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6</w:t>
            </w:r>
            <w:r/>
          </w:p>
        </w:tc>
        <w:tc>
          <w:tcPr>
            <w:tcW w:w="0" w:type="auto"/>
            <w:vAlign w:val="center"/>
            <w:textDirection w:val="lrTb"/>
            <w:noWrap w:val="false"/>
          </w:tcPr>
          <w:p>
            <w:pPr>
              <w:jc w:val="center"/>
              <w:rPr>
                <w:rFonts w:cs="仿宋"/>
                <w:color w:val="000000" w:themeColor="text1"/>
                <w:spacing w:val="8"/>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普通</w:t>
            </w:r>
            <w:r/>
          </w:p>
          <w:p>
            <w:pPr>
              <w:jc w:val="center"/>
              <w:rPr>
                <w:rFonts w:cs="仿宋"/>
                <w:color w:val="000000" w:themeColor="text1"/>
                <w:sz w:val="24"/>
                <w:highlight w:val="none"/>
                <w14:textFill>
                  <w14:solidFill>
                    <w14:schemeClr w14:val="tx1"/>
                  </w14:solidFill>
                </w14:textFill>
              </w:rPr>
            </w:pPr>
            <w:r>
              <w:rPr>
                <w:rFonts w:hint="eastAsia" w:cs="仿宋"/>
                <w:color w:val="000000" w:themeColor="text1"/>
                <w:spacing w:val="8"/>
                <w:sz w:val="24"/>
                <w:highlight w:val="none"/>
                <w14:textFill>
                  <w14:solidFill>
                    <w14:schemeClr w14:val="tx1"/>
                  </w14:solidFill>
                </w14:textFill>
              </w:rPr>
              <w:t xml:space="preserve">单人间</w:t>
            </w:r>
            <w:r/>
          </w:p>
        </w:tc>
      </w:tr>
      <w:tr>
        <w:trPr>
          <w:trHeight w:val="687"/>
        </w:trPr>
        <w:tc>
          <w:tcPr>
            <w:tcBorders>
              <w:bottom w:val="single" w:color="auto" w:sz="4" w:space="0"/>
            </w:tcBorders>
            <w:tcW w:w="0" w:type="auto"/>
            <w:vAlign w:val="center"/>
            <w:vMerge w:val="continue"/>
            <w:textDirection w:val="lrTb"/>
            <w:noWrap w:val="false"/>
          </w:tcPr>
          <w:p>
            <w:pPr>
              <w:jc w:val="center"/>
              <w:rPr>
                <w:rFonts w:cs="仿宋"/>
                <w:color w:val="000000" w:themeColor="text1"/>
                <w:spacing w:val="8"/>
                <w:sz w:val="24"/>
                <w:highlight w:val="none"/>
                <w14:textFill>
                  <w14:solidFill>
                    <w14:schemeClr w14:val="tx1"/>
                  </w14:solidFill>
                </w14:textFill>
              </w:rPr>
            </w:pPr>
            <w:r>
              <w:rPr>
                <w:rFonts w:cs="仿宋"/>
                <w:color w:val="000000" w:themeColor="text1"/>
                <w:spacing w:val="8"/>
                <w:sz w:val="24"/>
                <w:highlight w:val="none"/>
                <w14:textFill>
                  <w14:solidFill>
                    <w14:schemeClr w14:val="tx1"/>
                  </w14:solidFill>
                </w14:textFill>
              </w:rPr>
            </w:r>
            <w:r/>
          </w:p>
        </w:tc>
        <w:tc>
          <w:tcPr>
            <w:shd w:val="clear" w:color="auto" w:fill="auto"/>
            <w:tcBorders>
              <w:top w:val="single" w:color="auto" w:sz="4" w:space="0"/>
              <w:bottom w:val="single" w:color="auto" w:sz="4" w:space="0"/>
            </w:tcBorders>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公寓椅</w:t>
            </w:r>
            <w:r/>
          </w:p>
        </w:tc>
        <w:tc>
          <w:tcPr>
            <w:shd w:val="clear" w:color="auto" w:fill="auto"/>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宋体"/>
                <w:sz w:val="24"/>
                <w:highlight w:val="none"/>
              </w:rPr>
              <w:t xml:space="preserve">≥520*530*840</w:t>
            </w:r>
            <w:r>
              <w:rPr>
                <w:rFonts w:hint="eastAsia" w:cs="宋体"/>
                <w:sz w:val="24"/>
                <w:highlight w:val="none"/>
                <w:lang w:eastAsia="en-US"/>
              </w:rPr>
              <w:t xml:space="preserve">mm</w:t>
            </w:r>
            <w:r/>
          </w:p>
        </w:tc>
        <w:tc>
          <w:tcPr>
            <w:shd w:val="clear" w:color="auto" w:fill="auto"/>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张</w:t>
            </w:r>
            <w:r/>
          </w:p>
        </w:tc>
        <w:tc>
          <w:tcPr>
            <w:shd w:val="clear" w:color="auto" w:fill="auto"/>
            <w:tcW w:w="696" w:type="dxa"/>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1506</w:t>
            </w:r>
            <w:r/>
          </w:p>
        </w:tc>
        <w:tc>
          <w:tcPr>
            <w:shd w:val="clear" w:color="auto" w:fill="auto"/>
            <w:tcW w:w="0" w:type="auto"/>
            <w:vAlign w:val="center"/>
            <w:textDirection w:val="lrTb"/>
            <w:noWrap w:val="false"/>
          </w:tcPr>
          <w:p>
            <w:pPr>
              <w:jc w:val="center"/>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spacing w:line="360" w:lineRule="auto"/>
        <w:rPr>
          <w:rFonts w:hint="default" w:eastAsia="宋体" w:cs="仿宋"/>
          <w:b/>
          <w:bCs/>
          <w:i w:val="0"/>
          <w:iCs w:val="0"/>
          <w:color w:val="000000" w:themeColor="text1"/>
          <w:sz w:val="24"/>
          <w:highlight w:val="none"/>
          <w:u w:val="none"/>
          <w:lang w:val="en-US" w:eastAsia="zh-CN"/>
          <w14:textFill>
            <w14:solidFill>
              <w14:schemeClr w14:val="tx1"/>
            </w14:solidFill>
          </w14:textFill>
        </w:rPr>
      </w:pPr>
      <w:r>
        <w:rPr>
          <w:rFonts w:hint="default" w:eastAsia="宋体" w:cs="仿宋"/>
          <w:b/>
          <w:bCs/>
          <w:i w:val="0"/>
          <w:iCs w:val="0"/>
          <w:color w:val="000000" w:themeColor="text1"/>
          <w:sz w:val="24"/>
          <w:highlight w:val="none"/>
          <w:u w:val="none"/>
          <w:lang w:val="en-US" w:eastAsia="zh-CN"/>
          <w14:textFill>
            <w14:solidFill>
              <w14:schemeClr w14:val="tx1"/>
            </w14:solidFill>
          </w14:textFill>
        </w:rPr>
      </w:r>
      <w:r/>
    </w:p>
    <w:tbl>
      <w:tblPr>
        <w:tblStyle w:val="7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6245"/>
        <w:gridCol w:w="2899"/>
      </w:tblGrid>
      <w:tr>
        <w:trPr>
          <w:cantSplit/>
          <w:jc w:val="center"/>
          <w:trHeight w:val="907"/>
        </w:trPr>
        <w:tc>
          <w:tcPr>
            <w:tcW w:w="612" w:type="pct"/>
            <w:vAlign w:val="center"/>
            <w:textDirection w:val="lrTb"/>
            <w:noWrap w:val="false"/>
          </w:tcPr>
          <w:p>
            <w:pPr>
              <w:jc w:val="center"/>
              <w:spacing w:line="0" w:lineRule="atLeast"/>
              <w:rPr>
                <w:sz w:val="24"/>
                <w:highlight w:val="none"/>
              </w:rPr>
            </w:pPr>
            <w:r>
              <w:rPr>
                <w:rFonts w:hint="eastAsia"/>
                <w:sz w:val="24"/>
                <w:highlight w:val="none"/>
              </w:rPr>
              <w:t xml:space="preserve">采购包</w:t>
            </w:r>
            <w:r/>
          </w:p>
        </w:tc>
        <w:tc>
          <w:tcPr>
            <w:tcW w:w="2996" w:type="pct"/>
            <w:vAlign w:val="center"/>
            <w:textDirection w:val="lrTb"/>
            <w:noWrap w:val="false"/>
          </w:tcPr>
          <w:p>
            <w:pPr>
              <w:jc w:val="center"/>
              <w:spacing w:line="0" w:lineRule="atLeast"/>
              <w:rPr>
                <w:sz w:val="24"/>
                <w:highlight w:val="none"/>
              </w:rPr>
            </w:pPr>
            <w:r>
              <w:rPr>
                <w:rFonts w:hint="eastAsia"/>
                <w:sz w:val="24"/>
                <w:highlight w:val="none"/>
              </w:rPr>
              <w:t xml:space="preserve">采购</w:t>
            </w:r>
            <w:r>
              <w:rPr>
                <w:sz w:val="24"/>
                <w:highlight w:val="none"/>
              </w:rPr>
              <w:t xml:space="preserve">标的</w:t>
            </w:r>
            <w:r/>
          </w:p>
        </w:tc>
        <w:tc>
          <w:tcPr>
            <w:tcW w:w="1391" w:type="pct"/>
            <w:vAlign w:val="center"/>
            <w:textDirection w:val="lrTb"/>
            <w:noWrap w:val="false"/>
          </w:tcPr>
          <w:p>
            <w:pPr>
              <w:jc w:val="center"/>
              <w:spacing w:line="0" w:lineRule="atLeast"/>
              <w:rPr>
                <w:sz w:val="24"/>
                <w:highlight w:val="none"/>
              </w:rPr>
            </w:pPr>
            <w:r>
              <w:rPr>
                <w:rFonts w:hint="eastAsia"/>
                <w:sz w:val="24"/>
                <w:highlight w:val="none"/>
              </w:rPr>
              <w:t xml:space="preserve">对应中</w:t>
            </w:r>
            <w:r>
              <w:rPr>
                <w:sz w:val="24"/>
                <w:highlight w:val="none"/>
              </w:rPr>
              <w:t xml:space="preserve">小企业划分</w:t>
            </w:r>
            <w:r/>
          </w:p>
          <w:p>
            <w:pPr>
              <w:jc w:val="center"/>
              <w:spacing w:line="0" w:lineRule="atLeast"/>
              <w:rPr>
                <w:sz w:val="24"/>
                <w:highlight w:val="none"/>
              </w:rPr>
            </w:pPr>
            <w:r>
              <w:rPr>
                <w:sz w:val="24"/>
                <w:highlight w:val="none"/>
              </w:rPr>
              <w:t xml:space="preserve">标准所属行业</w:t>
            </w:r>
            <w:r/>
          </w:p>
        </w:tc>
      </w:tr>
      <w:tr>
        <w:trPr>
          <w:cantSplit/>
          <w:jc w:val="center"/>
          <w:trHeight w:val="907"/>
        </w:trPr>
        <w:tc>
          <w:tcPr>
            <w:tcW w:w="612" w:type="pct"/>
            <w:vAlign w:val="center"/>
            <w:textDirection w:val="lrTb"/>
            <w:noWrap w:val="false"/>
          </w:tcPr>
          <w:p>
            <w:pPr>
              <w:jc w:val="center"/>
              <w:spacing w:line="0" w:lineRule="atLeast"/>
              <w:rPr>
                <w:sz w:val="24"/>
                <w:highlight w:val="none"/>
              </w:rPr>
            </w:pPr>
            <w:r>
              <w:rPr>
                <w:rFonts w:hint="eastAsia"/>
                <w:sz w:val="24"/>
                <w:highlight w:val="none"/>
              </w:rPr>
              <w:t xml:space="preserve">二</w:t>
            </w:r>
            <w:r/>
          </w:p>
        </w:tc>
        <w:tc>
          <w:tcPr>
            <w:tcW w:w="2996" w:type="pct"/>
            <w:vAlign w:val="center"/>
            <w:textDirection w:val="lrTb"/>
            <w:noWrap w:val="false"/>
          </w:tcPr>
          <w:p>
            <w:pPr>
              <w:jc w:val="center"/>
              <w:spacing w:line="0" w:lineRule="atLeast"/>
              <w:tabs>
                <w:tab w:val="left" w:pos="2020" w:leader="none"/>
              </w:tabs>
              <w:rPr>
                <w:rFonts w:eastAsia="Segoe UI" w:cs="Segoe UI"/>
                <w:sz w:val="24"/>
                <w:highlight w:val="none"/>
                <w:shd w:val="clear" w:color="auto" w:fill="ffffff"/>
              </w:rPr>
            </w:pPr>
            <w:r>
              <w:rPr>
                <w:rFonts w:hint="eastAsia" w:eastAsia="Segoe UI" w:cs="Segoe UI"/>
                <w:sz w:val="24"/>
                <w:highlight w:val="none"/>
                <w:shd w:val="clear" w:color="auto" w:fill="ffffff"/>
              </w:rPr>
              <w:t xml:space="preserve">江苏开放大学浦口校区G区学生公寓家具采购</w:t>
            </w:r>
            <w:r/>
          </w:p>
        </w:tc>
        <w:tc>
          <w:tcPr>
            <w:tcW w:w="1391" w:type="pct"/>
            <w:vAlign w:val="center"/>
            <w:textDirection w:val="lrTb"/>
            <w:noWrap w:val="false"/>
          </w:tcPr>
          <w:p>
            <w:pPr>
              <w:jc w:val="center"/>
              <w:spacing w:line="0" w:lineRule="atLeast"/>
              <w:rPr>
                <w:sz w:val="24"/>
                <w:highlight w:val="none"/>
              </w:rPr>
            </w:pPr>
            <w:r>
              <w:rPr>
                <w:rFonts w:hint="eastAsia"/>
                <w:sz w:val="24"/>
                <w:highlight w:val="none"/>
              </w:rPr>
              <w:t xml:space="preserve">工业</w:t>
            </w:r>
            <w:r/>
          </w:p>
        </w:tc>
      </w:tr>
    </w:tbl>
    <w:p>
      <w:pPr>
        <w:jc w:val="left"/>
        <w:spacing w:line="560" w:lineRule="exact"/>
        <w:rPr>
          <w:rFonts w:hint="eastAsia" w:eastAsia="宋体" w:cs="仿宋"/>
          <w:color w:val="000000" w:themeColor="text1"/>
          <w:sz w:val="24"/>
          <w:highlight w:val="none"/>
          <w:lang w:eastAsia="zh-CN"/>
          <w14:textFill>
            <w14:solidFill>
              <w14:schemeClr w14:val="tx1"/>
            </w14:solidFill>
          </w14:textFill>
        </w:rPr>
      </w:pPr>
      <w:r>
        <w:rPr>
          <w:rFonts w:hint="eastAsia" w:cs="仿宋"/>
          <w:color w:val="000000" w:themeColor="text1"/>
          <w:sz w:val="24"/>
          <w:highlight w:val="none"/>
          <w:lang w:val="en-US" w:eastAsia="zh-CN"/>
          <w14:textFill>
            <w14:solidFill>
              <w14:schemeClr w14:val="tx1"/>
            </w14:solidFill>
          </w14:textFill>
        </w:rPr>
        <w:t xml:space="preserve">分包二</w:t>
      </w:r>
      <w:r>
        <w:rPr>
          <w:rFonts w:hint="eastAsia" w:cs="仿宋"/>
          <w:color w:val="000000" w:themeColor="text1"/>
          <w:sz w:val="24"/>
          <w:highlight w:val="none"/>
          <w14:textFill>
            <w14:solidFill>
              <w14:schemeClr w14:val="tx1"/>
            </w14:solidFill>
          </w14:textFill>
        </w:rPr>
        <w:t xml:space="preserve">采购最高限价：G区学生宿舍本次需采购公寓组合床（外挂梯）1500张床位、单人间6套床位，按照3000元/床位的标准，共需452万元</w:t>
      </w:r>
      <w:r>
        <w:rPr>
          <w:rFonts w:hint="eastAsia" w:cs="仿宋"/>
          <w:color w:val="000000" w:themeColor="text1"/>
          <w:sz w:val="24"/>
          <w:highlight w:val="none"/>
          <w:lang w:eastAsia="zh-CN"/>
          <w14:textFill>
            <w14:solidFill>
              <w14:schemeClr w14:val="tx1"/>
            </w14:solidFill>
          </w14:textFill>
        </w:rPr>
        <w:t xml:space="preserve">。</w:t>
      </w:r>
      <w:r/>
    </w:p>
    <w:p>
      <w:pPr>
        <w:pStyle w:val="1196"/>
        <w:ind w:firstLine="482"/>
        <w:jc w:val="left"/>
        <w:spacing w:line="360" w:lineRule="auto"/>
        <w:rPr>
          <w:rFonts w:cs="仿宋"/>
          <w:b/>
          <w:bCs/>
          <w:color w:val="000000" w:themeColor="text1"/>
          <w:sz w:val="24"/>
          <w:highlight w:val="none"/>
          <w14:textFill>
            <w14:solidFill>
              <w14:schemeClr w14:val="tx1"/>
            </w14:solidFill>
          </w14:textFill>
        </w:rPr>
      </w:pPr>
      <w:r>
        <w:rPr>
          <w:rFonts w:hint="eastAsia" w:cs="仿宋"/>
          <w:b/>
          <w:color w:val="000000" w:themeColor="text1"/>
          <w:sz w:val="24"/>
          <w:highlight w:val="none"/>
          <w14:textFill>
            <w14:solidFill>
              <w14:schemeClr w14:val="tx1"/>
            </w14:solidFill>
          </w14:textFill>
        </w:rPr>
        <w:t xml:space="preserve">三、</w:t>
      </w:r>
      <w:r>
        <w:rPr>
          <w:rFonts w:hint="eastAsia" w:cs="仿宋"/>
          <w:b/>
          <w:bCs/>
          <w:color w:val="000000" w:themeColor="text1"/>
          <w:sz w:val="24"/>
          <w:highlight w:val="none"/>
          <w14:textFill>
            <w14:solidFill>
              <w14:schemeClr w14:val="tx1"/>
            </w14:solidFill>
          </w14:textFill>
        </w:rPr>
        <w:t xml:space="preserve"> 功能、性能、配置要求</w:t>
      </w:r>
      <w:r/>
    </w:p>
    <w:p>
      <w:pPr>
        <w:pStyle w:val="1196"/>
        <w:ind w:firstLine="482"/>
        <w:jc w:val="left"/>
        <w:spacing w:line="360" w:lineRule="auto"/>
        <w:rPr>
          <w:rFonts w:hint="eastAsia" w:cs="仿宋"/>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注意：</w:t>
      </w:r>
      <w:r>
        <w:rPr>
          <w:rFonts w:hint="eastAsia" w:cs="仿宋"/>
          <w:color w:val="000000" w:themeColor="text1"/>
          <w:sz w:val="24"/>
          <w:highlight w:val="none"/>
          <w14:textFill>
            <w14:solidFill>
              <w14:schemeClr w14:val="tx1"/>
            </w14:solidFill>
          </w14:textFill>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可做参考提供相当于或高于所列品牌技术标准的材料和设备。</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697"/>
        <w:gridCol w:w="1757"/>
        <w:gridCol w:w="6970"/>
        <w:gridCol w:w="534"/>
      </w:tblGrid>
      <w:tr>
        <w:trPr>
          <w:jc w:val="center"/>
        </w:trPr>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序号</w:t>
            </w:r>
            <w:r/>
          </w:p>
        </w:tc>
        <w:tc>
          <w:tcPr>
            <w:tcW w:w="697" w:type="dxa"/>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名称</w:t>
            </w:r>
            <w:r/>
          </w:p>
        </w:tc>
        <w:tc>
          <w:tcPr>
            <w:tcW w:w="1757" w:type="dxa"/>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规格（mm）</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技术要求</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备注</w:t>
            </w:r>
            <w:r/>
          </w:p>
        </w:tc>
      </w:tr>
      <w:tr>
        <w:trPr>
          <w:jc w:val="center"/>
        </w:trPr>
        <w:tc>
          <w:tcPr>
            <w:tcW w:w="0" w:type="auto"/>
            <w:vAlign w:val="center"/>
            <w:textDirection w:val="lrTb"/>
            <w:noWrap w:val="false"/>
          </w:tcPr>
          <w:p>
            <w:pPr>
              <w:pStyle w:val="748"/>
              <w:jc w:val="center"/>
              <w:spacing w:line="276" w:lineRule="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color w:val="000000" w:themeColor="text1"/>
                <w:sz w:val="21"/>
                <w:szCs w:val="21"/>
                <w:highlight w:val="none"/>
                <w:lang w:val="en-US" w:eastAsia="zh-CN"/>
                <w14:textFill>
                  <w14:solidFill>
                    <w14:schemeClr w14:val="tx1"/>
                  </w14:solidFill>
                </w14:textFill>
              </w:rPr>
              <w:t xml:space="preserve">1</w:t>
            </w:r>
            <w:r/>
          </w:p>
        </w:tc>
        <w:tc>
          <w:tcPr>
            <w:tcW w:w="697" w:type="dxa"/>
            <w:vAlign w:val="center"/>
            <w:textDirection w:val="lrTb"/>
            <w:noWrap w:val="false"/>
          </w:tcPr>
          <w:p>
            <w:pPr>
              <w:jc w:val="center"/>
              <w:spacing w:line="360" w:lineRule="auto"/>
              <w:rPr>
                <w:highlight w:val="none"/>
              </w:rPr>
            </w:pPr>
            <w:r>
              <w:rPr>
                <w:rFonts w:hint="eastAsia" w:cs="宋体"/>
                <w:color w:val="000000" w:themeColor="text1"/>
                <w:highlight w:val="none"/>
                <w14:textFill>
                  <w14:solidFill>
                    <w14:schemeClr w14:val="tx1"/>
                  </w14:solidFill>
                </w14:textFill>
              </w:rPr>
              <w:t xml:space="preserve">公寓组合床（外挂梯）</w:t>
            </w:r>
            <w:r/>
          </w:p>
        </w:tc>
        <w:tc>
          <w:tcPr>
            <w:tcW w:w="1757"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4000*900*2250</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蚊帐杆高度根据</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房间层高适配</w:t>
            </w:r>
            <w:r/>
          </w:p>
        </w:tc>
        <w:tc>
          <w:tcPr>
            <w:tcW w:w="0" w:type="auto"/>
            <w:vAlign w:val="center"/>
            <w:textDirection w:val="lrTb"/>
            <w:noWrap w:val="false"/>
          </w:tcPr>
          <w:p>
            <w:pPr>
              <w:jc w:val="center"/>
              <w:spacing w:line="360" w:lineRule="auto"/>
              <w:rPr>
                <w:b/>
                <w:bCs/>
                <w:highlight w:val="none"/>
              </w:rPr>
            </w:pPr>
            <w:r>
              <w:rPr>
                <w:rFonts w:hint="eastAsia"/>
                <w:b/>
                <w:bCs/>
                <w:highlight w:val="none"/>
              </w:rPr>
              <w:t xml:space="preserve">钢制部分</w:t>
            </w:r>
            <w:r/>
          </w:p>
          <w:p>
            <w:pPr>
              <w:spacing w:line="360" w:lineRule="auto"/>
              <w:rPr>
                <w:highlight w:val="none"/>
              </w:rPr>
            </w:pPr>
            <w:r>
              <w:rPr>
                <w:rFonts w:hint="eastAsia" w:cs="宋体"/>
                <w:sz w:val="22"/>
                <w:highlight w:val="none"/>
              </w:rPr>
              <w:t xml:space="preserve">▲</w:t>
            </w:r>
            <w:r>
              <w:rPr>
                <w:rFonts w:hint="eastAsia"/>
                <w:highlight w:val="none"/>
              </w:rPr>
              <w:t xml:space="preserve">材质要求：床框架采用公寓床隐藏式卡扣件连接，所有钢材均采用国家标准钢，各钢件经除油、防锈等工序处理，外层采用聚脂环氧粉末喷塑，具有长时间使用不生锈、不掉漆的特性；焊接表面波纹均匀，焊接处无夹渣、气孔、焊瘤、焊丝头咬边飞溅，无脱焊、虚焊及焊穿等现象。</w:t>
            </w:r>
            <w:r/>
          </w:p>
          <w:p>
            <w:pPr>
              <w:pStyle w:val="727"/>
              <w:ind w:left="0"/>
              <w:rPr>
                <w:rFonts w:ascii="Times New Roman" w:hAnsi="Times New Roman" w:cs="Times New Roman"/>
                <w:sz w:val="21"/>
                <w:highlight w:val="none"/>
              </w:rPr>
            </w:pPr>
            <w:r>
              <w:rPr>
                <w:rFonts w:hint="eastAsia" w:ascii="Times New Roman" w:hAnsi="Times New Roman" w:cs="宋体"/>
                <w:sz w:val="22"/>
                <w:highlight w:val="none"/>
              </w:rPr>
              <w:t xml:space="preserve">▲</w:t>
            </w:r>
            <w:r>
              <w:rPr>
                <w:rFonts w:hint="eastAsia"/>
                <w:b/>
                <w:bCs/>
                <w:sz w:val="20"/>
                <w:szCs w:val="20"/>
                <w:highlight w:val="none"/>
              </w:rPr>
              <w:t xml:space="preserve">1</w:t>
            </w:r>
            <w:r>
              <w:rPr>
                <w:rFonts w:hint="eastAsia"/>
                <w:b/>
                <w:bCs/>
                <w:sz w:val="22"/>
                <w:szCs w:val="22"/>
                <w:highlight w:val="none"/>
              </w:rPr>
              <w:t xml:space="preserve">、</w:t>
            </w:r>
            <w:r>
              <w:rPr>
                <w:rFonts w:hint="eastAsia" w:ascii="Times New Roman" w:hAnsi="Times New Roman"/>
                <w:b/>
                <w:bCs/>
                <w:sz w:val="22"/>
                <w:szCs w:val="22"/>
                <w:highlight w:val="none"/>
              </w:rPr>
              <w:t xml:space="preserve">立柱</w:t>
            </w:r>
            <w:r>
              <w:rPr>
                <w:rFonts w:hint="eastAsia" w:ascii="Times New Roman" w:hAnsi="Times New Roman"/>
                <w:b/>
                <w:bCs/>
                <w:highlight w:val="none"/>
              </w:rPr>
              <w:t xml:space="preserve">：</w:t>
            </w:r>
            <w:r>
              <w:rPr>
                <w:rFonts w:hint="eastAsia" w:ascii="Times New Roman" w:hAnsi="Times New Roman" w:cs="Times New Roman"/>
                <w:sz w:val="21"/>
                <w:highlight w:val="none"/>
              </w:rPr>
              <w:t xml:space="preserve">周长≥280mm、尺寸≥72×72×1.3mm，高频焊接闭口型材管，须带加强筋；立柱内侧采用内直角造型，木家具可牢卡在立柱之间，结构稳固；外立面带圆弧，安全美观。边立柱上下封口采用优质PP塑料的静音内外塞。</w:t>
            </w:r>
            <w:r/>
          </w:p>
          <w:p>
            <w:pPr>
              <w:spacing w:line="360" w:lineRule="auto"/>
              <w:rPr>
                <w:highlight w:val="none"/>
              </w:rPr>
            </w:pPr>
            <w:r>
              <w:rPr>
                <w:rFonts w:hint="eastAsia" w:cs="宋体"/>
                <w:sz w:val="22"/>
                <w:highlight w:val="none"/>
              </w:rPr>
              <w:t xml:space="preserve">▲</w:t>
            </w:r>
            <w:r>
              <w:rPr>
                <w:rFonts w:hint="eastAsia" w:ascii="宋体" w:hAnsi="宋体" w:cs="宋体"/>
                <w:b/>
                <w:bCs/>
                <w:szCs w:val="21"/>
                <w:highlight w:val="none"/>
                <w:lang w:bidi="zh-CN"/>
              </w:rPr>
              <w:t xml:space="preserve">2</w:t>
            </w:r>
            <w:r>
              <w:rPr>
                <w:rFonts w:hint="eastAsia"/>
                <w:b/>
                <w:bCs/>
                <w:highlight w:val="none"/>
              </w:rPr>
              <w:t xml:space="preserve">、前横梁、后横梁：</w:t>
            </w:r>
            <w:r>
              <w:rPr>
                <w:rFonts w:hint="eastAsia"/>
                <w:highlight w:val="none"/>
              </w:rPr>
              <w:t xml:space="preserve">≥100</w:t>
            </w:r>
            <w:r>
              <w:rPr>
                <w:rFonts w:hint="eastAsia" w:cs="宋体"/>
                <w:color w:val="000000" w:themeColor="text1"/>
                <w:highlight w:val="none"/>
                <w14:textFill>
                  <w14:solidFill>
                    <w14:schemeClr w14:val="tx1"/>
                  </w14:solidFill>
                </w14:textFill>
              </w:rPr>
              <w:t xml:space="preserve">×40×</w:t>
            </w:r>
            <w:r>
              <w:rPr>
                <w:rFonts w:hint="eastAsia"/>
                <w:highlight w:val="none"/>
              </w:rPr>
              <w:t xml:space="preserve">1.3mm高频焊接闭口型钢管，须带加强筋；横梁上部为直边使连接件与横梁齐平整体美观，下部为圆弧造型，并配有防撞条。</w:t>
            </w:r>
            <w:r/>
          </w:p>
          <w:p>
            <w:pPr>
              <w:spacing w:line="360" w:lineRule="auto"/>
              <w:rPr>
                <w:highlight w:val="none"/>
              </w:rPr>
            </w:pPr>
            <w:r>
              <w:rPr>
                <w:rFonts w:hint="eastAsia" w:ascii="宋体" w:hAnsi="宋体" w:cs="宋体"/>
                <w:b/>
                <w:bCs/>
                <w:szCs w:val="21"/>
                <w:highlight w:val="none"/>
                <w:lang w:bidi="zh-CN"/>
              </w:rPr>
              <w:t xml:space="preserve">3</w:t>
            </w:r>
            <w:r>
              <w:rPr>
                <w:rFonts w:hint="eastAsia"/>
                <w:b/>
                <w:bCs/>
                <w:sz w:val="20"/>
                <w:szCs w:val="22"/>
                <w:highlight w:val="none"/>
              </w:rPr>
              <w:t xml:space="preserve">、</w:t>
            </w:r>
            <w:r>
              <w:rPr>
                <w:rFonts w:hint="eastAsia"/>
                <w:b/>
                <w:bCs/>
                <w:highlight w:val="none"/>
              </w:rPr>
              <w:t xml:space="preserve">公寓床卡式连接件：</w:t>
            </w:r>
            <w:r>
              <w:rPr>
                <w:rFonts w:hint="eastAsia"/>
                <w:highlight w:val="none"/>
              </w:rPr>
              <w:t xml:space="preserve">床横梁与床立柱采取卡件连接，卡件采用隐藏式，正面连接处无焊接痕迹及工艺孔。</w:t>
            </w:r>
            <w:r/>
          </w:p>
          <w:p>
            <w:pPr>
              <w:spacing w:line="360" w:lineRule="auto"/>
              <w:rPr>
                <w:b/>
                <w:bCs/>
                <w:highlight w:val="none"/>
              </w:rPr>
            </w:pPr>
            <w:r>
              <w:rPr>
                <w:rFonts w:hint="eastAsia" w:cs="宋体"/>
                <w:sz w:val="22"/>
                <w:highlight w:val="none"/>
              </w:rPr>
              <w:t xml:space="preserve">▲</w:t>
            </w:r>
            <w:r>
              <w:rPr>
                <w:rFonts w:hint="eastAsia" w:ascii="宋体" w:hAnsi="宋体" w:cs="宋体"/>
                <w:b/>
                <w:bCs/>
                <w:szCs w:val="21"/>
                <w:highlight w:val="none"/>
                <w:lang w:bidi="zh-CN"/>
              </w:rPr>
              <w:t xml:space="preserve">4</w:t>
            </w:r>
            <w:r>
              <w:rPr>
                <w:rFonts w:hint="eastAsia"/>
                <w:b/>
                <w:bCs/>
                <w:highlight w:val="none"/>
              </w:rPr>
              <w:t xml:space="preserve">、床前护栏：</w:t>
            </w:r>
            <w:r>
              <w:rPr>
                <w:rFonts w:hint="eastAsia"/>
                <w:highlight w:val="none"/>
              </w:rPr>
              <w:t xml:space="preserve">钢木结构，采用≥25×25×1.5mm高频焊接闭口管材，高度≥350mm，内嵌ENF级18mm三聚氰胺饰面实木多层板，内侧自带永久性床褥上表面最大高度警示线，护栏设透气孔，自带圆弧角，表面光滑、平整立体感强；护栏内部位置安装PP材质注塑成型储物盒，便于存放手机、眼镜等小物品；在床护栏适当处设置江苏开放大学校标及床位编号。</w:t>
            </w:r>
            <w:r/>
          </w:p>
          <w:p>
            <w:pPr>
              <w:spacing w:line="360" w:lineRule="auto"/>
              <w:rPr>
                <w:highlight w:val="none"/>
              </w:rPr>
            </w:pPr>
            <w:r>
              <w:rPr>
                <w:rFonts w:hint="eastAsia"/>
                <w:b/>
                <w:bCs/>
                <w:highlight w:val="none"/>
              </w:rPr>
              <w:t xml:space="preserve">5、床后护栏：</w:t>
            </w:r>
            <w:r>
              <w:rPr>
                <w:rFonts w:hint="eastAsia"/>
                <w:highlight w:val="none"/>
              </w:rPr>
              <w:t xml:space="preserve">钢木结构，高度≥300mm，整体采用≥25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25</w:t>
            </w:r>
            <w:r>
              <w:rPr>
                <w:rFonts w:hint="eastAsia" w:cs="宋体"/>
                <w:color w:val="000000" w:themeColor="text1"/>
                <w:highlight w:val="none"/>
                <w14:textFill>
                  <w14:solidFill>
                    <w14:schemeClr w14:val="tx1"/>
                  </w14:solidFill>
                </w14:textFill>
              </w:rPr>
              <w:t xml:space="preserve">×</w:t>
            </w:r>
            <w:r>
              <w:rPr>
                <w:rFonts w:hint="eastAsia"/>
                <w:highlight w:val="none"/>
              </w:rPr>
              <w:t xml:space="preserve">1.2mm管材，内嵌18mm厚ENF级三聚氰胺饰面实木多层板。</w:t>
            </w:r>
            <w:r/>
          </w:p>
          <w:p>
            <w:pPr>
              <w:spacing w:line="360" w:lineRule="auto"/>
              <w:rPr>
                <w:highlight w:val="none"/>
              </w:rPr>
            </w:pPr>
            <w:r>
              <w:rPr>
                <w:rFonts w:hint="eastAsia"/>
                <w:b/>
                <w:bCs/>
                <w:highlight w:val="none"/>
              </w:rPr>
              <w:t xml:space="preserve">6、床头、床尾护栏：</w:t>
            </w:r>
            <w:r>
              <w:rPr>
                <w:rFonts w:hint="eastAsia"/>
                <w:highlight w:val="none"/>
              </w:rPr>
              <w:t xml:space="preserve">钢木结构，横梁采用≥40*60*1.2mm方管，护栏采用≥25×25×1.2mm高频焊接闭口管材，内嵌18mm厚ENF级三聚氰胺饰面实木多层板。</w:t>
            </w:r>
            <w:r/>
          </w:p>
          <w:p>
            <w:pPr>
              <w:spacing w:line="360" w:lineRule="auto"/>
              <w:rPr>
                <w:highlight w:val="none"/>
              </w:rPr>
            </w:pPr>
            <w:r>
              <w:rPr>
                <w:rFonts w:hint="eastAsia" w:cs="宋体"/>
                <w:b/>
                <w:bCs/>
                <w:szCs w:val="22"/>
                <w:highlight w:val="none"/>
              </w:rPr>
              <w:t xml:space="preserve">7</w:t>
            </w:r>
            <w:r>
              <w:rPr>
                <w:rFonts w:hint="eastAsia"/>
                <w:b/>
                <w:bCs/>
                <w:highlight w:val="none"/>
              </w:rPr>
              <w:t xml:space="preserve">、床板支撑：</w:t>
            </w:r>
            <w:r>
              <w:rPr>
                <w:rFonts w:hint="eastAsia"/>
                <w:highlight w:val="none"/>
              </w:rPr>
              <w:t xml:space="preserve">采用数量≥6根，尺寸≥25×25×1.0mm高频焊管制作，床撑卡槽采用一次冲压成型U型卡槽。</w:t>
            </w:r>
            <w:r/>
          </w:p>
          <w:p>
            <w:pPr>
              <w:spacing w:line="360" w:lineRule="auto"/>
              <w:rPr>
                <w:highlight w:val="none"/>
              </w:rPr>
            </w:pPr>
            <w:r>
              <w:rPr>
                <w:rFonts w:hint="eastAsia" w:cs="宋体"/>
                <w:szCs w:val="22"/>
                <w:highlight w:val="none"/>
              </w:rPr>
              <w:t xml:space="preserve">8</w:t>
            </w:r>
            <w:r>
              <w:rPr>
                <w:rFonts w:hint="eastAsia"/>
                <w:b/>
                <w:bCs/>
                <w:highlight w:val="none"/>
              </w:rPr>
              <w:t xml:space="preserve">、床板：</w:t>
            </w:r>
            <w:r>
              <w:rPr>
                <w:rFonts w:hint="eastAsia"/>
                <w:highlight w:val="none"/>
              </w:rPr>
              <w:t xml:space="preserve">采用HDPE高密度聚乙烯全新料，一次中空吹塑成型，不能两块或者多块拼接。厚度≥18mm，尺寸与床框内部服帖，四周单侧间隙≤10mm，床板设有透气孔。</w:t>
            </w:r>
            <w:r/>
          </w:p>
          <w:p>
            <w:pPr>
              <w:pStyle w:val="727"/>
              <w:ind w:left="0"/>
              <w:rPr>
                <w:rFonts w:ascii="Times New Roman" w:hAnsi="Times New Roman" w:cs="Times New Roman"/>
                <w:sz w:val="21"/>
                <w:highlight w:val="none"/>
              </w:rPr>
            </w:pPr>
            <w:r>
              <w:rPr>
                <w:rFonts w:hint="eastAsia" w:ascii="Times New Roman" w:hAnsi="Times New Roman" w:cs="宋体"/>
                <w:b/>
                <w:bCs/>
                <w:sz w:val="21"/>
                <w:szCs w:val="22"/>
                <w:highlight w:val="none"/>
              </w:rPr>
              <w:t xml:space="preserve">9</w:t>
            </w:r>
            <w:r>
              <w:rPr>
                <w:rFonts w:hint="eastAsia" w:ascii="Times New Roman" w:hAnsi="Times New Roman" w:cs="Times New Roman"/>
                <w:b/>
                <w:bCs/>
                <w:sz w:val="21"/>
                <w:highlight w:val="none"/>
              </w:rPr>
              <w:t xml:space="preserve">、蚊帐架：</w:t>
            </w:r>
            <w:r>
              <w:rPr>
                <w:rFonts w:hint="eastAsia" w:ascii="Times New Roman" w:hAnsi="Times New Roman" w:cs="Times New Roman"/>
                <w:sz w:val="21"/>
                <w:highlight w:val="none"/>
              </w:rPr>
              <w:t xml:space="preserve">采用≥25</w:t>
            </w:r>
            <w:r>
              <w:rPr>
                <w:rFonts w:hint="eastAsia" w:ascii="Times New Roman" w:hAnsi="Times New Roman" w:cs="宋体"/>
                <w:color w:val="000000" w:themeColor="text1"/>
                <w:highlight w:val="none"/>
                <w14:textFill>
                  <w14:solidFill>
                    <w14:schemeClr w14:val="tx1"/>
                  </w14:solidFill>
                </w14:textFill>
              </w:rPr>
              <w:t xml:space="preserve">×25×</w:t>
            </w:r>
            <w:r>
              <w:rPr>
                <w:rFonts w:hint="eastAsia" w:ascii="Times New Roman" w:hAnsi="Times New Roman" w:cs="Times New Roman"/>
                <w:sz w:val="21"/>
                <w:highlight w:val="none"/>
              </w:rPr>
              <w:t xml:space="preserve">1.2mm高频焊接闭口型管材，蚊帐架下口带凹槽安装轨道滑轮，满足挂蚊帐及围帘需求，蚊帐架两侧与立柱连接。</w:t>
            </w:r>
            <w:r/>
          </w:p>
          <w:p>
            <w:pPr>
              <w:spacing w:line="360" w:lineRule="auto"/>
              <w:rPr>
                <w:b/>
                <w:bCs/>
                <w:highlight w:val="none"/>
              </w:rPr>
            </w:pPr>
            <w:r>
              <w:rPr>
                <w:rFonts w:hint="eastAsia" w:cs="宋体"/>
                <w:sz w:val="22"/>
                <w:highlight w:val="none"/>
              </w:rPr>
              <w:t xml:space="preserve">▲</w:t>
            </w:r>
            <w:r>
              <w:rPr>
                <w:rFonts w:hint="eastAsia"/>
                <w:b/>
                <w:bCs/>
                <w:highlight w:val="none"/>
              </w:rPr>
              <w:t xml:space="preserve">10、外挂梯：</w:t>
            </w:r>
            <w:r>
              <w:rPr>
                <w:rFonts w:hint="eastAsia"/>
                <w:highlight w:val="none"/>
              </w:rPr>
              <w:t xml:space="preserve">爬梯边管采用≥30×50×1.2mm椭圆管，踏步纵向支撑均与床立柱牢固焊接，每块脚踏板底部加钢管横支撑，两侧边管外均设有爬梯扶手。爬梯脚踏板采用HDPE高密度聚乙烯新料中空吹塑制作，每块板面设置防滑条纹及≥3个发光点，脚踏板宽度≥160mm，长度≥350mm。爬梯上方采用优质PP塑料的静音胶套，下方带可调节高度脚套，时刻保证爬梯落地平稳。</w:t>
            </w:r>
            <w:r/>
          </w:p>
          <w:p>
            <w:pPr>
              <w:jc w:val="center"/>
              <w:spacing w:line="360" w:lineRule="auto"/>
              <w:rPr>
                <w:b/>
                <w:bCs/>
                <w:highlight w:val="none"/>
              </w:rPr>
            </w:pPr>
            <w:r>
              <w:rPr>
                <w:b/>
                <w:bCs/>
                <w:highlight w:val="none"/>
              </w:rPr>
            </w:r>
            <w:r/>
          </w:p>
          <w:p>
            <w:pPr>
              <w:jc w:val="center"/>
              <w:spacing w:line="360" w:lineRule="auto"/>
              <w:rPr>
                <w:b/>
                <w:bCs/>
                <w:highlight w:val="none"/>
              </w:rPr>
            </w:pPr>
            <w:r>
              <w:rPr>
                <w:rFonts w:hint="eastAsia"/>
                <w:b/>
                <w:bCs/>
                <w:highlight w:val="none"/>
              </w:rPr>
              <w:t xml:space="preserve">木质部分</w:t>
            </w:r>
            <w:r/>
          </w:p>
          <w:p>
            <w:pPr>
              <w:spacing w:line="360" w:lineRule="auto"/>
              <w:rPr>
                <w:b/>
                <w:bCs w:val="0"/>
                <w:i/>
                <w:iCs/>
                <w:highlight w:val="none"/>
                <w:u w:val="single"/>
              </w:rPr>
            </w:pPr>
            <w:r>
              <w:rPr>
                <w:rFonts w:hint="eastAsia" w:ascii="微软雅黑" w:hAnsi="微软雅黑" w:cs="微软雅黑"/>
                <w:b/>
                <w:bCs w:val="0"/>
                <w:i/>
                <w:iCs/>
                <w:szCs w:val="21"/>
                <w:highlight w:val="none"/>
                <w:u w:val="single"/>
              </w:rPr>
              <w:t xml:space="preserve">★</w:t>
            </w:r>
            <w:r>
              <w:rPr>
                <w:rFonts w:hint="eastAsia"/>
                <w:b/>
                <w:bCs w:val="0"/>
                <w:i/>
                <w:iCs/>
                <w:highlight w:val="none"/>
                <w:u w:val="single"/>
              </w:rPr>
              <w:t xml:space="preserve">材质要求：本次招标范围内所有板材（包括但不限于桌面板、柜门板、侧板、层板、背板、底板、顶板），芯材为全桉木。</w:t>
            </w:r>
            <w:r/>
          </w:p>
          <w:p>
            <w:pPr>
              <w:spacing w:line="360" w:lineRule="auto"/>
              <w:rPr>
                <w:highlight w:val="none"/>
              </w:rPr>
            </w:pPr>
            <w:r>
              <w:rPr>
                <w:rFonts w:hint="eastAsia" w:cs="宋体"/>
                <w:sz w:val="22"/>
                <w:highlight w:val="none"/>
              </w:rPr>
              <w:t xml:space="preserve">▲</w:t>
            </w:r>
            <w:r>
              <w:rPr>
                <w:rFonts w:hint="eastAsia"/>
                <w:b/>
                <w:bCs/>
                <w:highlight w:val="none"/>
              </w:rPr>
              <w:t xml:space="preserve">1、侧板、层板、背板等：</w:t>
            </w:r>
            <w:r>
              <w:rPr>
                <w:rFonts w:hint="eastAsia"/>
                <w:highlight w:val="none"/>
              </w:rPr>
              <w:t xml:space="preserve">背板、侧板、层板均选用18mmENF级三聚氰胺饰面实木多层板。板材表面不得有缺角和破损，无明显的干湿花、污斑及划痕。</w:t>
            </w:r>
            <w:r/>
          </w:p>
          <w:p>
            <w:pPr>
              <w:spacing w:line="360" w:lineRule="auto"/>
              <w:rPr>
                <w:highlight w:val="none"/>
              </w:rPr>
            </w:pPr>
            <w:r>
              <w:rPr>
                <w:rFonts w:hint="eastAsia" w:cs="宋体"/>
                <w:sz w:val="22"/>
                <w:highlight w:val="none"/>
              </w:rPr>
              <w:t xml:space="preserve">▲</w:t>
            </w:r>
            <w:r>
              <w:rPr>
                <w:rFonts w:hint="eastAsia"/>
                <w:highlight w:val="none"/>
              </w:rPr>
              <w:t xml:space="preserve">2</w:t>
            </w:r>
            <w:r>
              <w:rPr>
                <w:rFonts w:hint="eastAsia"/>
                <w:b/>
                <w:bCs/>
                <w:highlight w:val="none"/>
              </w:rPr>
              <w:t xml:space="preserve">、桌面板：</w:t>
            </w:r>
            <w:r>
              <w:rPr>
                <w:rFonts w:hint="eastAsia"/>
                <w:highlight w:val="none"/>
              </w:rPr>
              <w:t xml:space="preserve">采用≥25mm厚ENF级三聚氰胺饰面实木多层板，面材采用≥0.7mm厚防火板，桌面成“L”形，桌面前口制作成圆润造型，桌面后侧加≥50mm高档条。</w:t>
            </w:r>
            <w:r/>
          </w:p>
          <w:p>
            <w:pPr>
              <w:spacing w:line="360" w:lineRule="auto"/>
              <w:rPr>
                <w:highlight w:val="none"/>
              </w:rPr>
            </w:pPr>
            <w:r>
              <w:rPr>
                <w:rFonts w:hint="eastAsia"/>
                <w:b/>
                <w:bCs/>
                <w:highlight w:val="none"/>
              </w:rPr>
              <w:t xml:space="preserve">3、抽屉面板、小柜门板、衣柜门板：</w:t>
            </w:r>
            <w:r>
              <w:rPr>
                <w:rFonts w:hint="eastAsia"/>
                <w:highlight w:val="none"/>
              </w:rPr>
              <w:t xml:space="preserve">采用18mm厚ENF级三聚氰胺饰面实木多层板。配备铝合金暗扣拉手，衣柜大门板配有内嵌式铝合金锁盒，旋钮式挂锁设计，表面喷涂处理，挂锁不外露，确保使用时的安全性。衣柜内安装壁厚≥1.0mm不锈钢或铝合金挂衣杆。</w:t>
            </w:r>
            <w:r/>
          </w:p>
          <w:p>
            <w:pPr>
              <w:spacing w:line="360" w:lineRule="auto"/>
              <w:rPr>
                <w:highlight w:val="none"/>
              </w:rPr>
            </w:pPr>
            <w:r>
              <w:rPr>
                <w:rFonts w:hint="eastAsia" w:cs="宋体"/>
                <w:b/>
                <w:bCs/>
                <w:highlight w:val="none"/>
              </w:rPr>
              <w:t xml:space="preserve">4、衣柜底座、书桌底座：</w:t>
            </w:r>
            <w:r>
              <w:rPr>
                <w:rFonts w:hint="eastAsia" w:cs="宋体"/>
                <w:highlight w:val="none"/>
              </w:rPr>
              <w:t xml:space="preserve">采用≥25</w:t>
            </w:r>
            <w:r>
              <w:rPr>
                <w:rFonts w:hint="eastAsia" w:cs="宋体"/>
                <w:color w:val="000000" w:themeColor="text1"/>
                <w:highlight w:val="none"/>
                <w14:textFill>
                  <w14:solidFill>
                    <w14:schemeClr w14:val="tx1"/>
                  </w14:solidFill>
                </w14:textFill>
              </w:rPr>
              <w:t xml:space="preserve">×</w:t>
            </w:r>
            <w:r>
              <w:rPr>
                <w:rFonts w:hint="eastAsia" w:cs="宋体"/>
                <w:highlight w:val="none"/>
              </w:rPr>
              <w:t xml:space="preserve">50</w:t>
            </w:r>
            <w:r>
              <w:rPr>
                <w:rFonts w:hint="eastAsia" w:cs="宋体"/>
                <w:color w:val="000000" w:themeColor="text1"/>
                <w:highlight w:val="none"/>
                <w14:textFill>
                  <w14:solidFill>
                    <w14:schemeClr w14:val="tx1"/>
                  </w14:solidFill>
                </w14:textFill>
              </w:rPr>
              <w:t xml:space="preserve">×</w:t>
            </w:r>
            <w:r>
              <w:rPr>
                <w:rFonts w:hint="eastAsia" w:cs="宋体"/>
                <w:highlight w:val="none"/>
              </w:rPr>
              <w:t xml:space="preserve">1.2mm高频焊管焊接成框，与柜体紧密连接，表面静电粉末喷涂工艺，配有防水、</w:t>
            </w:r>
            <w:r>
              <w:rPr>
                <w:rFonts w:hint="eastAsia" w:cs="宋体"/>
                <w:color w:val="000000" w:themeColor="text1"/>
                <w:highlight w:val="none"/>
                <w14:textFill>
                  <w14:solidFill>
                    <w14:schemeClr w14:val="tx1"/>
                  </w14:solidFill>
                </w14:textFill>
              </w:rPr>
              <w:t xml:space="preserve">防滑、防噪音的PP软塑胶脚套。</w:t>
            </w:r>
            <w:r/>
          </w:p>
          <w:p>
            <w:pPr>
              <w:spacing w:line="360" w:lineRule="auto"/>
              <w:rPr>
                <w:highlight w:val="none"/>
              </w:rPr>
            </w:pPr>
            <w:r>
              <w:rPr>
                <w:rFonts w:hint="eastAsia"/>
                <w:b/>
                <w:bCs/>
                <w:highlight w:val="none"/>
              </w:rPr>
              <w:t xml:space="preserve">5、功能要求：</w:t>
            </w:r>
            <w:r>
              <w:rPr>
                <w:rFonts w:hint="eastAsia"/>
                <w:highlight w:val="none"/>
              </w:rPr>
              <w:t xml:space="preserve">配备衣柜、书桌（书桌抽屉具有锁具</w:t>
            </w:r>
            <w:r/>
          </w:p>
          <w:p>
            <w:pPr>
              <w:spacing w:line="360" w:lineRule="auto"/>
              <w:rPr>
                <w:highlight w:val="none"/>
              </w:rPr>
            </w:pPr>
            <w:r>
              <w:rPr>
                <w:rFonts w:hint="eastAsia"/>
                <w:highlight w:val="none"/>
              </w:rPr>
              <w:t xml:space="preserve">功能）、开放式书架。衣柜内分上下两层，配置层板；衣柜旁设有同等高度储物格（鞋架）储物格外侧为共用爬梯。桌面尺寸、书架布局等需由校方确认。桌面下方配抽屉及落地柜，桌面下部（落地柜里侧）设计≥26寸行李箱存放处。包含五金配件：阻尼铰链、阻尼导轨等，导轨宽度≥45mm，壁厚≥1mm，三节静音导轨。</w:t>
            </w:r>
            <w:r/>
          </w:p>
          <w:p>
            <w:pPr>
              <w:spacing w:line="360" w:lineRule="auto"/>
              <w:rPr>
                <w:highlight w:val="none"/>
              </w:rPr>
            </w:pPr>
            <w:r>
              <w:rPr>
                <w:rFonts w:hint="eastAsia"/>
                <w:b/>
                <w:bCs/>
                <w:highlight w:val="none"/>
              </w:rPr>
              <w:t xml:space="preserve">6、封边</w:t>
            </w:r>
            <w:r>
              <w:rPr>
                <w:rFonts w:hint="eastAsia"/>
                <w:highlight w:val="none"/>
              </w:rPr>
              <w:t xml:space="preserve">：所有板材均需四面封边，采用≥1.0mm厚封边条，均采用PUR同色或激光封边。选用无醛封边胶，封边严密、平整、无脱胶、表面无胶渍，封边胶与封边条内胶为统一品牌。</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核心产品</w:t>
            </w:r>
            <w:r/>
          </w:p>
        </w:tc>
      </w:tr>
      <w:tr>
        <w:trPr>
          <w:jc w:val="center"/>
        </w:trPr>
        <w:tc>
          <w:tcPr>
            <w:tcW w:w="0" w:type="auto"/>
            <w:vAlign w:val="center"/>
            <w:textDirection w:val="lrTb"/>
            <w:noWrap w:val="false"/>
          </w:tcPr>
          <w:p>
            <w:pPr>
              <w:jc w:val="center"/>
              <w:spacing w:line="360" w:lineRule="auto"/>
              <w:rPr>
                <w:rFonts w:hint="eastAsia" w:eastAsia="宋体" w:cs="宋体"/>
                <w:color w:val="000000" w:themeColor="text1"/>
                <w:szCs w:val="22"/>
                <w:highlight w:val="none"/>
                <w:lang w:eastAsia="zh-CN"/>
                <w14:textFill>
                  <w14:solidFill>
                    <w14:schemeClr w14:val="tx1"/>
                  </w14:solidFill>
                </w14:textFill>
              </w:rPr>
            </w:pPr>
            <w:r>
              <w:rPr>
                <w:rFonts w:hint="eastAsia" w:cs="宋体"/>
                <w:color w:val="000000" w:themeColor="text1"/>
                <w:szCs w:val="22"/>
                <w:highlight w:val="none"/>
                <w:lang w:val="en-US" w:eastAsia="zh-CN"/>
                <w14:textFill>
                  <w14:solidFill>
                    <w14:schemeClr w14:val="tx1"/>
                  </w14:solidFill>
                </w14:textFill>
              </w:rPr>
              <w:t xml:space="preserve">2</w:t>
            </w:r>
            <w:r/>
          </w:p>
        </w:tc>
        <w:tc>
          <w:tcPr>
            <w:tcW w:w="697" w:type="dxa"/>
            <w:vAlign w:val="center"/>
            <w:textDirection w:val="lrTb"/>
            <w:noWrap w:val="false"/>
          </w:tcPr>
          <w:p>
            <w:pPr>
              <w:jc w:val="center"/>
              <w:spacing w:line="360" w:lineRule="auto"/>
              <w:rPr>
                <w:rFonts w:cs="宋体"/>
                <w:color w:val="000000" w:themeColor="text1"/>
                <w:szCs w:val="22"/>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公寓椅</w:t>
            </w:r>
            <w:r/>
          </w:p>
        </w:tc>
        <w:tc>
          <w:tcPr>
            <w:tcW w:w="1757"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≥520*530*840</w:t>
            </w:r>
            <w:r/>
          </w:p>
        </w:tc>
        <w:tc>
          <w:tcPr>
            <w:tcW w:w="0" w:type="auto"/>
            <w:vAlign w:val="center"/>
            <w:textDirection w:val="lrTb"/>
            <w:noWrap w:val="false"/>
          </w:tcPr>
          <w:p>
            <w:pPr>
              <w:spacing w:line="360" w:lineRule="auto"/>
              <w:rPr>
                <w:rFonts w:cs="宋体"/>
                <w:color w:val="000000" w:themeColor="text1"/>
                <w:highlight w:val="none"/>
                <w14:textFill>
                  <w14:solidFill>
                    <w14:schemeClr w14:val="tx1"/>
                  </w14:solidFill>
                </w14:textFill>
              </w:rPr>
            </w:pPr>
            <w:r>
              <w:rPr>
                <w:rFonts w:hint="eastAsia" w:cs="宋体"/>
                <w:b/>
                <w:bCs/>
                <w:highlight w:val="none"/>
              </w:rPr>
              <w:t xml:space="preserve">1、椅身：</w:t>
            </w:r>
            <w:r>
              <w:rPr>
                <w:rFonts w:cs="宋体"/>
                <w:color w:val="000000" w:themeColor="text1"/>
                <w:highlight w:val="none"/>
                <w14:textFill>
                  <w14:solidFill>
                    <w14:schemeClr w14:val="tx1"/>
                  </w14:solidFill>
                </w14:textFill>
              </w:rPr>
              <w:t xml:space="preserve">采用全新聚丙烯加玻璃纤维，由椅座、</w:t>
            </w:r>
            <w:r>
              <w:rPr>
                <w:rFonts w:hint="eastAsia" w:cs="宋体"/>
                <w:color w:val="000000" w:themeColor="text1"/>
                <w:highlight w:val="none"/>
                <w14:textFill>
                  <w14:solidFill>
                    <w14:schemeClr w14:val="tx1"/>
                  </w14:solidFill>
                </w14:textFill>
              </w:rPr>
              <w:t xml:space="preserve">椅</w:t>
            </w:r>
            <w:r>
              <w:rPr>
                <w:rFonts w:cs="宋体"/>
                <w:color w:val="000000" w:themeColor="text1"/>
                <w:highlight w:val="none"/>
                <w14:textFill>
                  <w14:solidFill>
                    <w14:schemeClr w14:val="tx1"/>
                  </w14:solidFill>
                </w14:textFill>
              </w:rPr>
              <w:t xml:space="preserve">背、装饰壳</w:t>
            </w:r>
            <w:r>
              <w:rPr>
                <w:rFonts w:hint="eastAsia" w:cs="宋体"/>
                <w:color w:val="000000" w:themeColor="text1"/>
                <w:highlight w:val="none"/>
                <w14:textFill>
                  <w14:solidFill>
                    <w14:schemeClr w14:val="tx1"/>
                  </w14:solidFill>
                </w14:textFill>
              </w:rPr>
              <w:t xml:space="preserve">三部分组成</w:t>
            </w:r>
            <w:r>
              <w:rPr>
                <w:rFonts w:cs="宋体"/>
                <w:color w:val="000000" w:themeColor="text1"/>
                <w:highlight w:val="none"/>
                <w14:textFill>
                  <w14:solidFill>
                    <w14:schemeClr w14:val="tx1"/>
                  </w14:solidFill>
                </w14:textFill>
              </w:rPr>
              <w:t xml:space="preserve">。</w:t>
            </w:r>
            <w:r/>
          </w:p>
          <w:p>
            <w:pPr>
              <w:spacing w:line="360" w:lineRule="auto"/>
              <w:rPr>
                <w:rFonts w:cs="宋体"/>
                <w:color w:val="000000" w:themeColor="text1"/>
                <w:highlight w:val="none"/>
                <w14:textFill>
                  <w14:solidFill>
                    <w14:schemeClr w14:val="tx1"/>
                  </w14:solidFill>
                </w14:textFill>
              </w:rPr>
            </w:pPr>
            <w:r>
              <w:rPr>
                <w:rFonts w:hint="eastAsia" w:cs="宋体"/>
                <w:b/>
                <w:bCs/>
                <w:highlight w:val="none"/>
              </w:rPr>
              <w:t xml:space="preserve">2、</w:t>
            </w:r>
            <w:r>
              <w:rPr>
                <w:rFonts w:cs="宋体"/>
                <w:b/>
                <w:bCs/>
                <w:highlight w:val="none"/>
              </w:rPr>
              <w:t xml:space="preserve">椅座</w:t>
            </w:r>
            <w:r>
              <w:rPr>
                <w:rFonts w:cs="宋体"/>
                <w:color w:val="000000" w:themeColor="text1"/>
                <w:highlight w:val="none"/>
                <w14:textFill>
                  <w14:solidFill>
                    <w14:schemeClr w14:val="tx1"/>
                  </w14:solidFill>
                </w14:textFill>
              </w:rPr>
              <w:t xml:space="preserve">：采用全新聚丙烯加玻璃纤维，后背几何镂空手提式设计，方便使用者单手手提和搬运功能。                                  </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3、脚架</w:t>
            </w:r>
            <w:r>
              <w:rPr>
                <w:rFonts w:cs="宋体"/>
                <w:b/>
                <w:bCs/>
                <w:color w:val="000000" w:themeColor="text1"/>
                <w:highlight w:val="none"/>
                <w14:textFill>
                  <w14:solidFill>
                    <w14:schemeClr w14:val="tx1"/>
                  </w14:solidFill>
                </w14:textFill>
              </w:rPr>
              <w:t xml:space="preserve">：</w:t>
            </w:r>
            <w:r>
              <w:rPr>
                <w:rFonts w:hint="eastAsia" w:cs="宋体"/>
                <w:color w:val="000000" w:themeColor="text1"/>
                <w:highlight w:val="none"/>
                <w14:textFill>
                  <w14:solidFill>
                    <w14:schemeClr w14:val="tx1"/>
                  </w14:solidFill>
                </w14:textFill>
              </w:rPr>
              <w:t xml:space="preserve">采用直径≥16mm，壁厚≥1.5mm的圆钢管，表面静电粉末喷涂处理，具有耐磨、防腐、抗老化性能</w:t>
            </w:r>
            <w:r>
              <w:rPr>
                <w:rFonts w:cs="宋体"/>
                <w:color w:val="000000" w:themeColor="text1"/>
                <w:highlight w:val="none"/>
                <w14:textFill>
                  <w14:solidFill>
                    <w14:schemeClr w14:val="tx1"/>
                  </w14:solidFill>
                </w14:textFill>
              </w:rPr>
              <w:t xml:space="preserve">。</w:t>
            </w:r>
            <w:r/>
          </w:p>
          <w:p>
            <w:pPr>
              <w:spacing w:line="360" w:lineRule="auto"/>
              <w:rPr>
                <w:highlight w:val="none"/>
              </w:rPr>
            </w:pPr>
            <w:r>
              <w:rPr>
                <w:rFonts w:hint="eastAsia" w:cs="宋体"/>
                <w:sz w:val="22"/>
                <w:highlight w:val="none"/>
              </w:rPr>
              <w:t xml:space="preserve">▲</w:t>
            </w:r>
            <w:r>
              <w:rPr>
                <w:rFonts w:hint="eastAsia" w:cs="宋体"/>
                <w:b/>
                <w:bCs/>
                <w:highlight w:val="none"/>
              </w:rPr>
              <w:t xml:space="preserve">4、</w:t>
            </w:r>
            <w:r>
              <w:rPr>
                <w:rFonts w:cs="宋体"/>
                <w:b/>
                <w:bCs/>
                <w:highlight w:val="none"/>
              </w:rPr>
              <w:t xml:space="preserve">脚垫：</w:t>
            </w:r>
            <w:r>
              <w:rPr>
                <w:rFonts w:hint="eastAsia" w:cs="宋体"/>
                <w:color w:val="000000" w:themeColor="text1"/>
                <w:highlight w:val="none"/>
                <w14:textFill>
                  <w14:solidFill>
                    <w14:schemeClr w14:val="tx1"/>
                  </w14:solidFill>
                </w14:textFill>
              </w:rPr>
              <w:t xml:space="preserve">脚垫采用全新聚丙烯加玻璃纤维，具有较好的抗磨损性、防滑性、整体稳定性，使用时具有防倾翻功能。</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r>
      <w:tr>
        <w:trPr>
          <w:jc w:val="center"/>
        </w:trPr>
        <w:tc>
          <w:tcPr>
            <w:tcW w:w="0" w:type="auto"/>
            <w:vAlign w:val="center"/>
            <w:vMerge w:val="restart"/>
            <w:textDirection w:val="lrTb"/>
            <w:noWrap w:val="false"/>
          </w:tcPr>
          <w:p>
            <w:pPr>
              <w:jc w:val="center"/>
              <w:spacing w:line="360" w:lineRule="auto"/>
              <w:rPr>
                <w:rFonts w:hint="eastAsia" w:eastAsia="宋体" w:cs="宋体"/>
                <w:color w:val="000000" w:themeColor="text1"/>
                <w:szCs w:val="22"/>
                <w:highlight w:val="none"/>
                <w:lang w:eastAsia="zh-CN"/>
                <w14:textFill>
                  <w14:solidFill>
                    <w14:schemeClr w14:val="tx1"/>
                  </w14:solidFill>
                </w14:textFill>
              </w:rPr>
            </w:pPr>
            <w:r>
              <w:rPr>
                <w:rFonts w:hint="eastAsia" w:cs="宋体"/>
                <w:color w:val="000000" w:themeColor="text1"/>
                <w:szCs w:val="22"/>
                <w:highlight w:val="none"/>
                <w:lang w:val="en-US" w:eastAsia="zh-CN"/>
                <w14:textFill>
                  <w14:solidFill>
                    <w14:schemeClr w14:val="tx1"/>
                  </w14:solidFill>
                </w14:textFill>
              </w:rPr>
              <w:t xml:space="preserve">3</w:t>
            </w:r>
            <w:r/>
          </w:p>
        </w:tc>
        <w:tc>
          <w:tcPr>
            <w:tcW w:w="697" w:type="dxa"/>
            <w:vAlign w:val="center"/>
            <w:vMerge w:val="restart"/>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单人床组合家具</w:t>
            </w:r>
            <w:r/>
          </w:p>
        </w:tc>
        <w:tc>
          <w:tcPr>
            <w:tcW w:w="1757"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床</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2000*1200</w:t>
            </w:r>
            <w:r/>
          </w:p>
        </w:tc>
        <w:tc>
          <w:tcPr>
            <w:tcW w:w="0" w:type="auto"/>
            <w:vAlign w:val="center"/>
            <w:textDirection w:val="lrTb"/>
            <w:noWrap w:val="false"/>
          </w:tcPr>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1、立柱</w:t>
            </w:r>
            <w:r>
              <w:rPr>
                <w:rFonts w:hint="eastAsia" w:cs="宋体"/>
                <w:color w:val="000000" w:themeColor="text1"/>
                <w:highlight w:val="none"/>
                <w14:textFill>
                  <w14:solidFill>
                    <w14:schemeClr w14:val="tx1"/>
                  </w14:solidFill>
                </w14:textFill>
              </w:rPr>
              <w:t xml:space="preserve">：采用≥50×50×1.3mm高频焊接闭口型材管，须带加强筋；立柱外立面带圆弧，安全美观。</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2、前横梁、后横梁：</w:t>
            </w:r>
            <w:r>
              <w:rPr>
                <w:rFonts w:hint="eastAsia" w:cs="宋体"/>
                <w:color w:val="000000" w:themeColor="text1"/>
                <w:highlight w:val="none"/>
                <w14:textFill>
                  <w14:solidFill>
                    <w14:schemeClr w14:val="tx1"/>
                  </w14:solidFill>
                </w14:textFill>
              </w:rPr>
              <w:t xml:space="preserve">采用≥40×60×1.3mm高频焊接闭口型材管，须带加强筋，与立柱采用卡式连接件进行固定，床沿正面与立柱平齐。</w:t>
            </w:r>
            <w:r/>
          </w:p>
          <w:p>
            <w:pPr>
              <w:spacing w:line="360" w:lineRule="auto"/>
              <w:rPr>
                <w:rFonts w:cs="宋体"/>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3、卡式连接件：</w:t>
            </w:r>
            <w:r>
              <w:rPr>
                <w:rFonts w:hint="eastAsia"/>
                <w:highlight w:val="none"/>
              </w:rPr>
              <w:t xml:space="preserve">床横梁与床立柱采取卡件连接，卡件采用隐藏式，正面连接处无焊接痕迹及工艺孔。</w:t>
            </w:r>
            <w:r/>
          </w:p>
          <w:p>
            <w:pPr>
              <w:spacing w:line="360" w:lineRule="auto"/>
              <w:rPr>
                <w:rFonts w:cs="宋体"/>
                <w:highlight w:val="none"/>
              </w:rPr>
            </w:pPr>
            <w:r>
              <w:rPr>
                <w:rFonts w:hint="eastAsia" w:cs="宋体"/>
                <w:b/>
                <w:bCs/>
                <w:color w:val="000000" w:themeColor="text1"/>
                <w:highlight w:val="none"/>
                <w14:textFill>
                  <w14:solidFill>
                    <w14:schemeClr w14:val="tx1"/>
                  </w14:solidFill>
                </w14:textFill>
              </w:rPr>
              <w:t xml:space="preserve">4、床</w:t>
            </w:r>
            <w:r>
              <w:rPr>
                <w:rFonts w:hint="eastAsia" w:cs="宋体"/>
                <w:b/>
                <w:bCs/>
                <w:highlight w:val="none"/>
              </w:rPr>
              <w:t xml:space="preserve">板支撑：</w:t>
            </w:r>
            <w:r>
              <w:rPr>
                <w:rFonts w:hint="eastAsia" w:cs="宋体"/>
                <w:highlight w:val="none"/>
              </w:rPr>
              <w:t xml:space="preserve">采用数量≥6根，尺寸≥25×25×1.0mm</w:t>
            </w:r>
            <w:r>
              <w:rPr>
                <w:rFonts w:hint="eastAsia"/>
                <w:highlight w:val="none"/>
              </w:rPr>
              <w:t xml:space="preserve">高频焊管制作，床撑卡槽采用一次冲压成型U型卡槽。</w:t>
            </w:r>
            <w:r>
              <w:rPr>
                <w:rFonts w:hint="eastAsia" w:cs="宋体"/>
                <w:highlight w:val="none"/>
              </w:rPr>
              <w:t xml:space="preserve">。</w:t>
            </w:r>
            <w:r/>
          </w:p>
          <w:p>
            <w:pPr>
              <w:spacing w:line="360" w:lineRule="auto"/>
              <w:rPr>
                <w:rFonts w:cs="宋体"/>
                <w:highlight w:val="none"/>
              </w:rPr>
            </w:pPr>
            <w:r>
              <w:rPr>
                <w:rFonts w:hint="eastAsia" w:cs="宋体"/>
                <w:b/>
                <w:bCs/>
                <w:highlight w:val="none"/>
              </w:rPr>
              <w:t xml:space="preserve">5、后护栏：</w:t>
            </w:r>
            <w:r>
              <w:rPr>
                <w:rFonts w:hint="eastAsia" w:cs="宋体"/>
                <w:highlight w:val="none"/>
              </w:rPr>
              <w:t xml:space="preserve">采用≥25×25×1.2mm方管，高度≥150mm，内嵌18mm厚ENF级</w:t>
            </w:r>
            <w:r>
              <w:rPr>
                <w:rFonts w:hint="eastAsia"/>
                <w:highlight w:val="none"/>
              </w:rPr>
              <w:t xml:space="preserve">三聚氰胺饰面</w:t>
            </w:r>
            <w:r>
              <w:rPr>
                <w:rFonts w:hint="eastAsia" w:cs="宋体"/>
                <w:highlight w:val="none"/>
              </w:rPr>
              <w:t xml:space="preserve">实木多层板。</w:t>
            </w:r>
            <w:r/>
          </w:p>
          <w:p>
            <w:pPr>
              <w:spacing w:line="360" w:lineRule="auto"/>
              <w:rPr>
                <w:highlight w:val="none"/>
              </w:rPr>
            </w:pPr>
            <w:r>
              <w:rPr>
                <w:rFonts w:hint="eastAsia" w:cs="宋体"/>
                <w:b/>
                <w:bCs/>
                <w:highlight w:val="none"/>
              </w:rPr>
              <w:t xml:space="preserve">6、床下储物抽屉：</w:t>
            </w:r>
            <w:r>
              <w:rPr>
                <w:rFonts w:hint="eastAsia" w:ascii="宋体" w:hAnsi="宋体" w:cs="宋体"/>
                <w:szCs w:val="21"/>
                <w:highlight w:val="none"/>
              </w:rPr>
              <w:t xml:space="preserve">所有板材（包括背板）均采用</w:t>
            </w:r>
            <w:r>
              <w:rPr>
                <w:rFonts w:hint="eastAsia" w:cs="宋体"/>
                <w:highlight w:val="none"/>
              </w:rPr>
              <w:t xml:space="preserve">18mm厚ENF级</w:t>
            </w:r>
            <w:r>
              <w:rPr>
                <w:rFonts w:hint="eastAsia"/>
                <w:highlight w:val="none"/>
              </w:rPr>
              <w:t xml:space="preserve">三聚氰胺饰面</w:t>
            </w:r>
            <w:r>
              <w:rPr>
                <w:rFonts w:hint="eastAsia" w:cs="宋体"/>
                <w:highlight w:val="none"/>
              </w:rPr>
              <w:t xml:space="preserve">实木多层板</w:t>
            </w:r>
            <w:r>
              <w:rPr>
                <w:rFonts w:hint="eastAsia" w:ascii="宋体" w:hAnsi="宋体" w:cs="宋体"/>
                <w:szCs w:val="21"/>
                <w:highlight w:val="none"/>
              </w:rPr>
              <w:t xml:space="preserve">。柜体深度≥600mm。</w:t>
            </w:r>
            <w:r>
              <w:rPr>
                <w:rFonts w:hint="eastAsia"/>
                <w:szCs w:val="22"/>
                <w:highlight w:val="none"/>
              </w:rPr>
              <w:t xml:space="preserve">五金配件：</w:t>
            </w:r>
            <w:r>
              <w:rPr>
                <w:rFonts w:hint="eastAsia" w:ascii="宋体" w:hAnsi="宋体" w:cs="宋体"/>
                <w:szCs w:val="21"/>
                <w:highlight w:val="none"/>
              </w:rPr>
              <w:t xml:space="preserve">导轨宽度</w:t>
            </w:r>
            <w:r>
              <w:rPr>
                <w:rFonts w:hint="eastAsia"/>
                <w:highlight w:val="none"/>
              </w:rPr>
              <w:t xml:space="preserve">≥</w:t>
            </w:r>
            <w:r>
              <w:rPr>
                <w:rFonts w:hint="eastAsia" w:ascii="宋体" w:hAnsi="宋体" w:cs="宋体"/>
                <w:szCs w:val="21"/>
                <w:highlight w:val="none"/>
              </w:rPr>
              <w:t xml:space="preserve">45mm，壁厚</w:t>
            </w:r>
            <w:r>
              <w:rPr>
                <w:rFonts w:hint="eastAsia"/>
                <w:highlight w:val="none"/>
              </w:rPr>
              <w:t xml:space="preserve">≥</w:t>
            </w:r>
            <w:r>
              <w:rPr>
                <w:rFonts w:hint="eastAsia" w:ascii="宋体" w:hAnsi="宋体" w:cs="宋体"/>
                <w:szCs w:val="21"/>
                <w:highlight w:val="none"/>
              </w:rPr>
              <w:t xml:space="preserve">1mm，三节静音导轨</w:t>
            </w:r>
            <w:r>
              <w:rPr>
                <w:rFonts w:hint="eastAsia"/>
                <w:highlight w:val="none"/>
              </w:rPr>
              <w:t xml:space="preserve">。</w:t>
            </w:r>
            <w:r/>
          </w:p>
          <w:p>
            <w:pPr>
              <w:spacing w:line="360" w:lineRule="auto"/>
              <w:rPr>
                <w:rFonts w:cs="宋体"/>
                <w:highlight w:val="none"/>
              </w:rPr>
            </w:pPr>
            <w:r>
              <w:rPr>
                <w:rFonts w:hint="eastAsia"/>
                <w:b/>
                <w:bCs/>
                <w:highlight w:val="none"/>
              </w:rPr>
              <w:t xml:space="preserve">7、推拉盒钢架：</w:t>
            </w:r>
            <w:r>
              <w:rPr>
                <w:rFonts w:hint="eastAsia"/>
                <w:highlight w:val="none"/>
              </w:rPr>
              <w:t xml:space="preserve">床下存储行李箱的推拉盒钢架采用≥20×20×1.2mm方管制作，推拉盒尾部设挡板；限位钢架采用≥15×30×1.2mm矩形管，底部配置静音定向轮，推拉盒深度≥800mm，单侧具有引导限位功能，确保推拉行李架在使用过程中不会摇晃或倾斜。</w:t>
            </w:r>
            <w:r/>
          </w:p>
          <w:p>
            <w:pPr>
              <w:spacing w:line="360" w:lineRule="auto"/>
              <w:rPr>
                <w:rFonts w:cs="宋体"/>
                <w:b/>
                <w:bCs/>
                <w:color w:val="000000" w:themeColor="text1"/>
                <w:highlight w:val="none"/>
                <w14:textFill>
                  <w14:solidFill>
                    <w14:schemeClr w14:val="tx1"/>
                  </w14:solidFill>
                </w14:textFill>
              </w:rPr>
            </w:pPr>
            <w:r>
              <w:rPr>
                <w:rFonts w:hint="eastAsia" w:cs="宋体"/>
                <w:b/>
                <w:bCs/>
                <w:highlight w:val="none"/>
              </w:rPr>
              <w:t xml:space="preserve">8、床板：</w:t>
            </w:r>
            <w:r>
              <w:rPr>
                <w:rFonts w:hint="eastAsia"/>
                <w:highlight w:val="none"/>
              </w:rPr>
              <w:t xml:space="preserve">采用HDPE高密度聚乙烯全新料，一次中空吹塑成型，厚度≥18mm。尺寸与床框内部服帖，四周单侧间隙应不大于10mm，保证不移动。</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r>
      <w:tr>
        <w:trPr>
          <w:jc w:val="center"/>
        </w:trPr>
        <w:tc>
          <w:tcPr>
            <w:tcW w:w="0" w:type="auto"/>
            <w:vAlign w:val="center"/>
            <w:vMerge w:val="continue"/>
            <w:textDirection w:val="lrTb"/>
            <w:noWrap w:val="false"/>
          </w:tcPr>
          <w:p>
            <w:pPr>
              <w:jc w:val="center"/>
              <w:spacing w:line="360" w:lineRule="auto"/>
              <w:rPr>
                <w:rFonts w:cs="宋体"/>
                <w:color w:val="000000" w:themeColor="text1"/>
                <w:szCs w:val="22"/>
                <w:highlight w:val="none"/>
                <w14:textFill>
                  <w14:solidFill>
                    <w14:schemeClr w14:val="tx1"/>
                  </w14:solidFill>
                </w14:textFill>
              </w:rPr>
            </w:pPr>
            <w:r>
              <w:rPr>
                <w:rFonts w:cs="宋体"/>
                <w:color w:val="000000" w:themeColor="text1"/>
                <w:szCs w:val="22"/>
                <w:highlight w:val="none"/>
                <w14:textFill>
                  <w14:solidFill>
                    <w14:schemeClr w14:val="tx1"/>
                  </w14:solidFill>
                </w14:textFill>
              </w:rPr>
            </w:r>
            <w:r/>
          </w:p>
        </w:tc>
        <w:tc>
          <w:tcPr>
            <w:tcW w:w="697" w:type="dxa"/>
            <w:vAlign w:val="center"/>
            <w:vMerge w:val="continue"/>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757" w:type="dxa"/>
            <w:vAlign w:val="center"/>
            <w:textDirection w:val="lrTb"/>
            <w:noWrap w:val="false"/>
          </w:tcPr>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书桌</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1200*600*2050</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衣柜</w:t>
            </w:r>
            <w:r/>
          </w:p>
          <w:p>
            <w:pPr>
              <w:jc w:val="center"/>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800*600*2050</w:t>
            </w:r>
            <w:r/>
          </w:p>
        </w:tc>
        <w:tc>
          <w:tcPr>
            <w:tcW w:w="0" w:type="auto"/>
            <w:vAlign w:val="center"/>
            <w:textDirection w:val="lrTb"/>
            <w:noWrap w:val="false"/>
          </w:tcPr>
          <w:p>
            <w:pPr>
              <w:spacing w:line="360" w:lineRule="auto"/>
              <w:rPr>
                <w:b/>
                <w:bCs w:val="0"/>
                <w:i/>
                <w:iCs/>
                <w:highlight w:val="none"/>
                <w:u w:val="single"/>
              </w:rPr>
            </w:pPr>
            <w:r>
              <w:rPr>
                <w:rFonts w:hint="eastAsia" w:ascii="微软雅黑" w:hAnsi="微软雅黑" w:cs="微软雅黑"/>
                <w:b/>
                <w:bCs w:val="0"/>
                <w:i/>
                <w:iCs/>
                <w:szCs w:val="21"/>
                <w:highlight w:val="none"/>
                <w:u w:val="single"/>
              </w:rPr>
              <w:t xml:space="preserve">★</w:t>
            </w:r>
            <w:r>
              <w:rPr>
                <w:rFonts w:hint="eastAsia"/>
                <w:b/>
                <w:bCs w:val="0"/>
                <w:i/>
                <w:iCs/>
                <w:highlight w:val="none"/>
                <w:u w:val="single"/>
              </w:rPr>
              <w:t xml:space="preserve">材质要求：本次招标范围内所有板材（包括但不限于桌面板、柜门板、侧板、层板、背板、底板、顶板），芯材为全桉木。</w:t>
            </w:r>
            <w:r/>
          </w:p>
          <w:p>
            <w:pPr>
              <w:spacing w:line="360" w:lineRule="auto"/>
              <w:rPr>
                <w:highlight w:val="none"/>
              </w:rPr>
            </w:pPr>
            <w:r>
              <w:rPr>
                <w:rFonts w:hint="eastAsia"/>
                <w:b/>
                <w:bCs/>
                <w:highlight w:val="none"/>
              </w:rPr>
              <w:t xml:space="preserve">1、侧板、层板、背板等：</w:t>
            </w:r>
            <w:r>
              <w:rPr>
                <w:rFonts w:hint="eastAsia"/>
                <w:highlight w:val="none"/>
              </w:rPr>
              <w:t xml:space="preserve">背板、侧板、层板均选用18mmENF级三聚氰胺饰面实木多层板。板材表面不得有缺角和破损，无明显的干湿花、污斑及划痕。</w:t>
            </w:r>
            <w:r/>
          </w:p>
          <w:p>
            <w:pPr>
              <w:spacing w:line="360" w:lineRule="auto"/>
              <w:rPr>
                <w:highlight w:val="none"/>
              </w:rPr>
            </w:pPr>
            <w:r>
              <w:rPr>
                <w:rFonts w:hint="eastAsia"/>
                <w:b/>
                <w:bCs/>
                <w:highlight w:val="none"/>
              </w:rPr>
              <w:t xml:space="preserve">2、桌面板：</w:t>
            </w:r>
            <w:r>
              <w:rPr>
                <w:rFonts w:hint="eastAsia"/>
                <w:highlight w:val="none"/>
              </w:rPr>
              <w:t xml:space="preserve">采用≥25mm厚ENF级三聚氰胺饰面实木多层板，面材采用≥0.7mm厚防火板，桌面成“L”形，桌面前口制作成圆润造型，桌面后侧加≥50mm高档条。</w:t>
            </w:r>
            <w:r/>
          </w:p>
          <w:p>
            <w:pPr>
              <w:spacing w:line="360" w:lineRule="auto"/>
              <w:rPr>
                <w:highlight w:val="none"/>
              </w:rPr>
            </w:pPr>
            <w:r>
              <w:rPr>
                <w:rFonts w:hint="eastAsia"/>
                <w:b/>
                <w:bCs/>
                <w:highlight w:val="none"/>
              </w:rPr>
              <w:t xml:space="preserve">3、抽屉面板、小柜门板、衣柜门板：</w:t>
            </w:r>
            <w:r>
              <w:rPr>
                <w:rFonts w:hint="eastAsia"/>
                <w:highlight w:val="none"/>
              </w:rPr>
              <w:t xml:space="preserve">采用18mm厚ENF级三聚氰胺饰面实木多层板。配备铝合金暗扣拉手，衣柜大门板配有内嵌式铝合金锁盒，旋钮式挂锁设计，表面喷涂处理，挂锁不外露，确保使用时的安全性。衣柜内安装壁厚≥1.0mm不锈钢或铝合金挂衣杆。</w:t>
            </w:r>
            <w:r/>
          </w:p>
          <w:p>
            <w:pPr>
              <w:spacing w:line="360" w:lineRule="auto"/>
              <w:rPr>
                <w:highlight w:val="none"/>
              </w:rPr>
            </w:pPr>
            <w:r>
              <w:rPr>
                <w:rFonts w:hint="eastAsia"/>
                <w:b/>
                <w:bCs/>
                <w:highlight w:val="none"/>
              </w:rPr>
              <w:t xml:space="preserve">4、功能要求：</w:t>
            </w:r>
            <w:r>
              <w:rPr>
                <w:rFonts w:hint="eastAsia"/>
                <w:highlight w:val="none"/>
              </w:rPr>
              <w:t xml:space="preserve">配备衣柜、书桌、桌上方开放式书架、书桌抽屉（具有锁具功能）等。布局需校方确认。包含五金配件：阻尼铰链、阻尼导轨等，导轨宽度≥45mm，壁厚≥1mm，三节静音导轨。</w:t>
            </w:r>
            <w:r/>
          </w:p>
          <w:p>
            <w:pPr>
              <w:spacing w:line="360" w:lineRule="auto"/>
              <w:rPr>
                <w:rFonts w:cs="宋体"/>
                <w:b/>
                <w:bCs/>
                <w:color w:val="000000" w:themeColor="text1"/>
                <w:highlight w:val="none"/>
                <w14:textFill>
                  <w14:solidFill>
                    <w14:schemeClr w14:val="tx1"/>
                  </w14:solidFill>
                </w14:textFill>
              </w:rPr>
            </w:pPr>
            <w:r>
              <w:rPr>
                <w:rFonts w:hint="eastAsia"/>
                <w:b/>
                <w:bCs/>
                <w:highlight w:val="none"/>
              </w:rPr>
              <w:t xml:space="preserve">5、封边</w:t>
            </w:r>
            <w:r>
              <w:rPr>
                <w:rFonts w:hint="eastAsia"/>
                <w:highlight w:val="none"/>
              </w:rPr>
              <w:t xml:space="preserve">：所有板材均需四面封边，采用≥1.0mm厚封边条，均采用PUR同色或激光封边。选用无醛封边胶，封边严密、平整、无脱胶、表面无胶渍，封边胶与封边条内胶为统一品牌。</w:t>
            </w:r>
            <w:r/>
          </w:p>
        </w:tc>
        <w:tc>
          <w:tcPr>
            <w:tcW w:w="0" w:type="auto"/>
            <w:vAlign w:val="center"/>
            <w:textDirection w:val="lrTb"/>
            <w:noWrap w:val="false"/>
          </w:tcPr>
          <w:p>
            <w:pPr>
              <w:pStyle w:val="748"/>
              <w:jc w:val="center"/>
              <w:spacing w:line="276"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r>
    </w:tbl>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090795" cy="3599815"/>
                <wp:effectExtent l="0" t="0" r="14604" b="12065"/>
                <wp:docPr id="8" name="图片 1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1"/>
                        <pic:cNvPicPr>
                          <a:picLocks noChangeAspect="1"/>
                        </pic:cNvPicPr>
                        <pic:nvPr/>
                      </pic:nvPicPr>
                      <pic:blipFill>
                        <a:blip r:embed="rId20"/>
                        <a:stretch/>
                      </pic:blipFill>
                      <pic:spPr bwMode="auto">
                        <a:xfrm>
                          <a:off x="0" y="0"/>
                          <a:ext cx="5090795" cy="3599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0.8pt;height:283.4pt;mso-wrap-distance-left:0.0pt;mso-wrap-distance-top:0.0pt;mso-wrap-distance-right:0.0pt;mso-wrap-distance-bottom:0.0pt;" stroked="false">
                <v:path textboxrect="0,0,0,0"/>
                <v:imagedata r:id="rId20"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1</w:t>
      </w:r>
      <w:r>
        <w:rPr>
          <w:rFonts w:hint="eastAsia" w:cs="仿宋"/>
          <w:b/>
          <w:bCs/>
          <w:color w:val="000000" w:themeColor="text1"/>
          <w:sz w:val="24"/>
          <w:highlight w:val="none"/>
          <w14:textFill>
            <w14:solidFill>
              <w14:schemeClr w14:val="tx1"/>
            </w14:solidFill>
          </w14:textFill>
        </w:rPr>
        <w:t xml:space="preserve"> </w:t>
      </w:r>
      <w:r>
        <w:rPr>
          <w:rFonts w:hint="eastAsia" w:cs="仿宋"/>
          <w:b/>
          <w:bCs/>
          <w:color w:val="000000" w:themeColor="text1"/>
          <w:sz w:val="24"/>
          <w:highlight w:val="none"/>
          <w:lang w:val="en-US" w:eastAsia="zh-CN"/>
          <w14:textFill>
            <w14:solidFill>
              <w14:schemeClr w14:val="tx1"/>
            </w14:solidFill>
          </w14:textFill>
        </w:rPr>
        <w:t xml:space="preserve">分</w:t>
      </w:r>
      <w:r>
        <w:rPr>
          <w:rFonts w:hint="eastAsia" w:cs="仿宋"/>
          <w:b/>
          <w:bCs/>
          <w:color w:val="000000" w:themeColor="text1"/>
          <w:sz w:val="24"/>
          <w:highlight w:val="none"/>
          <w14:textFill>
            <w14:solidFill>
              <w14:schemeClr w14:val="tx1"/>
            </w14:solidFill>
          </w14:textFill>
        </w:rPr>
        <w:t xml:space="preserve">包</w:t>
      </w:r>
      <w:r>
        <w:rPr>
          <w:rFonts w:hint="eastAsia" w:cs="仿宋"/>
          <w:b/>
          <w:bCs/>
          <w:color w:val="000000" w:themeColor="text1"/>
          <w:sz w:val="24"/>
          <w:highlight w:val="none"/>
          <w:lang w:val="en-US" w:eastAsia="zh-CN"/>
          <w14:textFill>
            <w14:solidFill>
              <w14:schemeClr w14:val="tx1"/>
            </w14:solidFill>
          </w14:textFill>
        </w:rPr>
        <w:t xml:space="preserve">二</w:t>
      </w:r>
      <w:r>
        <w:rPr>
          <w:rFonts w:hint="eastAsia" w:cs="仿宋"/>
          <w:b/>
          <w:bCs/>
          <w:color w:val="000000" w:themeColor="text1"/>
          <w:sz w:val="24"/>
          <w:highlight w:val="none"/>
          <w14:textFill>
            <w14:solidFill>
              <w14:schemeClr w14:val="tx1"/>
            </w14:solidFill>
          </w14:textFill>
        </w:rPr>
        <w:t xml:space="preserve">平面布置示意图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9" name="图片 16"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2"/>
                        <pic:cNvPicPr>
                          <a:picLocks noChangeAspect="1"/>
                        </pic:cNvPicPr>
                        <pic:nvPr/>
                      </pic:nvPicPr>
                      <pic:blipFill>
                        <a:blip r:embed="rId21"/>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293.0pt;mso-wrap-distance-left:0.0pt;mso-wrap-distance-top:0.0pt;mso-wrap-distance-right:0.0pt;mso-wrap-distance-bottom:0.0pt;" stroked="false">
                <v:path textboxrect="0,0,0,0"/>
                <v:imagedata r:id="rId21" o:title=""/>
              </v:shape>
            </w:pict>
          </mc:Fallback>
        </mc:AlternateContent>
      </w: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10" name="图片 17"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4"/>
                        <pic:cNvPicPr>
                          <a:picLocks noChangeAspect="1"/>
                        </pic:cNvPicPr>
                        <pic:nvPr/>
                      </pic:nvPicPr>
                      <pic:blipFill>
                        <a:blip r:embed="rId22"/>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293.0pt;mso-wrap-distance-left:0.0pt;mso-wrap-distance-top:0.0pt;mso-wrap-distance-right:0.0pt;mso-wrap-distance-bottom:0.0pt;" stroked="false">
                <v:path textboxrect="0,0,0,0"/>
                <v:imagedata r:id="rId22"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2</w:t>
      </w:r>
      <w:r>
        <w:rPr>
          <w:rFonts w:hint="eastAsia" w:cs="仿宋"/>
          <w:b/>
          <w:bCs/>
          <w:color w:val="000000" w:themeColor="text1"/>
          <w:sz w:val="24"/>
          <w:highlight w:val="none"/>
          <w14:textFill>
            <w14:solidFill>
              <w14:schemeClr w14:val="tx1"/>
            </w14:solidFill>
          </w14:textFill>
        </w:rPr>
        <w:t xml:space="preserve"> 公寓组合床（外挂梯）示意图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11" name="图片 18"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2"/>
                        <pic:cNvPicPr>
                          <a:picLocks noChangeAspect="1"/>
                        </pic:cNvPicPr>
                        <pic:nvPr/>
                      </pic:nvPicPr>
                      <pic:blipFill>
                        <a:blip r:embed="rId16"/>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3pt;height:293.0pt;mso-wrap-distance-left:0.0pt;mso-wrap-distance-top:0.0pt;mso-wrap-distance-right:0.0pt;mso-wrap-distance-bottom:0.0pt;" stroked="false">
                <v:path textboxrect="0,0,0,0"/>
                <v:imagedata r:id="rId16" o:title=""/>
              </v:shape>
            </w:pict>
          </mc:Fallback>
        </mc:AlternateContent>
      </w: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12" name="图片 1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3"/>
                        <pic:cNvPicPr>
                          <a:picLocks noChangeAspect="1"/>
                        </pic:cNvPicPr>
                        <pic:nvPr/>
                      </pic:nvPicPr>
                      <pic:blipFill>
                        <a:blip r:embed="rId17"/>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3.0pt;mso-wrap-distance-left:0.0pt;mso-wrap-distance-top:0.0pt;mso-wrap-distance-right:0.0pt;mso-wrap-distance-bottom:0.0pt;" stroked="false">
                <v:path textboxrect="0,0,0,0"/>
                <v:imagedata r:id="rId17" o:title=""/>
              </v:shape>
            </w:pict>
          </mc:Fallback>
        </mc:AlternateContent>
      </w: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13" name="图片 20"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4"/>
                        <pic:cNvPicPr>
                          <a:picLocks noChangeAspect="1"/>
                        </pic:cNvPicPr>
                        <pic:nvPr/>
                      </pic:nvPicPr>
                      <pic:blipFill>
                        <a:blip r:embed="rId18"/>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293.0pt;mso-wrap-distance-left:0.0pt;mso-wrap-distance-top:0.0pt;mso-wrap-distance-right:0.0pt;mso-wrap-distance-bottom:0.0pt;" stroked="false">
                <v:path textboxrect="0,0,0,0"/>
                <v:imagedata r:id="rId18" o:title=""/>
              </v:shape>
            </w:pict>
          </mc:Fallback>
        </mc:AlternateConten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3</w:t>
      </w:r>
      <w:r>
        <w:rPr>
          <w:rFonts w:hint="eastAsia" w:cs="仿宋"/>
          <w:b/>
          <w:bCs/>
          <w:color w:val="000000" w:themeColor="text1"/>
          <w:sz w:val="24"/>
          <w:highlight w:val="none"/>
          <w14:textFill>
            <w14:solidFill>
              <w14:schemeClr w14:val="tx1"/>
            </w14:solidFill>
          </w14:textFill>
        </w:rPr>
        <w:t xml:space="preserve"> 单人床组合家具示意图</w:t>
      </w:r>
      <w:r/>
    </w:p>
    <w:p>
      <w:pPr>
        <w:pStyle w:val="1196"/>
        <w:jc w:val="center"/>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262245" cy="3721100"/>
                <wp:effectExtent l="0" t="0" r="10795" b="12700"/>
                <wp:docPr id="14" name="图片 21" descr="公寓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公寓梯"/>
                        <pic:cNvPicPr>
                          <a:picLocks noChangeAspect="1"/>
                        </pic:cNvPicPr>
                        <pic:nvPr/>
                      </pic:nvPicPr>
                      <pic:blipFill>
                        <a:blip r:embed="rId19"/>
                        <a:stretch/>
                      </pic:blipFill>
                      <pic:spPr bwMode="auto">
                        <a:xfrm>
                          <a:off x="0" y="0"/>
                          <a:ext cx="526224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293.0pt;mso-wrap-distance-left:0.0pt;mso-wrap-distance-top:0.0pt;mso-wrap-distance-right:0.0pt;mso-wrap-distance-bottom:0.0pt;" stroked="false">
                <v:path textboxrect="0,0,0,0"/>
                <v:imagedata r:id="rId19" o:title=""/>
              </v:shape>
            </w:pict>
          </mc:Fallback>
        </mc:AlternateContent>
      </w:r>
      <w:r/>
    </w:p>
    <w:p>
      <w:pPr>
        <w:pStyle w:val="1196"/>
        <w:jc w:val="center"/>
        <w:spacing w:line="360" w:lineRule="auto"/>
        <w:rPr>
          <w:rFonts w:hint="eastAsia"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14:textFill>
            <w14:solidFill>
              <w14:schemeClr w14:val="tx1"/>
            </w14:solidFill>
          </w14:textFill>
        </w:rPr>
        <w:t xml:space="preserve">图</w:t>
      </w:r>
      <w:r>
        <w:rPr>
          <w:rFonts w:hint="eastAsia" w:cs="仿宋"/>
          <w:b/>
          <w:bCs/>
          <w:color w:val="000000" w:themeColor="text1"/>
          <w:sz w:val="24"/>
          <w:highlight w:val="none"/>
          <w:lang w:val="en-US" w:eastAsia="zh-CN"/>
          <w14:textFill>
            <w14:solidFill>
              <w14:schemeClr w14:val="tx1"/>
            </w14:solidFill>
          </w14:textFill>
        </w:rPr>
        <w:t xml:space="preserve">4</w:t>
      </w:r>
      <w:r>
        <w:rPr>
          <w:rFonts w:hint="eastAsia" w:cs="仿宋"/>
          <w:b/>
          <w:bCs/>
          <w:color w:val="000000" w:themeColor="text1"/>
          <w:sz w:val="24"/>
          <w:highlight w:val="none"/>
          <w14:textFill>
            <w14:solidFill>
              <w14:schemeClr w14:val="tx1"/>
            </w14:solidFill>
          </w14:textFill>
        </w:rPr>
        <w:t xml:space="preserve"> 公寓椅示意图</w:t>
      </w:r>
      <w:r/>
    </w:p>
    <w:p>
      <w:pPr>
        <w:pStyle w:val="1196"/>
        <w:spacing w:line="360" w:lineRule="auto"/>
        <w:rPr>
          <w:rFonts w:cs="仿宋"/>
          <w:b/>
          <w:bCs/>
          <w:color w:val="auto"/>
          <w:sz w:val="24"/>
          <w:highlight w:val="none"/>
        </w:rPr>
      </w:pPr>
      <w:r>
        <w:rPr>
          <w:rFonts w:hint="eastAsia" w:cs="仿宋"/>
          <w:b/>
          <w:bCs/>
          <w:color w:val="auto"/>
          <w:sz w:val="24"/>
          <w:highlight w:val="none"/>
        </w:rPr>
        <w:t xml:space="preserve">注：考虑部分房间尺寸可能与标准房间略有出入，请供应商中标后在制作和安装前逐一房间现场测量。所有需要优化设计的项目方案须经采购人确认后实施。</w:t>
      </w:r>
      <w:r/>
    </w:p>
    <w:p>
      <w:pPr>
        <w:pStyle w:val="1196"/>
        <w:jc w:val="left"/>
        <w:spacing w:line="360" w:lineRule="auto"/>
        <w:rPr>
          <w:rFonts w:cs="仿宋"/>
          <w:b/>
          <w:bCs/>
          <w:color w:val="000000" w:themeColor="text1"/>
          <w:sz w:val="24"/>
          <w:highlight w:val="none"/>
          <w14:textFill>
            <w14:solidFill>
              <w14:schemeClr w14:val="tx1"/>
            </w14:solidFill>
          </w14:textFill>
        </w:rPr>
      </w:pPr>
      <w:r>
        <w:rPr>
          <w:rFonts w:hint="eastAsia" w:cs="仿宋"/>
          <w:b/>
          <w:bCs/>
          <w:color w:val="000000" w:themeColor="text1"/>
          <w:sz w:val="24"/>
          <w:highlight w:val="none"/>
          <w:lang w:val="en-US" w:eastAsia="zh-CN"/>
          <w14:textFill>
            <w14:solidFill>
              <w14:schemeClr w14:val="tx1"/>
            </w14:solidFill>
          </w14:textFill>
        </w:rPr>
        <w:t xml:space="preserve">四、</w:t>
      </w:r>
      <w:r>
        <w:rPr>
          <w:rFonts w:hint="eastAsia" w:cs="仿宋"/>
          <w:b/>
          <w:bCs/>
          <w:color w:val="000000" w:themeColor="text1"/>
          <w:sz w:val="24"/>
          <w:highlight w:val="none"/>
          <w14:textFill>
            <w14:solidFill>
              <w14:schemeClr w14:val="tx1"/>
            </w14:solidFill>
          </w14:textFill>
        </w:rPr>
        <w:t xml:space="preserve"> 产品</w:t>
      </w:r>
      <w:r>
        <w:rPr>
          <w:rFonts w:hint="eastAsia" w:cs="仿宋"/>
          <w:b/>
          <w:bCs/>
          <w:color w:val="000000" w:themeColor="text1"/>
          <w:sz w:val="24"/>
          <w:highlight w:val="none"/>
          <w:lang w:val="en-US" w:eastAsia="zh-CN"/>
          <w14:textFill>
            <w14:solidFill>
              <w14:schemeClr w14:val="tx1"/>
            </w14:solidFill>
          </w14:textFill>
        </w:rPr>
        <w:t xml:space="preserve">标准及检测报告</w:t>
      </w:r>
      <w:r>
        <w:rPr>
          <w:rFonts w:hint="eastAsia" w:cs="仿宋"/>
          <w:b/>
          <w:bCs/>
          <w:color w:val="000000" w:themeColor="text1"/>
          <w:sz w:val="24"/>
          <w:highlight w:val="none"/>
          <w14:textFill>
            <w14:solidFill>
              <w14:schemeClr w14:val="tx1"/>
            </w14:solidFill>
          </w14:textFill>
        </w:rPr>
        <w:t xml:space="preserve">要求</w:t>
      </w:r>
      <w:r/>
    </w:p>
    <w:p>
      <w:pPr>
        <w:pStyle w:val="1196"/>
        <w:ind w:firstLine="480"/>
        <w:jc w:val="left"/>
        <w:spacing w:line="360" w:lineRule="auto"/>
        <w:rPr>
          <w:rFonts w:cs="仿宋"/>
          <w:color w:val="000000" w:themeColor="text1"/>
          <w:sz w:val="24"/>
          <w:highlight w:val="none"/>
          <w14:textFill>
            <w14:solidFill>
              <w14:schemeClr w14:val="tx1"/>
            </w14:solidFill>
          </w14:textFill>
        </w:rPr>
      </w:pPr>
      <w:r>
        <w:rPr>
          <w:rFonts w:cs="仿宋"/>
          <w:color w:val="000000" w:themeColor="text1"/>
          <w:sz w:val="24"/>
          <w:highlight w:val="none"/>
          <w14:textFill>
            <w14:solidFill>
              <w14:schemeClr w14:val="tx1"/>
            </w14:solidFill>
          </w14:textFill>
        </w:rPr>
        <w:t xml:space="preserve">供应商必须按国家标准执行，为采购人提供优质产品，保证所提供的产品属环保产品，符合国家环保标准，安全、无菌、无异味、无毒。所有产品的包装均应有良好的防潮、防湿、防雨、防锈、防腐及防碰撞的措施。凡由于包装不良造成的损失和由此产生的费用均由中标供应商承担。</w:t>
      </w:r>
      <w:r/>
    </w:p>
    <w:p>
      <w:pPr>
        <w:pStyle w:val="1196"/>
        <w:jc w:val="left"/>
        <w:spacing w:line="360" w:lineRule="auto"/>
        <w:rPr>
          <w:rFonts w:cs="仿宋"/>
          <w:color w:val="000000" w:themeColor="text1"/>
          <w:sz w:val="24"/>
          <w:highlight w:val="none"/>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1、供应商所提供的产品须符合但不局限于以下标准：</w:t>
      </w:r>
      <w:r/>
    </w:p>
    <w:tbl>
      <w:tblPr>
        <w:tblStyle w:val="753"/>
        <w:tblW w:w="4982"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614"/>
        <w:gridCol w:w="6861"/>
      </w:tblGrid>
      <w:tr>
        <w:trPr/>
        <w:tc>
          <w:tcPr>
            <w:gridSpan w:val="3"/>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采购标的须执行的标准</w:t>
            </w:r>
            <w:r/>
          </w:p>
        </w:tc>
      </w:tr>
      <w:tr>
        <w:trPr/>
        <w:tc>
          <w:tcPr>
            <w:tcBorders>
              <w:top w:val="single" w:color="auto" w:sz="4" w:space="0"/>
            </w:tcBorders>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w:t>
            </w:r>
            <w:r/>
          </w:p>
        </w:tc>
        <w:tc>
          <w:tcPr>
            <w:tcBorders>
              <w:top w:val="single" w:color="auto" w:sz="4" w:space="0"/>
            </w:tcBorders>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39600-2021</w:t>
            </w:r>
            <w:r/>
          </w:p>
        </w:tc>
        <w:tc>
          <w:tcPr>
            <w:tcBorders>
              <w:top w:val="single" w:color="auto" w:sz="4" w:space="0"/>
            </w:tcBorders>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人造板及其制品中甲醛释放量分级</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2</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 18584-2024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家具中有害物质限量</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3</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3324-2024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木家具通用技术条件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4</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3325-2024</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金属家具通用技术条件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5</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32487-2016</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塑料家具通用技术条件</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6</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39016-2020</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定制家具通用设计规范</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7</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9846-2015</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普通胶合板</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8</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GB/T 15102-2017</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浸渍胶膜纸饰面纤维板和刨花板</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9</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2741-2013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学生公寓多功能家具</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10</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4463-2013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家具用封边条技术要求</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11</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2189-2013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家具五金杯状暗铰链</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12</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QB/T 2454-2013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ascii="微软雅黑" w:hAnsi="微软雅黑" w:cs="微软雅黑"/>
                <w:szCs w:val="21"/>
                <w:highlight w:val="none"/>
              </w:rPr>
              <w:t xml:space="preserve">家具五金抽屉导轨</w:t>
            </w:r>
            <w:r/>
          </w:p>
        </w:tc>
      </w:tr>
      <w:tr>
        <w:trPr/>
        <w:tc>
          <w:tcPr>
            <w:tcW w:w="437"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13</w:t>
            </w:r>
            <w:r/>
          </w:p>
        </w:tc>
        <w:tc>
          <w:tcPr>
            <w:tcW w:w="1259"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T/JSJJ008-2023</w:t>
            </w:r>
            <w:r/>
          </w:p>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T/SGHX 002-2023</w:t>
            </w:r>
            <w:r/>
          </w:p>
        </w:tc>
        <w:tc>
          <w:tcPr>
            <w:tcW w:w="3304" w:type="pct"/>
            <w:vAlign w:val="center"/>
            <w:textDirection w:val="lrTb"/>
            <w:noWrap w:val="false"/>
          </w:tcPr>
          <w:p>
            <w:pPr>
              <w:pStyle w:val="1196"/>
              <w:jc w:val="center"/>
              <w:spacing w:line="360" w:lineRule="auto"/>
              <w:rPr>
                <w:rFonts w:cs="仿宋"/>
                <w:color w:val="000000" w:themeColor="text1"/>
                <w:szCs w:val="2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t xml:space="preserve">学生宿舍用床</w:t>
            </w:r>
            <w:r/>
          </w:p>
        </w:tc>
      </w:tr>
      <w:tr>
        <w:trPr/>
        <w:tc>
          <w:tcPr>
            <w:tcW w:w="437" w:type="pct"/>
            <w:vAlign w:val="center"/>
            <w:textDirection w:val="lrTb"/>
            <w:noWrap w:val="false"/>
          </w:tcPr>
          <w:p>
            <w:pPr>
              <w:pStyle w:val="1196"/>
              <w:jc w:val="center"/>
              <w:spacing w:line="360" w:lineRule="auto"/>
              <w:rPr>
                <w:rFonts w:cs="仿宋"/>
                <w:color w:val="auto"/>
                <w:szCs w:val="21"/>
                <w:highlight w:val="none"/>
              </w:rPr>
            </w:pPr>
            <w:r>
              <w:rPr>
                <w:rFonts w:cs="仿宋"/>
                <w:color w:val="auto"/>
                <w:szCs w:val="21"/>
                <w:highlight w:val="none"/>
              </w:rPr>
              <w:t xml:space="preserve">14</w:t>
            </w:r>
            <w:r/>
          </w:p>
        </w:tc>
        <w:tc>
          <w:tcPr>
            <w:tcW w:w="1259"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QB/T 3826-1999</w:t>
            </w:r>
            <w:r/>
          </w:p>
        </w:tc>
        <w:tc>
          <w:tcPr>
            <w:tcW w:w="3304"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轻工产品金属镀层和化学处理层的耐腐性试验方法中性盐雾试验(NSS)法</w:t>
            </w:r>
            <w:r/>
          </w:p>
        </w:tc>
      </w:tr>
      <w:tr>
        <w:trPr/>
        <w:tc>
          <w:tcPr>
            <w:tcW w:w="437" w:type="pct"/>
            <w:vAlign w:val="center"/>
            <w:textDirection w:val="lrTb"/>
            <w:noWrap w:val="false"/>
          </w:tcPr>
          <w:p>
            <w:pPr>
              <w:pStyle w:val="1196"/>
              <w:jc w:val="center"/>
              <w:spacing w:line="360" w:lineRule="auto"/>
              <w:rPr>
                <w:rFonts w:cs="仿宋"/>
                <w:color w:val="auto"/>
                <w:szCs w:val="21"/>
                <w:highlight w:val="none"/>
              </w:rPr>
            </w:pPr>
            <w:r>
              <w:rPr>
                <w:rFonts w:cs="仿宋"/>
                <w:color w:val="auto"/>
                <w:szCs w:val="21"/>
                <w:highlight w:val="none"/>
              </w:rPr>
              <w:t xml:space="preserve">15</w:t>
            </w:r>
            <w:r/>
          </w:p>
        </w:tc>
        <w:tc>
          <w:tcPr>
            <w:tcW w:w="1259"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QB/T 3827-1999</w:t>
            </w:r>
            <w:r/>
          </w:p>
        </w:tc>
        <w:tc>
          <w:tcPr>
            <w:tcW w:w="3304" w:type="pct"/>
            <w:vAlign w:val="center"/>
            <w:textDirection w:val="lrTb"/>
            <w:noWrap w:val="false"/>
          </w:tcPr>
          <w:p>
            <w:pPr>
              <w:pStyle w:val="1196"/>
              <w:jc w:val="center"/>
              <w:spacing w:line="360" w:lineRule="auto"/>
              <w:rPr>
                <w:rFonts w:cs="仿宋"/>
                <w:color w:val="auto"/>
                <w:szCs w:val="21"/>
                <w:highlight w:val="none"/>
              </w:rPr>
            </w:pPr>
            <w:r>
              <w:rPr>
                <w:rFonts w:hint="eastAsia" w:cs="仿宋"/>
                <w:color w:val="auto"/>
                <w:szCs w:val="21"/>
                <w:highlight w:val="none"/>
              </w:rPr>
              <w:t xml:space="preserve">轻工产品金属镀层和化学处理层的耐腐蚀试验方法乙酸盐雾试验(ASS)法</w:t>
            </w:r>
            <w:r/>
          </w:p>
        </w:tc>
      </w:tr>
    </w:tbl>
    <w:p>
      <w:pPr>
        <w:pStyle w:val="1196"/>
        <w:numPr>
          <w:ilvl w:val="0"/>
          <w:numId w:val="0"/>
        </w:numPr>
        <w:jc w:val="left"/>
        <w:spacing w:line="360" w:lineRule="auto"/>
        <w:rPr>
          <w:rFonts w:hint="eastAsia" w:cs="仿宋"/>
          <w:b w:val="0"/>
          <w:bCs w:val="0"/>
          <w:color w:val="000000" w:themeColor="text1"/>
          <w:sz w:val="24"/>
          <w:highlight w:val="none"/>
          <w14:textFill>
            <w14:solidFill>
              <w14:schemeClr w14:val="tx1"/>
            </w14:solidFill>
          </w14:textFill>
        </w:rPr>
      </w:pPr>
      <w:r>
        <w:rPr>
          <w:rFonts w:hint="eastAsia" w:cs="仿宋"/>
          <w:color w:val="000000" w:themeColor="text1"/>
          <w:sz w:val="24"/>
          <w:highlight w:val="none"/>
          <w:lang w:val="en-US" w:eastAsia="zh-CN"/>
          <w14:textFill>
            <w14:solidFill>
              <w14:schemeClr w14:val="tx1"/>
            </w14:solidFill>
          </w14:textFill>
        </w:rPr>
        <w:t xml:space="preserve">2、</w:t>
      </w:r>
      <w:r>
        <w:rPr>
          <w:rFonts w:hint="eastAsia" w:cs="仿宋"/>
          <w:color w:val="000000" w:themeColor="text1"/>
          <w:sz w:val="24"/>
          <w:highlight w:val="none"/>
          <w14:textFill>
            <w14:solidFill>
              <w14:schemeClr w14:val="tx1"/>
            </w14:solidFill>
          </w14:textFill>
        </w:rPr>
        <w:t xml:space="preserve">供应商提供的投标货物应符合绿色环保要求，所使用的主、辅材料应符合国家环保标准，</w:t>
      </w:r>
      <w:r>
        <w:rPr>
          <w:rFonts w:hint="eastAsia" w:cs="仿宋"/>
          <w:sz w:val="24"/>
          <w:highlight w:val="none"/>
        </w:rPr>
        <w:t xml:space="preserve">所用的基材达到阻燃B1级</w:t>
      </w:r>
      <w:r>
        <w:rPr>
          <w:rFonts w:hint="eastAsia" w:cs="仿宋"/>
          <w:color w:val="000000" w:themeColor="text1"/>
          <w:sz w:val="24"/>
          <w:highlight w:val="none"/>
          <w14:textFill>
            <w14:solidFill>
              <w14:schemeClr w14:val="tx1"/>
            </w14:solidFill>
          </w14:textFill>
        </w:rPr>
        <w:t xml:space="preserve">。如果以上所列的标准和规范，有新的版本或新的标准、规范，则按最新标准和规范执行；未能表述的质量要求请按国家有</w:t>
      </w:r>
      <w:r>
        <w:rPr>
          <w:rFonts w:hint="eastAsia" w:cs="仿宋"/>
          <w:b w:val="0"/>
          <w:bCs w:val="0"/>
          <w:color w:val="000000" w:themeColor="text1"/>
          <w:sz w:val="24"/>
          <w:highlight w:val="none"/>
          <w14:textFill>
            <w14:solidFill>
              <w14:schemeClr w14:val="tx1"/>
            </w14:solidFill>
          </w14:textFill>
        </w:rPr>
        <w:t xml:space="preserve">关技术规范执行。</w:t>
      </w:r>
      <w:r/>
    </w:p>
    <w:p>
      <w:pPr>
        <w:pStyle w:val="1196"/>
        <w:jc w:val="left"/>
        <w:spacing w:line="360" w:lineRule="auto"/>
        <w:rPr>
          <w:rFonts w:cs="仿宋"/>
          <w:b w:val="0"/>
          <w:bCs w:val="0"/>
          <w:color w:val="auto"/>
          <w:sz w:val="24"/>
          <w:highlight w:val="none"/>
        </w:rPr>
      </w:pPr>
      <w:r>
        <w:rPr>
          <w:rFonts w:hint="eastAsia" w:cs="仿宋"/>
          <w:b w:val="0"/>
          <w:bCs w:val="0"/>
          <w:color w:val="auto"/>
          <w:sz w:val="24"/>
          <w:highlight w:val="none"/>
        </w:rPr>
        <w:t xml:space="preserve">3、投标人提供2024年1月1日以来</w:t>
      </w:r>
      <w:r>
        <w:rPr>
          <w:rFonts w:hint="eastAsia" w:cs="仿宋"/>
          <w:b w:val="0"/>
          <w:bCs w:val="0"/>
          <w:color w:val="auto"/>
          <w:sz w:val="24"/>
          <w:highlight w:val="none"/>
          <w:lang w:val="en-US" w:eastAsia="zh-CN"/>
        </w:rPr>
        <w:t xml:space="preserve">的原材料和成品检</w:t>
      </w:r>
      <w:r>
        <w:rPr>
          <w:rFonts w:hint="eastAsia" w:cs="仿宋"/>
          <w:b w:val="0"/>
          <w:bCs w:val="0"/>
          <w:color w:val="auto"/>
          <w:sz w:val="24"/>
          <w:highlight w:val="none"/>
          <w:lang w:val="en-US" w:eastAsia="zh-CN"/>
        </w:rPr>
        <w:t xml:space="preserve">测报告</w:t>
      </w:r>
      <w:r>
        <w:rPr>
          <w:rFonts w:hint="eastAsia" w:cs="仿宋"/>
          <w:b w:val="0"/>
          <w:bCs w:val="0"/>
          <w:color w:val="auto"/>
          <w:sz w:val="24"/>
          <w:highlight w:val="none"/>
        </w:rPr>
        <w:t xml:space="preserve">，检测报告应为具有检验检测资质的检测机构出具，检测机构应通过相应的CMA认证，检测报告页面必须有CMA认证标志； </w:t>
      </w:r>
      <w:r/>
    </w:p>
    <w:p>
      <w:pPr>
        <w:pStyle w:val="1196"/>
        <w:ind w:firstLine="480"/>
        <w:jc w:val="left"/>
        <w:spacing w:line="360" w:lineRule="auto"/>
        <w:rPr>
          <w:rFonts w:cs="仿宋"/>
          <w:b/>
          <w:bCs/>
          <w:color w:val="auto"/>
          <w:sz w:val="24"/>
          <w:highlight w:val="none"/>
        </w:rPr>
      </w:pPr>
      <w:r>
        <w:rPr>
          <w:rFonts w:hint="eastAsia" w:cs="仿宋"/>
          <w:color w:val="auto"/>
          <w:sz w:val="24"/>
          <w:highlight w:val="none"/>
        </w:rPr>
        <w:t xml:space="preserve">（1）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2）提供公寓组合床的组合柜检测报告，需符合相关国家标准或行业标准，检测内容至少包括：甲醛释放量，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b/>
          <w:bCs/>
          <w:color w:val="auto"/>
          <w:sz w:val="24"/>
          <w:highlight w:val="none"/>
        </w:rPr>
      </w:pPr>
      <w:r>
        <w:rPr>
          <w:rFonts w:hint="eastAsia" w:cs="仿宋"/>
          <w:color w:val="auto"/>
          <w:sz w:val="24"/>
          <w:highlight w:val="none"/>
        </w:rPr>
        <w:t xml:space="preserve">（3）提供公寓椅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cs="仿宋"/>
          <w:color w:val="auto"/>
          <w:sz w:val="24"/>
          <w:highlight w:val="none"/>
        </w:rPr>
        <w:t xml:space="preserve">  （4）</w:t>
      </w:r>
      <w:r>
        <w:rPr>
          <w:rFonts w:ascii="SimSun" w:hAnsi="SimSun" w:eastAsia="SimSun" w:cs="SimSun"/>
          <w:color w:val="000000"/>
          <w:sz w:val="24"/>
        </w:rPr>
        <w:t xml:space="preserve">提供</w:t>
      </w:r>
      <w:r>
        <w:rPr>
          <w:rFonts w:ascii="SimSun" w:hAnsi="SimSun" w:eastAsia="SimSun" w:cs="SimSun"/>
          <w:b/>
          <w:color w:val="ff0000"/>
          <w:sz w:val="24"/>
        </w:rPr>
        <w:t xml:space="preserve">封边条</w:t>
      </w:r>
      <w:r>
        <w:rPr>
          <w:rFonts w:ascii="SimSun" w:hAnsi="SimSun" w:eastAsia="SimSun" w:cs="SimSun"/>
          <w:color w:val="000000"/>
          <w:sz w:val="24"/>
        </w:rPr>
        <w:t xml:space="preserve">检测报告。需符合相关国家标准或行业标准，检测内容至少包括：①耐干热性：应无龟裂、无鼓泡；②耐磨性：磨 30r 后应无露底现象；③耐开裂性（耐龟裂性）；④耐老化性（应无开裂）；⑤耐冷热循环性（应无龟裂、无鼓泡、无变色、无起皱）；⑥耐光色牢度（灰色样卡）≥4 级。【提供检测报告复印件】</w:t>
      </w:r>
      <w:r/>
    </w:p>
    <w:p>
      <w:pPr>
        <w:pStyle w:val="1196"/>
        <w:ind w:firstLine="480"/>
        <w:jc w:val="left"/>
        <w:spacing w:line="360" w:lineRule="auto"/>
        <w:rPr>
          <w:rFonts w:cs="仿宋"/>
          <w:color w:val="auto"/>
          <w:sz w:val="24"/>
          <w:szCs w:val="24"/>
          <w:highlight w:val="none"/>
        </w:rPr>
      </w:pPr>
      <w:r>
        <w:rPr>
          <w:rFonts w:hint="eastAsia" w:cs="仿宋"/>
          <w:color w:val="auto"/>
          <w:sz w:val="24"/>
          <w:highlight w:val="none"/>
        </w:rPr>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（5）提供多层板检测报告，需符合相关国家标准或行业标准，检测内容至少包括：甲醛释放量；防霉性能检测。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（6）提供床立柱、床沿检测报告，需符合相关国家标准或行业标准，检测内容至少包括：中性盐雾连续喷雾≥500小时，耐霉菌性等级检测。</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7）提供环氧树脂静电粉末检测报告，需符合相关国家标准或行业标准，检测内容至少包括：附着力（干附着力）；铅笔硬度（内聚破坏中擦伤）；耐冲击性（正向冲击）；耐碱性(168h)；耐酸性(240h)；耐湿性（500h）；耐盐雾性（中性盐雾 500h）；抗霉菌性能。</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cs="仿宋"/>
          <w:color w:val="auto"/>
          <w:sz w:val="24"/>
          <w:highlight w:val="none"/>
        </w:rPr>
        <w:t xml:space="preserve"> （8）</w:t>
      </w:r>
      <w:r>
        <w:rPr>
          <w:rFonts w:ascii="SimSun" w:hAnsi="SimSun" w:eastAsia="SimSun" w:cs="SimSun"/>
          <w:color w:val="000000"/>
          <w:sz w:val="24"/>
        </w:rPr>
        <w:t xml:space="preserve">提供防潮塑料脚套检测报告，需符合相关国家标准或行业标准，检测内容至少包括：理化性能：塑料件：耐冷热循环、硬度；塑料材料理化性能；</w:t>
      </w:r>
      <w:r>
        <w:rPr>
          <w:rFonts w:ascii="SimSun" w:hAnsi="SimSun" w:eastAsia="SimSun" w:cs="SimSun"/>
          <w:b/>
          <w:color w:val="ff0000"/>
          <w:sz w:val="24"/>
        </w:rPr>
        <w:t xml:space="preserve">重金属或可迁移有害元素</w:t>
      </w:r>
      <w:r>
        <w:rPr>
          <w:rFonts w:ascii="SimSun" w:hAnsi="SimSun" w:eastAsia="SimSun" w:cs="SimSun"/>
          <w:color w:val="000000"/>
          <w:sz w:val="24"/>
        </w:rPr>
        <w:t xml:space="preserve">；防霉性能检测；抗菌性能。【提供检测报告复印件】</w:t>
      </w:r>
      <w:r/>
    </w:p>
    <w:p>
      <w:pPr>
        <w:pStyle w:val="1196"/>
        <w:ind w:firstLine="480"/>
        <w:jc w:val="left"/>
        <w:spacing w:line="360" w:lineRule="auto"/>
        <w:rPr>
          <w:rFonts w:cs="仿宋"/>
          <w:color w:val="auto"/>
          <w:sz w:val="24"/>
          <w:szCs w:val="24"/>
          <w:highlight w:val="none"/>
        </w:rPr>
      </w:pPr>
      <w:r>
        <w:rPr>
          <w:rFonts w:hint="eastAsia" w:cs="仿宋"/>
          <w:color w:val="auto"/>
          <w:sz w:val="24"/>
          <w:highlight w:val="none"/>
        </w:rPr>
      </w:r>
      <w:r/>
    </w:p>
    <w:p>
      <w:pPr>
        <w:pStyle w:val="1196"/>
        <w:ind w:firstLine="480"/>
        <w:jc w:val="left"/>
        <w:spacing w:line="360" w:lineRule="auto"/>
        <w:rPr>
          <w:rFonts w:cs="仿宋"/>
          <w:color w:val="auto"/>
          <w:sz w:val="24"/>
          <w:highlight w:val="none"/>
        </w:rPr>
      </w:pPr>
      <w:r>
        <w:rPr>
          <w:rFonts w:hint="eastAsia" w:cs="仿宋"/>
          <w:color w:val="auto"/>
          <w:sz w:val="24"/>
          <w:highlight w:val="none"/>
        </w:rPr>
        <w:t xml:space="preserve">（9）提供阻尼铰链检测报告，需符合相关国家标准或行业标准，检测内容至少包括：过载（垂直静载荷、水平静载荷）；功能（垂直静载荷、水平静载荷、下沉量、操作力）；耐久性。</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pStyle w:val="1196"/>
        <w:ind w:firstLine="480"/>
        <w:jc w:val="left"/>
        <w:spacing w:line="360" w:lineRule="auto"/>
        <w:rPr>
          <w:rFonts w:hint="eastAsia" w:cs="仿宋"/>
          <w:b/>
          <w:bCs/>
          <w:color w:val="auto"/>
          <w:sz w:val="24"/>
          <w:highlight w:val="none"/>
        </w:rPr>
      </w:pPr>
      <w:r>
        <w:rPr>
          <w:rFonts w:hint="eastAsia" w:cs="仿宋"/>
          <w:color w:val="auto"/>
          <w:sz w:val="24"/>
          <w:highlight w:val="none"/>
        </w:rPr>
        <w:t xml:space="preserve">（10）提供阻尼静音导轨检测报告，需符合相关国家标准或行业标准，检测内容至少包括：垂直向下静载荷（过载）；水平侧向静载荷（过载）；猛关或猛开（过载）；功能（垂直向下静载荷、水平侧向静载荷、拉出安全性、猛开或猛关、下沉量）；耐久性。</w:t>
      </w:r>
      <w:r>
        <w:rPr>
          <w:rFonts w:hint="eastAsia" w:cs="仿宋"/>
          <w:b/>
          <w:bCs/>
          <w:color w:val="auto"/>
          <w:sz w:val="24"/>
          <w:highlight w:val="none"/>
        </w:rPr>
        <w:t xml:space="preserve">【提供检测报告</w:t>
      </w:r>
      <w:r>
        <w:rPr>
          <w:rFonts w:hint="eastAsia" w:cs="仿宋"/>
          <w:b/>
          <w:bCs/>
          <w:color w:val="auto"/>
          <w:sz w:val="24"/>
          <w:highlight w:val="none"/>
          <w:lang w:val="en-US" w:eastAsia="zh-CN"/>
        </w:rPr>
        <w:t xml:space="preserve">复印件</w:t>
      </w:r>
      <w:r>
        <w:rPr>
          <w:rFonts w:hint="eastAsia" w:cs="仿宋"/>
          <w:b/>
          <w:bCs/>
          <w:color w:val="auto"/>
          <w:sz w:val="24"/>
          <w:highlight w:val="none"/>
        </w:rPr>
        <w:t xml:space="preserve">】</w:t>
      </w:r>
      <w:r/>
    </w:p>
    <w:p>
      <w:pPr>
        <w:ind w:firstLine="480"/>
        <w:keepLines w:val="0"/>
        <w:keepNext w:val="0"/>
        <w:pageBreakBefore w:val="0"/>
        <w:spacing w:line="240" w:lineRule="auto"/>
        <w:widowControl w:val="off"/>
        <w:rPr>
          <w:rFonts w:hint="default" w:cs="仿宋"/>
          <w:b w:val="0"/>
          <w:bCs w:val="0"/>
          <w:color w:val="auto"/>
          <w:sz w:val="24"/>
          <w:highlight w:val="none"/>
          <w:lang w:val="en-US" w:eastAsia="zh-CN"/>
        </w:rPr>
      </w:pPr>
      <w:r>
        <w:rPr>
          <w:rFonts w:hint="eastAsia" w:cs="仿宋"/>
          <w:b w:val="0"/>
          <w:bCs w:val="0"/>
          <w:color w:val="auto"/>
          <w:sz w:val="24"/>
          <w:highlight w:val="none"/>
          <w:lang w:val="en-US" w:eastAsia="zh-CN"/>
        </w:rPr>
        <w:t xml:space="preserve">4、产品证书要求</w:t>
      </w:r>
      <w:r/>
    </w:p>
    <w:p>
      <w:pPr>
        <w:pStyle w:val="1196"/>
        <w:ind w:firstLine="480"/>
        <w:jc w:val="left"/>
        <w:spacing w:line="360" w:lineRule="auto"/>
        <w:rPr>
          <w:rFonts w:hint="eastAsia" w:ascii="Times New Roman" w:hAnsi="Times New Roman" w:eastAsia="宋体" w:cs="仿宋"/>
          <w:color w:val="auto"/>
          <w:sz w:val="24"/>
          <w:szCs w:val="24"/>
          <w:highlight w:val="none"/>
          <w:lang w:val="en-US" w:eastAsia="zh-CN" w:bidi="ar-SA"/>
        </w:rPr>
      </w:pPr>
      <w:r>
        <w:rPr>
          <w:rFonts w:hint="eastAsia" w:cs="仿宋"/>
          <w:color w:val="auto"/>
          <w:sz w:val="24"/>
          <w:szCs w:val="24"/>
          <w:highlight w:val="none"/>
          <w:lang w:val="en-US" w:eastAsia="zh-CN" w:bidi="ar-SA"/>
        </w:rPr>
        <w:t xml:space="preserve">（1）</w:t>
      </w:r>
      <w:r>
        <w:rPr>
          <w:rFonts w:hint="eastAsia" w:cs="仿宋"/>
          <w:color w:val="auto"/>
          <w:sz w:val="24"/>
          <w:szCs w:val="24"/>
          <w:highlight w:val="none"/>
          <w:lang w:val="en-US" w:eastAsia="zh-CN" w:bidi="ar-SA"/>
        </w:rPr>
        <w:t xml:space="preserve">投标人或家具制造商所投产品具有国家认监委认可的认证机构出具的有效家具防火阻燃产品认证证书，得1分。（提供证书扫描件及在全国认证认可信息公共服务平台的有效查询截图）</w:t>
      </w:r>
      <w:r>
        <w:rPr>
          <w:rFonts w:hint="eastAsia" w:cs="仿宋"/>
          <w:color w:val="auto"/>
          <w:sz w:val="24"/>
          <w:szCs w:val="24"/>
          <w:highlight w:val="none"/>
          <w:lang w:val="en-US" w:eastAsia="zh-CN" w:bidi="ar-SA"/>
        </w:rPr>
      </w:r>
      <w:r/>
    </w:p>
    <w:p>
      <w:pPr>
        <w:pStyle w:val="1196"/>
        <w:ind w:firstLine="480"/>
        <w:jc w:val="left"/>
        <w:spacing w:line="360" w:lineRule="auto"/>
        <w:rPr>
          <w:rFonts w:hint="eastAsia" w:ascii="Times New Roman" w:hAnsi="Times New Roman" w:eastAsia="宋体" w:cs="仿宋"/>
          <w:color w:val="auto"/>
          <w:sz w:val="24"/>
          <w:szCs w:val="24"/>
          <w:highlight w:val="none"/>
          <w:lang w:val="en-US" w:eastAsia="zh-CN" w:bidi="ar-SA"/>
        </w:rPr>
      </w:pPr>
      <w:r>
        <w:rPr>
          <w:rFonts w:hint="eastAsia" w:cs="仿宋"/>
          <w:color w:val="auto"/>
          <w:sz w:val="24"/>
          <w:szCs w:val="24"/>
          <w:highlight w:val="none"/>
          <w:lang w:val="en-US" w:eastAsia="zh-CN" w:bidi="ar-SA"/>
        </w:rPr>
        <w:t xml:space="preserve">（2）</w:t>
      </w:r>
      <w:r>
        <w:rPr>
          <w:rFonts w:hint="eastAsia" w:ascii="Times New Roman" w:hAnsi="Times New Roman" w:eastAsia="宋体" w:cs="仿宋"/>
          <w:color w:val="auto"/>
          <w:sz w:val="24"/>
          <w:szCs w:val="24"/>
          <w:highlight w:val="none"/>
          <w:lang w:val="en-US" w:eastAsia="zh-CN" w:bidi="ar-SA"/>
        </w:rPr>
        <w:t xml:space="preserve">投标人或家具制造商所投产品具有国家认监委认可的认证机构出具的有效家具产品有害物质限量认证证书的，得1分。（提供证书扫描件及在全国认证认可信息公共服务平台的有效查询截图）</w:t>
      </w:r>
      <w:r/>
    </w:p>
    <w:p>
      <w:pPr>
        <w:pStyle w:val="1196"/>
        <w:ind w:firstLine="480"/>
        <w:jc w:val="left"/>
        <w:spacing w:line="360" w:lineRule="auto"/>
        <w:rPr>
          <w:rFonts w:cs="仿宋"/>
          <w:b/>
          <w:bCs/>
          <w:color w:val="000000" w:themeColor="text1"/>
          <w:sz w:val="24"/>
          <w:highlight w:val="none"/>
          <w14:textFill>
            <w14:solidFill>
              <w14:schemeClr w14:val="tx1"/>
            </w14:solidFill>
          </w14:textFill>
        </w:rPr>
      </w:pPr>
      <w:r>
        <w:rPr>
          <w:rFonts w:hint="eastAsia" w:cs="仿宋"/>
          <w:color w:val="auto"/>
          <w:sz w:val="24"/>
          <w:szCs w:val="24"/>
          <w:highlight w:val="none"/>
          <w:lang w:val="en-US" w:eastAsia="zh-CN" w:bidi="ar-SA"/>
        </w:rPr>
        <w:t xml:space="preserve">（3）</w:t>
      </w:r>
      <w:r>
        <w:rPr>
          <w:rFonts w:hint="eastAsia" w:ascii="Times New Roman" w:hAnsi="Times New Roman" w:eastAsia="宋体" w:cs="仿宋"/>
          <w:color w:val="auto"/>
          <w:sz w:val="24"/>
          <w:szCs w:val="24"/>
          <w:highlight w:val="none"/>
          <w:lang w:val="en-US" w:eastAsia="zh-CN" w:bidi="ar-SA"/>
        </w:rPr>
        <w:t xml:space="preserve">投标人或家具制造商所投产品具有国家认监委认可的认证机构出具的有效期内的“产品防霉认证证书”，得1分。（提供证书扫描件及在全国认证认可信息公共服务平台的有效查询截图）</w:t>
      </w:r>
      <w:r>
        <w:rPr>
          <w:rFonts w:hint="eastAsia" w:cs="仿宋"/>
          <w:b/>
          <w:bCs/>
          <w:color w:val="000000" w:themeColor="text1"/>
          <w:sz w:val="24"/>
          <w:highlight w:val="none"/>
          <w:lang w:val="en-US" w:eastAsia="zh-CN"/>
          <w14:textFill>
            <w14:solidFill>
              <w14:schemeClr w14:val="tx1"/>
            </w14:solidFill>
          </w14:textFill>
        </w:rPr>
        <w:t xml:space="preserve">五、</w:t>
      </w:r>
      <w:r>
        <w:rPr>
          <w:rFonts w:hint="eastAsia" w:cs="仿宋"/>
          <w:b/>
          <w:bCs/>
          <w:color w:val="000000" w:themeColor="text1"/>
          <w:sz w:val="24"/>
          <w:highlight w:val="none"/>
          <w14:textFill>
            <w14:solidFill>
              <w14:schemeClr w14:val="tx1"/>
            </w14:solidFill>
          </w14:textFill>
        </w:rPr>
        <w:t xml:space="preserve"> 样品及样板间要求</w:t>
      </w:r>
      <w:r/>
    </w:p>
    <w:p>
      <w:pPr>
        <w:pStyle w:val="1196"/>
        <w:jc w:val="left"/>
        <w:spacing w:line="360" w:lineRule="auto"/>
        <w:rPr>
          <w:rFonts w:hint="default" w:eastAsia="宋体" w:cs="仿宋"/>
          <w:color w:val="000000" w:themeColor="text1"/>
          <w:sz w:val="24"/>
          <w:highlight w:val="none"/>
          <w:lang w:val="en-US" w:eastAsia="zh-CN"/>
          <w14:textFill>
            <w14:solidFill>
              <w14:schemeClr w14:val="tx1"/>
            </w14:solidFill>
          </w14:textFill>
        </w:rPr>
      </w:pPr>
      <w:r>
        <w:rPr>
          <w:rFonts w:hint="eastAsia" w:cs="仿宋"/>
          <w:color w:val="000000" w:themeColor="text1"/>
          <w:sz w:val="24"/>
          <w:highlight w:val="none"/>
          <w14:textFill>
            <w14:solidFill>
              <w14:schemeClr w14:val="tx1"/>
            </w14:solidFill>
          </w14:textFill>
        </w:rPr>
        <w:t xml:space="preserve">1、本项目投标时需要递交符合要求的样品，清单如下：</w:t>
      </w:r>
      <w:r>
        <w:rPr>
          <w:rFonts w:hint="eastAsia" w:cs="仿宋"/>
          <w:color w:val="000000" w:themeColor="text1"/>
          <w:sz w:val="24"/>
          <w:highlight w:val="none"/>
          <w:lang w:val="en-US" w:eastAsia="zh-CN"/>
          <w14:textFill>
            <w14:solidFill>
              <w14:schemeClr w14:val="tx1"/>
            </w14:solidFill>
          </w14:textFill>
        </w:rPr>
        <w:t xml:space="preserve">(分包1、2只需提供一份样品）</w:t>
      </w:r>
      <w:r/>
    </w:p>
    <w:tbl>
      <w:tblPr>
        <w:tblStyle w:val="7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682"/>
        <w:gridCol w:w="7138"/>
        <w:gridCol w:w="787"/>
      </w:tblGrid>
      <w:tr>
        <w:trPr>
          <w:jc w:val="center"/>
          <w:trHeight w:val="371"/>
        </w:trPr>
        <w:tc>
          <w:tcPr>
            <w:tcW w:w="390"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序号</w:t>
            </w:r>
            <w:r/>
          </w:p>
        </w:tc>
        <w:tc>
          <w:tcPr>
            <w:tcW w:w="807"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样品名称</w:t>
            </w:r>
            <w:r/>
          </w:p>
        </w:tc>
        <w:tc>
          <w:tcPr>
            <w:tcW w:w="3424"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样式、规格尺寸、数量</w:t>
            </w:r>
            <w:r/>
          </w:p>
        </w:tc>
        <w:tc>
          <w:tcPr>
            <w:tcW w:w="377" w:type="pct"/>
            <w:vAlign w:val="center"/>
            <w:textDirection w:val="lrTb"/>
            <w:noWrap w:val="false"/>
          </w:tcPr>
          <w:p>
            <w:pPr>
              <w:jc w:val="center"/>
              <w:spacing w:line="420" w:lineRule="exact"/>
              <w:rPr>
                <w:rFonts w:cs="微软雅黑"/>
                <w:b/>
                <w:bCs/>
                <w:szCs w:val="21"/>
                <w:highlight w:val="none"/>
              </w:rPr>
            </w:pPr>
            <w:r>
              <w:rPr>
                <w:rFonts w:hint="eastAsia" w:cs="微软雅黑"/>
                <w:b/>
                <w:bCs/>
                <w:szCs w:val="21"/>
                <w:highlight w:val="none"/>
              </w:rPr>
              <w:t xml:space="preserve">备注</w:t>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1</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立柱</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w:t>
            </w:r>
            <w:r>
              <w:rPr>
                <w:rFonts w:hint="eastAsia" w:cs="微软雅黑"/>
                <w:b/>
                <w:bCs/>
                <w:szCs w:val="21"/>
                <w:highlight w:val="none"/>
              </w:rPr>
              <w:t xml:space="preserve">、材质规格尺寸：</w:t>
            </w:r>
            <w:r>
              <w:rPr>
                <w:rFonts w:hint="eastAsia" w:cs="微软雅黑"/>
                <w:szCs w:val="21"/>
                <w:highlight w:val="none"/>
              </w:rPr>
              <w:t xml:space="preserve">长度≥300mm。采用优质材管，壁厚符合要求。表面涂层应光滑均匀，色泽一致，无流挂、疙瘩、皱皮等缺陷。</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1根</w:t>
            </w:r>
            <w:r/>
          </w:p>
        </w:tc>
        <w:tc>
          <w:tcPr>
            <w:tcW w:w="377" w:type="pct"/>
            <w:vAlign w:val="center"/>
            <w:vMerge w:val="restart"/>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shd w:val="clear" w:color="auto" w:fill="auto"/>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2</w:t>
            </w:r>
            <w:r/>
          </w:p>
        </w:tc>
        <w:tc>
          <w:tcPr>
            <w:shd w:val="clear" w:color="auto" w:fill="auto"/>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横梁</w:t>
            </w:r>
            <w:r/>
          </w:p>
          <w:p>
            <w:pPr>
              <w:jc w:val="center"/>
              <w:spacing w:line="420" w:lineRule="exact"/>
              <w:rPr>
                <w:rFonts w:cs="微软雅黑"/>
                <w:szCs w:val="21"/>
                <w:highlight w:val="none"/>
              </w:rPr>
            </w:pPr>
            <w:r>
              <w:rPr>
                <w:rFonts w:hint="eastAsia" w:cs="微软雅黑"/>
                <w:szCs w:val="21"/>
                <w:highlight w:val="none"/>
              </w:rPr>
              <w:t xml:space="preserve">（小样）</w:t>
            </w:r>
            <w:r/>
          </w:p>
        </w:tc>
        <w:tc>
          <w:tcPr>
            <w:shd w:val="clear" w:color="auto" w:fill="auto"/>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长度≥300mm。采用优质材管，壁厚符合要求。表面涂层应光滑均匀，色泽一致，无流挂、疙瘩、皱皮等缺陷。</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1根</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3</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床头护栏</w:t>
            </w:r>
            <w:r/>
          </w:p>
          <w:p>
            <w:pPr>
              <w:jc w:val="center"/>
              <w:spacing w:line="420" w:lineRule="exact"/>
              <w:rPr>
                <w:rFonts w:cs="微软雅黑"/>
                <w:szCs w:val="21"/>
                <w:highlight w:val="none"/>
              </w:rPr>
            </w:pPr>
            <w:r>
              <w:rPr>
                <w:rFonts w:hint="eastAsia" w:cs="微软雅黑"/>
                <w:szCs w:val="21"/>
                <w:highlight w:val="none"/>
              </w:rPr>
              <w:t xml:space="preserve">（成品）</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详见示意图及参数技术要求。</w:t>
            </w:r>
            <w:r>
              <w:rPr>
                <w:rFonts w:hint="eastAsia" w:cs="微软雅黑"/>
                <w:szCs w:val="21"/>
                <w:highlight w:val="none"/>
              </w:rPr>
              <w:t xml:space="preserve">采用优质钢木结构，保证强度和安全性能，板材四周经PUR或激光封边，光滑无倒刺。</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4</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桌面板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整体美观，结构稳定，色彩搭配合理，封边表面无裂纹、脱胶，边角圆润。</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5</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柜体板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符合技术参数要求，表面纹路清晰美观，外观平整无色差、无异味，贴面封边不应出现脱胶、鼓泡或开裂现象。</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6</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床板</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尺寸300mm×300mm。</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整体美观，结构稳定，透气孔功能齐全，色彩搭配合理，平整纹理清晰。</w:t>
            </w:r>
            <w:r/>
          </w:p>
          <w:p>
            <w:pPr>
              <w:spacing w:line="420" w:lineRule="exact"/>
              <w:rPr>
                <w:rFonts w:cs="微软雅黑"/>
                <w:b/>
                <w:bCs/>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1块</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7</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五金配件</w:t>
            </w:r>
            <w:r/>
          </w:p>
          <w:p>
            <w:pPr>
              <w:jc w:val="center"/>
              <w:spacing w:line="420" w:lineRule="exact"/>
              <w:rPr>
                <w:rFonts w:cs="微软雅黑"/>
                <w:szCs w:val="21"/>
                <w:highlight w:val="none"/>
              </w:rPr>
            </w:pPr>
            <w:r>
              <w:rPr>
                <w:rFonts w:hint="eastAsia" w:cs="微软雅黑"/>
                <w:szCs w:val="21"/>
                <w:highlight w:val="none"/>
              </w:rPr>
              <w:t xml:space="preserve">（小样）</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1、规格尺寸：</w:t>
            </w:r>
            <w:r>
              <w:rPr>
                <w:rFonts w:hint="eastAsia" w:cs="微软雅黑"/>
                <w:szCs w:val="21"/>
                <w:highlight w:val="none"/>
              </w:rPr>
              <w:t xml:space="preserve">阻尼铰链一个，阻尼导轨一个。</w:t>
            </w:r>
            <w:r/>
          </w:p>
          <w:p>
            <w:pPr>
              <w:spacing w:line="420" w:lineRule="exact"/>
              <w:rPr>
                <w:rFonts w:cs="微软雅黑"/>
                <w:szCs w:val="21"/>
                <w:highlight w:val="none"/>
              </w:rPr>
            </w:pPr>
            <w:r>
              <w:rPr>
                <w:rFonts w:hint="eastAsia" w:cs="微软雅黑"/>
                <w:b/>
                <w:bCs/>
                <w:szCs w:val="21"/>
                <w:highlight w:val="none"/>
              </w:rPr>
              <w:t xml:space="preserve">2、材质：</w:t>
            </w:r>
            <w:r>
              <w:rPr>
                <w:rFonts w:hint="eastAsia" w:cs="微软雅黑"/>
                <w:szCs w:val="21"/>
                <w:highlight w:val="none"/>
              </w:rPr>
              <w:t xml:space="preserve">详见参数技术要求。</w:t>
            </w:r>
            <w:r>
              <w:rPr>
                <w:rFonts w:hint="eastAsia" w:cs="微软雅黑"/>
                <w:szCs w:val="21"/>
                <w:highlight w:val="none"/>
              </w:rPr>
              <w:t xml:space="preserve">铰链手感顺滑无毛刺、无肉眼可见的变形、翘曲；导轨推拉顺滑无卡顿。且品质优良、开合回弹顺畅，安全稳定，经久耐用。</w:t>
            </w:r>
            <w:r/>
          </w:p>
          <w:p>
            <w:pPr>
              <w:spacing w:line="420" w:lineRule="exact"/>
              <w:rPr>
                <w:rFonts w:cs="微软雅黑"/>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各1个</w:t>
            </w:r>
            <w:r/>
          </w:p>
        </w:tc>
        <w:tc>
          <w:tcPr>
            <w:tcW w:w="377" w:type="pct"/>
            <w:vAlign w:val="center"/>
            <w:vMerge w:val="continue"/>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r>
        <w:trPr>
          <w:jc w:val="center"/>
          <w:trHeight w:val="657"/>
        </w:trPr>
        <w:tc>
          <w:tcPr>
            <w:tcW w:w="390"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8</w:t>
            </w:r>
            <w:r/>
          </w:p>
        </w:tc>
        <w:tc>
          <w:tcPr>
            <w:tcW w:w="807" w:type="pct"/>
            <w:vAlign w:val="center"/>
            <w:textDirection w:val="lrTb"/>
            <w:noWrap w:val="false"/>
          </w:tcPr>
          <w:p>
            <w:pPr>
              <w:jc w:val="center"/>
              <w:spacing w:line="420" w:lineRule="exact"/>
              <w:rPr>
                <w:rFonts w:cs="微软雅黑"/>
                <w:szCs w:val="21"/>
                <w:highlight w:val="none"/>
              </w:rPr>
            </w:pPr>
            <w:r>
              <w:rPr>
                <w:rFonts w:hint="eastAsia" w:cs="微软雅黑"/>
                <w:szCs w:val="21"/>
                <w:highlight w:val="none"/>
              </w:rPr>
              <w:t xml:space="preserve">学生公寓椅</w:t>
            </w:r>
            <w:r/>
          </w:p>
          <w:p>
            <w:pPr>
              <w:jc w:val="center"/>
              <w:spacing w:line="420" w:lineRule="exact"/>
              <w:rPr>
                <w:rFonts w:cs="微软雅黑"/>
                <w:szCs w:val="21"/>
                <w:highlight w:val="none"/>
              </w:rPr>
            </w:pPr>
            <w:r>
              <w:rPr>
                <w:rFonts w:hint="eastAsia" w:cs="微软雅黑"/>
                <w:szCs w:val="21"/>
                <w:highlight w:val="none"/>
              </w:rPr>
              <w:t xml:space="preserve">（成品）</w:t>
            </w:r>
            <w:r/>
          </w:p>
        </w:tc>
        <w:tc>
          <w:tcPr>
            <w:tcW w:w="3424" w:type="pct"/>
            <w:vAlign w:val="center"/>
            <w:textDirection w:val="lrTb"/>
            <w:noWrap w:val="false"/>
          </w:tcPr>
          <w:p>
            <w:pPr>
              <w:spacing w:line="420" w:lineRule="exact"/>
              <w:rPr>
                <w:rFonts w:cs="微软雅黑"/>
                <w:szCs w:val="21"/>
                <w:highlight w:val="none"/>
              </w:rPr>
            </w:pPr>
            <w:r>
              <w:rPr>
                <w:rFonts w:hint="eastAsia" w:cs="微软雅黑"/>
                <w:b/>
                <w:bCs/>
                <w:szCs w:val="21"/>
                <w:highlight w:val="none"/>
              </w:rPr>
              <w:t xml:space="preserve">1、样式：</w:t>
            </w:r>
            <w:r>
              <w:rPr>
                <w:rFonts w:hint="eastAsia" w:cs="微软雅黑"/>
                <w:szCs w:val="21"/>
                <w:highlight w:val="none"/>
              </w:rPr>
              <w:t xml:space="preserve">详见示意图及参数技术要求。</w:t>
            </w:r>
            <w:r/>
          </w:p>
          <w:p>
            <w:pPr>
              <w:spacing w:line="420" w:lineRule="exact"/>
              <w:rPr>
                <w:rFonts w:cs="微软雅黑"/>
                <w:szCs w:val="21"/>
                <w:highlight w:val="none"/>
              </w:rPr>
            </w:pPr>
            <w:r>
              <w:rPr>
                <w:rFonts w:hint="eastAsia" w:cs="微软雅黑"/>
                <w:b/>
                <w:bCs/>
                <w:szCs w:val="21"/>
                <w:highlight w:val="none"/>
              </w:rPr>
              <w:t xml:space="preserve">2、材质规格尺寸：</w:t>
            </w:r>
            <w:r>
              <w:rPr>
                <w:rFonts w:hint="eastAsia" w:cs="微软雅黑"/>
                <w:szCs w:val="21"/>
                <w:highlight w:val="none"/>
              </w:rPr>
              <w:t xml:space="preserve">详见示意图及参数技术要求。</w:t>
            </w:r>
            <w:r>
              <w:rPr>
                <w:rFonts w:hint="eastAsia" w:cs="微软雅黑"/>
                <w:szCs w:val="21"/>
                <w:highlight w:val="none"/>
              </w:rPr>
              <w:t xml:space="preserve">椅坐及椅背无毛刺，手感光滑。各部件连接结构牢固可靠，无松动、异响，符合人体工程学，坐感舒适。</w:t>
            </w:r>
            <w:r/>
          </w:p>
          <w:p>
            <w:pPr>
              <w:spacing w:line="420" w:lineRule="exact"/>
              <w:rPr>
                <w:rFonts w:cs="微软雅黑"/>
                <w:b/>
                <w:bCs/>
                <w:szCs w:val="21"/>
                <w:highlight w:val="none"/>
              </w:rPr>
            </w:pPr>
            <w:r>
              <w:rPr>
                <w:rFonts w:hint="eastAsia" w:cs="微软雅黑"/>
                <w:b/>
                <w:bCs/>
                <w:szCs w:val="21"/>
                <w:highlight w:val="none"/>
              </w:rPr>
              <w:t xml:space="preserve">3、数量</w:t>
            </w:r>
            <w:r>
              <w:rPr>
                <w:rFonts w:hint="eastAsia" w:cs="微软雅黑"/>
                <w:b/>
                <w:bCs/>
                <w:szCs w:val="21"/>
                <w:highlight w:val="none"/>
              </w:rPr>
              <w:t xml:space="preserve">：</w:t>
            </w:r>
            <w:r>
              <w:rPr>
                <w:rFonts w:hint="eastAsia" w:cs="微软雅黑"/>
                <w:szCs w:val="21"/>
                <w:highlight w:val="none"/>
              </w:rPr>
              <w:t xml:space="preserve">1张</w:t>
            </w:r>
            <w:r/>
          </w:p>
        </w:tc>
        <w:tc>
          <w:tcPr>
            <w:tcW w:w="377" w:type="pct"/>
            <w:vAlign w:val="center"/>
            <w:textDirection w:val="lrTb"/>
            <w:noWrap w:val="false"/>
          </w:tcPr>
          <w:p>
            <w:pPr>
              <w:jc w:val="center"/>
              <w:spacing w:line="420" w:lineRule="exact"/>
              <w:rPr>
                <w:rFonts w:cs="微软雅黑"/>
                <w:b/>
                <w:bCs/>
                <w:szCs w:val="21"/>
                <w:highlight w:val="none"/>
              </w:rPr>
            </w:pPr>
            <w:r>
              <w:rPr>
                <w:rFonts w:cs="微软雅黑"/>
                <w:b/>
                <w:bCs/>
                <w:szCs w:val="21"/>
                <w:highlight w:val="none"/>
              </w:rPr>
            </w:r>
            <w:r/>
          </w:p>
        </w:tc>
      </w:tr>
    </w:tbl>
    <w:p>
      <w:pPr>
        <w:ind w:firstLine="482"/>
        <w:jc w:val="left"/>
        <w:spacing w:line="431" w:lineRule="exact"/>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2、样品递交及管理要求</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w:t>
      </w:r>
      <w:r>
        <w:rPr>
          <w:rFonts w:hint="eastAsia" w:ascii="宋体" w:hAnsi="宋体"/>
          <w:b/>
          <w:color w:val="000000" w:themeColor="text1"/>
          <w:sz w:val="24"/>
          <w:szCs w:val="21"/>
          <w:highlight w:val="none"/>
          <w:lang w:val="en-US" w:eastAsia="zh-CN"/>
          <w14:textFill>
            <w14:solidFill>
              <w14:schemeClr w14:val="tx1"/>
            </w14:solidFill>
          </w14:textFill>
        </w:rPr>
        <w:t xml:space="preserve">2</w:t>
      </w:r>
      <w:r>
        <w:rPr>
          <w:rFonts w:hint="eastAsia" w:ascii="宋体" w:hAnsi="宋体"/>
          <w:b/>
          <w:color w:val="000000" w:themeColor="text1"/>
          <w:sz w:val="24"/>
          <w:szCs w:val="21"/>
          <w:highlight w:val="none"/>
          <w14:textFill>
            <w14:solidFill>
              <w14:schemeClr w14:val="tx1"/>
            </w14:solidFill>
          </w14:textFill>
        </w:rPr>
        <w:t xml:space="preserve">月25日下午14:30起至16:30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p>
    <w:p>
      <w:pPr>
        <w:pStyle w:val="1196"/>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样板间要求</w:t>
      </w:r>
      <w:r/>
    </w:p>
    <w:p>
      <w:pPr>
        <w:pStyle w:val="1196"/>
        <w:ind w:firstLine="480"/>
        <w:jc w:val="left"/>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196"/>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 交货期及交货地点</w:t>
      </w:r>
      <w:r/>
    </w:p>
    <w:p>
      <w:pPr>
        <w:pStyle w:val="1196"/>
        <w:ind w:firstLine="480"/>
        <w:jc w:val="left"/>
        <w:spacing w:line="360" w:lineRule="auto"/>
        <w:rPr>
          <w:rFonts w:hint="default" w:ascii="宋体" w:hAnsi="宋体" w:eastAsia="宋体" w:cs="宋体"/>
          <w:b w:val="0"/>
          <w:bCs w:val="0"/>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t xml:space="preserve">1、交货期：接到采购人通知后20天内完成生产，并通过初验。具体安装时间以采购人通知为准，安装工期20天。</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2、交货地点：江苏开放大学浦口校区指定地点。</w:t>
      </w:r>
      <w:r/>
    </w:p>
    <w:p>
      <w:pPr>
        <w:pStyle w:val="1196"/>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注意：</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1、因采购人原因导致供应商未能按期开工或者未按约定完工，影响工期，工期顺延。因供应商原因未能按时开工或中途无故停工，影响工期，工期不顺延。</w:t>
      </w:r>
      <w:r/>
    </w:p>
    <w:p>
      <w:pPr>
        <w:pStyle w:val="1196"/>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2、现场安装可能存在多厂家交叉施工，安装工期不顺延。如未按时完工，每延迟一天按10000元/天累计计算，从合同款中扣除违约金。供应商须提供加盖公司公章的承诺函。</w:t>
      </w:r>
      <w:r/>
    </w:p>
    <w:p>
      <w:pPr>
        <w:pStyle w:val="1170"/>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 包装、运输及安装</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3、由供应商负责组织安装，安装需符合我国国家有关技术规范要求和技术标准。</w:t>
      </w:r>
      <w:r>
        <w:rPr>
          <w:rFonts w:hint="eastAsia" w:ascii="宋体" w:hAnsi="宋体" w:eastAsia="宋体" w:cs="宋体"/>
          <w:b/>
          <w:bCs/>
          <w:sz w:val="24"/>
          <w:szCs w:val="24"/>
          <w:highlight w:val="none"/>
        </w:rPr>
        <w:t xml:space="preserve">需注意货物成品应不影响公寓内墙面弱电箱的后续检修</w:t>
      </w:r>
      <w:r>
        <w:rPr>
          <w:rFonts w:hint="eastAsia" w:ascii="宋体" w:hAnsi="宋体" w:eastAsia="宋体" w:cs="宋体"/>
          <w:sz w:val="24"/>
          <w:szCs w:val="24"/>
          <w:highlight w:val="none"/>
        </w:rPr>
        <w:t xml:space="preserve">，若无法</w:t>
      </w:r>
      <w:r>
        <w:rPr>
          <w:rFonts w:hint="eastAsia" w:ascii="宋体" w:hAnsi="宋体" w:eastAsia="宋体" w:cs="宋体"/>
          <w:color w:val="auto"/>
          <w:sz w:val="24"/>
          <w:szCs w:val="24"/>
          <w:highlight w:val="none"/>
        </w:rPr>
        <w:t xml:space="preserve">避免</w:t>
      </w:r>
      <w:r>
        <w:rPr>
          <w:rFonts w:hint="eastAsia" w:ascii="宋体" w:hAnsi="宋体" w:eastAsia="宋体" w:cs="宋体"/>
          <w:sz w:val="24"/>
          <w:szCs w:val="24"/>
          <w:highlight w:val="none"/>
        </w:rPr>
        <w:t xml:space="preserve">，则由供应商自行考虑背板开孔，结算时不另外增加费用。</w:t>
      </w:r>
      <w:r/>
    </w:p>
    <w:p>
      <w:pPr>
        <w:pStyle w:val="119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4、本项目履约过程中可能与各项目单位</w:t>
      </w:r>
      <w:r>
        <w:rPr>
          <w:rFonts w:hint="eastAsia" w:ascii="宋体" w:hAnsi="宋体" w:eastAsia="宋体" w:cs="宋体"/>
          <w:color w:val="auto"/>
          <w:sz w:val="24"/>
          <w:szCs w:val="24"/>
          <w:highlight w:val="none"/>
        </w:rPr>
        <w:t xml:space="preserve">存在</w:t>
      </w:r>
      <w:r>
        <w:rPr>
          <w:rFonts w:hint="eastAsia" w:ascii="宋体" w:hAnsi="宋体" w:eastAsia="宋体" w:cs="宋体"/>
          <w:color w:val="000000" w:themeColor="text1"/>
          <w:sz w:val="24"/>
          <w:szCs w:val="24"/>
          <w:highlight w:val="none"/>
          <w14:textFill>
            <w14:solidFill>
              <w14:schemeClr w14:val="tx1"/>
            </w14:solidFill>
          </w14:textFill>
        </w:rPr>
        <w:t xml:space="preserve">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以含在合同总价中，结算均不另行增加费用。</w:t>
      </w:r>
      <w:r/>
    </w:p>
    <w:p>
      <w:pPr>
        <w:pStyle w:val="1170"/>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、付款方式及履约保证金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1、付款方式</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（1）预付款：自合同签订10日内，采购人向供应商支付合同总价的30%；</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（2）货物全部交付安装完成，经采购人正式组织验收合格，且供应商配合采购人完成固定资产登记后，支付至合同总价的95%。</w:t>
      </w:r>
      <w:r/>
    </w:p>
    <w:p>
      <w:pPr>
        <w:pStyle w:val="727"/>
        <w:ind w:left="0" w:firstLine="480"/>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（3）经验收之日起算，两年后货物无质量问题，支付剩余5%尾款。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2、履约保证金</w:t>
      </w:r>
      <w:r/>
    </w:p>
    <w:p>
      <w:pPr>
        <w:ind w:firstLine="482"/>
        <w:spacing w:line="360" w:lineRule="auto"/>
        <w:rPr>
          <w:b w:val="0"/>
          <w:bCs w:val="0"/>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收取履约保证金形式：供应商中标后需缴纳合同金额5%作为履约保证金，验收合格后无息退还履约保证金，如供应商未能履行合同规定义务，采购人有权从履约保证金中取得补偿。</w:t>
      </w:r>
      <w:r>
        <w:rPr>
          <w:b w:val="0"/>
          <w:bCs w:val="0"/>
        </w:rPr>
      </w:r>
      <w:r/>
    </w:p>
    <w:p>
      <w:pPr>
        <w:ind w:firstLine="482"/>
        <w:spacing w:line="360" w:lineRule="auto"/>
        <w:rPr>
          <w:b w:val="0"/>
          <w:bCs w:val="0"/>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收取履约保证金金额：合同金额的5% 。</w:t>
      </w:r>
      <w:r>
        <w:rPr>
          <w:b w:val="0"/>
          <w:bCs w:val="0"/>
        </w:rPr>
      </w:r>
      <w:r/>
    </w:p>
    <w:p>
      <w:pPr>
        <w:ind w:firstLine="482"/>
        <w:spacing w:line="360" w:lineRule="auto"/>
        <w:rPr>
          <w:rFonts w:hint="eastAsia" w:ascii="宋体" w:hAnsi="宋体" w:eastAsia="宋体" w:cs="宋体"/>
          <w:b w:val="0"/>
          <w:bCs w:val="0"/>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履约担保期限：自合同签订生效后至甲方最终书面确认验收合格之日，验收合格后采购人无息退还履约保证金。</w:t>
      </w:r>
      <w:r>
        <w:rPr>
          <w:rFonts w:hint="eastAsia" w:ascii="宋体" w:hAnsi="宋体" w:eastAsia="宋体" w:cs="宋体"/>
          <w:b w:val="0"/>
          <w:bCs w:val="0"/>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1、本项目为总价包干项目，投标报价包含产品生产、运输、搬运、安装、检测等费用，采购人无须向供应商另外支付任何费用。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2、当合同采购数量与实际使用数量不一致时，供应商应根据实际使用量供货，合同的最终结算金额按实际使用量乘以成交单价进行计算。</w:t>
      </w:r>
      <w:r/>
    </w:p>
    <w:p>
      <w:pPr>
        <w:pStyle w:val="1170"/>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、验收要求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验收标准：符合国家有关标准、采购文件项目需求、技术要求及T/CNFA 10-2020《公共采购家具质量控制及验收规范》各项之要求。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   </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5、货物安装完成后，供应商需根据GB/T 18883</w:t>
      </w:r>
      <w:r>
        <w:rPr>
          <w:rFonts w:hint="eastAsia" w:ascii="宋体" w:hAnsi="宋体" w:eastAsia="宋体" w:cs="宋体"/>
          <w:color w:val="000000" w:themeColor="text1"/>
          <w:sz w:val="24"/>
          <w:szCs w:val="24"/>
          <w:highlight w:val="none"/>
          <w14:textFill>
            <w14:solidFill>
              <w14:schemeClr w14:val="tx1"/>
            </w14:solidFill>
          </w14:textFill>
        </w:rPr>
        <w:noBreakHyphen/>
      </w:r>
      <w:r>
        <w:rPr>
          <w:rFonts w:hint="eastAsia" w:ascii="宋体" w:hAnsi="宋体" w:eastAsia="宋体" w:cs="宋体"/>
          <w:color w:val="000000" w:themeColor="text1"/>
          <w:sz w:val="24"/>
          <w:szCs w:val="24"/>
          <w:highlight w:val="none"/>
          <w14:textFill>
            <w14:solidFill>
              <w14:schemeClr w14:val="tx1"/>
            </w14:solidFill>
          </w14:textFill>
        </w:rPr>
        <w:t xml:space="preserve">2022 《室内空气质量标准》，选择采购人和供应商双方均认可的检测机构，提供</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CMA认证的空气质量检测报告，一切费用由供应商自行承担。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pStyle w:val="1170"/>
        <w:ind w:firstLine="482"/>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、售后与服务</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1、本项目所有货物免费保修期至少10年（具体以供应商承诺函为准），保修期自采购人验收合格之日算起。保修范围包括合同中所有配置。</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2、供应商提交售后服务承诺，至少需包含以下内容：</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（1）为所供产品提供不低于10年免费质保服务（国家有相关质保规定优于本合同约定质保期的按国家相关规定执行）。</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承诺的免费质保期内，一旦发生质量问题，供应商保证在接到通知后的2小时内进行响应，并在24小时内组织专业人员到现场进行检修，确因产品本身质量问题的，将组织原厂人员进行维修、更换或退货处理，费用由供应商负责。</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（3）产品出现故障48小时不能修复的，免费提供同等功能的产品供采购人使用，直至故障修复。</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（4）质保期满后，能根据采购人要求提供充足的备品、备件，同时备品、备件的价格要略低于市场行情价。</w:t>
      </w:r>
      <w:r>
        <w:rPr>
          <w:rFonts w:hint="eastAsia" w:ascii="宋体" w:hAnsi="宋体" w:eastAsia="宋体" w:cs="宋体"/>
          <w:sz w:val="24"/>
          <w:szCs w:val="24"/>
          <w:highlight w:val="none"/>
        </w:rPr>
        <w:tab/>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3、保修期内，供应商负责对其提供的货物进行维修和维护，由此产生的一切费用均由供货商承担，不再收取任何费用。超过质保期外供应商仍要提供售后服务，只收取更换设备的材料成本费，不收取人工费。</w:t>
      </w:r>
      <w:r/>
    </w:p>
    <w:p>
      <w:pPr>
        <w:ind w:firstLine="360"/>
        <w:jc w:val="left"/>
        <w:spacing w:line="431"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投标人应制定完善的售后服务方案，方案内容应包含针对本次项目所提供的响应标准、备件体系、故障解决方案、专业技术人员保障等，其内容应具体详实，切实可行。</w:t>
      </w:r>
      <w:r/>
    </w:p>
    <w:p>
      <w:pPr>
        <w:ind w:firstLine="360"/>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投标人应制定完善的本地化服务方案，方案内容应包含提供本地化服务的承诺，以及相应</w:t>
      </w:r>
      <w:r>
        <w:rPr>
          <w:rFonts w:ascii="宋体" w:hAnsi="宋体" w:cs="宋体"/>
          <w:color w:val="000000" w:themeColor="text1"/>
          <w:sz w:val="24"/>
          <w:szCs w:val="24"/>
          <w:highlight w:val="none"/>
          <w14:textFill>
            <w14:solidFill>
              <w14:schemeClr w14:val="tx1"/>
            </w14:solidFill>
          </w14:textFill>
        </w:rPr>
        <w:t xml:space="preserve">的本地化服务流程，确保一旦中标，能向采购人提供及时、有效的本地化服务。</w:t>
      </w:r>
      <w:r/>
    </w:p>
    <w:p>
      <w:pPr>
        <w:ind w:firstLine="360"/>
        <w:jc w:val="left"/>
        <w:spacing w:line="431"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十一、项目实施要求</w:t>
      </w:r>
      <w:r/>
    </w:p>
    <w:p>
      <w:pPr>
        <w:ind w:firstLine="480"/>
        <w:jc w:val="left"/>
        <w:spacing w:line="431"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投标人应按招标文件和投标文件列明的</w:t>
      </w:r>
      <w:r>
        <w:rPr>
          <w:rFonts w:ascii="宋体" w:hAnsi="宋体" w:cs="宋体"/>
          <w:b/>
          <w:bCs/>
          <w:color w:val="000000" w:themeColor="text1"/>
          <w:sz w:val="24"/>
          <w:szCs w:val="24"/>
          <w:highlight w:val="none"/>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设计、生产制造方案</w:t>
      </w:r>
      <w:r>
        <w:rPr>
          <w:rFonts w:ascii="宋体" w:hAnsi="宋体" w:cs="宋体"/>
          <w:color w:val="000000" w:themeColor="text1"/>
          <w:sz w:val="24"/>
          <w:szCs w:val="24"/>
          <w:highlight w:val="none"/>
          <w14:textFill>
            <w14:solidFill>
              <w14:schemeClr w14:val="tx1"/>
            </w14:solidFill>
          </w14:textFill>
        </w:rPr>
        <w:t xml:space="preserve">（含本项目</w:t>
      </w:r>
      <w:r>
        <w:rPr>
          <w:rFonts w:hint="default" w:ascii="宋体" w:hAnsi="宋体" w:cs="宋体"/>
          <w:color w:val="000000" w:themeColor="text1"/>
          <w:sz w:val="24"/>
          <w:szCs w:val="24"/>
          <w:highlight w:val="none"/>
          <w:lang w:val="en-US" w:eastAsia="zh-CN"/>
          <w14:textFill>
            <w14:solidFill>
              <w14:schemeClr w14:val="tx1"/>
            </w14:solidFill>
          </w14:textFill>
        </w:rPr>
        <w:t xml:space="preserve">设计生产制造方案，包括</w:t>
      </w:r>
      <w:r>
        <w:rPr>
          <w:rFonts w:hint="default" w:ascii="宋体" w:hAnsi="宋体" w:eastAsia="宋体" w:cs="宋体"/>
          <w:color w:val="000000" w:themeColor="text1"/>
          <w:sz w:val="24"/>
          <w:szCs w:val="24"/>
          <w:highlight w:val="none"/>
          <w14:textFill>
            <w14:solidFill>
              <w14:schemeClr w14:val="tx1"/>
            </w14:solidFill>
          </w14:textFill>
        </w:rPr>
        <w:t xml:space="preserve">产品效果图、供货周期、品牌（五金件、板材、钢材）、生产实施、生产进度计划、生产质量保证等</w:t>
      </w:r>
      <w:r>
        <w:rPr>
          <w:rFonts w:ascii="宋体" w:hAnsi="宋体" w:cs="宋体"/>
          <w:color w:val="000000" w:themeColor="text1"/>
          <w:sz w:val="24"/>
          <w:szCs w:val="24"/>
          <w:highlight w:val="none"/>
          <w14:textFill>
            <w14:solidFill>
              <w14:schemeClr w14:val="tx1"/>
            </w14:solidFill>
          </w14:textFill>
        </w:rPr>
        <w:t xml:space="preserve">）</w:t>
      </w:r>
      <w:r>
        <w:rPr>
          <w:rFonts w:hint="default" w:ascii="宋体" w:hAnsi="宋体" w:cs="宋体"/>
          <w:color w:val="000000" w:themeColor="text1"/>
          <w:sz w:val="24"/>
          <w:szCs w:val="24"/>
          <w:highlight w:val="none"/>
          <w:lang w:val="en-US" w:eastAsia="zh-CN"/>
          <w14:textFill>
            <w14:solidFill>
              <w14:schemeClr w14:val="tx1"/>
            </w14:solidFill>
          </w14:textFill>
        </w:rPr>
        <w:t xml:space="preserve">设计和生产制造，并经采购人同意后批量生产。</w:t>
      </w:r>
      <w:r/>
    </w:p>
    <w:p>
      <w:pPr>
        <w:ind w:firstLine="360"/>
        <w:jc w:val="left"/>
        <w:spacing w:line="431"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投标人应按招标文件和投标文件列明的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产品运输和安装方案</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包括安装人员、时间、顺序的规划、</w:t>
      </w:r>
      <w:r>
        <w:rPr>
          <w:rFonts w:hint="default" w:ascii="宋体" w:hAnsi="宋体" w:cs="宋体"/>
          <w:color w:val="000000" w:themeColor="text1"/>
          <w:sz w:val="24"/>
          <w:szCs w:val="24"/>
          <w:highlight w:val="none"/>
          <w:lang w:val="en-US" w:eastAsia="zh-CN"/>
          <w14:textFill>
            <w14:solidFill>
              <w14:schemeClr w14:val="tx1"/>
            </w14:solidFill>
          </w14:textFill>
        </w:rPr>
        <w:t xml:space="preserve">运输</w:t>
      </w:r>
      <w:r>
        <w:rPr>
          <w:rFonts w:hint="eastAsia" w:ascii="宋体" w:hAnsi="宋体" w:cs="宋体"/>
          <w:color w:val="000000" w:themeColor="text1"/>
          <w:sz w:val="24"/>
          <w:szCs w:val="24"/>
          <w:highlight w:val="none"/>
          <w14:textFill>
            <w14:solidFill>
              <w14:schemeClr w14:val="tx1"/>
            </w14:solidFill>
          </w14:textFill>
        </w:rPr>
        <w:t xml:space="preserve">方案</w:t>
      </w:r>
      <w:r>
        <w:rPr>
          <w:rFonts w:hint="default"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lang w:val="en-US" w:eastAsia="zh-CN"/>
          <w14:textFill>
            <w14:solidFill>
              <w14:schemeClr w14:val="tx1"/>
            </w14:solidFill>
          </w14:textFill>
        </w:rPr>
        <w:t xml:space="preserve">安装后</w:t>
      </w:r>
      <w:r>
        <w:rPr>
          <w:rFonts w:hint="default" w:ascii="宋体" w:hAnsi="宋体" w:eastAsia="宋体" w:cs="宋体"/>
          <w:color w:val="000000" w:themeColor="text1"/>
          <w:sz w:val="24"/>
          <w:szCs w:val="24"/>
          <w:highlight w:val="none"/>
          <w14:textFill>
            <w14:solidFill>
              <w14:schemeClr w14:val="tx1"/>
            </w14:solidFill>
          </w14:textFill>
        </w:rPr>
        <w:t xml:space="preserve">空气质量检测</w:t>
      </w:r>
      <w:r>
        <w:rPr>
          <w:rFonts w:hint="default" w:ascii="宋体" w:hAnsi="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sz w:val="21"/>
          <w:szCs w:val="21"/>
          <w:highlight w:val="none"/>
        </w:rPr>
        <w:t xml:space="preserve">质量管理及安全措施</w:t>
      </w:r>
      <w:r>
        <w:rPr>
          <w:rFonts w:hint="eastAsia" w:ascii="宋体" w:hAnsi="宋体" w:cs="宋体"/>
          <w:color w:val="000000" w:themeColor="text1"/>
          <w:sz w:val="24"/>
          <w:szCs w:val="24"/>
          <w:highlight w:val="none"/>
          <w14:textFill>
            <w14:solidFill>
              <w14:schemeClr w14:val="tx1"/>
            </w14:solidFill>
          </w14:textFill>
        </w:rPr>
        <w:t xml:space="preserve">等</w:t>
      </w:r>
      <w:r>
        <w:rPr>
          <w:rFonts w:ascii="宋体" w:hAnsi="宋体" w:cs="宋体"/>
          <w:color w:val="000000" w:themeColor="text1"/>
          <w:sz w:val="24"/>
          <w:szCs w:val="24"/>
          <w:highlight w:val="none"/>
          <w14:textFill>
            <w14:solidFill>
              <w14:schemeClr w14:val="tx1"/>
            </w14:solidFill>
          </w14:textFill>
        </w:rPr>
        <w:t xml:space="preserve">）进行供货、安装调试，以确保项目按本合同约定如期完成。采购人向投标人免费提供适当的物品堆放场地，但物品保管由投标人自行负责。项目实施人员在采购人场地期间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p>
    <w:p>
      <w:pPr>
        <w:ind w:firstLine="360"/>
        <w:jc w:val="left"/>
        <w:spacing w:line="431" w:lineRule="exact"/>
        <w:rPr>
          <w:rFonts w:ascii="宋体" w:hAnsi="宋体" w:cs="宋体"/>
          <w:color w:val="000000" w:themeColor="text1"/>
          <w:sz w:val="24"/>
          <w:highlight w:val="none"/>
          <w14:textFill>
            <w14:solidFill>
              <w14:schemeClr w14:val="tx1"/>
            </w14:solidFill>
          </w14:textFill>
        </w:rPr>
        <w:sectPr>
          <w:headerReference w:type="default" r:id="rId9"/>
          <w:footerReference w:type="default" r:id="rId11"/>
          <w:footnotePr/>
          <w:endnotePr/>
          <w:type w:val="nextPage"/>
          <w:pgSz w:w="11906" w:h="16838" w:orient="portrait"/>
          <w:pgMar w:top="1134" w:right="851" w:bottom="1134" w:left="851" w:header="851" w:footer="992" w:gutter="0"/>
          <w:cols w:num="1" w:sep="0" w:space="1701" w:equalWidth="1"/>
          <w:docGrid w:linePitch="360"/>
        </w:sectPr>
      </w:pPr>
      <w:r>
        <w:rPr>
          <w:rFonts w:ascii="宋体" w:hAnsi="宋体" w:cs="宋体"/>
          <w:color w:val="000000" w:themeColor="text1"/>
          <w:sz w:val="24"/>
          <w:highlight w:val="none"/>
          <w14:textFill>
            <w14:solidFill>
              <w14:schemeClr w14:val="tx1"/>
            </w14:solidFill>
          </w14:textFill>
        </w:rPr>
      </w:r>
      <w:r/>
    </w:p>
    <w:p>
      <w:pPr>
        <w:jc w:val="center"/>
        <w:keepNext/>
        <w:rPr>
          <w:rFonts w:ascii="黑体" w:eastAsia="黑体"/>
          <w:bCs/>
          <w:color w:val="000000" w:themeColor="text1"/>
          <w:sz w:val="44"/>
          <w:szCs w:val="28"/>
          <w:highlight w:val="none"/>
          <w14:textFill>
            <w14:solidFill>
              <w14:schemeClr w14:val="tx1"/>
            </w14:solidFill>
          </w14:textFill>
        </w:rPr>
        <w:outlineLvl w:val="0"/>
      </w:pPr>
      <w:r/>
      <w:bookmarkStart w:id="184" w:name="_Toc120614281"/>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39"/>
        <w:jc w:val="left"/>
        <w:spacing w:before="120" w:after="120" w:line="360" w:lineRule="auto"/>
        <w:rPr>
          <w:rFonts w:cs="Arial"/>
          <w:color w:val="000000" w:themeColor="text1"/>
          <w:sz w:val="24"/>
          <w:szCs w:val="24"/>
          <w:highlight w:val="none"/>
          <w14:textFill>
            <w14:solidFill>
              <w14:schemeClr w14:val="tx1"/>
            </w14:solidFill>
          </w14:textFill>
        </w:rPr>
      </w:pPr>
      <w:r>
        <w:rPr>
          <w:rFonts w:hint="eastAsia" w:cs="Arial"/>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分包分别选取1名中标候选人。</w:t>
      </w:r>
      <w:r/>
    </w:p>
    <w:p>
      <w:pPr>
        <w:ind w:firstLine="439"/>
        <w:jc w:val="left"/>
        <w:spacing w:before="120" w:after="120" w:line="360" w:lineRule="auto"/>
        <w:rPr>
          <w:rFonts w:ascii="宋体" w:hAnsi="宋体"/>
          <w:color w:val="000000" w:themeColor="text1"/>
          <w:sz w:val="24"/>
          <w:szCs w:val="24"/>
          <w:highlight w:val="none"/>
          <w14:textFill>
            <w14:solidFill>
              <w14:schemeClr w14:val="tx1"/>
            </w14:solidFill>
          </w14:textFill>
        </w:rPr>
      </w:pPr>
      <w:r>
        <w:rPr>
          <w:rFonts w:hint="eastAsia" w:cs="Arial"/>
          <w:color w:val="000000" w:themeColor="text1"/>
          <w:sz w:val="24"/>
          <w:szCs w:val="24"/>
          <w:highlight w:val="none"/>
          <w14:textFill>
            <w14:solidFill>
              <w14:schemeClr w14:val="tx1"/>
            </w14:solidFill>
          </w14:textFill>
        </w:rPr>
        <w:t xml:space="preserve">本项目同一投标人可同时参与全部或单个分包，但最多只能在一个分包上中标。本项目按照分包</w:t>
      </w:r>
      <w:r>
        <w:rPr>
          <w:rFonts w:hint="eastAsia" w:cs="Arial"/>
          <w:color w:val="000000" w:themeColor="text1"/>
          <w:sz w:val="24"/>
          <w:szCs w:val="24"/>
          <w:highlight w:val="none"/>
          <w:lang w:val="en-US" w:eastAsia="zh-CN"/>
          <w14:textFill>
            <w14:solidFill>
              <w14:schemeClr w14:val="tx1"/>
            </w14:solidFill>
          </w14:textFill>
        </w:rPr>
        <w:t xml:space="preserve">二</w:t>
      </w:r>
      <w:r>
        <w:rPr>
          <w:rFonts w:hint="eastAsia" w:cs="Arial"/>
          <w:color w:val="000000" w:themeColor="text1"/>
          <w:sz w:val="24"/>
          <w:szCs w:val="24"/>
          <w:highlight w:val="none"/>
          <w14:textFill>
            <w14:solidFill>
              <w14:schemeClr w14:val="tx1"/>
            </w14:solidFill>
          </w14:textFill>
        </w:rPr>
        <w:t xml:space="preserve">、分包</w:t>
      </w:r>
      <w:r>
        <w:rPr>
          <w:rFonts w:hint="eastAsia" w:cs="Arial"/>
          <w:color w:val="000000" w:themeColor="text1"/>
          <w:sz w:val="24"/>
          <w:szCs w:val="24"/>
          <w:highlight w:val="none"/>
          <w:lang w:val="en-US" w:eastAsia="zh-CN"/>
          <w14:textFill>
            <w14:solidFill>
              <w14:schemeClr w14:val="tx1"/>
            </w14:solidFill>
          </w14:textFill>
        </w:rPr>
        <w:t xml:space="preserve">一</w:t>
      </w:r>
      <w:r>
        <w:rPr>
          <w:rFonts w:hint="eastAsia" w:cs="Arial"/>
          <w:color w:val="000000" w:themeColor="text1"/>
          <w:sz w:val="24"/>
          <w:szCs w:val="24"/>
          <w:highlight w:val="none"/>
          <w14:textFill>
            <w14:solidFill>
              <w14:schemeClr w14:val="tx1"/>
            </w14:solidFill>
          </w14:textFill>
        </w:rPr>
        <w:t xml:space="preserve">顺序依次评审，已被推荐为前一分包中标候选人的投标人，不再参与后续分包的评审。</w:t>
      </w:r>
      <w:r/>
    </w:p>
    <w:p>
      <w:pPr>
        <w:ind w:firstLine="439"/>
        <w:jc w:val="left"/>
        <w:spacing w:before="120" w:after="120" w:line="0" w:lineRule="atLeas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政府采购政策功能落实</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1、小微型企业价格扣除</w:t>
      </w:r>
      <w:r/>
    </w:p>
    <w:p>
      <w:pPr>
        <w:ind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的扣除价格，用扣除后的价格参与评审。</w:t>
      </w:r>
      <w:r/>
    </w:p>
    <w:p>
      <w:pPr>
        <w:ind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（2）供应商需按照采购文件的要求提供相应的《中小微企业声明函》。</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2、残疾人福利单位价格扣除</w:t>
      </w: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3、监狱和戒毒企业价格扣除</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 xml:space="preserve">财库</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2014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68号</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before="120" w:after="12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before="120" w:after="12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highlight w:val="none"/>
          <w:u w:val="single"/>
          <w14:textFill>
            <w14:solidFill>
              <w14:schemeClr w14:val="tx1"/>
            </w14:solidFill>
          </w14:textFill>
        </w:rPr>
        <w:t xml:space="preserve">4</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before="120" w:after="120" w:line="400" w:lineRule="exact"/>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价格扣除，用扣除后的价格参与评审。</w:t>
      </w:r>
      <w:r/>
    </w:p>
    <w:p>
      <w:pPr>
        <w:ind w:firstLine="480"/>
        <w:jc w:val="center"/>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1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8" w:type="dxa"/>
          <w:right w:w="108" w:type="dxa"/>
          <w:bottom w:w="0" w:type="dxa"/>
        </w:tblCellMar>
        <w:tblLook w:val="04A0" w:firstRow="1" w:lastRow="0" w:firstColumn="1" w:lastColumn="0" w:noHBand="0" w:noVBand="1"/>
      </w:tblPr>
      <w:tblGrid>
        <w:gridCol w:w="998"/>
        <w:gridCol w:w="1001"/>
        <w:gridCol w:w="961"/>
        <w:gridCol w:w="7458"/>
      </w:tblGrid>
      <w:tr>
        <w:trPr>
          <w:jc w:val="center"/>
        </w:trPr>
        <w:tc>
          <w:tcPr>
            <w:tcW w:w="4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序号</w:t>
            </w:r>
            <w:r/>
          </w:p>
        </w:tc>
        <w:tc>
          <w:tcPr>
            <w:tcW w:w="4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评审因素</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分值构成</w:t>
            </w:r>
            <w:r/>
          </w:p>
        </w:tc>
        <w:tc>
          <w:tcPr>
            <w:tcW w:w="35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评分标准</w:t>
            </w:r>
            <w:r/>
          </w:p>
        </w:tc>
      </w:tr>
      <w:tr>
        <w:trPr>
          <w:jc w:val="center"/>
          <w:trHeight w:val="1018"/>
        </w:trPr>
        <w:tc>
          <w:tcPr>
            <w:tcW w:w="4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4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r>
      <w:tr>
        <w:trPr>
          <w:jc w:val="center"/>
          <w:trHeight w:val="850"/>
        </w:trPr>
        <w:tc>
          <w:tcPr>
            <w:tcW w:w="4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4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项目需求响应情况</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16</w:t>
            </w:r>
            <w:r>
              <w:rPr>
                <w:rFonts w:hint="eastAsia" w:ascii="宋体" w:hAnsi="宋体" w:eastAsia="宋体" w:cs="宋体"/>
                <w:sz w:val="21"/>
                <w:szCs w:val="21"/>
                <w:highlight w:val="none"/>
              </w:rPr>
              <w:t xml:space="preserve">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技术参数全部满足招标要求的得满分</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分，在此基础上，招标文件中标注“★”的内容为实质性要求，有一项不符合的，作无效投标处理；打▲号项技术指标为重要指标，如有一项有负偏离或不满足要求的，扣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扣完为止。</w:t>
            </w:r>
            <w:r/>
          </w:p>
          <w:p>
            <w:pPr>
              <w:ind w:firstLine="420"/>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4"/>
        </w:trPr>
        <w:tc>
          <w:tcPr>
            <w:tcW w:w="479" w:type="pct"/>
            <w:vAlign w:val="center"/>
            <w:textDirection w:val="lrTb"/>
            <w:noWrap w:val="false"/>
          </w:tcPr>
          <w:p>
            <w:pPr>
              <w:jc w:val="center"/>
              <w:keepLines w:val="0"/>
              <w:keepNext w:val="0"/>
              <w:pageBreakBefore w:val="0"/>
              <w:spacing w:line="240" w:lineRule="auto"/>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48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检测报告</w:t>
            </w:r>
            <w:r/>
          </w:p>
        </w:tc>
        <w:tc>
          <w:tcPr>
            <w:tcW w:w="46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10分</w:t>
            </w:r>
            <w:r/>
          </w:p>
        </w:tc>
        <w:tc>
          <w:tcPr>
            <w:tcW w:w="3578" w:type="pct"/>
            <w:vAlign w:val="center"/>
            <w:textDirection w:val="lrTb"/>
            <w:noWrap w:val="false"/>
          </w:tcPr>
          <w:p>
            <w:pPr>
              <w:pStyle w:val="1196"/>
              <w:jc w:val="left"/>
              <w:keepLines w:val="0"/>
              <w:keepNext w:val="0"/>
              <w:pageBreakBefore w:val="0"/>
              <w:spacing w:line="240" w:lineRule="auto"/>
              <w:widowControl w:val="off"/>
              <w:rPr>
                <w:rFonts w:hint="default" w:ascii="宋体" w:hAnsi="宋体" w:cs="宋体"/>
                <w:b w:val="0"/>
                <w:bCs w:val="0"/>
                <w:color w:val="auto"/>
                <w:sz w:val="20"/>
                <w:szCs w:val="20"/>
                <w:highlight w:val="none"/>
              </w:rPr>
            </w:pPr>
            <w:r>
              <w:rPr>
                <w:rFonts w:hint="eastAsia" w:ascii="宋体" w:hAnsi="宋体" w:eastAsia="宋体" w:cs="宋体"/>
                <w:b w:val="0"/>
                <w:bCs w:val="0"/>
                <w:color w:val="auto"/>
                <w:sz w:val="20"/>
                <w:szCs w:val="20"/>
                <w:highlight w:val="none"/>
              </w:rPr>
              <w:t xml:space="preserve">投标人提供2024年1月1日以来</w:t>
            </w:r>
            <w:r>
              <w:rPr>
                <w:rFonts w:hint="eastAsia" w:ascii="宋体" w:hAnsi="宋体" w:eastAsia="宋体" w:cs="宋体"/>
                <w:b w:val="0"/>
                <w:bCs w:val="0"/>
                <w:color w:val="auto"/>
                <w:sz w:val="20"/>
                <w:szCs w:val="20"/>
                <w:highlight w:val="none"/>
                <w:lang w:val="en-US" w:eastAsia="zh-CN"/>
              </w:rPr>
              <w:t xml:space="preserve">的原材料和成品检测报告</w:t>
            </w:r>
            <w:r>
              <w:rPr>
                <w:rFonts w:hint="eastAsia" w:ascii="宋体" w:hAnsi="宋体" w:eastAsia="宋体" w:cs="宋体"/>
                <w:b w:val="0"/>
                <w:bCs w:val="0"/>
                <w:color w:val="auto"/>
                <w:sz w:val="20"/>
                <w:szCs w:val="20"/>
                <w:highlight w:val="none"/>
              </w:rPr>
              <w:t xml:space="preserve">，检测报告应为具有检验检测资质的检测机构出具，检测机构应通过相应的CMA认证，检测报告页面必须有CMA认证标志</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每提供一个得1分，共10分。</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b/>
                <w:bCs/>
                <w:color w:val="auto"/>
                <w:sz w:val="20"/>
                <w:szCs w:val="20"/>
                <w:highlight w:val="none"/>
              </w:rPr>
            </w:pPr>
            <w:r>
              <w:rPr>
                <w:rFonts w:hint="eastAsia" w:ascii="宋体" w:hAnsi="宋体" w:eastAsia="宋体" w:cs="宋体"/>
                <w:color w:val="auto"/>
                <w:sz w:val="20"/>
                <w:szCs w:val="20"/>
                <w:highlight w:val="none"/>
              </w:rPr>
              <w:t xml:space="preserve">（1）提供</w:t>
            </w:r>
            <w:r>
              <w:rPr>
                <w:rFonts w:hint="eastAsia" w:ascii="宋体" w:hAnsi="宋体" w:eastAsia="宋体" w:cs="宋体"/>
                <w:color w:val="auto"/>
                <w:sz w:val="20"/>
                <w:szCs w:val="20"/>
                <w:highlight w:val="none"/>
              </w:rPr>
              <w:t xml:space="preserve">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eastAsia="宋体" w:cs="宋体"/>
                <w:color w:val="auto"/>
                <w:sz w:val="20"/>
                <w:szCs w:val="20"/>
                <w:highlight w:val="none"/>
              </w:rPr>
              <w:t xml:space="preserve">（2）提供公寓组合床的组合柜检测报告，需符合相关国家标准或行业标准，检测内容至少包括：甲醛释放量，家具涂层可迁移元素，苯、甲苯、二甲苯、总挥发性有机化合物（TVOC）；耐霉菌性检测，抗菌性能检测：燃烧性能检测。</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b/>
                <w:bCs/>
                <w:color w:val="auto"/>
                <w:sz w:val="20"/>
                <w:szCs w:val="20"/>
                <w:highlight w:val="none"/>
              </w:rPr>
            </w:pPr>
            <w:r>
              <w:rPr>
                <w:rFonts w:hint="eastAsia" w:ascii="宋体" w:hAnsi="宋体" w:eastAsia="宋体" w:cs="宋体"/>
                <w:color w:val="auto"/>
                <w:sz w:val="20"/>
                <w:szCs w:val="20"/>
                <w:highlight w:val="none"/>
              </w:rPr>
              <w:t xml:space="preserve">（3）提供公寓椅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ind w:left="0" w:right="0" w:firstLine="0"/>
              <w:jc w:val="both"/>
              <w:spacing w:before="0" w:after="0" w:line="559"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0"/>
                <w:szCs w:val="20"/>
                <w:highlight w:val="none"/>
              </w:rPr>
              <w:t xml:space="preserve">（4）</w:t>
            </w:r>
            <w:r>
              <w:rPr>
                <w:rFonts w:ascii="宋体" w:hAnsi="宋体" w:eastAsia="宋体" w:cs="宋体"/>
                <w:color w:val="000000"/>
                <w:sz w:val="20"/>
                <w:szCs w:val="20"/>
              </w:rPr>
              <w:t xml:space="preserve">提供</w:t>
            </w:r>
            <w:r>
              <w:rPr>
                <w:rFonts w:ascii="宋体" w:hAnsi="宋体" w:eastAsia="宋体" w:cs="宋体"/>
                <w:b/>
                <w:color w:val="ff0000"/>
                <w:sz w:val="20"/>
                <w:szCs w:val="20"/>
              </w:rPr>
              <w:t xml:space="preserve">封边条</w:t>
            </w:r>
            <w:r>
              <w:rPr>
                <w:rFonts w:ascii="宋体" w:hAnsi="宋体" w:eastAsia="宋体" w:cs="宋体"/>
                <w:color w:val="000000"/>
                <w:sz w:val="20"/>
                <w:szCs w:val="20"/>
              </w:rPr>
              <w:t xml:space="preserve">检测报告。需符合相关国家标准或行业标准，检测内容至少包括：①耐干热性：应无龟裂、无鼓泡；②耐磨性：磨 30r 后应无露底现象；③耐开裂性（耐龟裂性）；④耐老化性（应无开裂）；⑤耐冷热循环性（应无龟裂、无鼓泡、无变色、无起皱）；⑥耐光色牢度（灰色样卡）≥4 级。【提供检测报告复印件】</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cs="宋体"/>
                <w:color w:val="auto"/>
                <w:sz w:val="20"/>
                <w:szCs w:val="20"/>
                <w:highlight w:val="none"/>
              </w:rPr>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eastAsia="宋体" w:cs="宋体"/>
                <w:color w:val="auto"/>
                <w:sz w:val="20"/>
                <w:szCs w:val="20"/>
                <w:highlight w:val="none"/>
              </w:rPr>
              <w:t xml:space="preserve">（5）提供多层板检测报告，需符合相关国家标准或行业标准，检测内容至少包括：甲醛释放量；防霉性能检测。</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eastAsia="宋体" w:cs="宋体"/>
                <w:color w:val="auto"/>
                <w:sz w:val="20"/>
                <w:szCs w:val="20"/>
                <w:highlight w:val="none"/>
              </w:rPr>
              <w:t xml:space="preserve">（6）提供床立柱、床沿检测报告，需符合相关国家标准或行业标准，检测内容至少包括：中性盐雾连续喷雾≥500小时，耐霉菌性等级检测。</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eastAsia="宋体" w:cs="宋体"/>
                <w:color w:val="auto"/>
                <w:sz w:val="20"/>
                <w:szCs w:val="20"/>
                <w:highlight w:val="none"/>
              </w:rPr>
              <w:t xml:space="preserve">（7）提供环氧树脂静电粉末检测报告，需符合相关国家标准或行业标准，检测内容至少包括：附着力（干附着力）；铅笔硬度（内聚破坏中擦伤）；耐冲击性（正向冲击）；耐碱性(168h)；耐酸性(240h)；耐湿性（500h）；耐盐雾性（中性盐雾 500h）；抗霉菌性能。</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ind w:left="0" w:right="0" w:firstLine="0"/>
              <w:jc w:val="both"/>
              <w:spacing w:before="0" w:after="0" w:line="559"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0"/>
                <w:szCs w:val="20"/>
                <w:highlight w:val="none"/>
              </w:rPr>
              <w:t xml:space="preserve">（8）</w:t>
            </w:r>
            <w:r>
              <w:rPr>
                <w:rFonts w:ascii="宋体" w:hAnsi="宋体" w:eastAsia="宋体" w:cs="宋体"/>
                <w:color w:val="000000"/>
                <w:sz w:val="20"/>
                <w:szCs w:val="20"/>
              </w:rPr>
              <w:t xml:space="preserve">提供防潮塑料脚套检测报告，需符合相关国家标准或行业标准，检测内容至少包括：理化性能：塑料件：耐冷热循环、硬度；塑料材料理化性能；</w:t>
            </w:r>
            <w:r>
              <w:rPr>
                <w:rFonts w:ascii="宋体" w:hAnsi="宋体" w:eastAsia="宋体" w:cs="宋体"/>
                <w:b/>
                <w:color w:val="ff0000"/>
                <w:sz w:val="20"/>
                <w:szCs w:val="20"/>
              </w:rPr>
              <w:t xml:space="preserve">重金属或可迁移有害元素</w:t>
            </w:r>
            <w:r>
              <w:rPr>
                <w:rFonts w:ascii="宋体" w:hAnsi="宋体" w:eastAsia="宋体" w:cs="宋体"/>
                <w:color w:val="000000"/>
                <w:sz w:val="20"/>
                <w:szCs w:val="20"/>
              </w:rPr>
              <w:t xml:space="preserve">；防霉性能检测；抗菌性能。【提供检测报告复印件】</w:t>
            </w:r>
            <w:r>
              <w:rPr>
                <w:rFonts w:ascii="宋体" w:hAnsi="宋体" w:cs="宋体"/>
                <w:sz w:val="20"/>
                <w:szCs w:val="20"/>
              </w:rPr>
            </w:r>
            <w:r/>
          </w:p>
          <w:p>
            <w:pPr>
              <w:pStyle w:val="1196"/>
              <w:ind w:firstLine="440"/>
              <w:jc w:val="left"/>
              <w:keepLines w:val="0"/>
              <w:keepNext w:val="0"/>
              <w:pageBreakBefore w:val="0"/>
              <w:spacing w:line="240" w:lineRule="auto"/>
              <w:widowControl w:val="off"/>
              <w:rPr>
                <w:rFonts w:ascii="宋体" w:hAnsi="宋体" w:cs="宋体"/>
                <w:color w:val="auto"/>
                <w:sz w:val="20"/>
                <w:szCs w:val="20"/>
                <w:highlight w:val="none"/>
              </w:rPr>
            </w:pPr>
            <w:r>
              <w:rPr>
                <w:rFonts w:hint="eastAsia" w:ascii="宋体" w:hAnsi="宋体" w:eastAsia="宋体" w:cs="宋体"/>
                <w:color w:val="auto"/>
                <w:sz w:val="20"/>
                <w:szCs w:val="20"/>
                <w:highlight w:val="none"/>
              </w:rPr>
              <w:t xml:space="preserve">（9）提供阻尼铰链检测报告，需符合相关国家标准或行业标准，检测内容至少包括：过载（垂直静载荷、水平静载荷）；功能（垂直静载荷、水平静载荷、下沉量、操作力）；耐久性。</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pStyle w:val="1196"/>
              <w:ind w:firstLine="440"/>
              <w:jc w:val="left"/>
              <w:keepLines w:val="0"/>
              <w:keepNext w:val="0"/>
              <w:pageBreakBefore w:val="0"/>
              <w:spacing w:line="240" w:lineRule="auto"/>
              <w:widowControl w:val="off"/>
              <w:rPr>
                <w:rFonts w:hint="eastAsia" w:ascii="宋体" w:hAnsi="宋体" w:cs="宋体"/>
                <w:color w:val="auto"/>
                <w:sz w:val="20"/>
                <w:szCs w:val="20"/>
                <w:highlight w:val="none"/>
              </w:rPr>
            </w:pPr>
            <w:r>
              <w:rPr>
                <w:rFonts w:hint="eastAsia" w:ascii="宋体" w:hAnsi="宋体" w:eastAsia="宋体" w:cs="宋体"/>
                <w:color w:val="auto"/>
                <w:sz w:val="20"/>
                <w:szCs w:val="20"/>
                <w:highlight w:val="none"/>
              </w:rPr>
              <w:t xml:space="preserve">（10）提供阻尼静音导轨检测报告，需符合相关国家标准或行业标准，检测内容至少包括：垂直向下静载荷（过载）；水平侧向静载荷（过载）；猛关或猛开（过载）；功能（垂直向下静载荷、水平侧向静载荷、拉出安全性、猛开或猛关、下沉量）；耐久性。</w:t>
            </w:r>
            <w:r>
              <w:rPr>
                <w:rFonts w:hint="eastAsia" w:ascii="宋体" w:hAnsi="宋体" w:eastAsia="宋体" w:cs="宋体"/>
                <w:b/>
                <w:bCs/>
                <w:color w:val="auto"/>
                <w:sz w:val="20"/>
                <w:szCs w:val="20"/>
                <w:highlight w:val="none"/>
              </w:rPr>
              <w:t xml:space="preserve">【提供检测报告</w:t>
            </w:r>
            <w:r>
              <w:rPr>
                <w:rFonts w:hint="eastAsia" w:ascii="宋体" w:hAnsi="宋体" w:eastAsia="宋体" w:cs="宋体"/>
                <w:b/>
                <w:bCs/>
                <w:color w:val="auto"/>
                <w:sz w:val="20"/>
                <w:szCs w:val="20"/>
                <w:highlight w:val="none"/>
                <w:lang w:val="en-US" w:eastAsia="zh-CN"/>
              </w:rPr>
              <w:t xml:space="preserve">复印件</w:t>
            </w:r>
            <w:r>
              <w:rPr>
                <w:rFonts w:hint="eastAsia" w:ascii="宋体" w:hAnsi="宋体" w:eastAsia="宋体" w:cs="宋体"/>
                <w:b/>
                <w:bCs/>
                <w:color w:val="auto"/>
                <w:sz w:val="20"/>
                <w:szCs w:val="20"/>
                <w:highlight w:val="none"/>
              </w:rPr>
              <w:t xml:space="preserve">】</w:t>
            </w:r>
            <w:r>
              <w:rPr>
                <w:rFonts w:ascii="宋体" w:hAnsi="宋体" w:cs="宋体"/>
                <w:sz w:val="20"/>
                <w:szCs w:val="20"/>
              </w:rPr>
            </w:r>
            <w:r/>
          </w:p>
          <w:p>
            <w:pPr>
              <w:ind w:left="0" w:right="0" w:firstLine="0"/>
              <w:jc w:val="both"/>
              <w:spacing w:before="0" w:after="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检测报告的检测产品名称可略有差异，以实现功能为准，具体由评委现场评审。</w:t>
            </w:r>
            <w:r>
              <w:rPr>
                <w:rFonts w:ascii="宋体" w:hAnsi="宋体" w:cs="宋体"/>
                <w:sz w:val="20"/>
                <w:szCs w:val="20"/>
              </w:rPr>
            </w:r>
            <w:r/>
          </w:p>
          <w:p>
            <w:pPr>
              <w:keepLines w:val="0"/>
              <w:keepNext w:val="0"/>
              <w:pageBreakBefore w:val="0"/>
              <w:spacing w:line="240" w:lineRule="auto"/>
              <w:widowControl w:val="off"/>
              <w:rPr>
                <w:rFonts w:hint="eastAsia" w:ascii="宋体" w:hAnsi="宋体" w:cs="宋体"/>
                <w:color w:val="auto"/>
                <w:sz w:val="20"/>
                <w:szCs w:val="20"/>
                <w:highlight w:val="none"/>
              </w:rPr>
            </w:pPr>
            <w:r>
              <w:rPr>
                <w:rFonts w:hint="eastAsia" w:ascii="宋体" w:hAnsi="宋体" w:eastAsia="宋体" w:cs="宋体"/>
                <w:color w:val="auto"/>
                <w:sz w:val="20"/>
                <w:szCs w:val="20"/>
                <w:highlight w:val="none"/>
              </w:rPr>
            </w:r>
            <w:r>
              <w:rPr>
                <w:rFonts w:ascii="宋体" w:hAnsi="宋体" w:cs="宋体"/>
                <w:sz w:val="20"/>
                <w:szCs w:val="20"/>
              </w:rPr>
            </w:r>
            <w:r/>
          </w:p>
        </w:tc>
      </w:tr>
      <w:tr>
        <w:trPr>
          <w:jc w:val="center"/>
          <w:trHeight w:val="524"/>
        </w:trPr>
        <w:tc>
          <w:tcPr>
            <w:tcW w:w="479"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480"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满足招标文件免费质保期十年要求后，每增加两年</w:t>
            </w:r>
            <w:r>
              <w:rPr>
                <w:rFonts w:hint="eastAsia" w:ascii="宋体" w:hAnsi="宋体" w:eastAsia="宋体" w:cs="宋体"/>
                <w:color w:val="auto"/>
                <w:sz w:val="21"/>
                <w:szCs w:val="21"/>
                <w:highlight w:val="none"/>
                <w:lang w:val="en-US" w:eastAsia="zh-CN"/>
              </w:rPr>
              <w:t xml:space="preserve">免费质保期</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tc>
      </w:tr>
      <w:tr>
        <w:trPr>
          <w:jc w:val="center"/>
          <w:trHeight w:val="1008"/>
        </w:trPr>
        <w:tc>
          <w:tcPr>
            <w:tcW w:w="4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80"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投标单位提供售后服务方案：包含售后维修的响应时间、上门服务回访的周期、免费检修、保养的范围等方面。方案应完善、内容细致全面、合理性和可行性强。</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方案优于项目需求得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分，符合项目需求得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分，不符合项目需求得0分。</w:t>
            </w:r>
            <w:r/>
          </w:p>
        </w:tc>
      </w:tr>
      <w:tr>
        <w:trPr>
          <w:jc w:val="center"/>
          <w:trHeight w:val="896"/>
        </w:trPr>
        <w:tc>
          <w:tcPr>
            <w:tcW w:w="479"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480"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w:t>
            </w:r>
            <w:r/>
          </w:p>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根据供应商提供的设计、生产制造的方案：</w:t>
            </w:r>
            <w:r>
              <w:rPr>
                <w:rFonts w:hint="eastAsia" w:ascii="宋体" w:hAnsi="宋体" w:cs="宋体"/>
                <w:sz w:val="21"/>
                <w:szCs w:val="21"/>
                <w:highlight w:val="none"/>
                <w:lang w:val="en-US" w:eastAsia="zh-CN"/>
              </w:rPr>
              <w:t xml:space="preserve">包括</w:t>
            </w:r>
            <w:r>
              <w:rPr>
                <w:rFonts w:hint="eastAsia" w:ascii="宋体" w:hAnsi="宋体" w:eastAsia="宋体" w:cs="宋体"/>
                <w:sz w:val="21"/>
                <w:szCs w:val="21"/>
                <w:highlight w:val="none"/>
              </w:rPr>
              <w:t xml:space="preserve">产品效果图、供货周期、品牌（五金件、板材、钢材）、生产实施、生产进度计划、生产质量保证等进行评分。方案优于项目需求得5分，符合项目需求得3分，不符合项目需求得0分。</w:t>
            </w:r>
            <w:r/>
          </w:p>
        </w:tc>
      </w:tr>
      <w:tr>
        <w:trPr>
          <w:jc w:val="center"/>
          <w:trHeight w:val="1102"/>
        </w:trPr>
        <w:tc>
          <w:tcPr>
            <w:tcW w:w="4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80"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根据供应商提供的产品运输、安装的方案：</w:t>
            </w:r>
            <w:r>
              <w:rPr>
                <w:rFonts w:hint="eastAsia" w:ascii="宋体" w:hAnsi="宋体" w:cs="宋体"/>
                <w:color w:val="000000" w:themeColor="text1"/>
                <w:sz w:val="21"/>
                <w:szCs w:val="21"/>
                <w:highlight w:val="none"/>
                <w14:textFill>
                  <w14:solidFill>
                    <w14:schemeClr w14:val="tx1"/>
                  </w14:solidFill>
                </w14:textFill>
              </w:rPr>
              <w:t xml:space="preserve">包括安装人员、时间、顺序的规划、</w:t>
            </w:r>
            <w:r>
              <w:rPr>
                <w:rFonts w:hint="default" w:ascii="宋体" w:hAnsi="宋体" w:cs="宋体"/>
                <w:color w:val="000000" w:themeColor="text1"/>
                <w:sz w:val="21"/>
                <w:szCs w:val="21"/>
                <w:highlight w:val="none"/>
                <w:lang w:val="en-US" w:eastAsia="zh-CN"/>
                <w14:textFill>
                  <w14:solidFill>
                    <w14:schemeClr w14:val="tx1"/>
                  </w14:solidFill>
                </w14:textFill>
              </w:rPr>
              <w:t xml:space="preserve">运输</w:t>
            </w:r>
            <w:r>
              <w:rPr>
                <w:rFonts w:hint="eastAsia" w:ascii="宋体" w:hAnsi="宋体" w:cs="宋体"/>
                <w:color w:val="000000" w:themeColor="text1"/>
                <w:sz w:val="21"/>
                <w:szCs w:val="21"/>
                <w:highlight w:val="none"/>
                <w14:textFill>
                  <w14:solidFill>
                    <w14:schemeClr w14:val="tx1"/>
                  </w14:solidFill>
                </w14:textFill>
              </w:rPr>
              <w:t xml:space="preserve">方案</w:t>
            </w:r>
            <w:r>
              <w:rPr>
                <w:rFonts w:hint="default" w:ascii="宋体" w:hAnsi="宋体" w:cs="宋体"/>
                <w:color w:val="000000" w:themeColor="text1"/>
                <w:sz w:val="21"/>
                <w:szCs w:val="21"/>
                <w:highlight w:val="none"/>
                <w:lang w:eastAsia="zh-CN"/>
                <w14:textFill>
                  <w14:solidFill>
                    <w14:schemeClr w14:val="tx1"/>
                  </w14:solidFill>
                </w14:textFill>
              </w:rPr>
              <w:t xml:space="preserve">、</w:t>
            </w:r>
            <w:r>
              <w:rPr>
                <w:rFonts w:hint="default" w:ascii="宋体" w:hAnsi="宋体" w:cs="宋体"/>
                <w:color w:val="000000" w:themeColor="text1"/>
                <w:sz w:val="21"/>
                <w:szCs w:val="21"/>
                <w:highlight w:val="none"/>
                <w:lang w:val="en-US" w:eastAsia="zh-CN"/>
                <w14:textFill>
                  <w14:solidFill>
                    <w14:schemeClr w14:val="tx1"/>
                  </w14:solidFill>
                </w14:textFill>
              </w:rPr>
              <w:t xml:space="preserve">安装后</w:t>
            </w:r>
            <w:r>
              <w:rPr>
                <w:rFonts w:hint="default" w:ascii="宋体" w:hAnsi="宋体" w:eastAsia="宋体" w:cs="宋体"/>
                <w:color w:val="000000" w:themeColor="text1"/>
                <w:sz w:val="21"/>
                <w:szCs w:val="21"/>
                <w:highlight w:val="none"/>
                <w14:textFill>
                  <w14:solidFill>
                    <w14:schemeClr w14:val="tx1"/>
                  </w14:solidFill>
                </w14:textFill>
              </w:rPr>
              <w:t xml:space="preserve">空气质量检测</w:t>
            </w:r>
            <w:r>
              <w:rPr>
                <w:rFonts w:hint="default" w:ascii="宋体"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sz w:val="21"/>
                <w:szCs w:val="21"/>
                <w:highlight w:val="none"/>
              </w:rPr>
              <w:t xml:space="preserve">质量管理及安全措施</w:t>
            </w:r>
            <w:r>
              <w:rPr>
                <w:rFonts w:hint="eastAsia" w:ascii="宋体" w:hAnsi="宋体" w:cs="宋体"/>
                <w:color w:val="000000" w:themeColor="text1"/>
                <w:sz w:val="21"/>
                <w:szCs w:val="21"/>
                <w:highlight w:val="none"/>
                <w14:textFill>
                  <w14:solidFill>
                    <w14:schemeClr w14:val="tx1"/>
                  </w14:solidFill>
                </w14:textFill>
              </w:rPr>
              <w:t xml:space="preserve">等</w:t>
            </w:r>
            <w:r>
              <w:rPr>
                <w:rFonts w:hint="eastAsia" w:ascii="宋体" w:hAnsi="宋体" w:eastAsia="宋体" w:cs="宋体"/>
                <w:sz w:val="21"/>
                <w:szCs w:val="21"/>
                <w:highlight w:val="none"/>
              </w:rPr>
              <w:t xml:space="preserve">进行评分。方案优于项目需求得5分，符合项目需求得3分，不符合项目需求得0分。</w:t>
            </w:r>
            <w:r/>
          </w:p>
        </w:tc>
      </w:tr>
      <w:tr>
        <w:trPr>
          <w:jc w:val="center"/>
          <w:trHeight w:val="3463"/>
        </w:trPr>
        <w:tc>
          <w:tcPr>
            <w:tcW w:w="479" w:type="pct"/>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48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color w:val="auto"/>
                <w:sz w:val="21"/>
                <w:szCs w:val="21"/>
                <w:highlight w:val="none"/>
                <w:lang w:val="en-US" w:eastAsia="zh-CN"/>
              </w:rPr>
              <w:t xml:space="preserve">投标人履约能力</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投标人或家具制造商所投产品具有国家认监委认可的认证机构出具的有效家具防火阻燃产品认证证书，得1分。（提供证书扫描件及在全国认证认可信息公共服务平台的有效查询截图）</w:t>
            </w:r>
            <w:r/>
          </w:p>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投标人或家具制造商所投产品具有国家认监委认可的认证机构出具的有效家具产品有害物质限量认证证书的，得1分。（提供证书扫描件及在全国认证认可信息公共服务平台的有效查询截图）</w:t>
            </w:r>
            <w:r/>
          </w:p>
          <w:p>
            <w:pPr>
              <w:keepLines w:val="0"/>
              <w:keepNext w:val="0"/>
              <w:pageBreakBefore w:val="0"/>
              <w:spacing w:line="24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3、投标人或家具制造商所投产品具有国家认监委认可的认证机构出具的有效期内的“产品防霉认证证书”，得1分。（提供证书扫描件及在全国认证认可信息公共服务平台的有效查询截图）</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投标人提供生产制造商生产设备全部满足招标文件的如下设备：（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）激光切割机、（</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Times New Roman"/>
                <w:color w:val="000000" w:themeColor="text1"/>
                <w:sz w:val="22"/>
                <w:szCs w:val="22"/>
                <w:highlight w:val="none"/>
                <w:lang w:val="en-US" w:eastAsia="zh-CN" w:bidi="ar-SA"/>
                <w14:textFill>
                  <w14:solidFill>
                    <w14:schemeClr w14:val="tx1"/>
                  </w14:solidFill>
                </w14:textFill>
              </w:rPr>
              <w:t xml:space="preserve">焊接机器人</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注塑机</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）自动封边机，每有1种得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需提供设备照片、设备清单及生产设备购发票（发票需清晰可见相应内容），缺一不可。如所提供设备名称与本项要求不完全一致，如功能符合本项要求，提供相应功能证明材料并满足上述材料要求可得分）</w:t>
            </w:r>
            <w:r/>
          </w:p>
        </w:tc>
      </w:tr>
      <w:tr>
        <w:trPr>
          <w:jc w:val="center"/>
        </w:trPr>
        <w:tc>
          <w:tcPr>
            <w:tcW w:w="4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tcW w:w="4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样品评审</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评标委员会在投标人提供的符合招标文件技术参数、材质要求的前提下，根据综合比较打分。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1.立柱（2分）：外观、材质、工艺等方面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招标文件要求得2分，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招标文件要求得1分，未按要求提供样品或提供样品不全的不得分。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2.横梁（1分）：外观、材质、工艺等方面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招标文件要求得1分，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招标文件要求得0.5分，未按要求提供样品或提供样品不全的不得分。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3.床头护栏（1分）：外观、材质、工艺等方面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招标文件要求得1分，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招标文件要求得0.5分，未按要求提供样品或提供样品不全的不得分。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4.桌面板（</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5.柜体板（</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6.床板（</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7.五金配件（1分）外观、材质、工艺等方面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招标文件要求得1分，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招标文件要求得0.5分，未按要求提供样品或提供样品不全的不得分。</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8.公寓椅（</w:t>
            </w:r>
            <w:r>
              <w:rPr>
                <w:rFonts w:hint="default"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分）：外观、材质、工艺等方面</w:t>
            </w:r>
            <w:r>
              <w:rPr>
                <w:rFonts w:hint="eastAsia" w:ascii="宋体" w:hAnsi="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招标文件要求得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招标文件要求得1分，未按要求提供样品或提供样品不全的不得分。</w:t>
            </w:r>
            <w:r/>
          </w:p>
          <w:p>
            <w:pPr>
              <w:keepLines w:val="0"/>
              <w:keepNext w:val="0"/>
              <w:pageBreakBefore w:val="0"/>
              <w:spacing w:line="240" w:lineRule="auto"/>
              <w:widowControl w:val="off"/>
              <w:tabs>
                <w:tab w:val="left" w:pos="3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（与招标文件要求不符合或未提供或者提供得不齐全，3D打印不得分。）</w:t>
            </w:r>
            <w:r/>
          </w:p>
        </w:tc>
      </w:tr>
      <w:tr>
        <w:trPr>
          <w:jc w:val="center"/>
          <w:trHeight w:val="968"/>
        </w:trPr>
        <w:tc>
          <w:tcPr>
            <w:tcW w:w="4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tcW w:w="48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经营业绩</w:t>
            </w:r>
            <w:r/>
          </w:p>
        </w:tc>
        <w:tc>
          <w:tcPr>
            <w:tcW w:w="4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szCs w:val="21"/>
                <w:highlight w:val="none"/>
              </w:rPr>
              <w:t xml:space="preserve">投标人具有自2022年0</w:t>
            </w:r>
            <w:r>
              <w:rPr>
                <w:rFonts w:hint="eastAsia" w:ascii="宋体" w:hAnsi="宋体" w:cs="宋体"/>
                <w:szCs w:val="21"/>
                <w:highlight w:val="none"/>
                <w:lang w:eastAsia="zh-CN"/>
              </w:rPr>
              <w:t xml:space="preserve">6</w:t>
            </w:r>
            <w:r>
              <w:rPr>
                <w:rFonts w:hint="eastAsia" w:ascii="宋体" w:hAnsi="宋体" w:cs="宋体"/>
                <w:szCs w:val="21"/>
                <w:highlight w:val="none"/>
              </w:rPr>
              <w:t xml:space="preserve">月01日以来（以合同签订时间为准）实施的同类项目成功案例，每提供一个业绩得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分，最多得8</w:t>
            </w:r>
            <w:r>
              <w:rPr>
                <w:rFonts w:hint="eastAsia" w:ascii="宋体" w:hAnsi="宋体" w:cs="宋体"/>
                <w:szCs w:val="21"/>
                <w:highlight w:val="none"/>
              </w:rPr>
              <w:t xml:space="preserve">分。（需提供合同复印件及验收报告，缺项不得分。）</w:t>
            </w:r>
            <w:r/>
          </w:p>
        </w:tc>
      </w:tr>
      <w:tr>
        <w:trPr>
          <w:jc w:val="center"/>
          <w:trHeight w:val="968"/>
        </w:trPr>
        <w:tc>
          <w:tcPr>
            <w:tcW w:w="479" w:type="pct"/>
            <w:vAlign w:val="center"/>
            <w:textDirection w:val="lrTb"/>
            <w:noWrap w:val="false"/>
          </w:tcPr>
          <w:p>
            <w:pPr>
              <w:jc w:val="center"/>
              <w:keepLines w:val="0"/>
              <w:keepNext w:val="0"/>
              <w:pageBreakBefore w:val="0"/>
              <w:spacing w:line="240" w:lineRule="auto"/>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9</w:t>
            </w:r>
            <w:r/>
          </w:p>
        </w:tc>
        <w:tc>
          <w:tcPr>
            <w:tcW w:w="48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环保产品</w:t>
            </w:r>
            <w:r/>
          </w:p>
        </w:tc>
        <w:tc>
          <w:tcPr>
            <w:tcW w:w="46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2分</w:t>
            </w:r>
            <w:r/>
          </w:p>
        </w:tc>
        <w:tc>
          <w:tcPr>
            <w:tcW w:w="3578"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highlight w:val="none"/>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highlight w:val="none"/>
                <w:lang w:val="en-US" w:eastAsia="zh-CN"/>
              </w:rPr>
              <w:t xml:space="preserve">2</w:t>
            </w:r>
            <w:r>
              <w:rPr>
                <w:rFonts w:hint="eastAsia"/>
                <w:highlight w:val="none"/>
              </w:rPr>
              <w:t xml:space="preserve">分。</w:t>
            </w:r>
            <w:bookmarkEnd w:id="176"/>
            <w:r/>
            <w:bookmarkEnd w:id="177"/>
            <w:r/>
            <w:bookmarkEnd w:id="178"/>
            <w:r/>
            <w:bookmarkEnd w:id="179"/>
            <w:r/>
            <w:bookmarkEnd w:id="184"/>
            <w:r/>
            <w:r/>
          </w:p>
        </w:tc>
      </w:tr>
    </w:tbl>
    <w:p>
      <w:pPr>
        <w:pStyle w:val="81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注：评分标准中所述检测报告、认证证书的检测（认证）产品名称以实现本次采购功能为准，不以个别文字差异否定投标人的检测报告、认证证书，具体由评标委员会现场统一认定。</w:t>
      </w:r>
      <w:r/>
    </w:p>
    <w:p>
      <w:pPr>
        <w:pStyle w:val="726"/>
        <w:ind w:left="0" w:firstLine="0"/>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jc w:val="left"/>
        <w:widowControl/>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ind w:firstLine="440"/>
        <w:jc w:val="center"/>
        <w:keepNext/>
        <w:rPr>
          <w:rFonts w:hint="eastAsia" w:ascii="黑体" w:eastAsia="黑体"/>
          <w:bCs/>
          <w:color w:val="000000" w:themeColor="text1"/>
          <w:sz w:val="44"/>
          <w:szCs w:val="28"/>
          <w:highlight w:val="none"/>
          <w14:textFill>
            <w14:solidFill>
              <w14:schemeClr w14:val="tx1"/>
            </w14:solidFill>
          </w14:textFill>
        </w:rPr>
        <w:sectPr>
          <w:footnotePr/>
          <w:endnotePr/>
          <w:type w:val="nextPage"/>
          <w:pgSz w:w="11906" w:h="16838" w:orient="portrait"/>
          <w:pgMar w:top="1134" w:right="851" w:bottom="1134" w:left="851" w:header="851" w:footer="992" w:gutter="0"/>
          <w:cols w:num="1" w:sep="0" w:space="1701" w:equalWidth="1"/>
          <w:docGrid w:linePitch="360"/>
        </w:sectPr>
        <w:outlineLvl w:val="0"/>
      </w:pPr>
      <w:r>
        <w:rPr>
          <w:rFonts w:hint="eastAsia" w:ascii="黑体" w:eastAsia="黑体"/>
          <w:bCs/>
          <w:color w:val="000000" w:themeColor="text1"/>
          <w:sz w:val="44"/>
          <w:szCs w:val="28"/>
          <w:highlight w:val="none"/>
          <w14:textFill>
            <w14:solidFill>
              <w14:schemeClr w14:val="tx1"/>
            </w14:solidFill>
          </w14:textFill>
        </w:rPr>
      </w:r>
      <w:r/>
    </w:p>
    <w:p>
      <w:pPr>
        <w:ind w:firstLine="440"/>
        <w:jc w:val="center"/>
        <w:keepNext/>
        <w:rPr>
          <w:color w:val="000000" w:themeColor="text1"/>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第六章  投标文件格式</w:t>
      </w:r>
      <w:r/>
    </w:p>
    <w:p>
      <w:pPr>
        <w:jc w:val="left"/>
        <w:keepNext/>
        <w:rPr>
          <w:rFonts w:ascii="黑体" w:eastAsia="黑体"/>
          <w:color w:val="000000" w:themeColor="text1"/>
          <w:sz w:val="44"/>
          <w:szCs w:val="44"/>
          <w:highlight w:val="none"/>
          <w14:textFill>
            <w14:solidFill>
              <w14:schemeClr w14:val="tx1"/>
            </w14:solidFill>
          </w14:textFill>
        </w:rPr>
        <w:outlineLvl w:val="0"/>
      </w:pPr>
      <w:r>
        <w:rPr>
          <w:rFonts w:ascii="黑体" w:eastAsia="黑体"/>
          <w:color w:val="000000" w:themeColor="text1"/>
          <w:sz w:val="44"/>
          <w:szCs w:val="44"/>
          <w:highlight w:val="none"/>
          <w14:textFill>
            <w14:solidFill>
              <w14:schemeClr w14:val="tx1"/>
            </w14:solidFill>
          </w14:textFill>
        </w:rPr>
      </w:r>
      <w:r/>
    </w:p>
    <w:p>
      <w:pPr>
        <w:jc w:val="left"/>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      投  标  文  件</w:t>
      </w: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1084"/>
        <w:rPr>
          <w:rFonts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p>
    <w:p>
      <w:pPr>
        <w:ind w:firstLine="1084"/>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084"/>
        <w:jc w:val="center"/>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一、基本目录</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开标一览表（格式见附件</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投标分项报价表（格式见</w:t>
      </w:r>
      <w:r>
        <w:rPr>
          <w:rFonts w:ascii="宋体" w:hAnsi="宋体"/>
          <w:color w:val="000000" w:themeColor="text1"/>
          <w:sz w:val="24"/>
          <w:szCs w:val="21"/>
          <w:highlight w:val="none"/>
          <w14:textFill>
            <w14:solidFill>
              <w14:schemeClr w14:val="tx1"/>
            </w14:solidFill>
          </w14:textFill>
        </w:rPr>
        <w:t xml:space="preserve">附件2</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技术要求响应及偏离表（格式见</w:t>
      </w:r>
      <w:r>
        <w:rPr>
          <w:rFonts w:ascii="宋体" w:hAnsi="宋体"/>
          <w:color w:val="000000" w:themeColor="text1"/>
          <w:sz w:val="24"/>
          <w:szCs w:val="21"/>
          <w:highlight w:val="none"/>
          <w14:textFill>
            <w14:solidFill>
              <w14:schemeClr w14:val="tx1"/>
            </w14:solidFill>
          </w14:textFill>
        </w:rPr>
        <w:t xml:space="preserve">附件3</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商务要求响应及偏离表（格式见</w:t>
      </w:r>
      <w:r>
        <w:rPr>
          <w:rFonts w:ascii="宋体" w:hAnsi="宋体"/>
          <w:color w:val="000000" w:themeColor="text1"/>
          <w:sz w:val="24"/>
          <w:szCs w:val="21"/>
          <w:highlight w:val="none"/>
          <w14:textFill>
            <w14:solidFill>
              <w14:schemeClr w14:val="tx1"/>
            </w14:solidFill>
          </w14:textFill>
        </w:rPr>
        <w:t xml:space="preserve">附件4</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二</w:t>
      </w:r>
      <w:r>
        <w:rPr>
          <w:rFonts w:ascii="宋体" w:hAnsi="宋体"/>
          <w:b/>
          <w:color w:val="000000" w:themeColor="text1"/>
          <w:sz w:val="24"/>
          <w:szCs w:val="21"/>
          <w:highlight w:val="none"/>
          <w14:textFill>
            <w14:solidFill>
              <w14:schemeClr w14:val="tx1"/>
            </w14:solidFill>
          </w14:textFill>
        </w:rPr>
        <w:t xml:space="preserve">、资格审查内容</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法人或者其他组织的营业执照等证明文件，自然人的身份证明</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提供2022或2023年度的财务状况报告（投标人成立不满一年无需提供）</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依法缴纳税收和社会保障资金的相关材料（提供提交投标文件截止时间前一年</w:t>
      </w: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具备履行合同所必需的设备和专业技术能力的书面声明（格式见</w:t>
      </w:r>
      <w:r>
        <w:rPr>
          <w:rFonts w:ascii="宋体" w:hAnsi="宋体"/>
          <w:color w:val="000000" w:themeColor="text1"/>
          <w:sz w:val="24"/>
          <w:szCs w:val="21"/>
          <w:highlight w:val="none"/>
          <w14:textFill>
            <w14:solidFill>
              <w14:schemeClr w14:val="tx1"/>
            </w14:solidFill>
          </w14:textFill>
        </w:rPr>
        <w:t xml:space="preserve">附件5</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5.参加政府采购活动前 3 年内在经营活动中没有重大违法记录的书面声明（格式</w:t>
      </w: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附件6</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特定资格要求的证明文件（如果本项目对投标人</w:t>
      </w:r>
      <w:r>
        <w:rPr>
          <w:rFonts w:ascii="宋体" w:hAnsi="宋体"/>
          <w:color w:val="000000" w:themeColor="text1"/>
          <w:sz w:val="24"/>
          <w:szCs w:val="21"/>
          <w:highlight w:val="none"/>
          <w14:textFill>
            <w14:solidFill>
              <w14:schemeClr w14:val="tx1"/>
            </w14:solidFill>
          </w14:textFill>
        </w:rPr>
        <w:t xml:space="preserve">做出特定资格要求的</w:t>
      </w:r>
      <w:r>
        <w:rPr>
          <w:rFonts w:hint="eastAsia" w:ascii="宋体" w:hAnsi="宋体"/>
          <w:color w:val="000000" w:themeColor="text1"/>
          <w:sz w:val="24"/>
          <w:szCs w:val="21"/>
          <w:highlight w:val="none"/>
          <w14:textFill>
            <w14:solidFill>
              <w14:schemeClr w14:val="tx1"/>
            </w14:solidFill>
          </w14:textFill>
        </w:rPr>
        <w:t xml:space="preserve">，必须提供）</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法人授权书（格式见附件</w:t>
      </w: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投标函（格式见附件</w:t>
      </w: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总备注：上述“资格审查内容”中1-5条、7、8条投标人必须在投标文件中提供</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相关材料，否则作无效投标处理；6、9、10、11条如招标文件要求必须提供相关材料而未提供的，作无效投标处理。</w:t>
      </w: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三</w:t>
      </w:r>
      <w:r>
        <w:rPr>
          <w:rFonts w:ascii="宋体" w:hAnsi="宋体"/>
          <w:b/>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24"/>
          <w:szCs w:val="21"/>
          <w:highlight w:val="none"/>
          <w14:textFill>
            <w14:solidFill>
              <w14:schemeClr w14:val="tx1"/>
            </w14:solidFill>
          </w14:textFill>
        </w:rPr>
        <w:t xml:space="preserve">符合性</w:t>
      </w:r>
      <w:r>
        <w:rPr>
          <w:rFonts w:ascii="宋体" w:hAnsi="宋体"/>
          <w:b/>
          <w:color w:val="000000" w:themeColor="text1"/>
          <w:sz w:val="24"/>
          <w:szCs w:val="21"/>
          <w:highlight w:val="none"/>
          <w14:textFill>
            <w14:solidFill>
              <w14:schemeClr w14:val="tx1"/>
            </w14:solidFill>
          </w14:textFill>
        </w:rPr>
        <w:t xml:space="preserve">审查内容</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投标人必须</w:t>
      </w:r>
      <w:r>
        <w:rPr>
          <w:rFonts w:ascii="宋体" w:hAnsi="宋体"/>
          <w:color w:val="000000" w:themeColor="text1"/>
          <w:sz w:val="24"/>
          <w:szCs w:val="21"/>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中加斜体下划线的实质性要求</w:t>
      </w:r>
      <w:r>
        <w:rPr>
          <w:rFonts w:hint="eastAsia" w:ascii="宋体" w:hAnsi="宋体"/>
          <w:color w:val="000000" w:themeColor="text1"/>
          <w:sz w:val="24"/>
          <w:szCs w:val="21"/>
          <w:highlight w:val="none"/>
          <w14:textFill>
            <w14:solidFill>
              <w14:schemeClr w14:val="tx1"/>
            </w14:solidFill>
          </w14:textFill>
        </w:rPr>
        <w:t xml:space="preserve">逐条</w:t>
      </w:r>
      <w:r>
        <w:rPr>
          <w:rFonts w:ascii="宋体" w:hAnsi="宋体"/>
          <w:color w:val="000000" w:themeColor="text1"/>
          <w:sz w:val="24"/>
          <w:szCs w:val="21"/>
          <w:highlight w:val="none"/>
          <w14:textFill>
            <w14:solidFill>
              <w14:schemeClr w14:val="tx1"/>
            </w14:solidFill>
          </w14:textFill>
        </w:rPr>
        <w:t xml:space="preserve">做出响应，并按照招标</w:t>
      </w:r>
      <w:r>
        <w:rPr>
          <w:rFonts w:hint="eastAsia" w:ascii="宋体" w:hAnsi="宋体"/>
          <w:color w:val="000000" w:themeColor="text1"/>
          <w:sz w:val="24"/>
          <w:szCs w:val="21"/>
          <w:highlight w:val="none"/>
          <w14:textFill>
            <w14:solidFill>
              <w14:schemeClr w14:val="tx1"/>
            </w14:solidFill>
          </w14:textFill>
        </w:rPr>
        <w:t xml:space="preserve">文件</w:t>
      </w:r>
      <w:r>
        <w:rPr>
          <w:rFonts w:ascii="宋体" w:hAnsi="宋体"/>
          <w:color w:val="000000" w:themeColor="text1"/>
          <w:sz w:val="24"/>
          <w:szCs w:val="21"/>
          <w:highlight w:val="none"/>
          <w14:textFill>
            <w14:solidFill>
              <w14:schemeClr w14:val="tx1"/>
            </w14:solidFill>
          </w14:textFill>
        </w:rPr>
        <w:t xml:space="preserve">要求提供</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w:t>
      </w:r>
      <w:r>
        <w:rPr>
          <w:rFonts w:hint="eastAsia" w:ascii="宋体" w:hAnsi="宋体"/>
          <w:color w:val="000000" w:themeColor="text1"/>
          <w:sz w:val="24"/>
          <w:szCs w:val="21"/>
          <w:highlight w:val="none"/>
          <w14:textFill>
            <w14:solidFill>
              <w14:schemeClr w14:val="tx1"/>
            </w14:solidFill>
          </w14:textFill>
        </w:rPr>
        <w:t xml:space="preserve">，否则做无效投标处理。（格式见</w:t>
      </w:r>
      <w:r>
        <w:rPr>
          <w:rFonts w:ascii="宋体" w:hAnsi="宋体"/>
          <w:color w:val="000000" w:themeColor="text1"/>
          <w:sz w:val="24"/>
          <w:szCs w:val="21"/>
          <w:highlight w:val="none"/>
          <w14:textFill>
            <w14:solidFill>
              <w14:schemeClr w14:val="tx1"/>
            </w14:solidFill>
          </w14:textFill>
        </w:rPr>
        <w:t xml:space="preserve">附件12</w:t>
      </w:r>
      <w:r>
        <w:rPr>
          <w:rFonts w:hint="eastAsia" w:ascii="宋体" w:hAnsi="宋体"/>
          <w:color w:val="000000" w:themeColor="text1"/>
          <w:sz w:val="24"/>
          <w:szCs w:val="21"/>
          <w:highlight w:val="none"/>
          <w14:textFill>
            <w14:solidFill>
              <w14:schemeClr w14:val="tx1"/>
            </w14:solidFill>
          </w14:textFill>
        </w:rPr>
        <w:t xml:space="preserve">）</w:t>
      </w:r>
      <w:r/>
    </w:p>
    <w:p>
      <w:pPr>
        <w:ind w:firstLine="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四、价格</w:t>
      </w:r>
      <w:r>
        <w:rPr>
          <w:rFonts w:ascii="宋体" w:hAnsi="宋体"/>
          <w:b/>
          <w:color w:val="000000" w:themeColor="text1"/>
          <w:sz w:val="24"/>
          <w:szCs w:val="21"/>
          <w:highlight w:val="none"/>
          <w14:textFill>
            <w14:solidFill>
              <w14:schemeClr w14:val="tx1"/>
            </w14:solidFill>
          </w14:textFill>
        </w:rPr>
        <w:t xml:space="preserve">扣除证明文件</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中小微企业声明函（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残疾人福利性单位声明函（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 </w:t>
      </w:r>
      <w:r>
        <w:rPr>
          <w:rFonts w:hint="eastAsia" w:ascii="宋体" w:hAnsi="宋体"/>
          <w:b/>
          <w:color w:val="000000" w:themeColor="text1"/>
          <w:sz w:val="24"/>
          <w:szCs w:val="24"/>
          <w:highlight w:val="none"/>
          <w14:textFill>
            <w14:solidFill>
              <w14:schemeClr w14:val="tx1"/>
            </w14:solidFill>
          </w14:textFill>
        </w:rPr>
        <w:t xml:space="preserve">开标一览表</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分包号：</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612"/>
        </w:trPr>
        <w:tc>
          <w:tcPr>
            <w:gridSpan w:val="2"/>
            <w:tcW w:w="8886" w:type="dxa"/>
            <w:vAlign w:val="center"/>
            <w:textDirection w:val="lrTb"/>
            <w:noWrap/>
          </w:tcPr>
          <w:p>
            <w:pPr>
              <w:jc w:val="left"/>
              <w:spacing w:line="500" w:lineRule="exact"/>
              <w:rPr>
                <w:rFonts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p>
        </w:tc>
      </w:tr>
      <w:tr>
        <w:trPr>
          <w:cantSplit/>
          <w:trHeight w:val="612"/>
        </w:trPr>
        <w:tc>
          <w:tcPr>
            <w:tcW w:w="2481" w:type="dxa"/>
            <w:vAlign w:val="center"/>
            <w:textDirection w:val="lrTb"/>
            <w:noWrap/>
          </w:tcPr>
          <w:p>
            <w:pPr>
              <w:jc w:val="center"/>
              <w:spacing w:line="30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核心产品品牌</w:t>
            </w:r>
            <w:r/>
          </w:p>
        </w:tc>
        <w:tc>
          <w:tcPr>
            <w:tcW w:w="6405" w:type="dxa"/>
            <w:vAlign w:val="center"/>
            <w:textDirection w:val="lrTb"/>
            <w:noWrap/>
          </w:tcPr>
          <w:p>
            <w:pPr>
              <w:jc w:val="left"/>
              <w:spacing w:line="5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投标分项报价表 </w:t>
      </w:r>
      <w:r/>
    </w:p>
    <w:tbl>
      <w:tblPr>
        <w:tblStyle w:val="71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10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r>
      <w:tr>
        <w:trPr>
          <w:cantSplit/>
          <w:trHeight w:val="294"/>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110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tcPr>
          <w:p>
            <w:pPr>
              <w:jc w:val="center"/>
              <w:spacing w:line="0" w:lineRule="atLeas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合同签订后日</w:t>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724"/>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580"/>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249"/>
        </w:trPr>
        <w:tc>
          <w:tcPr>
            <w:tcW w:w="500" w:type="dxa"/>
            <w:textDirection w:val="lrTb"/>
            <w:noWrap/>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8"/>
            <w:tcW w:w="7797"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966" w:type="dxa"/>
            <w:textDirection w:val="lrTb"/>
            <w:noWrap/>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）国内运输保险、报关清关（如果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）、开证（如果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）、办理全套免税手续费用（如果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）及其他有关的为完成本项目发生的所有费用，招标文件中另有规定的除外。</w:t>
      </w: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3.投标人需认真填写本报价表，尤其注意规格型号的准确填写。</w:t>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3 </w:t>
      </w:r>
      <w:r>
        <w:rPr>
          <w:rFonts w:hint="eastAsia" w:ascii="宋体" w:hAnsi="宋体"/>
          <w:b/>
          <w:color w:val="000000" w:themeColor="text1"/>
          <w:sz w:val="24"/>
          <w:szCs w:val="24"/>
          <w:highlight w:val="none"/>
          <w14:textFill>
            <w14:solidFill>
              <w14:schemeClr w14:val="tx1"/>
            </w14:solidFill>
          </w14:textFill>
        </w:rPr>
        <w:t xml:space="preserve">技术要求响应及偏离表 </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063"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技术要求</w:t>
            </w:r>
            <w:r/>
          </w:p>
        </w:tc>
        <w:tc>
          <w:tcPr>
            <w:tcW w:w="3191"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2128"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4 </w:t>
      </w:r>
      <w:r>
        <w:rPr>
          <w:rFonts w:hint="eastAsia" w:ascii="宋体" w:hAnsi="宋体"/>
          <w:b/>
          <w:color w:val="000000" w:themeColor="text1"/>
          <w:sz w:val="24"/>
          <w:szCs w:val="24"/>
          <w:highlight w:val="none"/>
          <w14:textFill>
            <w14:solidFill>
              <w14:schemeClr w14:val="tx1"/>
            </w14:solidFill>
          </w14:textFill>
        </w:rPr>
        <w:t xml:space="preserve">商务要求响应及偏离表 </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063"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商务要求</w:t>
            </w:r>
            <w:r/>
          </w:p>
        </w:tc>
        <w:tc>
          <w:tcPr>
            <w:tcW w:w="3191"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2128"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商务要求（未加斜体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 具备履行合同所必需的设备和专业技术能力的书面声明</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6 </w:t>
      </w:r>
      <w:r>
        <w:rPr>
          <w:rFonts w:hint="eastAsia" w:ascii="宋体" w:hAnsi="宋体"/>
          <w:b/>
          <w:color w:val="000000" w:themeColor="text1"/>
          <w:sz w:val="24"/>
          <w:szCs w:val="21"/>
          <w:highlight w:val="none"/>
          <w14:textFill>
            <w14:solidFill>
              <w14:schemeClr w14:val="tx1"/>
            </w14:solidFill>
          </w14:textFill>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szCs w:val="21"/>
          <w:highlight w:val="none"/>
          <w14:textFill>
            <w14:solidFill>
              <w14:schemeClr w14:val="tx1"/>
            </w14:solidFill>
          </w14:textFill>
        </w:rPr>
      </w:pPr>
      <w:r>
        <w:rPr>
          <w:rFonts w:ascii="宋体" w:hAnsi="宋体"/>
          <w:b/>
          <w:bCs/>
          <w:color w:val="000000" w:themeColor="text1"/>
          <w:sz w:val="24"/>
          <w:szCs w:val="21"/>
          <w:highlight w:val="none"/>
          <w14:textFill>
            <w14:solidFill>
              <w14:schemeClr w14:val="tx1"/>
            </w14:solidFill>
          </w14:textFill>
        </w:rPr>
      </w:r>
      <w:r/>
    </w:p>
    <w:p>
      <w:pPr>
        <w:jc w:val="center"/>
        <w:spacing w:line="460" w:lineRule="exact"/>
        <w:rPr>
          <w:rFonts w:ascii="宋体" w:hAnsi="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声  明</w:t>
      </w: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Start w:id="185" w:name="_Toc120614284"/>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7</w:t>
      </w:r>
      <w:r>
        <w:rPr>
          <w:rFonts w:hint="eastAsia" w:ascii="宋体" w:hAnsi="宋体"/>
          <w:b/>
          <w:color w:val="000000" w:themeColor="text1"/>
          <w:sz w:val="24"/>
          <w:szCs w:val="21"/>
          <w:highlight w:val="none"/>
          <w14:textFill>
            <w14:solidFill>
              <w14:schemeClr w14:val="tx1"/>
            </w14:solidFill>
          </w14:textFill>
        </w:rPr>
        <w:t xml:space="preserve">法人授权书</w:t>
      </w: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本授权书声明：____________（投标人名称）授权________________（被授权人的姓名）为我方就号项目采购活动的合法代理人，以本单位名义全权处理一切与该项目采购有关的事务。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ind w:firstLine="120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ind w:firstLine="480"/>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w:t>
      </w:r>
      <w:bookmarkStart w:id="186" w:name="_格式3__银行出具的资信证明"/>
      <w:r/>
      <w:bookmarkEnd w:id="186"/>
      <w:r/>
      <w:bookmarkStart w:id="187" w:name="_Hlt26955070"/>
      <w:r/>
      <w:bookmarkEnd w:id="187"/>
      <w:r/>
      <w:bookmarkStart w:id="188" w:name="_Hlt26671380"/>
      <w:r/>
      <w:bookmarkEnd w:id="188"/>
      <w:r/>
      <w:r/>
    </w:p>
    <w:p>
      <w:pPr>
        <w:keepLines/>
        <w:keepNext/>
        <w:spacing w:before="260" w:after="260" w:line="416" w:lineRule="auto"/>
        <w:rPr>
          <w:rFonts w:ascii="黑体" w:hAnsi="黑体" w:eastAsia="黑体"/>
          <w:b/>
          <w:i/>
          <w:color w:val="000000" w:themeColor="text1"/>
          <w:sz w:val="32"/>
          <w:szCs w:val="32"/>
          <w:highlight w:val="none"/>
          <w:u w:val="singl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8</w:t>
      </w:r>
      <w:r>
        <w:rPr>
          <w:rFonts w:hint="eastAsia" w:ascii="宋体" w:hAnsi="宋体"/>
          <w:b/>
          <w:color w:val="000000" w:themeColor="text1"/>
          <w:sz w:val="24"/>
          <w:szCs w:val="21"/>
          <w:highlight w:val="none"/>
          <w14:textFill>
            <w14:solidFill>
              <w14:schemeClr w14:val="tx1"/>
            </w14:solidFill>
          </w14:textFill>
        </w:rPr>
        <w:t xml:space="preserve">投标函</w:t>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致：江苏省政府采购中心</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320000-</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1"/>
        <w:jc w:val="center"/>
        <w:spacing w:line="5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241"/>
        <w:jc w:val="center"/>
        <w:spacing w:line="56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9</w:t>
      </w:r>
      <w:r>
        <w:rPr>
          <w:rFonts w:hint="eastAsia" w:ascii="宋体" w:hAnsi="宋体"/>
          <w:b/>
          <w:color w:val="000000" w:themeColor="text1"/>
          <w:sz w:val="24"/>
          <w:szCs w:val="21"/>
          <w:highlight w:val="none"/>
          <w14:textFill>
            <w14:solidFill>
              <w14:schemeClr w14:val="tx1"/>
            </w14:solidFill>
          </w14:textFill>
        </w:rPr>
        <w:t xml:space="preserve">中小微企业声明函（货物类项目） </w:t>
      </w: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采购编号为JSZC</w:t>
      </w:r>
      <w:r>
        <w:rPr>
          <w:rFonts w:ascii="宋体" w:hAnsi="宋体"/>
          <w:color w:val="000000" w:themeColor="text1"/>
          <w:sz w:val="24"/>
          <w:szCs w:val="24"/>
          <w:highlight w:val="none"/>
          <w14:textFill>
            <w14:solidFill>
              <w14:schemeClr w14:val="tx1"/>
            </w14:solidFill>
          </w14:textFill>
        </w:rPr>
        <w:t xml:space="preserve">-320000-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（项目名称）</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     的具体情况如下：</w:t>
      </w:r>
      <w:r/>
    </w:p>
    <w:p>
      <w:pPr>
        <w:ind w:firstLine="360"/>
        <w:spacing w:line="40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180" w:firstLine="360"/>
        <w:jc w:val="righ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p>
    <w:p>
      <w:pPr>
        <w:ind w:right="480" w:firstLine="54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p>
    <w:p>
      <w:pPr>
        <w:ind w:left="540" w:hanging="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制造商</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14:textFill>
            <w14:solidFill>
              <w14:schemeClr w14:val="tx1"/>
            </w14:solidFill>
          </w14:textFill>
        </w:rPr>
        <w:t xml:space="preserve">  残疾人福利性单位声明函（货物类项目） </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1"/>
          <w:highlight w:val="none"/>
          <w14:textFill>
            <w14:solidFill>
              <w14:schemeClr w14:val="tx1"/>
            </w14:solidFill>
          </w14:textFill>
        </w:rPr>
        <w:t xml:space="preserve">JSZC-320000-</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的项目（分包号：**）采购活动提供本单位制造的货物，或者提供其他残疾人福利性单位制造的货物（不包括使用非残疾人福利性单位注册商标的货物）。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14:textFill>
            <w14:solidFill>
              <w14:schemeClr w14:val="tx1"/>
            </w14:solidFill>
          </w14:textFill>
        </w:rPr>
        <w:t xml:space="preserve">声明函</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否则将</w:t>
      </w:r>
      <w:r>
        <w:rPr>
          <w:rFonts w:hint="eastAsia" w:ascii="宋体" w:hAnsi="宋体"/>
          <w:color w:val="000000" w:themeColor="text1"/>
          <w:sz w:val="24"/>
          <w:szCs w:val="21"/>
          <w:highlight w:val="none"/>
          <w14:textFill>
            <w14:solidFill>
              <w14:schemeClr w14:val="tx1"/>
            </w14:solidFill>
          </w14:textFill>
        </w:rPr>
        <w:t xml:space="preserve">不能</w:t>
      </w:r>
      <w:r>
        <w:rPr>
          <w:rFonts w:ascii="宋体" w:hAnsi="宋体"/>
          <w:color w:val="000000" w:themeColor="text1"/>
          <w:sz w:val="24"/>
          <w:szCs w:val="21"/>
          <w:highlight w:val="none"/>
          <w14:textFill>
            <w14:solidFill>
              <w14:schemeClr w14:val="tx1"/>
            </w14:solidFill>
          </w14:textFill>
        </w:rPr>
        <w:t xml:space="preserve">通过资格审查</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 非专门面向中小微型企业采购的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11</w:t>
      </w:r>
      <w:r>
        <w:rPr>
          <w:rFonts w:hint="eastAsia" w:ascii="宋体" w:hAnsi="宋体"/>
          <w:b/>
          <w:color w:val="000000" w:themeColor="text1"/>
          <w:sz w:val="24"/>
          <w:szCs w:val="24"/>
          <w:highlight w:val="none"/>
          <w14:textFill>
            <w14:solidFill>
              <w14:schemeClr w14:val="tx1"/>
            </w14:solidFill>
          </w14:textFill>
        </w:rPr>
        <w:t xml:space="preserve">  联合体协议（参考格式） </w:t>
      </w: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自愿组成联合体，参加江苏省政府采购中心组织的采购编号为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项目（分包号：**）的政府采购活动，我联合体指定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646"/>
        <w:jc w:val="right"/>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日期：</w:t>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723900"/>
                <wp:effectExtent l="0" t="0" r="0" b="0"/>
                <wp:docPr id="15"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2"/>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57.0pt;mso-wrap-distance-left:0.0pt;mso-wrap-distance-top:0.0pt;mso-wrap-distance-right:0.0pt;mso-wrap-distance-bottom:0.0pt;" stroked="false">
                <v:path textboxrect="0,0,0,0"/>
              </v:shape>
            </w:pict>
          </mc:Fallback>
        </mc:AlternateContent>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12</w:t>
      </w:r>
      <w:r>
        <w:rPr>
          <w:rFonts w:hint="eastAsia" w:ascii="宋体" w:hAnsi="宋体"/>
          <w:b/>
          <w:color w:val="000000" w:themeColor="text1"/>
          <w:sz w:val="24"/>
          <w:szCs w:val="24"/>
          <w:highlight w:val="none"/>
          <w14:textFill>
            <w14:solidFill>
              <w14:schemeClr w14:val="tx1"/>
            </w14:solidFill>
          </w14:textFill>
        </w:rPr>
        <w:t xml:space="preserve"> 实质性要求响应及偏离表 </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609"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w:t>
            </w:r>
            <w:r>
              <w:rPr>
                <w:rFonts w:ascii="宋体" w:hAnsi="宋体"/>
                <w:color w:val="000000" w:themeColor="text1"/>
                <w:sz w:val="24"/>
                <w:szCs w:val="24"/>
                <w:highlight w:val="none"/>
                <w14:textFill>
                  <w14:solidFill>
                    <w14:schemeClr w14:val="tx1"/>
                  </w14:solidFill>
                </w14:textFill>
              </w:rPr>
              <w:t xml:space="preserve">要求和商务要求中的实质性要求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p>
        </w:tc>
        <w:tc>
          <w:tcPr>
            <w:tcW w:w="3317"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526"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12-1 </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必须</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3.投标人未对实质性要求逐条作出明确响应的，或未按招标文件要求提供证明材料的，该分包作无效投标处理。</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bookmarkEnd w:id="185"/>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质疑项目的编号：包号：</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89"/>
      <w:r/>
      <w:r/>
    </w:p>
    <w:sectPr>
      <w:footnotePr/>
      <w:endnotePr/>
      <w:type w:val="nextPage"/>
      <w:pgSz w:w="11906" w:h="16838" w:orient="portrait"/>
      <w:pgMar w:top="1134" w:right="851" w:bottom="1134" w:left="85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howcard Gothic">
    <w:panose1 w:val="04020904020102020604"/>
  </w:font>
  <w:font w:name="Segoe UI">
    <w:panose1 w:val="020B0502040204020203"/>
  </w:font>
  <w:font w:name="Symbol">
    <w:panose1 w:val="05050102010706020507"/>
  </w:font>
  <w:font w:name="SimSun">
    <w:panose1 w:val="02010600030101010101"/>
  </w:font>
  <w:font w:name="Helvetica">
    <w:panose1 w:val="020B0604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等线">
    <w:panose1 w:val="02010600030101010101"/>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Century">
    <w:panose1 w:val="020406040505050203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fldChar w:fldCharType="begin"/>
    </w:r>
    <w:r>
      <w:instrText xml:space="preserve">PAGE   \* MERGEFORMAT</w:instrText>
    </w:r>
    <w:r>
      <w:fldChar w:fldCharType="separate"/>
    </w:r>
    <w:r>
      <w:rPr>
        <w:lang w:val="zh-CN"/>
      </w:rPr>
      <w:t xml:space="preserve">126</w:t>
    </w:r>
    <w:r>
      <w:rPr>
        <w:lang w:val="zh-CN"/>
      </w:rPr>
      <w:fldChar w:fldCharType="end"/>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8"/>
        <w:rFonts w:ascii="宋体" w:hAnsi="宋体"/>
      </w:rPr>
      <w:framePr w:wrap="around" w:vAnchor="text" w:hAnchor="margin" w:xAlign="center" w:y="1"/>
    </w:pPr>
    <w:r>
      <w:rPr>
        <w:rFonts w:ascii="宋体" w:hAnsi="宋体"/>
      </w:rPr>
      <w:fldChar w:fldCharType="begin"/>
    </w:r>
    <w:r>
      <w:rPr>
        <w:rStyle w:val="1098"/>
        <w:rFonts w:ascii="宋体" w:hAnsi="宋体"/>
      </w:rPr>
      <w:instrText xml:space="preserve">PAGE  </w:instrText>
    </w:r>
    <w:r>
      <w:rPr>
        <w:rFonts w:ascii="宋体" w:hAnsi="宋体"/>
      </w:rPr>
      <w:fldChar w:fldCharType="separate"/>
    </w:r>
    <w:r>
      <w:rPr>
        <w:rStyle w:val="1098"/>
        <w:rFonts w:ascii="宋体" w:hAnsi="宋体"/>
      </w:rPr>
      <w:t xml:space="preserve">133</w:t>
    </w:r>
    <w:r>
      <w:rPr>
        <w:rFonts w:ascii="宋体" w:hAnsi="宋体"/>
      </w:rPr>
      <w:fldChar w:fldCharType="end"/>
    </w:r>
    <w:r/>
  </w:p>
  <w:p>
    <w:pPr>
      <w:pStyle w:val="1073"/>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1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9"/>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3"/>
      <w:isLgl w:val="false"/>
      <w:suff w:val="nothing"/>
      <w:lvlText w:val=""/>
      <w:lvlJc w:val="left"/>
      <w:pPr>
        <w:ind w:left="0" w:firstLine="0"/>
      </w:pPr>
      <w:rPr>
        <w:rFonts w:hint="eastAsia"/>
      </w:rPr>
    </w:lvl>
    <w:lvl w:ilvl="8">
      <w:start w:val="1"/>
      <w:numFmt w:val="decimal"/>
      <w:pStyle w:val="1045"/>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880"/>
    <w:uiPriority w:val="9"/>
    <w:qFormat/>
    <w:pPr>
      <w:keepLines/>
      <w:keepNext/>
      <w:spacing w:before="480" w:after="200"/>
      <w:outlineLvl w:val="0"/>
    </w:pPr>
    <w:rPr>
      <w:rFonts w:ascii="Arial" w:hAnsi="Arial" w:eastAsia="Arial"/>
      <w:sz w:val="40"/>
      <w:szCs w:val="40"/>
      <w:lang w:eastAsia="en-US"/>
    </w:rPr>
  </w:style>
  <w:style w:type="paragraph" w:styleId="708">
    <w:name w:val="Heading 2"/>
    <w:basedOn w:val="706"/>
    <w:next w:val="706"/>
    <w:link w:val="811"/>
    <w:uiPriority w:val="0"/>
    <w:unhideWhenUsed/>
    <w:qFormat/>
    <w:pPr>
      <w:keepLines/>
      <w:keepNext/>
      <w:spacing w:before="360" w:after="200"/>
      <w:outlineLvl w:val="1"/>
    </w:pPr>
    <w:rPr>
      <w:rFonts w:ascii="Arial" w:hAnsi="Arial" w:eastAsia="Arial"/>
      <w:sz w:val="34"/>
      <w:szCs w:val="20"/>
      <w:lang w:eastAsia="en-US"/>
    </w:rPr>
  </w:style>
  <w:style w:type="paragraph" w:styleId="709">
    <w:name w:val="Heading 3"/>
    <w:basedOn w:val="706"/>
    <w:next w:val="706"/>
    <w:link w:val="881"/>
    <w:uiPriority w:val="9"/>
    <w:unhideWhenUsed/>
    <w:qFormat/>
    <w:pPr>
      <w:keepLines/>
      <w:keepNext/>
      <w:spacing w:before="320" w:after="200"/>
      <w:outlineLvl w:val="2"/>
    </w:pPr>
    <w:rPr>
      <w:rFonts w:ascii="Arial" w:hAnsi="Arial" w:eastAsia="Arial"/>
      <w:sz w:val="30"/>
      <w:szCs w:val="30"/>
      <w:lang w:eastAsia="en-US"/>
    </w:rPr>
  </w:style>
  <w:style w:type="paragraph" w:styleId="710">
    <w:name w:val="Heading 4"/>
    <w:basedOn w:val="706"/>
    <w:next w:val="706"/>
    <w:link w:val="882"/>
    <w:uiPriority w:val="9"/>
    <w:unhideWhenUsed/>
    <w:qFormat/>
    <w:pPr>
      <w:keepLines/>
      <w:keepNext/>
      <w:spacing w:before="320" w:after="200"/>
      <w:outlineLvl w:val="3"/>
    </w:pPr>
    <w:rPr>
      <w:rFonts w:ascii="Arial" w:hAnsi="Arial" w:eastAsia="Arial"/>
      <w:b/>
      <w:bCs/>
      <w:sz w:val="26"/>
      <w:szCs w:val="26"/>
      <w:lang w:eastAsia="en-US"/>
    </w:rPr>
  </w:style>
  <w:style w:type="paragraph" w:styleId="711">
    <w:name w:val="Heading 5"/>
    <w:basedOn w:val="706"/>
    <w:next w:val="706"/>
    <w:link w:val="883"/>
    <w:uiPriority w:val="9"/>
    <w:unhideWhenUsed/>
    <w:qFormat/>
    <w:pPr>
      <w:keepLines/>
      <w:keepNext/>
      <w:spacing w:before="320" w:after="200"/>
      <w:outlineLvl w:val="4"/>
    </w:pPr>
    <w:rPr>
      <w:rFonts w:ascii="Arial" w:hAnsi="Arial" w:eastAsia="Arial"/>
      <w:b/>
      <w:bCs/>
      <w:sz w:val="24"/>
      <w:szCs w:val="24"/>
      <w:lang w:eastAsia="en-US"/>
    </w:rPr>
  </w:style>
  <w:style w:type="paragraph" w:styleId="712">
    <w:name w:val="Heading 6"/>
    <w:basedOn w:val="706"/>
    <w:next w:val="706"/>
    <w:link w:val="884"/>
    <w:uiPriority w:val="9"/>
    <w:unhideWhenUsed/>
    <w:qFormat/>
    <w:pPr>
      <w:keepLines/>
      <w:keepNext/>
      <w:spacing w:before="320" w:after="200"/>
      <w:outlineLvl w:val="5"/>
    </w:pPr>
    <w:rPr>
      <w:rFonts w:ascii="Arial" w:hAnsi="Arial" w:eastAsia="Arial"/>
      <w:b/>
      <w:bCs/>
      <w:sz w:val="22"/>
      <w:lang w:eastAsia="en-US"/>
    </w:rPr>
  </w:style>
  <w:style w:type="paragraph" w:styleId="713">
    <w:name w:val="Heading 7"/>
    <w:basedOn w:val="706"/>
    <w:next w:val="706"/>
    <w:link w:val="885"/>
    <w:uiPriority w:val="9"/>
    <w:unhideWhenUsed/>
    <w:qFormat/>
    <w:pPr>
      <w:keepLines/>
      <w:keepNext/>
      <w:spacing w:before="320" w:after="200"/>
      <w:outlineLvl w:val="6"/>
    </w:pPr>
    <w:rPr>
      <w:rFonts w:ascii="Arial" w:hAnsi="Arial" w:eastAsia="Arial"/>
      <w:b/>
      <w:bCs/>
      <w:i/>
      <w:iCs/>
      <w:sz w:val="22"/>
      <w:lang w:eastAsia="en-US"/>
    </w:rPr>
  </w:style>
  <w:style w:type="paragraph" w:styleId="714">
    <w:name w:val="Heading 8"/>
    <w:basedOn w:val="706"/>
    <w:next w:val="706"/>
    <w:link w:val="886"/>
    <w:uiPriority w:val="9"/>
    <w:unhideWhenUsed/>
    <w:qFormat/>
    <w:pPr>
      <w:keepLines/>
      <w:keepNext/>
      <w:spacing w:before="320" w:after="200"/>
      <w:outlineLvl w:val="7"/>
    </w:pPr>
    <w:rPr>
      <w:rFonts w:ascii="Arial" w:hAnsi="Arial" w:eastAsia="Arial"/>
      <w:i/>
      <w:iCs/>
      <w:sz w:val="22"/>
      <w:lang w:eastAsia="en-US"/>
    </w:rPr>
  </w:style>
  <w:style w:type="paragraph" w:styleId="715">
    <w:name w:val="Heading 9"/>
    <w:basedOn w:val="706"/>
    <w:next w:val="706"/>
    <w:link w:val="887"/>
    <w:uiPriority w:val="9"/>
    <w:unhideWhenUsed/>
    <w:qFormat/>
    <w:pPr>
      <w:keepLines/>
      <w:keepNext/>
      <w:spacing w:before="320" w:after="200"/>
      <w:outlineLvl w:val="8"/>
    </w:pPr>
    <w:rPr>
      <w:rFonts w:ascii="Arial" w:hAnsi="Arial" w:eastAsia="Arial"/>
      <w:i/>
      <w:iCs/>
      <w:szCs w:val="21"/>
      <w:lang w:eastAsia="en-US"/>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link w:val="1148"/>
    <w:uiPriority w:val="99"/>
    <w:qFormat/>
    <w:pPr>
      <w:ind w:firstLine="420"/>
    </w:pPr>
    <w:rPr>
      <w:szCs w:val="20"/>
    </w:r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Document Map"/>
    <w:basedOn w:val="706"/>
    <w:link w:val="1149"/>
    <w:uiPriority w:val="99"/>
    <w:qFormat/>
    <w:pPr>
      <w:shd w:val="clear" w:color="auto" w:fill="000080"/>
    </w:pPr>
    <w:rPr>
      <w:sz w:val="16"/>
      <w:szCs w:val="16"/>
    </w:rPr>
  </w:style>
  <w:style w:type="paragraph" w:styleId="722">
    <w:name w:val="annotation text"/>
    <w:basedOn w:val="706"/>
    <w:link w:val="1150"/>
    <w:uiPriority w:val="0"/>
    <w:qFormat/>
    <w:pPr>
      <w:jc w:val="left"/>
    </w:pPr>
    <w:rPr>
      <w:szCs w:val="21"/>
    </w:rPr>
  </w:style>
  <w:style w:type="paragraph" w:styleId="723">
    <w:name w:val="Body Text 3"/>
    <w:basedOn w:val="706"/>
    <w:link w:val="1151"/>
    <w:uiPriority w:val="99"/>
    <w:qFormat/>
    <w:rPr>
      <w:sz w:val="16"/>
      <w:szCs w:val="16"/>
    </w:rPr>
  </w:style>
  <w:style w:type="paragraph" w:styleId="724">
    <w:name w:val="Body Text"/>
    <w:basedOn w:val="706"/>
    <w:next w:val="706"/>
    <w:link w:val="1152"/>
    <w:uiPriority w:val="0"/>
    <w:qFormat/>
    <w:pPr>
      <w:jc w:val="left"/>
      <w:widowControl/>
    </w:pPr>
    <w:rPr>
      <w:sz w:val="24"/>
      <w:szCs w:val="20"/>
      <w:lang w:eastAsia="en-US"/>
    </w:rPr>
  </w:style>
  <w:style w:type="paragraph" w:styleId="725">
    <w:name w:val="Body Text Indent"/>
    <w:basedOn w:val="706"/>
    <w:link w:val="1153"/>
    <w:uiPriority w:val="0"/>
    <w:qFormat/>
    <w:pPr>
      <w:ind w:firstLine="480"/>
      <w:jc w:val="left"/>
      <w:widowControl/>
    </w:pPr>
    <w:rPr>
      <w:sz w:val="24"/>
      <w:szCs w:val="20"/>
      <w:lang w:eastAsia="en-US"/>
    </w:rPr>
  </w:style>
  <w:style w:type="paragraph" w:styleId="726">
    <w:name w:val="Block Text"/>
    <w:basedOn w:val="706"/>
    <w:uiPriority w:val="0"/>
    <w:qFormat/>
    <w:pPr>
      <w:ind w:left="1440" w:right="1440"/>
      <w:spacing w:after="120"/>
    </w:pPr>
    <w:rPr>
      <w:rFonts w:ascii="Calibri" w:hAnsi="Calibri"/>
      <w:szCs w:val="24"/>
    </w:rPr>
  </w:style>
  <w:style w:type="paragraph" w:styleId="727">
    <w:name w:val="index 4"/>
    <w:basedOn w:val="706"/>
    <w:next w:val="706"/>
    <w:uiPriority w:val="0"/>
    <w:qFormat/>
    <w:pPr>
      <w:ind w:left="600"/>
      <w:spacing w:line="360" w:lineRule="auto"/>
    </w:pPr>
    <w:rPr>
      <w:rFonts w:ascii="Century" w:hAnsi="Century" w:cs="Century"/>
      <w:sz w:val="24"/>
    </w:rPr>
  </w:style>
  <w:style w:type="paragraph" w:styleId="728">
    <w:name w:val="toc 5"/>
    <w:basedOn w:val="706"/>
    <w:next w:val="706"/>
    <w:uiPriority w:val="39"/>
    <w:unhideWhenUsed/>
    <w:qFormat/>
    <w:pPr>
      <w:ind w:left="1134"/>
      <w:spacing w:after="57"/>
    </w:pPr>
  </w:style>
  <w:style w:type="paragraph" w:styleId="729">
    <w:name w:val="toc 3"/>
    <w:basedOn w:val="706"/>
    <w:next w:val="706"/>
    <w:uiPriority w:val="39"/>
    <w:unhideWhenUsed/>
    <w:qFormat/>
    <w:pPr>
      <w:ind w:left="567"/>
      <w:spacing w:after="57"/>
    </w:pPr>
  </w:style>
  <w:style w:type="paragraph" w:styleId="730">
    <w:name w:val="Plain Text"/>
    <w:basedOn w:val="706"/>
    <w:link w:val="1154"/>
    <w:uiPriority w:val="0"/>
    <w:qFormat/>
    <w:rPr>
      <w:rFonts w:ascii="宋体" w:hAnsi="Courier New"/>
      <w:szCs w:val="21"/>
    </w:rPr>
  </w:style>
  <w:style w:type="paragraph" w:styleId="731">
    <w:name w:val="toc 8"/>
    <w:basedOn w:val="706"/>
    <w:next w:val="706"/>
    <w:uiPriority w:val="39"/>
    <w:unhideWhenUsed/>
    <w:qFormat/>
    <w:pPr>
      <w:ind w:left="1984"/>
      <w:spacing w:after="57"/>
    </w:pPr>
  </w:style>
  <w:style w:type="paragraph" w:styleId="732">
    <w:name w:val="Date"/>
    <w:basedOn w:val="706"/>
    <w:next w:val="706"/>
    <w:link w:val="1155"/>
    <w:uiPriority w:val="0"/>
    <w:qFormat/>
    <w:rPr>
      <w:szCs w:val="21"/>
    </w:rPr>
  </w:style>
  <w:style w:type="paragraph" w:styleId="733">
    <w:name w:val="Body Text Indent 2"/>
    <w:basedOn w:val="706"/>
    <w:link w:val="1156"/>
    <w:uiPriority w:val="99"/>
    <w:qFormat/>
    <w:pPr>
      <w:ind w:left="630" w:firstLine="645"/>
    </w:pPr>
    <w:rPr>
      <w:szCs w:val="21"/>
    </w:rPr>
  </w:style>
  <w:style w:type="paragraph" w:styleId="734">
    <w:name w:val="endnote text"/>
    <w:basedOn w:val="706"/>
    <w:link w:val="1184"/>
    <w:uiPriority w:val="99"/>
    <w:semiHidden/>
    <w:unhideWhenUsed/>
    <w:qFormat/>
    <w:rPr>
      <w:sz w:val="20"/>
    </w:rPr>
  </w:style>
  <w:style w:type="paragraph" w:styleId="735">
    <w:name w:val="Balloon Text"/>
    <w:basedOn w:val="706"/>
    <w:link w:val="1144"/>
    <w:uiPriority w:val="0"/>
    <w:unhideWhenUsed/>
    <w:qFormat/>
    <w:rPr>
      <w:sz w:val="18"/>
      <w:szCs w:val="18"/>
    </w:rPr>
  </w:style>
  <w:style w:type="paragraph" w:styleId="736">
    <w:name w:val="Footer"/>
    <w:basedOn w:val="706"/>
    <w:link w:val="1147"/>
    <w:uiPriority w:val="99"/>
    <w:unhideWhenUsed/>
    <w:qFormat/>
    <w:pPr>
      <w:tabs>
        <w:tab w:val="center" w:pos="7143" w:leader="none"/>
        <w:tab w:val="right" w:pos="14287" w:leader="none"/>
      </w:tabs>
    </w:pPr>
  </w:style>
  <w:style w:type="paragraph" w:styleId="737">
    <w:name w:val="Header"/>
    <w:basedOn w:val="706"/>
    <w:link w:val="1146"/>
    <w:uiPriority w:val="0"/>
    <w:unhideWhenUsed/>
    <w:qFormat/>
    <w:pPr>
      <w:tabs>
        <w:tab w:val="center" w:pos="7143" w:leader="none"/>
        <w:tab w:val="right" w:pos="14287" w:leader="none"/>
      </w:tabs>
    </w:pPr>
  </w:style>
  <w:style w:type="paragraph" w:styleId="738">
    <w:name w:val="toc 1"/>
    <w:basedOn w:val="706"/>
    <w:next w:val="706"/>
    <w:uiPriority w:val="39"/>
    <w:unhideWhenUsed/>
    <w:qFormat/>
    <w:pPr>
      <w:spacing w:after="57"/>
    </w:pPr>
  </w:style>
  <w:style w:type="paragraph" w:styleId="739">
    <w:name w:val="toc 4"/>
    <w:basedOn w:val="706"/>
    <w:next w:val="706"/>
    <w:uiPriority w:val="39"/>
    <w:unhideWhenUsed/>
    <w:qFormat/>
    <w:pPr>
      <w:ind w:left="850"/>
      <w:spacing w:after="57"/>
    </w:pPr>
  </w:style>
  <w:style w:type="paragraph" w:styleId="740">
    <w:name w:val="Subtitle"/>
    <w:basedOn w:val="706"/>
    <w:next w:val="706"/>
    <w:link w:val="1180"/>
    <w:uiPriority w:val="11"/>
    <w:qFormat/>
    <w:pPr>
      <w:spacing w:before="200" w:after="200"/>
    </w:pPr>
    <w:rPr>
      <w:sz w:val="24"/>
      <w:szCs w:val="24"/>
    </w:rPr>
  </w:style>
  <w:style w:type="paragraph" w:styleId="741">
    <w:name w:val="footnote text"/>
    <w:basedOn w:val="706"/>
    <w:link w:val="1183"/>
    <w:uiPriority w:val="99"/>
    <w:semiHidden/>
    <w:unhideWhenUsed/>
    <w:qFormat/>
    <w:pPr>
      <w:spacing w:after="40"/>
    </w:pPr>
    <w:rPr>
      <w:sz w:val="18"/>
    </w:rPr>
  </w:style>
  <w:style w:type="paragraph" w:styleId="742">
    <w:name w:val="toc 6"/>
    <w:basedOn w:val="706"/>
    <w:next w:val="706"/>
    <w:uiPriority w:val="39"/>
    <w:unhideWhenUsed/>
    <w:qFormat/>
    <w:pPr>
      <w:ind w:left="1417"/>
      <w:spacing w:after="57"/>
    </w:pPr>
  </w:style>
  <w:style w:type="paragraph" w:styleId="743">
    <w:name w:val="Body Text Indent 3"/>
    <w:basedOn w:val="706"/>
    <w:link w:val="1157"/>
    <w:uiPriority w:val="99"/>
    <w:qFormat/>
    <w:pPr>
      <w:ind w:left="645" w:firstLine="645"/>
    </w:pPr>
    <w:rPr>
      <w:sz w:val="16"/>
      <w:szCs w:val="16"/>
    </w:rPr>
  </w:style>
  <w:style w:type="paragraph" w:styleId="744">
    <w:name w:val="table of figures"/>
    <w:basedOn w:val="706"/>
    <w:next w:val="706"/>
    <w:uiPriority w:val="99"/>
    <w:unhideWhenUsed/>
    <w:qFormat/>
  </w:style>
  <w:style w:type="paragraph" w:styleId="745">
    <w:name w:val="toc 2"/>
    <w:basedOn w:val="706"/>
    <w:next w:val="706"/>
    <w:uiPriority w:val="39"/>
    <w:unhideWhenUsed/>
    <w:qFormat/>
    <w:pPr>
      <w:ind w:left="283"/>
      <w:spacing w:after="57"/>
    </w:pPr>
  </w:style>
  <w:style w:type="paragraph" w:styleId="746">
    <w:name w:val="toc 9"/>
    <w:basedOn w:val="706"/>
    <w:next w:val="706"/>
    <w:uiPriority w:val="39"/>
    <w:unhideWhenUsed/>
    <w:qFormat/>
    <w:pPr>
      <w:ind w:left="2268"/>
      <w:spacing w:after="57"/>
    </w:pPr>
  </w:style>
  <w:style w:type="paragraph" w:styleId="747">
    <w:name w:val="Body Text 2"/>
    <w:basedOn w:val="706"/>
    <w:link w:val="1158"/>
    <w:uiPriority w:val="99"/>
    <w:qFormat/>
    <w:pPr>
      <w:jc w:val="center"/>
      <w:widowControl/>
    </w:pPr>
    <w:rPr>
      <w:szCs w:val="21"/>
    </w:rPr>
  </w:style>
  <w:style w:type="paragraph" w:styleId="748">
    <w:name w:val="Normal (Web)"/>
    <w:basedOn w:val="706"/>
    <w:link w:val="1159"/>
    <w:uiPriority w:val="99"/>
    <w:qFormat/>
    <w:pPr>
      <w:jc w:val="left"/>
      <w:spacing w:before="100" w:beforeAutospacing="1" w:after="100" w:afterAutospacing="1"/>
      <w:widowControl/>
    </w:pPr>
    <w:rPr>
      <w:rFonts w:ascii="宋体" w:hAnsi="宋体"/>
      <w:sz w:val="24"/>
      <w:szCs w:val="24"/>
    </w:rPr>
  </w:style>
  <w:style w:type="paragraph" w:styleId="749">
    <w:name w:val="Title"/>
    <w:basedOn w:val="706"/>
    <w:next w:val="706"/>
    <w:link w:val="1179"/>
    <w:uiPriority w:val="10"/>
    <w:qFormat/>
    <w:pPr>
      <w:contextualSpacing/>
      <w:spacing w:before="300" w:after="200"/>
    </w:pPr>
    <w:rPr>
      <w:sz w:val="48"/>
      <w:szCs w:val="48"/>
    </w:rPr>
  </w:style>
  <w:style w:type="paragraph" w:styleId="750">
    <w:name w:val="annotation subject"/>
    <w:basedOn w:val="722"/>
    <w:next w:val="722"/>
    <w:link w:val="1160"/>
    <w:uiPriority w:val="99"/>
    <w:qFormat/>
    <w:rPr>
      <w:b/>
      <w:bCs/>
      <w:sz w:val="20"/>
      <w:szCs w:val="20"/>
    </w:rPr>
  </w:style>
  <w:style w:type="paragraph" w:styleId="751">
    <w:name w:val="Body Text First Indent"/>
    <w:basedOn w:val="706"/>
    <w:link w:val="1161"/>
    <w:uiPriority w:val="99"/>
    <w:qFormat/>
    <w:pPr>
      <w:ind w:firstLine="200"/>
      <w:spacing w:line="360" w:lineRule="auto"/>
    </w:pPr>
    <w:rPr>
      <w:szCs w:val="21"/>
      <w:lang w:eastAsia="en-US"/>
    </w:rPr>
  </w:style>
  <w:style w:type="paragraph" w:styleId="752">
    <w:name w:val="Body Text First Indent 2"/>
    <w:basedOn w:val="725"/>
    <w:link w:val="1162"/>
    <w:uiPriority w:val="0"/>
    <w:qFormat/>
    <w:pPr>
      <w:ind w:firstLine="420"/>
      <w:jc w:val="both"/>
      <w:spacing w:line="360" w:lineRule="auto"/>
      <w:widowControl w:val="off"/>
    </w:pPr>
    <w:rPr>
      <w:sz w:val="21"/>
      <w:szCs w:val="21"/>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22"/>
    <w:qFormat/>
    <w:rPr>
      <w:b/>
    </w:rPr>
  </w:style>
  <w:style w:type="character" w:styleId="755">
    <w:name w:val="endnote reference"/>
    <w:uiPriority w:val="99"/>
    <w:semiHidden/>
    <w:unhideWhenUsed/>
    <w:qFormat/>
    <w:rPr>
      <w:vertAlign w:val="superscript"/>
    </w:rPr>
  </w:style>
  <w:style w:type="character" w:styleId="756">
    <w:name w:val="page number"/>
    <w:uiPriority w:val="0"/>
    <w:qFormat/>
  </w:style>
  <w:style w:type="character" w:styleId="757">
    <w:name w:val="Hyperlink"/>
    <w:uiPriority w:val="0"/>
    <w:unhideWhenUsed/>
    <w:qFormat/>
    <w:rPr>
      <w:color w:val="0000ff" w:themeColor="hyperlink"/>
      <w:u w:val="single"/>
      <w14:textFill>
        <w14:solidFill>
          <w14:schemeClr w14:val="hlink"/>
        </w14:solidFill>
      </w14:textFill>
    </w:rPr>
  </w:style>
  <w:style w:type="character" w:styleId="758">
    <w:name w:val="annotation reference"/>
    <w:uiPriority w:val="99"/>
    <w:qFormat/>
    <w:rPr>
      <w:sz w:val="21"/>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正文缩进1"/>
    <w:basedOn w:val="706"/>
    <w:next w:val="706"/>
    <w:link w:val="1032"/>
    <w:uiPriority w:val="99"/>
    <w:qFormat/>
    <w:pPr>
      <w:ind w:firstLine="420"/>
    </w:pPr>
    <w:rPr>
      <w:sz w:val="20"/>
      <w:szCs w:val="21"/>
      <w:lang w:eastAsia="en-US"/>
    </w:rPr>
  </w:style>
  <w:style w:type="paragraph" w:styleId="762" w:customStyle="1">
    <w:name w:val="TOC 标题1"/>
    <w:uiPriority w:val="39"/>
    <w:unhideWhenUsed/>
    <w:qFormat/>
    <w:rPr>
      <w:rFonts w:hint="default" w:ascii="Times New Roman" w:hAnsi="Times New Roman" w:eastAsia="宋体" w:cs="Times New Roman"/>
      <w:lang w:val="en-US" w:eastAsia="zh-CN" w:bidi="ar-SA"/>
    </w:rPr>
  </w:style>
  <w:style w:type="paragraph" w:styleId="763" w:customStyle="1">
    <w:name w:val="TOC 标题114"/>
    <w:uiPriority w:val="39"/>
    <w:unhideWhenUsed/>
    <w:qFormat/>
    <w:rPr>
      <w:rFonts w:hint="default" w:ascii="Times New Roman" w:hAnsi="Times New Roman" w:eastAsia="宋体" w:cs="Times New Roman"/>
      <w:lang w:val="en-US" w:eastAsia="zh-CN" w:bidi="ar-SA"/>
    </w:rPr>
  </w:style>
  <w:style w:type="paragraph" w:styleId="764" w:customStyle="1">
    <w:name w:val="TOC 标题113"/>
    <w:uiPriority w:val="39"/>
    <w:unhideWhenUsed/>
    <w:qFormat/>
    <w:rPr>
      <w:rFonts w:hint="default" w:ascii="Times New Roman" w:hAnsi="Times New Roman" w:eastAsia="宋体" w:cs="Times New Roman"/>
      <w:lang w:val="en-US" w:eastAsia="zh-CN" w:bidi="ar-SA"/>
    </w:rPr>
  </w:style>
  <w:style w:type="table" w:styleId="765" w:customStyle="1">
    <w:name w:val="Plain Table 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1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1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1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无格式表格 11"/>
    <w:basedOn w:val="717"/>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17"/>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17"/>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17"/>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17"/>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1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1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1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17"/>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17"/>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17"/>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17"/>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1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标题112"/>
    <w:uiPriority w:val="39"/>
    <w:unhideWhenUsed/>
    <w:qFormat/>
    <w:rPr>
      <w:rFonts w:hint="default" w:ascii="Times New Roman" w:hAnsi="Times New Roman" w:eastAsia="宋体" w:cs="Times New Roman"/>
      <w:lang w:val="en-US" w:eastAsia="zh-CN" w:bidi="ar-SA"/>
    </w:rPr>
  </w:style>
  <w:style w:type="paragraph" w:styleId="804">
    <w:name w:val="List Paragraph"/>
    <w:basedOn w:val="706"/>
    <w:uiPriority w:val="99"/>
    <w:qFormat/>
    <w:pPr>
      <w:contextualSpacing/>
      <w:ind w:left="720"/>
    </w:pPr>
  </w:style>
  <w:style w:type="paragraph" w:styleId="805">
    <w:name w:val="No Spacing"/>
    <w:link w:val="1166"/>
    <w:uiPriority w:val="1"/>
    <w:qFormat/>
    <w:rPr>
      <w:rFonts w:hint="default" w:ascii="Times New Roman" w:hAnsi="Times New Roman" w:eastAsia="宋体" w:cs="Times New Roman"/>
      <w:lang w:val="en-US" w:eastAsia="zh-CN" w:bidi="ar-SA"/>
    </w:rPr>
  </w:style>
  <w:style w:type="paragraph" w:styleId="806">
    <w:name w:val="Quote"/>
    <w:basedOn w:val="706"/>
    <w:next w:val="706"/>
    <w:link w:val="1181"/>
    <w:uiPriority w:val="29"/>
    <w:qFormat/>
    <w:pPr>
      <w:ind w:left="720" w:right="720"/>
    </w:pPr>
    <w:rPr>
      <w:i/>
    </w:rPr>
  </w:style>
  <w:style w:type="paragraph" w:styleId="807">
    <w:name w:val="Intense Quote"/>
    <w:basedOn w:val="706"/>
    <w:next w:val="706"/>
    <w:link w:val="11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TOC 标题111"/>
    <w:uiPriority w:val="39"/>
    <w:unhideWhenUsed/>
    <w:qFormat/>
    <w:rPr>
      <w:rFonts w:hint="default" w:ascii="Times New Roman" w:hAnsi="Times New Roman" w:eastAsia="宋体" w:cs="Times New Roman"/>
      <w:lang w:val="en-US" w:eastAsia="zh-CN" w:bidi="ar-SA"/>
    </w:rPr>
  </w:style>
  <w:style w:type="character" w:styleId="809" w:customStyle="1">
    <w:name w:val="默认段落字体11"/>
    <w:uiPriority w:val="1"/>
    <w:unhideWhenUsed/>
    <w:qFormat/>
  </w:style>
  <w:style w:type="table" w:styleId="810" w:customStyle="1">
    <w:name w:val="普通表格11"/>
    <w:uiPriority w:val="99"/>
    <w:unhideWhenUsed/>
    <w:qFormat/>
    <w:tblPr>
      <w:tblCellMar>
        <w:left w:w="0" w:type="dxa"/>
        <w:top w:w="0" w:type="dxa"/>
        <w:right w:w="0" w:type="dxa"/>
        <w:bottom w:w="0" w:type="dxa"/>
      </w:tblCellMar>
    </w:tblPr>
  </w:style>
  <w:style w:type="character" w:styleId="811" w:customStyle="1">
    <w:name w:val="标题 2 Char"/>
    <w:link w:val="708"/>
    <w:uiPriority w:val="0"/>
    <w:qFormat/>
    <w:rPr>
      <w:rFonts w:ascii="Arial" w:hAnsi="Arial" w:eastAsia="Arial" w:cs="Arial"/>
      <w:sz w:val="34"/>
    </w:rPr>
  </w:style>
  <w:style w:type="paragraph" w:styleId="812" w:customStyle="1">
    <w:name w:val="目录 712"/>
    <w:basedOn w:val="706"/>
    <w:next w:val="706"/>
    <w:uiPriority w:val="39"/>
    <w:unhideWhenUsed/>
    <w:qFormat/>
    <w:pPr>
      <w:ind w:left="1701"/>
      <w:spacing w:after="57"/>
    </w:pPr>
  </w:style>
  <w:style w:type="paragraph" w:styleId="813" w:customStyle="1">
    <w:name w:val="正文缩进11"/>
    <w:basedOn w:val="706"/>
    <w:next w:val="706"/>
    <w:uiPriority w:val="0"/>
    <w:qFormat/>
    <w:pPr>
      <w:ind w:firstLine="420"/>
      <w:spacing w:line="360" w:lineRule="auto"/>
    </w:pPr>
    <w:rPr>
      <w:sz w:val="24"/>
      <w:szCs w:val="24"/>
    </w:rPr>
  </w:style>
  <w:style w:type="paragraph" w:styleId="814" w:customStyle="1">
    <w:name w:val="批注文字11"/>
    <w:basedOn w:val="706"/>
    <w:link w:val="815"/>
    <w:uiPriority w:val="99"/>
    <w:unhideWhenUsed/>
    <w:qFormat/>
    <w:pPr>
      <w:jc w:val="left"/>
    </w:pPr>
    <w:rPr>
      <w:lang w:eastAsia="en-US"/>
    </w:rPr>
  </w:style>
  <w:style w:type="character" w:styleId="815" w:customStyle="1">
    <w:name w:val="批注文字 字符1"/>
    <w:link w:val="814"/>
    <w:uiPriority w:val="99"/>
    <w:qFormat/>
    <w:rPr>
      <w:sz w:val="21"/>
      <w:szCs w:val="22"/>
    </w:rPr>
  </w:style>
  <w:style w:type="paragraph" w:styleId="816" w:customStyle="1">
    <w:name w:val="正文文本12"/>
    <w:basedOn w:val="706"/>
    <w:next w:val="817"/>
    <w:uiPriority w:val="0"/>
    <w:unhideWhenUsed/>
    <w:qFormat/>
    <w:pPr>
      <w:spacing w:after="120"/>
    </w:pPr>
  </w:style>
  <w:style w:type="paragraph" w:styleId="817" w:customStyle="1">
    <w:name w:val="日期11"/>
    <w:basedOn w:val="706"/>
    <w:next w:val="706"/>
    <w:uiPriority w:val="0"/>
    <w:qFormat/>
    <w:rPr>
      <w:rFonts w:ascii="Arial" w:hAnsi="Arial" w:cs="Arial"/>
      <w:b/>
      <w:sz w:val="28"/>
    </w:rPr>
  </w:style>
  <w:style w:type="paragraph" w:styleId="818" w:customStyle="1">
    <w:name w:val="正文文本缩进11"/>
    <w:basedOn w:val="706"/>
    <w:uiPriority w:val="99"/>
    <w:unhideWhenUsed/>
    <w:qFormat/>
    <w:pPr>
      <w:ind w:left="420"/>
      <w:spacing w:after="120"/>
    </w:pPr>
  </w:style>
  <w:style w:type="paragraph" w:styleId="819" w:customStyle="1">
    <w:name w:val="目录 512"/>
    <w:basedOn w:val="706"/>
    <w:next w:val="706"/>
    <w:uiPriority w:val="39"/>
    <w:unhideWhenUsed/>
    <w:qFormat/>
    <w:pPr>
      <w:ind w:left="1134"/>
      <w:spacing w:after="57"/>
    </w:pPr>
  </w:style>
  <w:style w:type="paragraph" w:styleId="820" w:customStyle="1">
    <w:name w:val="目录 312"/>
    <w:basedOn w:val="706"/>
    <w:next w:val="706"/>
    <w:uiPriority w:val="39"/>
    <w:unhideWhenUsed/>
    <w:qFormat/>
    <w:pPr>
      <w:ind w:left="567"/>
      <w:spacing w:after="57"/>
    </w:pPr>
  </w:style>
  <w:style w:type="paragraph" w:styleId="821" w:customStyle="1">
    <w:name w:val="纯文本11"/>
    <w:basedOn w:val="706"/>
    <w:uiPriority w:val="0"/>
    <w:qFormat/>
    <w:rPr>
      <w:rFonts w:ascii="宋体" w:hAnsi="Courier New"/>
      <w:szCs w:val="21"/>
    </w:rPr>
  </w:style>
  <w:style w:type="paragraph" w:styleId="822" w:customStyle="1">
    <w:name w:val="目录 812"/>
    <w:basedOn w:val="706"/>
    <w:next w:val="706"/>
    <w:uiPriority w:val="39"/>
    <w:unhideWhenUsed/>
    <w:qFormat/>
    <w:pPr>
      <w:ind w:left="1984"/>
      <w:spacing w:after="57"/>
    </w:pPr>
  </w:style>
  <w:style w:type="paragraph" w:styleId="823" w:customStyle="1">
    <w:name w:val="尾注文本1"/>
    <w:basedOn w:val="706"/>
    <w:link w:val="824"/>
    <w:uiPriority w:val="99"/>
    <w:unhideWhenUsed/>
    <w:qFormat/>
    <w:rPr>
      <w:sz w:val="20"/>
      <w:szCs w:val="20"/>
      <w:lang w:eastAsia="en-US"/>
    </w:rPr>
  </w:style>
  <w:style w:type="character" w:styleId="824" w:customStyle="1">
    <w:name w:val="尾注文本 字符"/>
    <w:link w:val="823"/>
    <w:uiPriority w:val="99"/>
    <w:qFormat/>
    <w:rPr>
      <w:sz w:val="20"/>
    </w:rPr>
  </w:style>
  <w:style w:type="paragraph" w:styleId="825" w:customStyle="1">
    <w:name w:val="批注框文本11"/>
    <w:basedOn w:val="706"/>
    <w:link w:val="826"/>
    <w:uiPriority w:val="99"/>
    <w:unhideWhenUsed/>
    <w:qFormat/>
    <w:rPr>
      <w:sz w:val="18"/>
      <w:szCs w:val="18"/>
      <w:lang w:eastAsia="en-US"/>
    </w:rPr>
  </w:style>
  <w:style w:type="character" w:styleId="826" w:customStyle="1">
    <w:name w:val="批注框文本 字符1"/>
    <w:link w:val="825"/>
    <w:uiPriority w:val="99"/>
    <w:semiHidden/>
    <w:qFormat/>
    <w:rPr>
      <w:sz w:val="18"/>
      <w:szCs w:val="18"/>
    </w:rPr>
  </w:style>
  <w:style w:type="paragraph" w:styleId="827" w:customStyle="1">
    <w:name w:val="页脚11"/>
    <w:basedOn w:val="706"/>
    <w:link w:val="828"/>
    <w:uiPriority w:val="99"/>
    <w:unhideWhenUsed/>
    <w:qFormat/>
    <w:pPr>
      <w:jc w:val="left"/>
      <w:tabs>
        <w:tab w:val="center" w:pos="4153" w:leader="none"/>
        <w:tab w:val="right" w:pos="8306" w:leader="none"/>
      </w:tabs>
    </w:pPr>
    <w:rPr>
      <w:sz w:val="18"/>
      <w:szCs w:val="18"/>
    </w:rPr>
  </w:style>
  <w:style w:type="character" w:styleId="828" w:customStyle="1">
    <w:name w:val="页脚 字符2"/>
    <w:link w:val="827"/>
    <w:uiPriority w:val="99"/>
    <w:qFormat/>
    <w:rPr>
      <w:sz w:val="18"/>
      <w:szCs w:val="18"/>
    </w:rPr>
  </w:style>
  <w:style w:type="paragraph" w:styleId="829" w:customStyle="1">
    <w:name w:val="页眉11"/>
    <w:basedOn w:val="706"/>
    <w:link w:val="8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0" w:customStyle="1">
    <w:name w:val="页眉 字符2"/>
    <w:link w:val="829"/>
    <w:uiPriority w:val="99"/>
    <w:qFormat/>
    <w:rPr>
      <w:sz w:val="18"/>
      <w:szCs w:val="18"/>
    </w:rPr>
  </w:style>
  <w:style w:type="paragraph" w:styleId="831" w:customStyle="1">
    <w:name w:val="目录 112"/>
    <w:basedOn w:val="706"/>
    <w:next w:val="706"/>
    <w:uiPriority w:val="39"/>
    <w:unhideWhenUsed/>
    <w:qFormat/>
    <w:pPr>
      <w:spacing w:after="57"/>
    </w:pPr>
  </w:style>
  <w:style w:type="paragraph" w:styleId="832" w:customStyle="1">
    <w:name w:val="目录 412"/>
    <w:basedOn w:val="706"/>
    <w:next w:val="706"/>
    <w:uiPriority w:val="39"/>
    <w:unhideWhenUsed/>
    <w:qFormat/>
    <w:pPr>
      <w:ind w:left="850"/>
      <w:spacing w:after="57"/>
    </w:pPr>
  </w:style>
  <w:style w:type="paragraph" w:styleId="833" w:customStyle="1">
    <w:name w:val="副标题1"/>
    <w:basedOn w:val="706"/>
    <w:next w:val="706"/>
    <w:link w:val="834"/>
    <w:uiPriority w:val="11"/>
    <w:qFormat/>
    <w:pPr>
      <w:spacing w:before="200" w:after="200"/>
    </w:pPr>
    <w:rPr>
      <w:sz w:val="24"/>
      <w:szCs w:val="24"/>
      <w:lang w:eastAsia="en-US"/>
    </w:rPr>
  </w:style>
  <w:style w:type="character" w:styleId="834" w:customStyle="1">
    <w:name w:val="副标题 字符"/>
    <w:link w:val="833"/>
    <w:uiPriority w:val="11"/>
    <w:qFormat/>
    <w:rPr>
      <w:sz w:val="24"/>
      <w:szCs w:val="24"/>
    </w:rPr>
  </w:style>
  <w:style w:type="paragraph" w:styleId="835" w:customStyle="1">
    <w:name w:val="脚注文本1"/>
    <w:basedOn w:val="706"/>
    <w:link w:val="836"/>
    <w:uiPriority w:val="99"/>
    <w:unhideWhenUsed/>
    <w:qFormat/>
    <w:pPr>
      <w:spacing w:after="40"/>
    </w:pPr>
    <w:rPr>
      <w:sz w:val="18"/>
      <w:szCs w:val="20"/>
      <w:lang w:eastAsia="en-US"/>
    </w:rPr>
  </w:style>
  <w:style w:type="character" w:styleId="836" w:customStyle="1">
    <w:name w:val="脚注文本 字符"/>
    <w:link w:val="835"/>
    <w:uiPriority w:val="99"/>
    <w:qFormat/>
    <w:rPr>
      <w:sz w:val="18"/>
    </w:rPr>
  </w:style>
  <w:style w:type="paragraph" w:styleId="837" w:customStyle="1">
    <w:name w:val="目录 612"/>
    <w:basedOn w:val="706"/>
    <w:next w:val="706"/>
    <w:uiPriority w:val="39"/>
    <w:unhideWhenUsed/>
    <w:qFormat/>
    <w:pPr>
      <w:ind w:left="1417"/>
      <w:spacing w:after="57"/>
    </w:pPr>
  </w:style>
  <w:style w:type="paragraph" w:styleId="838" w:customStyle="1">
    <w:name w:val="图表目录11"/>
    <w:basedOn w:val="706"/>
    <w:next w:val="706"/>
    <w:uiPriority w:val="99"/>
    <w:unhideWhenUsed/>
    <w:qFormat/>
  </w:style>
  <w:style w:type="paragraph" w:styleId="839" w:customStyle="1">
    <w:name w:val="目录 212"/>
    <w:basedOn w:val="706"/>
    <w:next w:val="706"/>
    <w:uiPriority w:val="39"/>
    <w:unhideWhenUsed/>
    <w:qFormat/>
    <w:pPr>
      <w:ind w:left="283"/>
      <w:spacing w:after="57"/>
    </w:pPr>
  </w:style>
  <w:style w:type="paragraph" w:styleId="840" w:customStyle="1">
    <w:name w:val="目录 912"/>
    <w:basedOn w:val="706"/>
    <w:next w:val="706"/>
    <w:uiPriority w:val="39"/>
    <w:unhideWhenUsed/>
    <w:qFormat/>
    <w:pPr>
      <w:ind w:left="2268"/>
      <w:spacing w:after="57"/>
    </w:pPr>
  </w:style>
  <w:style w:type="paragraph" w:styleId="841" w:customStyle="1">
    <w:name w:val="普通(网站)11"/>
    <w:basedOn w:val="706"/>
    <w:uiPriority w:val="99"/>
    <w:qFormat/>
    <w:pPr>
      <w:jc w:val="left"/>
      <w:spacing w:before="100" w:beforeAutospacing="1" w:after="100" w:afterAutospacing="1"/>
      <w:widowControl/>
    </w:pPr>
    <w:rPr>
      <w:rFonts w:ascii="宋体" w:hAnsi="宋体" w:cs="宋体"/>
      <w:sz w:val="24"/>
      <w:szCs w:val="24"/>
    </w:rPr>
  </w:style>
  <w:style w:type="paragraph" w:styleId="842" w:customStyle="1">
    <w:name w:val="标题11"/>
    <w:basedOn w:val="706"/>
    <w:next w:val="706"/>
    <w:link w:val="843"/>
    <w:uiPriority w:val="10"/>
    <w:qFormat/>
    <w:pPr>
      <w:contextualSpacing/>
      <w:spacing w:before="300" w:after="200"/>
    </w:pPr>
    <w:rPr>
      <w:sz w:val="48"/>
      <w:szCs w:val="48"/>
      <w:lang w:eastAsia="en-US"/>
    </w:rPr>
  </w:style>
  <w:style w:type="character" w:styleId="843" w:customStyle="1">
    <w:name w:val="标题 字符"/>
    <w:link w:val="842"/>
    <w:uiPriority w:val="10"/>
    <w:qFormat/>
    <w:rPr>
      <w:sz w:val="48"/>
      <w:szCs w:val="48"/>
    </w:rPr>
  </w:style>
  <w:style w:type="paragraph" w:styleId="844" w:customStyle="1">
    <w:name w:val="批注主题11"/>
    <w:basedOn w:val="814"/>
    <w:next w:val="814"/>
    <w:link w:val="845"/>
    <w:uiPriority w:val="99"/>
    <w:unhideWhenUsed/>
    <w:qFormat/>
    <w:rPr>
      <w:b/>
      <w:bCs/>
    </w:rPr>
  </w:style>
  <w:style w:type="character" w:styleId="845" w:customStyle="1">
    <w:name w:val="批注主题 字符1"/>
    <w:link w:val="844"/>
    <w:uiPriority w:val="99"/>
    <w:semiHidden/>
    <w:qFormat/>
    <w:rPr>
      <w:b/>
      <w:bCs/>
      <w:sz w:val="21"/>
      <w:szCs w:val="22"/>
    </w:rPr>
  </w:style>
  <w:style w:type="table" w:styleId="846" w:customStyle="1">
    <w:name w:val="网格型11"/>
    <w:uiPriority w:val="59"/>
    <w:qFormat/>
    <w:tblPr>
      <w:tblCellMar>
        <w:left w:w="0" w:type="dxa"/>
        <w:top w:w="0" w:type="dxa"/>
        <w:right w:w="0" w:type="dxa"/>
        <w:bottom w:w="0" w:type="dxa"/>
      </w:tblCellMar>
    </w:tblPr>
  </w:style>
  <w:style w:type="character" w:styleId="847" w:customStyle="1">
    <w:name w:val="尾注引用1"/>
    <w:uiPriority w:val="99"/>
    <w:unhideWhenUsed/>
    <w:qFormat/>
    <w:rPr>
      <w:vertAlign w:val="superscript"/>
    </w:rPr>
  </w:style>
  <w:style w:type="character" w:styleId="848" w:customStyle="1">
    <w:name w:val="超链接11"/>
    <w:uiPriority w:val="99"/>
    <w:unhideWhenUsed/>
    <w:qFormat/>
    <w:rPr>
      <w:color w:val="0000ff"/>
      <w:u w:val="single"/>
    </w:rPr>
  </w:style>
  <w:style w:type="character" w:styleId="849" w:customStyle="1">
    <w:name w:val="批注引用11"/>
    <w:uiPriority w:val="99"/>
    <w:unhideWhenUsed/>
    <w:qFormat/>
    <w:rPr>
      <w:sz w:val="21"/>
      <w:szCs w:val="21"/>
    </w:rPr>
  </w:style>
  <w:style w:type="character" w:styleId="850" w:customStyle="1">
    <w:name w:val="脚注引用1"/>
    <w:uiPriority w:val="99"/>
    <w:unhideWhenUsed/>
    <w:qFormat/>
    <w:rPr>
      <w:vertAlign w:val="superscript"/>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table" w:styleId="860" w:customStyle="1">
    <w:name w:val="无格式表格 12"/>
    <w:basedOn w:val="810"/>
    <w:uiPriority w:val="59"/>
    <w:qFormat/>
    <w:tblPr>
      <w:tblCellMar>
        <w:left w:w="0" w:type="dxa"/>
        <w:top w:w="0" w:type="dxa"/>
        <w:right w:w="0" w:type="dxa"/>
        <w:bottom w:w="0" w:type="dxa"/>
      </w:tblCellMar>
    </w:tblPr>
  </w:style>
  <w:style w:type="table" w:styleId="861" w:customStyle="1">
    <w:name w:val="无格式表格 22"/>
    <w:basedOn w:val="810"/>
    <w:uiPriority w:val="59"/>
    <w:qFormat/>
    <w:tblPr>
      <w:tblCellMar>
        <w:left w:w="0" w:type="dxa"/>
        <w:top w:w="0" w:type="dxa"/>
        <w:right w:w="0" w:type="dxa"/>
        <w:bottom w:w="0" w:type="dxa"/>
      </w:tblCellMar>
    </w:tblPr>
  </w:style>
  <w:style w:type="table" w:styleId="862" w:customStyle="1">
    <w:name w:val="无格式表格 32"/>
    <w:basedOn w:val="810"/>
    <w:uiPriority w:val="99"/>
    <w:qFormat/>
    <w:tblPr>
      <w:tblCellMar>
        <w:left w:w="0" w:type="dxa"/>
        <w:top w:w="0" w:type="dxa"/>
        <w:right w:w="0" w:type="dxa"/>
        <w:bottom w:w="0" w:type="dxa"/>
      </w:tblCellMar>
    </w:tblPr>
  </w:style>
  <w:style w:type="table" w:styleId="863" w:customStyle="1">
    <w:name w:val="无格式表格 42"/>
    <w:basedOn w:val="810"/>
    <w:uiPriority w:val="99"/>
    <w:qFormat/>
    <w:tblPr>
      <w:tblCellMar>
        <w:left w:w="0" w:type="dxa"/>
        <w:top w:w="0" w:type="dxa"/>
        <w:right w:w="0" w:type="dxa"/>
        <w:bottom w:w="0" w:type="dxa"/>
      </w:tblCellMar>
    </w:tblPr>
  </w:style>
  <w:style w:type="table" w:styleId="864" w:customStyle="1">
    <w:name w:val="无格式表格 52"/>
    <w:basedOn w:val="810"/>
    <w:uiPriority w:val="99"/>
    <w:qFormat/>
    <w:tblPr>
      <w:tblCellMar>
        <w:left w:w="0" w:type="dxa"/>
        <w:top w:w="0" w:type="dxa"/>
        <w:right w:w="0" w:type="dxa"/>
        <w:bottom w:w="0" w:type="dxa"/>
      </w:tblCellMar>
    </w:tblPr>
  </w:style>
  <w:style w:type="table" w:styleId="865" w:customStyle="1">
    <w:name w:val="网格表 1 浅色2"/>
    <w:basedOn w:val="810"/>
    <w:uiPriority w:val="99"/>
    <w:qFormat/>
    <w:tblPr>
      <w:tblCellMar>
        <w:left w:w="0" w:type="dxa"/>
        <w:top w:w="0" w:type="dxa"/>
        <w:right w:w="0" w:type="dxa"/>
        <w:bottom w:w="0" w:type="dxa"/>
      </w:tblCellMar>
    </w:tblPr>
  </w:style>
  <w:style w:type="table" w:styleId="866" w:customStyle="1">
    <w:name w:val="网格表 22"/>
    <w:basedOn w:val="810"/>
    <w:uiPriority w:val="99"/>
    <w:qFormat/>
    <w:tblPr>
      <w:tblCellMar>
        <w:left w:w="0" w:type="dxa"/>
        <w:top w:w="0" w:type="dxa"/>
        <w:right w:w="0" w:type="dxa"/>
        <w:bottom w:w="0" w:type="dxa"/>
      </w:tblCellMar>
    </w:tblPr>
  </w:style>
  <w:style w:type="table" w:styleId="867" w:customStyle="1">
    <w:name w:val="网格表 32"/>
    <w:basedOn w:val="810"/>
    <w:uiPriority w:val="99"/>
    <w:qFormat/>
    <w:tblPr>
      <w:tblCellMar>
        <w:left w:w="0" w:type="dxa"/>
        <w:top w:w="0" w:type="dxa"/>
        <w:right w:w="0" w:type="dxa"/>
        <w:bottom w:w="0" w:type="dxa"/>
      </w:tblCellMar>
    </w:tblPr>
  </w:style>
  <w:style w:type="table" w:styleId="868" w:customStyle="1">
    <w:name w:val="网格表 42"/>
    <w:basedOn w:val="810"/>
    <w:uiPriority w:val="59"/>
    <w:qFormat/>
    <w:tblPr>
      <w:tblCellMar>
        <w:left w:w="0" w:type="dxa"/>
        <w:top w:w="0" w:type="dxa"/>
        <w:right w:w="0" w:type="dxa"/>
        <w:bottom w:w="0" w:type="dxa"/>
      </w:tblCellMar>
    </w:tblPr>
  </w:style>
  <w:style w:type="table" w:styleId="869" w:customStyle="1">
    <w:name w:val="网格表 5 深色2"/>
    <w:basedOn w:val="810"/>
    <w:uiPriority w:val="99"/>
    <w:qFormat/>
    <w:tblPr>
      <w:tblCellMar>
        <w:left w:w="0" w:type="dxa"/>
        <w:top w:w="0" w:type="dxa"/>
        <w:right w:w="0" w:type="dxa"/>
        <w:bottom w:w="0" w:type="dxa"/>
      </w:tblCellMar>
    </w:tblPr>
  </w:style>
  <w:style w:type="table" w:styleId="870" w:customStyle="1">
    <w:name w:val="网格表 6 彩色2"/>
    <w:basedOn w:val="810"/>
    <w:uiPriority w:val="99"/>
    <w:qFormat/>
    <w:tblPr>
      <w:tblCellMar>
        <w:left w:w="0" w:type="dxa"/>
        <w:top w:w="0" w:type="dxa"/>
        <w:right w:w="0" w:type="dxa"/>
        <w:bottom w:w="0" w:type="dxa"/>
      </w:tblCellMar>
    </w:tblPr>
  </w:style>
  <w:style w:type="table" w:styleId="871" w:customStyle="1">
    <w:name w:val="网格表 7 彩色2"/>
    <w:basedOn w:val="810"/>
    <w:uiPriority w:val="99"/>
    <w:qFormat/>
    <w:tblPr>
      <w:tblCellMar>
        <w:left w:w="0" w:type="dxa"/>
        <w:top w:w="0" w:type="dxa"/>
        <w:right w:w="0" w:type="dxa"/>
        <w:bottom w:w="0" w:type="dxa"/>
      </w:tblCellMar>
    </w:tblPr>
  </w:style>
  <w:style w:type="table" w:styleId="872" w:customStyle="1">
    <w:name w:val="清单表 1 浅色2"/>
    <w:basedOn w:val="810"/>
    <w:uiPriority w:val="99"/>
    <w:qFormat/>
    <w:tblPr>
      <w:tblCellMar>
        <w:left w:w="0" w:type="dxa"/>
        <w:top w:w="0" w:type="dxa"/>
        <w:right w:w="0" w:type="dxa"/>
        <w:bottom w:w="0" w:type="dxa"/>
      </w:tblCellMar>
    </w:tblPr>
  </w:style>
  <w:style w:type="table" w:styleId="873" w:customStyle="1">
    <w:name w:val="清单表 22"/>
    <w:basedOn w:val="810"/>
    <w:uiPriority w:val="99"/>
    <w:qFormat/>
    <w:tblPr>
      <w:tblCellMar>
        <w:left w:w="0" w:type="dxa"/>
        <w:top w:w="0" w:type="dxa"/>
        <w:right w:w="0" w:type="dxa"/>
        <w:bottom w:w="0" w:type="dxa"/>
      </w:tblCellMar>
    </w:tblPr>
  </w:style>
  <w:style w:type="table" w:styleId="874" w:customStyle="1">
    <w:name w:val="清单表 32"/>
    <w:basedOn w:val="810"/>
    <w:uiPriority w:val="99"/>
    <w:qFormat/>
    <w:tblPr>
      <w:tblCellMar>
        <w:left w:w="0" w:type="dxa"/>
        <w:top w:w="0" w:type="dxa"/>
        <w:right w:w="0" w:type="dxa"/>
        <w:bottom w:w="0" w:type="dxa"/>
      </w:tblCellMar>
    </w:tblPr>
  </w:style>
  <w:style w:type="table" w:styleId="875" w:customStyle="1">
    <w:name w:val="清单表 42"/>
    <w:basedOn w:val="810"/>
    <w:uiPriority w:val="99"/>
    <w:qFormat/>
    <w:tblPr>
      <w:tblCellMar>
        <w:left w:w="0" w:type="dxa"/>
        <w:top w:w="0" w:type="dxa"/>
        <w:right w:w="0" w:type="dxa"/>
        <w:bottom w:w="0" w:type="dxa"/>
      </w:tblCellMar>
    </w:tblPr>
  </w:style>
  <w:style w:type="table" w:styleId="876" w:customStyle="1">
    <w:name w:val="清单表 5 深色2"/>
    <w:basedOn w:val="810"/>
    <w:uiPriority w:val="99"/>
    <w:qFormat/>
    <w:tblPr>
      <w:tblCellMar>
        <w:left w:w="0" w:type="dxa"/>
        <w:top w:w="0" w:type="dxa"/>
        <w:right w:w="0" w:type="dxa"/>
        <w:bottom w:w="0" w:type="dxa"/>
      </w:tblCellMar>
    </w:tblPr>
  </w:style>
  <w:style w:type="table" w:styleId="877" w:customStyle="1">
    <w:name w:val="清单表 6 彩色2"/>
    <w:basedOn w:val="810"/>
    <w:uiPriority w:val="99"/>
    <w:qFormat/>
    <w:tblPr>
      <w:tblCellMar>
        <w:left w:w="0" w:type="dxa"/>
        <w:top w:w="0" w:type="dxa"/>
        <w:right w:w="0" w:type="dxa"/>
        <w:bottom w:w="0" w:type="dxa"/>
      </w:tblCellMar>
    </w:tblPr>
  </w:style>
  <w:style w:type="table" w:styleId="878" w:customStyle="1">
    <w:name w:val="清单表 7 彩色2"/>
    <w:basedOn w:val="810"/>
    <w:uiPriority w:val="99"/>
    <w:qFormat/>
    <w:tblPr>
      <w:tblCellMar>
        <w:left w:w="0" w:type="dxa"/>
        <w:top w:w="0" w:type="dxa"/>
        <w:right w:w="0" w:type="dxa"/>
        <w:bottom w:w="0" w:type="dxa"/>
      </w:tblCellMar>
    </w:tblPr>
  </w:style>
  <w:style w:type="paragraph" w:styleId="879" w:customStyle="1">
    <w:name w:val="TOC 标题2"/>
    <w:uiPriority w:val="39"/>
    <w:qFormat/>
    <w:rPr>
      <w:rFonts w:hint="default" w:ascii="Times New Roman" w:hAnsi="Times New Roman" w:eastAsia="宋体" w:cs="Times New Roman"/>
      <w:lang w:val="en-US" w:eastAsia="zh-CN" w:bidi="ar-SA"/>
    </w:rPr>
  </w:style>
  <w:style w:type="character" w:styleId="880" w:customStyle="1">
    <w:name w:val="标题 1 Char"/>
    <w:link w:val="707"/>
    <w:uiPriority w:val="9"/>
    <w:qFormat/>
    <w:rPr>
      <w:rFonts w:ascii="Arial" w:hAnsi="Arial" w:eastAsia="Arial" w:cs="Arial"/>
      <w:sz w:val="40"/>
      <w:szCs w:val="40"/>
    </w:rPr>
  </w:style>
  <w:style w:type="character" w:styleId="881" w:customStyle="1">
    <w:name w:val="标题 3 Char"/>
    <w:link w:val="709"/>
    <w:uiPriority w:val="9"/>
    <w:qFormat/>
    <w:rPr>
      <w:rFonts w:ascii="Arial" w:hAnsi="Arial" w:eastAsia="Arial" w:cs="Arial"/>
      <w:sz w:val="30"/>
      <w:szCs w:val="30"/>
    </w:rPr>
  </w:style>
  <w:style w:type="character" w:styleId="882" w:customStyle="1">
    <w:name w:val="标题 4 Char"/>
    <w:link w:val="710"/>
    <w:uiPriority w:val="9"/>
    <w:qFormat/>
    <w:rPr>
      <w:rFonts w:ascii="Arial" w:hAnsi="Arial" w:eastAsia="Arial" w:cs="Arial"/>
      <w:b/>
      <w:bCs/>
      <w:sz w:val="26"/>
      <w:szCs w:val="26"/>
    </w:rPr>
  </w:style>
  <w:style w:type="character" w:styleId="883" w:customStyle="1">
    <w:name w:val="标题 5 Char"/>
    <w:link w:val="711"/>
    <w:uiPriority w:val="9"/>
    <w:qFormat/>
    <w:rPr>
      <w:rFonts w:ascii="Arial" w:hAnsi="Arial" w:eastAsia="Arial" w:cs="Arial"/>
      <w:b/>
      <w:bCs/>
      <w:sz w:val="24"/>
      <w:szCs w:val="24"/>
    </w:rPr>
  </w:style>
  <w:style w:type="character" w:styleId="884" w:customStyle="1">
    <w:name w:val="标题 6 Char"/>
    <w:link w:val="712"/>
    <w:uiPriority w:val="9"/>
    <w:qFormat/>
    <w:rPr>
      <w:rFonts w:ascii="Arial" w:hAnsi="Arial" w:eastAsia="Arial" w:cs="Arial"/>
      <w:b/>
      <w:bCs/>
      <w:sz w:val="22"/>
      <w:szCs w:val="22"/>
    </w:rPr>
  </w:style>
  <w:style w:type="character" w:styleId="885" w:customStyle="1">
    <w:name w:val="标题 7 Char"/>
    <w:link w:val="713"/>
    <w:uiPriority w:val="9"/>
    <w:qFormat/>
    <w:rPr>
      <w:rFonts w:ascii="Arial" w:hAnsi="Arial" w:eastAsia="Arial" w:cs="Arial"/>
      <w:b/>
      <w:bCs/>
      <w:i/>
      <w:iCs/>
      <w:sz w:val="22"/>
      <w:szCs w:val="22"/>
    </w:rPr>
  </w:style>
  <w:style w:type="character" w:styleId="886" w:customStyle="1">
    <w:name w:val="标题 8 Char"/>
    <w:link w:val="714"/>
    <w:uiPriority w:val="9"/>
    <w:qFormat/>
    <w:rPr>
      <w:rFonts w:ascii="Arial" w:hAnsi="Arial" w:eastAsia="Arial" w:cs="Arial"/>
      <w:i/>
      <w:iCs/>
      <w:sz w:val="22"/>
      <w:szCs w:val="22"/>
    </w:rPr>
  </w:style>
  <w:style w:type="character" w:styleId="887" w:customStyle="1">
    <w:name w:val="标题 9 Char"/>
    <w:link w:val="715"/>
    <w:uiPriority w:val="9"/>
    <w:qFormat/>
    <w:rPr>
      <w:rFonts w:ascii="Arial" w:hAnsi="Arial" w:eastAsia="Arial" w:cs="Arial"/>
      <w:i/>
      <w:iCs/>
      <w:sz w:val="21"/>
      <w:szCs w:val="21"/>
    </w:rPr>
  </w:style>
  <w:style w:type="paragraph" w:styleId="888" w:customStyle="1">
    <w:name w:val="Caption1"/>
    <w:basedOn w:val="706"/>
    <w:next w:val="706"/>
    <w:uiPriority w:val="35"/>
    <w:unhideWhenUsed/>
    <w:qFormat/>
    <w:pPr>
      <w:spacing w:line="276" w:lineRule="auto"/>
    </w:pPr>
    <w:rPr>
      <w:b/>
      <w:bCs/>
      <w:color w:val="4f81bd"/>
      <w:sz w:val="18"/>
      <w:szCs w:val="18"/>
    </w:rPr>
  </w:style>
  <w:style w:type="paragraph" w:styleId="889" w:customStyle="1">
    <w:name w:val="Footer1"/>
    <w:basedOn w:val="706"/>
    <w:link w:val="890"/>
    <w:uiPriority w:val="99"/>
    <w:unhideWhenUsed/>
    <w:qFormat/>
    <w:pPr>
      <w:jc w:val="left"/>
      <w:tabs>
        <w:tab w:val="center" w:pos="4153" w:leader="none"/>
        <w:tab w:val="right" w:pos="8306" w:leader="none"/>
      </w:tabs>
    </w:pPr>
    <w:rPr>
      <w:sz w:val="18"/>
      <w:szCs w:val="18"/>
      <w:lang w:eastAsia="en-US"/>
    </w:rPr>
  </w:style>
  <w:style w:type="character" w:styleId="890" w:customStyle="1">
    <w:name w:val="页脚 字符1"/>
    <w:link w:val="889"/>
    <w:uiPriority w:val="99"/>
    <w:qFormat/>
    <w:rPr>
      <w:sz w:val="18"/>
      <w:szCs w:val="18"/>
    </w:rPr>
  </w:style>
  <w:style w:type="paragraph" w:styleId="891" w:customStyle="1">
    <w:name w:val="Header1"/>
    <w:basedOn w:val="706"/>
    <w:link w:val="892"/>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892" w:customStyle="1">
    <w:name w:val="页眉 字符1"/>
    <w:link w:val="891"/>
    <w:uiPriority w:val="99"/>
    <w:qFormat/>
    <w:rPr>
      <w:sz w:val="18"/>
      <w:szCs w:val="18"/>
    </w:rPr>
  </w:style>
  <w:style w:type="paragraph" w:styleId="893" w:customStyle="1">
    <w:name w:val="列表段落1"/>
    <w:basedOn w:val="706"/>
    <w:uiPriority w:val="0"/>
    <w:qFormat/>
    <w:pPr>
      <w:contextualSpacing/>
      <w:ind w:left="720"/>
      <w:jc w:val="left"/>
      <w:widowControl/>
    </w:pPr>
    <w:rPr>
      <w:rFonts w:ascii="Calibri" w:hAnsi="Calibri"/>
      <w:sz w:val="24"/>
      <w:szCs w:val="24"/>
      <w:lang w:eastAsia="en-US" w:bidi="en-US"/>
    </w:rPr>
  </w:style>
  <w:style w:type="paragraph" w:styleId="894" w:customStyle="1">
    <w:name w:val="无间隔1"/>
    <w:uiPriority w:val="0"/>
    <w:qFormat/>
    <w:rPr>
      <w:rFonts w:hint="default" w:ascii="Times New Roman" w:hAnsi="Times New Roman" w:eastAsia="宋体" w:cs="Times New Roman"/>
      <w:lang w:val="en-US" w:eastAsia="zh-CN" w:bidi="ar-SA"/>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paragraph" w:styleId="897" w:customStyle="1">
    <w:name w:val="引用1"/>
    <w:basedOn w:val="706"/>
    <w:next w:val="706"/>
    <w:link w:val="898"/>
    <w:uiPriority w:val="29"/>
    <w:qFormat/>
    <w:pPr>
      <w:ind w:left="720" w:right="720"/>
    </w:pPr>
    <w:rPr>
      <w:i/>
      <w:sz w:val="20"/>
      <w:szCs w:val="20"/>
      <w:lang w:eastAsia="en-US"/>
    </w:rPr>
  </w:style>
  <w:style w:type="character" w:styleId="898" w:customStyle="1">
    <w:name w:val="引用 字符"/>
    <w:link w:val="897"/>
    <w:uiPriority w:val="29"/>
    <w:qFormat/>
    <w:rPr>
      <w:i/>
    </w:rPr>
  </w:style>
  <w:style w:type="character" w:styleId="899" w:customStyle="1">
    <w:name w:val="Quote Char"/>
    <w:uiPriority w:val="29"/>
    <w:qFormat/>
    <w:rPr>
      <w:i/>
    </w:rPr>
  </w:style>
  <w:style w:type="paragraph" w:styleId="900" w:customStyle="1">
    <w:name w:val="明显引用1"/>
    <w:basedOn w:val="706"/>
    <w:next w:val="706"/>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01" w:customStyle="1">
    <w:name w:val="明显引用 字符"/>
    <w:link w:val="900"/>
    <w:uiPriority w:val="30"/>
    <w:qFormat/>
    <w:rPr>
      <w:i/>
    </w:rPr>
  </w:style>
  <w:style w:type="character" w:styleId="902" w:customStyle="1">
    <w:name w:val="Intense Quote Char"/>
    <w:uiPriority w:val="30"/>
    <w:qFormat/>
    <w:rPr>
      <w:i/>
    </w:rPr>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目录 711"/>
    <w:basedOn w:val="706"/>
    <w:next w:val="706"/>
    <w:uiPriority w:val="39"/>
    <w:unhideWhenUsed/>
    <w:qFormat/>
    <w:pPr>
      <w:ind w:left="1701"/>
      <w:spacing w:after="57"/>
    </w:pPr>
  </w:style>
  <w:style w:type="paragraph" w:styleId="906" w:customStyle="1">
    <w:name w:val="目录 511"/>
    <w:basedOn w:val="706"/>
    <w:next w:val="706"/>
    <w:uiPriority w:val="39"/>
    <w:unhideWhenUsed/>
    <w:qFormat/>
    <w:pPr>
      <w:ind w:left="1134"/>
      <w:spacing w:after="57"/>
    </w:pPr>
  </w:style>
  <w:style w:type="paragraph" w:styleId="907" w:customStyle="1">
    <w:name w:val="目录 311"/>
    <w:basedOn w:val="706"/>
    <w:next w:val="706"/>
    <w:uiPriority w:val="39"/>
    <w:unhideWhenUsed/>
    <w:qFormat/>
    <w:pPr>
      <w:ind w:left="567"/>
      <w:spacing w:after="57"/>
    </w:pPr>
  </w:style>
  <w:style w:type="paragraph" w:styleId="908" w:customStyle="1">
    <w:name w:val="目录 811"/>
    <w:basedOn w:val="706"/>
    <w:next w:val="706"/>
    <w:uiPriority w:val="39"/>
    <w:unhideWhenUsed/>
    <w:qFormat/>
    <w:pPr>
      <w:ind w:left="1984"/>
      <w:spacing w:after="57"/>
    </w:pPr>
  </w:style>
  <w:style w:type="paragraph" w:styleId="909" w:customStyle="1">
    <w:name w:val="目录 111"/>
    <w:basedOn w:val="706"/>
    <w:next w:val="706"/>
    <w:uiPriority w:val="39"/>
    <w:unhideWhenUsed/>
    <w:qFormat/>
    <w:pPr>
      <w:spacing w:after="57"/>
    </w:pPr>
  </w:style>
  <w:style w:type="paragraph" w:styleId="910" w:customStyle="1">
    <w:name w:val="目录 411"/>
    <w:basedOn w:val="706"/>
    <w:next w:val="706"/>
    <w:uiPriority w:val="39"/>
    <w:unhideWhenUsed/>
    <w:qFormat/>
    <w:pPr>
      <w:ind w:left="850"/>
      <w:spacing w:after="57"/>
    </w:pPr>
  </w:style>
  <w:style w:type="paragraph" w:styleId="911" w:customStyle="1">
    <w:name w:val="目录 611"/>
    <w:basedOn w:val="706"/>
    <w:next w:val="706"/>
    <w:uiPriority w:val="39"/>
    <w:unhideWhenUsed/>
    <w:qFormat/>
    <w:pPr>
      <w:ind w:left="1417"/>
      <w:spacing w:after="57"/>
    </w:pPr>
  </w:style>
  <w:style w:type="paragraph" w:styleId="912" w:customStyle="1">
    <w:name w:val="目录 211"/>
    <w:basedOn w:val="706"/>
    <w:next w:val="706"/>
    <w:uiPriority w:val="39"/>
    <w:unhideWhenUsed/>
    <w:qFormat/>
    <w:pPr>
      <w:ind w:left="283"/>
      <w:spacing w:after="57"/>
    </w:pPr>
  </w:style>
  <w:style w:type="paragraph" w:styleId="913" w:customStyle="1">
    <w:name w:val="目录 911"/>
    <w:basedOn w:val="706"/>
    <w:next w:val="706"/>
    <w:uiPriority w:val="39"/>
    <w:unhideWhenUsed/>
    <w:qFormat/>
    <w:pPr>
      <w:ind w:left="2268"/>
      <w:spacing w:after="57"/>
    </w:pPr>
  </w:style>
  <w:style w:type="paragraph" w:styleId="914" w:customStyle="1">
    <w:name w:val="Caption11"/>
    <w:basedOn w:val="706"/>
    <w:next w:val="706"/>
    <w:uiPriority w:val="35"/>
    <w:unhideWhenUsed/>
    <w:qFormat/>
    <w:pPr>
      <w:spacing w:line="276" w:lineRule="auto"/>
    </w:pPr>
    <w:rPr>
      <w:b/>
      <w:bCs/>
      <w:color w:val="4f81bd"/>
      <w:sz w:val="18"/>
      <w:szCs w:val="18"/>
    </w:rPr>
  </w:style>
  <w:style w:type="paragraph" w:styleId="915" w:customStyle="1">
    <w:name w:val="Footer11"/>
    <w:basedOn w:val="706"/>
    <w:link w:val="916"/>
    <w:uiPriority w:val="99"/>
    <w:unhideWhenUsed/>
    <w:qFormat/>
    <w:pPr>
      <w:tabs>
        <w:tab w:val="center" w:pos="7143" w:leader="none"/>
        <w:tab w:val="right" w:pos="14287" w:leader="none"/>
      </w:tabs>
    </w:pPr>
  </w:style>
  <w:style w:type="character" w:styleId="916" w:customStyle="1">
    <w:name w:val="Caption Char"/>
    <w:link w:val="915"/>
    <w:uiPriority w:val="99"/>
    <w:qFormat/>
  </w:style>
  <w:style w:type="character" w:styleId="917" w:customStyle="1">
    <w:name w:val="Footer Char"/>
    <w:uiPriority w:val="99"/>
    <w:qFormat/>
  </w:style>
  <w:style w:type="paragraph" w:styleId="918" w:customStyle="1">
    <w:name w:val="Header11"/>
    <w:basedOn w:val="706"/>
    <w:link w:val="919"/>
    <w:uiPriority w:val="99"/>
    <w:unhideWhenUsed/>
    <w:qFormat/>
    <w:pPr>
      <w:tabs>
        <w:tab w:val="center" w:pos="7143" w:leader="none"/>
        <w:tab w:val="right" w:pos="14287" w:leader="none"/>
      </w:tabs>
    </w:pPr>
  </w:style>
  <w:style w:type="character" w:styleId="919" w:customStyle="1">
    <w:name w:val="Header Char"/>
    <w:link w:val="918"/>
    <w:uiPriority w:val="99"/>
    <w:qFormat/>
  </w:style>
  <w:style w:type="paragraph" w:styleId="920" w:customStyle="1">
    <w:name w:val="列出段落1"/>
    <w:basedOn w:val="706"/>
    <w:uiPriority w:val="0"/>
    <w:qFormat/>
    <w:pPr>
      <w:contextualSpacing/>
      <w:ind w:left="720"/>
    </w:pPr>
  </w:style>
  <w:style w:type="table" w:styleId="921" w:customStyle="1">
    <w:name w:val="Table Grid Light"/>
    <w:uiPriority w:val="59"/>
    <w:qFormat/>
    <w:tblPr>
      <w:tblCellMar>
        <w:left w:w="0" w:type="dxa"/>
        <w:top w:w="0" w:type="dxa"/>
        <w:right w:w="0" w:type="dxa"/>
        <w:bottom w:w="0" w:type="dxa"/>
      </w:tblCellMar>
    </w:tblPr>
  </w:style>
  <w:style w:type="table" w:styleId="922" w:customStyle="1">
    <w:name w:val="Grid Table 1 Light - Accent 1"/>
    <w:uiPriority w:val="99"/>
    <w:qFormat/>
    <w:tblPr>
      <w:tblCellMar>
        <w:left w:w="0" w:type="dxa"/>
        <w:top w:w="0" w:type="dxa"/>
        <w:right w:w="0" w:type="dxa"/>
        <w:bottom w:w="0" w:type="dxa"/>
      </w:tblCellMar>
    </w:tblPr>
  </w:style>
  <w:style w:type="table" w:styleId="923" w:customStyle="1">
    <w:name w:val="Grid Table 1 Light - Accent 2"/>
    <w:uiPriority w:val="99"/>
    <w:qFormat/>
    <w:tblPr>
      <w:tblCellMar>
        <w:left w:w="0" w:type="dxa"/>
        <w:top w:w="0" w:type="dxa"/>
        <w:right w:w="0" w:type="dxa"/>
        <w:bottom w:w="0" w:type="dxa"/>
      </w:tblCellMar>
    </w:tblPr>
  </w:style>
  <w:style w:type="table" w:styleId="924" w:customStyle="1">
    <w:name w:val="Grid Table 1 Light - Accent 3"/>
    <w:uiPriority w:val="99"/>
    <w:qFormat/>
    <w:tblPr>
      <w:tblCellMar>
        <w:left w:w="0" w:type="dxa"/>
        <w:top w:w="0" w:type="dxa"/>
        <w:right w:w="0" w:type="dxa"/>
        <w:bottom w:w="0" w:type="dxa"/>
      </w:tblCellMar>
    </w:tblPr>
  </w:style>
  <w:style w:type="table" w:styleId="925" w:customStyle="1">
    <w:name w:val="Grid Table 1 Light - Accent 4"/>
    <w:uiPriority w:val="99"/>
    <w:qFormat/>
    <w:tblPr>
      <w:tblCellMar>
        <w:left w:w="0" w:type="dxa"/>
        <w:top w:w="0" w:type="dxa"/>
        <w:right w:w="0" w:type="dxa"/>
        <w:bottom w:w="0" w:type="dxa"/>
      </w:tblCellMar>
    </w:tblPr>
  </w:style>
  <w:style w:type="table" w:styleId="926" w:customStyle="1">
    <w:name w:val="Grid Table 1 Light - Accent 5"/>
    <w:uiPriority w:val="99"/>
    <w:qFormat/>
    <w:tblPr>
      <w:tblCellMar>
        <w:left w:w="0" w:type="dxa"/>
        <w:top w:w="0" w:type="dxa"/>
        <w:right w:w="0" w:type="dxa"/>
        <w:bottom w:w="0" w:type="dxa"/>
      </w:tblCellMar>
    </w:tblPr>
  </w:style>
  <w:style w:type="table" w:styleId="927" w:customStyle="1">
    <w:name w:val="Grid Table 1 Light - Accent 6"/>
    <w:uiPriority w:val="99"/>
    <w:qFormat/>
    <w:tblPr>
      <w:tblCellMar>
        <w:left w:w="0" w:type="dxa"/>
        <w:top w:w="0" w:type="dxa"/>
        <w:right w:w="0" w:type="dxa"/>
        <w:bottom w:w="0" w:type="dxa"/>
      </w:tblCellMar>
    </w:tblPr>
  </w:style>
  <w:style w:type="table" w:styleId="928" w:customStyle="1">
    <w:name w:val="Grid Table 2 - Accent 1"/>
    <w:uiPriority w:val="99"/>
    <w:qFormat/>
    <w:tblPr>
      <w:tblCellMar>
        <w:left w:w="0" w:type="dxa"/>
        <w:top w:w="0" w:type="dxa"/>
        <w:right w:w="0" w:type="dxa"/>
        <w:bottom w:w="0" w:type="dxa"/>
      </w:tblCellMar>
    </w:tblPr>
  </w:style>
  <w:style w:type="table" w:styleId="929" w:customStyle="1">
    <w:name w:val="Grid Table 2 - Accent 2"/>
    <w:uiPriority w:val="99"/>
    <w:qFormat/>
    <w:tblPr>
      <w:tblCellMar>
        <w:left w:w="0" w:type="dxa"/>
        <w:top w:w="0" w:type="dxa"/>
        <w:right w:w="0" w:type="dxa"/>
        <w:bottom w:w="0" w:type="dxa"/>
      </w:tblCellMar>
    </w:tblPr>
  </w:style>
  <w:style w:type="table" w:styleId="930" w:customStyle="1">
    <w:name w:val="Grid Table 2 - Accent 3"/>
    <w:uiPriority w:val="99"/>
    <w:qFormat/>
    <w:tblPr>
      <w:tblCellMar>
        <w:left w:w="0" w:type="dxa"/>
        <w:top w:w="0" w:type="dxa"/>
        <w:right w:w="0" w:type="dxa"/>
        <w:bottom w:w="0" w:type="dxa"/>
      </w:tblCellMar>
    </w:tblPr>
  </w:style>
  <w:style w:type="table" w:styleId="931" w:customStyle="1">
    <w:name w:val="Grid Table 2 - Accent 4"/>
    <w:uiPriority w:val="99"/>
    <w:qFormat/>
    <w:tblPr>
      <w:tblCellMar>
        <w:left w:w="0" w:type="dxa"/>
        <w:top w:w="0" w:type="dxa"/>
        <w:right w:w="0" w:type="dxa"/>
        <w:bottom w:w="0" w:type="dxa"/>
      </w:tblCellMar>
    </w:tblPr>
  </w:style>
  <w:style w:type="table" w:styleId="932" w:customStyle="1">
    <w:name w:val="Grid Table 2 - Accent 5"/>
    <w:uiPriority w:val="99"/>
    <w:qFormat/>
    <w:tblPr>
      <w:tblCellMar>
        <w:left w:w="0" w:type="dxa"/>
        <w:top w:w="0" w:type="dxa"/>
        <w:right w:w="0" w:type="dxa"/>
        <w:bottom w:w="0" w:type="dxa"/>
      </w:tblCellMar>
    </w:tblPr>
  </w:style>
  <w:style w:type="table" w:styleId="933" w:customStyle="1">
    <w:name w:val="Grid Table 2 - Accent 6"/>
    <w:uiPriority w:val="99"/>
    <w:qFormat/>
    <w:tblPr>
      <w:tblCellMar>
        <w:left w:w="0" w:type="dxa"/>
        <w:top w:w="0" w:type="dxa"/>
        <w:right w:w="0" w:type="dxa"/>
        <w:bottom w:w="0" w:type="dxa"/>
      </w:tblCellMar>
    </w:tblPr>
  </w:style>
  <w:style w:type="table" w:styleId="934" w:customStyle="1">
    <w:name w:val="Grid Table 3 - Accent 1"/>
    <w:uiPriority w:val="99"/>
    <w:qFormat/>
    <w:tblPr>
      <w:tblCellMar>
        <w:left w:w="0" w:type="dxa"/>
        <w:top w:w="0" w:type="dxa"/>
        <w:right w:w="0" w:type="dxa"/>
        <w:bottom w:w="0" w:type="dxa"/>
      </w:tblCellMar>
    </w:tblPr>
  </w:style>
  <w:style w:type="table" w:styleId="935" w:customStyle="1">
    <w:name w:val="Grid Table 3 - Accent 2"/>
    <w:uiPriority w:val="99"/>
    <w:qFormat/>
    <w:tblPr>
      <w:tblCellMar>
        <w:left w:w="0" w:type="dxa"/>
        <w:top w:w="0" w:type="dxa"/>
        <w:right w:w="0" w:type="dxa"/>
        <w:bottom w:w="0" w:type="dxa"/>
      </w:tblCellMar>
    </w:tblPr>
  </w:style>
  <w:style w:type="table" w:styleId="936" w:customStyle="1">
    <w:name w:val="Grid Table 3 - Accent 3"/>
    <w:uiPriority w:val="99"/>
    <w:qFormat/>
    <w:tblPr>
      <w:tblCellMar>
        <w:left w:w="0" w:type="dxa"/>
        <w:top w:w="0" w:type="dxa"/>
        <w:right w:w="0" w:type="dxa"/>
        <w:bottom w:w="0" w:type="dxa"/>
      </w:tblCellMar>
    </w:tblPr>
  </w:style>
  <w:style w:type="table" w:styleId="937" w:customStyle="1">
    <w:name w:val="Grid Table 3 - Accent 4"/>
    <w:uiPriority w:val="99"/>
    <w:qFormat/>
    <w:tblPr>
      <w:tblCellMar>
        <w:left w:w="0" w:type="dxa"/>
        <w:top w:w="0" w:type="dxa"/>
        <w:right w:w="0" w:type="dxa"/>
        <w:bottom w:w="0" w:type="dxa"/>
      </w:tblCellMar>
    </w:tblPr>
  </w:style>
  <w:style w:type="table" w:styleId="938" w:customStyle="1">
    <w:name w:val="Grid Table 3 - Accent 5"/>
    <w:uiPriority w:val="99"/>
    <w:qFormat/>
    <w:tblPr>
      <w:tblCellMar>
        <w:left w:w="0" w:type="dxa"/>
        <w:top w:w="0" w:type="dxa"/>
        <w:right w:w="0" w:type="dxa"/>
        <w:bottom w:w="0" w:type="dxa"/>
      </w:tblCellMar>
    </w:tblPr>
  </w:style>
  <w:style w:type="table" w:styleId="939" w:customStyle="1">
    <w:name w:val="Grid Table 3 - Accent 6"/>
    <w:uiPriority w:val="99"/>
    <w:qFormat/>
    <w:tblPr>
      <w:tblCellMar>
        <w:left w:w="0" w:type="dxa"/>
        <w:top w:w="0" w:type="dxa"/>
        <w:right w:w="0" w:type="dxa"/>
        <w:bottom w:w="0" w:type="dxa"/>
      </w:tblCellMar>
    </w:tblPr>
  </w:style>
  <w:style w:type="table" w:styleId="940" w:customStyle="1">
    <w:name w:val="Grid Table 4 - Accent 1"/>
    <w:uiPriority w:val="59"/>
    <w:qFormat/>
    <w:tblPr>
      <w:tblCellMar>
        <w:left w:w="0" w:type="dxa"/>
        <w:top w:w="0" w:type="dxa"/>
        <w:right w:w="0" w:type="dxa"/>
        <w:bottom w:w="0" w:type="dxa"/>
      </w:tblCellMar>
    </w:tblPr>
  </w:style>
  <w:style w:type="table" w:styleId="941" w:customStyle="1">
    <w:name w:val="Grid Table 4 - Accent 2"/>
    <w:uiPriority w:val="59"/>
    <w:qFormat/>
    <w:tblPr>
      <w:tblCellMar>
        <w:left w:w="0" w:type="dxa"/>
        <w:top w:w="0" w:type="dxa"/>
        <w:right w:w="0" w:type="dxa"/>
        <w:bottom w:w="0" w:type="dxa"/>
      </w:tblCellMar>
    </w:tblPr>
  </w:style>
  <w:style w:type="table" w:styleId="942" w:customStyle="1">
    <w:name w:val="Grid Table 4 - Accent 3"/>
    <w:uiPriority w:val="59"/>
    <w:qFormat/>
    <w:tblPr>
      <w:tblCellMar>
        <w:left w:w="0" w:type="dxa"/>
        <w:top w:w="0" w:type="dxa"/>
        <w:right w:w="0" w:type="dxa"/>
        <w:bottom w:w="0" w:type="dxa"/>
      </w:tblCellMar>
    </w:tblPr>
  </w:style>
  <w:style w:type="table" w:styleId="943" w:customStyle="1">
    <w:name w:val="Grid Table 4 - Accent 4"/>
    <w:uiPriority w:val="59"/>
    <w:qFormat/>
    <w:tblPr>
      <w:tblCellMar>
        <w:left w:w="0" w:type="dxa"/>
        <w:top w:w="0" w:type="dxa"/>
        <w:right w:w="0" w:type="dxa"/>
        <w:bottom w:w="0" w:type="dxa"/>
      </w:tblCellMar>
    </w:tblPr>
  </w:style>
  <w:style w:type="table" w:styleId="944" w:customStyle="1">
    <w:name w:val="Grid Table 4 - Accent 5"/>
    <w:uiPriority w:val="59"/>
    <w:qFormat/>
    <w:tblPr>
      <w:tblCellMar>
        <w:left w:w="0" w:type="dxa"/>
        <w:top w:w="0" w:type="dxa"/>
        <w:right w:w="0" w:type="dxa"/>
        <w:bottom w:w="0" w:type="dxa"/>
      </w:tblCellMar>
    </w:tblPr>
  </w:style>
  <w:style w:type="table" w:styleId="945" w:customStyle="1">
    <w:name w:val="Grid Table 4 - Accent 6"/>
    <w:uiPriority w:val="59"/>
    <w:qFormat/>
    <w:tblPr>
      <w:tblCellMar>
        <w:left w:w="0" w:type="dxa"/>
        <w:top w:w="0" w:type="dxa"/>
        <w:right w:w="0" w:type="dxa"/>
        <w:bottom w:w="0" w:type="dxa"/>
      </w:tblCellMar>
    </w:tblPr>
  </w:style>
  <w:style w:type="table" w:styleId="946" w:customStyle="1">
    <w:name w:val="Grid Table 5 Dark- Accent 1"/>
    <w:uiPriority w:val="99"/>
    <w:qFormat/>
    <w:tblPr>
      <w:tblCellMar>
        <w:left w:w="0" w:type="dxa"/>
        <w:top w:w="0" w:type="dxa"/>
        <w:right w:w="0" w:type="dxa"/>
        <w:bottom w:w="0" w:type="dxa"/>
      </w:tblCellMar>
    </w:tblPr>
  </w:style>
  <w:style w:type="table" w:styleId="947" w:customStyle="1">
    <w:name w:val="Grid Table 5 Dark - Accent 2"/>
    <w:uiPriority w:val="99"/>
    <w:qFormat/>
    <w:tblPr>
      <w:tblCellMar>
        <w:left w:w="0" w:type="dxa"/>
        <w:top w:w="0" w:type="dxa"/>
        <w:right w:w="0" w:type="dxa"/>
        <w:bottom w:w="0" w:type="dxa"/>
      </w:tblCellMar>
    </w:tblPr>
  </w:style>
  <w:style w:type="table" w:styleId="948" w:customStyle="1">
    <w:name w:val="Grid Table 5 Dark - Accent 3"/>
    <w:uiPriority w:val="99"/>
    <w:qFormat/>
    <w:tblPr>
      <w:tblCellMar>
        <w:left w:w="0" w:type="dxa"/>
        <w:top w:w="0" w:type="dxa"/>
        <w:right w:w="0" w:type="dxa"/>
        <w:bottom w:w="0" w:type="dxa"/>
      </w:tblCellMar>
    </w:tblPr>
  </w:style>
  <w:style w:type="table" w:styleId="949" w:customStyle="1">
    <w:name w:val="Grid Table 5 Dark- Accent 4"/>
    <w:uiPriority w:val="99"/>
    <w:qFormat/>
    <w:tblPr>
      <w:tblCellMar>
        <w:left w:w="0" w:type="dxa"/>
        <w:top w:w="0" w:type="dxa"/>
        <w:right w:w="0" w:type="dxa"/>
        <w:bottom w:w="0" w:type="dxa"/>
      </w:tblCellMar>
    </w:tblPr>
  </w:style>
  <w:style w:type="table" w:styleId="950" w:customStyle="1">
    <w:name w:val="Grid Table 5 Dark - Accent 5"/>
    <w:uiPriority w:val="99"/>
    <w:qFormat/>
    <w:tblPr>
      <w:tblCellMar>
        <w:left w:w="0" w:type="dxa"/>
        <w:top w:w="0" w:type="dxa"/>
        <w:right w:w="0" w:type="dxa"/>
        <w:bottom w:w="0" w:type="dxa"/>
      </w:tblCellMar>
    </w:tblPr>
  </w:style>
  <w:style w:type="table" w:styleId="951" w:customStyle="1">
    <w:name w:val="Grid Table 5 Dark - Accent 6"/>
    <w:uiPriority w:val="99"/>
    <w:qFormat/>
    <w:tblPr>
      <w:tblCellMar>
        <w:left w:w="0" w:type="dxa"/>
        <w:top w:w="0" w:type="dxa"/>
        <w:right w:w="0" w:type="dxa"/>
        <w:bottom w:w="0" w:type="dxa"/>
      </w:tblCellMar>
    </w:tblPr>
  </w:style>
  <w:style w:type="table" w:styleId="952" w:customStyle="1">
    <w:name w:val="Grid Table 6 Colorful - Accent 1"/>
    <w:uiPriority w:val="99"/>
    <w:qFormat/>
    <w:tblPr>
      <w:tblCellMar>
        <w:left w:w="0" w:type="dxa"/>
        <w:top w:w="0" w:type="dxa"/>
        <w:right w:w="0" w:type="dxa"/>
        <w:bottom w:w="0" w:type="dxa"/>
      </w:tblCellMar>
    </w:tblPr>
  </w:style>
  <w:style w:type="table" w:styleId="953" w:customStyle="1">
    <w:name w:val="Grid Table 6 Colorful - Accent 2"/>
    <w:uiPriority w:val="99"/>
    <w:qFormat/>
    <w:tblPr>
      <w:tblCellMar>
        <w:left w:w="0" w:type="dxa"/>
        <w:top w:w="0" w:type="dxa"/>
        <w:right w:w="0" w:type="dxa"/>
        <w:bottom w:w="0" w:type="dxa"/>
      </w:tblCellMar>
    </w:tblPr>
  </w:style>
  <w:style w:type="table" w:styleId="954" w:customStyle="1">
    <w:name w:val="Grid Table 6 Colorful - Accent 3"/>
    <w:uiPriority w:val="99"/>
    <w:qFormat/>
    <w:tblPr>
      <w:tblCellMar>
        <w:left w:w="0" w:type="dxa"/>
        <w:top w:w="0" w:type="dxa"/>
        <w:right w:w="0" w:type="dxa"/>
        <w:bottom w:w="0" w:type="dxa"/>
      </w:tblCellMar>
    </w:tblPr>
  </w:style>
  <w:style w:type="table" w:styleId="955" w:customStyle="1">
    <w:name w:val="Grid Table 6 Colorful - Accent 4"/>
    <w:uiPriority w:val="99"/>
    <w:qFormat/>
    <w:tblPr>
      <w:tblCellMar>
        <w:left w:w="0" w:type="dxa"/>
        <w:top w:w="0" w:type="dxa"/>
        <w:right w:w="0" w:type="dxa"/>
        <w:bottom w:w="0" w:type="dxa"/>
      </w:tblCellMar>
    </w:tblPr>
  </w:style>
  <w:style w:type="table" w:styleId="956" w:customStyle="1">
    <w:name w:val="Grid Table 6 Colorful - Accent 5"/>
    <w:uiPriority w:val="99"/>
    <w:qFormat/>
    <w:tblPr>
      <w:tblCellMar>
        <w:left w:w="0" w:type="dxa"/>
        <w:top w:w="0" w:type="dxa"/>
        <w:right w:w="0" w:type="dxa"/>
        <w:bottom w:w="0" w:type="dxa"/>
      </w:tblCellMar>
    </w:tblPr>
  </w:style>
  <w:style w:type="table" w:styleId="957" w:customStyle="1">
    <w:name w:val="Grid Table 6 Colorful - Accent 6"/>
    <w:uiPriority w:val="99"/>
    <w:qFormat/>
    <w:tblPr>
      <w:tblCellMar>
        <w:left w:w="0" w:type="dxa"/>
        <w:top w:w="0" w:type="dxa"/>
        <w:right w:w="0" w:type="dxa"/>
        <w:bottom w:w="0" w:type="dxa"/>
      </w:tblCellMar>
    </w:tblPr>
  </w:style>
  <w:style w:type="table" w:styleId="958" w:customStyle="1">
    <w:name w:val="Grid Table 7 Colorful - Accent 1"/>
    <w:uiPriority w:val="99"/>
    <w:qFormat/>
    <w:tblPr>
      <w:tblCellMar>
        <w:left w:w="0" w:type="dxa"/>
        <w:top w:w="0" w:type="dxa"/>
        <w:right w:w="0" w:type="dxa"/>
        <w:bottom w:w="0" w:type="dxa"/>
      </w:tblCellMar>
    </w:tblPr>
  </w:style>
  <w:style w:type="table" w:styleId="959" w:customStyle="1">
    <w:name w:val="Grid Table 7 Colorful - Accent 2"/>
    <w:uiPriority w:val="99"/>
    <w:qFormat/>
    <w:tblPr>
      <w:tblCellMar>
        <w:left w:w="0" w:type="dxa"/>
        <w:top w:w="0" w:type="dxa"/>
        <w:right w:w="0" w:type="dxa"/>
        <w:bottom w:w="0" w:type="dxa"/>
      </w:tblCellMar>
    </w:tblPr>
  </w:style>
  <w:style w:type="table" w:styleId="960" w:customStyle="1">
    <w:name w:val="Grid Table 7 Colorful - Accent 3"/>
    <w:uiPriority w:val="99"/>
    <w:qFormat/>
    <w:tblPr>
      <w:tblCellMar>
        <w:left w:w="0" w:type="dxa"/>
        <w:top w:w="0" w:type="dxa"/>
        <w:right w:w="0" w:type="dxa"/>
        <w:bottom w:w="0" w:type="dxa"/>
      </w:tblCellMar>
    </w:tblPr>
  </w:style>
  <w:style w:type="table" w:styleId="961" w:customStyle="1">
    <w:name w:val="Grid Table 7 Colorful - Accent 4"/>
    <w:uiPriority w:val="99"/>
    <w:qFormat/>
    <w:tblPr>
      <w:tblCellMar>
        <w:left w:w="0" w:type="dxa"/>
        <w:top w:w="0" w:type="dxa"/>
        <w:right w:w="0" w:type="dxa"/>
        <w:bottom w:w="0" w:type="dxa"/>
      </w:tblCellMar>
    </w:tblPr>
  </w:style>
  <w:style w:type="table" w:styleId="962" w:customStyle="1">
    <w:name w:val="Grid Table 7 Colorful - Accent 5"/>
    <w:uiPriority w:val="99"/>
    <w:qFormat/>
    <w:tblPr>
      <w:tblCellMar>
        <w:left w:w="0" w:type="dxa"/>
        <w:top w:w="0" w:type="dxa"/>
        <w:right w:w="0" w:type="dxa"/>
        <w:bottom w:w="0" w:type="dxa"/>
      </w:tblCellMar>
    </w:tblPr>
  </w:style>
  <w:style w:type="table" w:styleId="963" w:customStyle="1">
    <w:name w:val="Grid Table 7 Colorful - Accent 6"/>
    <w:uiPriority w:val="99"/>
    <w:qFormat/>
    <w:tblPr>
      <w:tblCellMar>
        <w:left w:w="0" w:type="dxa"/>
        <w:top w:w="0" w:type="dxa"/>
        <w:right w:w="0" w:type="dxa"/>
        <w:bottom w:w="0" w:type="dxa"/>
      </w:tblCellMar>
    </w:tblPr>
  </w:style>
  <w:style w:type="table" w:styleId="964" w:customStyle="1">
    <w:name w:val="List Table 1 Light - Accent 1"/>
    <w:uiPriority w:val="99"/>
    <w:qFormat/>
    <w:tblPr>
      <w:tblCellMar>
        <w:left w:w="0" w:type="dxa"/>
        <w:top w:w="0" w:type="dxa"/>
        <w:right w:w="0" w:type="dxa"/>
        <w:bottom w:w="0" w:type="dxa"/>
      </w:tblCellMar>
    </w:tblPr>
  </w:style>
  <w:style w:type="table" w:styleId="965" w:customStyle="1">
    <w:name w:val="List Table 1 Light - Accent 2"/>
    <w:uiPriority w:val="99"/>
    <w:qFormat/>
    <w:tblPr>
      <w:tblCellMar>
        <w:left w:w="0" w:type="dxa"/>
        <w:top w:w="0" w:type="dxa"/>
        <w:right w:w="0" w:type="dxa"/>
        <w:bottom w:w="0" w:type="dxa"/>
      </w:tblCellMar>
    </w:tblPr>
  </w:style>
  <w:style w:type="table" w:styleId="966" w:customStyle="1">
    <w:name w:val="List Table 1 Light - Accent 3"/>
    <w:uiPriority w:val="99"/>
    <w:qFormat/>
    <w:tblPr>
      <w:tblCellMar>
        <w:left w:w="0" w:type="dxa"/>
        <w:top w:w="0" w:type="dxa"/>
        <w:right w:w="0" w:type="dxa"/>
        <w:bottom w:w="0" w:type="dxa"/>
      </w:tblCellMar>
    </w:tblPr>
  </w:style>
  <w:style w:type="table" w:styleId="967" w:customStyle="1">
    <w:name w:val="List Table 1 Light - Accent 4"/>
    <w:uiPriority w:val="99"/>
    <w:qFormat/>
    <w:tblPr>
      <w:tblCellMar>
        <w:left w:w="0" w:type="dxa"/>
        <w:top w:w="0" w:type="dxa"/>
        <w:right w:w="0" w:type="dxa"/>
        <w:bottom w:w="0" w:type="dxa"/>
      </w:tblCellMar>
    </w:tblPr>
  </w:style>
  <w:style w:type="table" w:styleId="968" w:customStyle="1">
    <w:name w:val="List Table 1 Light - Accent 5"/>
    <w:uiPriority w:val="99"/>
    <w:qFormat/>
    <w:tblPr>
      <w:tblCellMar>
        <w:left w:w="0" w:type="dxa"/>
        <w:top w:w="0" w:type="dxa"/>
        <w:right w:w="0" w:type="dxa"/>
        <w:bottom w:w="0" w:type="dxa"/>
      </w:tblCellMar>
    </w:tblPr>
  </w:style>
  <w:style w:type="table" w:styleId="969" w:customStyle="1">
    <w:name w:val="List Table 1 Light - Accent 6"/>
    <w:uiPriority w:val="99"/>
    <w:qFormat/>
    <w:tblPr>
      <w:tblCellMar>
        <w:left w:w="0" w:type="dxa"/>
        <w:top w:w="0" w:type="dxa"/>
        <w:right w:w="0" w:type="dxa"/>
        <w:bottom w:w="0" w:type="dxa"/>
      </w:tblCellMar>
    </w:tblPr>
  </w:style>
  <w:style w:type="table" w:styleId="970" w:customStyle="1">
    <w:name w:val="List Table 2 - Accent 1"/>
    <w:uiPriority w:val="99"/>
    <w:qFormat/>
    <w:tblPr>
      <w:tblCellMar>
        <w:left w:w="0" w:type="dxa"/>
        <w:top w:w="0" w:type="dxa"/>
        <w:right w:w="0" w:type="dxa"/>
        <w:bottom w:w="0" w:type="dxa"/>
      </w:tblCellMar>
    </w:tblPr>
  </w:style>
  <w:style w:type="table" w:styleId="971" w:customStyle="1">
    <w:name w:val="List Table 2 - Accent 2"/>
    <w:uiPriority w:val="99"/>
    <w:qFormat/>
    <w:tblPr>
      <w:tblCellMar>
        <w:left w:w="0" w:type="dxa"/>
        <w:top w:w="0" w:type="dxa"/>
        <w:right w:w="0" w:type="dxa"/>
        <w:bottom w:w="0" w:type="dxa"/>
      </w:tblCellMar>
    </w:tblPr>
  </w:style>
  <w:style w:type="table" w:styleId="972" w:customStyle="1">
    <w:name w:val="List Table 2 - Accent 3"/>
    <w:uiPriority w:val="99"/>
    <w:qFormat/>
    <w:tblPr>
      <w:tblCellMar>
        <w:left w:w="0" w:type="dxa"/>
        <w:top w:w="0" w:type="dxa"/>
        <w:right w:w="0" w:type="dxa"/>
        <w:bottom w:w="0" w:type="dxa"/>
      </w:tblCellMar>
    </w:tblPr>
  </w:style>
  <w:style w:type="table" w:styleId="973" w:customStyle="1">
    <w:name w:val="List Table 2 - Accent 4"/>
    <w:uiPriority w:val="99"/>
    <w:qFormat/>
    <w:tblPr>
      <w:tblCellMar>
        <w:left w:w="0" w:type="dxa"/>
        <w:top w:w="0" w:type="dxa"/>
        <w:right w:w="0" w:type="dxa"/>
        <w:bottom w:w="0" w:type="dxa"/>
      </w:tblCellMar>
    </w:tblPr>
  </w:style>
  <w:style w:type="table" w:styleId="974" w:customStyle="1">
    <w:name w:val="List Table 2 - Accent 5"/>
    <w:uiPriority w:val="99"/>
    <w:qFormat/>
    <w:tblPr>
      <w:tblCellMar>
        <w:left w:w="0" w:type="dxa"/>
        <w:top w:w="0" w:type="dxa"/>
        <w:right w:w="0" w:type="dxa"/>
        <w:bottom w:w="0" w:type="dxa"/>
      </w:tblCellMar>
    </w:tblPr>
  </w:style>
  <w:style w:type="table" w:styleId="975" w:customStyle="1">
    <w:name w:val="List Table 2 - Accent 6"/>
    <w:uiPriority w:val="99"/>
    <w:qFormat/>
    <w:tblPr>
      <w:tblCellMar>
        <w:left w:w="0" w:type="dxa"/>
        <w:top w:w="0" w:type="dxa"/>
        <w:right w:w="0" w:type="dxa"/>
        <w:bottom w:w="0" w:type="dxa"/>
      </w:tblCellMar>
    </w:tblPr>
  </w:style>
  <w:style w:type="table" w:styleId="976" w:customStyle="1">
    <w:name w:val="List Table 3 - Accent 1"/>
    <w:uiPriority w:val="99"/>
    <w:qFormat/>
    <w:tblPr>
      <w:tblCellMar>
        <w:left w:w="0" w:type="dxa"/>
        <w:top w:w="0" w:type="dxa"/>
        <w:right w:w="0" w:type="dxa"/>
        <w:bottom w:w="0" w:type="dxa"/>
      </w:tblCellMar>
    </w:tblPr>
  </w:style>
  <w:style w:type="table" w:styleId="977" w:customStyle="1">
    <w:name w:val="List Table 3 - Accent 2"/>
    <w:uiPriority w:val="99"/>
    <w:qFormat/>
    <w:tblPr>
      <w:tblCellMar>
        <w:left w:w="0" w:type="dxa"/>
        <w:top w:w="0" w:type="dxa"/>
        <w:right w:w="0" w:type="dxa"/>
        <w:bottom w:w="0" w:type="dxa"/>
      </w:tblCellMar>
    </w:tblPr>
  </w:style>
  <w:style w:type="table" w:styleId="978" w:customStyle="1">
    <w:name w:val="List Table 3 - Accent 3"/>
    <w:uiPriority w:val="99"/>
    <w:qFormat/>
    <w:tblPr>
      <w:tblCellMar>
        <w:left w:w="0" w:type="dxa"/>
        <w:top w:w="0" w:type="dxa"/>
        <w:right w:w="0" w:type="dxa"/>
        <w:bottom w:w="0" w:type="dxa"/>
      </w:tblCellMar>
    </w:tblPr>
  </w:style>
  <w:style w:type="table" w:styleId="979" w:customStyle="1">
    <w:name w:val="List Table 3 - Accent 4"/>
    <w:uiPriority w:val="99"/>
    <w:qFormat/>
    <w:tblPr>
      <w:tblCellMar>
        <w:left w:w="0" w:type="dxa"/>
        <w:top w:w="0" w:type="dxa"/>
        <w:right w:w="0" w:type="dxa"/>
        <w:bottom w:w="0" w:type="dxa"/>
      </w:tblCellMar>
    </w:tblPr>
  </w:style>
  <w:style w:type="table" w:styleId="980" w:customStyle="1">
    <w:name w:val="List Table 3 - Accent 5"/>
    <w:uiPriority w:val="99"/>
    <w:qFormat/>
    <w:tblPr>
      <w:tblCellMar>
        <w:left w:w="0" w:type="dxa"/>
        <w:top w:w="0" w:type="dxa"/>
        <w:right w:w="0" w:type="dxa"/>
        <w:bottom w:w="0" w:type="dxa"/>
      </w:tblCellMar>
    </w:tblPr>
  </w:style>
  <w:style w:type="table" w:styleId="981" w:customStyle="1">
    <w:name w:val="List Table 3 - Accent 6"/>
    <w:uiPriority w:val="99"/>
    <w:qFormat/>
    <w:tblPr>
      <w:tblCellMar>
        <w:left w:w="0" w:type="dxa"/>
        <w:top w:w="0" w:type="dxa"/>
        <w:right w:w="0" w:type="dxa"/>
        <w:bottom w:w="0" w:type="dxa"/>
      </w:tblCellMar>
    </w:tblPr>
  </w:style>
  <w:style w:type="table" w:styleId="982" w:customStyle="1">
    <w:name w:val="List Table 4 - Accent 1"/>
    <w:uiPriority w:val="99"/>
    <w:qFormat/>
    <w:tblPr>
      <w:tblCellMar>
        <w:left w:w="0" w:type="dxa"/>
        <w:top w:w="0" w:type="dxa"/>
        <w:right w:w="0" w:type="dxa"/>
        <w:bottom w:w="0" w:type="dxa"/>
      </w:tblCellMar>
    </w:tblPr>
  </w:style>
  <w:style w:type="table" w:styleId="983" w:customStyle="1">
    <w:name w:val="List Table 4 - Accent 2"/>
    <w:uiPriority w:val="99"/>
    <w:qFormat/>
    <w:tblPr>
      <w:tblCellMar>
        <w:left w:w="0" w:type="dxa"/>
        <w:top w:w="0" w:type="dxa"/>
        <w:right w:w="0" w:type="dxa"/>
        <w:bottom w:w="0" w:type="dxa"/>
      </w:tblCellMar>
    </w:tblPr>
  </w:style>
  <w:style w:type="table" w:styleId="984" w:customStyle="1">
    <w:name w:val="List Table 4 - Accent 3"/>
    <w:uiPriority w:val="99"/>
    <w:qFormat/>
    <w:tblPr>
      <w:tblCellMar>
        <w:left w:w="0" w:type="dxa"/>
        <w:top w:w="0" w:type="dxa"/>
        <w:right w:w="0" w:type="dxa"/>
        <w:bottom w:w="0" w:type="dxa"/>
      </w:tblCellMar>
    </w:tblPr>
  </w:style>
  <w:style w:type="table" w:styleId="985" w:customStyle="1">
    <w:name w:val="List Table 4 - Accent 4"/>
    <w:uiPriority w:val="99"/>
    <w:qFormat/>
    <w:tblPr>
      <w:tblCellMar>
        <w:left w:w="0" w:type="dxa"/>
        <w:top w:w="0" w:type="dxa"/>
        <w:right w:w="0" w:type="dxa"/>
        <w:bottom w:w="0" w:type="dxa"/>
      </w:tblCellMar>
    </w:tblPr>
  </w:style>
  <w:style w:type="table" w:styleId="986" w:customStyle="1">
    <w:name w:val="List Table 4 - Accent 5"/>
    <w:uiPriority w:val="99"/>
    <w:qFormat/>
    <w:tblPr>
      <w:tblCellMar>
        <w:left w:w="0" w:type="dxa"/>
        <w:top w:w="0" w:type="dxa"/>
        <w:right w:w="0" w:type="dxa"/>
        <w:bottom w:w="0" w:type="dxa"/>
      </w:tblCellMar>
    </w:tblPr>
  </w:style>
  <w:style w:type="table" w:styleId="987" w:customStyle="1">
    <w:name w:val="List Table 4 - Accent 6"/>
    <w:uiPriority w:val="99"/>
    <w:qFormat/>
    <w:tblPr>
      <w:tblCellMar>
        <w:left w:w="0" w:type="dxa"/>
        <w:top w:w="0" w:type="dxa"/>
        <w:right w:w="0" w:type="dxa"/>
        <w:bottom w:w="0" w:type="dxa"/>
      </w:tblCellMar>
    </w:tblPr>
  </w:style>
  <w:style w:type="table" w:styleId="988" w:customStyle="1">
    <w:name w:val="List Table 5 Dark - Accent 1"/>
    <w:uiPriority w:val="99"/>
    <w:qFormat/>
    <w:tblPr>
      <w:tblCellMar>
        <w:left w:w="0" w:type="dxa"/>
        <w:top w:w="0" w:type="dxa"/>
        <w:right w:w="0" w:type="dxa"/>
        <w:bottom w:w="0" w:type="dxa"/>
      </w:tblCellMar>
    </w:tblPr>
  </w:style>
  <w:style w:type="table" w:styleId="989" w:customStyle="1">
    <w:name w:val="List Table 5 Dark - Accent 2"/>
    <w:uiPriority w:val="99"/>
    <w:qFormat/>
    <w:tblPr>
      <w:tblCellMar>
        <w:left w:w="0" w:type="dxa"/>
        <w:top w:w="0" w:type="dxa"/>
        <w:right w:w="0" w:type="dxa"/>
        <w:bottom w:w="0" w:type="dxa"/>
      </w:tblCellMar>
    </w:tblPr>
  </w:style>
  <w:style w:type="table" w:styleId="990" w:customStyle="1">
    <w:name w:val="List Table 5 Dark - Accent 3"/>
    <w:uiPriority w:val="99"/>
    <w:qFormat/>
    <w:tblPr>
      <w:tblCellMar>
        <w:left w:w="0" w:type="dxa"/>
        <w:top w:w="0" w:type="dxa"/>
        <w:right w:w="0" w:type="dxa"/>
        <w:bottom w:w="0" w:type="dxa"/>
      </w:tblCellMar>
    </w:tblPr>
  </w:style>
  <w:style w:type="table" w:styleId="991" w:customStyle="1">
    <w:name w:val="List Table 5 Dark - Accent 4"/>
    <w:uiPriority w:val="99"/>
    <w:qFormat/>
    <w:tblPr>
      <w:tblCellMar>
        <w:left w:w="0" w:type="dxa"/>
        <w:top w:w="0" w:type="dxa"/>
        <w:right w:w="0" w:type="dxa"/>
        <w:bottom w:w="0" w:type="dxa"/>
      </w:tblCellMar>
    </w:tblPr>
  </w:style>
  <w:style w:type="table" w:styleId="992" w:customStyle="1">
    <w:name w:val="List Table 5 Dark - Accent 5"/>
    <w:uiPriority w:val="99"/>
    <w:qFormat/>
    <w:tblPr>
      <w:tblCellMar>
        <w:left w:w="0" w:type="dxa"/>
        <w:top w:w="0" w:type="dxa"/>
        <w:right w:w="0" w:type="dxa"/>
        <w:bottom w:w="0" w:type="dxa"/>
      </w:tblCellMar>
    </w:tblPr>
  </w:style>
  <w:style w:type="table" w:styleId="993" w:customStyle="1">
    <w:name w:val="List Table 5 Dark - Accent 6"/>
    <w:uiPriority w:val="99"/>
    <w:qFormat/>
    <w:tblPr>
      <w:tblCellMar>
        <w:left w:w="0" w:type="dxa"/>
        <w:top w:w="0" w:type="dxa"/>
        <w:right w:w="0" w:type="dxa"/>
        <w:bottom w:w="0" w:type="dxa"/>
      </w:tblCellMar>
    </w:tblPr>
  </w:style>
  <w:style w:type="table" w:styleId="994" w:customStyle="1">
    <w:name w:val="List Table 6 Colorful - Accent 1"/>
    <w:uiPriority w:val="99"/>
    <w:qFormat/>
    <w:tblPr>
      <w:tblCellMar>
        <w:left w:w="0" w:type="dxa"/>
        <w:top w:w="0" w:type="dxa"/>
        <w:right w:w="0" w:type="dxa"/>
        <w:bottom w:w="0" w:type="dxa"/>
      </w:tblCellMar>
    </w:tblPr>
  </w:style>
  <w:style w:type="table" w:styleId="995" w:customStyle="1">
    <w:name w:val="List Table 6 Colorful - Accent 2"/>
    <w:uiPriority w:val="99"/>
    <w:qFormat/>
    <w:tblPr>
      <w:tblCellMar>
        <w:left w:w="0" w:type="dxa"/>
        <w:top w:w="0" w:type="dxa"/>
        <w:right w:w="0" w:type="dxa"/>
        <w:bottom w:w="0" w:type="dxa"/>
      </w:tblCellMar>
    </w:tblPr>
  </w:style>
  <w:style w:type="table" w:styleId="996" w:customStyle="1">
    <w:name w:val="List Table 6 Colorful - Accent 3"/>
    <w:uiPriority w:val="99"/>
    <w:qFormat/>
    <w:tblPr>
      <w:tblCellMar>
        <w:left w:w="0" w:type="dxa"/>
        <w:top w:w="0" w:type="dxa"/>
        <w:right w:w="0" w:type="dxa"/>
        <w:bottom w:w="0" w:type="dxa"/>
      </w:tblCellMar>
    </w:tblPr>
  </w:style>
  <w:style w:type="table" w:styleId="997" w:customStyle="1">
    <w:name w:val="List Table 6 Colorful - Accent 4"/>
    <w:uiPriority w:val="99"/>
    <w:qFormat/>
    <w:tblPr>
      <w:tblCellMar>
        <w:left w:w="0" w:type="dxa"/>
        <w:top w:w="0" w:type="dxa"/>
        <w:right w:w="0" w:type="dxa"/>
        <w:bottom w:w="0" w:type="dxa"/>
      </w:tblCellMar>
    </w:tblPr>
  </w:style>
  <w:style w:type="table" w:styleId="998" w:customStyle="1">
    <w:name w:val="List Table 6 Colorful - Accent 5"/>
    <w:uiPriority w:val="99"/>
    <w:qFormat/>
    <w:tblPr>
      <w:tblCellMar>
        <w:left w:w="0" w:type="dxa"/>
        <w:top w:w="0" w:type="dxa"/>
        <w:right w:w="0" w:type="dxa"/>
        <w:bottom w:w="0" w:type="dxa"/>
      </w:tblCellMar>
    </w:tblPr>
  </w:style>
  <w:style w:type="table" w:styleId="999" w:customStyle="1">
    <w:name w:val="List Table 6 Colorful - Accent 6"/>
    <w:uiPriority w:val="99"/>
    <w:qFormat/>
    <w:tblPr>
      <w:tblCellMar>
        <w:left w:w="0" w:type="dxa"/>
        <w:top w:w="0" w:type="dxa"/>
        <w:right w:w="0" w:type="dxa"/>
        <w:bottom w:w="0" w:type="dxa"/>
      </w:tblCellMar>
    </w:tblPr>
  </w:style>
  <w:style w:type="table" w:styleId="1000" w:customStyle="1">
    <w:name w:val="List Table 7 Colorful - Accent 1"/>
    <w:uiPriority w:val="99"/>
    <w:qFormat/>
    <w:tblPr>
      <w:tblCellMar>
        <w:left w:w="0" w:type="dxa"/>
        <w:top w:w="0" w:type="dxa"/>
        <w:right w:w="0" w:type="dxa"/>
        <w:bottom w:w="0" w:type="dxa"/>
      </w:tblCellMar>
    </w:tblPr>
  </w:style>
  <w:style w:type="table" w:styleId="1001" w:customStyle="1">
    <w:name w:val="List Table 7 Colorful - Accent 2"/>
    <w:uiPriority w:val="99"/>
    <w:qFormat/>
    <w:tblPr>
      <w:tblCellMar>
        <w:left w:w="0" w:type="dxa"/>
        <w:top w:w="0" w:type="dxa"/>
        <w:right w:w="0" w:type="dxa"/>
        <w:bottom w:w="0" w:type="dxa"/>
      </w:tblCellMar>
    </w:tblPr>
  </w:style>
  <w:style w:type="table" w:styleId="1002" w:customStyle="1">
    <w:name w:val="List Table 7 Colorful - Accent 3"/>
    <w:uiPriority w:val="99"/>
    <w:qFormat/>
    <w:tblPr>
      <w:tblCellMar>
        <w:left w:w="0" w:type="dxa"/>
        <w:top w:w="0" w:type="dxa"/>
        <w:right w:w="0" w:type="dxa"/>
        <w:bottom w:w="0" w:type="dxa"/>
      </w:tblCellMar>
    </w:tblPr>
  </w:style>
  <w:style w:type="table" w:styleId="1003" w:customStyle="1">
    <w:name w:val="List Table 7 Colorful - Accent 4"/>
    <w:uiPriority w:val="99"/>
    <w:qFormat/>
    <w:tblPr>
      <w:tblCellMar>
        <w:left w:w="0" w:type="dxa"/>
        <w:top w:w="0" w:type="dxa"/>
        <w:right w:w="0" w:type="dxa"/>
        <w:bottom w:w="0" w:type="dxa"/>
      </w:tblCellMar>
    </w:tblPr>
  </w:style>
  <w:style w:type="table" w:styleId="1004" w:customStyle="1">
    <w:name w:val="List Table 7 Colorful - Accent 5"/>
    <w:uiPriority w:val="99"/>
    <w:qFormat/>
    <w:tblPr>
      <w:tblCellMar>
        <w:left w:w="0" w:type="dxa"/>
        <w:top w:w="0" w:type="dxa"/>
        <w:right w:w="0" w:type="dxa"/>
        <w:bottom w:w="0" w:type="dxa"/>
      </w:tblCellMar>
    </w:tblPr>
  </w:style>
  <w:style w:type="table" w:styleId="1005" w:customStyle="1">
    <w:name w:val="List Table 7 Colorful - Accent 6"/>
    <w:uiPriority w:val="99"/>
    <w:qFormat/>
    <w:tblPr>
      <w:tblCellMar>
        <w:left w:w="0" w:type="dxa"/>
        <w:top w:w="0" w:type="dxa"/>
        <w:right w:w="0" w:type="dxa"/>
        <w:bottom w:w="0" w:type="dxa"/>
      </w:tblCellMar>
    </w:tblPr>
  </w:style>
  <w:style w:type="table" w:styleId="1006" w:customStyle="1">
    <w:name w:val="Lined - Accent"/>
    <w:uiPriority w:val="99"/>
    <w:qFormat/>
    <w:rPr>
      <w:color w:val="404040"/>
    </w:rPr>
    <w:tblPr>
      <w:tblCellMar>
        <w:left w:w="0" w:type="dxa"/>
        <w:top w:w="0" w:type="dxa"/>
        <w:right w:w="0" w:type="dxa"/>
        <w:bottom w:w="0" w:type="dxa"/>
      </w:tblCellMar>
    </w:tblPr>
  </w:style>
  <w:style w:type="table" w:styleId="1007" w:customStyle="1">
    <w:name w:val="Lined - Accent 1"/>
    <w:uiPriority w:val="99"/>
    <w:qFormat/>
    <w:rPr>
      <w:color w:val="404040"/>
    </w:rPr>
    <w:tblPr>
      <w:tblCellMar>
        <w:left w:w="0" w:type="dxa"/>
        <w:top w:w="0" w:type="dxa"/>
        <w:right w:w="0" w:type="dxa"/>
        <w:bottom w:w="0" w:type="dxa"/>
      </w:tblCellMar>
    </w:tblPr>
  </w:style>
  <w:style w:type="table" w:styleId="1008" w:customStyle="1">
    <w:name w:val="Lined - Accent 2"/>
    <w:uiPriority w:val="99"/>
    <w:qFormat/>
    <w:rPr>
      <w:color w:val="404040"/>
    </w:rPr>
    <w:tblPr>
      <w:tblCellMar>
        <w:left w:w="0" w:type="dxa"/>
        <w:top w:w="0" w:type="dxa"/>
        <w:right w:w="0" w:type="dxa"/>
        <w:bottom w:w="0" w:type="dxa"/>
      </w:tblCellMar>
    </w:tblPr>
  </w:style>
  <w:style w:type="table" w:styleId="1009" w:customStyle="1">
    <w:name w:val="Lined - Accent 3"/>
    <w:uiPriority w:val="99"/>
    <w:qFormat/>
    <w:rPr>
      <w:color w:val="404040"/>
    </w:rPr>
    <w:tblPr>
      <w:tblCellMar>
        <w:left w:w="0" w:type="dxa"/>
        <w:top w:w="0" w:type="dxa"/>
        <w:right w:w="0" w:type="dxa"/>
        <w:bottom w:w="0" w:type="dxa"/>
      </w:tblCellMar>
    </w:tblPr>
  </w:style>
  <w:style w:type="table" w:styleId="1010" w:customStyle="1">
    <w:name w:val="Lined - Accent 4"/>
    <w:uiPriority w:val="99"/>
    <w:qFormat/>
    <w:rPr>
      <w:color w:val="404040"/>
    </w:rPr>
    <w:tblPr>
      <w:tblCellMar>
        <w:left w:w="0" w:type="dxa"/>
        <w:top w:w="0" w:type="dxa"/>
        <w:right w:w="0" w:type="dxa"/>
        <w:bottom w:w="0" w:type="dxa"/>
      </w:tblCellMar>
    </w:tblPr>
  </w:style>
  <w:style w:type="table" w:styleId="1011" w:customStyle="1">
    <w:name w:val="Lined - Accent 5"/>
    <w:uiPriority w:val="99"/>
    <w:qFormat/>
    <w:rPr>
      <w:color w:val="404040"/>
    </w:rPr>
    <w:tblPr>
      <w:tblCellMar>
        <w:left w:w="0" w:type="dxa"/>
        <w:top w:w="0" w:type="dxa"/>
        <w:right w:w="0" w:type="dxa"/>
        <w:bottom w:w="0" w:type="dxa"/>
      </w:tblCellMar>
    </w:tblPr>
  </w:style>
  <w:style w:type="table" w:styleId="1012" w:customStyle="1">
    <w:name w:val="Lined - Accent 6"/>
    <w:uiPriority w:val="99"/>
    <w:qFormat/>
    <w:rPr>
      <w:color w:val="404040"/>
    </w:rPr>
    <w:tblPr>
      <w:tblCellMar>
        <w:left w:w="0" w:type="dxa"/>
        <w:top w:w="0" w:type="dxa"/>
        <w:right w:w="0" w:type="dxa"/>
        <w:bottom w:w="0" w:type="dxa"/>
      </w:tblCellMar>
    </w:tblPr>
  </w:style>
  <w:style w:type="table" w:styleId="1013" w:customStyle="1">
    <w:name w:val="Bordered &amp; Lined - Accent"/>
    <w:uiPriority w:val="99"/>
    <w:qFormat/>
    <w:rPr>
      <w:color w:val="404040"/>
    </w:rPr>
    <w:tblPr>
      <w:tblCellMar>
        <w:left w:w="0" w:type="dxa"/>
        <w:top w:w="0" w:type="dxa"/>
        <w:right w:w="0" w:type="dxa"/>
        <w:bottom w:w="0" w:type="dxa"/>
      </w:tblCellMar>
    </w:tblPr>
  </w:style>
  <w:style w:type="table" w:styleId="1014" w:customStyle="1">
    <w:name w:val="Bordered &amp; Lined - Accent 1"/>
    <w:uiPriority w:val="99"/>
    <w:qFormat/>
    <w:rPr>
      <w:color w:val="404040"/>
    </w:rPr>
    <w:tblPr>
      <w:tblCellMar>
        <w:left w:w="0" w:type="dxa"/>
        <w:top w:w="0" w:type="dxa"/>
        <w:right w:w="0" w:type="dxa"/>
        <w:bottom w:w="0" w:type="dxa"/>
      </w:tblCellMar>
    </w:tblPr>
  </w:style>
  <w:style w:type="table" w:styleId="1015" w:customStyle="1">
    <w:name w:val="Bordered &amp; Lined - Accent 2"/>
    <w:uiPriority w:val="99"/>
    <w:qFormat/>
    <w:rPr>
      <w:color w:val="404040"/>
    </w:rPr>
    <w:tblPr>
      <w:tblCellMar>
        <w:left w:w="0" w:type="dxa"/>
        <w:top w:w="0" w:type="dxa"/>
        <w:right w:w="0" w:type="dxa"/>
        <w:bottom w:w="0" w:type="dxa"/>
      </w:tblCellMar>
    </w:tblPr>
  </w:style>
  <w:style w:type="table" w:styleId="1016" w:customStyle="1">
    <w:name w:val="Bordered &amp; Lined - Accent 3"/>
    <w:uiPriority w:val="99"/>
    <w:qFormat/>
    <w:rPr>
      <w:color w:val="404040"/>
    </w:rPr>
    <w:tblPr>
      <w:tblCellMar>
        <w:left w:w="0" w:type="dxa"/>
        <w:top w:w="0" w:type="dxa"/>
        <w:right w:w="0" w:type="dxa"/>
        <w:bottom w:w="0" w:type="dxa"/>
      </w:tblCellMar>
    </w:tblPr>
  </w:style>
  <w:style w:type="table" w:styleId="1017" w:customStyle="1">
    <w:name w:val="Bordered &amp; Lined - Accent 4"/>
    <w:uiPriority w:val="99"/>
    <w:qFormat/>
    <w:rPr>
      <w:color w:val="404040"/>
    </w:rPr>
    <w:tblPr>
      <w:tblCellMar>
        <w:left w:w="0" w:type="dxa"/>
        <w:top w:w="0" w:type="dxa"/>
        <w:right w:w="0" w:type="dxa"/>
        <w:bottom w:w="0" w:type="dxa"/>
      </w:tblCellMar>
    </w:tblPr>
  </w:style>
  <w:style w:type="table" w:styleId="1018" w:customStyle="1">
    <w:name w:val="Bordered &amp; Lined - Accent 5"/>
    <w:uiPriority w:val="99"/>
    <w:qFormat/>
    <w:rPr>
      <w:color w:val="404040"/>
    </w:rPr>
    <w:tblPr>
      <w:tblCellMar>
        <w:left w:w="0" w:type="dxa"/>
        <w:top w:w="0" w:type="dxa"/>
        <w:right w:w="0" w:type="dxa"/>
        <w:bottom w:w="0" w:type="dxa"/>
      </w:tblCellMar>
    </w:tblPr>
  </w:style>
  <w:style w:type="table" w:styleId="1019" w:customStyle="1">
    <w:name w:val="Bordered &amp; Lined - Accent 6"/>
    <w:uiPriority w:val="99"/>
    <w:qFormat/>
    <w:rPr>
      <w:color w:val="404040"/>
    </w:rPr>
    <w:tblPr>
      <w:tblCellMar>
        <w:left w:w="0" w:type="dxa"/>
        <w:top w:w="0" w:type="dxa"/>
        <w:right w:w="0" w:type="dxa"/>
        <w:bottom w:w="0" w:type="dxa"/>
      </w:tblCellMar>
    </w:tblPr>
  </w:style>
  <w:style w:type="table" w:styleId="1020" w:customStyle="1">
    <w:name w:val="Bordered"/>
    <w:uiPriority w:val="99"/>
    <w:qFormat/>
    <w:tblPr>
      <w:tblCellMar>
        <w:left w:w="0" w:type="dxa"/>
        <w:top w:w="0" w:type="dxa"/>
        <w:right w:w="0" w:type="dxa"/>
        <w:bottom w:w="0" w:type="dxa"/>
      </w:tblCellMar>
    </w:tblPr>
  </w:style>
  <w:style w:type="table" w:styleId="1021" w:customStyle="1">
    <w:name w:val="Bordered - Accent 1"/>
    <w:uiPriority w:val="99"/>
    <w:qFormat/>
    <w:tblPr>
      <w:tblCellMar>
        <w:left w:w="0" w:type="dxa"/>
        <w:top w:w="0" w:type="dxa"/>
        <w:right w:w="0" w:type="dxa"/>
        <w:bottom w:w="0" w:type="dxa"/>
      </w:tblCellMar>
    </w:tblPr>
  </w:style>
  <w:style w:type="table" w:styleId="1022" w:customStyle="1">
    <w:name w:val="Bordered - Accent 2"/>
    <w:uiPriority w:val="99"/>
    <w:qFormat/>
    <w:tblPr>
      <w:tblCellMar>
        <w:left w:w="0" w:type="dxa"/>
        <w:top w:w="0" w:type="dxa"/>
        <w:right w:w="0" w:type="dxa"/>
        <w:bottom w:w="0" w:type="dxa"/>
      </w:tblCellMar>
    </w:tblPr>
  </w:style>
  <w:style w:type="table" w:styleId="1023" w:customStyle="1">
    <w:name w:val="Bordered - Accent 3"/>
    <w:uiPriority w:val="99"/>
    <w:qFormat/>
    <w:tblPr>
      <w:tblCellMar>
        <w:left w:w="0" w:type="dxa"/>
        <w:top w:w="0" w:type="dxa"/>
        <w:right w:w="0" w:type="dxa"/>
        <w:bottom w:w="0" w:type="dxa"/>
      </w:tblCellMar>
    </w:tblPr>
  </w:style>
  <w:style w:type="table" w:styleId="1024" w:customStyle="1">
    <w:name w:val="Bordered - Accent 4"/>
    <w:uiPriority w:val="99"/>
    <w:qFormat/>
    <w:tblPr>
      <w:tblCellMar>
        <w:left w:w="0" w:type="dxa"/>
        <w:top w:w="0" w:type="dxa"/>
        <w:right w:w="0" w:type="dxa"/>
        <w:bottom w:w="0" w:type="dxa"/>
      </w:tblCellMar>
    </w:tblPr>
  </w:style>
  <w:style w:type="table" w:styleId="1025" w:customStyle="1">
    <w:name w:val="Bordered - Accent 5"/>
    <w:uiPriority w:val="99"/>
    <w:qFormat/>
    <w:tblPr>
      <w:tblCellMar>
        <w:left w:w="0" w:type="dxa"/>
        <w:top w:w="0" w:type="dxa"/>
        <w:right w:w="0" w:type="dxa"/>
        <w:bottom w:w="0" w:type="dxa"/>
      </w:tblCellMar>
    </w:tblPr>
  </w:style>
  <w:style w:type="table" w:styleId="1026" w:customStyle="1">
    <w:name w:val="Bordered - Accent 6"/>
    <w:uiPriority w:val="99"/>
    <w:qFormat/>
    <w:tblPr>
      <w:tblCellMar>
        <w:left w:w="0" w:type="dxa"/>
        <w:top w:w="0" w:type="dxa"/>
        <w:right w:w="0" w:type="dxa"/>
        <w:bottom w:w="0" w:type="dxa"/>
      </w:tblCellMar>
    </w:tblPr>
  </w:style>
  <w:style w:type="paragraph" w:styleId="1027" w:customStyle="1">
    <w:name w:val="TOC 标题11"/>
    <w:uiPriority w:val="39"/>
    <w:unhideWhenUsed/>
    <w:qFormat/>
    <w:rPr>
      <w:rFonts w:hint="default" w:ascii="Times New Roman" w:hAnsi="Times New Roman" w:eastAsia="宋体" w:cs="Times New Roman"/>
      <w:lang w:val="en-US" w:eastAsia="zh-CN" w:bidi="ar-SA"/>
    </w:rPr>
  </w:style>
  <w:style w:type="paragraph" w:styleId="1028" w:customStyle="1">
    <w:name w:val="标题 11"/>
    <w:basedOn w:val="706"/>
    <w:next w:val="706"/>
    <w:link w:val="1029"/>
    <w:uiPriority w:val="9"/>
    <w:qFormat/>
    <w:pPr>
      <w:jc w:val="center"/>
      <w:keepNext/>
      <w:outlineLvl w:val="0"/>
    </w:pPr>
    <w:rPr>
      <w:rFonts w:ascii="楷体_GB2312" w:eastAsia="楷体_GB2312"/>
      <w:sz w:val="28"/>
      <w:szCs w:val="28"/>
      <w:lang w:eastAsia="en-US"/>
    </w:rPr>
  </w:style>
  <w:style w:type="character" w:styleId="1029" w:customStyle="1">
    <w:name w:val="标题 1 字符"/>
    <w:link w:val="1028"/>
    <w:uiPriority w:val="0"/>
    <w:qFormat/>
    <w:rPr>
      <w:rFonts w:ascii="楷体_GB2312" w:hAnsi="Times New Roman" w:eastAsia="楷体_GB2312" w:cs="Times New Roman"/>
      <w:sz w:val="28"/>
      <w:szCs w:val="28"/>
    </w:rPr>
  </w:style>
  <w:style w:type="paragraph" w:styleId="1030" w:customStyle="1">
    <w:name w:val="标题 21"/>
    <w:basedOn w:val="706"/>
    <w:next w:val="761"/>
    <w:link w:val="1031"/>
    <w:uiPriority w:val="0"/>
    <w:qFormat/>
    <w:pPr>
      <w:jc w:val="center"/>
      <w:keepLines/>
      <w:keepNext/>
      <w:spacing w:before="260" w:after="260" w:line="416" w:lineRule="auto"/>
      <w:outlineLvl w:val="1"/>
    </w:pPr>
    <w:rPr>
      <w:rFonts w:ascii="Arial" w:hAnsi="Arial" w:eastAsia="幼圆"/>
      <w:b/>
      <w:bCs/>
      <w:sz w:val="44"/>
      <w:szCs w:val="44"/>
      <w:lang w:eastAsia="en-US"/>
    </w:rPr>
  </w:style>
  <w:style w:type="character" w:styleId="1031" w:customStyle="1">
    <w:name w:val="标题 2 字符"/>
    <w:link w:val="1030"/>
    <w:uiPriority w:val="0"/>
    <w:qFormat/>
    <w:rPr>
      <w:rFonts w:ascii="Arial" w:hAnsi="Arial" w:eastAsia="幼圆" w:cs="Arial"/>
      <w:b/>
      <w:bCs/>
      <w:sz w:val="44"/>
      <w:szCs w:val="44"/>
    </w:rPr>
  </w:style>
  <w:style w:type="character" w:styleId="1032" w:customStyle="1">
    <w:name w:val="正文缩进 字符"/>
    <w:link w:val="761"/>
    <w:uiPriority w:val="0"/>
    <w:qFormat/>
    <w:rPr>
      <w:szCs w:val="21"/>
    </w:rPr>
  </w:style>
  <w:style w:type="paragraph" w:styleId="1033" w:customStyle="1">
    <w:name w:val="标题 31"/>
    <w:basedOn w:val="706"/>
    <w:next w:val="761"/>
    <w:link w:val="1034"/>
    <w:uiPriority w:val="0"/>
    <w:qFormat/>
    <w:pPr>
      <w:keepLines/>
      <w:keepNext/>
      <w:spacing w:before="260" w:after="260" w:line="416" w:lineRule="auto"/>
      <w:outlineLvl w:val="2"/>
    </w:pPr>
    <w:rPr>
      <w:b/>
      <w:bCs/>
      <w:sz w:val="32"/>
      <w:szCs w:val="32"/>
      <w:lang w:eastAsia="en-US"/>
    </w:rPr>
  </w:style>
  <w:style w:type="character" w:styleId="1034" w:customStyle="1">
    <w:name w:val="标题 3 字符"/>
    <w:link w:val="1033"/>
    <w:uiPriority w:val="0"/>
    <w:qFormat/>
    <w:rPr>
      <w:rFonts w:ascii="Times New Roman" w:hAnsi="Times New Roman" w:eastAsia="宋体" w:cs="Times New Roman"/>
      <w:b/>
      <w:bCs/>
      <w:sz w:val="32"/>
      <w:szCs w:val="32"/>
    </w:rPr>
  </w:style>
  <w:style w:type="paragraph" w:styleId="1035" w:customStyle="1">
    <w:name w:val="标题 41"/>
    <w:basedOn w:val="706"/>
    <w:next w:val="706"/>
    <w:link w:val="1036"/>
    <w:uiPriority w:val="0"/>
    <w:qFormat/>
    <w:pPr>
      <w:keepLines/>
      <w:keepNext/>
      <w:spacing w:before="280" w:after="290" w:line="376" w:lineRule="auto"/>
      <w:outlineLvl w:val="3"/>
    </w:pPr>
    <w:rPr>
      <w:rFonts w:ascii="Arial" w:hAnsi="Arial" w:eastAsia="黑体"/>
      <w:b/>
      <w:bCs/>
      <w:sz w:val="28"/>
      <w:szCs w:val="28"/>
      <w:lang w:eastAsia="en-US"/>
    </w:rPr>
  </w:style>
  <w:style w:type="character" w:styleId="1036" w:customStyle="1">
    <w:name w:val="标题 4 字符"/>
    <w:link w:val="1035"/>
    <w:uiPriority w:val="0"/>
    <w:qFormat/>
    <w:rPr>
      <w:rFonts w:ascii="Arial" w:hAnsi="Arial" w:eastAsia="黑体" w:cs="Arial"/>
      <w:b/>
      <w:bCs/>
      <w:sz w:val="28"/>
      <w:szCs w:val="28"/>
    </w:rPr>
  </w:style>
  <w:style w:type="paragraph" w:styleId="1037" w:customStyle="1">
    <w:name w:val="标题 51"/>
    <w:basedOn w:val="706"/>
    <w:next w:val="761"/>
    <w:link w:val="1038"/>
    <w:uiPriority w:val="0"/>
    <w:qFormat/>
    <w:pPr>
      <w:keepNext/>
      <w:outlineLvl w:val="4"/>
    </w:pPr>
    <w:rPr>
      <w:rFonts w:ascii="宋体"/>
      <w:color w:val="000000"/>
      <w:sz w:val="28"/>
      <w:szCs w:val="28"/>
      <w:lang w:eastAsia="en-US"/>
    </w:rPr>
  </w:style>
  <w:style w:type="character" w:styleId="1038" w:customStyle="1">
    <w:name w:val="标题 5 字符"/>
    <w:link w:val="1037"/>
    <w:uiPriority w:val="0"/>
    <w:qFormat/>
    <w:rPr>
      <w:rFonts w:ascii="宋体" w:hAnsi="Times New Roman" w:eastAsia="宋体" w:cs="Times New Roman"/>
      <w:color w:val="000000"/>
      <w:sz w:val="28"/>
      <w:szCs w:val="28"/>
    </w:rPr>
  </w:style>
  <w:style w:type="paragraph" w:styleId="1039" w:customStyle="1">
    <w:name w:val="标题 61"/>
    <w:basedOn w:val="706"/>
    <w:next w:val="706"/>
    <w:link w:val="104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0" w:customStyle="1">
    <w:name w:val="标题 6 字符"/>
    <w:link w:val="1039"/>
    <w:uiPriority w:val="0"/>
    <w:qFormat/>
    <w:rPr>
      <w:rFonts w:ascii="Arial" w:hAnsi="Arial" w:eastAsia="黑体" w:cs="Times New Roman"/>
      <w:b/>
      <w:bCs/>
      <w:sz w:val="24"/>
      <w:szCs w:val="24"/>
    </w:rPr>
  </w:style>
  <w:style w:type="paragraph" w:styleId="1041" w:customStyle="1">
    <w:name w:val="标题 71"/>
    <w:basedOn w:val="706"/>
    <w:next w:val="706"/>
    <w:link w:val="1042"/>
    <w:uiPriority w:val="0"/>
    <w:qFormat/>
    <w:pPr>
      <w:numPr>
        <w:ilvl w:val="6"/>
        <w:numId w:val="1"/>
      </w:numPr>
      <w:keepLines/>
      <w:keepNext/>
      <w:spacing w:before="240" w:after="64" w:line="320" w:lineRule="auto"/>
      <w:outlineLvl w:val="6"/>
    </w:pPr>
    <w:rPr>
      <w:b/>
      <w:bCs/>
      <w:sz w:val="24"/>
      <w:szCs w:val="24"/>
      <w:lang w:eastAsia="en-US"/>
    </w:rPr>
  </w:style>
  <w:style w:type="character" w:styleId="1042" w:customStyle="1">
    <w:name w:val="标题 7 字符"/>
    <w:link w:val="1041"/>
    <w:uiPriority w:val="0"/>
    <w:qFormat/>
    <w:rPr>
      <w:rFonts w:ascii="Times New Roman" w:hAnsi="Times New Roman" w:eastAsia="宋体" w:cs="Times New Roman"/>
      <w:b/>
      <w:bCs/>
      <w:sz w:val="24"/>
      <w:szCs w:val="24"/>
    </w:rPr>
  </w:style>
  <w:style w:type="paragraph" w:styleId="1043" w:customStyle="1">
    <w:name w:val="标题 81"/>
    <w:basedOn w:val="706"/>
    <w:next w:val="706"/>
    <w:link w:val="104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4" w:customStyle="1">
    <w:name w:val="标题 8 字符"/>
    <w:link w:val="1043"/>
    <w:uiPriority w:val="0"/>
    <w:qFormat/>
    <w:rPr>
      <w:rFonts w:ascii="Arial" w:hAnsi="Arial" w:eastAsia="黑体" w:cs="Times New Roman"/>
      <w:sz w:val="24"/>
      <w:szCs w:val="24"/>
    </w:rPr>
  </w:style>
  <w:style w:type="paragraph" w:styleId="1045" w:customStyle="1">
    <w:name w:val="标题 91"/>
    <w:basedOn w:val="706"/>
    <w:next w:val="706"/>
    <w:link w:val="1046"/>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6" w:customStyle="1">
    <w:name w:val="标题 9 字符"/>
    <w:link w:val="1045"/>
    <w:uiPriority w:val="0"/>
    <w:qFormat/>
    <w:rPr>
      <w:rFonts w:ascii="Arial" w:hAnsi="Arial" w:eastAsia="黑体" w:cs="Times New Roman"/>
      <w:szCs w:val="21"/>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paragraph" w:styleId="1049" w:customStyle="1">
    <w:name w:val="列表 31"/>
    <w:basedOn w:val="706"/>
    <w:uiPriority w:val="0"/>
    <w:qFormat/>
    <w:pPr>
      <w:ind w:left="100" w:hanging="200"/>
    </w:pPr>
    <w:rPr>
      <w:szCs w:val="21"/>
    </w:rPr>
  </w:style>
  <w:style w:type="paragraph" w:styleId="1050" w:customStyle="1">
    <w:name w:val="目录 71"/>
    <w:basedOn w:val="706"/>
    <w:next w:val="706"/>
    <w:uiPriority w:val="0"/>
    <w:semiHidden/>
    <w:qFormat/>
    <w:pPr>
      <w:ind w:left="1260"/>
      <w:jc w:val="left"/>
    </w:pPr>
    <w:rPr>
      <w:szCs w:val="21"/>
    </w:rPr>
  </w:style>
  <w:style w:type="paragraph" w:styleId="1051" w:customStyle="1">
    <w:name w:val="文档结构图1"/>
    <w:basedOn w:val="706"/>
    <w:link w:val="1052"/>
    <w:uiPriority w:val="0"/>
    <w:semiHidden/>
    <w:qFormat/>
    <w:pPr>
      <w:shd w:val="clear" w:color="auto" w:fill="000080"/>
    </w:pPr>
    <w:rPr>
      <w:sz w:val="20"/>
      <w:szCs w:val="21"/>
      <w:lang w:eastAsia="en-US"/>
    </w:rPr>
  </w:style>
  <w:style w:type="character" w:styleId="1052" w:customStyle="1">
    <w:name w:val="文档结构图 字符"/>
    <w:link w:val="1051"/>
    <w:uiPriority w:val="0"/>
    <w:semiHidden/>
    <w:qFormat/>
    <w:rPr>
      <w:rFonts w:ascii="Times New Roman" w:hAnsi="Times New Roman" w:eastAsia="宋体" w:cs="Times New Roman"/>
      <w:szCs w:val="21"/>
      <w:shd w:val="clear" w:color="auto" w:fill="000080"/>
    </w:rPr>
  </w:style>
  <w:style w:type="paragraph" w:styleId="1053" w:customStyle="1">
    <w:name w:val="批注文字1"/>
    <w:basedOn w:val="706"/>
    <w:link w:val="1054"/>
    <w:uiPriority w:val="99"/>
    <w:unhideWhenUsed/>
    <w:qFormat/>
    <w:pPr>
      <w:jc w:val="left"/>
    </w:pPr>
  </w:style>
  <w:style w:type="character" w:styleId="1054" w:customStyle="1">
    <w:name w:val="批注文字 字符"/>
    <w:link w:val="1053"/>
    <w:uiPriority w:val="99"/>
    <w:semiHidden/>
    <w:qFormat/>
  </w:style>
  <w:style w:type="paragraph" w:styleId="1055" w:customStyle="1">
    <w:name w:val="正文文本 31"/>
    <w:basedOn w:val="706"/>
    <w:link w:val="1056"/>
    <w:uiPriority w:val="0"/>
    <w:qFormat/>
    <w:rPr>
      <w:rFonts w:ascii="仿宋_GB2312" w:hAnsi="Arial" w:eastAsia="仿宋_GB2312"/>
      <w:sz w:val="32"/>
      <w:szCs w:val="32"/>
      <w:lang w:eastAsia="en-US"/>
    </w:rPr>
  </w:style>
  <w:style w:type="character" w:styleId="1056" w:customStyle="1">
    <w:name w:val="正文文本 3 字符"/>
    <w:link w:val="1055"/>
    <w:uiPriority w:val="0"/>
    <w:qFormat/>
    <w:rPr>
      <w:rFonts w:ascii="仿宋_GB2312" w:hAnsi="Arial" w:eastAsia="仿宋_GB2312" w:cs="Times New Roman"/>
      <w:sz w:val="32"/>
      <w:szCs w:val="32"/>
    </w:rPr>
  </w:style>
  <w:style w:type="paragraph" w:styleId="1057" w:customStyle="1">
    <w:name w:val="正文文本11"/>
    <w:basedOn w:val="706"/>
    <w:next w:val="761"/>
    <w:link w:val="1058"/>
    <w:uiPriority w:val="0"/>
    <w:qFormat/>
    <w:rPr>
      <w:rFonts w:ascii="楷体_GB2312" w:hAnsi="Arial" w:eastAsia="楷体_GB2312"/>
      <w:sz w:val="28"/>
      <w:szCs w:val="28"/>
      <w:lang w:eastAsia="en-US"/>
    </w:rPr>
  </w:style>
  <w:style w:type="character" w:styleId="1058" w:customStyle="1">
    <w:name w:val="正文文本 字符"/>
    <w:link w:val="1057"/>
    <w:uiPriority w:val="0"/>
    <w:qFormat/>
    <w:rPr>
      <w:rFonts w:ascii="楷体_GB2312" w:hAnsi="Arial" w:eastAsia="楷体_GB2312" w:cs="Times New Roman"/>
      <w:sz w:val="28"/>
      <w:szCs w:val="28"/>
    </w:rPr>
  </w:style>
  <w:style w:type="paragraph" w:styleId="1059" w:customStyle="1">
    <w:name w:val="正文文本缩进1"/>
    <w:basedOn w:val="706"/>
    <w:link w:val="1060"/>
    <w:uiPriority w:val="99"/>
    <w:unhideWhenUsed/>
    <w:qFormat/>
    <w:pPr>
      <w:ind w:left="420"/>
      <w:spacing w:after="120"/>
    </w:pPr>
  </w:style>
  <w:style w:type="character" w:styleId="1060" w:customStyle="1">
    <w:name w:val="正文文本缩进 字符"/>
    <w:link w:val="1059"/>
    <w:uiPriority w:val="99"/>
    <w:semiHidden/>
    <w:qFormat/>
  </w:style>
  <w:style w:type="paragraph" w:styleId="1061" w:customStyle="1">
    <w:name w:val="列表 21"/>
    <w:basedOn w:val="706"/>
    <w:uiPriority w:val="0"/>
    <w:qFormat/>
    <w:pPr>
      <w:ind w:left="100" w:hanging="200"/>
    </w:pPr>
    <w:rPr>
      <w:szCs w:val="21"/>
    </w:rPr>
  </w:style>
  <w:style w:type="paragraph" w:styleId="1062" w:customStyle="1">
    <w:name w:val="目录 51"/>
    <w:basedOn w:val="706"/>
    <w:next w:val="706"/>
    <w:uiPriority w:val="0"/>
    <w:semiHidden/>
    <w:qFormat/>
    <w:pPr>
      <w:ind w:left="840"/>
      <w:jc w:val="left"/>
    </w:pPr>
    <w:rPr>
      <w:szCs w:val="21"/>
    </w:rPr>
  </w:style>
  <w:style w:type="paragraph" w:styleId="1063" w:customStyle="1">
    <w:name w:val="目录 31"/>
    <w:basedOn w:val="706"/>
    <w:next w:val="706"/>
    <w:uiPriority w:val="0"/>
    <w:semiHidden/>
    <w:qFormat/>
    <w:pPr>
      <w:ind w:left="420"/>
      <w:jc w:val="left"/>
    </w:pPr>
    <w:rPr>
      <w:i/>
      <w:iCs/>
      <w:szCs w:val="24"/>
    </w:rPr>
  </w:style>
  <w:style w:type="paragraph" w:styleId="1064" w:customStyle="1">
    <w:name w:val="纯文本1"/>
    <w:basedOn w:val="706"/>
    <w:link w:val="1065"/>
    <w:uiPriority w:val="0"/>
    <w:qFormat/>
    <w:rPr>
      <w:rFonts w:ascii="宋体" w:hAnsi="Courier New"/>
      <w:sz w:val="20"/>
      <w:szCs w:val="21"/>
      <w:lang w:eastAsia="en-US"/>
    </w:rPr>
  </w:style>
  <w:style w:type="character" w:styleId="1065" w:customStyle="1">
    <w:name w:val="纯文本 字符"/>
    <w:link w:val="1064"/>
    <w:uiPriority w:val="0"/>
    <w:qFormat/>
    <w:rPr>
      <w:rFonts w:ascii="宋体" w:hAnsi="Courier New" w:eastAsia="宋体" w:cs="Courier New"/>
      <w:szCs w:val="21"/>
    </w:rPr>
  </w:style>
  <w:style w:type="paragraph" w:styleId="1066" w:customStyle="1">
    <w:name w:val="目录 81"/>
    <w:basedOn w:val="706"/>
    <w:next w:val="706"/>
    <w:uiPriority w:val="0"/>
    <w:semiHidden/>
    <w:qFormat/>
    <w:pPr>
      <w:ind w:left="1470"/>
      <w:jc w:val="left"/>
    </w:pPr>
    <w:rPr>
      <w:szCs w:val="21"/>
    </w:rPr>
  </w:style>
  <w:style w:type="paragraph" w:styleId="1067" w:customStyle="1">
    <w:name w:val="日期1"/>
    <w:basedOn w:val="706"/>
    <w:next w:val="706"/>
    <w:link w:val="1068"/>
    <w:uiPriority w:val="0"/>
    <w:qFormat/>
    <w:rPr>
      <w:sz w:val="24"/>
      <w:szCs w:val="24"/>
      <w:lang w:eastAsia="en-US"/>
    </w:rPr>
  </w:style>
  <w:style w:type="character" w:styleId="1068" w:customStyle="1">
    <w:name w:val="日期 字符"/>
    <w:link w:val="1067"/>
    <w:uiPriority w:val="0"/>
    <w:qFormat/>
    <w:rPr>
      <w:rFonts w:ascii="Times New Roman" w:hAnsi="Times New Roman" w:eastAsia="宋体" w:cs="Times New Roman"/>
      <w:sz w:val="24"/>
      <w:szCs w:val="24"/>
    </w:rPr>
  </w:style>
  <w:style w:type="paragraph" w:styleId="1069" w:customStyle="1">
    <w:name w:val="正文文本缩进 21"/>
    <w:basedOn w:val="706"/>
    <w:link w:val="1070"/>
    <w:uiPriority w:val="0"/>
    <w:qFormat/>
    <w:pPr>
      <w:ind w:left="630" w:firstLine="645"/>
    </w:pPr>
    <w:rPr>
      <w:rFonts w:ascii="Arial" w:hAnsi="Arial" w:eastAsia="仿宋_GB2312"/>
      <w:sz w:val="32"/>
      <w:szCs w:val="32"/>
      <w:lang w:eastAsia="en-US"/>
    </w:rPr>
  </w:style>
  <w:style w:type="character" w:styleId="1070" w:customStyle="1">
    <w:name w:val="正文文本缩进 2 字符"/>
    <w:link w:val="1069"/>
    <w:uiPriority w:val="0"/>
    <w:qFormat/>
    <w:rPr>
      <w:rFonts w:ascii="Arial" w:hAnsi="Arial" w:eastAsia="仿宋_GB2312" w:cs="Arial"/>
      <w:sz w:val="32"/>
      <w:szCs w:val="32"/>
    </w:rPr>
  </w:style>
  <w:style w:type="paragraph" w:styleId="1071" w:customStyle="1">
    <w:name w:val="批注框文本1"/>
    <w:basedOn w:val="706"/>
    <w:link w:val="1072"/>
    <w:uiPriority w:val="0"/>
    <w:semiHidden/>
    <w:qFormat/>
    <w:rPr>
      <w:sz w:val="18"/>
      <w:szCs w:val="18"/>
      <w:lang w:eastAsia="en-US"/>
    </w:rPr>
  </w:style>
  <w:style w:type="character" w:styleId="1072" w:customStyle="1">
    <w:name w:val="批注框文本 字符"/>
    <w:link w:val="1071"/>
    <w:uiPriority w:val="0"/>
    <w:semiHidden/>
    <w:qFormat/>
    <w:rPr>
      <w:rFonts w:ascii="Times New Roman" w:hAnsi="Times New Roman" w:eastAsia="宋体" w:cs="Times New Roman"/>
      <w:sz w:val="18"/>
      <w:szCs w:val="18"/>
    </w:rPr>
  </w:style>
  <w:style w:type="paragraph" w:styleId="1073" w:customStyle="1">
    <w:name w:val="页脚1"/>
    <w:basedOn w:val="706"/>
    <w:link w:val="1074"/>
    <w:uiPriority w:val="99"/>
    <w:qFormat/>
    <w:pPr>
      <w:jc w:val="left"/>
      <w:tabs>
        <w:tab w:val="center" w:pos="4153" w:leader="none"/>
        <w:tab w:val="right" w:pos="8306" w:leader="none"/>
      </w:tabs>
    </w:pPr>
    <w:rPr>
      <w:sz w:val="18"/>
      <w:szCs w:val="18"/>
      <w:lang w:eastAsia="en-US"/>
    </w:rPr>
  </w:style>
  <w:style w:type="character" w:styleId="1074" w:customStyle="1">
    <w:name w:val="页脚 字符"/>
    <w:link w:val="1073"/>
    <w:uiPriority w:val="99"/>
    <w:qFormat/>
    <w:rPr>
      <w:rFonts w:ascii="Times New Roman" w:hAnsi="Times New Roman" w:eastAsia="宋体" w:cs="Times New Roman"/>
      <w:sz w:val="18"/>
      <w:szCs w:val="18"/>
    </w:rPr>
  </w:style>
  <w:style w:type="paragraph" w:styleId="1075" w:customStyle="1">
    <w:name w:val="页眉1"/>
    <w:basedOn w:val="706"/>
    <w:link w:val="10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76" w:customStyle="1">
    <w:name w:val="页眉 字符"/>
    <w:link w:val="1075"/>
    <w:uiPriority w:val="0"/>
    <w:qFormat/>
    <w:rPr>
      <w:rFonts w:ascii="Times New Roman" w:hAnsi="Times New Roman" w:eastAsia="宋体" w:cs="Times New Roman"/>
      <w:sz w:val="18"/>
      <w:szCs w:val="18"/>
    </w:rPr>
  </w:style>
  <w:style w:type="paragraph" w:styleId="1077"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706"/>
    <w:next w:val="706"/>
    <w:uiPriority w:val="0"/>
    <w:semiHidden/>
    <w:qFormat/>
    <w:pPr>
      <w:ind w:left="630"/>
      <w:jc w:val="left"/>
    </w:pPr>
    <w:rPr>
      <w:szCs w:val="21"/>
    </w:rPr>
  </w:style>
  <w:style w:type="paragraph" w:styleId="1079" w:customStyle="1">
    <w:name w:val="列表1"/>
    <w:basedOn w:val="706"/>
    <w:uiPriority w:val="0"/>
    <w:qFormat/>
    <w:pPr>
      <w:ind w:left="200" w:hanging="200"/>
    </w:pPr>
    <w:rPr>
      <w:szCs w:val="21"/>
    </w:rPr>
  </w:style>
  <w:style w:type="paragraph" w:styleId="1080" w:customStyle="1">
    <w:name w:val="目录 61"/>
    <w:basedOn w:val="706"/>
    <w:next w:val="706"/>
    <w:uiPriority w:val="0"/>
    <w:semiHidden/>
    <w:qFormat/>
    <w:pPr>
      <w:ind w:left="1050"/>
      <w:jc w:val="left"/>
    </w:pPr>
    <w:rPr>
      <w:szCs w:val="21"/>
    </w:rPr>
  </w:style>
  <w:style w:type="paragraph" w:styleId="1081" w:customStyle="1">
    <w:name w:val="正文文本缩进 31"/>
    <w:basedOn w:val="706"/>
    <w:link w:val="1082"/>
    <w:uiPriority w:val="0"/>
    <w:qFormat/>
    <w:pPr>
      <w:ind w:left="645" w:firstLine="645"/>
    </w:pPr>
    <w:rPr>
      <w:rFonts w:ascii="Arial" w:hAnsi="Arial" w:eastAsia="仿宋_GB2312"/>
      <w:color w:val="ffff00"/>
      <w:sz w:val="32"/>
      <w:szCs w:val="32"/>
      <w:lang w:eastAsia="en-US"/>
    </w:rPr>
  </w:style>
  <w:style w:type="character" w:styleId="1082" w:customStyle="1">
    <w:name w:val="正文文本缩进 3 字符"/>
    <w:link w:val="1081"/>
    <w:uiPriority w:val="0"/>
    <w:qFormat/>
    <w:rPr>
      <w:rFonts w:ascii="Arial" w:hAnsi="Arial" w:eastAsia="仿宋_GB2312" w:cs="Arial"/>
      <w:color w:val="ffff00"/>
      <w:sz w:val="32"/>
      <w:szCs w:val="32"/>
    </w:rPr>
  </w:style>
  <w:style w:type="paragraph" w:styleId="1083" w:customStyle="1">
    <w:name w:val="图表目录1"/>
    <w:basedOn w:val="706"/>
    <w:next w:val="706"/>
    <w:uiPriority w:val="0"/>
    <w:semiHidden/>
    <w:qFormat/>
    <w:pPr>
      <w:ind w:left="840" w:hanging="420"/>
    </w:pPr>
    <w:rPr>
      <w:szCs w:val="21"/>
    </w:rPr>
  </w:style>
  <w:style w:type="paragraph" w:styleId="1084" w:customStyle="1">
    <w:name w:val="目录 21"/>
    <w:basedOn w:val="706"/>
    <w:next w:val="706"/>
    <w:uiPriority w:val="0"/>
    <w:semiHidden/>
    <w:qFormat/>
    <w:pPr>
      <w:ind w:left="210"/>
      <w:jc w:val="left"/>
    </w:pPr>
    <w:rPr>
      <w:smallCaps/>
      <w:szCs w:val="24"/>
    </w:rPr>
  </w:style>
  <w:style w:type="paragraph" w:styleId="1085" w:customStyle="1">
    <w:name w:val="目录 91"/>
    <w:basedOn w:val="706"/>
    <w:next w:val="706"/>
    <w:uiPriority w:val="0"/>
    <w:semiHidden/>
    <w:qFormat/>
    <w:pPr>
      <w:ind w:left="1680"/>
      <w:jc w:val="left"/>
    </w:pPr>
    <w:rPr>
      <w:szCs w:val="21"/>
    </w:rPr>
  </w:style>
  <w:style w:type="paragraph" w:styleId="1086" w:customStyle="1">
    <w:name w:val="正文文本 21"/>
    <w:basedOn w:val="706"/>
    <w:link w:val="1087"/>
    <w:uiPriority w:val="0"/>
    <w:qFormat/>
    <w:pPr>
      <w:jc w:val="center"/>
      <w:widowControl/>
    </w:pPr>
    <w:rPr>
      <w:rFonts w:ascii="楷体_GB2312" w:eastAsia="楷体_GB2312"/>
      <w:sz w:val="28"/>
      <w:szCs w:val="28"/>
      <w:lang w:eastAsia="en-US"/>
    </w:rPr>
  </w:style>
  <w:style w:type="character" w:styleId="1087" w:customStyle="1">
    <w:name w:val="正文文本 2 字符"/>
    <w:link w:val="1086"/>
    <w:uiPriority w:val="0"/>
    <w:qFormat/>
    <w:rPr>
      <w:rFonts w:ascii="楷体_GB2312" w:hAnsi="Times New Roman" w:eastAsia="楷体_GB2312" w:cs="Times New Roman"/>
      <w:sz w:val="28"/>
      <w:szCs w:val="28"/>
    </w:rPr>
  </w:style>
  <w:style w:type="paragraph" w:styleId="1088"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706"/>
    <w:next w:val="706"/>
    <w:uiPriority w:val="0"/>
    <w:semiHidden/>
    <w:qFormat/>
    <w:pPr>
      <w:spacing w:line="240" w:lineRule="atLeast"/>
    </w:pPr>
    <w:rPr>
      <w:b/>
      <w:bCs/>
      <w:szCs w:val="21"/>
    </w:rPr>
  </w:style>
  <w:style w:type="paragraph" w:styleId="1090" w:customStyle="1">
    <w:name w:val="批注主题1"/>
    <w:basedOn w:val="1053"/>
    <w:next w:val="1053"/>
    <w:link w:val="1091"/>
    <w:uiPriority w:val="0"/>
    <w:semiHidden/>
    <w:qFormat/>
    <w:rPr>
      <w:b/>
      <w:bCs/>
      <w:sz w:val="20"/>
      <w:szCs w:val="21"/>
      <w:lang w:eastAsia="en-US"/>
    </w:rPr>
  </w:style>
  <w:style w:type="character" w:styleId="1091" w:customStyle="1">
    <w:name w:val="批注主题 字符"/>
    <w:link w:val="1090"/>
    <w:uiPriority w:val="0"/>
    <w:semiHidden/>
    <w:qFormat/>
    <w:rPr>
      <w:rFonts w:ascii="Times New Roman" w:hAnsi="Times New Roman" w:eastAsia="宋体" w:cs="Times New Roman"/>
      <w:b/>
      <w:bCs/>
      <w:szCs w:val="21"/>
    </w:rPr>
  </w:style>
  <w:style w:type="paragraph" w:styleId="1092" w:customStyle="1">
    <w:name w:val="正文首行缩进1"/>
    <w:basedOn w:val="706"/>
    <w:link w:val="1093"/>
    <w:uiPriority w:val="0"/>
    <w:qFormat/>
    <w:pPr>
      <w:ind w:firstLine="200"/>
      <w:spacing w:line="360" w:lineRule="auto"/>
    </w:pPr>
    <w:rPr>
      <w:rFonts w:ascii="仿宋_GB2312" w:eastAsia="仿宋_GB2312"/>
      <w:sz w:val="30"/>
      <w:szCs w:val="30"/>
      <w:lang w:eastAsia="en-US"/>
    </w:rPr>
  </w:style>
  <w:style w:type="character" w:styleId="1093" w:customStyle="1">
    <w:name w:val="正文文本首行缩进 字符"/>
    <w:link w:val="1092"/>
    <w:uiPriority w:val="0"/>
    <w:qFormat/>
    <w:rPr>
      <w:rFonts w:ascii="仿宋_GB2312" w:hAnsi="Times New Roman" w:eastAsia="仿宋_GB2312" w:cs="Times New Roman"/>
      <w:sz w:val="30"/>
      <w:szCs w:val="30"/>
    </w:rPr>
  </w:style>
  <w:style w:type="paragraph" w:styleId="1094" w:customStyle="1">
    <w:name w:val="正文首行缩进 21"/>
    <w:basedOn w:val="1059"/>
    <w:link w:val="1095"/>
    <w:uiPriority w:val="0"/>
    <w:qFormat/>
    <w:pPr>
      <w:ind w:left="0" w:firstLine="420"/>
      <w:spacing w:after="0" w:line="360" w:lineRule="auto"/>
    </w:pPr>
    <w:rPr>
      <w:rFonts w:ascii="宋体" w:hAnsi="宋体"/>
      <w:sz w:val="20"/>
      <w:szCs w:val="20"/>
      <w:lang w:eastAsia="en-US"/>
    </w:rPr>
  </w:style>
  <w:style w:type="character" w:styleId="1095" w:customStyle="1">
    <w:name w:val="正文文本首行缩进 2 字符"/>
    <w:link w:val="1094"/>
    <w:uiPriority w:val="0"/>
    <w:qFormat/>
    <w:rPr>
      <w:rFonts w:ascii="宋体" w:hAnsi="宋体" w:eastAsia="宋体" w:cs="Times New Roman"/>
      <w:szCs w:val="20"/>
    </w:rPr>
  </w:style>
  <w:style w:type="table" w:styleId="1096" w:customStyle="1">
    <w:name w:val="网格型1"/>
    <w:basedOn w:val="1048"/>
    <w:uiPriority w:val="0"/>
    <w:qFormat/>
    <w:pPr>
      <w:jc w:val="both"/>
      <w:widowControl w:val="off"/>
    </w:pPr>
    <w:tblPr>
      <w:tblCellMar>
        <w:left w:w="0" w:type="dxa"/>
        <w:top w:w="0" w:type="dxa"/>
        <w:right w:w="0" w:type="dxa"/>
        <w:bottom w:w="0" w:type="dxa"/>
      </w:tblCellMar>
    </w:tblPr>
  </w:style>
  <w:style w:type="character" w:styleId="1097" w:customStyle="1">
    <w:name w:val="要点1"/>
    <w:uiPriority w:val="0"/>
    <w:qFormat/>
    <w:rPr>
      <w:b/>
      <w:bCs/>
    </w:rPr>
  </w:style>
  <w:style w:type="character" w:styleId="1098" w:customStyle="1">
    <w:name w:val="页码1"/>
    <w:uiPriority w:val="0"/>
    <w:qFormat/>
  </w:style>
  <w:style w:type="character" w:styleId="1099" w:customStyle="1">
    <w:name w:val="已访问的超链接1"/>
    <w:uiPriority w:val="0"/>
    <w:qFormat/>
    <w:rPr>
      <w:color w:val="800080"/>
      <w:u w:val="single"/>
    </w:rPr>
  </w:style>
  <w:style w:type="character" w:styleId="1100" w:customStyle="1">
    <w:name w:val="超链接1"/>
    <w:uiPriority w:val="0"/>
    <w:qFormat/>
    <w:rPr>
      <w:color w:val="0000ff"/>
      <w:u w:val="single"/>
    </w:rPr>
  </w:style>
  <w:style w:type="character" w:styleId="1101" w:customStyle="1">
    <w:name w:val="批注引用1"/>
    <w:uiPriority w:val="0"/>
    <w:semiHidden/>
    <w:qFormat/>
    <w:rPr>
      <w:sz w:val="21"/>
      <w:szCs w:val="21"/>
    </w:rPr>
  </w:style>
  <w:style w:type="character" w:styleId="1102" w:customStyle="1">
    <w:name w:val="列出段落 Char"/>
    <w:link w:val="1103"/>
    <w:uiPriority w:val="0"/>
    <w:qFormat/>
    <w:rPr>
      <w:rFonts w:ascii="Calibri" w:hAnsi="Calibri"/>
      <w:sz w:val="24"/>
      <w:szCs w:val="24"/>
      <w:lang w:eastAsia="en-US" w:bidi="en-US"/>
    </w:rPr>
  </w:style>
  <w:style w:type="paragraph" w:styleId="1103" w:customStyle="1">
    <w:name w:val="列出段落11"/>
    <w:basedOn w:val="706"/>
    <w:link w:val="1102"/>
    <w:uiPriority w:val="0"/>
    <w:qFormat/>
    <w:pPr>
      <w:contextualSpacing/>
      <w:ind w:left="720"/>
      <w:jc w:val="left"/>
      <w:widowControl/>
    </w:pPr>
    <w:rPr>
      <w:rFonts w:ascii="Calibri" w:hAnsi="Calibri"/>
      <w:sz w:val="24"/>
      <w:szCs w:val="24"/>
      <w:lang w:eastAsia="en-US" w:bidi="en-US"/>
    </w:rPr>
  </w:style>
  <w:style w:type="character" w:styleId="1104" w:customStyle="1">
    <w:name w:val="二级目录 Char"/>
    <w:link w:val="1105"/>
    <w:uiPriority w:val="0"/>
    <w:qFormat/>
    <w:rPr>
      <w:b/>
      <w:sz w:val="30"/>
      <w:szCs w:val="28"/>
      <w:lang w:val="en-US" w:eastAsia="zh-CN" w:bidi="ar-SA"/>
    </w:rPr>
  </w:style>
  <w:style w:type="paragraph" w:styleId="1105" w:customStyle="1">
    <w:name w:val="二级目录"/>
    <w:next w:val="706"/>
    <w:link w:val="110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6" w:customStyle="1">
    <w:name w:val="font5 Char"/>
    <w:uiPriority w:val="0"/>
    <w:qFormat/>
    <w:rPr>
      <w:rFonts w:ascii="宋体" w:hAnsi="宋体" w:eastAsia="宋体"/>
      <w:sz w:val="28"/>
      <w:szCs w:val="28"/>
      <w:lang w:val="en-US" w:eastAsia="zh-CN" w:bidi="ar-SA"/>
    </w:rPr>
  </w:style>
  <w:style w:type="paragraph" w:styleId="1107"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1109"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Char"/>
    <w:basedOn w:val="1051"/>
    <w:uiPriority w:val="0"/>
    <w:qFormat/>
    <w:rPr>
      <w:rFonts w:ascii="Tahoma" w:hAnsi="Tahoma"/>
      <w:sz w:val="24"/>
      <w:szCs w:val="24"/>
    </w:rPr>
  </w:style>
  <w:style w:type="paragraph" w:styleId="1111"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1112" w:customStyle="1">
    <w:name w:val="正文文本1"/>
    <w:basedOn w:val="706"/>
    <w:uiPriority w:val="0"/>
    <w:qFormat/>
    <w:rPr>
      <w:rFonts w:ascii="楷体_GB2312" w:hAnsi="Arial" w:eastAsia="楷体_GB2312"/>
      <w:sz w:val="28"/>
      <w:szCs w:val="28"/>
    </w:rPr>
  </w:style>
  <w:style w:type="paragraph" w:styleId="1113" w:customStyle="1">
    <w:name w:val="Body Text(ch)"/>
    <w:basedOn w:val="706"/>
    <w:next w:val="1057"/>
    <w:uiPriority w:val="0"/>
    <w:qFormat/>
    <w:pPr>
      <w:spacing w:after="120"/>
    </w:pPr>
    <w:rPr>
      <w:rFonts w:ascii="宋体" w:hAnsi="Arial"/>
      <w:bCs/>
      <w:iCs/>
      <w:szCs w:val="24"/>
    </w:rPr>
  </w:style>
  <w:style w:type="paragraph" w:styleId="1114" w:customStyle="1">
    <w:name w:val="Char Char Char Char Char Char Char Char Char Char"/>
    <w:basedOn w:val="706"/>
    <w:uiPriority w:val="0"/>
    <w:qFormat/>
    <w:pPr>
      <w:spacing w:line="360" w:lineRule="auto"/>
    </w:pPr>
    <w:rPr>
      <w:sz w:val="24"/>
      <w:szCs w:val="20"/>
    </w:rPr>
  </w:style>
  <w:style w:type="paragraph" w:styleId="1115" w:customStyle="1">
    <w:name w:val="样式1"/>
    <w:basedOn w:val="706"/>
    <w:uiPriority w:val="0"/>
    <w:qFormat/>
    <w:pPr>
      <w:numPr>
        <w:ilvl w:val="0"/>
        <w:numId w:val="3"/>
      </w:numPr>
    </w:pPr>
    <w:rPr>
      <w:rFonts w:ascii="宋体" w:hAnsi="宋体"/>
      <w:szCs w:val="21"/>
    </w:rPr>
  </w:style>
  <w:style w:type="paragraph" w:styleId="1116" w:customStyle="1">
    <w:name w:val="普通正文"/>
    <w:basedOn w:val="706"/>
    <w:link w:val="1165"/>
    <w:uiPriority w:val="0"/>
    <w:qFormat/>
    <w:pPr>
      <w:ind w:firstLine="480"/>
      <w:jc w:val="left"/>
      <w:spacing w:before="120" w:after="120" w:line="360" w:lineRule="auto"/>
    </w:pPr>
    <w:rPr>
      <w:rFonts w:ascii="Arial" w:hAnsi="Arial"/>
      <w:sz w:val="24"/>
      <w:szCs w:val="24"/>
    </w:rPr>
  </w:style>
  <w:style w:type="paragraph" w:styleId="1117"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8" w:customStyle="1">
    <w:name w:val="Char Char Char Char"/>
    <w:basedOn w:val="1051"/>
    <w:uiPriority w:val="0"/>
    <w:qFormat/>
    <w:pPr>
      <w:spacing w:line="360" w:lineRule="auto"/>
    </w:pPr>
    <w:rPr>
      <w:rFonts w:ascii="Tahoma" w:hAnsi="Tahoma"/>
      <w:sz w:val="24"/>
      <w:szCs w:val="24"/>
    </w:rPr>
  </w:style>
  <w:style w:type="paragraph" w:styleId="111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121" w:customStyle="1">
    <w:name w:val="Char Char Char Char1"/>
    <w:basedOn w:val="1051"/>
    <w:uiPriority w:val="0"/>
    <w:qFormat/>
    <w:pPr>
      <w:spacing w:line="360" w:lineRule="auto"/>
    </w:pPr>
    <w:rPr>
      <w:rFonts w:ascii="Tahoma" w:hAnsi="Tahoma"/>
      <w:sz w:val="24"/>
      <w:szCs w:val="24"/>
    </w:rPr>
  </w:style>
  <w:style w:type="paragraph" w:styleId="1122" w:customStyle="1">
    <w:name w:val="Table Text"/>
    <w:basedOn w:val="706"/>
    <w:uiPriority w:val="0"/>
    <w:semiHidden/>
    <w:qFormat/>
    <w:rPr>
      <w:rFonts w:ascii="仿宋" w:hAnsi="仿宋" w:eastAsia="仿宋" w:cs="仿宋"/>
      <w:sz w:val="31"/>
      <w:szCs w:val="31"/>
      <w:lang w:eastAsia="en-US"/>
    </w:rPr>
  </w:style>
  <w:style w:type="paragraph" w:styleId="1123"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4"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12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6"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127"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128" w:customStyle="1">
    <w:name w:val="Char1"/>
    <w:basedOn w:val="706"/>
    <w:uiPriority w:val="0"/>
    <w:qFormat/>
    <w:pPr>
      <w:ind w:firstLine="200"/>
      <w:tabs>
        <w:tab w:val="left" w:pos="360" w:leader="none"/>
      </w:tabs>
    </w:pPr>
    <w:rPr>
      <w:sz w:val="28"/>
      <w:szCs w:val="30"/>
    </w:rPr>
  </w:style>
  <w:style w:type="paragraph" w:styleId="1129"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customStyle="1">
    <w:name w:val="table_1stline"/>
    <w:basedOn w:val="706"/>
    <w:uiPriority w:val="0"/>
    <w:qFormat/>
    <w:pPr>
      <w:jc w:val="left"/>
      <w:spacing w:before="120"/>
      <w:widowControl/>
    </w:pPr>
    <w:rPr>
      <w:bCs/>
      <w:sz w:val="20"/>
      <w:szCs w:val="20"/>
      <w:lang w:val="de-DE" w:eastAsia="de-DE"/>
    </w:rPr>
  </w:style>
  <w:style w:type="paragraph" w:styleId="11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32"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133" w:customStyle="1">
    <w:name w:val="4"/>
    <w:basedOn w:val="706"/>
    <w:next w:val="1081"/>
    <w:uiPriority w:val="0"/>
    <w:qFormat/>
    <w:pPr>
      <w:ind w:firstLine="420"/>
      <w:spacing w:line="360" w:lineRule="auto"/>
    </w:pPr>
    <w:rPr>
      <w:color w:val="ff0000"/>
      <w:sz w:val="24"/>
      <w:szCs w:val="24"/>
    </w:rPr>
  </w:style>
  <w:style w:type="paragraph" w:styleId="1134"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5"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36"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8" w:customStyle="1">
    <w:name w:val="table_lines"/>
    <w:basedOn w:val="706"/>
    <w:uiPriority w:val="0"/>
    <w:qFormat/>
    <w:pPr>
      <w:jc w:val="left"/>
      <w:widowControl/>
    </w:pPr>
    <w:rPr>
      <w:sz w:val="20"/>
      <w:szCs w:val="20"/>
      <w:lang w:val="de-DE" w:eastAsia="de-DE"/>
    </w:rPr>
  </w:style>
  <w:style w:type="paragraph" w:styleId="1139"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140" w:customStyle="1">
    <w:name w:val="Table Normal_0"/>
    <w:uiPriority w:val="0"/>
    <w:unhideWhenUsed/>
    <w:qFormat/>
    <w:tblPr>
      <w:tblCellMar>
        <w:left w:w="0" w:type="dxa"/>
        <w:top w:w="0" w:type="dxa"/>
        <w:right w:w="0" w:type="dxa"/>
        <w:bottom w:w="0" w:type="dxa"/>
      </w:tblCellMar>
    </w:tblPr>
  </w:style>
  <w:style w:type="character" w:styleId="1141" w:customStyle="1">
    <w:name w:val="15"/>
    <w:uiPriority w:val="0"/>
    <w:qFormat/>
    <w:rPr>
      <w:rFonts w:ascii="Calibri" w:hAnsi="Calibri" w:cs="Calibri"/>
      <w:i/>
      <w:iCs/>
    </w:rPr>
  </w:style>
  <w:style w:type="character" w:styleId="1142" w:customStyle="1">
    <w:name w:val="16"/>
    <w:uiPriority w:val="0"/>
    <w:qFormat/>
    <w:rPr>
      <w:rFonts w:ascii="Calibri" w:hAnsi="Calibri" w:cs="Calibri"/>
      <w:sz w:val="21"/>
      <w:szCs w:val="21"/>
    </w:rPr>
  </w:style>
  <w:style w:type="character" w:styleId="1143" w:customStyle="1">
    <w:name w:val="show"/>
    <w:uiPriority w:val="0"/>
    <w:qFormat/>
  </w:style>
  <w:style w:type="character" w:styleId="1144" w:customStyle="1">
    <w:name w:val="批注框文本 Char"/>
    <w:basedOn w:val="716"/>
    <w:link w:val="735"/>
    <w:uiPriority w:val="0"/>
    <w:qFormat/>
    <w:rPr>
      <w:sz w:val="18"/>
      <w:szCs w:val="18"/>
    </w:rPr>
  </w:style>
  <w:style w:type="paragraph" w:styleId="1145" w:customStyle="1">
    <w:name w:val="Table Paragraph"/>
    <w:basedOn w:val="706"/>
    <w:uiPriority w:val="0"/>
    <w:qFormat/>
    <w:pPr>
      <w:jc w:val="left"/>
    </w:pPr>
    <w:rPr>
      <w:rFonts w:ascii="宋体" w:hAnsi="宋体" w:cs="宋体"/>
      <w:sz w:val="22"/>
      <w:lang w:val="zh-CN" w:bidi="zh-CN"/>
    </w:rPr>
  </w:style>
  <w:style w:type="character" w:styleId="1146" w:customStyle="1">
    <w:name w:val="页眉 Char"/>
    <w:basedOn w:val="716"/>
    <w:link w:val="737"/>
    <w:uiPriority w:val="0"/>
    <w:qFormat/>
    <w:rPr>
      <w:sz w:val="21"/>
      <w:szCs w:val="22"/>
    </w:rPr>
  </w:style>
  <w:style w:type="character" w:styleId="1147" w:customStyle="1">
    <w:name w:val="页脚 Char"/>
    <w:basedOn w:val="716"/>
    <w:link w:val="736"/>
    <w:uiPriority w:val="99"/>
    <w:qFormat/>
    <w:rPr>
      <w:sz w:val="21"/>
      <w:szCs w:val="22"/>
    </w:rPr>
  </w:style>
  <w:style w:type="character" w:styleId="1148" w:customStyle="1">
    <w:name w:val="正文缩进 Char"/>
    <w:link w:val="719"/>
    <w:uiPriority w:val="0"/>
    <w:qFormat/>
    <w:rPr>
      <w:sz w:val="21"/>
    </w:rPr>
  </w:style>
  <w:style w:type="character" w:styleId="1149" w:customStyle="1">
    <w:name w:val="文档结构图 Char"/>
    <w:basedOn w:val="716"/>
    <w:link w:val="721"/>
    <w:uiPriority w:val="99"/>
    <w:qFormat/>
    <w:rPr>
      <w:sz w:val="16"/>
      <w:szCs w:val="16"/>
      <w:shd w:val="clear" w:color="auto" w:fill="000080"/>
    </w:rPr>
  </w:style>
  <w:style w:type="character" w:styleId="1150" w:customStyle="1">
    <w:name w:val="批注文字 Char"/>
    <w:basedOn w:val="716"/>
    <w:link w:val="722"/>
    <w:uiPriority w:val="99"/>
    <w:qFormat/>
    <w:rPr>
      <w:sz w:val="21"/>
      <w:szCs w:val="21"/>
    </w:rPr>
  </w:style>
  <w:style w:type="character" w:styleId="1151" w:customStyle="1">
    <w:name w:val="正文文本 3 Char"/>
    <w:basedOn w:val="716"/>
    <w:link w:val="723"/>
    <w:uiPriority w:val="99"/>
    <w:qFormat/>
    <w:rPr>
      <w:sz w:val="16"/>
      <w:szCs w:val="16"/>
    </w:rPr>
  </w:style>
  <w:style w:type="character" w:styleId="1152" w:customStyle="1">
    <w:name w:val="正文文本 Char"/>
    <w:basedOn w:val="716"/>
    <w:link w:val="724"/>
    <w:uiPriority w:val="0"/>
    <w:qFormat/>
    <w:rPr>
      <w:sz w:val="24"/>
      <w:lang w:eastAsia="en-US"/>
    </w:rPr>
  </w:style>
  <w:style w:type="character" w:styleId="1153" w:customStyle="1">
    <w:name w:val="正文文本缩进 Char"/>
    <w:basedOn w:val="716"/>
    <w:link w:val="725"/>
    <w:uiPriority w:val="0"/>
    <w:qFormat/>
    <w:rPr>
      <w:sz w:val="24"/>
      <w:lang w:eastAsia="en-US"/>
    </w:rPr>
  </w:style>
  <w:style w:type="character" w:styleId="1154" w:customStyle="1">
    <w:name w:val="纯文本 Char"/>
    <w:basedOn w:val="716"/>
    <w:link w:val="730"/>
    <w:uiPriority w:val="0"/>
    <w:qFormat/>
    <w:rPr>
      <w:rFonts w:ascii="宋体" w:hAnsi="Courier New"/>
      <w:sz w:val="21"/>
      <w:szCs w:val="21"/>
    </w:rPr>
  </w:style>
  <w:style w:type="character" w:styleId="1155" w:customStyle="1">
    <w:name w:val="日期 Char"/>
    <w:basedOn w:val="716"/>
    <w:link w:val="732"/>
    <w:uiPriority w:val="0"/>
    <w:qFormat/>
    <w:rPr>
      <w:sz w:val="21"/>
      <w:szCs w:val="21"/>
    </w:rPr>
  </w:style>
  <w:style w:type="character" w:styleId="1156" w:customStyle="1">
    <w:name w:val="正文文本缩进 2 Char"/>
    <w:basedOn w:val="716"/>
    <w:link w:val="733"/>
    <w:uiPriority w:val="99"/>
    <w:qFormat/>
    <w:rPr>
      <w:sz w:val="21"/>
      <w:szCs w:val="21"/>
    </w:rPr>
  </w:style>
  <w:style w:type="character" w:styleId="1157" w:customStyle="1">
    <w:name w:val="正文文本缩进 3 Char"/>
    <w:basedOn w:val="716"/>
    <w:link w:val="743"/>
    <w:uiPriority w:val="99"/>
    <w:qFormat/>
    <w:rPr>
      <w:sz w:val="16"/>
      <w:szCs w:val="16"/>
    </w:rPr>
  </w:style>
  <w:style w:type="character" w:styleId="1158" w:customStyle="1">
    <w:name w:val="正文文本 2 Char"/>
    <w:basedOn w:val="716"/>
    <w:link w:val="747"/>
    <w:uiPriority w:val="99"/>
    <w:qFormat/>
    <w:rPr>
      <w:sz w:val="21"/>
      <w:szCs w:val="21"/>
    </w:rPr>
  </w:style>
  <w:style w:type="character" w:styleId="1159" w:customStyle="1">
    <w:name w:val="普通(网站) Char"/>
    <w:link w:val="748"/>
    <w:uiPriority w:val="99"/>
    <w:qFormat/>
    <w:rPr>
      <w:rFonts w:ascii="宋体" w:hAnsi="宋体"/>
      <w:sz w:val="24"/>
      <w:szCs w:val="24"/>
    </w:rPr>
  </w:style>
  <w:style w:type="character" w:styleId="1160" w:customStyle="1">
    <w:name w:val="批注主题 Char"/>
    <w:basedOn w:val="1150"/>
    <w:link w:val="750"/>
    <w:uiPriority w:val="99"/>
    <w:qFormat/>
    <w:rPr>
      <w:b/>
      <w:bCs/>
      <w:sz w:val="21"/>
      <w:szCs w:val="21"/>
    </w:rPr>
  </w:style>
  <w:style w:type="character" w:styleId="1161" w:customStyle="1">
    <w:name w:val="正文首行缩进 Char"/>
    <w:basedOn w:val="1152"/>
    <w:link w:val="751"/>
    <w:uiPriority w:val="99"/>
    <w:qFormat/>
    <w:rPr>
      <w:sz w:val="21"/>
      <w:szCs w:val="21"/>
      <w:lang w:eastAsia="en-US"/>
    </w:rPr>
  </w:style>
  <w:style w:type="character" w:styleId="1162" w:customStyle="1">
    <w:name w:val="正文首行缩进 2 Char"/>
    <w:basedOn w:val="1153"/>
    <w:link w:val="752"/>
    <w:uiPriority w:val="0"/>
    <w:qFormat/>
    <w:rPr>
      <w:sz w:val="21"/>
      <w:szCs w:val="21"/>
      <w:lang w:eastAsia="en-US"/>
    </w:rPr>
  </w:style>
  <w:style w:type="paragraph" w:styleId="1163" w:customStyle="1">
    <w:name w:val="_Style 7"/>
    <w:basedOn w:val="706"/>
    <w:next w:val="725"/>
    <w:uiPriority w:val="0"/>
    <w:qFormat/>
    <w:pPr>
      <w:ind w:firstLine="480"/>
      <w:jc w:val="left"/>
      <w:widowControl/>
    </w:pPr>
    <w:rPr>
      <w:sz w:val="24"/>
      <w:szCs w:val="20"/>
      <w:lang w:eastAsia="en-US"/>
    </w:rPr>
  </w:style>
  <w:style w:type="paragraph" w:styleId="1164" w:customStyle="1">
    <w:name w:val="_Style 6"/>
    <w:basedOn w:val="706"/>
    <w:next w:val="725"/>
    <w:uiPriority w:val="0"/>
    <w:qFormat/>
    <w:pPr>
      <w:ind w:firstLine="480"/>
      <w:jc w:val="left"/>
      <w:widowControl/>
    </w:pPr>
    <w:rPr>
      <w:sz w:val="24"/>
      <w:szCs w:val="20"/>
      <w:lang w:eastAsia="en-US"/>
    </w:rPr>
  </w:style>
  <w:style w:type="character" w:styleId="1165" w:customStyle="1">
    <w:name w:val="普通正文 Char"/>
    <w:link w:val="1116"/>
    <w:uiPriority w:val="0"/>
    <w:qFormat/>
    <w:rPr>
      <w:rFonts w:ascii="Arial" w:hAnsi="Arial"/>
      <w:sz w:val="24"/>
      <w:szCs w:val="24"/>
    </w:rPr>
  </w:style>
  <w:style w:type="character" w:styleId="1166" w:customStyle="1">
    <w:name w:val="无间隔 Char"/>
    <w:link w:val="805"/>
    <w:uiPriority w:val="1"/>
    <w:qFormat/>
  </w:style>
  <w:style w:type="paragraph" w:styleId="1167" w:customStyle="1">
    <w:name w:val="修订2"/>
    <w:uiPriority w:val="99"/>
    <w:semiHidden/>
    <w:qFormat/>
    <w:rPr>
      <w:rFonts w:hint="default" w:ascii="Times New Roman" w:hAnsi="Times New Roman" w:eastAsia="宋体" w:cs="Times New Roman"/>
      <w:sz w:val="21"/>
      <w:szCs w:val="21"/>
      <w:lang w:val="en-US" w:eastAsia="zh-CN" w:bidi="ar-SA"/>
    </w:rPr>
  </w:style>
  <w:style w:type="character" w:styleId="1168" w:customStyle="1">
    <w:name w:val="NormalCharacter"/>
    <w:uiPriority w:val="0"/>
    <w:qFormat/>
  </w:style>
  <w:style w:type="paragraph" w:styleId="1169" w:customStyle="1">
    <w:name w:val="章正文"/>
    <w:basedOn w:val="706"/>
    <w:uiPriority w:val="0"/>
    <w:qFormat/>
    <w:pPr>
      <w:ind w:firstLine="480"/>
      <w:spacing w:after="120" w:line="300" w:lineRule="auto"/>
    </w:pPr>
    <w:rPr>
      <w:rFonts w:ascii="Helvetica" w:hAnsi="Helvetica"/>
      <w:szCs w:val="21"/>
    </w:rPr>
  </w:style>
  <w:style w:type="paragraph" w:styleId="1170" w:customStyle="1">
    <w:name w:val="首行缩进"/>
    <w:basedOn w:val="706"/>
    <w:uiPriority w:val="0"/>
    <w:qFormat/>
    <w:pPr>
      <w:ind w:firstLine="480"/>
    </w:pPr>
    <w:rPr>
      <w:rFonts w:ascii="Calibri" w:hAnsi="Calibri" w:eastAsia="楷体_GB2312"/>
      <w:sz w:val="26"/>
      <w:szCs w:val="21"/>
      <w:lang w:val="zh-CN"/>
    </w:rPr>
  </w:style>
  <w:style w:type="character" w:styleId="1171" w:customStyle="1">
    <w:name w:val="纯文本 Char1"/>
    <w:uiPriority w:val="99"/>
    <w:qFormat/>
    <w:rPr>
      <w:rFonts w:ascii="宋体" w:hAnsi="Courier New" w:cs="Courier New"/>
      <w:sz w:val="21"/>
      <w:szCs w:val="21"/>
    </w:rPr>
  </w:style>
  <w:style w:type="paragraph" w:styleId="1172" w:customStyle="1">
    <w:name w:val="列出段落3"/>
    <w:basedOn w:val="706"/>
    <w:uiPriority w:val="0"/>
    <w:qFormat/>
    <w:pPr>
      <w:ind w:firstLine="420"/>
    </w:pPr>
    <w:rPr>
      <w:rFonts w:ascii="Calibri" w:hAnsi="Calibri" w:eastAsia="微软雅黑"/>
    </w:rPr>
  </w:style>
  <w:style w:type="character" w:styleId="1173" w:customStyle="1">
    <w:name w:val="font11"/>
    <w:uiPriority w:val="0"/>
    <w:qFormat/>
    <w:rPr>
      <w:rFonts w:hint="eastAsia" w:ascii="宋体" w:hAnsi="宋体" w:eastAsia="宋体" w:cs="宋体"/>
      <w:color w:val="000000"/>
      <w:sz w:val="20"/>
      <w:szCs w:val="20"/>
      <w:u w:val="none"/>
    </w:rPr>
  </w:style>
  <w:style w:type="character" w:styleId="1174" w:customStyle="1">
    <w:name w:val="font31"/>
    <w:uiPriority w:val="0"/>
    <w:qFormat/>
    <w:rPr>
      <w:rFonts w:hint="eastAsia" w:ascii="宋体" w:hAnsi="宋体" w:eastAsia="宋体" w:cs="宋体"/>
      <w:color w:val="000000"/>
      <w:sz w:val="20"/>
      <w:szCs w:val="20"/>
      <w:u w:val="none"/>
    </w:rPr>
  </w:style>
  <w:style w:type="character" w:styleId="1175" w:customStyle="1">
    <w:name w:val="font41"/>
    <w:uiPriority w:val="0"/>
    <w:qFormat/>
    <w:rPr>
      <w:rFonts w:hint="eastAsia" w:ascii="宋体" w:hAnsi="宋体" w:eastAsia="宋体" w:cs="宋体"/>
      <w:color w:val="000000"/>
      <w:sz w:val="20"/>
      <w:szCs w:val="20"/>
      <w:u w:val="none"/>
    </w:rPr>
  </w:style>
  <w:style w:type="character" w:styleId="1176" w:customStyle="1">
    <w:name w:val="font21"/>
    <w:uiPriority w:val="0"/>
    <w:qFormat/>
    <w:rPr>
      <w:rFonts w:hint="eastAsia" w:ascii="宋体" w:hAnsi="宋体" w:eastAsia="宋体" w:cs="宋体"/>
      <w:color w:val="000000"/>
      <w:sz w:val="20"/>
      <w:szCs w:val="20"/>
      <w:u w:val="none"/>
    </w:rPr>
  </w:style>
  <w:style w:type="character" w:styleId="1177" w:customStyle="1">
    <w:name w:val="font01"/>
    <w:uiPriority w:val="0"/>
    <w:qFormat/>
    <w:rPr>
      <w:rFonts w:hint="eastAsia" w:ascii="宋体" w:hAnsi="宋体" w:eastAsia="宋体" w:cs="宋体"/>
      <w:color w:val="000000"/>
      <w:sz w:val="20"/>
      <w:szCs w:val="20"/>
      <w:u w:val="none"/>
    </w:rPr>
  </w:style>
  <w:style w:type="table" w:styleId="1178" w:customStyle="1">
    <w:name w:val="Table Normal"/>
    <w:uiPriority w:val="0"/>
    <w:qFormat/>
    <w:tblPr>
      <w:tblCellMar>
        <w:left w:w="0" w:type="dxa"/>
        <w:top w:w="0" w:type="dxa"/>
        <w:right w:w="0" w:type="dxa"/>
        <w:bottom w:w="0" w:type="dxa"/>
      </w:tblCellMar>
    </w:tblPr>
  </w:style>
  <w:style w:type="character" w:styleId="1179" w:customStyle="1">
    <w:name w:val="标题 Char"/>
    <w:basedOn w:val="716"/>
    <w:link w:val="749"/>
    <w:uiPriority w:val="10"/>
    <w:qFormat/>
    <w:rPr>
      <w:sz w:val="48"/>
      <w:szCs w:val="48"/>
    </w:rPr>
  </w:style>
  <w:style w:type="character" w:styleId="1180" w:customStyle="1">
    <w:name w:val="副标题 Char"/>
    <w:basedOn w:val="716"/>
    <w:link w:val="740"/>
    <w:uiPriority w:val="11"/>
    <w:qFormat/>
    <w:rPr>
      <w:sz w:val="24"/>
      <w:szCs w:val="24"/>
    </w:rPr>
  </w:style>
  <w:style w:type="character" w:styleId="1181" w:customStyle="1">
    <w:name w:val="引用 Char"/>
    <w:basedOn w:val="716"/>
    <w:link w:val="806"/>
    <w:uiPriority w:val="29"/>
    <w:qFormat/>
    <w:rPr>
      <w:i/>
      <w:sz w:val="21"/>
      <w:szCs w:val="22"/>
    </w:rPr>
  </w:style>
  <w:style w:type="character" w:styleId="1182" w:customStyle="1">
    <w:name w:val="明显引用 Char"/>
    <w:basedOn w:val="716"/>
    <w:link w:val="807"/>
    <w:uiPriority w:val="30"/>
    <w:qFormat/>
    <w:rPr>
      <w:i/>
      <w:sz w:val="21"/>
      <w:szCs w:val="22"/>
      <w:shd w:val="clear" w:color="auto" w:fill="f2f2f2"/>
    </w:rPr>
  </w:style>
  <w:style w:type="character" w:styleId="1183" w:customStyle="1">
    <w:name w:val="脚注文本 Char"/>
    <w:basedOn w:val="716"/>
    <w:link w:val="741"/>
    <w:uiPriority w:val="99"/>
    <w:semiHidden/>
    <w:qFormat/>
    <w:rPr>
      <w:sz w:val="18"/>
      <w:szCs w:val="22"/>
    </w:rPr>
  </w:style>
  <w:style w:type="character" w:styleId="1184" w:customStyle="1">
    <w:name w:val="尾注文本 Char"/>
    <w:basedOn w:val="716"/>
    <w:link w:val="734"/>
    <w:uiPriority w:val="99"/>
    <w:semiHidden/>
    <w:qFormat/>
    <w:rPr>
      <w:szCs w:val="22"/>
    </w:rPr>
  </w:style>
  <w:style w:type="paragraph" w:styleId="11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6" w:customStyle="1">
    <w:name w:val="普通(网站)111"/>
    <w:basedOn w:val="706"/>
    <w:uiPriority w:val="0"/>
    <w:qFormat/>
    <w:pPr>
      <w:jc w:val="left"/>
      <w:spacing w:before="100" w:beforeAutospacing="1" w:after="100" w:afterAutospacing="1"/>
    </w:pPr>
    <w:rPr>
      <w:rFonts w:asciiTheme="minorHAnsi" w:hAnsiTheme="minorHAnsi" w:eastAsiaTheme="minorEastAsia"/>
      <w:sz w:val="24"/>
      <w:szCs w:val="24"/>
    </w:rPr>
  </w:style>
  <w:style w:type="paragraph" w:styleId="1187" w:customStyle="1">
    <w:name w:val="正文缩进12"/>
    <w:basedOn w:val="706"/>
    <w:next w:val="706"/>
    <w:uiPriority w:val="99"/>
    <w:unhideWhenUsed/>
    <w:qFormat/>
    <w:pPr>
      <w:ind w:firstLine="420"/>
    </w:pPr>
    <w:rPr>
      <w:rFonts w:asciiTheme="minorHAnsi" w:hAnsiTheme="minorHAnsi" w:eastAsiaTheme="minorEastAsia" w:cstheme="minorBidi"/>
      <w:szCs w:val="24"/>
    </w:rPr>
  </w:style>
  <w:style w:type="character" w:styleId="1188" w:customStyle="1">
    <w:name w:val="font71"/>
    <w:basedOn w:val="716"/>
    <w:uiPriority w:val="0"/>
    <w:qFormat/>
    <w:rPr>
      <w:rFonts w:hint="eastAsia" w:ascii="方正仿宋_GBK" w:hAnsi="方正仿宋_GBK" w:eastAsia="方正仿宋_GBK" w:cs="方正仿宋_GBK"/>
      <w:b/>
      <w:bCs/>
      <w:color w:val="000000"/>
      <w:sz w:val="24"/>
      <w:szCs w:val="24"/>
      <w:u w:val="none"/>
    </w:rPr>
  </w:style>
  <w:style w:type="character" w:styleId="1189" w:customStyle="1">
    <w:name w:val="font81"/>
    <w:basedOn w:val="716"/>
    <w:uiPriority w:val="0"/>
    <w:qFormat/>
    <w:rPr>
      <w:rFonts w:hint="eastAsia" w:ascii="方正仿宋_GBK" w:hAnsi="方正仿宋_GBK" w:eastAsia="方正仿宋_GBK" w:cs="方正仿宋_GBK"/>
      <w:b/>
      <w:bCs/>
      <w:color w:val="000000"/>
      <w:sz w:val="24"/>
      <w:szCs w:val="24"/>
      <w:u w:val="none"/>
    </w:rPr>
  </w:style>
  <w:style w:type="character" w:styleId="1190" w:customStyle="1">
    <w:name w:val="font91"/>
    <w:basedOn w:val="716"/>
    <w:uiPriority w:val="0"/>
    <w:qFormat/>
    <w:rPr>
      <w:rFonts w:hint="eastAsia" w:ascii="宋体" w:hAnsi="宋体" w:eastAsia="宋体" w:cs="宋体"/>
      <w:color w:val="000000"/>
      <w:sz w:val="24"/>
      <w:szCs w:val="24"/>
      <w:u w:val="none"/>
    </w:rPr>
  </w:style>
  <w:style w:type="character" w:styleId="1191" w:customStyle="1">
    <w:name w:val="font101"/>
    <w:basedOn w:val="716"/>
    <w:uiPriority w:val="0"/>
    <w:qFormat/>
    <w:rPr>
      <w:rFonts w:hint="eastAsia" w:ascii="方正仿宋_GBK" w:hAnsi="方正仿宋_GBK" w:eastAsia="方正仿宋_GBK" w:cs="方正仿宋_GBK"/>
      <w:b/>
      <w:bCs/>
      <w:color w:val="000000"/>
      <w:sz w:val="24"/>
      <w:szCs w:val="24"/>
      <w:u w:val="none"/>
    </w:rPr>
  </w:style>
  <w:style w:type="character" w:styleId="1192" w:customStyle="1">
    <w:name w:val="font112"/>
    <w:basedOn w:val="716"/>
    <w:uiPriority w:val="0"/>
    <w:qFormat/>
    <w:rPr>
      <w:rFonts w:hint="eastAsia" w:ascii="宋体" w:hAnsi="宋体" w:eastAsia="宋体" w:cs="宋体"/>
      <w:color w:val="000000"/>
      <w:sz w:val="24"/>
      <w:szCs w:val="24"/>
      <w:u w:val="none"/>
    </w:rPr>
  </w:style>
  <w:style w:type="character" w:styleId="1193" w:customStyle="1">
    <w:name w:val="font51"/>
    <w:basedOn w:val="716"/>
    <w:uiPriority w:val="0"/>
    <w:qFormat/>
    <w:rPr>
      <w:rFonts w:hint="eastAsia" w:ascii="方正仿宋_GBK" w:hAnsi="方正仿宋_GBK" w:eastAsia="方正仿宋_GBK" w:cs="方正仿宋_GBK"/>
      <w:b/>
      <w:bCs/>
      <w:color w:val="000000"/>
      <w:sz w:val="24"/>
      <w:szCs w:val="24"/>
      <w:u w:val="none"/>
    </w:rPr>
  </w:style>
  <w:style w:type="character" w:styleId="1194" w:customStyle="1">
    <w:name w:val="font61"/>
    <w:basedOn w:val="716"/>
    <w:uiPriority w:val="0"/>
    <w:qFormat/>
    <w:rPr>
      <w:rFonts w:hint="eastAsia" w:ascii="方正仿宋_GBK" w:hAnsi="方正仿宋_GBK" w:eastAsia="方正仿宋_GBK" w:cs="方正仿宋_GBK"/>
      <w:b/>
      <w:bCs/>
      <w:color w:val="000000"/>
      <w:sz w:val="24"/>
      <w:szCs w:val="24"/>
      <w:u w:val="none"/>
    </w:rPr>
  </w:style>
  <w:style w:type="paragraph" w:styleId="1195"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paragraph" w:styleId="119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E6E98-E09A-41E2-8DA4-34429BAF5B72}"/>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王建浩</cp:lastModifiedBy>
  <cp:revision>126</cp:revision>
  <dcterms:created xsi:type="dcterms:W3CDTF">2025-07-29T11:07:00Z</dcterms:created>
  <dcterms:modified xsi:type="dcterms:W3CDTF">2026-01-27T04:07:54Z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27D34BD6096B43A5BFD8D5F67456B9E6_13</vt:lpwstr>
  </property>
  <property fmtid="{D5CDD505-2E9C-101B-9397-08002B2CF9AE}" pid="4" name="KSOTemplateDocerSaveRecord">
    <vt:lpwstr>eyJoZGlkIjoiN2YxYjI4MWUxYWZjNjgyOTM3NDk4MjY0ZWJlYmQ2N2MiLCJ1c2VySWQiOiIxNjY1NzQ1MjU0In0=</vt:lpwstr>
  </property>
</Properties>
</file>