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97"/>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16"/>
        <w:rPr>
          <w:color w:val="000000"/>
          <w:highlight w:val="none"/>
        </w:rPr>
        <w:outlineLvl w:val="9"/>
      </w:pPr>
      <w:r>
        <w:rPr>
          <w:color w:val="000000"/>
          <w:highlight w:val="none"/>
        </w:rPr>
      </w:r>
      <w:r/>
    </w:p>
    <w:p>
      <w:pPr>
        <w:pStyle w:val="1497"/>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16"/>
        <w:rPr>
          <w:color w:val="000000"/>
          <w:highlight w:val="none"/>
        </w:rPr>
        <w:outlineLvl w:val="9"/>
      </w:pPr>
      <w:r>
        <w:rPr>
          <w:color w:val="000000"/>
          <w:highlight w:val="none"/>
        </w:rPr>
      </w:r>
      <w:r/>
    </w:p>
    <w:p>
      <w:pPr>
        <w:pStyle w:val="1497"/>
        <w:jc w:val="center"/>
        <w:rPr>
          <w:b/>
          <w:color w:val="000000"/>
          <w:sz w:val="140"/>
          <w:szCs w:val="140"/>
          <w:highlight w:val="none"/>
        </w:rPr>
        <w:outlineLvl w:val="9"/>
      </w:pPr>
      <w:r/>
      <w:bookmarkStart w:id="0" w:name="_Toc20707"/>
      <w:r/>
      <w:bookmarkStart w:id="1" w:name="_Toc24222"/>
      <w:r>
        <w:rPr>
          <w:b/>
          <w:color w:val="000000"/>
          <w:sz w:val="140"/>
          <w:szCs w:val="140"/>
          <w:highlight w:val="none"/>
        </w:rPr>
      </w:r>
      <w:bookmarkEnd w:id="0"/>
      <w:r/>
      <w:bookmarkEnd w:id="1"/>
      <w:r>
        <w:rPr>
          <w:rFonts w:hint="eastAsia"/>
          <w:b/>
          <w:color w:val="000000"/>
          <w:sz w:val="96"/>
          <w:szCs w:val="96"/>
          <w:highlight w:val="none"/>
        </w:rPr>
        <w:t xml:space="preserve">锡</w:t>
      </w:r>
      <w:r>
        <w:rPr>
          <w:rFonts w:hint="eastAsia"/>
          <w:b/>
          <w:color w:val="000000"/>
          <w:sz w:val="96"/>
          <w:szCs w:val="96"/>
          <w:highlight w:val="none"/>
        </w:rPr>
        <w:t xml:space="preserve">山区</w:t>
      </w:r>
      <w:r>
        <w:rPr>
          <w:b/>
          <w:color w:val="000000"/>
          <w:sz w:val="96"/>
          <w:szCs w:val="96"/>
          <w:highlight w:val="none"/>
        </w:rPr>
        <w:t xml:space="preserve">政府采购</w:t>
      </w:r>
      <w:r>
        <w:rPr>
          <w:sz w:val="20"/>
          <w:szCs w:val="18"/>
        </w:rPr>
      </w:r>
      <w:r/>
    </w:p>
    <w:p>
      <w:pPr>
        <w:jc w:val="center"/>
        <w:rPr>
          <w:b/>
          <w:bCs/>
          <w:color w:val="000000"/>
          <w:sz w:val="140"/>
          <w:szCs w:val="140"/>
          <w:highlight w:val="none"/>
        </w:rPr>
        <w:outlineLvl w:val="9"/>
      </w:pPr>
      <w:r>
        <w:rPr>
          <w:b/>
          <w:color w:val="000000"/>
          <w:sz w:val="140"/>
          <w:szCs w:val="140"/>
          <w:highlight w:val="none"/>
        </w:rPr>
      </w:r>
      <w:r/>
    </w:p>
    <w:p>
      <w:pPr>
        <w:pStyle w:val="1497"/>
        <w:rPr>
          <w:rFonts w:hint="eastAsia"/>
          <w:b/>
          <w:color w:val="000000"/>
          <w:sz w:val="28"/>
          <w:szCs w:val="28"/>
          <w:highlight w:val="none"/>
        </w:rPr>
        <w:outlineLvl w:val="9"/>
      </w:pPr>
      <w:r>
        <w:rPr>
          <w:rFonts w:hint="eastAsia"/>
          <w:b/>
          <w:color w:val="000000"/>
          <w:sz w:val="28"/>
          <w:szCs w:val="28"/>
          <w:highlight w:val="none"/>
        </w:rPr>
      </w:r>
      <w:r/>
    </w:p>
    <w:p>
      <w:pPr>
        <w:pStyle w:val="1530"/>
        <w:tabs>
          <w:tab w:val="center" w:pos="4153" w:leader="none"/>
          <w:tab w:val="right" w:pos="8306" w:leader="none"/>
        </w:tabs>
        <w:rPr>
          <w:rFonts w:hint="eastAsia"/>
          <w:b/>
          <w:color w:val="000000"/>
          <w:sz w:val="28"/>
          <w:szCs w:val="28"/>
          <w:highlight w:val="none"/>
        </w:rPr>
        <w:outlineLvl w:val="9"/>
      </w:pPr>
      <w:r>
        <w:rPr>
          <w:rFonts w:hint="eastAsia"/>
          <w:b/>
          <w:color w:val="000000"/>
          <w:sz w:val="28"/>
          <w:szCs w:val="28"/>
          <w:highlight w:val="none"/>
        </w:rPr>
      </w:r>
      <w:r/>
    </w:p>
    <w:p>
      <w:pPr>
        <w:pStyle w:val="1497"/>
        <w:rPr>
          <w:rFonts w:hint="eastAsia"/>
          <w:b/>
          <w:color w:val="000000"/>
          <w:sz w:val="28"/>
          <w:szCs w:val="28"/>
          <w:highlight w:val="none"/>
        </w:rPr>
        <w:outlineLvl w:val="9"/>
      </w:pPr>
      <w:r>
        <w:rPr>
          <w:rFonts w:hint="eastAsia"/>
          <w:b/>
          <w:color w:val="000000"/>
          <w:sz w:val="28"/>
          <w:szCs w:val="28"/>
          <w:highlight w:val="none"/>
        </w:rPr>
      </w:r>
      <w:r/>
    </w:p>
    <w:p>
      <w:pPr>
        <w:pStyle w:val="1530"/>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530"/>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497"/>
        <w:jc w:val="center"/>
        <w:rPr>
          <w:b/>
          <w:color w:val="000000"/>
          <w:sz w:val="28"/>
          <w:szCs w:val="28"/>
          <w:highlight w:val="none"/>
        </w:rPr>
        <w:outlineLvl w:val="9"/>
      </w:pPr>
      <w:r/>
      <w:bookmarkStart w:id="2" w:name="_Toc6267"/>
      <w:r/>
      <w:bookmarkStart w:id="3" w:name="_Toc8186"/>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Pr>
          <w:b/>
          <w:color w:val="000000"/>
          <w:sz w:val="28"/>
          <w:szCs w:val="28"/>
          <w:highlight w:val="none"/>
        </w:rPr>
      </w:r>
      <w:r/>
    </w:p>
    <w:p>
      <w:pPr>
        <w:pStyle w:val="1497"/>
        <w:rPr>
          <w:b w:val="0"/>
          <w:bCs/>
          <w:color w:val="000000"/>
          <w:sz w:val="28"/>
          <w:szCs w:val="28"/>
          <w:highlight w:val="none"/>
        </w:rPr>
        <w:outlineLvl w:val="9"/>
      </w:pPr>
      <w:r>
        <w:rPr>
          <w:b w:val="0"/>
          <w:bCs/>
          <w:color w:val="000000"/>
          <w:sz w:val="28"/>
          <w:szCs w:val="28"/>
          <w:highlight w:val="none"/>
        </w:rPr>
      </w:r>
      <w:r/>
    </w:p>
    <w:p>
      <w:pPr>
        <w:pStyle w:val="1521"/>
        <w:ind w:left="1260"/>
        <w:rPr>
          <w:b/>
          <w:color w:val="000000"/>
          <w:sz w:val="28"/>
          <w:szCs w:val="28"/>
          <w:highlight w:val="none"/>
        </w:rPr>
        <w:outlineLvl w:val="9"/>
      </w:pPr>
      <w:r>
        <w:rPr>
          <w:b/>
          <w:color w:val="000000"/>
          <w:sz w:val="28"/>
          <w:szCs w:val="28"/>
          <w:highlight w:val="none"/>
        </w:rPr>
      </w:r>
      <w:r/>
    </w:p>
    <w:p>
      <w:pPr>
        <w:pStyle w:val="1497"/>
        <w:rPr>
          <w:b/>
          <w:color w:val="000000"/>
          <w:sz w:val="28"/>
          <w:szCs w:val="28"/>
          <w:highlight w:val="none"/>
        </w:rPr>
        <w:outlineLvl w:val="9"/>
      </w:pPr>
      <w:r>
        <w:rPr>
          <w:b/>
          <w:color w:val="000000"/>
          <w:sz w:val="28"/>
          <w:szCs w:val="28"/>
          <w:highlight w:val="none"/>
        </w:rPr>
      </w:r>
      <w:r/>
    </w:p>
    <w:p>
      <w:pPr>
        <w:pStyle w:val="1497"/>
        <w:jc w:val="center"/>
        <w:rPr>
          <w:b/>
          <w:color w:val="000000"/>
          <w:sz w:val="28"/>
          <w:szCs w:val="28"/>
          <w:highlight w:val="none"/>
        </w:rPr>
        <w:outlineLvl w:val="9"/>
      </w:pPr>
      <w:r>
        <w:rPr>
          <w:b/>
          <w:color w:val="000000"/>
          <w:sz w:val="28"/>
          <w:szCs w:val="28"/>
          <w:highlight w:val="none"/>
        </w:rPr>
      </w:r>
      <w:r/>
    </w:p>
    <w:p>
      <w:pPr>
        <w:pStyle w:val="1497"/>
        <w:jc w:val="center"/>
        <w:rPr>
          <w:rFonts w:hint="eastAsia"/>
          <w:b/>
          <w:color w:val="000000"/>
          <w:sz w:val="28"/>
          <w:szCs w:val="28"/>
          <w:highlight w:val="none"/>
        </w:rPr>
        <w:outlineLvl w:val="9"/>
      </w:pPr>
      <w:r/>
      <w:bookmarkStart w:id="4" w:name="_Toc607"/>
      <w:r/>
      <w:bookmarkStart w:id="5" w:name="_Toc9350"/>
      <w:r>
        <w:rPr>
          <w:rFonts w:hint="eastAsia"/>
          <w:b/>
          <w:color w:val="000000"/>
          <w:sz w:val="28"/>
          <w:szCs w:val="28"/>
          <w:highlight w:val="none"/>
        </w:rPr>
        <w:t xml:space="preserve">（全流程电子化）</w:t>
      </w:r>
      <w:bookmarkEnd w:id="4"/>
      <w:r/>
      <w:bookmarkEnd w:id="5"/>
      <w:r>
        <w:rPr>
          <w:rFonts w:hint="eastAsia"/>
          <w:b/>
          <w:color w:val="000000"/>
          <w:sz w:val="28"/>
          <w:szCs w:val="28"/>
          <w:highlight w:val="none"/>
        </w:rPr>
      </w:r>
      <w:r/>
    </w:p>
    <w:p>
      <w:pPr>
        <w:pStyle w:val="1497"/>
        <w:ind w:firstLine="0"/>
        <w:jc w:val="left"/>
        <w:spacing w:line="360" w:lineRule="auto"/>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497"/>
        <w:spacing w:line="360" w:lineRule="auto"/>
        <w:rPr>
          <w:rFonts w:ascii="宋体" w:hAnsi="宋体" w:eastAsia="宋体" w:cs="Times New Roman"/>
          <w:b w:val="0"/>
          <w:bCs/>
          <w:color w:val="000000"/>
          <w:sz w:val="30"/>
          <w:szCs w:val="30"/>
          <w:highlight w:val="none"/>
          <w:lang w:val="en-US" w:eastAsia="zh-CN"/>
        </w:rPr>
        <w:outlineLvl w:val="9"/>
      </w:pPr>
      <w:r>
        <w:rPr>
          <w:rFonts w:hint="eastAsia" w:ascii="宋体" w:hAnsi="宋体" w:cs="宋体"/>
          <w:color w:val="000000"/>
          <w:sz w:val="30"/>
          <w:szCs w:val="30"/>
          <w:highlight w:val="none"/>
        </w:rPr>
        <w:t xml:space="preserve">采购项目编号：</w:t>
      </w:r>
      <w:r>
        <w:rPr>
          <w:rFonts w:ascii="Segoe UI" w:hAnsi="Segoe UI" w:eastAsia="Segoe UI" w:cs="Segoe UI"/>
          <w:i w:val="0"/>
          <w:iCs w:val="0"/>
          <w:caps w:val="0"/>
          <w:spacing w:val="0"/>
          <w:sz w:val="30"/>
          <w:szCs w:val="30"/>
          <w:shd w:val="clear" w:color="auto" w:fill="ffffff"/>
        </w:rPr>
        <w:t xml:space="preserve">JSZC-320205-THGC-G2024-0048</w:t>
      </w:r>
      <w:r>
        <w:rPr>
          <w:rFonts w:ascii="宋体" w:hAnsi="宋体" w:eastAsia="宋体" w:cs="Times New Roman"/>
          <w:b w:val="0"/>
          <w:bCs/>
          <w:color w:val="000000"/>
          <w:sz w:val="30"/>
          <w:szCs w:val="30"/>
          <w:highlight w:val="none"/>
          <w:lang w:val="en-US" w:eastAsia="zh-CN"/>
        </w:rPr>
      </w:r>
      <w:r/>
    </w:p>
    <w:p>
      <w:pPr>
        <w:pStyle w:val="1497"/>
        <w:jc w:val="left"/>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东北塘街道兴塘滨水公园及兴塘公园绿化养护项目</w:t>
      </w:r>
      <w:r>
        <w:rPr>
          <w:rFonts w:hint="eastAsia" w:ascii="宋体" w:hAnsi="宋体" w:eastAsia="宋体" w:cs="Times New Roman"/>
          <w:b w:val="0"/>
          <w:bCs/>
          <w:color w:val="000000"/>
          <w:sz w:val="30"/>
          <w:szCs w:val="30"/>
          <w:highlight w:val="none"/>
          <w:lang w:eastAsia="zh-CN"/>
        </w:rPr>
      </w:r>
      <w:r/>
    </w:p>
    <w:p>
      <w:pPr>
        <w:pStyle w:val="1497"/>
        <w:jc w:val="left"/>
        <w:spacing w:line="360" w:lineRule="auto"/>
        <w:rPr>
          <w:rFonts w:hint="eastAsia" w:ascii="宋体" w:hAnsi="宋体" w:eastAsia="宋体" w:cs="宋体"/>
          <w:color w:val="000000"/>
          <w:sz w:val="30"/>
          <w:szCs w:val="30"/>
          <w:highlight w:val="none"/>
          <w:lang w:eastAsia="zh-CN"/>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w:t>
      </w:r>
      <w:r>
        <w:rPr>
          <w:rFonts w:hint="eastAsia" w:ascii="宋体" w:hAnsi="宋体" w:cs="宋体"/>
          <w:color w:val="000000"/>
          <w:sz w:val="30"/>
          <w:szCs w:val="30"/>
          <w:highlight w:val="none"/>
          <w:lang w:eastAsia="zh-CN"/>
        </w:rPr>
        <w:t xml:space="preserve">无锡市锡山区人民政府东北塘街道办事处</w:t>
      </w:r>
      <w:r>
        <w:rPr>
          <w:rFonts w:hint="eastAsia" w:ascii="宋体" w:hAnsi="宋体" w:eastAsia="宋体" w:cs="宋体"/>
          <w:color w:val="000000"/>
          <w:sz w:val="30"/>
          <w:szCs w:val="30"/>
          <w:highlight w:val="none"/>
          <w:lang w:eastAsia="zh-CN"/>
        </w:rPr>
      </w:r>
      <w:r/>
    </w:p>
    <w:p>
      <w:pPr>
        <w:pStyle w:val="1497"/>
        <w:spacing w:line="360" w:lineRule="auto"/>
        <w:rPr>
          <w:rFonts w:hint="eastAsia" w:ascii="宋体" w:hAnsi="宋体" w:cs="宋体"/>
          <w:color w:val="000000"/>
          <w:sz w:val="30"/>
          <w:szCs w:val="30"/>
          <w:highlight w:val="none"/>
        </w:rPr>
        <w:outlineLvl w:val="9"/>
      </w:pPr>
      <w:r/>
      <w:bookmarkStart w:id="8" w:name="_Toc22627"/>
      <w:r/>
      <w:bookmarkStart w:id="9" w:name="_Toc12700"/>
      <w:r>
        <w:rPr>
          <w:rFonts w:hint="eastAsia" w:ascii="宋体" w:hAnsi="宋体" w:cs="宋体"/>
          <w:color w:val="000000"/>
          <w:sz w:val="30"/>
          <w:szCs w:val="30"/>
          <w:highlight w:val="none"/>
        </w:rPr>
        <w:t xml:space="preserve">采购代理机构：江苏通汇工程管理咨询有限公司</w:t>
      </w:r>
      <w:bookmarkEnd w:id="8"/>
      <w:r/>
      <w:bookmarkEnd w:id="9"/>
      <w:r>
        <w:rPr>
          <w:rFonts w:hint="eastAsia" w:ascii="宋体" w:hAnsi="宋体" w:cs="宋体"/>
          <w:color w:val="000000"/>
          <w:sz w:val="30"/>
          <w:szCs w:val="30"/>
          <w:highlight w:val="none"/>
        </w:rPr>
      </w:r>
      <w:r/>
    </w:p>
    <w:p>
      <w:pPr>
        <w:pStyle w:val="1497"/>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1497"/>
        <w:jc w:val="center"/>
        <w:rPr>
          <w:rStyle w:val="1550"/>
          <w:rFonts w:eastAsia="黑体"/>
          <w:bCs/>
          <w:color w:val="000000"/>
          <w:sz w:val="48"/>
          <w:highlight w:val="none"/>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rPr>
          <w:rStyle w:val="1550"/>
          <w:rFonts w:eastAsia="黑体"/>
          <w:bCs/>
          <w:color w:val="000000"/>
          <w:sz w:val="48"/>
          <w:highlight w:val="none"/>
        </w:rPr>
      </w:r>
      <w:r/>
    </w:p>
    <w:p>
      <w:pPr>
        <w:pStyle w:val="1497"/>
        <w:jc w:val="center"/>
        <w:rPr>
          <w:rStyle w:val="1550"/>
          <w:rFonts w:hint="eastAsia" w:eastAsia="黑体"/>
          <w:bCs/>
          <w:color w:val="000000"/>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Pr>
          <w:rStyle w:val="1550"/>
          <w:rFonts w:hint="eastAsia" w:eastAsia="黑体"/>
          <w:bCs/>
          <w:color w:val="000000"/>
          <w:sz w:val="48"/>
          <w:highlight w:val="none"/>
        </w:rPr>
      </w:r>
      <w:r/>
    </w:p>
    <w:p>
      <w:pPr>
        <w:pStyle w:val="1497"/>
        <w:jc w:val="center"/>
        <w:rPr>
          <w:rStyle w:val="1550"/>
          <w:rFonts w:hint="eastAsia" w:ascii="宋体" w:hAnsi="宋体" w:cs="宋体"/>
          <w:b/>
          <w:color w:val="000000"/>
          <w:sz w:val="44"/>
          <w:szCs w:val="44"/>
          <w:highlight w:val="none"/>
        </w:rPr>
        <w:outlineLvl w:val="9"/>
      </w:pPr>
      <w:r/>
      <w:bookmarkStart w:id="11" w:name="_Toc15618"/>
      <w:r/>
      <w:bookmarkStart w:id="12" w:name="_Toc23032"/>
      <w:r/>
      <w:bookmarkStart w:id="13" w:name="_Toc32576"/>
      <w:r>
        <w:rPr>
          <w:rStyle w:val="1550"/>
          <w:rFonts w:hint="eastAsia" w:ascii="宋体" w:hAnsi="宋体" w:cs="宋体"/>
          <w:b/>
          <w:color w:val="000000"/>
          <w:sz w:val="44"/>
          <w:szCs w:val="44"/>
          <w:highlight w:val="none"/>
        </w:rPr>
        <w:t xml:space="preserve">目     录</w:t>
      </w:r>
      <w:bookmarkEnd w:id="10"/>
      <w:r/>
      <w:bookmarkEnd w:id="11"/>
      <w:r/>
      <w:bookmarkEnd w:id="12"/>
      <w:r/>
      <w:bookmarkEnd w:id="13"/>
      <w:r>
        <w:rPr>
          <w:rStyle w:val="1550"/>
          <w:rFonts w:hint="eastAsia" w:ascii="宋体" w:hAnsi="宋体" w:cs="宋体"/>
          <w:b/>
          <w:color w:val="000000"/>
          <w:sz w:val="44"/>
          <w:szCs w:val="44"/>
          <w:highlight w:val="none"/>
        </w:rPr>
      </w:r>
      <w:r/>
    </w:p>
    <w:p>
      <w:pPr>
        <w:pStyle w:val="1497"/>
        <w:rPr>
          <w:color w:val="000000"/>
          <w:highlight w:val="none"/>
        </w:rPr>
      </w:pPr>
      <w:r>
        <w:rPr>
          <w:color w:val="000000"/>
          <w:highlight w:val="none"/>
        </w:rPr>
      </w:r>
      <w:r/>
    </w:p>
    <w:p>
      <w:pPr>
        <w:pStyle w:val="1534"/>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4"/>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4"/>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_Toc19762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17</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4"/>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4"/>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_Toc5730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28</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497"/>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rFonts w:ascii="宋体" w:hAnsi="宋体"/>
          <w:bCs/>
          <w:color w:val="000000"/>
          <w:sz w:val="24"/>
          <w:szCs w:val="24"/>
          <w:highlight w:val="none"/>
        </w:rPr>
      </w:r>
      <w:r/>
    </w:p>
    <w:p>
      <w:pPr>
        <w:pStyle w:val="1497"/>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7"/>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7"/>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7"/>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7"/>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7"/>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7"/>
        <w:spacing w:line="720" w:lineRule="auto"/>
        <w:rPr>
          <w:rFonts w:hint="eastAsia" w:ascii="宋体" w:hAnsi="Times New Roman" w:eastAsia="宋体" w:cs="Times New Roman"/>
          <w:bCs/>
          <w:color w:val="000000"/>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Pr>
          <w:rFonts w:hint="eastAsia" w:ascii="宋体" w:hAnsi="Times New Roman" w:eastAsia="宋体" w:cs="Times New Roman"/>
          <w:bCs/>
          <w:color w:val="000000"/>
          <w:sz w:val="28"/>
          <w:szCs w:val="28"/>
          <w:highlight w:val="none"/>
        </w:rPr>
      </w:r>
      <w:r/>
    </w:p>
    <w:p>
      <w:pPr>
        <w:pStyle w:val="1497"/>
        <w:jc w:val="center"/>
        <w:spacing w:line="360" w:lineRule="auto"/>
        <w:rPr>
          <w:rFonts w:hint="eastAsia" w:ascii="Times New Roman" w:hAnsi="宋体" w:eastAsia="宋体" w:cs="宋体"/>
          <w:b/>
          <w:bCs/>
          <w:sz w:val="32"/>
          <w:szCs w:val="32"/>
          <w:highlight w:val="none"/>
        </w:rPr>
        <w:outlineLvl w:val="0"/>
      </w:pPr>
      <w:r/>
      <w:bookmarkStart w:id="16" w:name="_Toc622"/>
      <w:r/>
      <w:bookmarkStart w:id="17" w:name="_Toc13603"/>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Pr>
          <w:rFonts w:hint="eastAsia" w:ascii="Times New Roman" w:hAnsi="宋体" w:eastAsia="宋体" w:cs="宋体"/>
          <w:b/>
          <w:bCs/>
          <w:sz w:val="32"/>
          <w:szCs w:val="32"/>
          <w:highlight w:val="non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江苏通汇工程管理咨询有限公司受</w:t>
      </w:r>
      <w:r>
        <w:rPr>
          <w:rFonts w:hint="eastAsia" w:ascii="宋体" w:hAnsi="宋体" w:cs="宋体"/>
          <w:color w:val="000000"/>
          <w:sz w:val="24"/>
          <w:szCs w:val="24"/>
          <w:highlight w:val="none"/>
          <w:lang w:eastAsia="zh-CN"/>
        </w:rPr>
        <w:t xml:space="preserve">无锡市锡山区人民政府东北塘街道办事处</w:t>
      </w:r>
      <w:r>
        <w:rPr>
          <w:rFonts w:hint="eastAsia" w:ascii="宋体" w:hAnsi="宋体" w:cs="宋体"/>
          <w:color w:val="000000"/>
          <w:sz w:val="24"/>
          <w:szCs w:val="24"/>
          <w:highlight w:val="none"/>
        </w:rPr>
        <w:t xml:space="preserve">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东北塘街道兴塘滨水公园及兴塘公园绿化养护项目</w:t>
      </w:r>
      <w:r>
        <w:rPr>
          <w:rFonts w:hint="eastAsia" w:ascii="宋体" w:hAnsi="宋体" w:cs="宋体"/>
          <w:bCs/>
          <w:color w:val="000000"/>
          <w:sz w:val="24"/>
          <w:szCs w:val="24"/>
          <w:highlight w:val="none"/>
        </w:rPr>
        <w:t xml:space="preserve">进行公开招标采购，欢迎符合相关条件的供应商参加投标并提请注意下列相关事项：</w:t>
      </w:r>
      <w:r>
        <w:rPr>
          <w:rFonts w:hint="eastAsia" w:ascii="宋体" w:hAnsi="宋体" w:cs="宋体"/>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8010"/>
      </w:tblGrid>
      <w:tr>
        <w:trPr>
          <w:trHeight w:val="90"/>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东北塘街道兴塘滨水公园及兴塘公园绿化养护项目</w:t>
            </w:r>
            <w:r>
              <w:rPr>
                <w:rFonts w:hint="eastAsia" w:ascii="宋体" w:hAnsi="宋体" w:eastAsia="宋体" w:cs="宋体"/>
                <w:color w:val="000000"/>
                <w:sz w:val="24"/>
                <w:szCs w:val="24"/>
                <w:highlight w:val="none"/>
                <w:lang w:eastAsia="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yellow"/>
              </w:rPr>
              <w:outlineLvl w:val="9"/>
            </w:pPr>
            <w:r>
              <w:rPr>
                <w:rFonts w:hint="eastAsia" w:ascii="宋体" w:hAnsi="宋体" w:eastAsia="宋体" w:cs="宋体"/>
                <w:color w:val="000000"/>
                <w:sz w:val="24"/>
                <w:szCs w:val="24"/>
                <w:highlight w:val="none"/>
              </w:rPr>
              <w:t xml:space="preserve">采购项目编号：JSZC-320205-THGC-G2024-0048</w:t>
            </w:r>
            <w:r>
              <w:rPr>
                <w:rFonts w:hint="eastAsia" w:ascii="宋体" w:hAnsi="宋体" w:eastAsia="宋体" w:cs="宋体"/>
                <w:color w:val="000000"/>
                <w:sz w:val="24"/>
                <w:szCs w:val="24"/>
                <w:highlight w:val="yellow"/>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tc>
      </w:tr>
      <w:tr>
        <w:trPr>
          <w:trHeight w:val="512"/>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7"/>
              <w:ind w:left="0" w:right="0" w:firstLine="24"/>
              <w:keepLines w:val="0"/>
              <w:keepNext w:val="0"/>
              <w:pageBreakBefore w:val="0"/>
              <w:spacing w:line="360" w:lineRule="auto"/>
              <w:widowControl/>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无锡市锡山区人民政府东北塘街道办事处</w:t>
            </w:r>
            <w:r>
              <w:rPr>
                <w:rFonts w:hint="eastAsia" w:ascii="宋体" w:hAnsi="宋体" w:eastAsia="宋体" w:cs="宋体"/>
                <w:bCs/>
                <w:color w:val="000000"/>
                <w:sz w:val="24"/>
                <w:szCs w:val="24"/>
                <w:highlight w:val="none"/>
                <w:lang w:eastAsia="zh-CN"/>
              </w:rPr>
            </w:r>
            <w:r/>
          </w:p>
          <w:p>
            <w:pPr>
              <w:pStyle w:val="1497"/>
              <w:ind w:left="0" w:right="0"/>
              <w:keepLines w:val="0"/>
              <w:keepNext w:val="0"/>
              <w:pageBreakBefore w:val="0"/>
              <w:spacing w:line="360" w:lineRule="auto"/>
              <w:widowControl/>
              <w:rPr>
                <w:rFonts w:hint="eastAsia" w:ascii="宋体" w:hAnsi="宋体" w:eastAsia="宋体" w:cs="宋体"/>
                <w:b w:val="0"/>
                <w:bCs/>
                <w:color w:val="000000"/>
                <w:sz w:val="24"/>
                <w:szCs w:val="24"/>
                <w:highlight w:val="yellow"/>
              </w:rPr>
              <w:outlineLvl w:val="9"/>
            </w:pPr>
            <w:r>
              <w:rPr>
                <w:rFonts w:hint="eastAsia" w:ascii="宋体" w:hAnsi="宋体" w:eastAsia="宋体" w:cs="宋体"/>
                <w:b w:val="0"/>
                <w:bCs/>
                <w:color w:val="000000"/>
                <w:sz w:val="24"/>
                <w:szCs w:val="24"/>
                <w:highlight w:val="none"/>
              </w:rPr>
              <w:t xml:space="preserve">采购人地址：江苏省无锡市锡山区东园路22号</w:t>
            </w:r>
            <w:r>
              <w:rPr>
                <w:rFonts w:hint="eastAsia" w:ascii="宋体" w:hAnsi="宋体" w:eastAsia="宋体" w:cs="宋体"/>
                <w:b w:val="0"/>
                <w:bCs/>
                <w:color w:val="000000"/>
                <w:sz w:val="24"/>
                <w:szCs w:val="24"/>
                <w:highlight w:val="yellow"/>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bCs/>
                <w:color w:val="000000"/>
                <w:sz w:val="24"/>
                <w:szCs w:val="24"/>
                <w:highlight w:val="none"/>
              </w:rPr>
              <w:t xml:space="preserve">江苏通汇工程管理咨询有限公司</w:t>
            </w:r>
            <w:r>
              <w:rPr>
                <w:rFonts w:hint="eastAsia" w:ascii="宋体" w:hAnsi="宋体" w:eastAsia="宋体" w:cs="宋体"/>
                <w:color w:val="000000"/>
                <w:sz w:val="24"/>
                <w:szCs w:val="24"/>
                <w:highlight w:val="none"/>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采购机构地址：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rPr>
                <w:rFonts w:hint="eastAsia" w:ascii="宋体" w:hAnsi="宋体" w:eastAsia="宋体" w:cs="宋体"/>
                <w:color w:val="000000"/>
                <w:sz w:val="24"/>
                <w:szCs w:val="24"/>
                <w:highlight w:val="none"/>
                <w:lang w:val="en-US" w:eastAsia="zh-CN"/>
              </w:rPr>
            </w:r>
            <w:r/>
          </w:p>
        </w:tc>
      </w:tr>
      <w:tr>
        <w:trPr>
          <w:trHeight w:val="2987"/>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541"/>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采购项目概况、要求：</w:t>
            </w:r>
            <w:r>
              <w:rPr>
                <w:rFonts w:hint="eastAsia" w:ascii="宋体" w:hAnsi="宋体" w:eastAsia="宋体" w:cs="宋体"/>
                <w:color w:val="000000"/>
                <w:sz w:val="24"/>
                <w:szCs w:val="24"/>
                <w:highlight w:val="none"/>
                <w:lang w:val="en-US" w:eastAsia="zh-CN"/>
              </w:rPr>
            </w:r>
            <w:r/>
          </w:p>
          <w:p>
            <w:pPr>
              <w:pStyle w:val="1541"/>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采购内容：</w:t>
            </w:r>
            <w:r>
              <w:rPr>
                <w:rFonts w:hint="eastAsia" w:eastAsia="宋体" w:cs="宋体"/>
                <w:color w:val="000000"/>
                <w:sz w:val="24"/>
                <w:szCs w:val="24"/>
                <w:highlight w:val="none"/>
                <w:lang w:eastAsia="zh-CN"/>
              </w:rPr>
              <w:t xml:space="preserve">东北塘街道兴塘滨水公园及兴塘公园绿化养护项目，</w:t>
            </w:r>
            <w:r>
              <w:rPr>
                <w:rFonts w:hint="eastAsia" w:ascii="宋体" w:hAnsi="宋体" w:eastAsia="宋体" w:cs="宋体"/>
                <w:color w:val="000000"/>
                <w:highlight w:val="none"/>
              </w:rPr>
              <w:t xml:space="preserve">详见“三</w:t>
            </w:r>
            <w:r>
              <w:rPr>
                <w:rFonts w:hint="eastAsia" w:ascii="宋体" w:hAnsi="宋体" w:eastAsia="宋体" w:cs="宋体"/>
                <w:color w:val="000000"/>
                <w:highlight w:val="none"/>
                <w:lang w:eastAsia="zh-CN"/>
              </w:rPr>
              <w:t xml:space="preserve">、项目技术要求和有关说明</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497"/>
              <w:jc w:val="left"/>
              <w:spacing w:line="360" w:lineRule="auto"/>
              <w:widowControl/>
              <w:tabs>
                <w:tab w:val="left" w:pos="360" w:leader="none"/>
                <w:tab w:val="left" w:pos="9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2、服务期限：</w:t>
            </w:r>
            <w:r>
              <w:rPr>
                <w:rFonts w:hint="eastAsia" w:eastAsia="宋体" w:cs="宋体"/>
                <w:color w:val="000000"/>
                <w:sz w:val="24"/>
                <w:szCs w:val="24"/>
                <w:highlight w:val="none"/>
                <w:lang w:val="en-US" w:eastAsia="zh-CN"/>
              </w:rPr>
              <w:t xml:space="preserve">2年，</w:t>
            </w:r>
            <w:r>
              <w:rPr>
                <w:rFonts w:hint="eastAsia" w:ascii="宋体" w:hAnsi="宋体" w:cs="宋体"/>
                <w:bCs/>
                <w:color w:val="000000"/>
                <w:sz w:val="24"/>
                <w:highlight w:val="none"/>
                <w:lang w:bidi="zh-CN"/>
              </w:rPr>
              <w:t xml:space="preserve">具体开始时间以采购人通知为准。</w:t>
            </w:r>
            <w:r>
              <w:rPr>
                <w:rFonts w:hint="eastAsia" w:ascii="宋体" w:hAnsi="宋体" w:eastAsia="宋体" w:cs="宋体"/>
                <w:color w:val="000000"/>
                <w:sz w:val="24"/>
                <w:szCs w:val="24"/>
                <w:highlight w:val="none"/>
                <w:lang w:val="en-US" w:eastAsia="zh-CN"/>
              </w:rPr>
            </w:r>
            <w:r/>
          </w:p>
          <w:p>
            <w:pPr>
              <w:pStyle w:val="1541"/>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3、质量要求：</w:t>
            </w:r>
            <w:r>
              <w:rPr>
                <w:color w:val="000000"/>
                <w:sz w:val="24"/>
                <w:highlight w:val="none"/>
              </w:rPr>
              <w:t xml:space="preserve">符合国家规定的</w:t>
            </w:r>
            <w:r>
              <w:rPr>
                <w:rFonts w:hint="eastAsia"/>
                <w:color w:val="000000"/>
                <w:sz w:val="24"/>
                <w:highlight w:val="none"/>
              </w:rPr>
              <w:t xml:space="preserve">一级</w:t>
            </w:r>
            <w:r>
              <w:rPr>
                <w:color w:val="000000"/>
                <w:sz w:val="24"/>
                <w:highlight w:val="none"/>
              </w:rPr>
              <w:t xml:space="preserve">养护标准</w:t>
            </w:r>
            <w:r>
              <w:rPr>
                <w:rFonts w:hint="eastAsia" w:ascii="宋体" w:hAnsi="宋体"/>
                <w:bCs/>
                <w:color w:val="000000"/>
                <w:sz w:val="24"/>
                <w:highlight w:val="none"/>
              </w:rPr>
              <w:t xml:space="preserve">。</w:t>
            </w:r>
            <w:r>
              <w:rPr>
                <w:rFonts w:hint="eastAsia" w:ascii="宋体" w:hAnsi="宋体" w:eastAsia="宋体" w:cs="宋体"/>
                <w:color w:val="000000"/>
                <w:sz w:val="24"/>
                <w:szCs w:val="24"/>
                <w:highlight w:val="none"/>
                <w:lang w:val="en-US" w:eastAsia="zh-CN"/>
              </w:rPr>
            </w:r>
            <w:r/>
          </w:p>
          <w:p>
            <w:pPr>
              <w:pStyle w:val="1541"/>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yellow"/>
                <w:lang w:eastAsia="zh-CN"/>
              </w:rPr>
              <w:outlineLvl w:val="9"/>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项</w:t>
            </w:r>
            <w:r>
              <w:rPr>
                <w:rFonts w:hint="eastAsia" w:ascii="宋体" w:hAnsi="宋体" w:eastAsia="宋体" w:cs="宋体"/>
                <w:bCs/>
                <w:color w:val="000000"/>
                <w:sz w:val="24"/>
                <w:szCs w:val="24"/>
                <w:highlight w:val="none"/>
              </w:rPr>
              <w:t xml:space="preserve">目投标预算价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249.15954</w:t>
            </w:r>
            <w:r>
              <w:rPr>
                <w:rFonts w:hint="eastAsia" w:ascii="宋体" w:hAnsi="宋体" w:eastAsia="宋体" w:cs="宋体"/>
                <w:color w:val="000000"/>
                <w:sz w:val="24"/>
                <w:szCs w:val="24"/>
                <w:highlight w:val="none"/>
                <w:lang w:eastAsia="zh-CN"/>
              </w:rPr>
              <w:t xml:space="preserve">万</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eastAsia="zh-CN"/>
              </w:rPr>
              <w:t xml:space="preserve">，一标段（兴塘公园）：</w:t>
            </w:r>
            <w:r>
              <w:rPr>
                <w:rFonts w:hint="eastAsia" w:ascii="宋体" w:hAnsi="宋体" w:eastAsia="宋体" w:cs="宋体"/>
                <w:color w:val="000000"/>
                <w:sz w:val="24"/>
                <w:szCs w:val="24"/>
                <w:highlight w:val="none"/>
                <w:lang w:val="en-US" w:eastAsia="zh-CN"/>
              </w:rPr>
              <w:t xml:space="preserve">91.2</w:t>
            </w:r>
            <w:r>
              <w:rPr>
                <w:rFonts w:hint="eastAsia" w:ascii="宋体" w:hAnsi="宋体" w:eastAsia="宋体" w:cs="宋体"/>
                <w:color w:val="000000"/>
                <w:sz w:val="24"/>
                <w:szCs w:val="24"/>
                <w:highlight w:val="none"/>
                <w:lang w:eastAsia="zh-CN"/>
              </w:rPr>
              <w:t xml:space="preserve">万元；二标段（兴塘滨水公园）：</w:t>
            </w:r>
            <w:r>
              <w:rPr>
                <w:rFonts w:hint="eastAsia" w:ascii="宋体" w:hAnsi="宋体" w:eastAsia="宋体" w:cs="宋体"/>
                <w:color w:val="000000"/>
                <w:sz w:val="24"/>
                <w:szCs w:val="24"/>
                <w:highlight w:val="none"/>
                <w:lang w:val="en-US" w:eastAsia="zh-CN"/>
              </w:rPr>
              <w:t xml:space="preserve">157.95954</w:t>
            </w:r>
            <w:r>
              <w:rPr>
                <w:rFonts w:hint="eastAsia" w:ascii="宋体" w:hAnsi="宋体" w:eastAsia="宋体" w:cs="宋体"/>
                <w:color w:val="000000"/>
                <w:sz w:val="24"/>
                <w:szCs w:val="24"/>
                <w:highlight w:val="none"/>
                <w:lang w:eastAsia="zh-CN"/>
              </w:rPr>
              <w:t xml:space="preserve">万元。投标报价不得超过最高限价，否则作无效响应文件处理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yellow"/>
                <w:lang w:eastAsia="zh-CN"/>
              </w:rPr>
            </w:r>
            <w:r/>
          </w:p>
          <w:p>
            <w:pPr>
              <w:pStyle w:val="1541"/>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5、本项目</w:t>
            </w:r>
            <w:r>
              <w:rPr>
                <w:rFonts w:hint="eastAsia" w:ascii="宋体" w:hAnsi="宋体" w:eastAsia="宋体" w:cs="宋体"/>
                <w:b/>
                <w:bCs w:val="0"/>
                <w:color w:val="000000"/>
                <w:sz w:val="24"/>
                <w:szCs w:val="24"/>
                <w:highlight w:val="none"/>
                <w:u w:val="single"/>
                <w:lang w:val="en-US" w:eastAsia="zh-CN"/>
              </w:rPr>
              <w:t xml:space="preserve">不接受</w:t>
            </w:r>
            <w:r>
              <w:rPr>
                <w:rFonts w:hint="eastAsia" w:ascii="宋体" w:hAnsi="宋体" w:eastAsia="宋体" w:cs="宋体"/>
                <w:b w:val="0"/>
                <w:bCs/>
                <w:color w:val="000000"/>
                <w:sz w:val="24"/>
                <w:szCs w:val="24"/>
                <w:highlight w:val="none"/>
                <w:lang w:val="en-US" w:eastAsia="zh-CN"/>
              </w:rPr>
              <w:t xml:space="preserve">联合体投标。</w:t>
            </w:r>
            <w:r>
              <w:rPr>
                <w:rFonts w:hint="eastAsia" w:ascii="宋体" w:hAnsi="宋体" w:eastAsia="宋体" w:cs="宋体"/>
                <w:b w:val="0"/>
                <w:bCs/>
                <w:color w:val="000000"/>
                <w:sz w:val="24"/>
                <w:szCs w:val="24"/>
                <w:highlight w:val="none"/>
                <w:lang w:val="en-US" w:eastAsia="zh-CN"/>
              </w:rPr>
            </w:r>
            <w:r/>
          </w:p>
          <w:p>
            <w:pPr>
              <w:pStyle w:val="1541"/>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6、本项目是否专门面向</w:t>
            </w:r>
            <w:r>
              <w:rPr>
                <w:rFonts w:hint="eastAsia" w:eastAsia="宋体" w:cs="宋体"/>
                <w:b w:val="0"/>
                <w:bCs/>
                <w:color w:val="000000"/>
                <w:sz w:val="24"/>
                <w:szCs w:val="24"/>
                <w:highlight w:val="none"/>
                <w:lang w:val="en-US" w:eastAsia="zh-CN"/>
              </w:rPr>
              <w:t xml:space="preserve">中小微</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是</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541"/>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7、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rPr>
                <w:rFonts w:hint="eastAsia" w:ascii="宋体" w:hAnsi="宋体" w:eastAsia="宋体" w:cs="宋体"/>
                <w:b/>
                <w:color w:val="000000"/>
                <w:sz w:val="24"/>
                <w:szCs w:val="24"/>
                <w:highlight w:val="none"/>
                <w:lang w:val="en-US" w:eastAsia="zh-CN"/>
              </w:rPr>
            </w:r>
            <w:r/>
          </w:p>
        </w:tc>
      </w:tr>
      <w:tr>
        <w:trPr>
          <w:trHeight w:val="90"/>
        </w:trPr>
        <w:tc>
          <w:tcPr>
            <w:tcW w:w="759" w:type="dxa"/>
            <w:vAlign w:val="center"/>
            <w:textDirection w:val="lrTb"/>
            <w:noWrap w:val="false"/>
          </w:tcPr>
          <w:p>
            <w:pPr>
              <w:pStyle w:val="1541"/>
              <w:ind w:left="0" w:right="0" w:firstLine="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010" w:type="dxa"/>
            <w:vAlign w:val="center"/>
            <w:textDirection w:val="lrTb"/>
            <w:noWrap w:val="false"/>
          </w:tcPr>
          <w:p>
            <w:pPr>
              <w:pStyle w:val="1541"/>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供应商资格要求：</w:t>
            </w:r>
            <w:r>
              <w:rPr>
                <w:rFonts w:hint="eastAsia" w:ascii="宋体" w:hAnsi="宋体" w:eastAsia="宋体" w:cs="宋体"/>
                <w:color w:val="000000"/>
                <w:sz w:val="24"/>
                <w:szCs w:val="24"/>
                <w:highlight w:val="none"/>
                <w:lang w:val="en-US" w:eastAsia="zh-CN"/>
              </w:rPr>
            </w:r>
            <w:r/>
          </w:p>
          <w:p>
            <w:pPr>
              <w:pStyle w:val="1541"/>
              <w:ind w:left="0" w:right="0"/>
              <w:keepLines w:val="0"/>
              <w:keepNext w:val="0"/>
              <w:pageBreakBefore w:val="0"/>
              <w:spacing w:before="0" w:beforeAutospacing="0" w:after="0" w:afterAutospacing="0" w:line="360" w:lineRule="auto"/>
              <w:tabs>
                <w:tab w:val="left" w:pos="0"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1、满足《中华人民共和国政府采购法》第二十二条规定；</w:t>
            </w:r>
            <w:r>
              <w:rPr>
                <w:rFonts w:ascii="宋体" w:hAnsi="宋体" w:eastAsia="宋体" w:cs="宋体"/>
                <w:color w:val="000000"/>
                <w:sz w:val="24"/>
                <w:szCs w:val="24"/>
                <w:highlight w:val="none"/>
                <w:lang w:val="en-US" w:eastAsia="zh-CN"/>
              </w:rPr>
            </w:r>
            <w:r/>
          </w:p>
          <w:p>
            <w:pPr>
              <w:pStyle w:val="1541"/>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2、未被“信用中国”网站（www.creditchina.gov.cn）、中国政府采购网</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www.ccgp.gov.cn</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列入失信被执行人、重大税收违法案件当事人名单、政府采购严重违法失信行为记录名单；</w:t>
            </w:r>
            <w:r>
              <w:rPr>
                <w:rFonts w:hint="eastAsia" w:ascii="宋体" w:hAnsi="宋体" w:eastAsia="宋体" w:cs="宋体"/>
                <w:color w:val="000000"/>
                <w:sz w:val="24"/>
                <w:szCs w:val="24"/>
                <w:highlight w:val="none"/>
                <w:lang w:val="en-US" w:eastAsia="zh-CN"/>
              </w:rPr>
            </w:r>
            <w:r/>
          </w:p>
          <w:p>
            <w:pPr>
              <w:pStyle w:val="1541"/>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3.落实政府采购政策需满足的资格要求：供应商为</w:t>
            </w:r>
            <w:r>
              <w:rPr>
                <w:rFonts w:hint="eastAsia"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小微企业/监狱企业/残疾人福利企业</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541"/>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、本项目的特定资格要求：投标人拟派项目负责人必须</w:t>
            </w:r>
            <w:r>
              <w:rPr>
                <w:rFonts w:hint="eastAsia"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lang w:val="en-US" w:eastAsia="zh-CN"/>
              </w:rPr>
              <w:t xml:space="preserve">园林绿化相关专业中级及以上职称园林绿化相关专业职称证书是指：与园林绿化工程规划、设计、施工及养护管理相关的专业，包括园林（含园林规划设计、园林植物、风景园林、园林绿化等）、园艺、城市规划、景观、植物（含植保、森保等）。</w:t>
            </w:r>
            <w:r>
              <w:rPr>
                <w:rFonts w:hint="eastAsia" w:ascii="宋体" w:hAnsi="宋体" w:eastAsia="宋体" w:cs="宋体"/>
                <w:color w:val="000000"/>
                <w:sz w:val="24"/>
                <w:szCs w:val="24"/>
                <w:highlight w:val="none"/>
                <w:lang w:val="en-US" w:eastAsia="zh-CN"/>
              </w:rPr>
            </w:r>
            <w:r/>
          </w:p>
          <w:p>
            <w:pPr>
              <w:pStyle w:val="1541"/>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yellow"/>
                <w:lang w:val="en-US" w:eastAsia="zh-CN"/>
              </w:rPr>
              <w:outlineLvl w:val="9"/>
            </w:pPr>
            <w:r>
              <w:rPr>
                <w:rFonts w:hint="eastAsia"/>
                <w:sz w:val="24"/>
                <w:lang w:eastAsia="zh-CN"/>
              </w:rPr>
              <w:t xml:space="preserve">注：</w:t>
            </w:r>
            <w:r>
              <w:rPr>
                <w:rFonts w:hint="eastAsia" w:hAnsi="宋体" w:cs="宋体"/>
                <w:bCs/>
                <w:color w:val="000000"/>
                <w:sz w:val="24"/>
                <w:highlight w:val="none"/>
                <w:lang w:val="en-US" w:eastAsia="zh-CN"/>
              </w:rPr>
              <w:t xml:space="preserve">本项目共</w:t>
            </w:r>
            <w:r>
              <w:rPr>
                <w:rFonts w:hAnsi="宋体" w:cs="宋体"/>
                <w:bCs/>
                <w:color w:val="000000"/>
                <w:sz w:val="24"/>
                <w:highlight w:val="none"/>
              </w:rPr>
              <w:t xml:space="preserve">2</w:t>
            </w:r>
            <w:r>
              <w:rPr>
                <w:rFonts w:hint="eastAsia" w:hAnsi="宋体" w:cs="宋体"/>
                <w:bCs/>
                <w:color w:val="000000"/>
                <w:sz w:val="24"/>
                <w:highlight w:val="none"/>
              </w:rPr>
              <w:t xml:space="preserve">个标段</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供应商可投多个标段，但</w:t>
            </w:r>
            <w:r>
              <w:rPr>
                <w:rFonts w:hint="eastAsia" w:hAnsi="宋体" w:cs="宋体"/>
                <w:bCs/>
                <w:color w:val="000000"/>
                <w:sz w:val="24"/>
                <w:highlight w:val="none"/>
                <w:lang w:val="en-US" w:eastAsia="zh-CN"/>
              </w:rPr>
              <w:t xml:space="preserve">仅</w:t>
            </w:r>
            <w:r>
              <w:rPr>
                <w:rFonts w:hint="eastAsia" w:hAnsi="宋体" w:cs="宋体"/>
                <w:bCs/>
                <w:color w:val="000000"/>
                <w:sz w:val="24"/>
                <w:highlight w:val="none"/>
              </w:rPr>
              <w:t xml:space="preserve">能</w:t>
            </w:r>
            <w:r>
              <w:rPr>
                <w:rFonts w:hint="eastAsia" w:hAnsi="宋体" w:cs="宋体"/>
                <w:bCs/>
                <w:color w:val="000000"/>
                <w:sz w:val="24"/>
                <w:highlight w:val="none"/>
                <w:lang w:val="en-US" w:eastAsia="zh-CN"/>
              </w:rPr>
              <w:t xml:space="preserve">中标</w:t>
            </w:r>
            <w:r>
              <w:rPr>
                <w:rFonts w:hint="eastAsia" w:hAnsi="宋体" w:cs="宋体"/>
                <w:bCs/>
                <w:color w:val="000000"/>
                <w:sz w:val="24"/>
                <w:highlight w:val="none"/>
              </w:rPr>
              <w:t xml:space="preserve">1个标段。如</w:t>
            </w:r>
            <w:r>
              <w:rPr>
                <w:rFonts w:hint="eastAsia" w:hAnsi="宋体" w:cs="宋体"/>
                <w:bCs/>
                <w:color w:val="000000"/>
                <w:sz w:val="24"/>
                <w:highlight w:val="none"/>
                <w:lang w:val="en-US" w:eastAsia="zh-CN"/>
              </w:rPr>
              <w:t xml:space="preserve">2</w:t>
            </w:r>
            <w:r>
              <w:rPr>
                <w:rFonts w:hint="eastAsia" w:hAnsi="宋体" w:cs="宋体"/>
                <w:bCs/>
                <w:color w:val="000000"/>
                <w:sz w:val="24"/>
                <w:highlight w:val="none"/>
              </w:rPr>
              <w:t xml:space="preserve">个标段排名均为第一，</w:t>
            </w:r>
            <w:r>
              <w:rPr>
                <w:rFonts w:hint="eastAsia" w:hAnsi="宋体" w:cs="宋体"/>
                <w:bCs/>
                <w:color w:val="000000"/>
                <w:sz w:val="24"/>
                <w:highlight w:val="none"/>
                <w:lang w:val="en-US" w:eastAsia="zh-CN"/>
              </w:rPr>
              <w:t xml:space="preserve">优先中标金额大的</w:t>
            </w:r>
            <w:r>
              <w:rPr>
                <w:rFonts w:hint="eastAsia" w:hAnsi="宋体" w:cs="宋体"/>
                <w:bCs/>
                <w:color w:val="000000"/>
                <w:sz w:val="24"/>
                <w:highlight w:val="none"/>
              </w:rPr>
              <w:t xml:space="preserve">标段，其余标段由排名下一位自动递补。</w:t>
            </w:r>
            <w:r>
              <w:rPr>
                <w:rFonts w:hint="eastAsia" w:ascii="宋体" w:hAnsi="宋体" w:eastAsia="宋体" w:cs="宋体"/>
                <w:color w:val="000000"/>
                <w:sz w:val="24"/>
                <w:szCs w:val="24"/>
                <w:highlight w:val="yellow"/>
                <w:lang w:val="en-US" w:eastAsia="zh-CN"/>
              </w:rPr>
            </w:r>
            <w:r/>
          </w:p>
        </w:tc>
      </w:tr>
      <w:tr>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7"/>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发售采购文件时间：</w:t>
            </w:r>
            <w:r>
              <w:rPr>
                <w:rFonts w:hint="eastAsia" w:ascii="宋体" w:hAnsi="宋体" w:eastAsia="宋体" w:cs="宋体"/>
                <w:color w:val="000000"/>
                <w:sz w:val="24"/>
                <w:szCs w:val="24"/>
                <w:highlight w:val="none"/>
              </w:rPr>
            </w:r>
            <w:r/>
          </w:p>
          <w:p>
            <w:pPr>
              <w:pStyle w:val="1497"/>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提供采购文件时间：自</w:t>
            </w:r>
            <w:r>
              <w:rPr>
                <w:rFonts w:hint="eastAsia" w:ascii="宋体" w:hAnsi="宋体" w:eastAsia="宋体" w:cs="宋体"/>
                <w:bCs/>
                <w:color w:val="000000"/>
                <w:sz w:val="24"/>
                <w:szCs w:val="24"/>
                <w:highlight w:val="none"/>
                <w:lang w:val="en-US" w:eastAsia="zh-CN"/>
              </w:rPr>
              <w:t xml:space="preserve">发布之日起5个工作日</w:t>
            </w:r>
            <w:r>
              <w:rPr>
                <w:rFonts w:hint="eastAsia" w:ascii="宋体" w:hAnsi="宋体" w:eastAsia="宋体" w:cs="宋体"/>
                <w:bCs/>
                <w:color w:val="000000"/>
                <w:sz w:val="24"/>
                <w:szCs w:val="24"/>
                <w:highlight w:val="none"/>
              </w:rPr>
              <w:t xml:space="preserve">，法定假日不办理。</w:t>
            </w:r>
            <w:r>
              <w:rPr>
                <w:rFonts w:hint="eastAsia" w:ascii="宋体" w:hAnsi="宋体" w:eastAsia="宋体" w:cs="宋体"/>
                <w:bCs/>
                <w:color w:val="000000"/>
                <w:sz w:val="24"/>
                <w:szCs w:val="24"/>
                <w:highlight w:val="none"/>
              </w:rPr>
            </w:r>
            <w:r/>
          </w:p>
          <w:p>
            <w:pPr>
              <w:pStyle w:val="1497"/>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2、获取方式：本项目采用网上注册登记方式，网上注册登记成功后系统内免费下载。</w:t>
            </w:r>
            <w:r>
              <w:rPr>
                <w:rFonts w:hint="eastAsia" w:ascii="宋体" w:hAnsi="宋体" w:eastAsia="宋体" w:cs="宋体"/>
                <w:bCs/>
                <w:color w:val="000000"/>
                <w:sz w:val="24"/>
                <w:szCs w:val="24"/>
                <w:highlight w:val="none"/>
              </w:rPr>
            </w:r>
            <w:r/>
          </w:p>
          <w:p>
            <w:pPr>
              <w:pStyle w:val="1497"/>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3、潜在</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如确定投标，可在无锡政府采购网-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rPr>
                <w:rFonts w:hint="eastAsia" w:ascii="宋体" w:hAnsi="宋体" w:eastAsia="宋体" w:cs="宋体"/>
                <w:bCs/>
                <w:color w:val="000000"/>
                <w:sz w:val="24"/>
                <w:szCs w:val="24"/>
                <w:highlight w:val="none"/>
              </w:rPr>
            </w:r>
            <w:r/>
          </w:p>
          <w:p>
            <w:pPr>
              <w:pStyle w:val="1497"/>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应承担其编制响应文件以及递交响应文件所涉及的一切费用。无论投标结果如何，采购人对上述费用不负任何责任。</w:t>
            </w:r>
            <w:r>
              <w:rPr>
                <w:rFonts w:hint="eastAsia" w:ascii="宋体" w:hAnsi="宋体" w:eastAsia="宋体" w:cs="宋体"/>
                <w:bCs/>
                <w:color w:val="000000"/>
                <w:sz w:val="24"/>
                <w:szCs w:val="24"/>
                <w:highlight w:val="none"/>
              </w:rPr>
            </w:r>
            <w:r/>
          </w:p>
          <w:p>
            <w:pPr>
              <w:pStyle w:val="1497"/>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5、本项目无须缴纳投标保证金。</w:t>
            </w:r>
            <w:r>
              <w:rPr>
                <w:rFonts w:hint="eastAsia" w:ascii="宋体" w:hAnsi="宋体" w:eastAsia="宋体" w:cs="宋体"/>
                <w:bCs/>
                <w:color w:val="000000"/>
                <w:sz w:val="24"/>
                <w:szCs w:val="24"/>
                <w:highlight w:val="none"/>
              </w:rPr>
            </w:r>
            <w:r/>
          </w:p>
        </w:tc>
      </w:tr>
      <w:tr>
        <w:trPr>
          <w:trHeight w:val="90"/>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投标供应商对采购文件提出修改、澄清要求的截止时间：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8</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rPr>
              <w:t xml:space="preserve">1日</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00时，以书面</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t xml:space="preserve">形式和电子邮件形式发送给采购代理机构。</w:t>
            </w:r>
            <w:r>
              <w:rPr>
                <w:rFonts w:hint="eastAsia" w:ascii="宋体" w:hAnsi="宋体" w:eastAsia="宋体" w:cs="宋体"/>
                <w:color w:val="000000"/>
                <w:sz w:val="24"/>
                <w:szCs w:val="24"/>
                <w:highlight w:val="none"/>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采购人对采购文件修改、澄清的截止时间：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 8</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 1</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00时前，</w:t>
            </w:r>
            <w:r>
              <w:rPr>
                <w:rFonts w:hint="eastAsia" w:hAnsi="宋体" w:cs="宋体"/>
                <w:sz w:val="24"/>
                <w:highlight w:val="none"/>
              </w:rPr>
              <w:t xml:space="preserve">以电子邮件形式告知</w:t>
            </w:r>
            <w:r>
              <w:rPr>
                <w:rFonts w:hint="eastAsia" w:ascii="宋体" w:hAnsi="宋体" w:eastAsia="宋体" w:cs="宋体"/>
                <w:color w:val="000000"/>
                <w:sz w:val="24"/>
                <w:szCs w:val="24"/>
                <w:highlight w:val="none"/>
              </w:rPr>
              <w:t xml:space="preserve">各报名投标供应商。</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w:t>
            </w:r>
            <w:r>
              <w:rPr>
                <w:rFonts w:hint="eastAsia" w:ascii="宋体" w:hAnsi="宋体" w:eastAsia="宋体" w:cs="宋体"/>
                <w:sz w:val="24"/>
                <w:szCs w:val="24"/>
                <w:highlight w:val="none"/>
              </w:rPr>
              <w:t xml:space="preserve">无需递交</w:t>
            </w: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投标有效期：投标截止之日起90天</w:t>
            </w:r>
            <w:r>
              <w:rPr>
                <w:rFonts w:hint="eastAsia" w:ascii="宋体" w:hAnsi="宋体" w:eastAsia="宋体" w:cs="宋体"/>
                <w:color w:val="000000"/>
                <w:sz w:val="24"/>
                <w:szCs w:val="24"/>
                <w:highlight w:val="none"/>
              </w:rPr>
            </w:r>
            <w:r/>
          </w:p>
        </w:tc>
      </w:tr>
      <w:tr>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投标文件开始接收时间：202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投标文件接收截止时间：202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截止时间后的投标文件恕不接受。</w:t>
            </w:r>
            <w:r>
              <w:rPr>
                <w:rFonts w:hint="eastAsia" w:ascii="宋体" w:hAnsi="宋体" w:eastAsia="宋体" w:cs="宋体"/>
                <w:color w:val="000000"/>
                <w:sz w:val="24"/>
                <w:szCs w:val="24"/>
                <w:highlight w:val="none"/>
              </w:rPr>
            </w:r>
            <w:r/>
          </w:p>
          <w:p>
            <w:pPr>
              <w:pStyle w:val="1541"/>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投标方式：网上投标截止时间前</w:t>
            </w:r>
            <w:r>
              <w:rPr>
                <w:rFonts w:hint="eastAsia" w:ascii="宋体" w:hAnsi="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投标客户端投标</w:t>
            </w:r>
            <w:r>
              <w:rPr>
                <w:rFonts w:hint="eastAsia" w:ascii="宋体" w:hAnsi="宋体" w:eastAsia="宋体" w:cs="宋体"/>
                <w:color w:val="000000"/>
                <w:sz w:val="24"/>
                <w:szCs w:val="24"/>
                <w:highlight w:val="none"/>
                <w:lang w:val="en-US" w:eastAsia="zh-CN" w:bidi="ar-SA"/>
              </w:rPr>
            </w:r>
            <w:r/>
          </w:p>
          <w:p>
            <w:pPr>
              <w:pStyle w:val="1541"/>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投标地点：江苏省政府采购（苏采云）平台投标，线上不见面开标</w:t>
            </w:r>
            <w:r>
              <w:rPr>
                <w:rFonts w:hint="eastAsia" w:ascii="宋体" w:hAnsi="宋体" w:eastAsia="宋体" w:cs="宋体"/>
                <w:color w:val="000000"/>
                <w:sz w:val="24"/>
                <w:szCs w:val="24"/>
                <w:highlight w:val="none"/>
                <w:lang w:val="en-US" w:eastAsia="zh-CN" w:bidi="ar-SA"/>
              </w:rPr>
            </w:r>
            <w:r/>
          </w:p>
          <w:p>
            <w:pPr>
              <w:pStyle w:val="1497"/>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网上投标解密时间：开启解密后半小时；</w:t>
            </w:r>
            <w:r>
              <w:rPr>
                <w:rFonts w:hint="eastAsia" w:ascii="宋体" w:hAnsi="宋体" w:eastAsia="宋体" w:cs="宋体"/>
                <w:color w:val="000000"/>
                <w:sz w:val="24"/>
                <w:szCs w:val="24"/>
                <w:highlight w:val="none"/>
                <w:lang w:val="en-US" w:eastAsia="zh-CN" w:bidi="ar-SA"/>
              </w:rPr>
            </w:r>
            <w:r/>
          </w:p>
          <w:p>
            <w:pPr>
              <w:pStyle w:val="1516"/>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rPr>
            </w:r>
            <w:r/>
          </w:p>
          <w:p>
            <w:pPr>
              <w:pStyle w:val="1516"/>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eastAsia="宋体" w:cs="宋体"/>
                <w:b/>
                <w:bCs w:val="0"/>
                <w:color w:val="000000"/>
                <w:sz w:val="24"/>
                <w:szCs w:val="24"/>
                <w:highlight w:val="none"/>
              </w:rPr>
            </w:r>
            <w:r/>
          </w:p>
          <w:p>
            <w:pPr>
              <w:pStyle w:val="1516"/>
              <w:ind w:left="0" w:right="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bCs w:val="0"/>
                <w:color w:val="000000"/>
                <w:sz w:val="24"/>
                <w:szCs w:val="24"/>
                <w:highlight w:val="none"/>
              </w:rPr>
              <w:t xml:space="preserve">2、若资格审查中或评审过程中，采购人/代理机构/评标委员会对响应文件存在疑问，</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被授权代表须在接到在线询标函后15分钟内，在开标界面在线以澄清函回复并签章；若</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被授权代表未在规定时间内按上述要求</w:t>
            </w:r>
            <w:r>
              <w:rPr>
                <w:rFonts w:hint="eastAsia" w:ascii="宋体" w:hAnsi="宋体" w:eastAsia="宋体" w:cs="宋体"/>
                <w:b/>
                <w:bCs w:val="0"/>
                <w:color w:val="000000"/>
                <w:sz w:val="24"/>
                <w:szCs w:val="24"/>
                <w:highlight w:val="none"/>
                <w:lang w:eastAsia="zh-CN"/>
              </w:rPr>
              <w:t xml:space="preserve">作出</w:t>
            </w:r>
            <w:r>
              <w:rPr>
                <w:rFonts w:hint="eastAsia" w:ascii="宋体" w:hAnsi="宋体" w:eastAsia="宋体" w:cs="宋体"/>
                <w:b/>
                <w:bCs w:val="0"/>
                <w:color w:val="000000"/>
                <w:sz w:val="24"/>
                <w:szCs w:val="24"/>
                <w:highlight w:val="none"/>
              </w:rPr>
              <w:t xml:space="preserve">回复，则视为</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默认资审结果或评审结果。</w:t>
            </w:r>
            <w:r>
              <w:rPr>
                <w:rFonts w:hint="eastAsia" w:ascii="宋体" w:hAnsi="宋体" w:eastAsia="宋体" w:cs="宋体"/>
                <w:color w:val="000000"/>
                <w:sz w:val="24"/>
                <w:szCs w:val="24"/>
                <w:highlight w:val="none"/>
              </w:rPr>
            </w:r>
            <w:r/>
          </w:p>
        </w:tc>
      </w:tr>
      <w:tr>
        <w:trPr>
          <w:trHeight w:val="599"/>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开标时间：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8</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 20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30</w:t>
            </w:r>
            <w:r>
              <w:rPr>
                <w:rFonts w:hint="eastAsia" w:ascii="宋体" w:hAnsi="宋体" w:eastAsia="宋体" w:cs="宋体"/>
                <w:color w:val="000000"/>
                <w:sz w:val="24"/>
                <w:szCs w:val="24"/>
                <w:highlight w:val="none"/>
              </w:rPr>
            </w:r>
            <w:r/>
          </w:p>
          <w:p>
            <w:pPr>
              <w:pStyle w:val="1497"/>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开标地点：苏采云系统（网址：http://jszfcg.jsczt.cn/）“开标大厅”</w:t>
            </w:r>
            <w:r>
              <w:rPr>
                <w:rFonts w:hint="eastAsia" w:ascii="宋体" w:hAnsi="宋体" w:eastAsia="宋体" w:cs="宋体"/>
                <w:color w:val="000000"/>
                <w:sz w:val="24"/>
                <w:szCs w:val="24"/>
                <w:highlight w:val="none"/>
                <w:lang w:val="zh-CN"/>
              </w:rPr>
            </w:r>
            <w:r/>
          </w:p>
        </w:tc>
      </w:tr>
      <w:tr>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 8 </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 20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确定中标单位地点：苏采云系统（网址：http://jszfcg.jsczt.cn/）“开标大厅”</w:t>
            </w:r>
            <w:r>
              <w:rPr>
                <w:rFonts w:hint="eastAsia" w:ascii="宋体" w:hAnsi="宋体" w:eastAsia="宋体" w:cs="宋体"/>
                <w:color w:val="000000"/>
                <w:sz w:val="24"/>
                <w:szCs w:val="24"/>
                <w:highlight w:val="none"/>
              </w:rPr>
            </w:r>
            <w:r/>
          </w:p>
        </w:tc>
      </w:tr>
      <w:tr>
        <w:trPr>
          <w:trHeight w:val="713"/>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投标文件制作要求：</w:t>
            </w:r>
            <w:r>
              <w:rPr>
                <w:rFonts w:hint="eastAsia" w:ascii="宋体" w:hAnsi="宋体" w:eastAsia="宋体" w:cs="宋体"/>
                <w:color w:val="000000"/>
                <w:sz w:val="24"/>
                <w:szCs w:val="24"/>
                <w:highlight w:val="none"/>
              </w:rPr>
            </w:r>
            <w:r/>
          </w:p>
          <w:p>
            <w:pPr>
              <w:pStyle w:val="1497"/>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本项目采用线上电子开评标，供应商在开标截止时间前网上上传电子投标文件。</w:t>
            </w:r>
            <w:r>
              <w:rPr>
                <w:rFonts w:hint="eastAsia" w:ascii="宋体" w:hAnsi="宋体" w:eastAsia="宋体" w:cs="宋体"/>
                <w:color w:val="000000"/>
                <w:sz w:val="24"/>
                <w:szCs w:val="24"/>
                <w:highlight w:val="none"/>
              </w:rPr>
            </w:r>
            <w:r/>
          </w:p>
          <w:p>
            <w:pPr>
              <w:pStyle w:val="1497"/>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开标当天请供应商联系人保持通讯畅通。</w:t>
            </w:r>
            <w:r>
              <w:rPr>
                <w:rFonts w:hint="eastAsia" w:ascii="宋体" w:hAnsi="宋体" w:eastAsia="宋体" w:cs="宋体"/>
                <w:color w:val="000000"/>
                <w:sz w:val="24"/>
                <w:szCs w:val="24"/>
                <w:highlight w:val="none"/>
              </w:rPr>
            </w:r>
            <w:r/>
          </w:p>
          <w:p>
            <w:pPr>
              <w:pStyle w:val="1497"/>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供应商请仔细阅读供应商注册流程和采购文件中关于电子开评标等相关事项，如有问题可发送邮件或电话咨询。</w:t>
            </w:r>
            <w:r>
              <w:rPr>
                <w:rFonts w:hint="eastAsia" w:ascii="宋体" w:hAnsi="宋体" w:eastAsia="宋体" w:cs="宋体"/>
                <w:color w:val="000000"/>
                <w:sz w:val="24"/>
                <w:szCs w:val="24"/>
                <w:highlight w:val="none"/>
              </w:rPr>
            </w:r>
            <w:r/>
          </w:p>
          <w:p>
            <w:pPr>
              <w:pStyle w:val="1497"/>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、本次采购采用“苏采云”系统进行采购活动，招标文件发布、报价、评审和中标结果发布全程电子化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497"/>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eastAsia="zh-CN"/>
              </w:rPr>
              <w:t xml:space="preserve">、中标供应商在收到中标通知书后与采购人签订合同前，必须提供与系统中电子投标文件一致的纸质投标文件一式</w:t>
            </w:r>
            <w:r>
              <w:rPr>
                <w:rFonts w:hint="eastAsia" w:ascii="宋体" w:hAnsi="宋体" w:eastAsia="宋体" w:cs="宋体"/>
                <w:b/>
                <w:color w:val="000000"/>
                <w:sz w:val="24"/>
                <w:szCs w:val="24"/>
                <w:highlight w:val="none"/>
                <w:lang w:val="en-US" w:eastAsia="zh-CN"/>
              </w:rPr>
              <w:t xml:space="preserve">两</w:t>
            </w:r>
            <w:r>
              <w:rPr>
                <w:rFonts w:hint="eastAsia" w:ascii="宋体" w:hAnsi="宋体" w:eastAsia="宋体" w:cs="宋体"/>
                <w:b/>
                <w:color w:val="000000"/>
                <w:sz w:val="24"/>
                <w:szCs w:val="24"/>
                <w:highlight w:val="none"/>
                <w:lang w:eastAsia="zh-CN"/>
              </w:rPr>
              <w:t xml:space="preserve">份（</w:t>
            </w:r>
            <w:r>
              <w:rPr>
                <w:rFonts w:hint="eastAsia" w:ascii="宋体" w:hAnsi="宋体" w:eastAsia="宋体" w:cs="宋体"/>
                <w:b/>
                <w:color w:val="000000"/>
                <w:sz w:val="24"/>
                <w:szCs w:val="24"/>
                <w:highlight w:val="none"/>
                <w:lang w:val="en-US" w:eastAsia="zh-CN"/>
              </w:rPr>
              <w:t xml:space="preserve">一正一副</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有关本次采购活动程序方面的问题，可来人、来函（传真）或电话联系。</w:t>
            </w:r>
            <w:r>
              <w:rPr>
                <w:rFonts w:hint="eastAsia" w:ascii="宋体" w:hAnsi="宋体" w:eastAsia="宋体" w:cs="宋体"/>
                <w:color w:val="000000"/>
                <w:sz w:val="24"/>
                <w:szCs w:val="24"/>
                <w:highlight w:val="none"/>
              </w:rPr>
            </w:r>
            <w:r/>
          </w:p>
          <w:p>
            <w:pPr>
              <w:pStyle w:val="1497"/>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无锡市锡山区人民政府东北塘街道办事处</w:t>
            </w:r>
            <w:r>
              <w:rPr>
                <w:rFonts w:hint="eastAsia" w:ascii="宋体" w:hAnsi="宋体" w:eastAsia="宋体" w:cs="宋体"/>
                <w:color w:val="000000"/>
                <w:sz w:val="24"/>
                <w:szCs w:val="24"/>
                <w:highlight w:val="none"/>
                <w:lang w:eastAsia="zh-CN"/>
              </w:rPr>
            </w:r>
            <w:r/>
          </w:p>
          <w:p>
            <w:pPr>
              <w:pStyle w:val="1497"/>
              <w:ind w:left="0" w:right="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联系地址：</w:t>
            </w:r>
            <w:r>
              <w:rPr>
                <w:rFonts w:hint="eastAsia" w:ascii="宋体" w:hAnsi="宋体" w:eastAsia="宋体" w:cs="宋体"/>
                <w:b w:val="0"/>
                <w:bCs/>
                <w:color w:val="000000"/>
                <w:sz w:val="24"/>
                <w:szCs w:val="24"/>
                <w:highlight w:val="none"/>
              </w:rPr>
              <w:t xml:space="preserve">江苏省无锡市锡山区东园路22号</w:t>
            </w:r>
            <w:r>
              <w:rPr>
                <w:rFonts w:hint="eastAsia" w:ascii="宋体" w:hAnsi="宋体" w:eastAsia="宋体" w:cs="宋体"/>
                <w:bCs/>
                <w:color w:val="000000"/>
                <w:sz w:val="24"/>
                <w:szCs w:val="24"/>
                <w:highlight w:val="none"/>
                <w:lang w:eastAsia="zh-CN"/>
              </w:rPr>
            </w:r>
            <w:r/>
          </w:p>
          <w:p>
            <w:pPr>
              <w:pStyle w:val="1497"/>
              <w:ind w:left="0" w:right="0"/>
              <w:keepLines w:val="0"/>
              <w:keepNext w:val="0"/>
              <w:pageBreakBefore w:val="0"/>
              <w:spacing w:line="360" w:lineRule="auto"/>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采购单位联系人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李工</w:t>
            </w:r>
            <w:r>
              <w:rPr>
                <w:rFonts w:ascii="宋体" w:hAnsi="宋体" w:eastAsia="宋体" w:cs="宋体"/>
                <w:bCs/>
                <w:color w:val="000000"/>
                <w:sz w:val="24"/>
                <w:szCs w:val="24"/>
                <w:highlight w:val="none"/>
                <w:lang w:val="en-US" w:eastAsia="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采购代理机构：</w:t>
            </w:r>
            <w:r>
              <w:rPr>
                <w:rFonts w:hint="eastAsia" w:ascii="宋体" w:hAnsi="宋体" w:eastAsia="宋体" w:cs="宋体"/>
                <w:bCs/>
                <w:color w:val="000000"/>
                <w:sz w:val="24"/>
                <w:szCs w:val="24"/>
                <w:highlight w:val="none"/>
              </w:rPr>
              <w:t xml:space="preserve">江苏通汇工程管理咨询有限公司</w:t>
            </w:r>
            <w:r>
              <w:rPr>
                <w:rFonts w:hint="eastAsia" w:ascii="宋体" w:hAnsi="宋体" w:eastAsia="宋体" w:cs="宋体"/>
                <w:color w:val="000000"/>
                <w:sz w:val="24"/>
                <w:szCs w:val="24"/>
                <w:highlight w:val="none"/>
                <w:lang w:val="zh-CN"/>
              </w:rPr>
            </w:r>
            <w:r/>
          </w:p>
          <w:p>
            <w:pPr>
              <w:pStyle w:val="1497"/>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刘燕</w:t>
            </w:r>
            <w:r>
              <w:rPr>
                <w:rFonts w:hint="eastAsia" w:ascii="宋体" w:hAnsi="宋体" w:eastAsia="宋体" w:cs="宋体"/>
                <w:color w:val="000000"/>
                <w:sz w:val="24"/>
                <w:szCs w:val="24"/>
                <w:highlight w:val="none"/>
                <w:lang w:val="en-US" w:eastAsia="zh-CN"/>
              </w:rPr>
            </w:r>
            <w:r/>
          </w:p>
          <w:p>
            <w:pPr>
              <w:pStyle w:val="1497"/>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联系电话、传真：</w:t>
            </w:r>
            <w:r>
              <w:rPr>
                <w:rFonts w:hint="eastAsia" w:ascii="宋体" w:hAnsi="宋体" w:eastAsia="宋体" w:cs="宋体"/>
                <w:bCs/>
                <w:color w:val="000000"/>
                <w:sz w:val="24"/>
                <w:szCs w:val="24"/>
                <w:highlight w:val="none"/>
              </w:rPr>
              <w:t xml:space="preserve">0510-88226300</w:t>
            </w:r>
            <w:r>
              <w:rPr>
                <w:rFonts w:hint="eastAsia" w:ascii="宋体" w:hAnsi="宋体" w:eastAsia="宋体" w:cs="宋体"/>
                <w:color w:val="000000"/>
                <w:sz w:val="24"/>
                <w:szCs w:val="24"/>
                <w:highlight w:val="none"/>
              </w:rPr>
            </w:r>
            <w:r/>
          </w:p>
          <w:p>
            <w:pPr>
              <w:pStyle w:val="1497"/>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rPr>
                <w:rFonts w:hint="eastAsia" w:ascii="宋体" w:hAnsi="宋体" w:eastAsia="宋体" w:cs="宋体"/>
                <w:color w:val="000000"/>
                <w:sz w:val="24"/>
                <w:szCs w:val="24"/>
                <w:highlight w:val="none"/>
              </w:rPr>
            </w:r>
            <w:r/>
          </w:p>
          <w:p>
            <w:pPr>
              <w:pStyle w:val="1497"/>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邮政编码：214000</w:t>
            </w:r>
            <w:r>
              <w:rPr>
                <w:rFonts w:hint="eastAsia" w:ascii="宋体" w:hAnsi="宋体" w:eastAsia="宋体" w:cs="宋体"/>
                <w:color w:val="000000"/>
                <w:sz w:val="24"/>
                <w:szCs w:val="24"/>
                <w:highlight w:val="none"/>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电子邮件地址：</w:t>
            </w:r>
            <w:r>
              <w:rPr>
                <w:rFonts w:hint="eastAsia" w:ascii="宋体" w:hAnsi="宋体" w:eastAsia="宋体" w:cs="Times New Roman"/>
                <w:bCs/>
                <w:sz w:val="24"/>
                <w:szCs w:val="24"/>
                <w:highlight w:val="none"/>
                <w:lang w:val="en-US" w:eastAsia="zh-CN"/>
              </w:rPr>
              <w:t xml:space="preserve">1915688621@qq.com</w:t>
            </w:r>
            <w:r>
              <w:rPr>
                <w:rFonts w:hint="eastAsia" w:ascii="宋体" w:hAnsi="宋体" w:eastAsia="宋体" w:cs="宋体"/>
                <w:color w:val="000000"/>
                <w:sz w:val="24"/>
                <w:szCs w:val="24"/>
                <w:highlight w:val="none"/>
              </w:rPr>
            </w:r>
            <w:r/>
          </w:p>
        </w:tc>
      </w:tr>
      <w:tr>
        <w:trPr>
          <w:trHeight w:val="91"/>
        </w:trPr>
        <w:tc>
          <w:tcPr>
            <w:tcW w:w="759" w:type="dxa"/>
            <w:vAlign w:val="center"/>
            <w:textDirection w:val="lrTb"/>
            <w:noWrap w:val="false"/>
          </w:tcPr>
          <w:p>
            <w:pPr>
              <w:pStyle w:val="1497"/>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14</w:t>
            </w:r>
            <w:r>
              <w:rPr>
                <w:rFonts w:hint="eastAsia" w:ascii="宋体" w:hAnsi="宋体" w:eastAsia="宋体" w:cs="宋体"/>
                <w:color w:val="000000"/>
                <w:sz w:val="24"/>
                <w:szCs w:val="24"/>
                <w:highlight w:val="none"/>
                <w:lang w:val="zh-CN"/>
              </w:rPr>
            </w:r>
            <w:r/>
          </w:p>
        </w:tc>
        <w:tc>
          <w:tcPr>
            <w:tcW w:w="8010" w:type="dxa"/>
            <w:vAlign w:val="center"/>
            <w:textDirection w:val="lrTb"/>
            <w:noWrap w:val="false"/>
          </w:tcPr>
          <w:p>
            <w:pPr>
              <w:pStyle w:val="1497"/>
              <w:ind w:left="0" w:right="0"/>
              <w:keepLines w:val="0"/>
              <w:keepNext w:val="0"/>
              <w:pageBreakBefore w:val="0"/>
              <w:spacing w:line="360" w:lineRule="auto"/>
              <w:widowControl/>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潜在投标供应商访问江苏省政府采购（苏采云）平台的网络地址和方法：</w:t>
            </w:r>
            <w:r>
              <w:rPr>
                <w:rFonts w:hint="eastAsia" w:ascii="宋体" w:hAnsi="宋体" w:eastAsia="宋体" w:cs="宋体"/>
                <w:b/>
                <w:bCs/>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1、请有意参加本项目投标的供应商按以下流程进行操作：</w:t>
            </w:r>
            <w:r>
              <w:rPr>
                <w:rFonts w:hint="eastAsia" w:ascii="宋体" w:hAnsi="宋体" w:eastAsia="宋体" w:cs="宋体"/>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（1）访问“无锡政府采购网”点击“江苏省政府采购（苏采云）平台”——“用户注册”按钮进入注册界面进行账号注册并填写申请信息，也可以直接通过http://jszfcg.jscz.gov.cn/jszc/register进入注册界面。</w:t>
            </w:r>
            <w:r>
              <w:rPr>
                <w:rFonts w:hint="eastAsia" w:ascii="宋体" w:hAnsi="宋体" w:eastAsia="宋体" w:cs="宋体"/>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（2）领取CA：</w:t>
            </w:r>
            <w:r>
              <w:rPr>
                <w:rFonts w:hint="eastAsia" w:ascii="宋体" w:hAnsi="宋体" w:eastAsia="宋体" w:cs="宋体"/>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 9:00-11:30,13:00-17:00）</w:t>
            </w:r>
            <w:r>
              <w:rPr>
                <w:rFonts w:hint="eastAsia" w:ascii="宋体" w:hAnsi="宋体" w:eastAsia="宋体" w:cs="宋体"/>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（3）CA驱动下载：</w:t>
            </w:r>
            <w:r>
              <w:rPr>
                <w:rFonts w:hint="eastAsia" w:ascii="宋体" w:hAnsi="宋体" w:eastAsia="宋体" w:cs="宋体"/>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在“江苏省政府采购（苏采云）平台”账号登录页面，点击“驱动下载”链接中的“政务CA、方正签章控件驱动安装包及安装说明”可以直接下载驱动安装包，安装包中附有驱动安装手册。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（5）采购文件（后缀名为“.kedt”）、“苏采云”系统供应商操作手册及政府采购客户端工具也可通过“苏采云”系统－－已参与项目－－报名详情页面内相应链接进行下载。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（7）采购代理机构将数据电文形式的采购文件加载至“苏采云”系统，供潜在供应商下载或者查阅。</w:t>
            </w:r>
            <w:r>
              <w:rPr>
                <w:rFonts w:hint="eastAsia" w:ascii="宋体" w:hAnsi="宋体" w:eastAsia="宋体" w:cs="宋体"/>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（8）苏采云系统应使用谷歌浏览器参与不见面开标。</w:t>
            </w:r>
            <w:r>
              <w:rPr>
                <w:rFonts w:hint="eastAsia" w:ascii="宋体" w:hAnsi="宋体" w:eastAsia="宋体" w:cs="宋体"/>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r>
              <w:rPr>
                <w:rFonts w:hint="eastAsia" w:ascii="宋体" w:hAnsi="宋体" w:eastAsia="宋体" w:cs="宋体"/>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3、有关本次招标的事项若存在变动或修改，敬请及时关注“无锡政府采购网”“江苏政府采购网”发布的信息。</w:t>
            </w:r>
            <w:r>
              <w:rPr>
                <w:rFonts w:hint="eastAsia" w:ascii="宋体" w:hAnsi="宋体" w:eastAsia="宋体" w:cs="宋体"/>
                <w:color w:val="000000"/>
                <w:sz w:val="24"/>
                <w:szCs w:val="24"/>
                <w:highlight w:val="none"/>
                <w:lang w:val="zh-CN"/>
              </w:rPr>
            </w:r>
            <w:r/>
          </w:p>
          <w:p>
            <w:pPr>
              <w:pStyle w:val="1497"/>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4、如投标人未按上述要求操作，由此所产生的损失及风险由投标人自行承担。</w:t>
            </w:r>
            <w:r>
              <w:rPr>
                <w:rFonts w:hint="eastAsia" w:ascii="宋体" w:hAnsi="宋体" w:eastAsia="宋体" w:cs="宋体"/>
                <w:color w:val="000000"/>
                <w:sz w:val="24"/>
                <w:szCs w:val="24"/>
                <w:highlight w:val="none"/>
                <w:lang w:val="zh-CN"/>
              </w:rPr>
            </w:r>
            <w:r/>
          </w:p>
        </w:tc>
      </w:tr>
    </w:tbl>
    <w:p>
      <w:pPr>
        <w:pStyle w:val="1546"/>
        <w:ind w:left="0" w:firstLine="0"/>
        <w:rPr>
          <w:rFonts w:hint="eastAsia"/>
          <w:color w:val="000000"/>
          <w:highlight w:val="none"/>
        </w:rPr>
        <w:outlineLvl w:val="9"/>
      </w:pPr>
      <w:r>
        <w:rPr>
          <w:rFonts w:hint="eastAsia"/>
          <w:color w:val="000000"/>
          <w:highlight w:val="none"/>
        </w:rPr>
      </w:r>
      <w:r/>
    </w:p>
    <w:p>
      <w:pPr>
        <w:pStyle w:val="1497"/>
        <w:jc w:val="center"/>
        <w:spacing w:line="360" w:lineRule="auto"/>
        <w:rPr>
          <w:rStyle w:val="1505"/>
          <w:rFonts w:hint="eastAsia"/>
          <w:color w:val="000000"/>
          <w:highlight w:val="none"/>
          <w:lang w:val="en-US" w:eastAsia="zh-CN"/>
        </w:rPr>
        <w:sectPr>
          <w:footerReference w:type="default" r:id="rId18"/>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8" w:name="_Toc23923"/>
      <w:r>
        <w:rPr>
          <w:rStyle w:val="1505"/>
          <w:rFonts w:hint="eastAsia"/>
          <w:color w:val="000000"/>
          <w:highlight w:val="none"/>
          <w:lang w:val="en-US" w:eastAsia="zh-CN"/>
        </w:rPr>
      </w:r>
      <w:r/>
    </w:p>
    <w:p>
      <w:pPr>
        <w:pStyle w:val="1497"/>
        <w:jc w:val="center"/>
        <w:spacing w:line="360" w:lineRule="auto"/>
        <w:rPr>
          <w:rFonts w:hint="eastAsia" w:ascii="Times New Roman" w:hAnsi="宋体" w:eastAsia="宋体" w:cs="宋体"/>
          <w:b/>
          <w:bCs/>
          <w:sz w:val="32"/>
          <w:szCs w:val="32"/>
          <w:highlight w:val="none"/>
        </w:rPr>
        <w:outlineLvl w:val="0"/>
      </w:pPr>
      <w:r/>
      <w:bookmarkStart w:id="19" w:name="_Toc24863"/>
      <w:r>
        <w:rPr>
          <w:rFonts w:hint="eastAsia" w:ascii="Times New Roman" w:hAnsi="宋体" w:eastAsia="宋体" w:cs="宋体"/>
          <w:b/>
          <w:bCs/>
          <w:sz w:val="32"/>
          <w:szCs w:val="32"/>
          <w:highlight w:val="none"/>
          <w:lang w:val="en-US" w:eastAsia="zh-CN"/>
        </w:rPr>
        <w:t xml:space="preserve">二、投标人须知</w:t>
      </w:r>
      <w:bookmarkEnd w:id="18"/>
      <w:r/>
      <w:bookmarkEnd w:id="19"/>
      <w:r>
        <w:rPr>
          <w:rFonts w:hint="eastAsia" w:ascii="Times New Roman" w:hAnsi="宋体" w:eastAsia="宋体" w:cs="宋体"/>
          <w:b/>
          <w:bCs/>
          <w:sz w:val="32"/>
          <w:szCs w:val="32"/>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遵循原则：</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2.潜在投标人可在项目招标公告附件中查看公开招标文件，如确定投标，必须在苏采云平台（http://jszfcg.jscz.gov.cn/jszc/login）中免费下载公开招标文件[无锡政府采购网-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15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本文件的最终解释权归采购人及江苏通汇工程管理咨询有限公司。</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w:t>
      </w:r>
      <w:r>
        <w:rPr>
          <w:rFonts w:hint="eastAsia" w:ascii="宋体" w:hAnsi="宋体" w:eastAsia="宋体" w:cs="宋体"/>
          <w:bCs/>
          <w:color w:val="000000"/>
          <w:sz w:val="24"/>
          <w:szCs w:val="24"/>
          <w:highlight w:val="none"/>
        </w:rPr>
        <w:t xml:space="preserve">招标文件使自己的权益受到损害的，可以自获取招标文件之日或者招标公告期限届满之日（公告期限届满后获取招标文件的，以公告期限届满之日为准）起7个工作日内，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答复。投标人在法定质疑期限外送达的质疑函或法定质疑期限内送达的质疑函不符合上述要求的均为无效质疑，江苏通汇工程管理咨询有限公司对无效质疑不予受理。</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（2）具有独立承担民事责任能力的投标人营业执照或相关部门的登记证明文件扫描件；</w:t>
      </w:r>
      <w:r>
        <w:rPr>
          <w:rFonts w:hint="eastAsia" w:ascii="宋体" w:hAnsi="宋体" w:eastAsia="宋体" w:cs="宋体"/>
          <w:bCs/>
          <w:color w:val="000000"/>
          <w:sz w:val="24"/>
          <w:szCs w:val="24"/>
          <w:highlight w:val="none"/>
          <w:lang w:eastAsia="zh-CN"/>
        </w:rPr>
      </w:r>
      <w:r/>
    </w:p>
    <w:p>
      <w:pPr>
        <w:pStyle w:val="1497"/>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bookmarkEnd w:id="20"/>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中小企业声明函（必须提供，</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w:t>
      </w:r>
      <w:r>
        <w:rPr>
          <w:rFonts w:hint="eastAsia" w:ascii="宋体" w:hAnsi="宋体" w:eastAsia="宋体" w:cs="宋体"/>
          <w:bCs/>
          <w:color w:val="000000"/>
          <w:sz w:val="24"/>
          <w:szCs w:val="24"/>
          <w:highlight w:val="none"/>
          <w:lang w:val="en-US" w:eastAsia="zh-CN"/>
        </w:rPr>
        <w:t xml:space="preserve">证明文件；</w:t>
      </w:r>
      <w:r>
        <w:rPr>
          <w:rFonts w:hint="eastAsia" w:ascii="宋体" w:hAnsi="宋体" w:eastAsia="宋体" w:cs="宋体"/>
          <w:bCs/>
          <w:color w:val="000000"/>
          <w:sz w:val="24"/>
          <w:szCs w:val="24"/>
          <w:highlight w:val="none"/>
          <w:lang w:val="en-US" w:eastAsia="zh-CN"/>
        </w:rPr>
      </w:r>
      <w:r/>
    </w:p>
    <w:p>
      <w:pPr>
        <w:pStyle w:val="1497"/>
        <w:ind w:firstLine="480"/>
        <w:jc w:val="left"/>
        <w:keepLines w:val="0"/>
        <w:keepNext w:val="0"/>
        <w:pageBreakBefore w:val="0"/>
        <w:spacing w:line="360" w:lineRule="auto"/>
        <w:widowControl w:val="off"/>
        <w:rPr>
          <w:rFonts w:hint="eastAsia" w:ascii="宋体" w:hAnsi="宋体" w:cs="宋体"/>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（11）</w:t>
      </w:r>
      <w:r>
        <w:rPr>
          <w:rFonts w:hint="eastAsia" w:ascii="宋体" w:hAnsi="宋体" w:cs="宋体"/>
          <w:sz w:val="24"/>
          <w:szCs w:val="24"/>
          <w:lang w:val="en-US" w:eastAsia="zh-CN"/>
        </w:rPr>
        <w:t xml:space="preserve">项目负责人需提供园林绿化相关专业中级及以上职称扫描件（园林绿化相关专业职称证书是指：与园林绿化工程规划、设计、施工及养护管理相关的专业，包括园林（含园林规划设计、园林植物、风景园林、园林绿化等）、园艺、城市规划、景观、植物（含植保、森保等）的职称证书）。</w:t>
      </w:r>
      <w:r>
        <w:rPr>
          <w:rFonts w:hint="eastAsia" w:ascii="宋体" w:hAnsi="宋体" w:cs="宋体"/>
          <w:sz w:val="24"/>
          <w:szCs w:val="24"/>
          <w:lang w:val="en-US" w:eastAsia="zh-CN"/>
        </w:rPr>
      </w:r>
      <w:r/>
    </w:p>
    <w:p>
      <w:pPr>
        <w:pStyle w:val="1541"/>
        <w:ind w:firstLine="480"/>
        <w:spacing w:before="0" w:beforeAutospacing="0" w:after="0" w:afterAutospacing="0" w:line="360" w:lineRule="auto"/>
        <w:widowControl/>
        <w:rPr>
          <w:rFonts w:hint="eastAsia" w:ascii="宋体" w:hAnsi="宋体" w:eastAsia="宋体" w:cs="宋体"/>
          <w:szCs w:val="22"/>
          <w:shd w:val="clear" w:color="auto" w:fill="ffffff"/>
        </w:rPr>
      </w:pPr>
      <w:r>
        <w:rPr>
          <w:rFonts w:hint="eastAsia" w:ascii="宋体" w:hAnsi="宋体" w:eastAsia="宋体" w:cs="宋体"/>
          <w:szCs w:val="22"/>
          <w:shd w:val="clear" w:color="auto" w:fill="ffffff"/>
          <w:lang w:eastAsia="zh-CN"/>
        </w:rPr>
        <w:t xml:space="preserve">（</w:t>
      </w:r>
      <w:r>
        <w:rPr>
          <w:rFonts w:hint="eastAsia" w:ascii="宋体" w:hAnsi="宋体" w:eastAsia="宋体" w:cs="宋体"/>
          <w:szCs w:val="22"/>
          <w:shd w:val="clear" w:color="auto" w:fill="ffffff"/>
          <w:lang w:val="en-US" w:eastAsia="zh-CN"/>
        </w:rPr>
        <w:t xml:space="preserve">12</w:t>
      </w:r>
      <w:r>
        <w:rPr>
          <w:rFonts w:hint="eastAsia" w:ascii="宋体" w:hAnsi="宋体" w:eastAsia="宋体" w:cs="宋体"/>
          <w:szCs w:val="22"/>
          <w:shd w:val="clear" w:color="auto" w:fill="ffffff"/>
          <w:lang w:eastAsia="zh-CN"/>
        </w:rPr>
        <w:t xml:space="preserve">）</w:t>
      </w:r>
      <w:r>
        <w:rPr>
          <w:rFonts w:hint="eastAsia" w:ascii="宋体" w:hAnsi="宋体" w:eastAsia="宋体" w:cs="宋体"/>
          <w:szCs w:val="22"/>
          <w:shd w:val="clear" w:color="auto" w:fill="ffffff"/>
        </w:rPr>
        <w:t xml:space="preserve">项目负责人应具备与本企业签订的劳动合同和《职工养老保险手册》（内附2024年1月～2024年06月的缴费清单）或由社保机构出具本企业的2024年1月～2024年06月的缴费证明；（如投标人成立时间迟于要求开始的时间，则时间要求为投标人成立时间至截止时间；）</w:t>
      </w:r>
      <w:r>
        <w:rPr>
          <w:rFonts w:hint="eastAsia" w:ascii="宋体" w:hAnsi="宋体" w:eastAsia="宋体" w:cs="宋体"/>
          <w:szCs w:val="22"/>
          <w:shd w:val="clear" w:color="auto" w:fill="ffffff"/>
        </w:rPr>
      </w:r>
      <w:r/>
    </w:p>
    <w:p>
      <w:pPr>
        <w:pStyle w:val="1541"/>
        <w:ind w:firstLine="480"/>
        <w:spacing w:before="0" w:beforeAutospacing="0" w:after="0" w:afterAutospacing="0"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1497"/>
        <w:ind w:left="0" w:firstLine="480"/>
        <w:keepLines w:val="0"/>
        <w:keepNext w:val="0"/>
        <w:pageBreakBefore w:val="0"/>
        <w:spacing w:line="360" w:lineRule="auto"/>
        <w:widowControl w:val="off"/>
        <w:tabs>
          <w:tab w:val="left" w:pos="1260"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lang w:eastAsia="zh-CN"/>
        </w:rPr>
        <w:t xml:space="preserve">自拟</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7.“三、项目技术要求和有关说明”中要求须提供的证明文件</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服务方案（详见评分标准）</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要求采购人提供的配合</w:t>
      </w:r>
      <w:r>
        <w:rPr>
          <w:rFonts w:hint="eastAsia" w:ascii="宋体" w:hAnsi="宋体" w:eastAsia="宋体" w:cs="宋体"/>
          <w:bCs/>
          <w:color w:val="000000"/>
          <w:sz w:val="24"/>
          <w:szCs w:val="24"/>
          <w:highlight w:val="none"/>
        </w:rPr>
        <w:t xml:space="preserve">（如有自行添加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其它（</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2．投标文件由投标人按给定格式如实填写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编写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，须有法人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3．如无特别说明，投标人报价一律以人民币为投标结算货币，结算单位为“元”。</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4．投标文件格式部分，应由投标人按给定格式提供，不得更改。</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5．投标费用自理。</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2.投标人应对CA数字证书妥善保管，如被他人盗用投标，后果自负。</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3.投标人按招标文件规定的网上解密时间进行解密，如未按时解密后果自负。</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6.投标供应商进行网上报价请参照《江苏省政府采购管理交易系统（苏采云）供应商操作指南》（网址：http://www.ccgp-jiangsu.gov.cn/jiangsu/zlxz/ee/ee3a4bc5a3454aa2b0d9312230633ce9.html）。</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（八）无效投标文件的确认：</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1．投标人有下列情况之一者，投标文件无效：</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2．未按规定在无锡市政府采购供应商主体信息库注册的；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3．电子投标文件未按规定期限投标的；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4．电子投标文件未按招标文件要求签章的；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5．投标人未按招标文件要求解密电子投标文件的；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6．投标人的法定代表人授权代表，无法定代表人授权委托书的；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7．投标人的法定代表人或被授权代表，未准时参加开标会议的；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10．投标文件未按招标文件规定的内容和要求填写的；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11．投标文件书写潦草、字迹模糊不清、无法辨认的；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12．投标文件中有招标文件未允许提供的选择性内容；</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13．不同投标人委托同一单位或者个人办理投标事宜的；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14．不同投标人的单位负责人为同一人或者存在直接控股、管理关系的；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16．不同投标人的委托代理人、项目负责人以及其他相关人员有在同一个单位缴纳社会保险、同一投标文件中单位名称落款与公章不是同一单位的；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17．项目（标段）投标总价超过本项目（标段）预算或最高限价的；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18．提供虚假材料的（包括工商营业执照、财务报表、资格证明文件等）；</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19．投标文件含有采购人不能接受的附加条件的；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22．投标文件中无技术方案或技术方案编制粗糙、缺漏项较多；</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24．投标文件内容不全或不符合招标文件中规定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实质性要求的；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25．法律法规和招标文件规定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无效情形。</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（九）开标、评标：</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投标文件报价出现前后不一致的，按照下列规定修正：</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对不同文字文本投标文件的解释发生异议的，以中文文本为准。</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投标人未参加开标的，视同认可开标结果。</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投标文件初审。初审分为资格性检查和符合性检查。</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比较与评价。评标委员会按招标文件中规定的评标方法和标准，对资格性检查和符合性检查合格的投标文件进行商务和技术评估，综合比较与评价。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为中标候选人。</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（十）定标：</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定的评标方法和评标标准进行评审，按招标文件的要求依法确定中标供应商。采购人将在无锡政府采购网、江苏政府采购网发布中标公告。如有质疑，应在法定质疑期限内，即中标公告期限届满之日起7个工作日内，以书面形式（原件）送达采购人或采购代理机构，并且针对同一采购程序环节的质疑，须在法定质疑期内一次性提出。质疑函的质疑事项应具体、明确，并有必要的事实依据和法律依据（格式详见中国政府采购网《政府采购供应商质疑函范本》）。采购人或采购代理机构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2．在发布中标公告的同时，江苏通汇工程管理咨询有限公司将向中标供应商</w:t>
      </w:r>
      <w:r>
        <w:rPr>
          <w:rFonts w:hint="eastAsia" w:ascii="宋体" w:hAnsi="宋体" w:eastAsia="宋体" w:cs="宋体"/>
          <w:bCs/>
          <w:color w:val="000000"/>
          <w:sz w:val="24"/>
          <w:szCs w:val="24"/>
          <w:highlight w:val="none"/>
          <w:lang w:eastAsia="zh-CN"/>
        </w:rPr>
        <w:t xml:space="preserve">发出</w:t>
      </w:r>
      <w:r>
        <w:rPr>
          <w:rFonts w:hint="eastAsia" w:ascii="宋体" w:hAnsi="宋体" w:eastAsia="宋体" w:cs="宋体"/>
          <w:bCs/>
          <w:color w:val="000000"/>
          <w:sz w:val="24"/>
          <w:szCs w:val="24"/>
          <w:highlight w:val="none"/>
        </w:rPr>
        <w:t xml:space="preserve">中标通知书。</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（十一）废标的确认：</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（十二）中标无效的确认：</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21337"/>
      <w:r/>
      <w:bookmarkStart w:id="23" w:name="_Toc32174"/>
      <w:r>
        <w:rPr>
          <w:rFonts w:hint="eastAsia" w:ascii="宋体" w:hAnsi="宋体" w:eastAsia="宋体" w:cs="宋体"/>
          <w:bCs/>
          <w:color w:val="000000"/>
          <w:sz w:val="24"/>
          <w:szCs w:val="24"/>
          <w:highlight w:val="none"/>
          <w:lang w:val="en-US" w:eastAsia="zh-CN"/>
        </w:rPr>
        <w:t xml:space="preserve">（十三）签订、履行合同：</w:t>
      </w:r>
      <w:bookmarkEnd w:id="22"/>
      <w:r/>
      <w:bookmarkEnd w:id="23"/>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000000"/>
          <w:sz w:val="24"/>
          <w:szCs w:val="24"/>
          <w:highlight w:val="none"/>
          <w:lang w:eastAsia="zh-CN"/>
        </w:rPr>
        <w:t xml:space="preserve">做</w:t>
      </w:r>
      <w:r>
        <w:rPr>
          <w:rFonts w:hint="eastAsia" w:ascii="宋体" w:hAnsi="宋体" w:eastAsia="宋体" w:cs="宋体"/>
          <w:bCs/>
          <w:color w:val="000000"/>
          <w:sz w:val="24"/>
          <w:szCs w:val="24"/>
          <w:highlight w:val="none"/>
        </w:rPr>
        <w:t xml:space="preserve">任何修改。</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3．本项目不收取履约保证金。</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28715"/>
      <w:r/>
      <w:bookmarkStart w:id="25" w:name="_Toc598"/>
      <w:r>
        <w:rPr>
          <w:rFonts w:hint="eastAsia" w:ascii="宋体" w:hAnsi="宋体" w:eastAsia="宋体" w:cs="宋体"/>
          <w:bCs/>
          <w:color w:val="000000"/>
          <w:sz w:val="24"/>
          <w:szCs w:val="24"/>
          <w:highlight w:val="none"/>
          <w:lang w:val="en-US" w:eastAsia="zh-CN"/>
        </w:rPr>
        <w:t xml:space="preserve">（十四）注意事项：</w:t>
      </w:r>
      <w:bookmarkEnd w:id="24"/>
      <w:r/>
      <w:bookmarkEnd w:id="25"/>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（十五）政府采购信用担保</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政府采购信用担保，是由专业担保机构为供应商向采购人、代理机构、金融机构提供的保证。供应商可以根据自身情况，自行决定是否选择采用信用担保形式。</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（十六）政府采购合同融资：</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合同融资，是指参与政府采购的供应商，凭</w:t>
      </w:r>
      <w:r>
        <w:rPr>
          <w:rFonts w:hint="eastAsia" w:ascii="宋体" w:hAnsi="宋体" w:eastAsia="宋体" w:cs="宋体"/>
          <w:bCs/>
          <w:color w:val="000000"/>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宋体"/>
          <w:bCs/>
          <w:color w:val="000000"/>
          <w:sz w:val="24"/>
          <w:szCs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（十七）代理服务费：</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支付。采购代理服务费收费标准为：100万以下费率为1.5%</w:t>
      </w:r>
      <w:r>
        <w:rPr>
          <w:rFonts w:hint="eastAsia" w:ascii="宋体" w:hAnsi="宋体" w:eastAsia="宋体" w:cs="宋体"/>
          <w:color w:val="000000"/>
          <w:sz w:val="24"/>
          <w:szCs w:val="24"/>
          <w:highlight w:val="none"/>
          <w:lang w:eastAsia="zh-CN"/>
        </w:rPr>
        <w:t xml:space="preserve">，100万-500万</w:t>
      </w:r>
      <w:r>
        <w:rPr>
          <w:rFonts w:hint="eastAsia" w:ascii="宋体" w:hAnsi="宋体" w:eastAsia="宋体" w:cs="Times New Roman"/>
          <w:bCs/>
          <w:color w:val="000000"/>
          <w:sz w:val="24"/>
          <w:szCs w:val="24"/>
          <w:highlight w:val="none"/>
        </w:rPr>
        <w:t xml:space="preserve">元费率为0.8%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按以上规定的80%计取，以中标价作为计算基数</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Cs/>
          <w:color w:val="000000"/>
          <w:sz w:val="24"/>
          <w:szCs w:val="24"/>
          <w:highlight w:val="none"/>
          <w:u w:val="none"/>
          <w:lang w:eastAsia="zh-CN"/>
        </w:rPr>
        <w:t xml:space="preserve">编标费按500万以下费率为0.38%；以控制价作为计算基数。</w:t>
      </w:r>
      <w:r>
        <w:rPr>
          <w:rFonts w:hint="eastAsia" w:ascii="宋体" w:hAnsi="宋体" w:eastAsia="宋体" w:cs="宋体"/>
          <w:color w:val="000000"/>
          <w:sz w:val="24"/>
          <w:szCs w:val="24"/>
          <w:highlight w:val="none"/>
          <w:lang w:eastAsia="zh-CN"/>
        </w:rPr>
      </w:r>
      <w:r/>
    </w:p>
    <w:p>
      <w:pPr>
        <w:pStyle w:val="149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（十八）其他：</w:t>
      </w:r>
      <w:r>
        <w:rPr>
          <w:rFonts w:hint="eastAsia" w:ascii="宋体" w:hAnsi="宋体" w:eastAsia="宋体" w:cs="宋体"/>
          <w:bCs/>
          <w:color w:val="000000"/>
          <w:sz w:val="24"/>
          <w:szCs w:val="24"/>
          <w:highlight w:val="none"/>
          <w:lang w:val="en-US" w:eastAsia="zh-CN"/>
        </w:rPr>
      </w:r>
      <w:r/>
    </w:p>
    <w:p>
      <w:pPr>
        <w:pStyle w:val="149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eastAsia="宋体" w:cs="宋体"/>
          <w:color w:val="000000"/>
          <w:sz w:val="24"/>
          <w:szCs w:val="24"/>
          <w:highlight w:val="none"/>
        </w:rPr>
      </w:r>
      <w:r/>
    </w:p>
    <w:p>
      <w:pPr>
        <w:pStyle w:val="1497"/>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1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497"/>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rPr>
          <w:rFonts w:hint="eastAsia" w:ascii="宋体" w:hAnsi="宋体" w:eastAsia="宋体" w:cs="宋体"/>
          <w:color w:val="000000"/>
          <w:sz w:val="24"/>
          <w:szCs w:val="24"/>
          <w:highlight w:val="none"/>
          <w:lang w:val="en-US" w:eastAsia="zh-CN"/>
        </w:rPr>
      </w:r>
      <w:r/>
    </w:p>
    <w:p>
      <w:pPr>
        <w:pStyle w:val="1497"/>
        <w:jc w:val="center"/>
        <w:spacing w:line="360" w:lineRule="auto"/>
        <w:rPr>
          <w:rFonts w:hint="eastAsia" w:ascii="Times New Roman" w:hAnsi="宋体" w:eastAsia="宋体" w:cs="宋体"/>
          <w:b/>
          <w:bCs/>
          <w:sz w:val="32"/>
          <w:szCs w:val="32"/>
          <w:highlight w:val="none"/>
          <w:lang w:val="en-US" w:eastAsia="zh-CN"/>
        </w:rPr>
        <w:outlineLvl w:val="0"/>
      </w:pPr>
      <w:r/>
      <w:bookmarkEnd w:id="21"/>
      <w:r/>
      <w:bookmarkEnd w:id="26"/>
      <w:r/>
      <w:bookmarkStart w:id="27" w:name="_Toc19762"/>
      <w:r/>
      <w:bookmarkStart w:id="28" w:name="_Toc26"/>
      <w:r>
        <w:rPr>
          <w:rFonts w:hint="eastAsia" w:ascii="Times New Roman" w:hAnsi="宋体" w:eastAsia="宋体" w:cs="宋体"/>
          <w:b/>
          <w:bCs/>
          <w:sz w:val="32"/>
          <w:szCs w:val="32"/>
          <w:highlight w:val="none"/>
          <w:lang w:val="en-US" w:eastAsia="zh-CN"/>
        </w:rPr>
        <w:t xml:space="preserve">三、项目技术要求和有关说明</w:t>
      </w:r>
      <w:bookmarkEnd w:id="27"/>
      <w:r>
        <w:rPr>
          <w:rFonts w:hint="eastAsia" w:ascii="Times New Roman" w:hAnsi="宋体" w:eastAsia="宋体" w:cs="宋体"/>
          <w:b/>
          <w:bCs/>
          <w:sz w:val="32"/>
          <w:szCs w:val="32"/>
          <w:highlight w:val="none"/>
          <w:lang w:val="en-US" w:eastAsia="zh-CN"/>
        </w:rPr>
      </w:r>
      <w:r/>
    </w:p>
    <w:p>
      <w:pPr>
        <w:pStyle w:val="1497"/>
        <w:ind w:firstLine="48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本次采购为</w:t>
      </w:r>
      <w:r>
        <w:rPr>
          <w:rFonts w:hint="eastAsia" w:ascii="宋体" w:hAnsi="宋体" w:eastAsia="宋体" w:cs="宋体"/>
          <w:color w:val="000000"/>
          <w:sz w:val="24"/>
          <w:szCs w:val="24"/>
          <w:highlight w:val="none"/>
          <w:lang w:eastAsia="zh-CN"/>
        </w:rPr>
        <w:t xml:space="preserve">无锡市锡山区人民政府东北塘街道办事处委</w:t>
      </w:r>
      <w:r>
        <w:rPr>
          <w:rFonts w:hint="eastAsia" w:ascii="宋体" w:hAnsi="宋体" w:eastAsia="宋体" w:cs="宋体"/>
          <w:bCs/>
          <w:color w:val="000000"/>
          <w:sz w:val="24"/>
          <w:szCs w:val="24"/>
          <w:highlight w:val="none"/>
        </w:rPr>
        <w:t xml:space="preserve">托</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东北塘街道兴塘滨水公园及兴塘公园绿化养护项目</w:t>
      </w:r>
      <w:r>
        <w:rPr>
          <w:rFonts w:hint="eastAsia" w:ascii="宋体" w:hAnsi="宋体" w:eastAsia="宋体" w:cs="宋体"/>
          <w:color w:val="000000"/>
          <w:sz w:val="24"/>
          <w:szCs w:val="24"/>
          <w:highlight w:val="none"/>
        </w:rPr>
        <w:t xml:space="preserve">招标项目</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所投内容必须完全满足以下要求，不得有负偏离。项目需求如下：</w:t>
      </w:r>
      <w:r>
        <w:rPr>
          <w:rFonts w:hint="eastAsia" w:ascii="宋体" w:hAnsi="宋体" w:eastAsia="宋体" w:cs="宋体"/>
          <w:b/>
          <w:bCs/>
          <w:color w:val="000000"/>
          <w:sz w:val="24"/>
          <w:szCs w:val="24"/>
          <w:highlight w:val="none"/>
        </w:rPr>
      </w:r>
      <w:r/>
    </w:p>
    <w:p>
      <w:pPr>
        <w:pStyle w:val="149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一、项目基本概况</w:t>
      </w:r>
      <w:r>
        <w:rPr>
          <w:rFonts w:hint="eastAsia" w:ascii="宋体" w:hAnsi="宋体" w:eastAsia="宋体" w:cs="宋体"/>
          <w:b/>
          <w:color w:val="000000"/>
          <w:sz w:val="24"/>
          <w:szCs w:val="24"/>
          <w:highlight w:val="none"/>
        </w:rPr>
      </w:r>
      <w:r/>
    </w:p>
    <w:p>
      <w:pPr>
        <w:pStyle w:val="1497"/>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项目地点：</w:t>
      </w:r>
      <w:r>
        <w:rPr>
          <w:rFonts w:hint="eastAsia" w:ascii="宋体" w:hAnsi="宋体" w:eastAsia="宋体" w:cs="宋体"/>
          <w:color w:val="000000"/>
          <w:sz w:val="24"/>
          <w:szCs w:val="24"/>
          <w:highlight w:val="none"/>
          <w:lang w:eastAsia="zh-CN"/>
        </w:rPr>
        <w:t xml:space="preserve">无锡市锡山区东北塘</w:t>
      </w:r>
      <w:r>
        <w:rPr>
          <w:rFonts w:hint="eastAsia" w:ascii="宋体" w:hAnsi="宋体" w:eastAsia="宋体" w:cs="宋体"/>
          <w:bCs/>
          <w:color w:val="000000"/>
          <w:sz w:val="24"/>
          <w:szCs w:val="24"/>
          <w:highlight w:val="none"/>
        </w:rPr>
      </w:r>
      <w:r/>
    </w:p>
    <w:p>
      <w:pPr>
        <w:pStyle w:val="1497"/>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项目规模：</w:t>
      </w:r>
      <w:r>
        <w:rPr>
          <w:rFonts w:hint="eastAsia" w:ascii="宋体" w:hAnsi="宋体" w:eastAsia="宋体" w:cs="宋体"/>
          <w:color w:val="000000"/>
          <w:sz w:val="24"/>
          <w:szCs w:val="24"/>
          <w:highlight w:val="none"/>
          <w:lang w:eastAsia="zh-CN"/>
        </w:rPr>
        <w:t xml:space="preserve">东北塘街道兴塘滨水公园及兴塘公园绿化养护项目，具体详见项目清单。</w:t>
      </w:r>
      <w:r>
        <w:rPr>
          <w:rFonts w:hint="eastAsia" w:ascii="宋体" w:hAnsi="宋体" w:eastAsia="宋体" w:cs="宋体"/>
          <w:color w:val="000000"/>
          <w:sz w:val="24"/>
          <w:szCs w:val="24"/>
          <w:highlight w:val="none"/>
          <w:lang w:eastAsia="zh-CN"/>
        </w:rPr>
      </w:r>
      <w:r/>
    </w:p>
    <w:p>
      <w:pPr>
        <w:pStyle w:val="1497"/>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lang w:val="zh-CN" w:eastAsia="zh-CN"/>
        </w:rPr>
        <w:t xml:space="preserve">采购预算：249.15954万元，一标段（兴塘公园）：91.2万元；二标段（兴塘滨水公园）：157.95954万元。投标报价不得超过最高限价，否则作无效响应文件处理。</w:t>
      </w:r>
      <w:r>
        <w:rPr>
          <w:rFonts w:hint="eastAsia" w:ascii="宋体" w:hAnsi="宋体" w:eastAsia="宋体" w:cs="宋体"/>
          <w:color w:val="000000"/>
          <w:sz w:val="24"/>
          <w:szCs w:val="24"/>
          <w:highlight w:val="white"/>
          <w:lang w:val="zh-CN" w:eastAsia="zh-CN"/>
        </w:rPr>
      </w:r>
      <w:r>
        <w:rPr>
          <w:highlight w:val="white"/>
        </w:rPr>
      </w:r>
    </w:p>
    <w:p>
      <w:pPr>
        <w:pStyle w:val="1497"/>
        <w:ind w:firstLine="600"/>
        <w:spacing w:line="360" w:lineRule="auto"/>
        <w:rPr>
          <w:rFonts w:ascii="宋体" w:hAnsi="宋体"/>
          <w:bCs/>
          <w:sz w:val="24"/>
          <w:lang w:val="zh-CN"/>
        </w:rPr>
      </w:pPr>
      <w:r>
        <w:rPr>
          <w:rFonts w:hint="eastAsia" w:ascii="宋体" w:hAnsi="宋体"/>
          <w:bCs/>
          <w:sz w:val="24"/>
          <w:lang w:val="en-US" w:eastAsia="zh-CN"/>
        </w:rPr>
        <w:t xml:space="preserve">4</w:t>
      </w:r>
      <w:r>
        <w:rPr>
          <w:rFonts w:hint="eastAsia" w:ascii="宋体" w:hAnsi="宋体"/>
          <w:bCs/>
          <w:sz w:val="24"/>
          <w:lang w:val="zh-CN"/>
        </w:rPr>
        <w:t xml:space="preserve">.养护范围：按照街道绿化养护实施意见及考核办法对</w:t>
      </w:r>
      <w:r>
        <w:rPr>
          <w:rFonts w:hint="eastAsia" w:ascii="宋体" w:hAnsi="宋体"/>
          <w:bCs/>
          <w:sz w:val="24"/>
          <w:lang w:val="zh-CN" w:eastAsia="zh-CN"/>
        </w:rPr>
        <w:t xml:space="preserve">兴塘滨水公园及兴塘公园</w:t>
      </w:r>
      <w:r>
        <w:rPr>
          <w:rFonts w:hint="eastAsia" w:ascii="宋体" w:hAnsi="宋体"/>
          <w:bCs/>
          <w:sz w:val="24"/>
          <w:lang w:val="zh-CN"/>
        </w:rPr>
        <w:t xml:space="preserve">绿化进行养护，总绿化面积约</w:t>
      </w:r>
      <w:r>
        <w:rPr>
          <w:rFonts w:hint="eastAsia" w:ascii="宋体" w:hAnsi="宋体"/>
          <w:bCs/>
          <w:sz w:val="24"/>
          <w:lang w:val="en-US" w:eastAsia="zh-CN"/>
        </w:rPr>
        <w:t xml:space="preserve">218561</w:t>
      </w:r>
      <w:r>
        <w:rPr>
          <w:rFonts w:hint="eastAsia" w:ascii="宋体" w:hAnsi="宋体"/>
          <w:bCs/>
          <w:sz w:val="24"/>
          <w:lang w:val="zh-CN"/>
        </w:rPr>
        <w:t xml:space="preserve">平方米（</w:t>
      </w:r>
      <w:r>
        <w:rPr>
          <w:rFonts w:hint="eastAsia" w:ascii="宋体" w:hAnsi="宋体"/>
          <w:bCs/>
          <w:sz w:val="24"/>
          <w:lang w:val="en-US" w:eastAsia="zh-CN"/>
        </w:rPr>
        <w:t xml:space="preserve">其中</w:t>
      </w:r>
      <w:r>
        <w:rPr>
          <w:rFonts w:hint="eastAsia" w:ascii="宋体" w:hAnsi="宋体"/>
          <w:bCs/>
          <w:sz w:val="24"/>
          <w:lang w:val="zh-CN" w:eastAsia="zh-CN"/>
        </w:rPr>
        <w:t xml:space="preserve">兴塘滨水公园</w:t>
      </w:r>
      <w:r>
        <w:rPr>
          <w:rFonts w:hint="eastAsia" w:ascii="宋体" w:hAnsi="宋体"/>
          <w:bCs/>
          <w:sz w:val="24"/>
          <w:lang w:val="en-US" w:eastAsia="zh-CN"/>
        </w:rPr>
        <w:t xml:space="preserve">138561</w:t>
      </w:r>
      <w:r>
        <w:rPr>
          <w:rFonts w:hint="eastAsia" w:ascii="宋体" w:hAnsi="宋体"/>
          <w:bCs/>
          <w:sz w:val="24"/>
          <w:lang w:val="zh-CN"/>
        </w:rPr>
        <w:t xml:space="preserve">平方米</w:t>
      </w:r>
      <w:r>
        <w:rPr>
          <w:rFonts w:hint="eastAsia" w:ascii="宋体" w:hAnsi="宋体"/>
          <w:bCs/>
          <w:sz w:val="24"/>
          <w:lang w:val="en-US" w:eastAsia="zh-CN"/>
        </w:rPr>
        <w:t xml:space="preserve">，</w:t>
      </w:r>
      <w:r>
        <w:rPr>
          <w:rFonts w:hint="eastAsia" w:ascii="宋体" w:hAnsi="宋体"/>
          <w:bCs/>
          <w:sz w:val="24"/>
          <w:lang w:val="zh-CN" w:eastAsia="zh-CN"/>
        </w:rPr>
        <w:t xml:space="preserve">兴塘公园</w:t>
      </w:r>
      <w:r>
        <w:rPr>
          <w:rFonts w:hint="eastAsia" w:ascii="宋体" w:hAnsi="宋体"/>
          <w:bCs/>
          <w:sz w:val="24"/>
          <w:lang w:val="en-US" w:eastAsia="zh-CN"/>
        </w:rPr>
        <w:t xml:space="preserve">80000</w:t>
      </w:r>
      <w:r>
        <w:rPr>
          <w:rFonts w:hint="eastAsia" w:ascii="宋体" w:hAnsi="宋体"/>
          <w:bCs/>
          <w:sz w:val="24"/>
          <w:lang w:val="zh-CN"/>
        </w:rPr>
        <w:t xml:space="preserve">平方米）。</w:t>
      </w:r>
      <w:r>
        <w:rPr>
          <w:rFonts w:ascii="宋体" w:hAnsi="宋体"/>
          <w:bCs/>
          <w:sz w:val="24"/>
          <w:lang w:val="zh-CN"/>
        </w:rPr>
      </w:r>
      <w:r/>
    </w:p>
    <w:p>
      <w:pPr>
        <w:pStyle w:val="1497"/>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000000"/>
          <w:sz w:val="24"/>
          <w:szCs w:val="24"/>
          <w:highlight w:val="none"/>
          <w:lang w:bidi="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bidi="zh-CN"/>
        </w:rPr>
        <w:t xml:space="preserve">服务期：</w:t>
      </w:r>
      <w:r>
        <w:rPr>
          <w:rFonts w:hint="eastAsia" w:ascii="宋体" w:hAnsi="宋体" w:eastAsia="宋体" w:cs="宋体"/>
          <w:bCs/>
          <w:color w:val="000000"/>
          <w:sz w:val="24"/>
          <w:szCs w:val="24"/>
          <w:highlight w:val="none"/>
          <w:lang w:val="en-US" w:bidi="zh-CN"/>
        </w:rPr>
        <w:t xml:space="preserve">2</w:t>
      </w:r>
      <w:r>
        <w:rPr>
          <w:rFonts w:hint="eastAsia" w:ascii="宋体" w:hAnsi="宋体" w:eastAsia="宋体" w:cs="宋体"/>
          <w:bCs/>
          <w:color w:val="000000"/>
          <w:sz w:val="24"/>
          <w:szCs w:val="24"/>
          <w:highlight w:val="none"/>
          <w:lang w:bidi="zh-CN"/>
        </w:rPr>
        <w:t xml:space="preserve">年，具体开始时间以采购人通知为准</w:t>
      </w:r>
      <w:r>
        <w:rPr>
          <w:rFonts w:hint="eastAsia" w:ascii="宋体" w:hAnsi="宋体" w:eastAsia="宋体" w:cs="宋体"/>
          <w:bCs/>
          <w:color w:val="000000"/>
          <w:sz w:val="24"/>
          <w:szCs w:val="24"/>
          <w:highlight w:val="none"/>
          <w:lang w:bidi="zh-CN"/>
        </w:rPr>
      </w:r>
      <w:r/>
    </w:p>
    <w:p>
      <w:pPr>
        <w:pStyle w:val="151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付款方式：经考核后按季结算，每半年支付一次，合同期结束后按审计价付清余额。</w:t>
      </w:r>
      <w:r>
        <w:rPr>
          <w:rFonts w:hint="eastAsia" w:ascii="宋体" w:hAnsi="宋体" w:eastAsia="宋体" w:cs="宋体"/>
          <w:b w:val="0"/>
          <w:bCs w:val="0"/>
          <w:color w:val="000000"/>
          <w:sz w:val="24"/>
          <w:szCs w:val="24"/>
          <w:highlight w:val="none"/>
        </w:rPr>
      </w:r>
      <w:r/>
    </w:p>
    <w:p>
      <w:pPr>
        <w:pStyle w:val="151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预付款支付方式：合同签订后30日内，采购人向供应商支付合同总金额的10%作为预付款，预付款在项目第一次请款时一次性抵扣。当期付款金额不足抵扣的，在下期请款款中进行抵扣，直至预付款全部抵扣完毕</w:t>
      </w:r>
      <w:r>
        <w:rPr>
          <w:rFonts w:hint="eastAsia" w:ascii="宋体" w:hAnsi="宋体" w:eastAsia="宋体" w:cs="宋体"/>
          <w:color w:val="000000"/>
          <w:sz w:val="24"/>
          <w:szCs w:val="24"/>
          <w:highlight w:val="none"/>
        </w:rPr>
      </w:r>
      <w:r/>
    </w:p>
    <w:p>
      <w:pPr>
        <w:pStyle w:val="1497"/>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安全要求：安全要求应满足国家相关法律法规及有关安全操作规程的要求，无安全责任事故。</w:t>
      </w:r>
      <w:r>
        <w:rPr>
          <w:rFonts w:hint="eastAsia" w:ascii="宋体" w:hAnsi="宋体" w:eastAsia="宋体" w:cs="宋体"/>
          <w:color w:val="000000"/>
          <w:sz w:val="24"/>
          <w:szCs w:val="24"/>
          <w:highlight w:val="none"/>
        </w:rPr>
      </w:r>
      <w:r/>
    </w:p>
    <w:p>
      <w:pPr>
        <w:pStyle w:val="1497"/>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资金来源：财政</w:t>
      </w:r>
      <w:r>
        <w:rPr>
          <w:rFonts w:hint="eastAsia" w:ascii="宋体" w:hAnsi="宋体" w:eastAsia="宋体" w:cs="宋体"/>
          <w:color w:val="000000"/>
          <w:sz w:val="24"/>
          <w:szCs w:val="24"/>
          <w:highlight w:val="none"/>
          <w:lang w:eastAsia="zh-CN"/>
        </w:rPr>
        <w:t xml:space="preserve">拨款</w:t>
      </w:r>
      <w:r>
        <w:rPr>
          <w:rFonts w:hint="eastAsia" w:ascii="宋体" w:hAnsi="宋体" w:eastAsia="宋体" w:cs="宋体"/>
          <w:color w:val="000000"/>
          <w:sz w:val="24"/>
          <w:szCs w:val="24"/>
          <w:highlight w:val="none"/>
          <w:lang w:eastAsia="zh-CN"/>
        </w:rPr>
      </w:r>
      <w:r/>
    </w:p>
    <w:p>
      <w:pPr>
        <w:pStyle w:val="1497"/>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9、本项目不需要缴纳履约保证金</w:t>
      </w:r>
      <w:r>
        <w:rPr>
          <w:rFonts w:hint="eastAsia" w:ascii="宋体" w:hAnsi="宋体" w:eastAsia="宋体" w:cs="宋体"/>
          <w:b/>
          <w:bCs/>
          <w:color w:val="000000"/>
          <w:sz w:val="24"/>
          <w:szCs w:val="24"/>
          <w:highlight w:val="none"/>
          <w:lang w:val="en-US" w:eastAsia="zh-CN"/>
        </w:rPr>
      </w:r>
      <w:r/>
    </w:p>
    <w:p>
      <w:pPr>
        <w:pStyle w:val="1521"/>
        <w:ind w:left="0" w:firstLine="480"/>
        <w:keepLines w:val="0"/>
        <w:keepNext w:val="0"/>
        <w:pageBreakBefore w:val="0"/>
        <w:spacing w:line="360" w:lineRule="auto"/>
        <w:widowControl w:val="off"/>
        <w:rPr>
          <w:rFonts w:hint="eastAsia"/>
          <w:highlight w:val="none"/>
          <w:lang w:val="en-US" w:eastAsia="zh-CN"/>
        </w:rPr>
      </w:pPr>
      <w:r>
        <w:rPr>
          <w:rFonts w:hint="eastAsia" w:hAnsi="宋体" w:cs="宋体"/>
          <w:bCs/>
          <w:color w:val="000000"/>
          <w:sz w:val="24"/>
          <w:highlight w:val="none"/>
          <w:lang w:val="en-US" w:eastAsia="zh-CN"/>
        </w:rPr>
        <w:t xml:space="preserve">10、本项目共</w:t>
      </w:r>
      <w:r>
        <w:rPr>
          <w:rFonts w:hAnsi="宋体" w:cs="宋体"/>
          <w:bCs/>
          <w:color w:val="000000"/>
          <w:sz w:val="24"/>
          <w:highlight w:val="none"/>
        </w:rPr>
        <w:t xml:space="preserve">2</w:t>
      </w:r>
      <w:r>
        <w:rPr>
          <w:rFonts w:hint="eastAsia" w:hAnsi="宋体" w:cs="宋体"/>
          <w:bCs/>
          <w:color w:val="000000"/>
          <w:sz w:val="24"/>
          <w:highlight w:val="none"/>
        </w:rPr>
        <w:t xml:space="preserve">个标段</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供应商可投多个标段，但</w:t>
      </w:r>
      <w:r>
        <w:rPr>
          <w:rFonts w:hint="eastAsia" w:hAnsi="宋体" w:cs="宋体"/>
          <w:bCs/>
          <w:color w:val="000000"/>
          <w:sz w:val="24"/>
          <w:highlight w:val="none"/>
          <w:lang w:val="en-US" w:eastAsia="zh-CN"/>
        </w:rPr>
        <w:t xml:space="preserve">仅</w:t>
      </w:r>
      <w:r>
        <w:rPr>
          <w:rFonts w:hint="eastAsia" w:hAnsi="宋体" w:cs="宋体"/>
          <w:bCs/>
          <w:color w:val="000000"/>
          <w:sz w:val="24"/>
          <w:highlight w:val="none"/>
        </w:rPr>
        <w:t xml:space="preserve">能</w:t>
      </w:r>
      <w:r>
        <w:rPr>
          <w:rFonts w:hint="eastAsia" w:hAnsi="宋体" w:cs="宋体"/>
          <w:bCs/>
          <w:color w:val="000000"/>
          <w:sz w:val="24"/>
          <w:highlight w:val="none"/>
          <w:lang w:val="en-US" w:eastAsia="zh-CN"/>
        </w:rPr>
        <w:t xml:space="preserve">中标</w:t>
      </w:r>
      <w:r>
        <w:rPr>
          <w:rFonts w:hint="eastAsia" w:hAnsi="宋体" w:cs="宋体"/>
          <w:bCs/>
          <w:color w:val="000000"/>
          <w:sz w:val="24"/>
          <w:highlight w:val="none"/>
        </w:rPr>
        <w:t xml:space="preserve">1个标段。如</w:t>
      </w:r>
      <w:r>
        <w:rPr>
          <w:rFonts w:hint="eastAsia" w:hAnsi="宋体" w:cs="宋体"/>
          <w:bCs/>
          <w:color w:val="000000"/>
          <w:sz w:val="24"/>
          <w:highlight w:val="none"/>
          <w:lang w:val="en-US" w:eastAsia="zh-CN"/>
        </w:rPr>
        <w:t xml:space="preserve">2</w:t>
      </w:r>
      <w:r>
        <w:rPr>
          <w:rFonts w:hint="eastAsia" w:hAnsi="宋体" w:cs="宋体"/>
          <w:bCs/>
          <w:color w:val="000000"/>
          <w:sz w:val="24"/>
          <w:highlight w:val="none"/>
        </w:rPr>
        <w:t xml:space="preserve">个标段排名均为第一，</w:t>
      </w:r>
      <w:r>
        <w:rPr>
          <w:rFonts w:hint="eastAsia" w:hAnsi="宋体" w:cs="宋体"/>
          <w:bCs/>
          <w:color w:val="000000"/>
          <w:sz w:val="24"/>
          <w:highlight w:val="none"/>
          <w:lang w:val="en-US" w:eastAsia="zh-CN"/>
        </w:rPr>
        <w:t xml:space="preserve">优先中标金额大的</w:t>
      </w:r>
      <w:r>
        <w:rPr>
          <w:rFonts w:hint="eastAsia" w:hAnsi="宋体" w:cs="宋体"/>
          <w:bCs/>
          <w:color w:val="000000"/>
          <w:sz w:val="24"/>
          <w:highlight w:val="none"/>
        </w:rPr>
        <w:t xml:space="preserve">标段，其余标段由排名下一位自动递补。</w:t>
      </w:r>
      <w:r>
        <w:rPr>
          <w:rFonts w:hint="eastAsia"/>
          <w:highlight w:val="none"/>
          <w:lang w:val="en-US" w:eastAsia="zh-CN"/>
        </w:rPr>
      </w:r>
      <w:r/>
    </w:p>
    <w:p>
      <w:pPr>
        <w:pStyle w:val="149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、人员最低配置要求及相关说明</w:t>
      </w:r>
      <w:r>
        <w:rPr>
          <w:rFonts w:hint="eastAsia" w:ascii="宋体" w:hAnsi="宋体" w:eastAsia="宋体" w:cs="宋体"/>
          <w:b/>
          <w:color w:val="000000"/>
          <w:sz w:val="24"/>
          <w:szCs w:val="24"/>
          <w:highlight w:val="none"/>
        </w:rPr>
      </w:r>
      <w:r/>
    </w:p>
    <w:p>
      <w:pPr>
        <w:pStyle w:val="1497"/>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具有园林绿化专业【园林绿化专业是指：与园林绿化工程规划、设计、施工及养护管理相关的专业，包括园林（含园林规划设计、园林植物、风景园林、园林绿化等）、园艺、城市规划、景观、植物（含植保、森保等）】工程师及以上职称证书；</w:t>
      </w:r>
      <w:r>
        <w:rPr>
          <w:rFonts w:hint="eastAsia" w:ascii="宋体" w:hAnsi="宋体" w:eastAsia="宋体" w:cs="宋体"/>
          <w:color w:val="000000"/>
          <w:sz w:val="24"/>
          <w:szCs w:val="24"/>
          <w:highlight w:val="none"/>
          <w:lang w:val="en-US" w:eastAsia="zh-CN"/>
        </w:rPr>
      </w:r>
      <w:r/>
    </w:p>
    <w:tbl>
      <w:tblPr>
        <w:tblStyle w:val="1547"/>
        <w:tblW w:w="0" w:type="auto"/>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9"/>
        <w:gridCol w:w="1419"/>
        <w:gridCol w:w="1419"/>
        <w:gridCol w:w="1420"/>
        <w:gridCol w:w="1420"/>
        <w:gridCol w:w="1420"/>
      </w:tblGrid>
      <w:tr>
        <w:trPr>
          <w:trHeight w:val="586"/>
        </w:trPr>
        <w:tc>
          <w:tcPr>
            <w:tcW w:w="1419" w:type="dxa"/>
            <w:vAlign w:val="center"/>
            <w:vMerge w:val="restart"/>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eastAsia="宋体"/>
                <w:b/>
                <w:bCs/>
                <w:color w:val="000000"/>
                <w:sz w:val="24"/>
                <w:szCs w:val="24"/>
                <w:highlight w:val="none"/>
                <w:vertAlign w:val="baseline"/>
                <w:lang w:val="en-US" w:eastAsia="zh-CN"/>
              </w:rPr>
            </w:pPr>
            <w:r>
              <w:rPr>
                <w:rFonts w:hint="eastAsia" w:ascii="宋体" w:hAnsi="宋体"/>
                <w:b/>
                <w:bCs/>
                <w:color w:val="000000"/>
                <w:sz w:val="24"/>
                <w:szCs w:val="24"/>
                <w:highlight w:val="none"/>
                <w:vertAlign w:val="baseline"/>
                <w:lang w:val="en-US" w:eastAsia="zh-CN"/>
              </w:rPr>
              <w:t xml:space="preserve">项目名称</w:t>
            </w:r>
            <w:r>
              <w:rPr>
                <w:rFonts w:hint="eastAsia" w:ascii="宋体" w:hAnsi="宋体" w:eastAsia="宋体"/>
                <w:b/>
                <w:bCs/>
                <w:color w:val="000000"/>
                <w:sz w:val="24"/>
                <w:szCs w:val="24"/>
                <w:highlight w:val="none"/>
                <w:vertAlign w:val="baseline"/>
                <w:lang w:val="en-US" w:eastAsia="zh-CN"/>
              </w:rPr>
            </w:r>
            <w:r/>
          </w:p>
        </w:tc>
        <w:tc>
          <w:tcPr>
            <w:tcW w:w="1419" w:type="dxa"/>
            <w:vAlign w:val="center"/>
            <w:vMerge w:val="restart"/>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eastAsia="宋体"/>
                <w:b/>
                <w:bCs/>
                <w:color w:val="000000"/>
                <w:sz w:val="24"/>
                <w:szCs w:val="24"/>
                <w:highlight w:val="none"/>
                <w:vertAlign w:val="baseline"/>
                <w:lang w:val="en-US" w:eastAsia="zh-CN"/>
              </w:rPr>
            </w:pPr>
            <w:r>
              <w:rPr>
                <w:rFonts w:hint="eastAsia" w:ascii="宋体" w:hAnsi="宋体"/>
                <w:b/>
                <w:bCs/>
                <w:color w:val="000000"/>
                <w:sz w:val="24"/>
                <w:szCs w:val="24"/>
                <w:highlight w:val="none"/>
                <w:vertAlign w:val="baseline"/>
                <w:lang w:val="en-US" w:eastAsia="zh-CN"/>
              </w:rPr>
              <w:t xml:space="preserve">养护等级</w:t>
            </w:r>
            <w:r>
              <w:rPr>
                <w:rFonts w:hint="eastAsia" w:ascii="宋体" w:hAnsi="宋体" w:eastAsia="宋体"/>
                <w:b/>
                <w:bCs/>
                <w:color w:val="000000"/>
                <w:sz w:val="24"/>
                <w:szCs w:val="24"/>
                <w:highlight w:val="none"/>
                <w:vertAlign w:val="baseline"/>
                <w:lang w:val="en-US" w:eastAsia="zh-CN"/>
              </w:rPr>
            </w:r>
            <w:r/>
          </w:p>
        </w:tc>
        <w:tc>
          <w:tcPr>
            <w:tcW w:w="1419" w:type="dxa"/>
            <w:vAlign w:val="center"/>
            <w:vMerge w:val="restart"/>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绿化面积</w:t>
            </w:r>
            <w:r>
              <w:rPr>
                <w:rFonts w:hint="eastAsia" w:ascii="宋体" w:hAnsi="宋体"/>
                <w:b/>
                <w:bCs/>
                <w:color w:val="000000"/>
                <w:sz w:val="24"/>
                <w:szCs w:val="24"/>
                <w:highlight w:val="none"/>
                <w:vertAlign w:val="baseline"/>
              </w:rPr>
            </w:r>
            <w:r/>
          </w:p>
          <w:p>
            <w:pPr>
              <w:pStyle w:val="1522"/>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w:t>
            </w:r>
            <w:r>
              <w:rPr>
                <w:rFonts w:hint="eastAsia" w:ascii="宋体" w:hAnsi="宋体"/>
                <w:b/>
                <w:bCs/>
                <w:color w:val="000000"/>
                <w:sz w:val="24"/>
                <w:szCs w:val="24"/>
                <w:highlight w:val="none"/>
                <w:vertAlign w:val="baseline"/>
              </w:rPr>
            </w:r>
            <w:r/>
          </w:p>
        </w:tc>
        <w:tc>
          <w:tcPr>
            <w:gridSpan w:val="3"/>
            <w:tcW w:w="4260" w:type="dxa"/>
            <w:vAlign w:val="center"/>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作业人员配置要求</w:t>
            </w:r>
            <w:r>
              <w:rPr>
                <w:rFonts w:hint="eastAsia" w:ascii="宋体" w:hAnsi="宋体"/>
                <w:b/>
                <w:bCs/>
                <w:color w:val="000000"/>
                <w:sz w:val="24"/>
                <w:szCs w:val="24"/>
                <w:highlight w:val="none"/>
                <w:vertAlign w:val="baseline"/>
              </w:rPr>
            </w:r>
            <w:r/>
          </w:p>
        </w:tc>
      </w:tr>
      <w:tr>
        <w:trPr>
          <w:trHeight w:val="807"/>
        </w:trPr>
        <w:tc>
          <w:tcPr>
            <w:tcW w:w="1419" w:type="dxa"/>
            <w:vAlign w:val="center"/>
            <w:vMerge w:val="continue"/>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1419" w:type="dxa"/>
            <w:vAlign w:val="center"/>
            <w:vMerge w:val="continue"/>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1419" w:type="dxa"/>
            <w:vAlign w:val="center"/>
            <w:vMerge w:val="continue"/>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1420" w:type="dxa"/>
            <w:vAlign w:val="center"/>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普通作业工人总数</w:t>
            </w:r>
            <w:r>
              <w:rPr>
                <w:rFonts w:hint="eastAsia" w:ascii="宋体" w:hAnsi="宋体"/>
                <w:b/>
                <w:bCs/>
                <w:color w:val="000000"/>
                <w:sz w:val="24"/>
                <w:szCs w:val="24"/>
                <w:highlight w:val="none"/>
                <w:vertAlign w:val="baseline"/>
              </w:rPr>
            </w:r>
            <w:r/>
          </w:p>
        </w:tc>
        <w:tc>
          <w:tcPr>
            <w:tcW w:w="1420" w:type="dxa"/>
            <w:vAlign w:val="center"/>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中级技工</w:t>
            </w:r>
            <w:r>
              <w:rPr>
                <w:rFonts w:hint="eastAsia" w:ascii="宋体" w:hAnsi="宋体"/>
                <w:b/>
                <w:bCs/>
                <w:color w:val="000000"/>
                <w:sz w:val="24"/>
                <w:szCs w:val="24"/>
                <w:highlight w:val="none"/>
                <w:vertAlign w:val="baseline"/>
              </w:rPr>
            </w:r>
            <w:r/>
          </w:p>
        </w:tc>
        <w:tc>
          <w:tcPr>
            <w:tcW w:w="1420" w:type="dxa"/>
            <w:vAlign w:val="center"/>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高级技工及以上</w:t>
            </w:r>
            <w:r>
              <w:rPr>
                <w:rFonts w:hint="eastAsia" w:ascii="宋体" w:hAnsi="宋体"/>
                <w:b/>
                <w:bCs/>
                <w:color w:val="000000"/>
                <w:sz w:val="24"/>
                <w:szCs w:val="24"/>
                <w:highlight w:val="none"/>
                <w:vertAlign w:val="baseline"/>
              </w:rPr>
            </w:r>
            <w:r/>
          </w:p>
        </w:tc>
      </w:tr>
      <w:tr>
        <w:trPr>
          <w:trHeight w:val="805"/>
        </w:trPr>
        <w:tc>
          <w:tcPr>
            <w:tcW w:w="1419" w:type="dxa"/>
            <w:vAlign w:val="center"/>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bCs/>
                <w:sz w:val="24"/>
                <w:highlight w:val="none"/>
                <w:lang w:val="zh-CN" w:eastAsia="zh-CN"/>
              </w:rPr>
              <w:t xml:space="preserve">兴塘公园</w:t>
            </w:r>
            <w:r>
              <w:rPr>
                <w:rFonts w:hint="eastAsia" w:ascii="宋体" w:hAnsi="宋体"/>
                <w:color w:val="000000"/>
                <w:sz w:val="24"/>
                <w:szCs w:val="24"/>
                <w:highlight w:val="none"/>
                <w:vertAlign w:val="baseline"/>
              </w:rPr>
            </w:r>
            <w:r/>
          </w:p>
        </w:tc>
        <w:tc>
          <w:tcPr>
            <w:tcW w:w="1419" w:type="dxa"/>
            <w:vAlign w:val="center"/>
            <w:textDirection w:val="lrTb"/>
            <w:noWrap w:val="false"/>
          </w:tcPr>
          <w:p>
            <w:pPr>
              <w:pStyle w:val="1522"/>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一级养护</w:t>
            </w:r>
            <w:r>
              <w:rPr>
                <w:rFonts w:ascii="宋体" w:hAnsi="宋体" w:eastAsia="宋体"/>
                <w:color w:val="000000"/>
                <w:sz w:val="24"/>
                <w:szCs w:val="24"/>
                <w:highlight w:val="none"/>
                <w:vertAlign w:val="baseline"/>
                <w:lang w:val="en-US" w:eastAsia="zh-CN"/>
              </w:rPr>
            </w:r>
            <w:r/>
          </w:p>
        </w:tc>
        <w:tc>
          <w:tcPr>
            <w:tcW w:w="1419" w:type="dxa"/>
            <w:vAlign w:val="center"/>
            <w:textDirection w:val="lrTb"/>
            <w:noWrap w:val="false"/>
          </w:tcPr>
          <w:p>
            <w:pPr>
              <w:pStyle w:val="1522"/>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80000</w:t>
            </w:r>
            <w:r>
              <w:rPr>
                <w:rFonts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4</w:t>
            </w:r>
            <w:r>
              <w:rPr>
                <w:rFonts w:hint="eastAsia"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4</w:t>
            </w:r>
            <w:r>
              <w:rPr>
                <w:rFonts w:hint="eastAsia"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r>
      <w:tr>
        <w:trPr>
          <w:trHeight w:val="805"/>
        </w:trPr>
        <w:tc>
          <w:tcPr>
            <w:tcW w:w="1419" w:type="dxa"/>
            <w:vAlign w:val="center"/>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bCs/>
                <w:sz w:val="24"/>
                <w:highlight w:val="none"/>
                <w:lang w:val="zh-CN" w:eastAsia="zh-CN"/>
              </w:rPr>
              <w:t xml:space="preserve">兴塘滨水公园</w:t>
            </w:r>
            <w:r>
              <w:rPr>
                <w:rFonts w:hint="eastAsia" w:ascii="宋体" w:hAnsi="宋体"/>
                <w:color w:val="000000"/>
                <w:sz w:val="24"/>
                <w:szCs w:val="24"/>
                <w:highlight w:val="none"/>
                <w:vertAlign w:val="baseline"/>
              </w:rPr>
            </w:r>
            <w:r/>
          </w:p>
        </w:tc>
        <w:tc>
          <w:tcPr>
            <w:tcW w:w="1419" w:type="dxa"/>
            <w:vAlign w:val="center"/>
            <w:textDirection w:val="lrTb"/>
            <w:noWrap w:val="false"/>
          </w:tcPr>
          <w:p>
            <w:pPr>
              <w:pStyle w:val="1522"/>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一级养护</w:t>
            </w:r>
            <w:r>
              <w:rPr>
                <w:rFonts w:ascii="宋体" w:hAnsi="宋体" w:eastAsia="宋体"/>
                <w:color w:val="000000"/>
                <w:sz w:val="24"/>
                <w:szCs w:val="24"/>
                <w:highlight w:val="none"/>
                <w:vertAlign w:val="baseline"/>
                <w:lang w:val="en-US" w:eastAsia="zh-CN"/>
              </w:rPr>
            </w:r>
            <w:r/>
          </w:p>
        </w:tc>
        <w:tc>
          <w:tcPr>
            <w:tcW w:w="1419" w:type="dxa"/>
            <w:vAlign w:val="center"/>
            <w:textDirection w:val="lrTb"/>
            <w:noWrap w:val="false"/>
          </w:tcPr>
          <w:p>
            <w:pPr>
              <w:pStyle w:val="1522"/>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138561</w:t>
            </w:r>
            <w:r>
              <w:rPr>
                <w:rFonts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7</w:t>
            </w:r>
            <w:r>
              <w:rPr>
                <w:rFonts w:hint="eastAsia"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hint="eastAsia"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2"/>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r>
    </w:tbl>
    <w:p>
      <w:pPr>
        <w:pStyle w:val="1521"/>
        <w:ind w:left="0" w:firstLine="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522"/>
        <w:ind w:firstLine="24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说明：作业人员配置要求：高级技工及以上1名；</w:t>
      </w:r>
      <w:r>
        <w:rPr>
          <w:rFonts w:hint="eastAsia" w:hAnsi="宋体" w:cs="宋体"/>
          <w:bCs/>
          <w:color w:val="000000"/>
          <w:sz w:val="24"/>
          <w:szCs w:val="24"/>
          <w:highlight w:val="none"/>
        </w:rPr>
      </w:r>
      <w:r/>
    </w:p>
    <w:p>
      <w:pPr>
        <w:pStyle w:val="1522"/>
        <w:ind w:firstLine="48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一级养护：每10万平方米配置中级技工及以上1名，每2万平方米绿地配绿化普通作业工人1名；</w:t>
      </w:r>
      <w:r>
        <w:rPr>
          <w:rFonts w:hint="eastAsia" w:hAnsi="宋体" w:cs="宋体"/>
          <w:bCs/>
          <w:color w:val="000000"/>
          <w:sz w:val="24"/>
          <w:szCs w:val="24"/>
          <w:highlight w:val="none"/>
        </w:rPr>
      </w:r>
      <w:r/>
    </w:p>
    <w:p>
      <w:pPr>
        <w:pStyle w:val="1522"/>
        <w:ind w:firstLine="482"/>
        <w:spacing w:after="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注：技能工人一人一证，其中技能人员和作业工人不得重复。投标人需对此项的最低配置人数要求作出承诺（格式自拟</w:t>
      </w:r>
      <w:r>
        <w:rPr>
          <w:rFonts w:hint="eastAsia" w:hAnsi="宋体" w:cs="宋体"/>
          <w:b/>
          <w:color w:val="000000"/>
          <w:sz w:val="24"/>
          <w:szCs w:val="24"/>
          <w:highlight w:val="none"/>
          <w:lang w:eastAsia="zh-CN"/>
        </w:rPr>
        <w:t xml:space="preserve">，并上传至投标文件中并电子签章</w:t>
      </w:r>
      <w:r>
        <w:rPr>
          <w:rFonts w:hint="eastAsia" w:hAnsi="宋体" w:cs="宋体"/>
          <w:b/>
          <w:color w:val="000000"/>
          <w:sz w:val="24"/>
          <w:szCs w:val="24"/>
          <w:highlight w:val="none"/>
        </w:rPr>
        <w:t xml:space="preserve">），并承诺中标后提供上述所有人员名单，在进场作业前必须全部集中至采购人指定现场核查，若低于上述标准或未作出承诺的，作无效投标文件处理。</w:t>
      </w:r>
      <w:r>
        <w:rPr>
          <w:rFonts w:hint="eastAsia" w:hAnsi="宋体" w:cs="宋体"/>
          <w:b/>
          <w:color w:val="000000"/>
          <w:sz w:val="24"/>
          <w:szCs w:val="24"/>
          <w:highlight w:val="none"/>
        </w:rPr>
      </w:r>
      <w:r/>
    </w:p>
    <w:p>
      <w:pPr>
        <w:pStyle w:val="1522"/>
        <w:spacing w:after="0" w:line="360" w:lineRule="auto"/>
        <w:rPr>
          <w:rFonts w:hint="eastAsia" w:hAnsi="宋体"/>
          <w:b/>
          <w:bCs/>
          <w:color w:val="000000"/>
          <w:sz w:val="24"/>
          <w:szCs w:val="24"/>
          <w:highlight w:val="none"/>
        </w:rPr>
      </w:pPr>
      <w:r>
        <w:rPr>
          <w:rFonts w:hint="eastAsia" w:hAnsi="宋体"/>
          <w:b/>
          <w:bCs/>
          <w:color w:val="000000"/>
          <w:sz w:val="24"/>
          <w:szCs w:val="24"/>
          <w:highlight w:val="none"/>
          <w:lang w:eastAsia="zh-CN"/>
        </w:rPr>
        <w:t xml:space="preserve">三</w:t>
      </w:r>
      <w:r>
        <w:rPr>
          <w:rFonts w:hint="eastAsia" w:hAnsi="宋体"/>
          <w:b/>
          <w:bCs/>
          <w:color w:val="000000"/>
          <w:sz w:val="24"/>
          <w:szCs w:val="24"/>
          <w:highlight w:val="none"/>
        </w:rPr>
        <w:t xml:space="preserve">、设备最低配置要求</w:t>
      </w:r>
      <w:r>
        <w:rPr>
          <w:rFonts w:hint="eastAsia" w:hAnsi="宋体"/>
          <w:b/>
          <w:bCs/>
          <w:color w:val="000000"/>
          <w:sz w:val="24"/>
          <w:szCs w:val="24"/>
          <w:highlight w:val="none"/>
        </w:rPr>
      </w:r>
      <w:r/>
    </w:p>
    <w:p>
      <w:pPr>
        <w:pStyle w:val="1497"/>
        <w:ind w:firstLine="480"/>
        <w:spacing w:line="440" w:lineRule="exact"/>
        <w:rPr>
          <w:rFonts w:hint="eastAsia" w:hAnsi="宋体" w:cs="宋体"/>
          <w:b w:val="0"/>
          <w:bCs/>
          <w:sz w:val="24"/>
          <w:szCs w:val="24"/>
        </w:rPr>
      </w:pPr>
      <w:r>
        <w:rPr>
          <w:rFonts w:hint="eastAsia" w:hAnsi="宋体" w:cs="宋体"/>
          <w:b w:val="0"/>
          <w:bCs/>
          <w:sz w:val="24"/>
          <w:szCs w:val="24"/>
        </w:rPr>
        <w:t xml:space="preserve">1、投标供应商配备割灌机（2台）、绿篱机（2台）、草坪机（2台）、水泵（2台）；</w:t>
      </w:r>
      <w:r>
        <w:rPr>
          <w:rFonts w:hint="eastAsia" w:hAnsi="宋体" w:cs="宋体"/>
          <w:b w:val="0"/>
          <w:bCs/>
          <w:sz w:val="24"/>
          <w:szCs w:val="24"/>
        </w:rPr>
      </w:r>
      <w:r/>
    </w:p>
    <w:p>
      <w:pPr>
        <w:pStyle w:val="1497"/>
        <w:ind w:firstLine="480"/>
        <w:spacing w:line="440" w:lineRule="exact"/>
        <w:rPr>
          <w:rFonts w:hint="eastAsia" w:hAnsi="宋体" w:cs="宋体"/>
          <w:b w:val="0"/>
          <w:bCs/>
          <w:sz w:val="24"/>
          <w:szCs w:val="24"/>
          <w:highlight w:val="none"/>
        </w:rPr>
      </w:pPr>
      <w:r>
        <w:rPr>
          <w:rFonts w:hint="eastAsia" w:hAnsi="宋体" w:cs="宋体"/>
          <w:b w:val="0"/>
          <w:bCs/>
          <w:sz w:val="24"/>
          <w:szCs w:val="24"/>
        </w:rPr>
        <w:t xml:space="preserve">2、投标供应商配备</w:t>
      </w:r>
      <w:r>
        <w:rPr>
          <w:rFonts w:hint="eastAsia" w:hAnsi="宋体" w:cs="宋体"/>
          <w:b w:val="0"/>
          <w:bCs/>
          <w:sz w:val="24"/>
          <w:szCs w:val="24"/>
          <w:highlight w:val="none"/>
        </w:rPr>
        <w:t xml:space="preserve">树枝（杆）粉碎机（功率≥20KW）（1台）、旋耕机（功率≥10KW）（1台）；</w:t>
      </w:r>
      <w:r>
        <w:rPr>
          <w:rFonts w:hint="eastAsia" w:hAnsi="宋体" w:cs="宋体"/>
          <w:b w:val="0"/>
          <w:bCs/>
          <w:sz w:val="24"/>
          <w:szCs w:val="24"/>
          <w:highlight w:val="none"/>
        </w:rPr>
      </w:r>
      <w:r/>
    </w:p>
    <w:p>
      <w:pPr>
        <w:pStyle w:val="1497"/>
        <w:ind w:firstLine="480"/>
        <w:spacing w:line="440" w:lineRule="exact"/>
        <w:rPr>
          <w:rFonts w:hint="eastAsia" w:hAnsi="宋体" w:cs="宋体"/>
          <w:b w:val="0"/>
          <w:bCs/>
          <w:sz w:val="24"/>
          <w:szCs w:val="24"/>
          <w:highlight w:val="none"/>
        </w:rPr>
      </w:pPr>
      <w:r>
        <w:rPr>
          <w:rFonts w:hint="eastAsia" w:hAnsi="宋体" w:cs="宋体"/>
          <w:b w:val="0"/>
          <w:bCs/>
          <w:sz w:val="24"/>
          <w:szCs w:val="24"/>
          <w:highlight w:val="none"/>
        </w:rPr>
        <w:t xml:space="preserve">3、投标供应商配备标准制式水车（核定载质量≥6吨），2辆； </w:t>
      </w:r>
      <w:r>
        <w:rPr>
          <w:rFonts w:hint="eastAsia" w:hAnsi="宋体" w:cs="宋体"/>
          <w:b w:val="0"/>
          <w:bCs/>
          <w:sz w:val="24"/>
          <w:szCs w:val="24"/>
          <w:highlight w:val="none"/>
        </w:rPr>
      </w:r>
      <w:r/>
    </w:p>
    <w:p>
      <w:pPr>
        <w:pStyle w:val="1497"/>
        <w:ind w:firstLine="480"/>
        <w:spacing w:line="440" w:lineRule="exact"/>
        <w:rPr>
          <w:rFonts w:hint="eastAsia" w:hAnsi="宋体" w:cs="宋体"/>
          <w:b w:val="0"/>
          <w:bCs/>
          <w:sz w:val="24"/>
          <w:szCs w:val="24"/>
          <w:highlight w:val="none"/>
        </w:rPr>
      </w:pPr>
      <w:r>
        <w:rPr>
          <w:rFonts w:hint="eastAsia" w:hAnsi="宋体" w:cs="宋体"/>
          <w:b w:val="0"/>
          <w:bCs/>
          <w:sz w:val="24"/>
          <w:szCs w:val="24"/>
          <w:highlight w:val="none"/>
        </w:rPr>
        <w:t xml:space="preserve">4、投标供应商配备吊车（汽车起重机）（核定载质量或额定起重量≥8吨），1辆；</w:t>
      </w:r>
      <w:r>
        <w:rPr>
          <w:rFonts w:hint="eastAsia" w:hAnsi="宋体" w:cs="宋体"/>
          <w:b w:val="0"/>
          <w:bCs/>
          <w:sz w:val="24"/>
          <w:szCs w:val="24"/>
          <w:highlight w:val="none"/>
        </w:rPr>
      </w:r>
      <w:r/>
    </w:p>
    <w:p>
      <w:pPr>
        <w:pStyle w:val="1497"/>
        <w:ind w:firstLine="480"/>
        <w:spacing w:line="440" w:lineRule="exact"/>
        <w:rPr>
          <w:rFonts w:hint="eastAsia" w:hAnsi="宋体" w:cs="宋体"/>
          <w:b w:val="0"/>
          <w:bCs/>
          <w:sz w:val="24"/>
          <w:szCs w:val="24"/>
          <w:highlight w:val="none"/>
        </w:rPr>
      </w:pPr>
      <w:r>
        <w:rPr>
          <w:rFonts w:hint="eastAsia" w:hAnsi="宋体" w:cs="宋体"/>
          <w:b w:val="0"/>
          <w:bCs/>
          <w:sz w:val="24"/>
          <w:szCs w:val="24"/>
          <w:highlight w:val="none"/>
        </w:rPr>
        <w:t xml:space="preserve">5、投标供应商配备高空作业车，1辆；</w:t>
      </w:r>
      <w:r>
        <w:rPr>
          <w:rFonts w:hint="eastAsia" w:hAnsi="宋体" w:cs="宋体"/>
          <w:b w:val="0"/>
          <w:bCs/>
          <w:sz w:val="24"/>
          <w:szCs w:val="24"/>
          <w:highlight w:val="none"/>
        </w:rPr>
      </w:r>
      <w:r/>
    </w:p>
    <w:p>
      <w:pPr>
        <w:pStyle w:val="1497"/>
        <w:ind w:firstLine="480"/>
        <w:spacing w:line="440" w:lineRule="exact"/>
        <w:rPr>
          <w:rFonts w:hint="eastAsia" w:hAnsi="宋体" w:cs="宋体"/>
          <w:b w:val="0"/>
          <w:bCs/>
          <w:sz w:val="24"/>
          <w:szCs w:val="24"/>
          <w:highlight w:val="none"/>
        </w:rPr>
      </w:pPr>
      <w:r>
        <w:rPr>
          <w:rFonts w:hint="eastAsia" w:hAnsi="宋体" w:cs="宋体"/>
          <w:b w:val="0"/>
          <w:bCs/>
          <w:sz w:val="24"/>
          <w:szCs w:val="24"/>
          <w:highlight w:val="none"/>
        </w:rPr>
        <w:t xml:space="preserve">6、投标供应商配备运输车（核定载质量≥2吨，用于运输材料），1辆</w:t>
      </w:r>
      <w:r>
        <w:rPr>
          <w:rFonts w:hint="eastAsia" w:hAnsi="宋体" w:cs="宋体"/>
          <w:b w:val="0"/>
          <w:bCs/>
          <w:sz w:val="24"/>
          <w:szCs w:val="24"/>
          <w:highlight w:val="none"/>
        </w:rPr>
      </w:r>
      <w:r/>
    </w:p>
    <w:p>
      <w:pPr>
        <w:pStyle w:val="1497"/>
        <w:ind w:firstLine="480"/>
        <w:spacing w:line="440" w:lineRule="exact"/>
        <w:rPr>
          <w:rFonts w:hint="eastAsia" w:hAnsi="宋体" w:cs="宋体"/>
          <w:b w:val="0"/>
          <w:bCs/>
          <w:sz w:val="24"/>
          <w:szCs w:val="24"/>
          <w:highlight w:val="none"/>
        </w:rPr>
      </w:pPr>
      <w:r>
        <w:rPr>
          <w:rFonts w:hint="eastAsia" w:hAnsi="宋体" w:cs="宋体"/>
          <w:b w:val="0"/>
          <w:bCs/>
          <w:sz w:val="24"/>
          <w:szCs w:val="24"/>
          <w:highlight w:val="none"/>
        </w:rPr>
        <w:t xml:space="preserve">7、投标供应商配备客车（9座及以上，用于接送养护工人及应急作业），1辆；</w:t>
      </w:r>
      <w:r>
        <w:rPr>
          <w:rFonts w:hint="eastAsia" w:hAnsi="宋体" w:cs="宋体"/>
          <w:b w:val="0"/>
          <w:bCs/>
          <w:sz w:val="24"/>
          <w:szCs w:val="24"/>
          <w:highlight w:val="none"/>
        </w:rPr>
      </w:r>
      <w:r/>
    </w:p>
    <w:p>
      <w:pPr>
        <w:pStyle w:val="1497"/>
        <w:ind w:firstLine="480"/>
        <w:spacing w:line="440" w:lineRule="exact"/>
        <w:rPr>
          <w:rFonts w:hint="eastAsia" w:hAnsi="宋体" w:cs="宋体"/>
          <w:b w:val="0"/>
          <w:bCs/>
          <w:sz w:val="24"/>
          <w:szCs w:val="24"/>
        </w:rPr>
      </w:pPr>
      <w:r>
        <w:rPr>
          <w:rFonts w:hint="eastAsia" w:hAnsi="宋体" w:cs="宋体"/>
          <w:b w:val="0"/>
          <w:bCs/>
          <w:sz w:val="24"/>
          <w:szCs w:val="24"/>
          <w:highlight w:val="none"/>
        </w:rPr>
        <w:t xml:space="preserve">8、投标供应商配备多功能抑尘车（核</w:t>
      </w:r>
      <w:r>
        <w:rPr>
          <w:rFonts w:hint="eastAsia" w:hAnsi="宋体" w:cs="宋体"/>
          <w:b w:val="0"/>
          <w:bCs/>
          <w:sz w:val="24"/>
          <w:szCs w:val="24"/>
        </w:rPr>
        <w:t xml:space="preserve">定载质量≥3吨，静风水平射程≥10米），1辆；</w:t>
      </w:r>
      <w:r>
        <w:rPr>
          <w:rFonts w:hint="eastAsia" w:hAnsi="宋体" w:cs="宋体"/>
          <w:b w:val="0"/>
          <w:bCs/>
          <w:sz w:val="24"/>
          <w:szCs w:val="24"/>
        </w:rPr>
      </w:r>
      <w:r/>
    </w:p>
    <w:p>
      <w:pPr>
        <w:pStyle w:val="1522"/>
        <w:ind w:firstLine="480"/>
        <w:spacing w:after="0" w:line="360" w:lineRule="auto"/>
        <w:rPr>
          <w:rFonts w:hint="eastAsia" w:ascii="宋体" w:hAnsi="宋体" w:eastAsia="宋体"/>
          <w:b w:val="0"/>
          <w:bCs/>
          <w:color w:val="000000"/>
          <w:sz w:val="24"/>
          <w:szCs w:val="24"/>
          <w:highlight w:val="none"/>
          <w:lang w:val="en-US" w:eastAsia="zh-CN"/>
        </w:rPr>
      </w:pPr>
      <w:r>
        <w:rPr>
          <w:rFonts w:hint="eastAsia" w:ascii="宋体" w:hAnsi="宋体" w:eastAsia="宋体"/>
          <w:b w:val="0"/>
          <w:bCs/>
          <w:color w:val="000000"/>
          <w:sz w:val="24"/>
          <w:szCs w:val="24"/>
          <w:highlight w:val="none"/>
          <w:lang w:val="en-US" w:eastAsia="zh-CN"/>
        </w:rPr>
        <w:t xml:space="preserve">注：自有车辆提供车辆购置发票（发票抬头与投标人一致的发票）、车辆行驶证、车辆实景图片等相关证明材料原件扫描件附在投标文件中，若是租赁车辆需提供租赁协议（有效期需满足本项目养护期）、租赁发票、车辆购置发票、车辆行驶证以及含车牌的车辆实景图片等相关证明材料原件上传至投标文件并电子签章，相关设备提供购买发票扫描件及实景照片扫描件等相关证明材料扫描件上传至投标文件并电子签章；或提供车辆、设备的承诺书（承</w:t>
      </w:r>
      <w:r>
        <w:rPr>
          <w:rFonts w:hint="eastAsia" w:ascii="宋体" w:hAnsi="宋体" w:eastAsia="宋体"/>
          <w:b w:val="0"/>
          <w:bCs/>
          <w:color w:val="000000"/>
          <w:sz w:val="24"/>
          <w:szCs w:val="24"/>
          <w:highlight w:val="none"/>
          <w:lang w:val="en-US" w:eastAsia="zh-CN"/>
        </w:rPr>
        <w:t xml:space="preserve">诺中标后签订合同前提供以上所有车辆、设备，并上传至投标文件中并电子签章，格式自拟），未按要求提供的作无效投标文件处理。采购人根据招标文件、中标方的投标文件会同行业主管部门在进场作业前进行现场验收，确认后签订合同。中标方最迟于自中标公告发布之日起20天内按要求配齐作业车辆、设备，将作业所有车辆、设备集中至采购人指定的场所现场核查，达到可规范使用状态，包括但不限于车辆设备的通行、作业。如中标方所配备的作业车辆或设备没有达到招标文件规定要求，导致项目无法正常运行，采购人有权取消其中标资格，一切损失由中标单位负责。</w:t>
      </w:r>
      <w:r>
        <w:rPr>
          <w:rFonts w:hint="eastAsia" w:ascii="宋体" w:hAnsi="宋体" w:eastAsia="宋体"/>
          <w:b w:val="0"/>
          <w:bCs/>
          <w:color w:val="000000"/>
          <w:sz w:val="24"/>
          <w:szCs w:val="24"/>
          <w:highlight w:val="none"/>
          <w:lang w:val="en-US" w:eastAsia="zh-CN"/>
        </w:rPr>
      </w:r>
      <w:r/>
    </w:p>
    <w:p>
      <w:pPr>
        <w:pStyle w:val="1522"/>
        <w:spacing w:after="0" w:line="360" w:lineRule="auto"/>
        <w:rPr>
          <w:rFonts w:hint="eastAsia" w:ascii="宋体" w:hAnsi="宋体" w:eastAsia="宋体"/>
          <w:b/>
          <w:bCs w:val="0"/>
          <w:color w:val="000000"/>
          <w:sz w:val="24"/>
          <w:szCs w:val="24"/>
          <w:highlight w:val="none"/>
          <w:lang w:val="en-US" w:eastAsia="zh-CN"/>
        </w:rPr>
      </w:pPr>
      <w:r>
        <w:rPr>
          <w:rFonts w:hint="eastAsia" w:ascii="宋体" w:hAnsi="宋体" w:eastAsia="宋体"/>
          <w:b/>
          <w:bCs w:val="0"/>
          <w:color w:val="000000"/>
          <w:sz w:val="24"/>
          <w:szCs w:val="24"/>
          <w:highlight w:val="none"/>
          <w:lang w:val="en-US" w:eastAsia="zh-CN"/>
        </w:rPr>
        <w:t xml:space="preserve">四、项目服务内容及绿化一级养护标准</w:t>
      </w:r>
      <w:r>
        <w:rPr>
          <w:rFonts w:hint="eastAsia" w:ascii="宋体" w:hAnsi="宋体" w:eastAsia="宋体"/>
          <w:b/>
          <w:bCs w:val="0"/>
          <w:color w:val="000000"/>
          <w:sz w:val="24"/>
          <w:szCs w:val="24"/>
          <w:highlight w:val="none"/>
          <w:lang w:val="en-US" w:eastAsia="zh-CN"/>
        </w:rPr>
      </w:r>
      <w:r/>
    </w:p>
    <w:p>
      <w:pPr>
        <w:pStyle w:val="1516"/>
        <w:rPr>
          <w:rFonts w:hint="eastAsia" w:ascii="宋体" w:hAnsi="宋体" w:eastAsia="宋体"/>
          <w:color w:val="000000"/>
          <w:sz w:val="24"/>
          <w:szCs w:val="24"/>
        </w:rPr>
      </w:pPr>
      <w:r>
        <w:rPr>
          <w:rFonts w:hint="eastAsia" w:ascii="宋体" w:hAnsi="宋体" w:eastAsia="宋体"/>
          <w:color w:val="000000"/>
          <w:sz w:val="24"/>
          <w:szCs w:val="24"/>
        </w:rPr>
        <w:t xml:space="preserve">（一）绿化养护工作内容</w:t>
      </w:r>
      <w:r>
        <w:rPr>
          <w:rFonts w:hint="eastAsia" w:ascii="宋体" w:hAnsi="宋体" w:eastAsia="宋体"/>
          <w:color w:val="000000"/>
          <w:sz w:val="24"/>
          <w:szCs w:val="24"/>
        </w:rPr>
      </w:r>
      <w:r/>
    </w:p>
    <w:p>
      <w:pPr>
        <w:pStyle w:val="1497"/>
        <w:ind w:firstLine="480"/>
        <w:spacing w:line="360" w:lineRule="auto"/>
        <w:rPr>
          <w:rFonts w:hint="eastAsia" w:ascii="宋体" w:hAnsi="宋体" w:cs="Vrinda"/>
          <w:bCs/>
          <w:color w:val="000000"/>
          <w:sz w:val="24"/>
          <w:szCs w:val="24"/>
        </w:rPr>
      </w:pPr>
      <w:r>
        <w:rPr>
          <w:rFonts w:hint="eastAsia" w:ascii="宋体" w:hAnsi="宋体" w:cs="Vrinda"/>
          <w:bCs/>
          <w:color w:val="000000"/>
          <w:sz w:val="24"/>
          <w:szCs w:val="24"/>
        </w:rPr>
        <w:t xml:space="preserve">1、上木类：修剪、剥芽、浇灌、松土、施肥及病虫害防治、涂白、扶正支撑、安全防护、环境清理及清运。 </w:t>
      </w:r>
      <w:r>
        <w:rPr>
          <w:rFonts w:hint="eastAsia" w:ascii="宋体" w:hAnsi="宋体" w:cs="Vrinda"/>
          <w:bCs/>
          <w:color w:val="000000"/>
          <w:sz w:val="24"/>
          <w:szCs w:val="24"/>
        </w:rPr>
      </w:r>
      <w:r/>
    </w:p>
    <w:p>
      <w:pPr>
        <w:pStyle w:val="1497"/>
        <w:ind w:firstLine="480"/>
        <w:spacing w:line="360" w:lineRule="auto"/>
        <w:rPr>
          <w:rFonts w:hint="eastAsia" w:ascii="宋体" w:hAnsi="宋体" w:cs="Vrinda"/>
          <w:bCs/>
          <w:color w:val="000000"/>
          <w:sz w:val="24"/>
          <w:szCs w:val="24"/>
        </w:rPr>
      </w:pPr>
      <w:r>
        <w:rPr>
          <w:rFonts w:hint="eastAsia" w:ascii="宋体" w:hAnsi="宋体" w:cs="Vrinda"/>
          <w:bCs/>
          <w:color w:val="000000"/>
          <w:sz w:val="24"/>
          <w:szCs w:val="24"/>
        </w:rPr>
        <w:t xml:space="preserve">2、色块绿篱类：修剪整形、浇灌、松土除草、施肥及病虫害防治、环境清理及清运。</w:t>
      </w:r>
      <w:r>
        <w:rPr>
          <w:rFonts w:hint="eastAsia" w:ascii="宋体" w:hAnsi="宋体" w:cs="Vrinda"/>
          <w:bCs/>
          <w:color w:val="000000"/>
          <w:sz w:val="24"/>
          <w:szCs w:val="24"/>
        </w:rPr>
      </w:r>
      <w:r/>
    </w:p>
    <w:p>
      <w:pPr>
        <w:pStyle w:val="1497"/>
        <w:ind w:firstLine="480"/>
        <w:spacing w:line="360" w:lineRule="auto"/>
        <w:rPr>
          <w:rFonts w:ascii="宋体" w:hAnsi="宋体" w:cs="Vrinda"/>
          <w:bCs/>
          <w:color w:val="000000"/>
          <w:sz w:val="24"/>
          <w:szCs w:val="24"/>
        </w:rPr>
      </w:pPr>
      <w:r>
        <w:rPr>
          <w:rFonts w:hint="eastAsia" w:ascii="宋体" w:hAnsi="宋体" w:cs="Vrinda"/>
          <w:bCs/>
          <w:color w:val="000000"/>
          <w:sz w:val="24"/>
          <w:szCs w:val="24"/>
        </w:rPr>
        <w:t xml:space="preserve">3、草本地被类：修剪整形、浇灌、松土除草、施肥及病虫害防治、环境清理及清运。</w:t>
      </w:r>
      <w:r>
        <w:rPr>
          <w:rFonts w:ascii="宋体" w:hAnsi="宋体" w:cs="Vrinda"/>
          <w:bCs/>
          <w:color w:val="000000"/>
          <w:sz w:val="24"/>
          <w:szCs w:val="24"/>
        </w:rPr>
      </w:r>
      <w:r/>
    </w:p>
    <w:p>
      <w:pPr>
        <w:pStyle w:val="1497"/>
        <w:ind w:firstLine="480"/>
        <w:spacing w:line="360" w:lineRule="auto"/>
        <w:rPr>
          <w:rFonts w:ascii="宋体" w:hAnsi="宋体" w:cs="Vrinda"/>
          <w:bCs/>
          <w:color w:val="000000"/>
          <w:sz w:val="24"/>
          <w:szCs w:val="24"/>
        </w:rPr>
      </w:pPr>
      <w:r>
        <w:rPr>
          <w:rFonts w:hint="eastAsia" w:ascii="宋体" w:hAnsi="宋体" w:cs="Vrinda"/>
          <w:bCs/>
          <w:color w:val="000000"/>
          <w:sz w:val="24"/>
          <w:szCs w:val="24"/>
        </w:rPr>
        <w:t xml:space="preserve">4、草坪类：修剪、浇灌、打孔、梳草、除草、施肥及病虫害防治、杂草地清理、环境清理及清运。</w:t>
      </w:r>
      <w:r>
        <w:rPr>
          <w:rFonts w:ascii="宋体" w:hAnsi="宋体" w:cs="Vrinda"/>
          <w:bCs/>
          <w:color w:val="000000"/>
          <w:sz w:val="24"/>
          <w:szCs w:val="24"/>
        </w:rPr>
      </w:r>
      <w:r/>
    </w:p>
    <w:p>
      <w:pPr>
        <w:pStyle w:val="1497"/>
        <w:ind w:firstLine="480"/>
        <w:spacing w:line="360" w:lineRule="auto"/>
        <w:rPr>
          <w:rFonts w:hint="eastAsia" w:ascii="宋体" w:hAnsi="宋体" w:cs="Vrinda"/>
          <w:bCs/>
          <w:color w:val="000000"/>
          <w:sz w:val="24"/>
          <w:szCs w:val="24"/>
        </w:rPr>
      </w:pPr>
      <w:r>
        <w:rPr>
          <w:rFonts w:hint="eastAsia" w:ascii="宋体" w:hAnsi="宋体" w:cs="Vrinda"/>
          <w:bCs/>
          <w:color w:val="000000"/>
          <w:sz w:val="24"/>
          <w:szCs w:val="24"/>
        </w:rPr>
        <w:t xml:space="preserve">5、竹类：修剪钩梢、老竹清理、浇灌、松土除草、施肥及病虫害防治、环境清理及清运。</w:t>
      </w:r>
      <w:r>
        <w:rPr>
          <w:rFonts w:hint="eastAsia" w:ascii="宋体" w:hAnsi="宋体" w:cs="Vrinda"/>
          <w:bCs/>
          <w:color w:val="000000"/>
          <w:sz w:val="24"/>
          <w:szCs w:val="24"/>
        </w:rPr>
      </w:r>
      <w:r/>
    </w:p>
    <w:p>
      <w:pPr>
        <w:pStyle w:val="1497"/>
        <w:ind w:firstLine="480"/>
        <w:spacing w:line="360" w:lineRule="auto"/>
        <w:rPr>
          <w:rFonts w:hint="eastAsia" w:ascii="宋体" w:hAnsi="宋体" w:cs="Vrinda"/>
          <w:bCs/>
          <w:color w:val="000000"/>
          <w:sz w:val="24"/>
          <w:szCs w:val="24"/>
        </w:rPr>
      </w:pPr>
      <w:r>
        <w:rPr>
          <w:rFonts w:ascii="宋体" w:hAnsi="宋体" w:cs="Vrinda"/>
          <w:bCs/>
          <w:color w:val="000000"/>
          <w:sz w:val="24"/>
          <w:szCs w:val="24"/>
        </w:rPr>
        <w:t xml:space="preserve">6</w:t>
      </w:r>
      <w:r>
        <w:rPr>
          <w:rFonts w:hint="eastAsia" w:ascii="宋体" w:hAnsi="宋体" w:cs="Vrinda"/>
          <w:bCs/>
          <w:color w:val="000000"/>
          <w:sz w:val="24"/>
          <w:szCs w:val="24"/>
        </w:rPr>
        <w:t xml:space="preserve">、立体绿化：修剪牵攀、浇灌、施肥及病虫害防治、环境清理及清运。</w:t>
      </w:r>
      <w:r>
        <w:rPr>
          <w:rFonts w:hint="eastAsia" w:ascii="宋体" w:hAnsi="宋体" w:cs="Vrinda"/>
          <w:bCs/>
          <w:color w:val="000000"/>
          <w:sz w:val="24"/>
          <w:szCs w:val="24"/>
        </w:rPr>
      </w:r>
      <w:r/>
    </w:p>
    <w:p>
      <w:pPr>
        <w:pStyle w:val="1497"/>
        <w:ind w:left="449"/>
        <w:spacing w:line="360" w:lineRule="auto"/>
        <w:rPr>
          <w:rFonts w:ascii="宋体" w:hAnsi="宋体" w:cs="Vrinda"/>
          <w:bCs/>
          <w:color w:val="000000"/>
          <w:sz w:val="24"/>
          <w:szCs w:val="24"/>
        </w:rPr>
      </w:pPr>
      <w:r>
        <w:rPr>
          <w:rFonts w:ascii="宋体" w:hAnsi="宋体" w:cs="Vrinda"/>
          <w:bCs/>
          <w:color w:val="000000"/>
          <w:sz w:val="24"/>
          <w:szCs w:val="24"/>
        </w:rPr>
        <w:t xml:space="preserve">7</w:t>
      </w:r>
      <w:r>
        <w:rPr>
          <w:rFonts w:hint="eastAsia" w:ascii="宋体" w:hAnsi="宋体" w:cs="Vrinda"/>
          <w:bCs/>
          <w:color w:val="000000"/>
          <w:sz w:val="24"/>
          <w:szCs w:val="24"/>
        </w:rPr>
        <w:t xml:space="preserve">、草花：清除残花、浇灌、松土除草、施肥及病虫害防治、环境清理及清运。                                                                                                                                                       </w:t>
      </w:r>
      <w:r>
        <w:rPr>
          <w:rFonts w:ascii="宋体" w:hAnsi="宋体" w:cs="Vrinda"/>
          <w:bCs/>
          <w:color w:val="000000"/>
          <w:sz w:val="24"/>
          <w:szCs w:val="24"/>
        </w:rPr>
        <w:t xml:space="preserve">8</w:t>
      </w:r>
      <w:r>
        <w:rPr>
          <w:rFonts w:hint="eastAsia" w:ascii="宋体" w:hAnsi="宋体" w:cs="Vrinda"/>
          <w:bCs/>
          <w:color w:val="000000"/>
          <w:sz w:val="24"/>
          <w:szCs w:val="24"/>
        </w:rPr>
        <w:t xml:space="preserve">、每年秋季追播黑麦草。 </w:t>
      </w:r>
      <w:r>
        <w:rPr>
          <w:rFonts w:ascii="宋体" w:hAnsi="宋体" w:cs="Vrinda"/>
          <w:bCs/>
          <w:color w:val="000000"/>
          <w:sz w:val="24"/>
          <w:szCs w:val="24"/>
        </w:rPr>
      </w:r>
      <w:r/>
    </w:p>
    <w:p>
      <w:pPr>
        <w:pStyle w:val="1516"/>
        <w:ind w:firstLine="24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 9</w:t>
      </w:r>
      <w:r>
        <w:rPr>
          <w:rFonts w:hint="eastAsia" w:ascii="宋体" w:hAnsi="宋体" w:eastAsia="宋体"/>
          <w:color w:val="000000"/>
          <w:sz w:val="24"/>
          <w:szCs w:val="24"/>
          <w:highlight w:val="none"/>
        </w:rPr>
        <w:t xml:space="preserve">、涉及河道绿地，公园绿地部分包含日常垃圾清理工作，具体以采购人实际要求为准。</w:t>
      </w:r>
      <w:r>
        <w:rPr>
          <w:rFonts w:ascii="宋体" w:hAnsi="宋体" w:eastAsia="宋体"/>
          <w:color w:val="000000"/>
          <w:sz w:val="24"/>
          <w:szCs w:val="24"/>
          <w:highlight w:val="none"/>
        </w:rPr>
      </w:r>
      <w:r/>
    </w:p>
    <w:p>
      <w:pPr>
        <w:pStyle w:val="1497"/>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w:t>
      </w:r>
      <w:r>
        <w:rPr>
          <w:rFonts w:hint="eastAsia" w:ascii="宋体" w:hAnsi="宋体" w:cs="宋体"/>
          <w:bCs/>
          <w:color w:val="000000"/>
          <w:sz w:val="24"/>
          <w:szCs w:val="24"/>
          <w:highlight w:val="none"/>
        </w:rPr>
        <w:t xml:space="preserve">突发事件处置</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如遭遇风雨雷电、植被病虫害等突发事件</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需要及时报告甲方并处理。</w:t>
      </w:r>
      <w:r>
        <w:rPr>
          <w:rFonts w:hint="eastAsia" w:ascii="宋体" w:hAnsi="宋体" w:cs="宋体"/>
          <w:bCs/>
          <w:color w:val="000000"/>
          <w:sz w:val="24"/>
          <w:szCs w:val="24"/>
          <w:highlight w:val="none"/>
        </w:rPr>
      </w:r>
      <w:r/>
    </w:p>
    <w:p>
      <w:pPr>
        <w:pStyle w:val="1497"/>
        <w:ind w:firstLine="600"/>
        <w:spacing w:line="360" w:lineRule="auto"/>
        <w:rPr>
          <w:rFonts w:hint="eastAsia"/>
          <w:lang w:val="en-US" w:eastAsia="zh-CN"/>
        </w:rPr>
      </w:pPr>
      <w:r>
        <w:rPr>
          <w:rFonts w:hint="eastAsia" w:ascii="宋体" w:hAnsi="宋体" w:eastAsia="宋体"/>
          <w:color w:val="000000"/>
          <w:sz w:val="24"/>
          <w:szCs w:val="24"/>
          <w:highlight w:val="none"/>
          <w:lang w:val="en-US" w:eastAsia="zh-CN"/>
        </w:rPr>
        <w:t xml:space="preserve">11、根据不同情况和天气特点，有针对性的加大对园区、路段的边角、旯、窝风等落叶、杂物集中部位的人工清扫和装袋收集工作，及时清理垃圾杂物和落叶的污染，避免树木落叶和白色污染混杂影响环境卫生作业直观效果，确保草坪环境卫生干净整洁、爽眼，全面提升环境卫生作业质量。</w:t>
      </w:r>
      <w:r>
        <w:rPr>
          <w:rFonts w:hint="eastAsia"/>
          <w:lang w:val="en-US" w:eastAsia="zh-CN"/>
        </w:rPr>
      </w:r>
      <w:r/>
    </w:p>
    <w:p>
      <w:pPr>
        <w:pStyle w:val="1497"/>
        <w:ind w:firstLine="600"/>
        <w:spacing w:line="360" w:lineRule="auto"/>
        <w:rPr>
          <w:rFonts w:hint="eastAsia" w:ascii="宋体" w:hAnsi="宋体"/>
          <w:bCs/>
          <w:sz w:val="24"/>
          <w:lang w:val="zh-CN"/>
        </w:rPr>
      </w:pPr>
      <w:r>
        <w:rPr>
          <w:rFonts w:hint="eastAsia" w:ascii="宋体" w:hAnsi="宋体"/>
          <w:bCs/>
          <w:sz w:val="24"/>
          <w:lang w:val="en-US" w:eastAsia="zh-CN"/>
        </w:rPr>
        <w:t xml:space="preserve">（二）</w:t>
      </w:r>
      <w:r>
        <w:rPr>
          <w:rFonts w:hint="eastAsia" w:ascii="宋体" w:hAnsi="宋体"/>
          <w:bCs/>
          <w:sz w:val="24"/>
          <w:lang w:val="zh-CN"/>
        </w:rPr>
        <w:t xml:space="preserve">养护作业质量要求：《江苏省城市园林绿化植物养护技术规定》一级绿化养护水平：</w:t>
      </w:r>
      <w:r>
        <w:rPr>
          <w:rFonts w:hint="eastAsia" w:ascii="宋体" w:hAnsi="宋体"/>
          <w:bCs/>
          <w:sz w:val="24"/>
          <w:lang w:val="zh-CN"/>
        </w:rPr>
      </w:r>
      <w:r/>
    </w:p>
    <w:p>
      <w:pPr>
        <w:pStyle w:val="1497"/>
        <w:ind w:firstLine="600"/>
        <w:spacing w:line="360" w:lineRule="auto"/>
        <w:rPr>
          <w:rFonts w:hint="eastAsia" w:ascii="宋体" w:hAnsi="宋体"/>
          <w:bCs/>
          <w:sz w:val="24"/>
          <w:lang w:val="zh-CN"/>
        </w:rPr>
      </w:pPr>
      <w:r>
        <w:rPr>
          <w:rFonts w:hint="eastAsia" w:ascii="宋体" w:hAnsi="宋体"/>
          <w:bCs/>
          <w:sz w:val="24"/>
          <w:lang w:val="en-US" w:eastAsia="zh-CN"/>
        </w:rPr>
        <w:t xml:space="preserve">1、</w:t>
      </w:r>
      <w:r>
        <w:rPr>
          <w:rFonts w:hint="eastAsia" w:ascii="宋体" w:hAnsi="宋体"/>
          <w:bCs/>
          <w:sz w:val="24"/>
          <w:lang w:val="zh-CN"/>
        </w:rPr>
        <w:t xml:space="preserve">树木：①生长，树冠完整，主侧枝分枝均匀，数量适宜，内膛通风透光。②叶色正常、无卷边、黄叶（生长季节），无病虫害。③枝干健壮，无枯、死枝，无蛀干害虫危害。④缺株在2%以下（含2%）</w:t>
      </w:r>
      <w:r>
        <w:rPr>
          <w:rFonts w:hint="eastAsia" w:ascii="宋体" w:hAnsi="宋体"/>
          <w:bCs/>
          <w:sz w:val="24"/>
          <w:lang w:val="zh-CN"/>
        </w:rPr>
      </w:r>
      <w:r/>
    </w:p>
    <w:p>
      <w:pPr>
        <w:pStyle w:val="1497"/>
        <w:ind w:firstLine="600"/>
        <w:spacing w:line="360" w:lineRule="auto"/>
        <w:rPr>
          <w:rFonts w:hint="eastAsia" w:ascii="宋体" w:hAnsi="宋体"/>
          <w:bCs/>
          <w:sz w:val="24"/>
          <w:lang w:val="zh-CN"/>
        </w:rPr>
      </w:pPr>
      <w:r>
        <w:rPr>
          <w:rFonts w:hint="eastAsia" w:ascii="宋体" w:hAnsi="宋体"/>
          <w:bCs/>
          <w:sz w:val="24"/>
          <w:lang w:val="en-US" w:eastAsia="zh-CN"/>
        </w:rPr>
        <w:t xml:space="preserve">2、</w:t>
      </w:r>
      <w:r>
        <w:rPr>
          <w:rFonts w:hint="eastAsia" w:ascii="宋体" w:hAnsi="宋体"/>
          <w:bCs/>
          <w:sz w:val="24"/>
          <w:lang w:val="zh-CN"/>
        </w:rPr>
        <w:t xml:space="preserve">草坪：①生长旺盛，草根不裸露。②生长季节不枯黄，无杂草（杂草率≤15%），覆盖率达95%以上（＞95%）；修剪及时，修剪高度符合要求，无垃圾及堆料堆物。</w:t>
      </w:r>
      <w:r>
        <w:rPr>
          <w:rFonts w:hint="eastAsia" w:ascii="宋体" w:hAnsi="宋体"/>
          <w:bCs/>
          <w:sz w:val="24"/>
          <w:lang w:val="zh-CN"/>
        </w:rPr>
      </w:r>
      <w:r/>
    </w:p>
    <w:p>
      <w:pPr>
        <w:pStyle w:val="1497"/>
        <w:ind w:firstLine="600"/>
        <w:spacing w:line="360" w:lineRule="auto"/>
        <w:rPr>
          <w:rFonts w:hint="eastAsia" w:ascii="宋体" w:hAnsi="宋体"/>
          <w:bCs/>
          <w:sz w:val="24"/>
          <w:lang w:val="zh-CN"/>
        </w:rPr>
      </w:pPr>
      <w:r>
        <w:rPr>
          <w:rFonts w:hint="eastAsia" w:ascii="宋体" w:hAnsi="宋体"/>
          <w:bCs/>
          <w:sz w:val="24"/>
          <w:lang w:val="en-US" w:eastAsia="zh-CN"/>
        </w:rPr>
        <w:t xml:space="preserve">3、</w:t>
      </w:r>
      <w:r>
        <w:rPr>
          <w:rFonts w:hint="eastAsia" w:ascii="宋体" w:hAnsi="宋体"/>
          <w:bCs/>
          <w:sz w:val="24"/>
          <w:lang w:val="zh-CN"/>
        </w:rPr>
        <w:t xml:space="preserve">花卉：①全年换花六次②花卉生长正常，无枯枝残花（残花量≤10%），无缺株、倒伏。③花坛图案清晰，色彩鲜艳，花朵繁茂，花期一致。④花境花卉层次分明，高矮有序。</w:t>
      </w:r>
      <w:r>
        <w:rPr>
          <w:rFonts w:hint="eastAsia" w:ascii="宋体" w:hAnsi="宋体"/>
          <w:bCs/>
          <w:sz w:val="24"/>
          <w:lang w:val="zh-CN"/>
        </w:rPr>
      </w:r>
      <w:r/>
    </w:p>
    <w:p>
      <w:pPr>
        <w:pStyle w:val="1497"/>
        <w:ind w:firstLine="600"/>
        <w:spacing w:line="360" w:lineRule="auto"/>
        <w:rPr>
          <w:rFonts w:hint="eastAsia" w:ascii="宋体" w:hAnsi="宋体"/>
          <w:bCs/>
          <w:sz w:val="24"/>
          <w:lang w:val="zh-CN"/>
        </w:rPr>
      </w:pPr>
      <w:r>
        <w:rPr>
          <w:rFonts w:hint="eastAsia" w:ascii="宋体" w:hAnsi="宋体"/>
          <w:bCs/>
          <w:sz w:val="24"/>
          <w:lang w:val="en-US" w:eastAsia="zh-CN"/>
        </w:rPr>
        <w:t xml:space="preserve">4、</w:t>
      </w:r>
      <w:r>
        <w:rPr>
          <w:rFonts w:hint="eastAsia" w:ascii="宋体" w:hAnsi="宋体"/>
          <w:bCs/>
          <w:sz w:val="24"/>
          <w:lang w:val="zh-CN"/>
        </w:rPr>
        <w:t xml:space="preserve">绿篱及地被： ①生长茂盛，枝条茂密。②修剪盛开，完整无缺。③无垃圾杂物。</w:t>
      </w:r>
      <w:r>
        <w:rPr>
          <w:rFonts w:hint="eastAsia" w:ascii="宋体" w:hAnsi="宋体"/>
          <w:bCs/>
          <w:sz w:val="24"/>
          <w:lang w:val="zh-CN"/>
        </w:rPr>
      </w:r>
      <w:r/>
    </w:p>
    <w:p>
      <w:pPr>
        <w:pStyle w:val="1497"/>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五、考核办法：</w:t>
      </w:r>
      <w:r>
        <w:rPr>
          <w:rFonts w:hint="eastAsia" w:ascii="宋体" w:hAnsi="宋体" w:eastAsia="宋体" w:cs="Times New Roman"/>
          <w:b/>
          <w:bCs/>
          <w:color w:val="000000"/>
          <w:sz w:val="24"/>
          <w:szCs w:val="24"/>
          <w:highlight w:val="none"/>
          <w:lang w:val="en-US" w:eastAsia="zh-CN" w:bidi="ar-SA"/>
        </w:rPr>
      </w:r>
      <w:r/>
    </w:p>
    <w:p>
      <w:pPr>
        <w:pStyle w:val="1497"/>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w:t>
      </w:r>
      <w:bookmarkStart w:id="29" w:name="_Hlk85703864"/>
      <w:r>
        <w:rPr>
          <w:rFonts w:hint="eastAsia" w:ascii="宋体" w:hAnsi="宋体" w:cs="宋体"/>
          <w:color w:val="000000"/>
          <w:sz w:val="24"/>
          <w:szCs w:val="20"/>
          <w:highlight w:val="none"/>
          <w:lang w:val="en-US" w:eastAsia="zh-CN"/>
        </w:rPr>
        <w:t xml:space="preserve">采购人</w:t>
      </w:r>
      <w:r>
        <w:rPr>
          <w:rFonts w:hint="eastAsia" w:ascii="宋体" w:hAnsi="宋体" w:cs="宋体"/>
          <w:color w:val="000000"/>
          <w:sz w:val="24"/>
          <w:szCs w:val="20"/>
          <w:highlight w:val="none"/>
        </w:rPr>
        <w:t xml:space="preserve">根据《</w:t>
      </w:r>
      <w:r>
        <w:rPr>
          <w:rFonts w:hint="eastAsia" w:ascii="宋体" w:hAnsi="宋体" w:cs="宋体"/>
          <w:b/>
          <w:color w:val="000000"/>
          <w:sz w:val="24"/>
          <w:szCs w:val="20"/>
          <w:highlight w:val="none"/>
        </w:rPr>
        <w:t xml:space="preserve">锡山区绿化养护管理考核评定表</w:t>
      </w:r>
      <w:r>
        <w:rPr>
          <w:rFonts w:hint="eastAsia" w:ascii="宋体" w:hAnsi="宋体" w:cs="宋体"/>
          <w:color w:val="000000"/>
          <w:sz w:val="24"/>
          <w:szCs w:val="20"/>
          <w:highlight w:val="none"/>
        </w:rPr>
        <w:t xml:space="preserve">》</w:t>
      </w:r>
      <w:bookmarkStart w:id="30" w:name="_Hlk87025333"/>
      <w:r>
        <w:rPr>
          <w:rFonts w:hint="eastAsia" w:ascii="宋体" w:hAnsi="宋体" w:cs="宋体"/>
          <w:color w:val="000000"/>
          <w:sz w:val="24"/>
          <w:szCs w:val="20"/>
          <w:highlight w:val="none"/>
        </w:rPr>
        <w:t xml:space="preserve">按月度进行考核，连续2次考核得分低于</w:t>
      </w:r>
      <w:r>
        <w:rPr>
          <w:rFonts w:hint="eastAsia" w:ascii="宋体" w:hAnsi="宋体" w:cs="宋体"/>
          <w:color w:val="000000"/>
          <w:sz w:val="24"/>
          <w:szCs w:val="20"/>
          <w:highlight w:val="none"/>
          <w:lang w:val="en-US" w:eastAsia="zh-CN"/>
        </w:rPr>
        <w:t xml:space="preserve">7</w:t>
      </w:r>
      <w:r>
        <w:rPr>
          <w:rFonts w:hint="eastAsia" w:ascii="宋体" w:hAnsi="宋体" w:cs="宋体"/>
          <w:color w:val="000000"/>
          <w:sz w:val="24"/>
          <w:szCs w:val="20"/>
          <w:highlight w:val="none"/>
        </w:rPr>
        <w:t xml:space="preserve">0分为考核不合格，采购人有权终止合同。</w:t>
      </w:r>
      <w:bookmarkEnd w:id="29"/>
      <w:r/>
      <w:bookmarkEnd w:id="30"/>
      <w:r>
        <w:rPr>
          <w:rFonts w:hint="eastAsia" w:ascii="宋体" w:hAnsi="宋体" w:cs="宋体"/>
          <w:color w:val="000000"/>
          <w:sz w:val="24"/>
          <w:szCs w:val="20"/>
          <w:highlight w:val="none"/>
        </w:rPr>
      </w:r>
      <w:r/>
    </w:p>
    <w:p>
      <w:pPr>
        <w:pStyle w:val="1497"/>
        <w:spacing w:line="360" w:lineRule="auto"/>
        <w:rPr>
          <w:rFonts w:hint="eastAsia" w:ascii="Times New Roman" w:hAnsi="宋体"/>
          <w:b/>
          <w:bCs/>
          <w:color w:val="000000"/>
          <w:sz w:val="24"/>
          <w:szCs w:val="24"/>
          <w:highlight w:val="none"/>
          <w:lang w:eastAsia="zh-CN"/>
        </w:rPr>
      </w:pPr>
      <w:r>
        <w:rPr>
          <w:rFonts w:hint="eastAsia" w:ascii="宋体" w:hAnsi="宋体" w:cs="宋体"/>
          <w:color w:val="000000"/>
          <w:sz w:val="24"/>
          <w:szCs w:val="20"/>
          <w:highlight w:val="none"/>
          <w:lang w:val="en-US" w:eastAsia="zh-CN"/>
        </w:rPr>
        <w:t xml:space="preserve">    2、</w:t>
      </w:r>
      <w:r>
        <w:rPr>
          <w:rFonts w:hint="eastAsia" w:hAnsi="宋体" w:eastAsia="宋体"/>
          <w:b w:val="0"/>
          <w:bCs w:val="0"/>
          <w:color w:val="000000"/>
          <w:sz w:val="24"/>
          <w:szCs w:val="24"/>
          <w:highlight w:val="none"/>
          <w:lang w:val="en-US" w:eastAsia="zh-CN"/>
        </w:rPr>
        <w:t xml:space="preserve">扣款措施：</w:t>
      </w:r>
      <w:r>
        <w:rPr>
          <w:rFonts w:hint="eastAsia" w:ascii="Times New Roman" w:hAnsi="宋体"/>
          <w:b/>
          <w:bCs/>
          <w:color w:val="000000"/>
          <w:sz w:val="24"/>
          <w:szCs w:val="24"/>
          <w:highlight w:val="none"/>
          <w:lang w:eastAsia="zh-CN"/>
        </w:rPr>
      </w:r>
      <w:r/>
    </w:p>
    <w:p>
      <w:pPr>
        <w:pStyle w:val="1497"/>
        <w:ind w:firstLine="480"/>
        <w:spacing w:line="360" w:lineRule="auto"/>
        <w:rPr>
          <w:rFonts w:hint="eastAsia"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（1）作业工人未规范着装，每次处以100元/人罚款；工作时未设置警示标志，每次处以200元罚款。</w:t>
      </w:r>
      <w:r>
        <w:rPr>
          <w:rFonts w:hint="eastAsia" w:hAnsi="宋体"/>
          <w:b w:val="0"/>
          <w:bCs w:val="0"/>
          <w:color w:val="000000"/>
          <w:sz w:val="24"/>
          <w:szCs w:val="24"/>
          <w:highlight w:val="none"/>
          <w:lang w:val="en-US" w:eastAsia="zh-CN"/>
        </w:rPr>
      </w:r>
      <w:r/>
    </w:p>
    <w:p>
      <w:pPr>
        <w:pStyle w:val="1497"/>
        <w:ind w:firstLine="480"/>
        <w:spacing w:line="360" w:lineRule="auto"/>
        <w:rPr>
          <w:rFonts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2）在规定时间内灌木、色块、草坪修剪未完成；灌木、色块修剪平面不平整、高度不统一、棱角不清楚，球形不圆整；草坪修剪未控制在5-7cm以内；修剪时剪坏剪损剪伤各种乔木、灌木、绿篱的，每次处以200元罚款，严重影响形象的须同时予以赔偿更换同规格苗木。出现其他不符合本项目养护标准情形的，采购人视情况，每次处以100-200元罚款。</w:t>
      </w:r>
      <w:r>
        <w:rPr>
          <w:rFonts w:hAnsi="宋体"/>
          <w:b w:val="0"/>
          <w:bCs w:val="0"/>
          <w:color w:val="000000"/>
          <w:sz w:val="24"/>
          <w:szCs w:val="24"/>
          <w:highlight w:val="none"/>
          <w:lang w:val="en-US" w:eastAsia="zh-CN"/>
        </w:rPr>
      </w:r>
      <w:r/>
    </w:p>
    <w:p>
      <w:pPr>
        <w:pStyle w:val="1497"/>
        <w:ind w:firstLine="480"/>
        <w:spacing w:line="360" w:lineRule="auto"/>
        <w:rPr>
          <w:rFonts w:hint="eastAsia"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3）被上级领导批评、市民投诉、媒体曝光情况属养护公司责任的，视情况扣除一定的养护经费，其中上级领导批评每次扣3000-5000元，情节严重的扣5000-10000元；市民投诉经查实的，每次扣1000-3000元；媒体曝光后经查实的，每次扣3000-5000元。</w:t>
      </w:r>
      <w:r>
        <w:rPr>
          <w:rFonts w:hint="eastAsia" w:hAnsi="宋体"/>
          <w:b w:val="0"/>
          <w:bCs w:val="0"/>
          <w:color w:val="000000"/>
          <w:sz w:val="24"/>
          <w:szCs w:val="24"/>
          <w:highlight w:val="none"/>
          <w:lang w:val="en-US" w:eastAsia="zh-CN"/>
        </w:rPr>
      </w:r>
      <w:r/>
    </w:p>
    <w:p>
      <w:pPr>
        <w:pStyle w:val="1497"/>
        <w:ind w:firstLine="480"/>
        <w:spacing w:line="360" w:lineRule="auto"/>
        <w:rPr>
          <w:rFonts w:hint="eastAsia" w:ascii="Times New Roman" w:hAnsi="宋体" w:eastAsia="宋体" w:cs="Times New Roman"/>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（4）</w:t>
      </w:r>
      <w:r>
        <w:rPr>
          <w:rFonts w:hint="eastAsia" w:ascii="Times New Roman" w:hAnsi="宋体"/>
          <w:b w:val="0"/>
          <w:bCs w:val="0"/>
          <w:color w:val="000000"/>
          <w:sz w:val="24"/>
          <w:szCs w:val="24"/>
          <w:highlight w:val="none"/>
          <w:lang w:eastAsia="zh-CN"/>
        </w:rPr>
        <w:t xml:space="preserve">养护承包单位负责人需保证通信通畅。如果长期联系不上，将给予适当的经济处罚。项目经理互查巡查每次发现问题应附照片，如被甲方发现问题，项目经理未有发现，发现一次处以1</w:t>
      </w:r>
      <w:r>
        <w:rPr>
          <w:rFonts w:hint="eastAsia" w:ascii="Times New Roman" w:hAnsi="宋体" w:eastAsia="宋体" w:cs="Times New Roman"/>
          <w:b w:val="0"/>
          <w:bCs w:val="0"/>
          <w:color w:val="000000"/>
          <w:sz w:val="24"/>
          <w:szCs w:val="24"/>
          <w:highlight w:val="none"/>
          <w:lang w:val="en-US" w:eastAsia="zh-CN"/>
        </w:rPr>
        <w:t xml:space="preserve">00元/次处罚。如被上级领导批评、市民投诉、媒体曝光问题，项目经理未有发现，发现一次处以500元/次处罚。</w:t>
      </w:r>
      <w:r>
        <w:rPr>
          <w:rFonts w:hint="eastAsia" w:ascii="Times New Roman" w:hAnsi="宋体" w:eastAsia="宋体" w:cs="Times New Roman"/>
          <w:b w:val="0"/>
          <w:bCs w:val="0"/>
          <w:color w:val="000000"/>
          <w:sz w:val="24"/>
          <w:szCs w:val="24"/>
          <w:highlight w:val="none"/>
          <w:lang w:val="en-US" w:eastAsia="zh-CN"/>
        </w:rPr>
      </w:r>
      <w:r/>
    </w:p>
    <w:p>
      <w:pPr>
        <w:pStyle w:val="1497"/>
        <w:ind w:firstLine="480"/>
        <w:spacing w:line="360" w:lineRule="auto"/>
        <w:rPr>
          <w:rFonts w:hint="eastAsia" w:ascii="Times New Roman" w:hAnsi="宋体" w:eastAsia="宋体" w:cs="Times New Roman"/>
          <w:b w:val="0"/>
          <w:bCs w:val="0"/>
          <w:color w:val="000000"/>
          <w:sz w:val="24"/>
          <w:szCs w:val="24"/>
          <w:highlight w:val="none"/>
          <w:lang w:val="en-US" w:eastAsia="zh-CN"/>
        </w:rPr>
      </w:pPr>
      <w:r>
        <w:rPr>
          <w:rFonts w:hint="eastAsia" w:ascii="Times New Roman" w:hAnsi="宋体" w:eastAsia="宋体" w:cs="Times New Roman"/>
          <w:b w:val="0"/>
          <w:bCs w:val="0"/>
          <w:color w:val="000000"/>
          <w:sz w:val="24"/>
          <w:szCs w:val="24"/>
          <w:highlight w:val="none"/>
          <w:lang w:val="en-US" w:eastAsia="zh-CN"/>
        </w:rPr>
        <w:t xml:space="preserve">（5）养护单位季度被评定为红榜的返回当季度扣款金额、养护单位年度被评定为红榜的返回当年度扣款金额；养护单位季度被评定为黑榜的，采购人有权终止合同。</w:t>
      </w:r>
      <w:r>
        <w:rPr>
          <w:rFonts w:hint="eastAsia" w:ascii="Times New Roman" w:hAnsi="宋体" w:eastAsia="宋体" w:cs="Times New Roman"/>
          <w:b w:val="0"/>
          <w:bCs w:val="0"/>
          <w:color w:val="000000"/>
          <w:sz w:val="24"/>
          <w:szCs w:val="24"/>
          <w:highlight w:val="none"/>
          <w:lang w:val="en-US" w:eastAsia="zh-CN"/>
        </w:rPr>
      </w:r>
      <w:r/>
    </w:p>
    <w:p>
      <w:pPr>
        <w:pStyle w:val="1497"/>
        <w:ind w:firstLine="480"/>
        <w:spacing w:line="360" w:lineRule="auto"/>
        <w:rPr>
          <w:rFonts w:ascii="Times New Roman" w:hAnsi="宋体" w:eastAsia="宋体" w:cs="Times New Roman"/>
          <w:b w:val="0"/>
          <w:bCs w:val="0"/>
          <w:color w:val="000000"/>
          <w:sz w:val="24"/>
          <w:szCs w:val="24"/>
          <w:highlight w:val="none"/>
          <w:lang w:val="en-US" w:eastAsia="zh-CN"/>
        </w:rPr>
      </w:pPr>
      <w:r>
        <w:rPr>
          <w:rFonts w:hint="eastAsia" w:ascii="Times New Roman" w:hAnsi="宋体" w:eastAsia="宋体" w:cs="Times New Roman"/>
          <w:b w:val="0"/>
          <w:bCs w:val="0"/>
          <w:color w:val="000000"/>
          <w:sz w:val="24"/>
          <w:szCs w:val="24"/>
          <w:highlight w:val="none"/>
          <w:lang w:val="en-US" w:eastAsia="zh-CN"/>
        </w:rPr>
        <w:t xml:space="preserve">（6）如养护单位出现罚款情形的，由采购人出具罚款通知书，并在当次支付费用时进行扣除。</w:t>
      </w:r>
      <w:r>
        <w:rPr>
          <w:rFonts w:ascii="Times New Roman" w:hAnsi="宋体" w:eastAsia="宋体" w:cs="Times New Roman"/>
          <w:b w:val="0"/>
          <w:bCs w:val="0"/>
          <w:color w:val="000000"/>
          <w:sz w:val="24"/>
          <w:szCs w:val="24"/>
          <w:highlight w:val="none"/>
          <w:lang w:val="en-US" w:eastAsia="zh-CN"/>
        </w:rPr>
      </w:r>
      <w:r/>
    </w:p>
    <w:p>
      <w:pPr>
        <w:pStyle w:val="1497"/>
        <w:spacing w:line="360" w:lineRule="auto"/>
        <w:rPr>
          <w:rFonts w:ascii="Times New Roman" w:hAnsi="宋体"/>
          <w:b/>
          <w:bCs/>
          <w:color w:val="000000"/>
          <w:sz w:val="24"/>
          <w:szCs w:val="24"/>
          <w:highlight w:val="none"/>
        </w:rPr>
      </w:pPr>
      <w:r>
        <w:rPr>
          <w:rFonts w:hint="eastAsia" w:hAnsi="宋体"/>
          <w:b/>
          <w:bCs/>
          <w:color w:val="000000"/>
          <w:sz w:val="24"/>
          <w:szCs w:val="24"/>
          <w:highlight w:val="none"/>
          <w:lang w:val="en-US" w:eastAsia="zh-CN"/>
        </w:rPr>
        <w:t xml:space="preserve">六</w:t>
      </w:r>
      <w:r>
        <w:rPr>
          <w:rFonts w:hint="eastAsia" w:ascii="Times New Roman" w:hAnsi="宋体"/>
          <w:b/>
          <w:bCs/>
          <w:color w:val="000000"/>
          <w:sz w:val="24"/>
          <w:szCs w:val="24"/>
          <w:highlight w:val="none"/>
        </w:rPr>
        <w:t xml:space="preserve">、报价说明</w:t>
      </w:r>
      <w:r>
        <w:rPr>
          <w:rFonts w:ascii="Times New Roman" w:hAnsi="宋体"/>
          <w:b/>
          <w:bCs/>
          <w:color w:val="000000"/>
          <w:sz w:val="24"/>
          <w:szCs w:val="24"/>
          <w:highlight w:val="none"/>
        </w:rPr>
      </w:r>
      <w:r/>
    </w:p>
    <w:p>
      <w:pPr>
        <w:pStyle w:val="1497"/>
        <w:ind w:firstLine="480"/>
        <w:spacing w:after="0" w:line="360" w:lineRule="auto"/>
        <w:rPr>
          <w:rFonts w:hint="eastAsia"/>
          <w:color w:val="000000"/>
          <w:sz w:val="24"/>
          <w:highlight w:val="none"/>
        </w:rPr>
      </w:pPr>
      <w:r>
        <w:rPr>
          <w:rFonts w:hint="eastAsia"/>
          <w:color w:val="000000"/>
          <w:sz w:val="24"/>
          <w:highlight w:val="none"/>
        </w:rPr>
        <w:t xml:space="preserve">1</w:t>
      </w:r>
      <w:r>
        <w:rPr>
          <w:rFonts w:hint="eastAsia"/>
          <w:color w:val="000000"/>
          <w:sz w:val="24"/>
          <w:highlight w:val="none"/>
          <w:lang w:eastAsia="zh-CN"/>
        </w:rPr>
        <w:t xml:space="preserve">、</w:t>
      </w:r>
      <w:r>
        <w:rPr>
          <w:rFonts w:hint="eastAsia"/>
          <w:color w:val="000000"/>
          <w:sz w:val="24"/>
          <w:highlight w:val="none"/>
        </w:rPr>
        <w:t xml:space="preserve">养护周期为2年。                                         </w:t>
      </w:r>
      <w:r>
        <w:rPr>
          <w:rFonts w:hint="eastAsia"/>
          <w:color w:val="000000"/>
          <w:sz w:val="24"/>
          <w:highlight w:val="none"/>
        </w:rPr>
      </w:r>
      <w:r/>
    </w:p>
    <w:p>
      <w:pPr>
        <w:pStyle w:val="1497"/>
        <w:ind w:firstLine="480"/>
        <w:spacing w:after="0" w:line="360" w:lineRule="auto"/>
        <w:rPr>
          <w:rFonts w:hint="eastAsia"/>
          <w:color w:val="000000"/>
          <w:sz w:val="24"/>
          <w:highlight w:val="none"/>
        </w:rPr>
      </w:pPr>
      <w:r>
        <w:rPr>
          <w:rFonts w:hint="eastAsia"/>
          <w:color w:val="000000"/>
          <w:sz w:val="24"/>
          <w:highlight w:val="none"/>
        </w:rPr>
        <w:t xml:space="preserve">2</w:t>
      </w:r>
      <w:r>
        <w:rPr>
          <w:rFonts w:hint="eastAsia"/>
          <w:color w:val="000000"/>
          <w:sz w:val="24"/>
          <w:highlight w:val="none"/>
          <w:lang w:eastAsia="zh-CN"/>
        </w:rPr>
        <w:t xml:space="preserve">、</w:t>
      </w:r>
      <w:r>
        <w:rPr>
          <w:rFonts w:hint="eastAsia"/>
          <w:color w:val="000000"/>
          <w:sz w:val="24"/>
          <w:highlight w:val="none"/>
        </w:rPr>
        <w:t xml:space="preserve">植物绿化养护包含秋季追播黑麦草（草籽）。              </w:t>
      </w:r>
      <w:r>
        <w:rPr>
          <w:rFonts w:hint="eastAsia"/>
          <w:color w:val="000000"/>
          <w:sz w:val="24"/>
          <w:highlight w:val="none"/>
        </w:rPr>
      </w:r>
      <w:r/>
    </w:p>
    <w:p>
      <w:pPr>
        <w:pStyle w:val="1497"/>
        <w:ind w:firstLine="480"/>
        <w:spacing w:after="0" w:line="360" w:lineRule="auto"/>
        <w:rPr>
          <w:rFonts w:hint="eastAsia"/>
          <w:color w:val="000000"/>
          <w:sz w:val="24"/>
          <w:highlight w:val="none"/>
        </w:rPr>
      </w:pPr>
      <w:r>
        <w:rPr>
          <w:rFonts w:hint="eastAsia"/>
          <w:color w:val="000000"/>
          <w:sz w:val="24"/>
          <w:highlight w:val="none"/>
        </w:rPr>
        <w:t xml:space="preserve">3、绿化养护内容详见《江苏省城市园林绿化植物养护管理规范》     </w:t>
      </w:r>
      <w:r>
        <w:rPr>
          <w:rFonts w:hint="eastAsia"/>
          <w:color w:val="000000"/>
          <w:sz w:val="24"/>
          <w:highlight w:val="none"/>
        </w:rPr>
      </w:r>
      <w:r/>
    </w:p>
    <w:p>
      <w:pPr>
        <w:pStyle w:val="1497"/>
        <w:ind w:firstLine="480"/>
        <w:spacing w:after="0" w:line="360" w:lineRule="auto"/>
        <w:rPr>
          <w:color w:val="000000"/>
          <w:sz w:val="24"/>
          <w:highlight w:val="none"/>
        </w:rPr>
      </w:pPr>
      <w:r>
        <w:rPr>
          <w:rFonts w:hint="eastAsia"/>
          <w:color w:val="000000"/>
          <w:sz w:val="24"/>
          <w:highlight w:val="none"/>
        </w:rPr>
        <w:t xml:space="preserve">4</w:t>
      </w:r>
      <w:r>
        <w:rPr>
          <w:rFonts w:hint="eastAsia"/>
          <w:color w:val="000000"/>
          <w:sz w:val="24"/>
          <w:highlight w:val="none"/>
          <w:lang w:eastAsia="zh-CN"/>
        </w:rPr>
        <w:t xml:space="preserve">、</w:t>
      </w:r>
      <w:r>
        <w:rPr>
          <w:rFonts w:hint="eastAsia"/>
          <w:color w:val="000000"/>
          <w:sz w:val="24"/>
          <w:highlight w:val="none"/>
        </w:rPr>
        <w:t xml:space="preserve">养护单价为全费用单价，包含人工、材料、机械使用、管理费、利润、规费、税费，以及包含涉及养护产生的垃圾清运、一定的风险费用等。</w:t>
      </w:r>
      <w:r>
        <w:rPr>
          <w:color w:val="000000"/>
          <w:sz w:val="24"/>
          <w:highlight w:val="none"/>
        </w:rPr>
      </w:r>
      <w:r/>
    </w:p>
    <w:p>
      <w:pPr>
        <w:pStyle w:val="1497"/>
        <w:ind w:firstLine="480"/>
        <w:spacing w:after="0" w:line="360" w:lineRule="auto"/>
        <w:rPr>
          <w:color w:val="000000"/>
          <w:sz w:val="24"/>
          <w:highlight w:val="none"/>
        </w:rPr>
      </w:pPr>
      <w:r>
        <w:rPr>
          <w:rFonts w:hint="eastAsia"/>
          <w:color w:val="000000"/>
          <w:sz w:val="24"/>
          <w:highlight w:val="none"/>
          <w:lang w:val="en-US" w:eastAsia="zh-CN"/>
        </w:rPr>
        <w:t xml:space="preserve">5</w:t>
      </w:r>
      <w:r>
        <w:rPr>
          <w:color w:val="000000"/>
          <w:sz w:val="24"/>
          <w:highlight w:val="none"/>
        </w:rPr>
        <w:t xml:space="preserve">、投标人可先到工地踏勘以充分了解工地位置、道路、储存空间、装卸限制及任何其他足以影响承包价的情况，任何因忽视或误解工地情况而导致的索</w:t>
      </w:r>
      <w:r>
        <w:rPr>
          <w:rFonts w:hint="eastAsia"/>
          <w:color w:val="000000"/>
          <w:sz w:val="24"/>
          <w:highlight w:val="none"/>
        </w:rPr>
        <w:t xml:space="preserve">赔</w:t>
      </w:r>
      <w:r>
        <w:rPr>
          <w:color w:val="000000"/>
          <w:sz w:val="24"/>
          <w:highlight w:val="none"/>
        </w:rPr>
        <w:t xml:space="preserve">或工期延长申请将不被批准。</w:t>
      </w:r>
      <w:r>
        <w:rPr>
          <w:color w:val="000000"/>
          <w:sz w:val="24"/>
          <w:highlight w:val="none"/>
        </w:rPr>
      </w:r>
      <w:r/>
    </w:p>
    <w:p>
      <w:pPr>
        <w:pStyle w:val="1497"/>
        <w:ind w:firstLine="480"/>
        <w:spacing w:after="0" w:line="360" w:lineRule="auto"/>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、所有的养护方案的费用以及按国家标准或养护验收规范要求对材料、构件进行质量检测或检测所需的试验、检测费用应</w:t>
      </w:r>
      <w:r>
        <w:rPr>
          <w:rFonts w:hint="eastAsia"/>
          <w:color w:val="000000"/>
          <w:sz w:val="24"/>
          <w:highlight w:val="none"/>
        </w:rPr>
        <w:t xml:space="preserve">包含在投标报价</w:t>
      </w:r>
      <w:r>
        <w:rPr>
          <w:color w:val="000000"/>
          <w:sz w:val="24"/>
          <w:highlight w:val="none"/>
        </w:rPr>
        <w:t xml:space="preserve">中。</w:t>
      </w:r>
      <w:r>
        <w:rPr>
          <w:color w:val="000000"/>
          <w:sz w:val="24"/>
          <w:highlight w:val="none"/>
        </w:rPr>
      </w:r>
      <w:r/>
    </w:p>
    <w:p>
      <w:pPr>
        <w:pStyle w:val="1497"/>
        <w:ind w:firstLine="480"/>
        <w:spacing w:after="0" w:line="360" w:lineRule="auto"/>
        <w:rPr>
          <w:color w:val="000000"/>
          <w:sz w:val="24"/>
          <w:highlight w:val="none"/>
        </w:rPr>
      </w:pPr>
      <w:r>
        <w:rPr>
          <w:rFonts w:hint="eastAsia"/>
          <w:color w:val="000000"/>
          <w:sz w:val="24"/>
          <w:highlight w:val="none"/>
          <w:lang w:val="en-US" w:eastAsia="zh-CN"/>
        </w:rPr>
        <w:t xml:space="preserve">8</w:t>
      </w:r>
      <w:r>
        <w:rPr>
          <w:color w:val="000000"/>
          <w:sz w:val="24"/>
          <w:highlight w:val="none"/>
        </w:rPr>
        <w:t xml:space="preserve">、各种材料的价格</w:t>
      </w:r>
      <w:r>
        <w:rPr>
          <w:rFonts w:hint="eastAsia"/>
          <w:color w:val="000000"/>
          <w:sz w:val="24"/>
          <w:highlight w:val="none"/>
        </w:rPr>
        <w:t xml:space="preserve">，</w:t>
      </w:r>
      <w:r>
        <w:rPr>
          <w:color w:val="000000"/>
          <w:sz w:val="24"/>
          <w:highlight w:val="none"/>
        </w:rPr>
        <w:t xml:space="preserve">当招标人未提供市场价格或限定价格时，由投标人自行进行市场调查后决定报价，但各投标人应充分考虑在项目建设周期内市场价格的波动风险，并将认为适合的风险费用计列在内，凡未列的，将视为已包含在报价之中，一经报价确定，将不作调整。</w:t>
      </w:r>
      <w:r>
        <w:rPr>
          <w:color w:val="000000"/>
          <w:sz w:val="24"/>
          <w:highlight w:val="none"/>
        </w:rPr>
      </w:r>
      <w:r/>
    </w:p>
    <w:p>
      <w:pPr>
        <w:pStyle w:val="1497"/>
        <w:ind w:firstLine="480"/>
        <w:spacing w:after="0" w:line="360" w:lineRule="auto"/>
        <w:rPr>
          <w:color w:val="000000"/>
          <w:sz w:val="24"/>
          <w:highlight w:val="none"/>
        </w:rPr>
      </w:pPr>
      <w:r>
        <w:rPr>
          <w:rFonts w:hint="eastAsia"/>
          <w:color w:val="000000"/>
          <w:sz w:val="24"/>
          <w:highlight w:val="none"/>
          <w:lang w:val="en-US" w:eastAsia="zh-CN"/>
        </w:rPr>
        <w:t xml:space="preserve">9</w:t>
      </w:r>
      <w:r>
        <w:rPr>
          <w:color w:val="000000"/>
          <w:sz w:val="24"/>
          <w:highlight w:val="none"/>
        </w:rPr>
        <w:t xml:space="preserve">、投标人应根据养护现场的实际情况、文明养护要求和各自的养护经验确定合理的养护组织方案，自主合理报价。各投标人应认真踏勘现场，并对</w:t>
      </w:r>
      <w:r>
        <w:rPr>
          <w:rFonts w:hint="eastAsia"/>
          <w:color w:val="000000"/>
          <w:sz w:val="24"/>
          <w:highlight w:val="none"/>
        </w:rPr>
        <w:t xml:space="preserve">养护</w:t>
      </w:r>
      <w:r>
        <w:rPr>
          <w:color w:val="000000"/>
          <w:sz w:val="24"/>
          <w:highlight w:val="none"/>
        </w:rPr>
        <w:t xml:space="preserve">车辆行驶线路认真踏勘，预计可能发生的费用，凡未列的一旦发生，将视为由投标人自理。投标人的单价在合同执行过程中是固定不变的，不得以任何理由予以变更。</w:t>
      </w:r>
      <w:r>
        <w:rPr>
          <w:color w:val="000000"/>
          <w:sz w:val="24"/>
          <w:highlight w:val="none"/>
        </w:rPr>
      </w:r>
      <w:r/>
    </w:p>
    <w:p>
      <w:pPr>
        <w:pStyle w:val="1497"/>
        <w:ind w:firstLine="480"/>
        <w:spacing w:after="0" w:line="360" w:lineRule="auto"/>
        <w:rPr>
          <w:color w:val="000000"/>
          <w:sz w:val="24"/>
          <w:highlight w:val="none"/>
        </w:rPr>
      </w:pPr>
      <w:r>
        <w:rPr>
          <w:rFonts w:hint="eastAsia"/>
          <w:color w:val="000000"/>
          <w:sz w:val="24"/>
          <w:highlight w:val="none"/>
          <w:lang w:val="en-US" w:eastAsia="zh-CN"/>
        </w:rPr>
        <w:t xml:space="preserve">10</w:t>
      </w:r>
      <w:r>
        <w:rPr>
          <w:color w:val="000000"/>
          <w:sz w:val="24"/>
          <w:highlight w:val="none"/>
        </w:rPr>
        <w:t xml:space="preserve">、投标人应根据养护现场的实际情况、本</w:t>
      </w:r>
      <w:r>
        <w:rPr>
          <w:rFonts w:hint="eastAsia"/>
          <w:color w:val="000000"/>
          <w:sz w:val="24"/>
          <w:highlight w:val="none"/>
        </w:rPr>
        <w:t xml:space="preserve">采购文件</w:t>
      </w:r>
      <w:r>
        <w:rPr>
          <w:color w:val="000000"/>
          <w:sz w:val="24"/>
          <w:highlight w:val="none"/>
        </w:rPr>
        <w:t xml:space="preserve">中载明的养护组织要求、现场的交通管制条件、文明养护要求和各自的养护经验确定合理的养护组织方案，自主合理报价。各投标单位应认真踏勘现场，充分考虑临时用地</w:t>
      </w:r>
      <w:r>
        <w:rPr>
          <w:rFonts w:hint="eastAsia"/>
          <w:color w:val="000000"/>
          <w:sz w:val="24"/>
          <w:highlight w:val="none"/>
          <w:lang w:eastAsia="zh-CN"/>
        </w:rPr>
        <w:t xml:space="preserve">（</w:t>
      </w:r>
      <w:r>
        <w:rPr>
          <w:color w:val="000000"/>
          <w:sz w:val="24"/>
          <w:highlight w:val="none"/>
        </w:rPr>
        <w:t xml:space="preserve">招标人无偿提供定点线内土地可供临时使用</w:t>
      </w:r>
      <w:r>
        <w:rPr>
          <w:rFonts w:hint="eastAsia"/>
          <w:color w:val="000000"/>
          <w:sz w:val="24"/>
          <w:highlight w:val="none"/>
          <w:lang w:eastAsia="zh-CN"/>
        </w:rPr>
        <w:t xml:space="preserve">）</w:t>
      </w:r>
      <w:r>
        <w:rPr>
          <w:color w:val="000000"/>
          <w:sz w:val="24"/>
          <w:highlight w:val="none"/>
        </w:rPr>
        <w:t xml:space="preserve">、临时通道、临时排水、临时路灯、居民、村民和沿线企事业单位出入临时通道、来自周围居民村民可能产生的干扰以及配合规划管线施工或因维护交通使工效受到影响等因素，并对养护车辆行驶线路认真踏勘，预计可能发生的费用，以及借道村、镇道路须发生修复费用的，均可列入，凡未列的一旦发生，将视为由投标的中标人自理。</w:t>
      </w:r>
      <w:r>
        <w:rPr>
          <w:color w:val="000000"/>
          <w:sz w:val="24"/>
          <w:highlight w:val="none"/>
        </w:rPr>
      </w:r>
      <w:r/>
    </w:p>
    <w:p>
      <w:pPr>
        <w:pStyle w:val="1522"/>
        <w:ind w:firstLine="480"/>
        <w:spacing w:line="360" w:lineRule="auto"/>
        <w:rPr>
          <w:color w:val="000000"/>
          <w:sz w:val="24"/>
          <w:highlight w:val="none"/>
        </w:rPr>
      </w:pPr>
      <w:r>
        <w:rPr>
          <w:rFonts w:hint="eastAsia"/>
          <w:color w:val="000000"/>
          <w:sz w:val="24"/>
          <w:highlight w:val="none"/>
          <w:lang w:val="en-US" w:eastAsia="zh-CN"/>
        </w:rPr>
        <w:t xml:space="preserve">11</w:t>
      </w:r>
      <w:r>
        <w:rPr>
          <w:color w:val="000000"/>
          <w:sz w:val="24"/>
          <w:highlight w:val="none"/>
        </w:rPr>
        <w:t xml:space="preserve">、水、电费用请投标人自行考虑，费用纳入投标报价中。养护用水、电由投标人自行解决。如有需要，</w:t>
      </w:r>
      <w:r>
        <w:rPr>
          <w:rFonts w:hint="eastAsia"/>
          <w:color w:val="000000"/>
          <w:sz w:val="24"/>
          <w:highlight w:val="none"/>
        </w:rPr>
        <w:t xml:space="preserve">采购人</w:t>
      </w:r>
      <w:r>
        <w:rPr>
          <w:color w:val="000000"/>
          <w:sz w:val="24"/>
          <w:highlight w:val="none"/>
        </w:rPr>
        <w:t xml:space="preserve">可协助办理相关手续。</w:t>
      </w:r>
      <w:r>
        <w:rPr>
          <w:color w:val="000000"/>
          <w:sz w:val="24"/>
          <w:highlight w:val="none"/>
        </w:rPr>
      </w:r>
      <w:r/>
    </w:p>
    <w:p>
      <w:pPr>
        <w:pStyle w:val="1497"/>
        <w:jc w:val="center"/>
        <w:rPr>
          <w:rFonts w:hint="eastAsia"/>
          <w:b/>
          <w:sz w:val="44"/>
          <w:szCs w:val="44"/>
        </w:rPr>
      </w:pPr>
      <w:r>
        <w:rPr>
          <w:rFonts w:hint="eastAsia"/>
          <w:b/>
          <w:sz w:val="44"/>
          <w:szCs w:val="44"/>
        </w:rPr>
      </w:r>
      <w:r/>
    </w:p>
    <w:p>
      <w:pPr>
        <w:pStyle w:val="1497"/>
        <w:jc w:val="center"/>
        <w:rPr>
          <w:rFonts w:hint="eastAsia"/>
          <w:b/>
          <w:sz w:val="44"/>
          <w:szCs w:val="44"/>
        </w:rPr>
      </w:pPr>
      <w:r>
        <w:rPr>
          <w:rFonts w:hint="eastAsia"/>
          <w:b/>
          <w:sz w:val="44"/>
          <w:szCs w:val="44"/>
        </w:rPr>
      </w:r>
      <w:r/>
    </w:p>
    <w:p>
      <w:pPr>
        <w:pStyle w:val="1497"/>
        <w:jc w:val="center"/>
        <w:rPr>
          <w:rFonts w:hint="eastAsia"/>
          <w:b/>
          <w:sz w:val="44"/>
          <w:szCs w:val="44"/>
        </w:rPr>
      </w:pPr>
      <w:r>
        <w:rPr>
          <w:rFonts w:hint="eastAsia"/>
          <w:b/>
          <w:sz w:val="44"/>
          <w:szCs w:val="44"/>
        </w:rPr>
      </w:r>
      <w:r/>
    </w:p>
    <w:p>
      <w:pPr>
        <w:pStyle w:val="1497"/>
        <w:jc w:val="center"/>
        <w:rPr>
          <w:rFonts w:hint="eastAsia"/>
          <w:b/>
          <w:sz w:val="44"/>
          <w:szCs w:val="44"/>
        </w:rPr>
      </w:pPr>
      <w:r>
        <w:rPr>
          <w:rFonts w:hint="eastAsia"/>
          <w:b/>
          <w:sz w:val="44"/>
          <w:szCs w:val="44"/>
        </w:rPr>
      </w:r>
      <w:r/>
    </w:p>
    <w:p>
      <w:pPr>
        <w:pStyle w:val="1497"/>
        <w:jc w:val="both"/>
        <w:rPr>
          <w:rFonts w:hint="eastAsia"/>
          <w:b/>
          <w:sz w:val="44"/>
          <w:szCs w:val="44"/>
        </w:rPr>
      </w:pPr>
      <w:r>
        <w:rPr>
          <w:rFonts w:hint="eastAsia"/>
          <w:b/>
          <w:sz w:val="44"/>
          <w:szCs w:val="44"/>
        </w:rPr>
      </w:r>
      <w:r/>
    </w:p>
    <w:p>
      <w:pPr>
        <w:pStyle w:val="1497"/>
        <w:jc w:val="center"/>
        <w:rPr>
          <w:rFonts w:hint="eastAsia"/>
          <w:b/>
          <w:sz w:val="44"/>
          <w:szCs w:val="4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b/>
          <w:sz w:val="44"/>
          <w:szCs w:val="44"/>
        </w:rPr>
      </w:r>
      <w:r/>
    </w:p>
    <w:p>
      <w:pPr>
        <w:pStyle w:val="1497"/>
        <w:jc w:val="center"/>
        <w:rPr>
          <w:rFonts w:hint="eastAsia"/>
          <w:b/>
          <w:sz w:val="44"/>
          <w:szCs w:val="44"/>
          <w:u w:val="single"/>
        </w:rPr>
      </w:pPr>
      <w:r>
        <w:rPr>
          <w:rFonts w:hint="eastAsia"/>
          <w:b/>
          <w:sz w:val="44"/>
          <w:szCs w:val="44"/>
        </w:rPr>
        <w:t xml:space="preserve">锡山区绿化养护管理考核评定表</w:t>
      </w:r>
      <w:r>
        <w:rPr>
          <w:rFonts w:hint="eastAsia"/>
          <w:b/>
          <w:sz w:val="44"/>
          <w:szCs w:val="44"/>
          <w:u w:val="single"/>
        </w:rPr>
      </w:r>
      <w:r/>
    </w:p>
    <w:p>
      <w:pPr>
        <w:pStyle w:val="1497"/>
        <w:ind w:firstLine="105"/>
        <w:rPr>
          <w:rFonts w:hint="eastAsia"/>
        </w:rPr>
      </w:pPr>
      <w:r>
        <w:rPr>
          <w:rFonts w:hint="eastAsia"/>
        </w:rPr>
      </w:r>
      <w:r/>
    </w:p>
    <w:p>
      <w:pPr>
        <w:pStyle w:val="1497"/>
        <w:ind w:firstLine="120"/>
        <w:rPr>
          <w:rFonts w:hint="eastAsia"/>
          <w:sz w:val="24"/>
        </w:rPr>
      </w:pPr>
      <w:r>
        <w:rPr>
          <w:rFonts w:hint="eastAsia"/>
          <w:sz w:val="24"/>
        </w:rPr>
        <w:t xml:space="preserve">考核工程：</w:t>
      </w:r>
      <w:r>
        <w:rPr>
          <w:rFonts w:hint="eastAsia"/>
          <w:sz w:val="24"/>
          <w:u w:val="single"/>
        </w:rPr>
        <w:t xml:space="preserve">                       </w:t>
      </w:r>
      <w:r>
        <w:rPr>
          <w:rFonts w:hint="eastAsia"/>
          <w:sz w:val="24"/>
        </w:rPr>
        <w:t xml:space="preserve">     单位名称：</w:t>
      </w:r>
      <w:r>
        <w:rPr>
          <w:rFonts w:hint="eastAsia"/>
          <w:sz w:val="24"/>
          <w:u w:val="single"/>
        </w:rPr>
        <w:t xml:space="preserve">                                </w:t>
      </w:r>
      <w:r>
        <w:rPr>
          <w:rFonts w:hint="eastAsia"/>
          <w:sz w:val="24"/>
        </w:rPr>
        <w:t xml:space="preserve">考核日期：</w:t>
      </w:r>
      <w:r>
        <w:rPr>
          <w:rFonts w:hint="eastAsia"/>
          <w:sz w:val="24"/>
          <w:u w:val="single"/>
        </w:rPr>
        <w:t xml:space="preserve">      </w:t>
      </w:r>
      <w:r>
        <w:rPr>
          <w:rFonts w:hint="eastAsia"/>
          <w:sz w:val="24"/>
        </w:rPr>
        <w:t xml:space="preserve">年</w:t>
      </w:r>
      <w:r>
        <w:rPr>
          <w:rFonts w:hint="eastAsia"/>
          <w:sz w:val="24"/>
          <w:u w:val="single"/>
        </w:rPr>
        <w:t xml:space="preserve">      </w:t>
      </w:r>
      <w:r>
        <w:rPr>
          <w:rFonts w:hint="eastAsia"/>
          <w:sz w:val="24"/>
        </w:rPr>
        <w:t xml:space="preserve">月</w:t>
      </w:r>
      <w:r>
        <w:rPr>
          <w:rFonts w:hint="eastAsia"/>
          <w:sz w:val="24"/>
          <w:u w:val="single"/>
        </w:rPr>
        <w:t xml:space="preserve">        </w:t>
      </w:r>
      <w:r>
        <w:rPr>
          <w:rFonts w:hint="eastAsia"/>
          <w:sz w:val="24"/>
        </w:rPr>
        <w:t xml:space="preserve">日</w:t>
      </w:r>
      <w:r>
        <w:rPr>
          <w:rFonts w:hint="eastAsia"/>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720"/>
        <w:gridCol w:w="6300"/>
        <w:gridCol w:w="720"/>
        <w:gridCol w:w="4320"/>
        <w:gridCol w:w="720"/>
        <w:gridCol w:w="720"/>
      </w:tblGrid>
      <w:tr>
        <w:trPr/>
        <w:tc>
          <w:tcPr>
            <w:tcW w:w="648" w:type="dxa"/>
            <w:vAlign w:val="center"/>
            <w:textDirection w:val="lrTb"/>
            <w:noWrap w:val="false"/>
          </w:tcPr>
          <w:p>
            <w:pPr>
              <w:pStyle w:val="1497"/>
              <w:ind w:firstLine="120"/>
              <w:rPr>
                <w:rFonts w:hint="eastAsia"/>
                <w:sz w:val="24"/>
              </w:rPr>
            </w:pPr>
            <w:r>
              <w:rPr>
                <w:rFonts w:hint="eastAsia"/>
                <w:sz w:val="24"/>
              </w:rPr>
              <w:t xml:space="preserve">项目</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编号</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考核内容及要求</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标准分</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扣分标准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扣分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得分</w:t>
            </w:r>
            <w:r>
              <w:rPr>
                <w:rFonts w:hint="eastAsia"/>
                <w:sz w:val="24"/>
              </w:rPr>
            </w:r>
            <w:r/>
          </w:p>
        </w:tc>
      </w:tr>
      <w:tr>
        <w:trPr/>
        <w:tc>
          <w:tcPr>
            <w:tcW w:w="648" w:type="dxa"/>
            <w:vAlign w:val="center"/>
            <w:vMerge w:val="restart"/>
            <w:textDirection w:val="lrTb"/>
            <w:noWrap w:val="false"/>
          </w:tcPr>
          <w:p>
            <w:pPr>
              <w:pStyle w:val="1497"/>
              <w:ind w:firstLine="120"/>
              <w:rPr>
                <w:rFonts w:hint="eastAsia"/>
                <w:sz w:val="24"/>
              </w:rPr>
            </w:pPr>
            <w:r>
              <w:rPr>
                <w:rFonts w:hint="eastAsia"/>
                <w:sz w:val="24"/>
              </w:rPr>
              <w:t xml:space="preserve">绿</w:t>
            </w:r>
            <w:r>
              <w:rPr>
                <w:rFonts w:hint="eastAsia"/>
                <w:sz w:val="24"/>
              </w:rPr>
            </w:r>
            <w:r/>
          </w:p>
          <w:p>
            <w:pPr>
              <w:pStyle w:val="1497"/>
              <w:ind w:firstLine="120"/>
              <w:rPr>
                <w:rFonts w:hint="eastAsia"/>
                <w:sz w:val="24"/>
              </w:rPr>
            </w:pPr>
            <w:r>
              <w:rPr>
                <w:rFonts w:hint="eastAsia"/>
                <w:sz w:val="24"/>
              </w:rPr>
              <w:t xml:space="preserve">地</w:t>
            </w:r>
            <w:r>
              <w:rPr>
                <w:rFonts w:hint="eastAsia"/>
                <w:sz w:val="24"/>
              </w:rPr>
            </w:r>
            <w:r/>
          </w:p>
          <w:p>
            <w:pPr>
              <w:pStyle w:val="1497"/>
              <w:ind w:firstLine="120"/>
              <w:rPr>
                <w:rFonts w:hint="eastAsia"/>
                <w:sz w:val="24"/>
              </w:rPr>
            </w:pPr>
            <w:r>
              <w:rPr>
                <w:rFonts w:hint="eastAsia"/>
                <w:sz w:val="24"/>
              </w:rPr>
              <w:t xml:space="preserve">设</w:t>
            </w:r>
            <w:r>
              <w:rPr>
                <w:rFonts w:hint="eastAsia"/>
                <w:sz w:val="24"/>
              </w:rPr>
            </w:r>
            <w:r/>
          </w:p>
          <w:p>
            <w:pPr>
              <w:pStyle w:val="1497"/>
              <w:ind w:firstLine="120"/>
              <w:rPr>
                <w:rFonts w:hint="eastAsia"/>
                <w:sz w:val="24"/>
              </w:rPr>
            </w:pPr>
            <w:r>
              <w:rPr>
                <w:rFonts w:hint="eastAsia"/>
                <w:sz w:val="24"/>
              </w:rPr>
              <w:t xml:space="preserve">施</w:t>
            </w:r>
            <w:r>
              <w:rPr>
                <w:rFonts w:hint="eastAsia"/>
                <w:sz w:val="24"/>
              </w:rPr>
            </w:r>
            <w:r/>
          </w:p>
          <w:p>
            <w:pPr>
              <w:pStyle w:val="1497"/>
              <w:ind w:firstLine="120"/>
              <w:rPr>
                <w:rFonts w:hint="eastAsia"/>
                <w:sz w:val="24"/>
              </w:rPr>
            </w:pPr>
            <w:r>
              <w:rPr>
                <w:rFonts w:hint="eastAsia"/>
                <w:sz w:val="24"/>
              </w:rPr>
              <w:t xml:space="preserve">及</w:t>
            </w:r>
            <w:r>
              <w:rPr>
                <w:rFonts w:hint="eastAsia"/>
                <w:sz w:val="24"/>
              </w:rPr>
            </w:r>
            <w:r/>
          </w:p>
          <w:p>
            <w:pPr>
              <w:pStyle w:val="1497"/>
              <w:ind w:firstLine="120"/>
              <w:rPr>
                <w:rFonts w:hint="eastAsia"/>
                <w:sz w:val="24"/>
              </w:rPr>
            </w:pPr>
            <w:r>
              <w:rPr>
                <w:rFonts w:hint="eastAsia"/>
                <w:sz w:val="24"/>
              </w:rPr>
              <w:t xml:space="preserve">卫生</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1</w:t>
            </w:r>
            <w:r>
              <w:rPr>
                <w:rFonts w:hint="eastAsia"/>
                <w:sz w:val="24"/>
              </w:rPr>
            </w:r>
            <w:r/>
          </w:p>
        </w:tc>
        <w:tc>
          <w:tcPr>
            <w:tcW w:w="6300" w:type="dxa"/>
            <w:vAlign w:val="center"/>
            <w:textDirection w:val="lrTb"/>
            <w:noWrap w:val="false"/>
          </w:tcPr>
          <w:p>
            <w:pPr>
              <w:pStyle w:val="1497"/>
              <w:rPr>
                <w:rFonts w:hint="eastAsia"/>
                <w:sz w:val="24"/>
              </w:rPr>
            </w:pPr>
            <w:r>
              <w:rPr>
                <w:rFonts w:hint="eastAsia"/>
                <w:sz w:val="24"/>
              </w:rPr>
              <w:t xml:space="preserve">绿地、草坪、广场、道路、假山和水体、岸边等无果皮壳、白色垃圾、无乱堆放现象、水体无漂浮物、水池、池塘定期清理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5</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有一内容达不到要求，扣0.5-1分，扣完为止</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2</w:t>
            </w:r>
            <w:r>
              <w:rPr>
                <w:rFonts w:hint="eastAsia"/>
                <w:sz w:val="24"/>
              </w:rPr>
            </w:r>
            <w:r/>
          </w:p>
        </w:tc>
        <w:tc>
          <w:tcPr>
            <w:tcW w:w="6300" w:type="dxa"/>
            <w:vAlign w:val="center"/>
            <w:textDirection w:val="lrTb"/>
            <w:noWrap w:val="false"/>
          </w:tcPr>
          <w:p>
            <w:pPr>
              <w:pStyle w:val="1497"/>
              <w:rPr>
                <w:rFonts w:hint="eastAsia"/>
                <w:sz w:val="24"/>
              </w:rPr>
            </w:pPr>
            <w:r>
              <w:rPr>
                <w:rFonts w:hint="eastAsia"/>
                <w:sz w:val="24"/>
              </w:rPr>
              <w:t xml:space="preserve">标志牌、指示牌、</w:t>
            </w:r>
            <w:r>
              <w:rPr>
                <w:rFonts w:hint="eastAsia"/>
                <w:sz w:val="24"/>
                <w:lang w:eastAsia="zh-CN"/>
              </w:rPr>
              <w:t xml:space="preserve">座椅</w:t>
            </w:r>
            <w:r>
              <w:rPr>
                <w:rFonts w:hint="eastAsia"/>
                <w:sz w:val="24"/>
              </w:rPr>
              <w:t xml:space="preserve">、灯箱、</w:t>
            </w:r>
            <w:r>
              <w:rPr>
                <w:rFonts w:hint="eastAsia"/>
                <w:sz w:val="24"/>
                <w:lang w:eastAsia="zh-CN"/>
              </w:rPr>
              <w:t xml:space="preserve">庭院灯</w:t>
            </w:r>
            <w:r>
              <w:rPr>
                <w:rFonts w:hint="eastAsia"/>
                <w:sz w:val="24"/>
              </w:rPr>
              <w:t xml:space="preserve">、栏杆、垃圾箱及园林建筑小品保持完好、无损坏、并保持清洁卫生</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2</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有一内容达不到要求，扣0.5</w:t>
            </w:r>
            <w:r>
              <w:rPr>
                <w:rFonts w:hint="eastAsia"/>
                <w:sz w:val="24"/>
                <w:lang w:eastAsia="zh-CN"/>
              </w:rPr>
              <w:t xml:space="preserve">—</w:t>
            </w:r>
            <w:r>
              <w:rPr>
                <w:rFonts w:hint="eastAsia"/>
                <w:sz w:val="24"/>
              </w:rPr>
              <w:t xml:space="preserve">1分，发现坏的应及时报告，否则另重扣分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3</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树木花草修剪后枝叶、垃圾及时清运不过夜</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4</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否则不得分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4</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发现侵占绿地、砍伐树木现象及时阻止、及时汇报</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2</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及时阻止得2分，及时上报得2分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restart"/>
            <w:textDirection w:val="lrTb"/>
            <w:noWrap w:val="false"/>
          </w:tcPr>
          <w:p>
            <w:pPr>
              <w:pStyle w:val="1497"/>
              <w:ind w:firstLine="120"/>
              <w:rPr>
                <w:rFonts w:hint="eastAsia"/>
                <w:sz w:val="24"/>
              </w:rPr>
            </w:pPr>
            <w:r>
              <w:rPr>
                <w:rFonts w:hint="eastAsia"/>
                <w:sz w:val="24"/>
              </w:rPr>
              <w:t xml:space="preserve">场</w:t>
            </w:r>
            <w:r>
              <w:rPr>
                <w:rFonts w:hint="eastAsia"/>
                <w:sz w:val="24"/>
              </w:rPr>
            </w:r>
            <w:r/>
          </w:p>
          <w:p>
            <w:pPr>
              <w:pStyle w:val="1497"/>
              <w:ind w:firstLine="120"/>
              <w:rPr>
                <w:rFonts w:hint="eastAsia"/>
                <w:sz w:val="24"/>
              </w:rPr>
            </w:pPr>
            <w:r>
              <w:rPr>
                <w:rFonts w:hint="eastAsia"/>
                <w:sz w:val="24"/>
              </w:rPr>
              <w:t xml:space="preserve">地</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5</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场地平整，排水坡度恰当、无积水</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2</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发现一处扣0.5</w:t>
            </w:r>
            <w:r>
              <w:rPr>
                <w:rFonts w:hint="eastAsia"/>
                <w:sz w:val="24"/>
                <w:lang w:eastAsia="zh-CN"/>
              </w:rPr>
              <w:t xml:space="preserve">—</w:t>
            </w:r>
            <w:r>
              <w:rPr>
                <w:rFonts w:hint="eastAsia"/>
                <w:sz w:val="24"/>
              </w:rPr>
              <w:t xml:space="preserve">1分，扣完为止</w:t>
            </w:r>
            <w:r>
              <w:rPr>
                <w:rFonts w:hint="eastAsia"/>
                <w:sz w:val="24"/>
              </w:rPr>
            </w:r>
            <w:r/>
          </w:p>
        </w:tc>
        <w:tc>
          <w:tcPr>
            <w:tcW w:w="720" w:type="dxa"/>
            <w:vAlign w:val="center"/>
            <w:textDirection w:val="lrTb"/>
            <w:noWrap w:val="false"/>
          </w:tcPr>
          <w:p>
            <w:pPr>
              <w:pStyle w:val="1497"/>
              <w:ind w:firstLine="120"/>
              <w:rPr>
                <w:sz w:val="24"/>
              </w:rPr>
            </w:pPr>
            <w:r>
              <w:rPr>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6</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基本无石砾等杂物、草坪、色块应切边分隔</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5</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发现一处扣0.5</w:t>
            </w:r>
            <w:r>
              <w:rPr>
                <w:rFonts w:hint="eastAsia"/>
                <w:sz w:val="24"/>
                <w:lang w:eastAsia="zh-CN"/>
              </w:rPr>
              <w:t xml:space="preserve">—</w:t>
            </w:r>
            <w:r>
              <w:rPr>
                <w:rFonts w:hint="eastAsia"/>
                <w:sz w:val="24"/>
              </w:rPr>
              <w:t xml:space="preserve">1分，发现一处不切边扣2分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restart"/>
            <w:textDirection w:val="lrTb"/>
            <w:noWrap w:val="false"/>
          </w:tcPr>
          <w:p>
            <w:pPr>
              <w:pStyle w:val="1497"/>
              <w:ind w:firstLine="120"/>
              <w:rPr>
                <w:rFonts w:hint="eastAsia"/>
                <w:sz w:val="24"/>
              </w:rPr>
            </w:pPr>
            <w:r>
              <w:rPr>
                <w:rFonts w:hint="eastAsia"/>
                <w:sz w:val="24"/>
              </w:rPr>
              <w:t xml:space="preserve">植</w:t>
            </w:r>
            <w:r>
              <w:rPr>
                <w:rFonts w:hint="eastAsia"/>
                <w:sz w:val="24"/>
              </w:rPr>
            </w:r>
            <w:r/>
          </w:p>
          <w:p>
            <w:pPr>
              <w:pStyle w:val="1497"/>
              <w:ind w:firstLine="120"/>
              <w:rPr>
                <w:rFonts w:hint="eastAsia"/>
                <w:sz w:val="24"/>
              </w:rPr>
            </w:pPr>
            <w:r>
              <w:rPr>
                <w:rFonts w:hint="eastAsia"/>
                <w:sz w:val="24"/>
              </w:rPr>
              <w:t xml:space="preserve">物</w:t>
            </w:r>
            <w:r>
              <w:rPr>
                <w:rFonts w:hint="eastAsia"/>
                <w:sz w:val="24"/>
              </w:rPr>
            </w:r>
            <w:r/>
          </w:p>
          <w:p>
            <w:pPr>
              <w:pStyle w:val="1497"/>
              <w:ind w:firstLine="120"/>
              <w:rPr>
                <w:rFonts w:hint="eastAsia"/>
                <w:sz w:val="24"/>
              </w:rPr>
            </w:pPr>
            <w:r>
              <w:rPr>
                <w:rFonts w:hint="eastAsia"/>
                <w:sz w:val="24"/>
              </w:rPr>
              <w:t xml:space="preserve">保</w:t>
            </w:r>
            <w:r>
              <w:rPr>
                <w:rFonts w:hint="eastAsia"/>
                <w:sz w:val="24"/>
              </w:rPr>
            </w:r>
            <w:r/>
          </w:p>
          <w:p>
            <w:pPr>
              <w:pStyle w:val="1497"/>
              <w:ind w:firstLine="120"/>
              <w:rPr>
                <w:rFonts w:hint="eastAsia"/>
                <w:sz w:val="24"/>
              </w:rPr>
            </w:pPr>
            <w:r>
              <w:rPr>
                <w:rFonts w:hint="eastAsia"/>
                <w:sz w:val="24"/>
              </w:rPr>
              <w:t xml:space="preserve">护</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7</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树木长势良好，枝条健壮、无枯枝、死杈，绿地内无死株</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6</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有一内容达不到要求，扣0.5分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8</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做好绿地内植物病虫害的防治工作，危害状不明显，病虫害较严重时应及时防治、措施得力。</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5</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危害状明显的，发现一处扣1</w:t>
            </w:r>
            <w:r>
              <w:rPr>
                <w:sz w:val="24"/>
              </w:rPr>
              <w:t xml:space="preserve">—</w:t>
            </w:r>
            <w:r>
              <w:rPr>
                <w:rFonts w:hint="eastAsia"/>
                <w:sz w:val="24"/>
              </w:rPr>
              <w:t xml:space="preserve">2分，大面积危害扣3</w:t>
            </w:r>
            <w:r>
              <w:rPr>
                <w:sz w:val="24"/>
              </w:rPr>
              <w:t xml:space="preserve">—</w:t>
            </w:r>
            <w:r>
              <w:rPr>
                <w:rFonts w:hint="eastAsia"/>
                <w:sz w:val="24"/>
              </w:rPr>
              <w:t xml:space="preserve">4分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9</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路口三角绿地内乔木、花灌木有切边圆形培土塘</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4</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不明显扣0.5-1分，不做的扣3-4分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10</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树木或树干重心与地面基本垂直，支撑应稳定，牢固一致，不伤树木，树木支撑不得用铅丝扎缚在树木上</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4</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发现树木歪斜应扶正，否则扣0.5分，违反规定有一项扣0.5分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11</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对树体伤口应清理、修整后</w:t>
            </w:r>
            <w:r>
              <w:rPr>
                <w:rFonts w:hint="eastAsia"/>
                <w:sz w:val="24"/>
                <w:lang w:eastAsia="zh-CN"/>
              </w:rPr>
              <w:t xml:space="preserve">消毒</w:t>
            </w:r>
            <w:r>
              <w:rPr>
                <w:rFonts w:hint="eastAsia"/>
                <w:sz w:val="24"/>
              </w:rPr>
              <w:t xml:space="preserve">，涂保护剂，发现树洞要及时修补</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2</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有一内容达不到要求扣0.5分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12</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落叶树修剪规范整齐、定枝、整枝合理均匀</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5</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发现乱剪或不及时修剪扣1</w:t>
            </w:r>
            <w:r>
              <w:rPr>
                <w:sz w:val="24"/>
              </w:rPr>
              <w:t xml:space="preserve">—</w:t>
            </w:r>
            <w:r>
              <w:rPr>
                <w:rFonts w:hint="eastAsia"/>
                <w:sz w:val="24"/>
              </w:rPr>
              <w:t xml:space="preserve">2分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textDirection w:val="lrTb"/>
            <w:noWrap w:val="false"/>
          </w:tcPr>
          <w:p>
            <w:pPr>
              <w:pStyle w:val="1497"/>
              <w:ind w:firstLine="120"/>
              <w:rPr>
                <w:rFonts w:hint="eastAsia"/>
                <w:sz w:val="24"/>
              </w:rPr>
            </w:pPr>
            <w:r>
              <w:rPr>
                <w:rFonts w:hint="eastAsia"/>
                <w:sz w:val="24"/>
              </w:rPr>
              <w:t xml:space="preserve">项目</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编号</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考核内容及要求</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标准分</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扣分标准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扣分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得分</w:t>
            </w:r>
            <w:r>
              <w:rPr>
                <w:rFonts w:hint="eastAsia"/>
                <w:sz w:val="24"/>
              </w:rPr>
            </w:r>
            <w:r/>
          </w:p>
        </w:tc>
      </w:tr>
      <w:tr>
        <w:trPr/>
        <w:tc>
          <w:tcPr>
            <w:tcW w:w="648" w:type="dxa"/>
            <w:vAlign w:val="center"/>
            <w:vMerge w:val="restart"/>
            <w:textDirection w:val="lrTb"/>
            <w:noWrap w:val="false"/>
          </w:tcPr>
          <w:p>
            <w:pPr>
              <w:pStyle w:val="1497"/>
              <w:ind w:firstLine="120"/>
              <w:rPr>
                <w:rFonts w:hint="eastAsia"/>
                <w:sz w:val="24"/>
              </w:rPr>
            </w:pPr>
            <w:r>
              <w:rPr>
                <w:rFonts w:hint="eastAsia"/>
                <w:sz w:val="24"/>
              </w:rPr>
              <w:t xml:space="preserve">季节性重点工作</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13</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灌木、色块、草坪修剪及时</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6</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凡草坪生长超过平面5公分、色块、绿篱生长超过8公分未修剪的不得分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14</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灌木、色块修剪、平面平整、高度统一、棱角清楚、球形圆整</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8</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有一内容达不到要求，扣1</w:t>
            </w:r>
            <w:r>
              <w:rPr>
                <w:rFonts w:hint="eastAsia"/>
                <w:sz w:val="24"/>
                <w:lang w:eastAsia="zh-CN"/>
              </w:rPr>
              <w:t xml:space="preserve">—</w:t>
            </w:r>
            <w:r>
              <w:rPr>
                <w:rFonts w:hint="eastAsia"/>
                <w:sz w:val="24"/>
              </w:rPr>
              <w:t xml:space="preserve">2分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15</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按要求施基肥，做好保质、保量、及时 </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3</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偷工减料或不按要求，扣1</w:t>
            </w:r>
            <w:r>
              <w:rPr>
                <w:rFonts w:hint="eastAsia"/>
                <w:sz w:val="24"/>
                <w:lang w:eastAsia="zh-CN"/>
              </w:rPr>
              <w:t xml:space="preserve">—</w:t>
            </w:r>
            <w:r>
              <w:rPr>
                <w:rFonts w:hint="eastAsia"/>
                <w:sz w:val="24"/>
              </w:rPr>
              <w:t xml:space="preserve">2分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16</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树木、草坪、地被无火烧现象</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2</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发现一处扣1-2分</w:t>
            </w:r>
            <w:r>
              <w:rPr>
                <w:rFonts w:hint="eastAsia"/>
                <w:sz w:val="24"/>
              </w:rPr>
            </w:r>
            <w:r/>
          </w:p>
        </w:tc>
        <w:tc>
          <w:tcPr>
            <w:tcW w:w="720" w:type="dxa"/>
            <w:vAlign w:val="center"/>
            <w:textDirection w:val="lrTb"/>
            <w:noWrap w:val="false"/>
          </w:tcPr>
          <w:p>
            <w:pPr>
              <w:pStyle w:val="1497"/>
              <w:ind w:firstLine="120"/>
              <w:rPr>
                <w:sz w:val="24"/>
              </w:rPr>
            </w:pPr>
            <w:r>
              <w:rPr>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17</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冬季树木统一涂白，做好防扫雪等植物保护工作</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3</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有一内容不到要求，扣1-2分</w:t>
            </w:r>
            <w:r>
              <w:rPr>
                <w:rFonts w:hint="eastAsia"/>
                <w:sz w:val="24"/>
              </w:rPr>
            </w:r>
            <w:r/>
          </w:p>
        </w:tc>
        <w:tc>
          <w:tcPr>
            <w:tcW w:w="720" w:type="dxa"/>
            <w:vAlign w:val="center"/>
            <w:textDirection w:val="lrTb"/>
            <w:noWrap w:val="false"/>
          </w:tcPr>
          <w:p>
            <w:pPr>
              <w:pStyle w:val="1497"/>
              <w:ind w:firstLine="120"/>
              <w:rPr>
                <w:sz w:val="24"/>
              </w:rPr>
            </w:pPr>
            <w:r>
              <w:rPr>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18</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树木、草坪、地被要按要求施追肥1-2次</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6</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少施一处扣3分，施肥不足或不按要求扣2分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19</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雨季及时排水、绿地不积水，高温季节及时灌水，叶面喷水，做好台风季节的防护工作</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7</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发现一处积水扣1分，植物缺水影响生长或是死亡扣4分，植株抗台风防护工作做不好，有一处扣0.5分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20</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及时根除杂草，树穴整修，绿篱两侧30公分内无杂草</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6</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有一内容达不到要求扣1-2分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21</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结合冬季修剪，冬耕消灭越冬虫茧、虫蛹、越冬的虫蚜等虫活体。</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4</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按情况酌情扣分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center"/>
            <w:vMerge w:val="restart"/>
            <w:textDirection w:val="lrTb"/>
            <w:noWrap w:val="false"/>
          </w:tcPr>
          <w:p>
            <w:pPr>
              <w:pStyle w:val="1497"/>
              <w:ind w:firstLine="120"/>
              <w:rPr>
                <w:rFonts w:hint="eastAsia"/>
                <w:sz w:val="24"/>
              </w:rPr>
            </w:pPr>
            <w:r>
              <w:rPr>
                <w:rFonts w:hint="eastAsia"/>
                <w:sz w:val="24"/>
              </w:rPr>
              <w:t xml:space="preserve">其它</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22</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积极参加锡山城管局的各类会议、活动、评比与竞赛</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2</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无故缺席或借故中途离开，发现一次扣2分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tcW w:w="648" w:type="dxa"/>
            <w:vAlign w:val="top"/>
            <w:vMerge w:val="continue"/>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23</w:t>
            </w:r>
            <w:r>
              <w:rPr>
                <w:rFonts w:hint="eastAsia"/>
                <w:sz w:val="24"/>
              </w:rPr>
            </w:r>
            <w:r/>
          </w:p>
        </w:tc>
        <w:tc>
          <w:tcPr>
            <w:tcW w:w="6300" w:type="dxa"/>
            <w:vAlign w:val="center"/>
            <w:textDirection w:val="lrTb"/>
            <w:noWrap w:val="false"/>
          </w:tcPr>
          <w:p>
            <w:pPr>
              <w:pStyle w:val="1497"/>
              <w:ind w:firstLine="120"/>
              <w:rPr>
                <w:rFonts w:hint="eastAsia"/>
                <w:sz w:val="24"/>
              </w:rPr>
            </w:pPr>
            <w:r>
              <w:rPr>
                <w:rFonts w:hint="eastAsia"/>
                <w:sz w:val="24"/>
              </w:rPr>
              <w:t xml:space="preserve">在规定的时间内做好甲方下达的任务</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7</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t xml:space="preserve">有无故拖延的发现一次扣2分</w:t>
            </w: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r>
        <w:trPr/>
        <w:tc>
          <w:tcPr>
            <w:gridSpan w:val="2"/>
            <w:tcW w:w="1368" w:type="dxa"/>
            <w:vAlign w:val="center"/>
            <w:textDirection w:val="lrTb"/>
            <w:noWrap w:val="false"/>
          </w:tcPr>
          <w:p>
            <w:pPr>
              <w:pStyle w:val="1497"/>
              <w:ind w:firstLine="120"/>
              <w:rPr>
                <w:rFonts w:hint="eastAsia"/>
                <w:sz w:val="24"/>
              </w:rPr>
            </w:pPr>
            <w:r>
              <w:rPr>
                <w:rFonts w:hint="eastAsia"/>
                <w:sz w:val="24"/>
              </w:rPr>
              <w:t xml:space="preserve">合 计</w:t>
            </w:r>
            <w:r>
              <w:rPr>
                <w:rFonts w:hint="eastAsia"/>
                <w:sz w:val="24"/>
              </w:rPr>
            </w:r>
            <w:r/>
          </w:p>
        </w:tc>
        <w:tc>
          <w:tcPr>
            <w:tcW w:w="6300" w:type="dxa"/>
            <w:vAlign w:val="top"/>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t xml:space="preserve">100</w:t>
            </w:r>
            <w:r>
              <w:rPr>
                <w:rFonts w:hint="eastAsia"/>
                <w:sz w:val="24"/>
              </w:rPr>
            </w:r>
            <w:r/>
          </w:p>
        </w:tc>
        <w:tc>
          <w:tcPr>
            <w:tcW w:w="43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c>
          <w:tcPr>
            <w:tcW w:w="720" w:type="dxa"/>
            <w:vAlign w:val="center"/>
            <w:textDirection w:val="lrTb"/>
            <w:noWrap w:val="false"/>
          </w:tcPr>
          <w:p>
            <w:pPr>
              <w:pStyle w:val="1497"/>
              <w:ind w:firstLine="120"/>
              <w:rPr>
                <w:rFonts w:hint="eastAsia"/>
                <w:sz w:val="24"/>
              </w:rPr>
            </w:pPr>
            <w:r>
              <w:rPr>
                <w:rFonts w:hint="eastAsia"/>
                <w:sz w:val="24"/>
              </w:rPr>
            </w:r>
            <w:r/>
          </w:p>
        </w:tc>
      </w:tr>
    </w:tbl>
    <w:p>
      <w:pPr>
        <w:pStyle w:val="1497"/>
        <w:ind w:firstLine="120"/>
        <w:rPr>
          <w:rFonts w:hint="eastAsia"/>
          <w:sz w:val="24"/>
        </w:rPr>
      </w:pPr>
      <w:r>
        <w:rPr>
          <w:rFonts w:hint="eastAsia"/>
          <w:sz w:val="24"/>
        </w:rPr>
      </w:r>
      <w:r/>
    </w:p>
    <w:p>
      <w:pPr>
        <w:pStyle w:val="1497"/>
        <w:spacing w:line="400" w:lineRule="exact"/>
        <w:rPr>
          <w:rFonts w:hint="eastAsia" w:ascii="宋体" w:hAnsi="宋体"/>
          <w:sz w:val="24"/>
          <w:highlight w:val="none"/>
        </w:rPr>
      </w:pPr>
      <w:r>
        <w:rPr>
          <w:rFonts w:hint="eastAsia" w:ascii="宋体" w:hAnsi="宋体"/>
          <w:sz w:val="24"/>
          <w:highlight w:val="none"/>
        </w:rPr>
        <w:t xml:space="preserve">此评分标准以100分为满分，</w:t>
      </w:r>
      <w:bookmarkStart w:id="31" w:name="_Hlk87026380"/>
      <w:r>
        <w:rPr>
          <w:rFonts w:hint="eastAsia" w:ascii="宋体" w:hAnsi="宋体"/>
          <w:sz w:val="24"/>
          <w:highlight w:val="none"/>
        </w:rPr>
        <w:t xml:space="preserve">按月度进行考核，连续2次考核得分低于</w:t>
      </w:r>
      <w:r>
        <w:rPr>
          <w:rFonts w:hint="eastAsia" w:ascii="宋体" w:hAnsi="宋体"/>
          <w:sz w:val="24"/>
          <w:highlight w:val="none"/>
          <w:lang w:val="en-US" w:eastAsia="zh-CN"/>
        </w:rPr>
        <w:t xml:space="preserve">7</w:t>
      </w:r>
      <w:r>
        <w:rPr>
          <w:rFonts w:hint="eastAsia" w:ascii="宋体" w:hAnsi="宋体"/>
          <w:sz w:val="24"/>
          <w:highlight w:val="none"/>
        </w:rPr>
        <w:t xml:space="preserve">0分为考核不合格，采购人有权终止合同。</w:t>
      </w:r>
      <w:bookmarkEnd w:id="31"/>
      <w:r>
        <w:rPr>
          <w:rFonts w:hint="eastAsia" w:ascii="宋体" w:hAnsi="宋体"/>
          <w:sz w:val="24"/>
          <w:highlight w:val="none"/>
        </w:rPr>
      </w:r>
      <w:r/>
    </w:p>
    <w:p>
      <w:pPr>
        <w:pStyle w:val="149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sectPr>
          <w:footnotePr/>
          <w:endnotePr/>
          <w:type w:val="nextPage"/>
          <w:pgSz w:w="16838" w:h="11906" w:orient="landscape"/>
          <w:pgMar w:top="1800" w:right="1440" w:bottom="1800" w:left="1440" w:header="851" w:footer="992" w:gutter="0"/>
          <w:pgNumType w:start="1"/>
          <w:cols w:num="1" w:sep="0" w:space="1701" w:equalWidth="1"/>
          <w:docGrid w:linePitch="360"/>
        </w:sectPr>
        <w:outlineLvl w:val="9"/>
      </w:pPr>
      <w:r>
        <w:rPr>
          <w:rFonts w:hint="eastAsia" w:ascii="宋体" w:hAnsi="宋体" w:eastAsia="宋体" w:cs="宋体"/>
          <w:b w:val="0"/>
          <w:bCs w:val="0"/>
          <w:color w:val="000000"/>
          <w:sz w:val="24"/>
          <w:szCs w:val="24"/>
          <w:highlight w:val="none"/>
          <w:lang w:val="en-US" w:eastAsia="zh-CN"/>
        </w:rPr>
      </w:r>
      <w:r/>
    </w:p>
    <w:p>
      <w:pPr>
        <w:pStyle w:val="1497"/>
        <w:jc w:val="center"/>
        <w:spacing w:line="360" w:lineRule="auto"/>
        <w:rPr>
          <w:rFonts w:hint="eastAsia" w:ascii="Times New Roman" w:hAnsi="宋体" w:eastAsia="宋体" w:cs="宋体"/>
          <w:b/>
          <w:bCs/>
          <w:sz w:val="32"/>
          <w:szCs w:val="32"/>
          <w:highlight w:val="none"/>
          <w:lang w:val="en-US" w:eastAsia="zh-CN"/>
        </w:rPr>
        <w:outlineLvl w:val="0"/>
      </w:pPr>
      <w:r/>
      <w:bookmarkStart w:id="32" w:name="_Toc12214"/>
      <w:r/>
      <w:bookmarkStart w:id="33" w:name="_Toc21985"/>
      <w:r>
        <w:rPr>
          <w:rFonts w:hint="eastAsia" w:ascii="Times New Roman" w:hAnsi="宋体" w:eastAsia="宋体" w:cs="宋体"/>
          <w:b/>
          <w:bCs/>
          <w:sz w:val="32"/>
          <w:szCs w:val="32"/>
          <w:highlight w:val="none"/>
          <w:lang w:val="en-US" w:eastAsia="zh-CN"/>
        </w:rPr>
        <w:t xml:space="preserve">四、合同书（格式文本）</w:t>
      </w:r>
      <w:bookmarkEnd w:id="28"/>
      <w:r/>
      <w:bookmarkEnd w:id="32"/>
      <w:r/>
      <w:bookmarkEnd w:id="33"/>
      <w:r>
        <w:rPr>
          <w:rFonts w:hint="eastAsia" w:ascii="Times New Roman" w:hAnsi="宋体" w:eastAsia="宋体" w:cs="宋体"/>
          <w:b/>
          <w:bCs/>
          <w:sz w:val="32"/>
          <w:szCs w:val="32"/>
          <w:highlight w:val="none"/>
          <w:lang w:val="en-US" w:eastAsia="zh-CN"/>
        </w:rPr>
      </w:r>
      <w:r/>
    </w:p>
    <w:p>
      <w:pPr>
        <w:pStyle w:val="1497"/>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bookmarkStart w:id="34" w:name="_Toc4709"/>
      <w:r/>
      <w:bookmarkStart w:id="35" w:name="_Toc17918"/>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7"/>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二、采购内容：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三、中标总金额：人民币（大写）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rPr>
          <w:rFonts w:hint="eastAsia" w:ascii="宋体" w:hAnsi="宋体" w:eastAsia="宋体" w:cs="Times New Roman"/>
          <w:b w:val="0"/>
          <w:bCs/>
          <w:color w:val="000000"/>
          <w:sz w:val="24"/>
          <w:szCs w:val="24"/>
          <w:highlight w:val="none"/>
          <w:u w:val="none"/>
        </w:rPr>
      </w:r>
      <w:r/>
    </w:p>
    <w:p>
      <w:pPr>
        <w:pStyle w:val="149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四、质量和服务要求及验收标准：</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五、交货期限和服务期限：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六、服务地点和方式：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七、货款支付步骤和办法：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八、违约责任：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九、解决争议的方式：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w:t>
      </w:r>
      <w:r>
        <w:rPr>
          <w:rFonts w:hint="eastAsia" w:ascii="宋体" w:hAnsi="宋体" w:eastAsia="宋体" w:cs="Times New Roman"/>
          <w:b w:val="0"/>
          <w:bCs/>
          <w:color w:val="000000"/>
          <w:sz w:val="24"/>
          <w:szCs w:val="24"/>
          <w:highlight w:val="none"/>
          <w:u w:val="none"/>
          <w:lang w:eastAsia="zh-CN"/>
        </w:rPr>
        <w:t xml:space="preserve">其他</w:t>
      </w:r>
      <w:r>
        <w:rPr>
          <w:rFonts w:hint="eastAsia" w:ascii="宋体" w:hAnsi="宋体" w:eastAsia="宋体" w:cs="Times New Roman"/>
          <w:b w:val="0"/>
          <w:bCs/>
          <w:color w:val="000000"/>
          <w:sz w:val="24"/>
          <w:szCs w:val="24"/>
          <w:highlight w:val="none"/>
          <w:u w:val="none"/>
        </w:rPr>
        <w:t xml:space="preserve">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7"/>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rPr>
      </w:pPr>
      <w:r>
        <w:rPr>
          <w:rFonts w:hint="eastAsia" w:hAnsi="宋体" w:cs="宋体"/>
          <w:bCs/>
          <w:sz w:val="24"/>
        </w:rPr>
        <w:t xml:space="preserve">十一、合同不可分割部分：</w:t>
      </w:r>
      <w:r>
        <w:rPr>
          <w:rFonts w:hint="eastAsia" w:hAnsi="宋体" w:cs="宋体"/>
          <w:bCs/>
          <w:sz w:val="24"/>
        </w:rPr>
      </w:r>
      <w:r/>
    </w:p>
    <w:p>
      <w:pPr>
        <w:pStyle w:val="1497"/>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招标文件、投标文件、合同条款及中标通知书，乙方在投标、评标过程中所作其它有关承诺、声明、书面澄清等均为合同不可分割的部分，与主合同具有同等法律效力。</w:t>
      </w:r>
      <w:r>
        <w:rPr>
          <w:rFonts w:hint="eastAsia" w:ascii="Times New Roman" w:hAnsi="宋体" w:eastAsia="宋体" w:cs="宋体"/>
          <w:bCs/>
          <w:sz w:val="24"/>
        </w:rPr>
      </w:r>
      <w:r/>
    </w:p>
    <w:p>
      <w:pPr>
        <w:pStyle w:val="1497"/>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十二、合同备案：</w:t>
      </w:r>
      <w:r>
        <w:rPr>
          <w:rFonts w:hint="eastAsia" w:ascii="Times New Roman" w:hAnsi="宋体" w:eastAsia="宋体" w:cs="宋体"/>
          <w:bCs/>
          <w:sz w:val="24"/>
        </w:rPr>
      </w:r>
      <w:r/>
    </w:p>
    <w:p>
      <w:pPr>
        <w:pStyle w:val="1497"/>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合同一式伍份，甲乙双方各执贰份，采购代理机构壹份。</w:t>
      </w:r>
      <w:r>
        <w:rPr>
          <w:rFonts w:hint="eastAsia" w:ascii="Times New Roman" w:hAnsi="宋体" w:eastAsia="宋体" w:cs="宋体"/>
          <w:bCs/>
          <w:sz w:val="24"/>
        </w:rPr>
      </w:r>
      <w:r/>
    </w:p>
    <w:p>
      <w:pPr>
        <w:pStyle w:val="1497"/>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十三、合同生效：</w:t>
      </w:r>
      <w:r>
        <w:rPr>
          <w:rFonts w:hint="eastAsia" w:ascii="Times New Roman" w:hAnsi="宋体" w:eastAsia="宋体" w:cs="宋体"/>
          <w:bCs/>
          <w:sz w:val="24"/>
        </w:rPr>
      </w:r>
      <w:r/>
    </w:p>
    <w:p>
      <w:pPr>
        <w:pStyle w:val="149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bCs/>
          <w:color w:val="000000"/>
          <w:sz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eastAsia="宋体" w:cs="Times New Roman"/>
          <w:b/>
          <w:bCs w:val="0"/>
          <w:color w:val="000000"/>
          <w:sz w:val="24"/>
          <w:szCs w:val="24"/>
          <w:highlight w:val="none"/>
          <w:u w:val="non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 w:val="0"/>
          <w:bCs/>
          <w:color w:val="000000"/>
          <w:sz w:val="24"/>
          <w:szCs w:val="24"/>
          <w:highlight w:val="none"/>
          <w:u w:val="none"/>
        </w:rPr>
      </w:r>
      <w:r/>
    </w:p>
    <w:p>
      <w:pPr>
        <w:pStyle w:val="1497"/>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u w:val="single"/>
        </w:rPr>
      </w:r>
      <w:r/>
    </w:p>
    <w:p>
      <w:pPr>
        <w:pStyle w:val="1497"/>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7"/>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1497"/>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7"/>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7"/>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7"/>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w:t>
      </w:r>
      <w:r>
        <w:rPr>
          <w:rFonts w:hint="eastAsia" w:ascii="宋体" w:hAnsi="宋体"/>
          <w:bCs/>
          <w:color w:val="000000"/>
          <w:sz w:val="24"/>
          <w:highlight w:val="none"/>
        </w:rPr>
      </w:r>
      <w:r/>
    </w:p>
    <w:p>
      <w:pPr>
        <w:pStyle w:val="1497"/>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rPr>
          <w:rFonts w:hint="eastAsia" w:ascii="宋体" w:hAnsi="宋体" w:eastAsia="宋体" w:cs="Times New Roman"/>
          <w:b w:val="0"/>
          <w:bCs/>
          <w:color w:val="000000"/>
          <w:sz w:val="24"/>
          <w:szCs w:val="24"/>
          <w:highlight w:val="none"/>
          <w:u w:val="none"/>
        </w:rPr>
      </w:r>
      <w:r/>
    </w:p>
    <w:p>
      <w:pPr>
        <w:pStyle w:val="1497"/>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★备注：本项目不需要履约保证金。</w:t>
      </w:r>
      <w:r>
        <w:rPr>
          <w:rFonts w:hint="eastAsia" w:ascii="宋体" w:hAnsi="宋体" w:eastAsia="宋体" w:cs="Times New Roman"/>
          <w:b w:val="0"/>
          <w:bCs/>
          <w:color w:val="000000"/>
          <w:sz w:val="24"/>
          <w:szCs w:val="24"/>
          <w:highlight w:val="none"/>
          <w:u w:val="none"/>
        </w:rPr>
      </w:r>
      <w:r/>
    </w:p>
    <w:p>
      <w:pPr>
        <w:pStyle w:val="1497"/>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pStyle w:val="1497"/>
        <w:jc w:val="center"/>
        <w:keepLines w:val="0"/>
        <w:keepNext w:val="0"/>
        <w:pageBreakBefore w:val="0"/>
        <w:spacing w:line="360" w:lineRule="auto"/>
        <w:widowControl w:val="off"/>
        <w:rPr>
          <w:rFonts w:hint="eastAsia" w:ascii="宋体" w:hAnsi="宋体" w:eastAsia="宋体" w:cs="Times New Roman"/>
          <w:b/>
          <w:color w:val="000000"/>
          <w:sz w:val="24"/>
          <w:szCs w:val="24"/>
          <w:highlight w:val="none"/>
          <w:u w:val="single"/>
        </w:rPr>
        <w:outlineLvl w:val="9"/>
      </w:pPr>
      <w:r>
        <w:rPr>
          <w:rFonts w:hint="eastAsia" w:ascii="Times New Roman" w:hAnsi="宋体" w:eastAsia="宋体" w:cs="宋体"/>
          <w:b/>
          <w:bCs/>
          <w:sz w:val="32"/>
          <w:szCs w:val="32"/>
          <w:highlight w:val="none"/>
          <w:lang w:val="en-US" w:eastAsia="zh-CN"/>
        </w:rPr>
        <w:t xml:space="preserve">合同条款（格式文本）</w:t>
      </w:r>
      <w:r>
        <w:rPr>
          <w:rFonts w:hint="eastAsia" w:ascii="宋体" w:hAnsi="宋体" w:eastAsia="宋体" w:cs="Times New Roman"/>
          <w:b/>
          <w:color w:val="000000"/>
          <w:sz w:val="24"/>
          <w:szCs w:val="24"/>
          <w:highlight w:val="none"/>
          <w:u w:val="single"/>
        </w:rPr>
      </w:r>
      <w:r/>
    </w:p>
    <w:p>
      <w:pPr>
        <w:pStyle w:val="1522"/>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w:t>
      </w:r>
      <w:r>
        <w:rPr>
          <w:rFonts w:hint="eastAsia" w:ascii="宋体" w:hAnsi="宋体" w:eastAsia="宋体" w:cs="宋体"/>
          <w:sz w:val="24"/>
          <w:szCs w:val="24"/>
          <w:lang w:eastAsia="zh-CN"/>
        </w:rPr>
        <w:t xml:space="preserve">及其</w:t>
      </w:r>
      <w:r>
        <w:rPr>
          <w:rFonts w:hint="eastAsia" w:ascii="宋体" w:hAnsi="宋体" w:eastAsia="宋体" w:cs="宋体"/>
          <w:sz w:val="24"/>
          <w:szCs w:val="24"/>
        </w:rPr>
        <w:t xml:space="preserve">他有关法律、行政法规，遵循平等、自愿、公平和诚实信用的原则，</w:t>
      </w:r>
      <w:r>
        <w:rPr>
          <w:rFonts w:hint="eastAsia" w:ascii="宋体" w:hAnsi="宋体" w:eastAsia="宋体" w:cs="宋体"/>
          <w:sz w:val="24"/>
          <w:szCs w:val="24"/>
          <w:lang w:val="en-US" w:eastAsia="zh-CN"/>
        </w:rPr>
        <w:t xml:space="preserve">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内容的基础上，协商一致，订立本合同。</w:t>
      </w:r>
      <w:r>
        <w:rPr>
          <w:rFonts w:hint="eastAsia" w:ascii="宋体" w:hAnsi="宋体" w:eastAsia="宋体" w:cs="宋体"/>
          <w:sz w:val="24"/>
          <w:szCs w:val="24"/>
        </w:rPr>
      </w:r>
      <w:r/>
    </w:p>
    <w:p>
      <w:pPr>
        <w:pStyle w:val="154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rPr>
        <w:suppressLineNumbers w:val="0"/>
      </w:pPr>
      <w:r>
        <w:rPr>
          <w:rFonts w:hint="eastAsia" w:ascii="宋体" w:hAnsi="宋体" w:eastAsia="宋体" w:cs="宋体"/>
          <w:b/>
          <w:bCs/>
          <w:i w:val="0"/>
          <w:iCs w:val="0"/>
          <w:caps w:val="0"/>
          <w:color w:val="1c1917"/>
          <w:spacing w:val="0"/>
          <w:sz w:val="24"/>
          <w:szCs w:val="24"/>
          <w:shd w:val="clear" w:color="auto" w:fill="ffffff"/>
        </w:rPr>
        <w:t xml:space="preserve">第一条 合同项目</w:t>
      </w:r>
      <w:r>
        <w:rPr>
          <w:rFonts w:hint="eastAsia" w:ascii="宋体" w:hAnsi="宋体" w:eastAsia="宋体" w:cs="宋体"/>
          <w:b/>
          <w:bCs/>
          <w:i w:val="0"/>
          <w:iCs w:val="0"/>
          <w:caps w:val="0"/>
          <w:color w:val="1c1917"/>
          <w:spacing w:val="0"/>
          <w:sz w:val="24"/>
          <w:szCs w:val="24"/>
          <w:highlight w:val="none"/>
        </w:rPr>
      </w:r>
      <w:r/>
    </w:p>
    <w:p>
      <w:pPr>
        <w:pStyle w:val="1541"/>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rPr>
        <w:t xml:space="preserve">本合同约定乙方为甲方提供东北塘街道兴塘滨水公园及兴塘公园绿化养护共计</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218561</w:t>
      </w:r>
      <w:r>
        <w:rPr>
          <w:rFonts w:hint="eastAsia" w:ascii="宋体" w:hAnsi="宋体" w:eastAsia="宋体" w:cs="宋体"/>
          <w:i w:val="0"/>
          <w:iCs w:val="0"/>
          <w:caps w:val="0"/>
          <w:color w:val="1c1917"/>
          <w:spacing w:val="0"/>
          <w:sz w:val="24"/>
          <w:szCs w:val="24"/>
          <w:highlight w:val="none"/>
          <w:shd w:val="clear" w:color="auto" w:fill="ffffff"/>
        </w:rPr>
        <w:t xml:space="preserve">㎡的养护服务</w:t>
      </w:r>
      <w:r>
        <w:rPr>
          <w:rFonts w:hint="eastAsia" w:ascii="宋体" w:hAnsi="宋体" w:eastAsia="宋体" w:cs="宋体"/>
          <w:i w:val="0"/>
          <w:iCs w:val="0"/>
          <w:caps w:val="0"/>
          <w:color w:val="1c1917"/>
          <w:spacing w:val="0"/>
          <w:sz w:val="24"/>
          <w:szCs w:val="24"/>
          <w:highlight w:val="none"/>
          <w:shd w:val="clear" w:color="auto" w:fill="ffffff"/>
          <w:lang w:eastAsia="zh-CN"/>
        </w:rPr>
        <w:t xml:space="preserve">，</w:t>
      </w:r>
      <w:r>
        <w:rPr>
          <w:rFonts w:hint="eastAsia" w:ascii="宋体" w:hAnsi="宋体" w:eastAsia="宋体" w:cs="宋体"/>
          <w:i w:val="0"/>
          <w:iCs w:val="0"/>
          <w:caps w:val="0"/>
          <w:color w:val="1c1917"/>
          <w:spacing w:val="0"/>
          <w:sz w:val="24"/>
          <w:szCs w:val="24"/>
          <w:highlight w:val="none"/>
          <w:shd w:val="clear" w:color="auto" w:fill="ffffff"/>
        </w:rPr>
        <w:t xml:space="preserve">服务范围包括所有</w:t>
      </w:r>
      <w:r>
        <w:rPr>
          <w:rFonts w:hint="eastAsia" w:ascii="宋体" w:hAnsi="宋体" w:eastAsia="宋体" w:cs="宋体"/>
          <w:i w:val="0"/>
          <w:iCs w:val="0"/>
          <w:caps w:val="0"/>
          <w:color w:val="1c1917"/>
          <w:spacing w:val="0"/>
          <w:sz w:val="24"/>
          <w:szCs w:val="24"/>
          <w:highlight w:val="none"/>
          <w:shd w:val="clear" w:color="auto" w:fill="ffffff"/>
        </w:rPr>
        <w:t xml:space="preserve">绿地保洁，</w:t>
      </w:r>
      <w:r>
        <w:rPr>
          <w:rFonts w:hint="eastAsia" w:ascii="宋体" w:hAnsi="宋体" w:eastAsia="宋体" w:cs="宋体"/>
          <w:i w:val="0"/>
          <w:iCs w:val="0"/>
          <w:caps w:val="0"/>
          <w:color w:val="1c1917"/>
          <w:spacing w:val="0"/>
          <w:sz w:val="24"/>
          <w:szCs w:val="24"/>
          <w:highlight w:val="none"/>
          <w:shd w:val="clear" w:color="auto" w:fill="ffffff"/>
          <w:lang w:eastAsia="zh-CN"/>
        </w:rPr>
        <w:t xml:space="preserve">花草</w:t>
      </w:r>
      <w:r>
        <w:rPr>
          <w:rFonts w:hint="eastAsia" w:ascii="宋体" w:hAnsi="宋体" w:eastAsia="宋体" w:cs="宋体"/>
          <w:i w:val="0"/>
          <w:iCs w:val="0"/>
          <w:caps w:val="0"/>
          <w:color w:val="1c1917"/>
          <w:spacing w:val="0"/>
          <w:sz w:val="24"/>
          <w:szCs w:val="24"/>
          <w:highlight w:val="none"/>
          <w:shd w:val="clear" w:color="auto" w:fill="ffffff"/>
        </w:rPr>
        <w:t xml:space="preserve">布置，行道树、球类、色块、绿篱等修剪、施肥及病虫害防治，绿化隔离带喷水除尘，草坪管理</w:t>
      </w:r>
      <w:r>
        <w:rPr>
          <w:rFonts w:hint="eastAsia" w:ascii="宋体" w:hAnsi="宋体" w:eastAsia="宋体" w:cs="宋体"/>
          <w:i w:val="0"/>
          <w:iCs w:val="0"/>
          <w:caps w:val="0"/>
          <w:color w:val="1c1917"/>
          <w:spacing w:val="0"/>
          <w:sz w:val="24"/>
          <w:szCs w:val="24"/>
          <w:highlight w:val="none"/>
          <w:shd w:val="clear" w:color="auto" w:fill="ffffff"/>
          <w:lang w:eastAsia="zh-CN"/>
        </w:rPr>
        <w:t xml:space="preserve">等</w:t>
      </w:r>
      <w:r>
        <w:rPr>
          <w:rFonts w:hint="eastAsia" w:ascii="宋体" w:hAnsi="宋体" w:eastAsia="宋体" w:cs="宋体"/>
          <w:i w:val="0"/>
          <w:iCs w:val="0"/>
          <w:caps w:val="0"/>
          <w:color w:val="1c1917"/>
          <w:spacing w:val="0"/>
          <w:sz w:val="24"/>
          <w:szCs w:val="24"/>
          <w:highlight w:val="none"/>
          <w:shd w:val="clear" w:color="auto" w:fill="ffffff"/>
        </w:rPr>
        <w:t xml:space="preserve">。</w:t>
      </w:r>
      <w:r>
        <w:rPr>
          <w:rFonts w:hint="eastAsia" w:ascii="宋体" w:hAnsi="宋体" w:eastAsia="宋体" w:cs="宋体"/>
          <w:i w:val="0"/>
          <w:iCs w:val="0"/>
          <w:caps w:val="0"/>
          <w:color w:val="1c1917"/>
          <w:spacing w:val="0"/>
          <w:sz w:val="24"/>
          <w:szCs w:val="24"/>
          <w:highlight w:val="none"/>
          <w:shd w:val="clear" w:color="auto" w:fill="ffffff"/>
        </w:rPr>
      </w:r>
      <w:r/>
    </w:p>
    <w:p>
      <w:pPr>
        <w:pStyle w:val="154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二</w:t>
      </w:r>
      <w:r>
        <w:rPr>
          <w:rFonts w:hint="eastAsia" w:ascii="宋体" w:hAnsi="宋体" w:eastAsia="宋体" w:cs="宋体"/>
          <w:b/>
          <w:bCs/>
          <w:i w:val="0"/>
          <w:iCs w:val="0"/>
          <w:caps w:val="0"/>
          <w:color w:val="1c1917"/>
          <w:spacing w:val="0"/>
          <w:sz w:val="24"/>
          <w:szCs w:val="24"/>
          <w:highlight w:val="none"/>
          <w:shd w:val="clear" w:color="auto" w:fill="ffffff"/>
        </w:rPr>
        <w:t xml:space="preserve">条 服务内容</w:t>
      </w:r>
      <w:r>
        <w:rPr>
          <w:rFonts w:hint="eastAsia" w:ascii="宋体" w:hAnsi="宋体" w:eastAsia="宋体" w:cs="宋体"/>
          <w:b/>
          <w:bCs/>
          <w:i w:val="0"/>
          <w:iCs w:val="0"/>
          <w:caps w:val="0"/>
          <w:color w:val="1c1917"/>
          <w:spacing w:val="0"/>
          <w:sz w:val="24"/>
          <w:szCs w:val="24"/>
          <w:highlight w:val="none"/>
          <w:shd w:val="clear" w:color="auto" w:fill="ffffff"/>
        </w:rPr>
      </w:r>
      <w:r/>
    </w:p>
    <w:p>
      <w:pPr>
        <w:pStyle w:val="154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rPr>
        <w:t xml:space="preserve">1.日常养护:包括绿地保洁，草花布置，行道树、球类、色块、绿篱等修剪、施肥及病虫害防治，绿化隔离带喷水除尘，草坪管理等 。</w:t>
      </w:r>
      <w:r>
        <w:rPr>
          <w:rFonts w:hint="eastAsia" w:ascii="宋体" w:hAnsi="宋体" w:eastAsia="宋体" w:cs="宋体"/>
          <w:i w:val="0"/>
          <w:iCs w:val="0"/>
          <w:caps w:val="0"/>
          <w:color w:val="1c1917"/>
          <w:spacing w:val="0"/>
          <w:sz w:val="24"/>
          <w:szCs w:val="24"/>
          <w:highlight w:val="none"/>
          <w:shd w:val="clear" w:color="auto" w:fill="ffffff"/>
        </w:rPr>
      </w:r>
      <w:r/>
    </w:p>
    <w:p>
      <w:pPr>
        <w:pStyle w:val="154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1c1917"/>
          <w:spacing w:val="0"/>
          <w:sz w:val="24"/>
          <w:szCs w:val="24"/>
          <w:highlight w:val="none"/>
          <w:shd w:val="clear" w:color="auto" w:fill="ffffff"/>
        </w:rPr>
        <w:t xml:space="preserve">.突发事件处置:如遭遇风雨雷电、植被病虫害等突发事件,需要及时报告甲方并处理。</w:t>
      </w:r>
      <w:r>
        <w:rPr>
          <w:rFonts w:hint="eastAsia" w:ascii="宋体" w:hAnsi="宋体" w:eastAsia="宋体" w:cs="宋体"/>
          <w:i w:val="0"/>
          <w:iCs w:val="0"/>
          <w:caps w:val="0"/>
          <w:color w:val="1c1917"/>
          <w:spacing w:val="0"/>
          <w:sz w:val="24"/>
          <w:szCs w:val="24"/>
          <w:highlight w:val="none"/>
          <w:shd w:val="clear" w:color="auto" w:fill="ffffff"/>
        </w:rPr>
      </w:r>
      <w:r/>
    </w:p>
    <w:p>
      <w:pPr>
        <w:pStyle w:val="154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shd w:val="clear" w:color="auto" w:fill="ffffff"/>
          <w:lang w:val="en-US" w:eastAsia="zh-CN"/>
        </w:rPr>
        <w:suppressLineNumbers w:val="0"/>
      </w:pPr>
      <w:r>
        <w:rPr>
          <w:rFonts w:hint="eastAsia" w:ascii="宋体" w:hAnsi="宋体" w:eastAsia="宋体" w:cs="宋体"/>
          <w:i w:val="0"/>
          <w:iCs w:val="0"/>
          <w:caps w:val="0"/>
          <w:color w:val="1c1917"/>
          <w:spacing w:val="0"/>
          <w:sz w:val="24"/>
          <w:szCs w:val="24"/>
          <w:shd w:val="clear" w:color="auto" w:fill="ffffff"/>
          <w:lang w:val="en-US" w:eastAsia="zh-CN"/>
        </w:rPr>
        <w:t xml:space="preserve">3.乙方负责清理养护作业时产生的垃圾，及车辆清运费用。</w:t>
      </w:r>
      <w:r>
        <w:rPr>
          <w:rFonts w:hint="eastAsia" w:ascii="宋体" w:hAnsi="宋体" w:eastAsia="宋体" w:cs="宋体"/>
          <w:i w:val="0"/>
          <w:iCs w:val="0"/>
          <w:caps w:val="0"/>
          <w:color w:val="1c1917"/>
          <w:spacing w:val="0"/>
          <w:sz w:val="24"/>
          <w:szCs w:val="24"/>
          <w:shd w:val="clear" w:color="auto" w:fill="ffffff"/>
          <w:lang w:val="en-US" w:eastAsia="zh-CN"/>
        </w:rPr>
      </w:r>
      <w:r/>
    </w:p>
    <w:p>
      <w:pPr>
        <w:pStyle w:val="154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第四条 </w:t>
      </w:r>
      <w:r>
        <w:rPr>
          <w:rFonts w:hint="eastAsia" w:ascii="宋体" w:hAnsi="宋体" w:eastAsia="宋体" w:cs="宋体"/>
          <w:b/>
          <w:bCs/>
          <w:i w:val="0"/>
          <w:iCs w:val="0"/>
          <w:caps w:val="0"/>
          <w:color w:val="1c1917"/>
          <w:spacing w:val="0"/>
          <w:sz w:val="24"/>
          <w:szCs w:val="24"/>
          <w:shd w:val="clear" w:color="auto" w:fill="ffffff"/>
        </w:rPr>
        <w:t xml:space="preserve">服务标准</w:t>
      </w:r>
      <w:r>
        <w:rPr>
          <w:rFonts w:hint="eastAsia" w:ascii="宋体" w:hAnsi="宋体" w:eastAsia="宋体" w:cs="宋体"/>
          <w:b/>
          <w:bCs/>
          <w:i w:val="0"/>
          <w:iCs w:val="0"/>
          <w:caps w:val="0"/>
          <w:color w:val="1c1917"/>
          <w:spacing w:val="0"/>
          <w:sz w:val="24"/>
          <w:szCs w:val="24"/>
          <w:shd w:val="clear" w:color="auto" w:fill="ffffff"/>
        </w:rPr>
      </w:r>
      <w:r/>
    </w:p>
    <w:p>
      <w:pPr>
        <w:pStyle w:val="1522"/>
        <w:ind w:left="0" w:firstLine="480"/>
        <w:jc w:val="left"/>
        <w:keepLines w:val="0"/>
        <w:keepNext w:val="0"/>
        <w:pageBreakBefore w:val="0"/>
        <w:spacing w:line="360" w:lineRule="auto"/>
        <w:rPr>
          <w:rFonts w:hint="eastAsia" w:ascii="宋体" w:hAnsi="宋体" w:eastAsia="宋体" w:cs="宋体"/>
          <w:bCs/>
          <w:sz w:val="24"/>
          <w:szCs w:val="24"/>
          <w:highlight w:val="none"/>
          <w:u w:val="none"/>
          <w:lang w:eastAsia="zh-CN"/>
        </w:rPr>
      </w:pPr>
      <w:r>
        <w:rPr>
          <w:rFonts w:hint="eastAsia" w:ascii="宋体" w:hAnsi="宋体" w:eastAsia="宋体" w:cs="宋体"/>
          <w:sz w:val="24"/>
          <w:szCs w:val="24"/>
          <w:highlight w:val="none"/>
          <w:u w:val="none"/>
        </w:rPr>
        <w:t xml:space="preserve">本项目养护质量标准：</w:t>
      </w:r>
      <w:r>
        <w:rPr>
          <w:rFonts w:hint="eastAsia" w:ascii="宋体" w:hAnsi="宋体" w:eastAsia="宋体" w:cs="宋体"/>
          <w:bCs/>
          <w:sz w:val="24"/>
          <w:szCs w:val="24"/>
          <w:highlight w:val="none"/>
          <w:u w:val="none"/>
        </w:rPr>
        <w:t xml:space="preserve">《江苏省城市园林绿化养护管理规范及分级标准》</w:t>
      </w:r>
      <w:r>
        <w:rPr>
          <w:rFonts w:hint="eastAsia" w:ascii="宋体" w:hAnsi="宋体" w:eastAsia="宋体" w:cs="宋体"/>
          <w:bCs/>
          <w:sz w:val="24"/>
          <w:szCs w:val="24"/>
          <w:highlight w:val="none"/>
          <w:u w:val="none"/>
          <w:lang w:eastAsia="zh-CN"/>
        </w:rPr>
        <w:t xml:space="preserve">。</w:t>
      </w:r>
      <w:r>
        <w:rPr>
          <w:rFonts w:hint="eastAsia" w:ascii="宋体" w:hAnsi="宋体" w:eastAsia="宋体" w:cs="宋体"/>
          <w:bCs/>
          <w:sz w:val="24"/>
          <w:szCs w:val="24"/>
          <w:highlight w:val="none"/>
          <w:u w:val="none"/>
          <w:lang w:eastAsia="zh-CN"/>
        </w:rPr>
      </w:r>
      <w:r/>
    </w:p>
    <w:p>
      <w:pPr>
        <w:pStyle w:val="154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五</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w:t>
      </w:r>
      <w:r>
        <w:rPr>
          <w:rFonts w:hint="eastAsia" w:ascii="宋体" w:hAnsi="宋体" w:eastAsia="宋体" w:cs="宋体"/>
          <w:b/>
          <w:bCs/>
          <w:i w:val="0"/>
          <w:iCs w:val="0"/>
          <w:caps w:val="0"/>
          <w:color w:val="1c1917"/>
          <w:spacing w:val="0"/>
          <w:sz w:val="24"/>
          <w:szCs w:val="24"/>
          <w:shd w:val="clear" w:color="auto" w:fill="ffffff"/>
          <w:lang w:eastAsia="zh-CN"/>
        </w:rPr>
        <w:t xml:space="preserve">组成本合同的有关文件</w:t>
      </w:r>
      <w:r>
        <w:rPr>
          <w:rFonts w:hint="eastAsia" w:ascii="宋体" w:hAnsi="宋体" w:eastAsia="宋体" w:cs="宋体"/>
          <w:b/>
          <w:bCs/>
          <w:i w:val="0"/>
          <w:iCs w:val="0"/>
          <w:caps w:val="0"/>
          <w:color w:val="1c1917"/>
          <w:spacing w:val="0"/>
          <w:sz w:val="24"/>
          <w:szCs w:val="24"/>
          <w:shd w:val="clear" w:color="auto" w:fill="ffffff"/>
          <w:lang w:eastAsia="zh-CN"/>
        </w:rPr>
      </w:r>
      <w:r/>
    </w:p>
    <w:p>
      <w:pPr>
        <w:pStyle w:val="1497"/>
        <w:ind w:left="0" w:firstLine="480"/>
        <w:jc w:val="left"/>
        <w:keepLines w:val="0"/>
        <w:keepNext w:val="0"/>
        <w:pageBreakBefore w:val="0"/>
        <w:spacing w:line="360" w:lineRule="auto"/>
        <w:rPr>
          <w:rFonts w:hint="eastAsia" w:ascii="宋体" w:hAnsi="宋体" w:eastAsia="宋体" w:cs="宋体"/>
          <w:bCs/>
          <w:sz w:val="24"/>
          <w:szCs w:val="24"/>
          <w:highlight w:val="none"/>
          <w:u w:val="none"/>
        </w:rPr>
      </w:pPr>
      <w:r>
        <w:rPr>
          <w:rFonts w:hint="eastAsia" w:ascii="宋体" w:hAnsi="宋体"/>
          <w:sz w:val="24"/>
          <w:szCs w:val="24"/>
        </w:rPr>
        <w:t xml:space="preserve">关于无锡市政府采购</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bCs/>
          <w:sz w:val="24"/>
          <w:szCs w:val="24"/>
          <w:u w:val="single"/>
        </w:rPr>
        <w:t xml:space="preserve"> </w:t>
      </w:r>
      <w:r>
        <w:rPr>
          <w:rFonts w:hint="eastAsia" w:ascii="宋体" w:hAnsi="宋体"/>
          <w:sz w:val="24"/>
          <w:szCs w:val="24"/>
        </w:rPr>
        <w:t xml:space="preserve">的</w:t>
      </w:r>
      <w:r>
        <w:rPr>
          <w:rFonts w:hint="eastAsia" w:ascii="宋体" w:hAnsi="宋体"/>
          <w:bCs/>
          <w:sz w:val="24"/>
          <w:szCs w:val="24"/>
        </w:rPr>
        <w:t xml:space="preserve">招标文件、投标文件、合同条款及中标通知书，乙方在投标、评标过程中所作其它有关承诺、声明、书面澄清等均为合同不可分割的部分，与主合同具有同等法律效力。</w:t>
      </w:r>
      <w:r>
        <w:rPr>
          <w:rFonts w:hint="eastAsia" w:ascii="宋体" w:hAnsi="宋体" w:eastAsia="宋体" w:cs="宋体"/>
          <w:bCs/>
          <w:sz w:val="24"/>
          <w:szCs w:val="24"/>
          <w:highlight w:val="none"/>
          <w:u w:val="none"/>
        </w:rPr>
      </w:r>
      <w:r/>
    </w:p>
    <w:p>
      <w:pPr>
        <w:pStyle w:val="154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六</w:t>
      </w:r>
      <w:r>
        <w:rPr>
          <w:rFonts w:hint="eastAsia" w:ascii="宋体" w:hAnsi="宋体" w:eastAsia="宋体" w:cs="宋体"/>
          <w:b/>
          <w:bCs/>
          <w:i w:val="0"/>
          <w:iCs w:val="0"/>
          <w:caps w:val="0"/>
          <w:color w:val="1c1917"/>
          <w:spacing w:val="0"/>
          <w:sz w:val="24"/>
          <w:szCs w:val="24"/>
          <w:shd w:val="clear" w:color="auto" w:fill="ffffff"/>
          <w:lang w:eastAsia="zh-CN"/>
        </w:rPr>
        <w:t xml:space="preserve">条 考核机制</w:t>
      </w:r>
      <w:r>
        <w:rPr>
          <w:rFonts w:hint="eastAsia" w:ascii="宋体" w:hAnsi="宋体" w:eastAsia="宋体" w:cs="宋体"/>
          <w:b/>
          <w:bCs/>
          <w:i w:val="0"/>
          <w:iCs w:val="0"/>
          <w:caps w:val="0"/>
          <w:color w:val="1c1917"/>
          <w:spacing w:val="0"/>
          <w:sz w:val="24"/>
          <w:szCs w:val="24"/>
          <w:shd w:val="clear" w:color="auto" w:fill="ffffff"/>
          <w:lang w:eastAsia="zh-CN"/>
        </w:rPr>
      </w:r>
      <w:r/>
    </w:p>
    <w:p>
      <w:pPr>
        <w:pStyle w:val="154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lang w:val="en-US" w:eastAsia="zh-CN"/>
        </w:rPr>
        <w:suppressLineNumbers w:val="0"/>
      </w:pPr>
      <w:r>
        <w:rPr>
          <w:rFonts w:hint="eastAsia" w:ascii="宋体" w:hAnsi="宋体" w:eastAsia="宋体" w:cs="宋体"/>
          <w:i w:val="0"/>
          <w:iCs w:val="0"/>
          <w:caps w:val="0"/>
          <w:color w:val="1c1917"/>
          <w:spacing w:val="0"/>
          <w:sz w:val="24"/>
          <w:szCs w:val="24"/>
          <w:shd w:val="clear" w:color="auto" w:fill="ffffff"/>
        </w:rPr>
        <w:t xml:space="preserve">甲方</w:t>
      </w:r>
      <w:r>
        <w:rPr>
          <w:rFonts w:hint="eastAsia" w:ascii="宋体" w:hAnsi="宋体" w:eastAsia="宋体" w:cs="宋体"/>
          <w:i w:val="0"/>
          <w:iCs w:val="0"/>
          <w:caps w:val="0"/>
          <w:color w:val="1c1917"/>
          <w:spacing w:val="0"/>
          <w:sz w:val="24"/>
          <w:szCs w:val="24"/>
          <w:highlight w:val="none"/>
          <w:shd w:val="clear" w:color="auto" w:fill="ffffff"/>
        </w:rPr>
        <w:t xml:space="preserve">每月末对乙方服务进行评鉴考核,按照清洁度、植被状态、服务态度等指标打分。</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详见附件 锡山区绿化养护管理考核评定表。</w:t>
      </w:r>
      <w:r>
        <w:rPr>
          <w:rFonts w:hint="eastAsia" w:ascii="宋体" w:hAnsi="宋体" w:eastAsia="宋体" w:cs="宋体"/>
          <w:i w:val="0"/>
          <w:iCs w:val="0"/>
          <w:caps w:val="0"/>
          <w:color w:val="1c1917"/>
          <w:spacing w:val="0"/>
          <w:sz w:val="24"/>
          <w:szCs w:val="24"/>
          <w:highlight w:val="none"/>
          <w:lang w:val="en-US" w:eastAsia="zh-CN"/>
        </w:rPr>
      </w:r>
      <w:r/>
    </w:p>
    <w:p>
      <w:pPr>
        <w:pStyle w:val="154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七</w:t>
      </w:r>
      <w:r>
        <w:rPr>
          <w:rFonts w:hint="eastAsia" w:ascii="宋体" w:hAnsi="宋体" w:eastAsia="宋体" w:cs="宋体"/>
          <w:b/>
          <w:bCs/>
          <w:i w:val="0"/>
          <w:iCs w:val="0"/>
          <w:caps w:val="0"/>
          <w:color w:val="1c1917"/>
          <w:spacing w:val="0"/>
          <w:sz w:val="24"/>
          <w:szCs w:val="24"/>
          <w:highlight w:val="none"/>
          <w:shd w:val="clear" w:color="auto" w:fill="ffffff"/>
        </w:rPr>
        <w:t xml:space="preserve">条 合同价款</w:t>
      </w:r>
      <w:r>
        <w:rPr>
          <w:rFonts w:hint="eastAsia" w:ascii="宋体" w:hAnsi="宋体" w:eastAsia="宋体" w:cs="宋体"/>
          <w:b/>
          <w:bCs/>
          <w:i w:val="0"/>
          <w:iCs w:val="0"/>
          <w:caps w:val="0"/>
          <w:color w:val="1c1917"/>
          <w:spacing w:val="0"/>
          <w:sz w:val="24"/>
          <w:szCs w:val="24"/>
          <w:highlight w:val="none"/>
          <w:shd w:val="clear" w:color="auto" w:fill="ffffff"/>
        </w:rPr>
      </w:r>
      <w:r/>
    </w:p>
    <w:p>
      <w:pPr>
        <w:pStyle w:val="154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1c1917"/>
          <w:spacing w:val="0"/>
          <w:sz w:val="24"/>
          <w:szCs w:val="24"/>
          <w:highlight w:val="none"/>
          <w:shd w:val="clear" w:color="auto" w:fill="ffffff"/>
        </w:rPr>
        <w:t xml:space="preserve">甲方向乙方支付养护服务费共计人民币</w:t>
      </w:r>
      <w:r>
        <w:rPr>
          <w:rFonts w:hint="eastAsia" w:ascii="宋体" w:hAnsi="宋体"/>
          <w:sz w:val="24"/>
          <w:szCs w:val="24"/>
          <w:highlight w:val="none"/>
          <w:u w:val="single"/>
          <w:lang w:val="en-US" w:eastAsia="zh-CN"/>
        </w:rPr>
        <w:t xml:space="preserve">          </w:t>
      </w:r>
      <w:r>
        <w:rPr>
          <w:rFonts w:hint="eastAsia" w:ascii="宋体" w:hAnsi="宋体" w:eastAsia="宋体" w:cs="宋体"/>
          <w:i w:val="0"/>
          <w:iCs w:val="0"/>
          <w:caps w:val="0"/>
          <w:color w:val="1c1917"/>
          <w:spacing w:val="0"/>
          <w:sz w:val="24"/>
          <w:szCs w:val="24"/>
          <w:highlight w:val="none"/>
          <w:shd w:val="clear" w:color="auto" w:fill="ffffff"/>
        </w:rPr>
        <w:t xml:space="preserve">元(大写</w:t>
      </w:r>
      <w:r>
        <w:rPr>
          <w:rFonts w:hint="eastAsia" w:ascii="宋体" w:hAnsi="宋体"/>
          <w:sz w:val="24"/>
          <w:szCs w:val="24"/>
          <w:highlight w:val="none"/>
          <w:u w:val="single"/>
          <w:lang w:val="en-US" w:eastAsia="zh-CN"/>
        </w:rPr>
        <w:t xml:space="preserve">              </w:t>
      </w:r>
      <w:r>
        <w:rPr>
          <w:rFonts w:hint="eastAsia" w:ascii="宋体" w:hAnsi="宋体" w:eastAsia="宋体" w:cs="宋体"/>
          <w:i w:val="0"/>
          <w:iCs w:val="0"/>
          <w:caps w:val="0"/>
          <w:color w:val="1c1917"/>
          <w:spacing w:val="0"/>
          <w:sz w:val="24"/>
          <w:szCs w:val="24"/>
          <w:highlight w:val="none"/>
          <w:shd w:val="clear" w:color="auto" w:fill="ffffff"/>
        </w:rPr>
        <w:t xml:space="preserve">)。</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服务周期结束后，甲方根据考核分按比例结算。</w:t>
      </w:r>
      <w:r>
        <w:rPr>
          <w:rFonts w:hint="eastAsia" w:ascii="宋体" w:hAnsi="宋体" w:eastAsia="宋体" w:cs="宋体"/>
          <w:i w:val="0"/>
          <w:iCs w:val="0"/>
          <w:caps w:val="0"/>
          <w:color w:val="1c1917"/>
          <w:spacing w:val="0"/>
          <w:sz w:val="24"/>
          <w:szCs w:val="24"/>
          <w:highlight w:val="none"/>
          <w:shd w:val="clear" w:color="auto" w:fill="ffffff"/>
          <w:lang w:val="en-US" w:eastAsia="zh-CN"/>
        </w:rPr>
      </w:r>
      <w:r/>
    </w:p>
    <w:p>
      <w:pPr>
        <w:pStyle w:val="1497"/>
        <w:ind w:left="0" w:firstLine="480"/>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eastAsia="zh-CN"/>
        </w:rPr>
        <w:t xml:space="preserve">经考核后按季结算，每半年支付一次，合同期结束后按审计价付清余额。</w:t>
      </w:r>
      <w:r>
        <w:rPr>
          <w:rFonts w:hint="eastAsia" w:ascii="宋体" w:hAnsi="宋体"/>
          <w:sz w:val="24"/>
          <w:highlight w:val="none"/>
        </w:rPr>
      </w:r>
      <w:r/>
    </w:p>
    <w:p>
      <w:pPr>
        <w:pStyle w:val="149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预付款支付方式：合同签订后30日内，采购人向供应商支付合同总金额的10%作为预付款，预付款在项目第一次请款时一次性抵扣。当期付款金额不足抵扣的，在下期请款款中进行抵扣，直至预付款全部抵扣完毕。</w:t>
      </w:r>
      <w:r>
        <w:rPr>
          <w:rFonts w:hint="eastAsia" w:ascii="宋体" w:hAnsi="宋体" w:eastAsia="宋体" w:cs="宋体"/>
          <w:color w:val="000000"/>
          <w:sz w:val="24"/>
          <w:szCs w:val="24"/>
          <w:highlight w:val="none"/>
        </w:rPr>
      </w:r>
      <w:r/>
    </w:p>
    <w:p>
      <w:pPr>
        <w:pStyle w:val="1497"/>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4、本项目不需要履约保证金。</w:t>
      </w:r>
      <w:r>
        <w:rPr>
          <w:rFonts w:ascii="宋体" w:hAnsi="宋体" w:eastAsia="宋体" w:cs="宋体"/>
          <w:color w:val="000000"/>
          <w:sz w:val="24"/>
          <w:szCs w:val="24"/>
          <w:highlight w:val="none"/>
          <w:lang w:val="en-US" w:eastAsia="zh-CN"/>
        </w:rPr>
      </w:r>
      <w:r/>
    </w:p>
    <w:p>
      <w:pPr>
        <w:pStyle w:val="154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八</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w:t>
      </w:r>
      <w:r>
        <w:rPr>
          <w:rFonts w:hint="eastAsia" w:ascii="宋体" w:hAnsi="宋体" w:eastAsia="宋体" w:cs="宋体"/>
          <w:b/>
          <w:bCs/>
          <w:i w:val="0"/>
          <w:iCs w:val="0"/>
          <w:caps w:val="0"/>
          <w:color w:val="1c1917"/>
          <w:spacing w:val="0"/>
          <w:sz w:val="24"/>
          <w:szCs w:val="24"/>
          <w:shd w:val="clear" w:color="auto" w:fill="ffffff"/>
          <w:lang w:eastAsia="zh-CN"/>
        </w:rPr>
        <w:t xml:space="preserve">双方权利义务</w:t>
      </w:r>
      <w:r>
        <w:rPr>
          <w:rFonts w:hint="eastAsia" w:ascii="宋体" w:hAnsi="宋体" w:eastAsia="宋体" w:cs="宋体"/>
          <w:b/>
          <w:bCs/>
          <w:i w:val="0"/>
          <w:iCs w:val="0"/>
          <w:caps w:val="0"/>
          <w:color w:val="1c1917"/>
          <w:spacing w:val="0"/>
          <w:sz w:val="24"/>
          <w:szCs w:val="24"/>
          <w:shd w:val="clear" w:color="auto" w:fill="ffffff"/>
          <w:lang w:eastAsia="zh-CN"/>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一、甲方权利义务：</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1、代表和维护产权人及使用人的合法权益；</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2、不得干涉乙方依法或依本合同规定内容所进行的管理活动；</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3、负责处理非乙方原因而产生的各种纠纷；</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4、审定乙方撰写的绿化综合养护服务管理制度；</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5、检查监督乙方管理工作的实施及制度的执行情况；</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6、审定乙方提出的绿化综合养护服务年度计划及财务预决算；</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7、协助乙方做好服务管理工作；</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二、乙方权利义务：</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1、根据有关</w:t>
      </w:r>
      <w:r>
        <w:rPr>
          <w:rFonts w:hint="eastAsia" w:ascii="宋体" w:hAnsi="宋体"/>
          <w:sz w:val="24"/>
          <w:szCs w:val="24"/>
          <w:lang w:eastAsia="zh-CN"/>
        </w:rPr>
        <w:t xml:space="preserve">法律法规</w:t>
      </w:r>
      <w:r>
        <w:rPr>
          <w:rFonts w:hint="eastAsia" w:ascii="宋体" w:hAnsi="宋体"/>
          <w:sz w:val="24"/>
          <w:szCs w:val="24"/>
        </w:rPr>
        <w:t xml:space="preserve">、本合同的规定及本服务的实际情况，制定服务管理制度及管理方案、年度管理计划、资金使用计划及决算报告等工作目标；</w:t>
      </w:r>
      <w:r>
        <w:rPr>
          <w:rFonts w:hint="eastAsia" w:ascii="宋体" w:hAnsi="宋体"/>
          <w:sz w:val="24"/>
          <w:szCs w:val="24"/>
        </w:rPr>
      </w:r>
      <w:r/>
    </w:p>
    <w:p>
      <w:pPr>
        <w:pStyle w:val="1497"/>
        <w:ind w:left="0" w:firstLine="480"/>
        <w:jc w:val="left"/>
        <w:keepLines w:val="0"/>
        <w:keepNext w:val="0"/>
        <w:pageBreakBefore w:val="0"/>
        <w:spacing w:line="360" w:lineRule="auto"/>
        <w:rPr>
          <w:rFonts w:ascii="宋体" w:hAnsi="宋体" w:eastAsia="宋体"/>
          <w:sz w:val="24"/>
          <w:szCs w:val="24"/>
          <w:lang w:val="en-US" w:eastAsia="zh-CN"/>
        </w:rPr>
      </w:pPr>
      <w:r>
        <w:rPr>
          <w:rFonts w:hint="eastAsia" w:ascii="宋体" w:hAnsi="宋体"/>
          <w:sz w:val="24"/>
          <w:szCs w:val="24"/>
        </w:rPr>
        <w:t xml:space="preserve">2、定期向甲方公布服务管理费用</w:t>
      </w:r>
      <w:r>
        <w:rPr>
          <w:rFonts w:hint="eastAsia" w:ascii="宋体" w:hAnsi="宋体"/>
          <w:sz w:val="24"/>
          <w:szCs w:val="24"/>
          <w:lang w:eastAsia="zh-CN"/>
        </w:rPr>
        <w:t xml:space="preserve">收支账目</w:t>
      </w:r>
      <w:r>
        <w:rPr>
          <w:rFonts w:hint="eastAsia" w:ascii="宋体" w:hAnsi="宋体"/>
          <w:sz w:val="24"/>
          <w:szCs w:val="24"/>
        </w:rPr>
        <w:t xml:space="preserve">；</w:t>
      </w:r>
      <w:r>
        <w:rPr>
          <w:rFonts w:ascii="宋体" w:hAnsi="宋体" w:eastAsia="宋体"/>
          <w:sz w:val="24"/>
          <w:szCs w:val="24"/>
          <w:lang w:val="en-US" w:eastAsia="zh-CN"/>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3、在本服务管理区域内设立专门机构负责本项目的日常服务管理工作，并委派有岗位资质的人员履行本合同；</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4、负责所有日常服务材料、用品及易耗品的更新；</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5、自主开展服务管理活动，但不得侵害甲方、服务使用人及他人的合法权益，不得利用提供绿化综合养护服务的便利获取不当利益；</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6、根据有关</w:t>
      </w:r>
      <w:r>
        <w:rPr>
          <w:rFonts w:hint="eastAsia" w:ascii="宋体" w:hAnsi="宋体"/>
          <w:sz w:val="24"/>
          <w:szCs w:val="24"/>
          <w:lang w:eastAsia="zh-CN"/>
        </w:rPr>
        <w:t xml:space="preserve">法律法规</w:t>
      </w:r>
      <w:r>
        <w:rPr>
          <w:rFonts w:hint="eastAsia" w:ascii="宋体" w:hAnsi="宋体"/>
          <w:sz w:val="24"/>
          <w:szCs w:val="24"/>
        </w:rPr>
        <w:t xml:space="preserve">的规定和本合同的规定，向甲方收取服务费用，通过合法有效方式解决拖欠服务费的问题；</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7、建立、保存服务</w:t>
      </w:r>
      <w:r>
        <w:rPr>
          <w:rFonts w:hint="eastAsia" w:ascii="宋体" w:hAnsi="宋体"/>
          <w:sz w:val="24"/>
          <w:szCs w:val="24"/>
          <w:lang w:eastAsia="zh-CN"/>
        </w:rPr>
        <w:t xml:space="preserve">管理账目</w:t>
      </w:r>
      <w:r>
        <w:rPr>
          <w:rFonts w:hint="eastAsia" w:ascii="宋体" w:hAnsi="宋体"/>
          <w:sz w:val="24"/>
          <w:szCs w:val="24"/>
        </w:rPr>
        <w:t xml:space="preserve">，及时向甲方公告本管理区域内的重大服务事项；</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8、合同终止时，向甲方移交全部服务管理用房、档案资料和注明应属甲方所有的其他资产和物资（含开办费），并办理交接手续；</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9、法规、政策规定由乙方承担的其他责任。</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三、在管理过程中，因下列因素所致的损害，不论其为直接或间接，均构成对乙方的免责事由，乙方均不负赔偿之责：</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1、天灾、地震等不可抗力的事由所致的损害；</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2、暴动、持械抢劫、破坏、爆炸、火灾、刑事犯罪等违法行为等事由所致的损害，但因乙方故意或过失所致，不在此限；</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3、因本合同标的物本身固有瑕疵所致的损害；</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4、因甲方或第三者之故意、过失所致的损害；</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5、因甲方或使用人专有部分的火灾、盗窃等所致的损害。</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6、因乙方书面建议甲方改善或改进服务管理措施，而甲方未采纳所致的损害；</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7、因甲方或使用人指挥调派乙方工作人员所致的损害；</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8、本合同标的物之共用部分（含共用部位、共用设备设施）自然或人为的任何损坏。但因乙方故意或重大过失所致的，不在此限；</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9、除上述各款外，其它不可归责于乙方之事由的。</w:t>
      </w:r>
      <w:r>
        <w:rPr>
          <w:rFonts w:hint="eastAsia" w:ascii="宋体" w:hAnsi="宋体"/>
          <w:sz w:val="24"/>
          <w:szCs w:val="24"/>
        </w:rPr>
      </w:r>
      <w:r/>
    </w:p>
    <w:p>
      <w:pPr>
        <w:pStyle w:val="1497"/>
        <w:ind w:left="0" w:firstLine="480"/>
        <w:jc w:val="left"/>
        <w:keepLines w:val="0"/>
        <w:keepNext w:val="0"/>
        <w:pageBreakBefore w:val="0"/>
        <w:spacing w:line="360" w:lineRule="auto"/>
        <w:rPr>
          <w:rFonts w:ascii="宋体" w:hAnsi="宋体"/>
          <w:sz w:val="24"/>
          <w:szCs w:val="24"/>
        </w:rPr>
      </w:pPr>
      <w:r>
        <w:rPr>
          <w:rFonts w:hint="eastAsia" w:ascii="宋体" w:hAnsi="宋体"/>
          <w:sz w:val="24"/>
          <w:szCs w:val="24"/>
        </w:rPr>
        <w:t xml:space="preserve">四、为维护公众、甲方及使用人的合法利益，在不可预见情况下，如发生</w:t>
      </w:r>
      <w:r>
        <w:rPr>
          <w:rFonts w:hint="eastAsia" w:ascii="宋体" w:hAnsi="宋体"/>
          <w:sz w:val="24"/>
          <w:szCs w:val="24"/>
          <w:lang w:eastAsia="zh-CN"/>
        </w:rPr>
        <w:t xml:space="preserve">煤气泄漏</w:t>
      </w:r>
      <w:r>
        <w:rPr>
          <w:rFonts w:hint="eastAsia" w:ascii="宋体" w:hAnsi="宋体"/>
          <w:sz w:val="24"/>
          <w:szCs w:val="24"/>
        </w:rPr>
        <w:t xml:space="preserve">、漏电、</w:t>
      </w:r>
      <w:r>
        <w:rPr>
          <w:rFonts w:ascii="宋体" w:hAnsi="宋体"/>
          <w:sz w:val="24"/>
          <w:szCs w:val="24"/>
        </w:rPr>
        <w:t xml:space="preserve">火灾、水管破裂、救助人命、协助公安机关执行任务等情况，乙方因采取紧急避险措施造成财产损失的，按有关法律规定处理。</w:t>
      </w:r>
      <w:r>
        <w:rPr>
          <w:rFonts w:ascii="宋体" w:hAnsi="宋体"/>
          <w:sz w:val="24"/>
          <w:szCs w:val="24"/>
        </w:rPr>
      </w:r>
      <w:r/>
    </w:p>
    <w:p>
      <w:pPr>
        <w:pStyle w:val="154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九</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知识产权</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497"/>
        <w:ind w:left="0" w:firstLine="480"/>
        <w:jc w:val="left"/>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r>
        <w:rPr>
          <w:rFonts w:hint="eastAsia" w:ascii="宋体" w:hAnsi="宋体" w:eastAsia="宋体" w:cs="Times New Roman"/>
          <w:bCs/>
          <w:sz w:val="24"/>
          <w:szCs w:val="24"/>
          <w:lang w:val="en-US" w:eastAsia="zh-CN"/>
        </w:rPr>
      </w:r>
      <w:r/>
    </w:p>
    <w:p>
      <w:pPr>
        <w:pStyle w:val="154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第十条 合同的变更及终止</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497"/>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有下列情形之一的，本合同自行终止。</w:t>
      </w:r>
      <w:r>
        <w:rPr>
          <w:rFonts w:hint="eastAsia" w:ascii="宋体" w:hAnsi="宋体"/>
          <w:bCs/>
          <w:sz w:val="24"/>
          <w:szCs w:val="24"/>
        </w:rPr>
      </w:r>
      <w:r/>
    </w:p>
    <w:p>
      <w:pPr>
        <w:pStyle w:val="1497"/>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(1)因不可抗力因素及政策原因，造成合同无法履行的。</w:t>
      </w:r>
      <w:r>
        <w:rPr>
          <w:rFonts w:hint="eastAsia" w:ascii="宋体" w:hAnsi="宋体"/>
          <w:bCs/>
          <w:sz w:val="24"/>
          <w:szCs w:val="24"/>
        </w:rPr>
      </w:r>
      <w:r/>
    </w:p>
    <w:p>
      <w:pPr>
        <w:pStyle w:val="1497"/>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(2)经双方协商一致，自愿解除的。</w:t>
      </w:r>
      <w:r>
        <w:rPr>
          <w:rFonts w:hint="eastAsia" w:ascii="宋体" w:hAnsi="宋体"/>
          <w:bCs/>
          <w:sz w:val="24"/>
          <w:szCs w:val="24"/>
        </w:rPr>
      </w:r>
      <w:r/>
    </w:p>
    <w:p>
      <w:pPr>
        <w:pStyle w:val="1497"/>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有下列情形之一的，</w:t>
      </w:r>
      <w:r>
        <w:rPr>
          <w:rFonts w:hint="eastAsia" w:ascii="宋体" w:hAnsi="宋体"/>
          <w:bCs/>
          <w:sz w:val="24"/>
          <w:szCs w:val="24"/>
          <w:lang w:eastAsia="zh-CN"/>
        </w:rPr>
        <w:t xml:space="preserve">甲方</w:t>
      </w:r>
      <w:r>
        <w:rPr>
          <w:rFonts w:hint="eastAsia" w:ascii="宋体" w:hAnsi="宋体"/>
          <w:bCs/>
          <w:sz w:val="24"/>
          <w:szCs w:val="24"/>
        </w:rPr>
        <w:t xml:space="preserve">有权单方终止合同。</w:t>
      </w:r>
      <w:r>
        <w:rPr>
          <w:rFonts w:hint="eastAsia" w:ascii="宋体" w:hAnsi="宋体"/>
          <w:bCs/>
          <w:sz w:val="24"/>
          <w:szCs w:val="24"/>
        </w:rPr>
      </w:r>
      <w:r/>
    </w:p>
    <w:p>
      <w:pPr>
        <w:pStyle w:val="1497"/>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(1)未经</w:t>
      </w:r>
      <w:r>
        <w:rPr>
          <w:rFonts w:hint="eastAsia" w:ascii="宋体" w:hAnsi="宋体"/>
          <w:bCs/>
          <w:sz w:val="24"/>
          <w:szCs w:val="24"/>
          <w:lang w:eastAsia="zh-CN"/>
        </w:rPr>
        <w:t xml:space="preserve">甲方</w:t>
      </w:r>
      <w:r>
        <w:rPr>
          <w:rFonts w:hint="eastAsia" w:ascii="宋体" w:hAnsi="宋体"/>
          <w:bCs/>
          <w:sz w:val="24"/>
          <w:szCs w:val="24"/>
        </w:rPr>
        <w:t xml:space="preserve">书面同意，</w:t>
      </w:r>
      <w:r>
        <w:rPr>
          <w:rFonts w:hint="eastAsia" w:ascii="宋体" w:hAnsi="宋体"/>
          <w:bCs/>
          <w:sz w:val="24"/>
          <w:szCs w:val="24"/>
          <w:lang w:eastAsia="zh-CN"/>
        </w:rPr>
        <w:t xml:space="preserve">乙方</w:t>
      </w:r>
      <w:r>
        <w:rPr>
          <w:rFonts w:hint="eastAsia" w:ascii="宋体" w:hAnsi="宋体"/>
          <w:bCs/>
          <w:sz w:val="24"/>
          <w:szCs w:val="24"/>
        </w:rPr>
        <w:t xml:space="preserve">擅自分包或者转包他人的。</w:t>
      </w:r>
      <w:r>
        <w:rPr>
          <w:rFonts w:hint="eastAsia" w:ascii="宋体" w:hAnsi="宋体"/>
          <w:bCs/>
          <w:sz w:val="24"/>
          <w:szCs w:val="24"/>
        </w:rPr>
      </w:r>
      <w:r/>
    </w:p>
    <w:p>
      <w:pPr>
        <w:pStyle w:val="1497"/>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eastAsia="zh-CN"/>
        </w:rPr>
        <w:t xml:space="preserve">乙方</w:t>
      </w:r>
      <w:r>
        <w:rPr>
          <w:rFonts w:hint="eastAsia" w:ascii="宋体" w:hAnsi="宋体"/>
          <w:bCs/>
          <w:sz w:val="24"/>
          <w:szCs w:val="24"/>
        </w:rPr>
        <w:t xml:space="preserve">不履行义务，</w:t>
      </w:r>
      <w:r>
        <w:rPr>
          <w:rFonts w:hint="eastAsia" w:ascii="宋体" w:hAnsi="宋体"/>
          <w:bCs/>
          <w:sz w:val="24"/>
          <w:szCs w:val="24"/>
          <w:lang w:eastAsia="zh-CN"/>
        </w:rPr>
        <w:t xml:space="preserve">甲方</w:t>
      </w:r>
      <w:r>
        <w:rPr>
          <w:rFonts w:hint="eastAsia" w:ascii="宋体" w:hAnsi="宋体"/>
          <w:bCs/>
          <w:sz w:val="24"/>
          <w:szCs w:val="24"/>
        </w:rPr>
        <w:t xml:space="preserve">有权终止承包合同。</w:t>
      </w:r>
      <w:r>
        <w:rPr>
          <w:rFonts w:hint="eastAsia" w:ascii="宋体" w:hAnsi="宋体"/>
          <w:bCs/>
          <w:sz w:val="24"/>
          <w:szCs w:val="24"/>
        </w:rPr>
      </w:r>
      <w:r/>
    </w:p>
    <w:p>
      <w:pPr>
        <w:pStyle w:val="1497"/>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合同履行过程中发生下列情形的，</w:t>
      </w:r>
      <w:r>
        <w:rPr>
          <w:rFonts w:hint="eastAsia" w:ascii="宋体" w:hAnsi="宋体"/>
          <w:bCs/>
          <w:sz w:val="24"/>
          <w:szCs w:val="24"/>
          <w:lang w:eastAsia="zh-CN"/>
        </w:rPr>
        <w:t xml:space="preserve">甲</w:t>
      </w:r>
      <w:r>
        <w:rPr>
          <w:rFonts w:hint="eastAsia" w:ascii="宋体" w:hAnsi="宋体"/>
          <w:bCs/>
          <w:sz w:val="24"/>
          <w:szCs w:val="24"/>
        </w:rPr>
        <w:t xml:space="preserve">方有权变更、中止或终止合同，</w:t>
      </w:r>
      <w:r>
        <w:rPr>
          <w:rFonts w:hint="eastAsia" w:ascii="宋体" w:hAnsi="宋体"/>
          <w:color w:val="000000"/>
          <w:sz w:val="24"/>
          <w:lang w:eastAsia="zh-CN"/>
        </w:rPr>
        <w:t xml:space="preserve">乙方</w:t>
      </w:r>
      <w:r>
        <w:rPr>
          <w:rFonts w:hint="eastAsia" w:ascii="宋体" w:hAnsi="宋体"/>
          <w:bCs/>
          <w:sz w:val="24"/>
          <w:szCs w:val="24"/>
        </w:rPr>
        <w:t xml:space="preserve">应当予以配合，但</w:t>
      </w:r>
      <w:r>
        <w:rPr>
          <w:rFonts w:hint="eastAsia" w:ascii="宋体" w:hAnsi="宋体"/>
          <w:bCs/>
          <w:sz w:val="24"/>
          <w:szCs w:val="24"/>
          <w:lang w:eastAsia="zh-CN"/>
        </w:rPr>
        <w:t xml:space="preserve">甲方</w:t>
      </w:r>
      <w:r>
        <w:rPr>
          <w:rFonts w:hint="eastAsia" w:ascii="宋体" w:hAnsi="宋体"/>
          <w:bCs/>
          <w:sz w:val="24"/>
          <w:szCs w:val="24"/>
        </w:rPr>
        <w:t xml:space="preserve">应当在发生相应情形后及时通知</w:t>
      </w:r>
      <w:r>
        <w:rPr>
          <w:rFonts w:hint="eastAsia" w:ascii="宋体" w:hAnsi="宋体"/>
          <w:color w:val="000000"/>
          <w:sz w:val="24"/>
          <w:lang w:eastAsia="zh-CN"/>
        </w:rPr>
        <w:t xml:space="preserve">乙方</w:t>
      </w:r>
      <w:r>
        <w:rPr>
          <w:rFonts w:hint="eastAsia" w:ascii="宋体" w:hAnsi="宋体"/>
          <w:bCs/>
          <w:sz w:val="24"/>
          <w:szCs w:val="24"/>
        </w:rPr>
        <w:t xml:space="preserve">，并组织双方协商确定解决方案，</w:t>
      </w:r>
      <w:r>
        <w:rPr>
          <w:rFonts w:hint="eastAsia" w:ascii="宋体" w:hAnsi="宋体"/>
          <w:bCs/>
          <w:sz w:val="24"/>
          <w:szCs w:val="24"/>
          <w:lang w:eastAsia="zh-CN"/>
        </w:rPr>
        <w:t xml:space="preserve">甲方</w:t>
      </w:r>
      <w:r>
        <w:rPr>
          <w:rFonts w:hint="eastAsia" w:ascii="宋体" w:hAnsi="宋体"/>
          <w:bCs/>
          <w:sz w:val="24"/>
          <w:szCs w:val="24"/>
        </w:rPr>
        <w:t xml:space="preserve">应当按约支付</w:t>
      </w:r>
      <w:r>
        <w:rPr>
          <w:rFonts w:hint="eastAsia" w:ascii="宋体" w:hAnsi="宋体"/>
          <w:color w:val="000000"/>
          <w:sz w:val="24"/>
          <w:lang w:eastAsia="zh-CN"/>
        </w:rPr>
        <w:t xml:space="preserve">乙方</w:t>
      </w:r>
      <w:r>
        <w:rPr>
          <w:rFonts w:hint="eastAsia" w:ascii="宋体" w:hAnsi="宋体"/>
          <w:bCs/>
          <w:sz w:val="24"/>
          <w:szCs w:val="24"/>
        </w:rPr>
        <w:t xml:space="preserve">已经完成的服务对应的合同价款，并补偿因合同变更、中止或终止而引发的</w:t>
      </w:r>
      <w:r>
        <w:rPr>
          <w:rFonts w:hint="eastAsia" w:ascii="宋体" w:hAnsi="宋体"/>
          <w:color w:val="000000"/>
          <w:sz w:val="24"/>
          <w:lang w:eastAsia="zh-CN"/>
        </w:rPr>
        <w:t xml:space="preserve">乙方</w:t>
      </w:r>
      <w:r>
        <w:rPr>
          <w:rFonts w:hint="eastAsia" w:ascii="宋体" w:hAnsi="宋体"/>
          <w:bCs/>
          <w:sz w:val="24"/>
          <w:szCs w:val="24"/>
        </w:rPr>
        <w:t xml:space="preserve">直接损失：</w:t>
      </w:r>
      <w:r>
        <w:rPr>
          <w:rFonts w:hint="eastAsia" w:ascii="宋体" w:hAnsi="宋体"/>
          <w:bCs/>
          <w:sz w:val="24"/>
          <w:szCs w:val="24"/>
        </w:rPr>
      </w:r>
      <w:r/>
    </w:p>
    <w:p>
      <w:pPr>
        <w:pStyle w:val="1497"/>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w:t>
      </w:r>
      <w:r>
        <w:rPr>
          <w:rFonts w:hint="eastAsia" w:ascii="宋体" w:hAnsi="宋体" w:cs="Times New Roman"/>
          <w:bCs/>
          <w:sz w:val="24"/>
          <w:szCs w:val="24"/>
          <w:lang w:val="en-US" w:eastAsia="zh-CN"/>
        </w:rPr>
        <w:t xml:space="preserve">甲方</w:t>
      </w:r>
      <w:r>
        <w:rPr>
          <w:rFonts w:hint="eastAsia" w:ascii="宋体" w:hAnsi="宋体" w:eastAsia="宋体" w:cs="Times New Roman"/>
          <w:bCs/>
          <w:sz w:val="24"/>
          <w:szCs w:val="24"/>
          <w:lang w:val="en-US" w:eastAsia="zh-CN"/>
        </w:rPr>
        <w:t xml:space="preserve">内部工作安排、计划调整等自身原因；</w:t>
      </w:r>
      <w:r>
        <w:rPr>
          <w:rFonts w:hint="eastAsia" w:ascii="宋体" w:hAnsi="宋体" w:eastAsia="宋体" w:cs="Times New Roman"/>
          <w:bCs/>
          <w:sz w:val="24"/>
          <w:szCs w:val="24"/>
          <w:lang w:val="en-US" w:eastAsia="zh-CN"/>
        </w:rPr>
      </w:r>
      <w:r/>
    </w:p>
    <w:p>
      <w:pPr>
        <w:pStyle w:val="1497"/>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（2）中央、省、市、区级政策变动，以及规划、计划调整等外部原因；</w:t>
      </w:r>
      <w:r>
        <w:rPr>
          <w:rFonts w:hint="eastAsia" w:ascii="宋体" w:hAnsi="宋体" w:eastAsia="宋体" w:cs="Times New Roman"/>
          <w:bCs/>
          <w:sz w:val="24"/>
          <w:szCs w:val="24"/>
          <w:lang w:val="en-US" w:eastAsia="zh-CN"/>
        </w:rPr>
      </w:r>
      <w:r/>
    </w:p>
    <w:p>
      <w:pPr>
        <w:pStyle w:val="1497"/>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（3）其他</w:t>
      </w:r>
      <w:r>
        <w:rPr>
          <w:rFonts w:hint="eastAsia" w:ascii="宋体" w:hAnsi="宋体" w:cs="Times New Roman"/>
          <w:bCs/>
          <w:sz w:val="24"/>
          <w:szCs w:val="24"/>
          <w:lang w:val="en-US" w:eastAsia="zh-CN"/>
        </w:rPr>
        <w:t xml:space="preserve">甲方</w:t>
      </w:r>
      <w:r>
        <w:rPr>
          <w:rFonts w:hint="eastAsia" w:ascii="宋体" w:hAnsi="宋体" w:eastAsia="宋体" w:cs="Times New Roman"/>
          <w:bCs/>
          <w:sz w:val="24"/>
          <w:szCs w:val="24"/>
          <w:lang w:val="en-US" w:eastAsia="zh-CN"/>
        </w:rPr>
        <w:t xml:space="preserve">原因。</w:t>
      </w:r>
      <w:r>
        <w:rPr>
          <w:rFonts w:hint="eastAsia" w:ascii="宋体" w:hAnsi="宋体" w:eastAsia="宋体" w:cs="Times New Roman"/>
          <w:bCs/>
          <w:sz w:val="24"/>
          <w:szCs w:val="24"/>
          <w:lang w:val="en-US" w:eastAsia="zh-CN"/>
        </w:rPr>
      </w:r>
      <w:r/>
    </w:p>
    <w:p>
      <w:pPr>
        <w:pStyle w:val="1497"/>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本合同对合同变更、中止或终止合同有其他特殊约定的，按该特殊约定执行。</w:t>
      </w:r>
      <w:r>
        <w:rPr>
          <w:rFonts w:hint="eastAsia" w:ascii="宋体" w:hAnsi="宋体" w:eastAsia="宋体" w:cs="Times New Roman"/>
          <w:bCs/>
          <w:sz w:val="24"/>
          <w:szCs w:val="24"/>
          <w:lang w:val="en-US" w:eastAsia="zh-CN"/>
        </w:rPr>
      </w:r>
      <w:r/>
    </w:p>
    <w:p>
      <w:pPr>
        <w:pStyle w:val="154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第十一条 违约责任</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1、甲方无正当理由，违反本</w:t>
      </w:r>
      <w:r>
        <w:rPr>
          <w:rFonts w:hint="eastAsia" w:ascii="宋体" w:hAnsi="宋体"/>
          <w:sz w:val="24"/>
          <w:szCs w:val="24"/>
          <w:highlight w:val="none"/>
        </w:rPr>
        <w:t xml:space="preserve">合同第</w:t>
      </w:r>
      <w:r>
        <w:rPr>
          <w:rFonts w:hint="eastAsia" w:ascii="宋体" w:hAnsi="宋体"/>
          <w:sz w:val="24"/>
          <w:szCs w:val="24"/>
          <w:highlight w:val="none"/>
          <w:lang w:eastAsia="zh-CN"/>
        </w:rPr>
        <w:t xml:space="preserve">四</w:t>
      </w:r>
      <w:r>
        <w:rPr>
          <w:rFonts w:hint="eastAsia" w:ascii="宋体" w:hAnsi="宋体"/>
          <w:sz w:val="24"/>
          <w:szCs w:val="24"/>
          <w:highlight w:val="none"/>
        </w:rPr>
        <w:t xml:space="preserve">条的有关</w:t>
      </w:r>
      <w:r>
        <w:rPr>
          <w:rFonts w:hint="eastAsia" w:ascii="宋体" w:hAnsi="宋体"/>
          <w:sz w:val="24"/>
          <w:szCs w:val="24"/>
        </w:rPr>
        <w:t xml:space="preserve">规定，使乙方未能完成规定管理目标的，乙方有权要求甲方在一定期限内解决，逾期未解决，造成乙方经济损失的，由甲方向乙方偿付合同总价5%的违约金,</w:t>
      </w:r>
      <w:r>
        <w:rPr>
          <w:rFonts w:hint="eastAsia" w:ascii="宋体" w:hAnsi="宋体"/>
          <w:bCs/>
          <w:sz w:val="24"/>
          <w:szCs w:val="24"/>
        </w:rPr>
        <w:t xml:space="preserve">或依照法律程序解除部分或全部合同。</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2、甲方未按合同规定的期限向乙方支付款项的，每逾期1天甲方向乙方偿付欠款总额的5‰滞纳金，但累计滞纳金总额不超过欠款总额的5%。</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3、乙方无正当理由，未能达到规定管理目标及质量保证的，甲方有权要求乙方限期整改，逾期未整改，造成甲方经济损失的，乙方应向甲方支付合同总价5%的违约金。</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乙方</w:t>
      </w:r>
      <w:r>
        <w:rPr>
          <w:rFonts w:hint="eastAsia" w:ascii="宋体" w:hAnsi="宋体"/>
          <w:sz w:val="24"/>
          <w:szCs w:val="24"/>
        </w:rPr>
        <w:t xml:space="preserve">无正当理由，擅自收费或擅自提高收费标准的，</w:t>
      </w:r>
      <w:r>
        <w:rPr>
          <w:rFonts w:ascii="宋体" w:hAnsi="宋体"/>
          <w:sz w:val="24"/>
          <w:szCs w:val="24"/>
        </w:rPr>
        <w:t xml:space="preserve">对擅自收费部分或超出标准的部分，</w:t>
      </w:r>
      <w:r>
        <w:rPr>
          <w:rFonts w:hint="eastAsia" w:ascii="宋体" w:hAnsi="宋体"/>
          <w:sz w:val="24"/>
          <w:szCs w:val="24"/>
        </w:rPr>
        <w:t xml:space="preserve">甲方</w:t>
      </w:r>
      <w:r>
        <w:rPr>
          <w:rFonts w:ascii="宋体" w:hAnsi="宋体"/>
          <w:sz w:val="24"/>
          <w:szCs w:val="24"/>
        </w:rPr>
        <w:t xml:space="preserve">有权要求乙方双倍返还</w:t>
      </w:r>
      <w:r>
        <w:rPr>
          <w:rFonts w:hint="eastAsia" w:ascii="宋体" w:hAnsi="宋体"/>
          <w:sz w:val="24"/>
          <w:szCs w:val="24"/>
        </w:rPr>
        <w:t xml:space="preserve">；造成甲方经济损失的，乙方应给予甲方经济赔偿。</w:t>
      </w:r>
      <w:r>
        <w:rPr>
          <w:rFonts w:hint="eastAsia" w:ascii="宋体" w:hAnsi="宋体"/>
          <w:sz w:val="24"/>
          <w:szCs w:val="24"/>
        </w:rPr>
      </w:r>
      <w:r/>
    </w:p>
    <w:p>
      <w:pPr>
        <w:pStyle w:val="1497"/>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5、乙方在承担上述3、4款一项或多项违约责任后，仍应继续履行合同规定的义务（解除合同的除外）。甲方未能及时追究乙方的任何一项违约责任并不表明甲方放弃追究乙方该项或其他违约责任。</w:t>
      </w:r>
      <w:r>
        <w:rPr>
          <w:rFonts w:hint="eastAsia" w:ascii="宋体" w:hAnsi="宋体"/>
          <w:sz w:val="24"/>
          <w:szCs w:val="24"/>
        </w:rPr>
      </w:r>
      <w:r/>
    </w:p>
    <w:p>
      <w:pPr>
        <w:pStyle w:val="154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第十二条 合同生效及其他</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497"/>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1、合同经</w:t>
      </w:r>
      <w:r>
        <w:rPr>
          <w:rFonts w:hint="eastAsia" w:ascii="宋体" w:hAnsi="宋体"/>
          <w:bCs/>
          <w:sz w:val="24"/>
          <w:szCs w:val="24"/>
          <w:lang w:eastAsia="zh-CN"/>
        </w:rPr>
        <w:t xml:space="preserve">甲乙</w:t>
      </w:r>
      <w:r>
        <w:rPr>
          <w:rFonts w:hint="eastAsia" w:ascii="宋体" w:hAnsi="宋体"/>
          <w:bCs/>
          <w:sz w:val="24"/>
          <w:szCs w:val="24"/>
        </w:rPr>
        <w:t xml:space="preserve">双方</w:t>
      </w:r>
      <w:r>
        <w:rPr>
          <w:rFonts w:hint="eastAsia" w:ascii="宋体" w:hAnsi="宋体"/>
          <w:bCs/>
          <w:sz w:val="24"/>
          <w:szCs w:val="24"/>
          <w:lang w:eastAsia="zh-CN"/>
        </w:rPr>
        <w:t xml:space="preserve">盖章、</w:t>
      </w:r>
      <w:r>
        <w:rPr>
          <w:rFonts w:hint="eastAsia" w:ascii="宋体" w:hAnsi="宋体"/>
          <w:bCs/>
          <w:sz w:val="24"/>
          <w:szCs w:val="24"/>
        </w:rPr>
        <w:t xml:space="preserve">签字后</w:t>
      </w:r>
      <w:r>
        <w:rPr>
          <w:rFonts w:hint="eastAsia" w:ascii="宋体" w:hAnsi="宋体"/>
          <w:bCs/>
          <w:sz w:val="24"/>
          <w:szCs w:val="24"/>
          <w:lang w:eastAsia="zh-CN"/>
        </w:rPr>
        <w:t xml:space="preserve">并经代理机构</w:t>
      </w:r>
      <w:r>
        <w:rPr>
          <w:rFonts w:hint="eastAsia" w:ascii="宋体" w:hAnsi="宋体"/>
          <w:bCs/>
          <w:sz w:val="24"/>
          <w:szCs w:val="24"/>
        </w:rPr>
        <w:t xml:space="preserve">见证后生效。</w:t>
      </w:r>
      <w:r>
        <w:rPr>
          <w:rFonts w:hint="eastAsia" w:ascii="宋体" w:hAnsi="宋体"/>
          <w:bCs/>
          <w:sz w:val="24"/>
          <w:szCs w:val="24"/>
        </w:rPr>
      </w:r>
      <w:r/>
    </w:p>
    <w:p>
      <w:pPr>
        <w:pStyle w:val="1497"/>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2、合同在执行过程中出现的未尽事宜，双方在不违背本合同和招标文件的原则下协商解决，协商结果以书面形式签订补充协议，且补充协议与本合同具有同等效力。</w:t>
      </w:r>
      <w:r>
        <w:rPr>
          <w:rFonts w:hint="eastAsia" w:ascii="宋体" w:hAnsi="宋体"/>
          <w:bCs/>
          <w:sz w:val="24"/>
          <w:szCs w:val="24"/>
        </w:rPr>
      </w:r>
      <w:r/>
    </w:p>
    <w:p>
      <w:pPr>
        <w:pStyle w:val="1497"/>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3、合同中未有约定的按照有关的法律法规以及国家行业标准或技术文件规定予以解决。</w:t>
      </w:r>
      <w:r>
        <w:rPr>
          <w:rFonts w:hint="eastAsia" w:ascii="宋体" w:hAnsi="宋体"/>
          <w:bCs/>
          <w:sz w:val="24"/>
          <w:szCs w:val="24"/>
        </w:rPr>
      </w:r>
      <w:r/>
    </w:p>
    <w:p>
      <w:pPr>
        <w:pStyle w:val="1497"/>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4、甲乙双方确认：对本合同条款及后果均已知悉，一致确认不存在欺诈、胁迫、乘人之危、重大误解、显失公平等任何可能导致合同无效或被撤销的情形。</w:t>
      </w:r>
      <w:r>
        <w:rPr>
          <w:rFonts w:hint="eastAsia" w:ascii="宋体" w:hAnsi="宋体"/>
          <w:bCs/>
          <w:sz w:val="24"/>
          <w:szCs w:val="24"/>
        </w:rPr>
      </w:r>
      <w:r/>
    </w:p>
    <w:p>
      <w:pPr>
        <w:pStyle w:val="1497"/>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5、合同签订后</w:t>
      </w:r>
      <w:r>
        <w:rPr>
          <w:rFonts w:hint="eastAsia" w:ascii="宋体" w:hAnsi="宋体"/>
          <w:sz w:val="24"/>
          <w:szCs w:val="24"/>
        </w:rPr>
        <w:t xml:space="preserve">甲乙</w:t>
      </w:r>
      <w:r>
        <w:rPr>
          <w:rFonts w:hint="eastAsia" w:ascii="宋体" w:hAnsi="宋体"/>
          <w:bCs/>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sz w:val="24"/>
          <w:szCs w:val="24"/>
        </w:rPr>
        <w:t xml:space="preserve">由甲乙双方协商处理，若协商不成，</w:t>
      </w:r>
      <w:r>
        <w:rPr>
          <w:rFonts w:hint="eastAsia" w:ascii="宋体" w:hAnsi="宋体"/>
          <w:bCs/>
          <w:sz w:val="24"/>
          <w:szCs w:val="24"/>
        </w:rPr>
        <w:t xml:space="preserve">可选择以下</w:t>
      </w:r>
      <w:r>
        <w:rPr>
          <w:rFonts w:ascii="宋体" w:hAnsi="宋体"/>
          <w:bCs/>
          <w:sz w:val="24"/>
          <w:szCs w:val="24"/>
          <w:u w:val="single"/>
        </w:rPr>
        <w:t xml:space="preserve">  </w:t>
      </w:r>
      <w:r>
        <w:rPr>
          <w:rFonts w:hint="eastAsia" w:ascii="宋体" w:hAnsi="宋体"/>
          <w:bCs/>
          <w:sz w:val="24"/>
          <w:szCs w:val="24"/>
          <w:u w:val="single"/>
          <w:lang w:val="en-US" w:eastAsia="zh-CN"/>
        </w:rPr>
        <w:t xml:space="preserve">   </w:t>
      </w:r>
      <w:r>
        <w:rPr>
          <w:rFonts w:ascii="宋体" w:hAnsi="宋体"/>
          <w:bCs/>
          <w:sz w:val="24"/>
          <w:szCs w:val="24"/>
          <w:u w:val="single"/>
        </w:rPr>
        <w:t xml:space="preserve"> </w:t>
      </w:r>
      <w:r>
        <w:rPr>
          <w:rFonts w:hint="eastAsia" w:ascii="宋体" w:hAnsi="宋体"/>
          <w:bCs/>
          <w:sz w:val="24"/>
          <w:szCs w:val="24"/>
        </w:rPr>
        <w:t xml:space="preserve">方式处理：</w:t>
      </w:r>
      <w:r>
        <w:rPr>
          <w:rFonts w:hint="eastAsia" w:ascii="宋体" w:hAnsi="宋体"/>
          <w:bCs/>
          <w:sz w:val="24"/>
          <w:szCs w:val="24"/>
        </w:rPr>
      </w:r>
      <w:r/>
    </w:p>
    <w:p>
      <w:pPr>
        <w:pStyle w:val="1497"/>
        <w:ind w:left="0" w:firstLine="480"/>
        <w:keepLines w:val="0"/>
        <w:keepNext w:val="0"/>
        <w:pageBreakBefore w:val="0"/>
        <w:spacing w:line="360" w:lineRule="auto"/>
        <w:tabs>
          <w:tab w:val="left" w:pos="525" w:leader="none"/>
          <w:tab w:val="left" w:pos="945" w:leader="none"/>
        </w:tabs>
        <w:rPr>
          <w:rFonts w:hint="eastAsia" w:ascii="宋体" w:hAnsi="宋体"/>
          <w:sz w:val="24"/>
          <w:szCs w:val="24"/>
        </w:rPr>
      </w:pPr>
      <w:r>
        <w:rPr>
          <w:rFonts w:hint="eastAsia" w:ascii="宋体" w:hAnsi="宋体"/>
          <w:sz w:val="24"/>
          <w:szCs w:val="24"/>
        </w:rPr>
        <w:t xml:space="preserve">（1）向无锡仲裁委员会申请仲裁。</w:t>
      </w:r>
      <w:r>
        <w:rPr>
          <w:rFonts w:hint="eastAsia" w:ascii="宋体" w:hAnsi="宋体"/>
          <w:sz w:val="24"/>
          <w:szCs w:val="24"/>
        </w:rPr>
      </w:r>
      <w:r/>
    </w:p>
    <w:p>
      <w:pPr>
        <w:pStyle w:val="1497"/>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（2）向</w:t>
      </w:r>
      <w:r>
        <w:rPr>
          <w:rFonts w:hint="eastAsia" w:ascii="宋体" w:hAnsi="宋体"/>
          <w:sz w:val="24"/>
          <w:szCs w:val="24"/>
          <w:lang w:val="en-US" w:eastAsia="zh-CN"/>
        </w:rPr>
        <w:t xml:space="preserve">甲</w:t>
      </w:r>
      <w:r>
        <w:rPr>
          <w:rFonts w:hint="eastAsia" w:ascii="宋体" w:hAnsi="宋体"/>
          <w:sz w:val="24"/>
          <w:szCs w:val="24"/>
        </w:rPr>
        <w:t xml:space="preserve">方所在地法院提起诉讼。</w:t>
      </w:r>
      <w:r>
        <w:rPr>
          <w:rFonts w:hint="eastAsia" w:ascii="宋体" w:hAnsi="宋体"/>
          <w:bCs/>
          <w:sz w:val="24"/>
          <w:szCs w:val="24"/>
        </w:rPr>
      </w:r>
      <w:r/>
    </w:p>
    <w:p>
      <w:pPr>
        <w:pStyle w:val="1497"/>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6、</w:t>
      </w:r>
      <w:r>
        <w:rPr>
          <w:rFonts w:ascii="宋体" w:hAnsi="宋体"/>
          <w:sz w:val="24"/>
          <w:szCs w:val="24"/>
        </w:rPr>
        <w:t xml:space="preserve">本合同终止时，乙方应移交</w:t>
      </w:r>
      <w:r>
        <w:rPr>
          <w:rFonts w:hint="eastAsia" w:ascii="宋体" w:hAnsi="宋体"/>
          <w:sz w:val="24"/>
          <w:szCs w:val="24"/>
        </w:rPr>
        <w:t xml:space="preserve">服务管理</w:t>
      </w:r>
      <w:r>
        <w:rPr>
          <w:rFonts w:ascii="宋体" w:hAnsi="宋体"/>
          <w:sz w:val="24"/>
          <w:szCs w:val="24"/>
        </w:rPr>
        <w:t xml:space="preserve">权，撤出本</w:t>
      </w:r>
      <w:r>
        <w:rPr>
          <w:rFonts w:hint="eastAsia" w:ascii="宋体" w:hAnsi="宋体"/>
          <w:sz w:val="24"/>
          <w:szCs w:val="24"/>
        </w:rPr>
        <w:t xml:space="preserve">服务</w:t>
      </w:r>
      <w:r>
        <w:rPr>
          <w:rFonts w:ascii="宋体" w:hAnsi="宋体"/>
          <w:sz w:val="24"/>
          <w:szCs w:val="24"/>
        </w:rPr>
        <w:t xml:space="preserve">项目，协助甲方</w:t>
      </w:r>
      <w:r>
        <w:rPr>
          <w:rFonts w:hint="eastAsia" w:ascii="宋体" w:hAnsi="宋体"/>
          <w:sz w:val="24"/>
          <w:szCs w:val="24"/>
          <w:lang w:eastAsia="zh-CN"/>
        </w:rPr>
        <w:t xml:space="preserve">做好</w:t>
      </w:r>
      <w:r>
        <w:rPr>
          <w:rFonts w:ascii="宋体" w:hAnsi="宋体"/>
          <w:sz w:val="24"/>
          <w:szCs w:val="24"/>
        </w:rPr>
        <w:t xml:space="preserve">服务的交接和善后工作，移交或配合甲方移交管理用房和</w:t>
      </w:r>
      <w:r>
        <w:rPr>
          <w:rFonts w:hint="eastAsia" w:ascii="宋体" w:hAnsi="宋体"/>
          <w:sz w:val="24"/>
          <w:szCs w:val="24"/>
        </w:rPr>
        <w:t xml:space="preserve">服务管理</w:t>
      </w:r>
      <w:r>
        <w:rPr>
          <w:rFonts w:ascii="宋体" w:hAnsi="宋体"/>
          <w:sz w:val="24"/>
          <w:szCs w:val="24"/>
        </w:rPr>
        <w:t xml:space="preserve">的全部档案资料</w:t>
      </w:r>
      <w:r>
        <w:rPr>
          <w:rFonts w:hint="eastAsia" w:ascii="宋体" w:hAnsi="宋体"/>
          <w:sz w:val="24"/>
          <w:szCs w:val="24"/>
        </w:rPr>
        <w:t xml:space="preserve">等</w:t>
      </w:r>
      <w:r>
        <w:rPr>
          <w:rFonts w:ascii="宋体" w:hAnsi="宋体"/>
          <w:sz w:val="24"/>
          <w:szCs w:val="24"/>
        </w:rPr>
        <w:t xml:space="preserve">。</w:t>
      </w:r>
      <w:r>
        <w:rPr>
          <w:rFonts w:hint="eastAsia" w:ascii="宋体" w:hAnsi="宋体"/>
          <w:bCs/>
          <w:sz w:val="24"/>
          <w:szCs w:val="24"/>
        </w:rPr>
      </w:r>
      <w:r/>
    </w:p>
    <w:p>
      <w:pPr>
        <w:pStyle w:val="1497"/>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color w:val="000000"/>
          <w:sz w:val="24"/>
          <w:szCs w:val="24"/>
          <w:highlight w:val="none"/>
          <w:u w:val="single"/>
        </w:rPr>
      </w:pPr>
      <w:r>
        <w:rPr>
          <w:rFonts w:hint="eastAsia" w:ascii="宋体" w:hAnsi="宋体"/>
          <w:sz w:val="24"/>
          <w:szCs w:val="24"/>
        </w:rPr>
        <w:t xml:space="preserve">7、本服务管理合同终止后，在新的服务管理企业接管本项目前，除甲方要求乙方提前撤离外，新老服务管理公司的交接过渡期最长为1个月，在此期间乙方应提供过渡期绿化综合养护服务，过渡期绿化综合养护服务标准和服务费标准不变，由乙方收取；1个月过渡期满，即完成交接、撤离。否则，甲方有权进行任何处置，一切后果由乙方承担。</w:t>
      </w:r>
      <w:r>
        <w:rPr>
          <w:rFonts w:hint="eastAsia" w:ascii="宋体" w:hAnsi="宋体" w:eastAsia="宋体" w:cs="Times New Roman"/>
          <w:b/>
          <w:color w:val="000000"/>
          <w:sz w:val="24"/>
          <w:szCs w:val="24"/>
          <w:highlight w:val="none"/>
          <w:u w:val="single"/>
        </w:rPr>
      </w:r>
      <w:r/>
    </w:p>
    <w:p>
      <w:pPr>
        <w:pStyle w:val="1497"/>
        <w:spacing w:line="360" w:lineRule="auto"/>
        <w:rPr>
          <w:rFonts w:hint="eastAsia" w:ascii="宋体" w:hAnsi="宋体" w:eastAsia="宋体" w:cs="Times New Roman"/>
          <w:b/>
          <w:color w:val="000000"/>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color w:val="000000"/>
          <w:sz w:val="24"/>
          <w:szCs w:val="24"/>
          <w:highlight w:val="none"/>
          <w:u w:val="single"/>
        </w:rPr>
      </w:r>
      <w:r/>
    </w:p>
    <w:p>
      <w:pPr>
        <w:pStyle w:val="1497"/>
        <w:jc w:val="center"/>
        <w:spacing w:line="360" w:lineRule="auto"/>
        <w:rPr>
          <w:rFonts w:hint="eastAsia" w:ascii="Times New Roman" w:hAnsi="宋体" w:eastAsia="宋体" w:cs="宋体"/>
          <w:b/>
          <w:bCs/>
          <w:sz w:val="32"/>
          <w:szCs w:val="32"/>
          <w:highlight w:val="none"/>
          <w:lang w:val="en-US" w:eastAsia="zh-CN"/>
        </w:rPr>
        <w:outlineLvl w:val="0"/>
      </w:pPr>
      <w:r/>
      <w:bookmarkStart w:id="36" w:name="_Toc5730"/>
      <w:r>
        <w:rPr>
          <w:rFonts w:hint="eastAsia" w:ascii="Times New Roman" w:hAnsi="宋体" w:eastAsia="宋体" w:cs="宋体"/>
          <w:b/>
          <w:bCs/>
          <w:sz w:val="32"/>
          <w:szCs w:val="32"/>
          <w:highlight w:val="none"/>
          <w:lang w:val="en-US" w:eastAsia="zh-CN"/>
        </w:rPr>
        <w:t xml:space="preserve">五、附件</w:t>
      </w:r>
      <w:bookmarkEnd w:id="34"/>
      <w:r/>
      <w:bookmarkEnd w:id="35"/>
      <w:r/>
      <w:bookmarkEnd w:id="36"/>
      <w:r>
        <w:rPr>
          <w:rFonts w:hint="eastAsia" w:ascii="Times New Roman" w:hAnsi="宋体" w:eastAsia="宋体" w:cs="宋体"/>
          <w:b/>
          <w:bCs/>
          <w:sz w:val="32"/>
          <w:szCs w:val="32"/>
          <w:highlight w:val="none"/>
          <w:lang w:val="en-US" w:eastAsia="zh-CN"/>
        </w:rPr>
      </w:r>
      <w:r/>
    </w:p>
    <w:p>
      <w:pPr>
        <w:pStyle w:val="1497"/>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rPr>
          <w:rFonts w:hint="eastAsia" w:ascii="宋体" w:hAnsi="宋体" w:eastAsia="宋体" w:cs="宋体"/>
          <w:bCs/>
          <w:color w:val="000000"/>
          <w:sz w:val="24"/>
          <w:szCs w:val="24"/>
          <w:highlight w:val="none"/>
        </w:rPr>
      </w:r>
      <w:r/>
    </w:p>
    <w:p>
      <w:pPr>
        <w:pStyle w:val="1497"/>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rFonts w:hint="eastAsia" w:ascii="宋体" w:hAnsi="宋体" w:eastAsia="宋体" w:cs="宋体"/>
          <w:bCs/>
          <w:color w:val="000000"/>
          <w:sz w:val="24"/>
          <w:szCs w:val="24"/>
          <w:highlight w:val="none"/>
        </w:rPr>
      </w:r>
      <w:r/>
    </w:p>
    <w:p>
      <w:pPr>
        <w:pStyle w:val="1497"/>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供应商为排名第一的中标供应商候选人。未列入本评分标准的其他条件不作为评分内容。</w:t>
      </w:r>
      <w:r>
        <w:rPr>
          <w:rFonts w:hint="eastAsia" w:ascii="宋体" w:hAnsi="宋体" w:eastAsia="宋体" w:cs="宋体"/>
          <w:bCs/>
          <w:color w:val="000000"/>
          <w:sz w:val="24"/>
          <w:szCs w:val="24"/>
          <w:highlight w:val="none"/>
        </w:rPr>
      </w:r>
      <w:r/>
    </w:p>
    <w:p>
      <w:pPr>
        <w:pStyle w:val="1497"/>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1497"/>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1497"/>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7"/>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hAnsi="宋体" w:cs="宋体"/>
          <w:b/>
          <w:bCs/>
          <w:sz w:val="24"/>
          <w:szCs w:val="24"/>
        </w:rPr>
        <w:t xml:space="preserve">企业综合实力</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7"/>
        <w:numPr>
          <w:ilvl w:val="0"/>
          <w:numId w:val="3"/>
        </w:numPr>
        <w:ind w:firstLine="480"/>
        <w:spacing w:line="360" w:lineRule="auto"/>
        <w:rPr>
          <w:rFonts w:hint="eastAsia" w:hAnsi="宋体" w:cs="宋体"/>
          <w:b/>
          <w:bCs/>
          <w:sz w:val="24"/>
          <w:szCs w:val="24"/>
        </w:rPr>
      </w:pPr>
      <w:r>
        <w:rPr>
          <w:rFonts w:hint="eastAsia" w:hAnsi="宋体" w:cs="宋体"/>
          <w:b/>
          <w:bCs/>
          <w:sz w:val="24"/>
          <w:szCs w:val="24"/>
        </w:rPr>
        <w:t xml:space="preserve">机械设备配备</w:t>
      </w:r>
      <w:r>
        <w:rPr>
          <w:rFonts w:hint="eastAsia" w:hAnsi="宋体" w:cs="宋体"/>
          <w:b/>
          <w:bCs/>
          <w:sz w:val="24"/>
          <w:szCs w:val="24"/>
          <w:lang w:val="en-US" w:eastAsia="zh-CN"/>
        </w:rPr>
        <w:t xml:space="preserve">                              7</w:t>
      </w:r>
      <w:r>
        <w:rPr>
          <w:rFonts w:hint="eastAsia" w:hAnsi="宋体" w:cs="宋体"/>
          <w:b/>
          <w:bCs/>
          <w:sz w:val="24"/>
          <w:szCs w:val="24"/>
        </w:rPr>
        <w:t xml:space="preserve">分</w:t>
      </w:r>
      <w:r>
        <w:rPr>
          <w:rFonts w:hint="eastAsia" w:hAnsi="宋体" w:cs="宋体"/>
          <w:b/>
          <w:bCs/>
          <w:sz w:val="24"/>
          <w:szCs w:val="24"/>
        </w:rPr>
      </w:r>
      <w:r/>
    </w:p>
    <w:p>
      <w:pPr>
        <w:pStyle w:val="1497"/>
        <w:ind w:firstLine="480"/>
        <w:spacing w:line="360" w:lineRule="auto"/>
        <w:rPr>
          <w:rFonts w:hint="eastAsia" w:hAnsi="宋体" w:cs="宋体"/>
          <w:sz w:val="24"/>
          <w:szCs w:val="24"/>
        </w:rPr>
      </w:pPr>
      <w:r>
        <w:rPr>
          <w:rFonts w:hint="eastAsia" w:ascii="宋体" w:hAnsi="宋体" w:eastAsia="宋体" w:cs="宋体"/>
          <w:b/>
          <w:color w:val="000000"/>
          <w:sz w:val="24"/>
          <w:szCs w:val="24"/>
          <w:highlight w:val="none"/>
          <w:lang w:val="en-US" w:eastAsia="zh-CN"/>
        </w:rPr>
        <w:t xml:space="preserve">4、</w:t>
      </w:r>
      <w:r>
        <w:rPr>
          <w:rFonts w:hint="eastAsia" w:hAnsi="宋体" w:cs="宋体"/>
          <w:b/>
          <w:bCs/>
          <w:sz w:val="24"/>
          <w:szCs w:val="24"/>
        </w:rPr>
        <w:t xml:space="preserve">人员配置</w:t>
      </w:r>
      <w:r>
        <w:rPr>
          <w:rFonts w:hint="eastAsia" w:hAnsi="宋体" w:cs="宋体"/>
          <w:b/>
          <w:bCs/>
          <w:sz w:val="24"/>
          <w:szCs w:val="24"/>
          <w:lang w:val="en-US" w:eastAsia="zh-CN"/>
        </w:rPr>
        <w:t xml:space="preserve">                                  8</w:t>
      </w:r>
      <w:r>
        <w:rPr>
          <w:rFonts w:hint="eastAsia" w:hAnsi="宋体" w:cs="宋体"/>
          <w:b/>
          <w:bCs/>
          <w:sz w:val="24"/>
          <w:szCs w:val="24"/>
        </w:rPr>
        <w:t xml:space="preserve">分</w:t>
      </w:r>
      <w:r>
        <w:rPr>
          <w:rFonts w:hint="eastAsia" w:hAnsi="宋体" w:cs="宋体"/>
          <w:sz w:val="24"/>
          <w:szCs w:val="24"/>
        </w:rPr>
      </w:r>
      <w:r/>
    </w:p>
    <w:p>
      <w:pPr>
        <w:pStyle w:val="1497"/>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服务方案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60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7"/>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rPr>
          <w:rFonts w:hint="eastAsia" w:ascii="宋体" w:hAnsi="宋体" w:eastAsia="宋体" w:cs="宋体"/>
          <w:color w:val="000000"/>
          <w:sz w:val="24"/>
          <w:szCs w:val="24"/>
          <w:highlight w:val="none"/>
        </w:rPr>
      </w:r>
      <w:r/>
    </w:p>
    <w:p>
      <w:pPr>
        <w:pStyle w:val="1544"/>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7"/>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497"/>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1497"/>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1544"/>
        <w:ind w:left="0" w:firstLine="480"/>
        <w:jc w:val="left"/>
        <w:keepLines w:val="0"/>
        <w:keepNext w:val="0"/>
        <w:pageBreakBefore w:val="0"/>
        <w:spacing w:after="0" w:line="360" w:lineRule="auto"/>
        <w:rPr>
          <w:rFonts w:hint="eastAsia" w:ascii="宋体" w:hAnsi="宋体" w:eastAsia="宋体" w:cs="宋体"/>
          <w:b/>
          <w:bCs w:val="0"/>
          <w:color w:val="000000"/>
          <w:sz w:val="24"/>
          <w:szCs w:val="24"/>
          <w:highlight w:val="none"/>
          <w:lang w:val="zh-CN"/>
        </w:rPr>
        <w:outlineLvl w:val="3"/>
      </w:pPr>
      <w:r>
        <w:rPr>
          <w:rFonts w:hint="eastAsia" w:ascii="宋体" w:hAnsi="宋体" w:eastAsia="宋体" w:cs="宋体"/>
          <w:b/>
          <w:bCs/>
          <w:color w:val="000000"/>
          <w:sz w:val="24"/>
          <w:szCs w:val="24"/>
          <w:highlight w:val="none"/>
          <w:lang w:val="en-US" w:eastAsia="zh-CN"/>
        </w:rPr>
        <w:t xml:space="preserve">2、</w:t>
      </w:r>
      <w:r>
        <w:rPr>
          <w:rFonts w:hint="eastAsia" w:hAnsi="宋体" w:cs="宋体"/>
          <w:b/>
          <w:bCs/>
          <w:sz w:val="24"/>
          <w:szCs w:val="24"/>
        </w:rPr>
        <w:t xml:space="preserve">企业综合实力（</w:t>
      </w:r>
      <w:r>
        <w:rPr>
          <w:rFonts w:hint="eastAsia" w:hAnsi="宋体" w:cs="宋体"/>
          <w:b/>
          <w:bCs/>
          <w:sz w:val="24"/>
          <w:szCs w:val="24"/>
          <w:lang w:val="en-US" w:eastAsia="zh-CN"/>
        </w:rPr>
        <w:t xml:space="preserve">5</w:t>
      </w:r>
      <w:r>
        <w:rPr>
          <w:rFonts w:hint="eastAsia" w:hAnsi="宋体" w:cs="宋体"/>
          <w:b/>
          <w:bCs/>
          <w:sz w:val="24"/>
          <w:szCs w:val="24"/>
        </w:rPr>
        <w:t xml:space="preserve">分）</w:t>
      </w:r>
      <w:r>
        <w:rPr>
          <w:rFonts w:hint="eastAsia" w:ascii="宋体" w:hAnsi="宋体" w:eastAsia="宋体" w:cs="宋体"/>
          <w:b/>
          <w:bCs w:val="0"/>
          <w:color w:val="000000"/>
          <w:sz w:val="24"/>
          <w:szCs w:val="24"/>
          <w:highlight w:val="none"/>
          <w:lang w:val="zh-CN"/>
        </w:rPr>
      </w:r>
      <w:r/>
    </w:p>
    <w:p>
      <w:pPr>
        <w:pStyle w:val="1497"/>
        <w:ind w:firstLine="480"/>
        <w:spacing w:line="360" w:lineRule="auto"/>
        <w:rPr>
          <w:rFonts w:hAnsi="宋体" w:cs="宋体"/>
          <w:sz w:val="24"/>
          <w:szCs w:val="24"/>
        </w:rPr>
      </w:pPr>
      <w:r>
        <w:rPr>
          <w:rFonts w:hint="eastAsia" w:hAnsi="宋体" w:cs="宋体"/>
          <w:sz w:val="24"/>
          <w:szCs w:val="24"/>
        </w:rPr>
        <w:t xml:space="preserve">（1）认证证书（4分）：</w:t>
      </w:r>
      <w:r>
        <w:rPr>
          <w:rFonts w:hint="eastAsia" w:ascii="宋体" w:hAnsi="宋体" w:cs="宋体"/>
          <w:color w:val="000000"/>
          <w:sz w:val="24"/>
          <w:lang w:val="zh-CN"/>
        </w:rPr>
        <w:t xml:space="preserve">投标供应商</w:t>
      </w:r>
      <w:r>
        <w:rPr>
          <w:rFonts w:hint="eastAsia" w:ascii="宋体" w:hAnsi="宋体" w:cs="宋体"/>
          <w:color w:val="000000"/>
          <w:sz w:val="24"/>
        </w:rPr>
        <w:t xml:space="preserve">具备</w:t>
      </w:r>
      <w:r>
        <w:rPr>
          <w:rFonts w:hint="eastAsia" w:ascii="宋体" w:hAnsi="宋体" w:cs="宋体"/>
          <w:color w:val="000000"/>
          <w:sz w:val="24"/>
          <w:lang w:val="zh-CN"/>
        </w:rPr>
        <w:t xml:space="preserve">有效期内的环境管理体系认证证书、职业安全健康管理体系认证证书、质量管理体系认证证书、售后服务认证证书，</w:t>
      </w:r>
      <w:r>
        <w:rPr>
          <w:rFonts w:hint="eastAsia" w:hAnsi="宋体" w:cs="宋体"/>
          <w:sz w:val="24"/>
          <w:szCs w:val="24"/>
        </w:rPr>
        <w:t xml:space="preserve">每提供1项得1分</w:t>
      </w:r>
      <w:r>
        <w:rPr>
          <w:rFonts w:hint="eastAsia" w:ascii="宋体" w:hAnsi="宋体" w:cs="宋体"/>
          <w:color w:val="000000"/>
          <w:sz w:val="24"/>
        </w:rPr>
        <w:t xml:space="preserve">，</w:t>
      </w:r>
      <w:r>
        <w:rPr>
          <w:rFonts w:hint="eastAsia" w:ascii="宋体" w:hAnsi="宋体" w:cs="宋体"/>
          <w:color w:val="000000"/>
          <w:sz w:val="24"/>
          <w:lang w:val="zh-CN"/>
        </w:rPr>
        <w:t xml:space="preserve">本项最高得</w:t>
      </w:r>
      <w:r>
        <w:rPr>
          <w:rFonts w:hint="eastAsia" w:ascii="宋体" w:hAnsi="宋体" w:cs="宋体"/>
          <w:color w:val="000000"/>
          <w:sz w:val="24"/>
        </w:rPr>
        <w:t xml:space="preserve">4</w:t>
      </w:r>
      <w:r>
        <w:rPr>
          <w:rFonts w:hint="eastAsia" w:ascii="宋体" w:hAnsi="宋体" w:cs="宋体"/>
          <w:color w:val="000000"/>
          <w:sz w:val="24"/>
          <w:lang w:val="zh-CN"/>
        </w:rPr>
        <w:t xml:space="preserve">分。</w:t>
      </w:r>
      <w:r>
        <w:rPr>
          <w:rFonts w:hint="eastAsia" w:hAnsi="宋体" w:cs="宋体"/>
          <w:b/>
          <w:bCs/>
          <w:sz w:val="24"/>
          <w:szCs w:val="24"/>
        </w:rPr>
        <w:t xml:space="preserve">（提供相关证书原件扫描件上传至系统中并电子签章，不提供不得分）</w:t>
      </w:r>
      <w:r>
        <w:rPr>
          <w:rFonts w:hAnsi="宋体" w:cs="宋体"/>
          <w:sz w:val="24"/>
          <w:szCs w:val="24"/>
        </w:rPr>
      </w:r>
      <w:r/>
    </w:p>
    <w:p>
      <w:pPr>
        <w:pStyle w:val="1497"/>
        <w:ind w:firstLine="480"/>
        <w:spacing w:line="360" w:lineRule="auto"/>
        <w:rPr>
          <w:rFonts w:hint="eastAsia" w:hAnsi="宋体" w:cs="宋体"/>
          <w:b/>
          <w:bCs/>
          <w:sz w:val="24"/>
          <w:szCs w:val="24"/>
        </w:rPr>
      </w:pPr>
      <w:r>
        <w:rPr>
          <w:rFonts w:hint="eastAsia" w:hAnsi="宋体" w:cs="宋体"/>
          <w:sz w:val="24"/>
          <w:szCs w:val="24"/>
        </w:rPr>
        <w:t xml:space="preserve">（</w:t>
      </w:r>
      <w:r>
        <w:rPr>
          <w:rFonts w:hint="eastAsia" w:hAnsi="宋体" w:cs="宋体"/>
          <w:sz w:val="24"/>
          <w:szCs w:val="24"/>
          <w:lang w:val="en-US" w:eastAsia="zh-CN"/>
        </w:rPr>
        <w:t xml:space="preserve">2</w:t>
      </w:r>
      <w:r>
        <w:rPr>
          <w:rFonts w:hint="eastAsia" w:hAnsi="宋体" w:cs="宋体"/>
          <w:sz w:val="24"/>
          <w:szCs w:val="24"/>
        </w:rPr>
        <w:t xml:space="preserve">）企业业绩（</w:t>
      </w:r>
      <w:r>
        <w:rPr>
          <w:rFonts w:hint="eastAsia" w:hAnsi="宋体" w:cs="宋体"/>
          <w:sz w:val="24"/>
          <w:szCs w:val="24"/>
          <w:lang w:val="en-US" w:eastAsia="zh-CN"/>
        </w:rPr>
        <w:t xml:space="preserve">1</w:t>
      </w:r>
      <w:r>
        <w:rPr>
          <w:rFonts w:hint="eastAsia" w:hAnsi="宋体" w:cs="宋体"/>
          <w:sz w:val="24"/>
          <w:szCs w:val="24"/>
        </w:rPr>
        <w:t xml:space="preserve">分）：投标供应商自2021年</w:t>
      </w:r>
      <w:r>
        <w:rPr>
          <w:rFonts w:hint="eastAsia" w:hAnsi="宋体" w:cs="宋体"/>
          <w:sz w:val="24"/>
          <w:szCs w:val="24"/>
          <w:highlight w:val="none"/>
        </w:rPr>
        <w:t xml:space="preserve">7月1日（以中标通知书</w:t>
      </w:r>
      <w:r>
        <w:rPr>
          <w:rFonts w:hint="eastAsia" w:hAnsi="宋体" w:cs="宋体"/>
          <w:sz w:val="24"/>
          <w:szCs w:val="24"/>
        </w:rPr>
        <w:t xml:space="preserve">签发时间为准）以来承担过类似项目的，有一个得</w:t>
      </w:r>
      <w:r>
        <w:rPr>
          <w:rFonts w:hint="eastAsia" w:hAnsi="宋体" w:cs="宋体"/>
          <w:sz w:val="24"/>
          <w:szCs w:val="24"/>
          <w:lang w:val="en-US" w:eastAsia="zh-CN"/>
        </w:rPr>
        <w:t xml:space="preserve">1</w:t>
      </w:r>
      <w:r>
        <w:rPr>
          <w:rFonts w:hint="eastAsia" w:hAnsi="宋体" w:cs="宋体"/>
          <w:sz w:val="24"/>
          <w:szCs w:val="24"/>
        </w:rPr>
        <w:t xml:space="preserve">分，最高得</w:t>
      </w:r>
      <w:r>
        <w:rPr>
          <w:rFonts w:hint="eastAsia" w:hAnsi="宋体" w:cs="宋体"/>
          <w:sz w:val="24"/>
          <w:szCs w:val="24"/>
          <w:lang w:val="en-US" w:eastAsia="zh-CN"/>
        </w:rPr>
        <w:t xml:space="preserve">1</w:t>
      </w:r>
      <w:r>
        <w:rPr>
          <w:rFonts w:hint="eastAsia" w:hAnsi="宋体" w:cs="宋体"/>
          <w:sz w:val="24"/>
          <w:szCs w:val="24"/>
        </w:rPr>
        <w:t xml:space="preserve">分。</w:t>
      </w:r>
      <w:r>
        <w:rPr>
          <w:rFonts w:hint="eastAsia" w:hAnsi="宋体" w:cs="宋体"/>
          <w:b/>
          <w:bCs/>
          <w:sz w:val="24"/>
          <w:szCs w:val="24"/>
        </w:rPr>
        <w:t xml:space="preserve">（提供中标通知书、合同扫描件上传至系统中并电子签章，否则不得分。）</w:t>
      </w:r>
      <w:r>
        <w:rPr>
          <w:rFonts w:hint="eastAsia" w:hAnsi="宋体" w:cs="宋体"/>
          <w:b/>
          <w:bCs/>
          <w:sz w:val="24"/>
          <w:szCs w:val="24"/>
        </w:rPr>
      </w:r>
      <w:r/>
    </w:p>
    <w:p>
      <w:pPr>
        <w:pStyle w:val="1497"/>
        <w:ind w:firstLine="480"/>
        <w:spacing w:line="360" w:lineRule="auto"/>
        <w:rPr>
          <w:rFonts w:hint="eastAsia" w:ascii="宋体" w:hAnsi="宋体" w:cs="宋体"/>
          <w:b/>
          <w:sz w:val="24"/>
        </w:rPr>
      </w:pPr>
      <w:r>
        <w:rPr>
          <w:rFonts w:hint="eastAsia" w:hAnsi="宋体" w:cs="宋体"/>
          <w:b/>
          <w:bCs/>
          <w:sz w:val="24"/>
          <w:szCs w:val="24"/>
          <w:lang w:val="en-US" w:eastAsia="zh-CN"/>
        </w:rPr>
        <w:t xml:space="preserve">3、</w:t>
      </w:r>
      <w:r>
        <w:rPr>
          <w:rFonts w:hint="eastAsia" w:ascii="宋体" w:hAnsi="宋体" w:cs="宋体"/>
          <w:b/>
          <w:sz w:val="24"/>
        </w:rPr>
        <w:t xml:space="preserve">机械设备配置（</w:t>
      </w:r>
      <w:r>
        <w:rPr>
          <w:rFonts w:hint="eastAsia" w:ascii="宋体" w:hAnsi="宋体" w:cs="宋体"/>
          <w:b/>
          <w:sz w:val="24"/>
          <w:lang w:val="en-US" w:eastAsia="zh-CN"/>
        </w:rPr>
        <w:t xml:space="preserve">7</w:t>
      </w:r>
      <w:r>
        <w:rPr>
          <w:rFonts w:hint="eastAsia" w:ascii="宋体" w:hAnsi="宋体" w:cs="宋体"/>
          <w:b/>
          <w:sz w:val="24"/>
        </w:rPr>
        <w:t xml:space="preserve">分）</w:t>
      </w:r>
      <w:r>
        <w:rPr>
          <w:rFonts w:hint="eastAsia" w:ascii="宋体" w:hAnsi="宋体" w:cs="宋体"/>
          <w:b/>
          <w:sz w:val="24"/>
        </w:rPr>
      </w:r>
      <w:r/>
    </w:p>
    <w:p>
      <w:pPr>
        <w:pStyle w:val="1497"/>
        <w:ind w:right="-197" w:firstLine="480"/>
        <w:jc w:val="left"/>
        <w:spacing w:line="360" w:lineRule="auto"/>
        <w:tabs>
          <w:tab w:val="left" w:pos="552" w:leader="none"/>
          <w:tab w:val="left" w:pos="1050" w:leader="none"/>
          <w:tab w:val="left" w:pos="1365" w:leader="none"/>
        </w:tabs>
        <w:rPr>
          <w:rFonts w:ascii="宋体" w:hAnsi="宋体" w:cs="宋体"/>
          <w:sz w:val="24"/>
          <w:highlight w:val="none"/>
        </w:rPr>
      </w:pPr>
      <w:r>
        <w:rPr>
          <w:rFonts w:hint="eastAsia" w:ascii="宋体" w:hAnsi="宋体" w:cs="宋体"/>
          <w:sz w:val="24"/>
          <w:highlight w:val="none"/>
        </w:rPr>
        <w:t xml:space="preserve">（1）投标供应商拟投入</w:t>
      </w:r>
      <w:r>
        <w:rPr>
          <w:rFonts w:hint="eastAsia" w:ascii="宋体" w:hAnsi="宋体" w:cs="宋体"/>
          <w:sz w:val="24"/>
          <w:szCs w:val="24"/>
          <w:highlight w:val="none"/>
        </w:rPr>
        <w:t xml:space="preserve">标准制式水车</w:t>
      </w:r>
      <w:r>
        <w:rPr>
          <w:rFonts w:hint="eastAsia" w:ascii="宋体" w:hAnsi="宋体" w:cs="宋体"/>
          <w:sz w:val="24"/>
          <w:highlight w:val="none"/>
        </w:rPr>
        <w:t xml:space="preserve">（</w:t>
      </w:r>
      <w:r>
        <w:rPr>
          <w:rFonts w:hint="eastAsia" w:ascii="宋体" w:hAnsi="宋体" w:cs="宋体"/>
          <w:sz w:val="24"/>
          <w:highlight w:val="none"/>
        </w:rPr>
        <w:t xml:space="preserve">核定载质量≥8吨），有1辆得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ascii="宋体" w:hAnsi="宋体" w:cs="宋体"/>
          <w:sz w:val="24"/>
          <w:highlight w:val="none"/>
        </w:rPr>
      </w:r>
      <w:r/>
    </w:p>
    <w:p>
      <w:pPr>
        <w:pStyle w:val="1497"/>
        <w:ind w:right="-197" w:firstLine="480"/>
        <w:jc w:val="left"/>
        <w:spacing w:line="360" w:lineRule="auto"/>
        <w:tabs>
          <w:tab w:val="left" w:pos="552" w:leader="none"/>
          <w:tab w:val="left" w:pos="1050" w:leader="none"/>
          <w:tab w:val="left" w:pos="1365" w:leader="none"/>
        </w:tabs>
        <w:rPr>
          <w:rFonts w:ascii="宋体" w:hAnsi="宋体" w:cs="宋体"/>
          <w:sz w:val="24"/>
          <w:highlight w:val="none"/>
        </w:rPr>
      </w:pPr>
      <w:r>
        <w:rPr>
          <w:rFonts w:hint="eastAsia" w:ascii="宋体" w:hAnsi="宋体" w:cs="宋体"/>
          <w:sz w:val="24"/>
          <w:highlight w:val="none"/>
        </w:rPr>
        <w:t xml:space="preserve">（2）投标供应商拟投入运输车</w:t>
      </w:r>
      <w:r>
        <w:rPr>
          <w:rFonts w:hint="eastAsia" w:ascii="宋体" w:hAnsi="宋体" w:cs="宋体"/>
          <w:sz w:val="24"/>
          <w:highlight w:val="none"/>
        </w:rPr>
        <w:t xml:space="preserve">（核定载质量≥3吨）（用于运输材料），有1辆得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ascii="宋体" w:hAnsi="宋体" w:cs="宋体"/>
          <w:sz w:val="24"/>
          <w:highlight w:val="none"/>
        </w:rPr>
      </w:r>
      <w:r/>
    </w:p>
    <w:p>
      <w:pPr>
        <w:pStyle w:val="1497"/>
        <w:ind w:right="-482" w:firstLine="480"/>
        <w:jc w:val="left"/>
        <w:spacing w:line="360" w:lineRule="auto"/>
        <w:tabs>
          <w:tab w:val="left" w:pos="552" w:leader="none"/>
          <w:tab w:val="left" w:pos="1050" w:leader="none"/>
          <w:tab w:val="left" w:pos="1365" w:leader="none"/>
        </w:tabs>
        <w:rPr>
          <w:rFonts w:ascii="宋体" w:hAnsi="宋体" w:cs="宋体"/>
          <w:sz w:val="24"/>
          <w:highlight w:val="none"/>
        </w:rPr>
      </w:pPr>
      <w:r>
        <w:rPr>
          <w:rFonts w:hint="eastAsia" w:ascii="宋体" w:hAnsi="宋体" w:cs="宋体"/>
          <w:sz w:val="24"/>
          <w:highlight w:val="none"/>
        </w:rPr>
        <w:t xml:space="preserve">（3）投标供应商拟投入客车</w:t>
      </w:r>
      <w:r>
        <w:rPr>
          <w:rFonts w:hint="eastAsia" w:ascii="宋体" w:hAnsi="宋体" w:cs="宋体"/>
          <w:sz w:val="24"/>
          <w:highlight w:val="none"/>
        </w:rPr>
        <w:t xml:space="preserve">（15座及以上，用于接送养护工人及应急作业），有1辆得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ascii="宋体" w:hAnsi="宋体" w:cs="宋体"/>
          <w:sz w:val="24"/>
          <w:highlight w:val="none"/>
        </w:rPr>
      </w:r>
      <w:r/>
    </w:p>
    <w:p>
      <w:pPr>
        <w:pStyle w:val="1497"/>
        <w:ind w:right="-482" w:firstLine="480"/>
        <w:jc w:val="left"/>
        <w:spacing w:line="360" w:lineRule="auto"/>
        <w:tabs>
          <w:tab w:val="left" w:pos="552" w:leader="none"/>
          <w:tab w:val="left" w:pos="1050" w:leader="none"/>
          <w:tab w:val="left" w:pos="1365" w:leader="none"/>
        </w:tabs>
        <w:rPr>
          <w:rFonts w:ascii="宋体" w:hAnsi="宋体" w:cs="宋体"/>
          <w:sz w:val="24"/>
          <w:highlight w:val="none"/>
        </w:rPr>
      </w:pPr>
      <w:r>
        <w:rPr>
          <w:rFonts w:hint="eastAsia" w:ascii="宋体" w:hAnsi="宋体" w:cs="宋体"/>
          <w:sz w:val="24"/>
          <w:highlight w:val="none"/>
        </w:rPr>
        <w:t xml:space="preserve">（4）投标供应商拟投入多功能抑尘车</w:t>
      </w:r>
      <w:r>
        <w:rPr>
          <w:rFonts w:hint="eastAsia" w:ascii="宋体" w:hAnsi="宋体" w:cs="宋体"/>
          <w:sz w:val="24"/>
          <w:highlight w:val="none"/>
        </w:rPr>
        <w:t xml:space="preserve">（核定载质量≥6吨，静风水平射程 ≥30 米），有1辆得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ascii="宋体" w:hAnsi="宋体" w:cs="宋体"/>
          <w:sz w:val="24"/>
          <w:highlight w:val="none"/>
        </w:rPr>
      </w:r>
      <w:r/>
    </w:p>
    <w:p>
      <w:pPr>
        <w:pStyle w:val="1572"/>
        <w:ind w:firstLine="480"/>
        <w:spacing w:line="360" w:lineRule="auto"/>
        <w:rPr>
          <w:rFonts w:ascii="宋体" w:hAnsi="宋体" w:cs="宋体"/>
          <w:sz w:val="24"/>
          <w:highlight w:val="none"/>
        </w:rPr>
      </w:pPr>
      <w:r>
        <w:rPr>
          <w:rFonts w:hint="eastAsia" w:ascii="宋体" w:hAnsi="宋体" w:cs="宋体"/>
          <w:sz w:val="24"/>
          <w:highlight w:val="none"/>
        </w:rPr>
        <w:t xml:space="preserve">（5）投标供应商拟投入吊车</w:t>
      </w:r>
      <w:r>
        <w:rPr>
          <w:rFonts w:hint="eastAsia" w:ascii="宋体" w:hAnsi="宋体" w:cs="宋体"/>
          <w:sz w:val="24"/>
          <w:highlight w:val="none"/>
        </w:rPr>
        <w:t xml:space="preserve">（汽车起重机）（核定载质量或额定起重量≥12吨），有1辆得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ascii="宋体" w:hAnsi="宋体" w:cs="宋体"/>
          <w:sz w:val="24"/>
          <w:highlight w:val="none"/>
        </w:rPr>
      </w:r>
      <w:r/>
    </w:p>
    <w:p>
      <w:pPr>
        <w:pStyle w:val="1497"/>
        <w:ind w:firstLine="480"/>
        <w:spacing w:line="440" w:lineRule="exact"/>
        <w:rPr>
          <w:rFonts w:hint="eastAsia" w:ascii="宋体" w:hAnsi="宋体" w:cs="宋体"/>
          <w:sz w:val="24"/>
          <w:highlight w:val="none"/>
        </w:rPr>
      </w:pPr>
      <w:r>
        <w:rPr>
          <w:rFonts w:hint="eastAsia" w:ascii="宋体" w:hAnsi="宋体" w:cs="宋体"/>
          <w:sz w:val="24"/>
          <w:highlight w:val="none"/>
        </w:rPr>
        <w:t xml:space="preserve">（6）投标供应商拟投入树枝（杆）粉碎机（功率≥50KW）、旋耕机（功率≥20KW），全部配备齐全的得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rPr>
      </w:r>
      <w:r/>
    </w:p>
    <w:p>
      <w:pPr>
        <w:pStyle w:val="1497"/>
        <w:ind w:firstLine="480"/>
        <w:spacing w:line="440" w:lineRule="exact"/>
        <w:rPr>
          <w:rFonts w:ascii="宋体" w:hAnsi="宋体" w:cs="宋体"/>
          <w:b/>
          <w:bCs/>
          <w:color w:val="000000"/>
          <w:sz w:val="24"/>
        </w:rPr>
      </w:pPr>
      <w:r>
        <w:rPr>
          <w:rFonts w:hint="eastAsia" w:ascii="宋体" w:hAnsi="宋体" w:cs="宋体"/>
          <w:b/>
          <w:bCs/>
          <w:color w:val="000000"/>
          <w:sz w:val="24"/>
          <w:lang w:val="zh-CN"/>
        </w:rPr>
        <w:t xml:space="preserve">注：标准制式水车、运输车、客车、多功能抑尘车、吊车（汽车起重机）等机械</w:t>
      </w:r>
      <w:r>
        <w:rPr>
          <w:rFonts w:hint="eastAsia" w:hAnsi="宋体" w:cs="宋体"/>
          <w:b/>
          <w:bCs/>
          <w:color w:val="000000"/>
          <w:sz w:val="24"/>
          <w:szCs w:val="24"/>
        </w:rPr>
        <w:t xml:space="preserve">车辆自有的提供车辆购置发票（发票抬头与投标人一致的发票）、车辆行驶证、车辆实景图片等相关证明材料原件扫描件上传至系统中并电子签章；若是租赁车辆需提供租赁协议（有效期需满足本项目养护期）、租赁发票、车辆购置发票、车辆行驶证以及含车牌的车辆实景图片等相关证明材料原件扫描件上传至系统中并电子签章</w:t>
      </w:r>
      <w:r>
        <w:rPr>
          <w:rFonts w:hint="eastAsia" w:ascii="宋体" w:hAnsi="宋体" w:cs="宋体"/>
          <w:b/>
          <w:bCs/>
          <w:color w:val="000000"/>
          <w:sz w:val="24"/>
          <w:szCs w:val="24"/>
        </w:rPr>
        <w:t xml:space="preserve">；</w:t>
      </w:r>
      <w:r>
        <w:rPr>
          <w:rFonts w:hint="eastAsia" w:ascii="宋体" w:hAnsi="宋体" w:cs="宋体"/>
          <w:b/>
          <w:color w:val="000000"/>
          <w:sz w:val="24"/>
          <w:szCs w:val="24"/>
        </w:rPr>
        <w:t xml:space="preserve">相关设备提供购买发票扫描件及实景照片扫描件等相关证明材料扫描件上传至投标文件并电子签章；</w:t>
      </w:r>
      <w:r>
        <w:rPr>
          <w:rFonts w:hint="eastAsia" w:ascii="宋体" w:hAnsi="宋体" w:cs="宋体"/>
          <w:b/>
          <w:bCs/>
          <w:color w:val="000000"/>
          <w:sz w:val="24"/>
          <w:szCs w:val="24"/>
        </w:rPr>
        <w:t xml:space="preserve">或提供车辆、设备承诺书（承诺中标后签订合同前提供以上所有车辆、设备，</w:t>
      </w:r>
      <w:r>
        <w:rPr>
          <w:rFonts w:hint="eastAsia" w:hAnsi="宋体" w:cs="宋体"/>
          <w:b/>
          <w:bCs/>
          <w:color w:val="000000"/>
          <w:sz w:val="24"/>
          <w:szCs w:val="24"/>
        </w:rPr>
        <w:t xml:space="preserve">并上传至投标文件中并电子签章，</w:t>
      </w:r>
      <w:r>
        <w:rPr>
          <w:rFonts w:hint="eastAsia" w:ascii="宋体" w:hAnsi="宋体" w:cs="宋体"/>
          <w:b/>
          <w:bCs/>
          <w:color w:val="000000"/>
          <w:sz w:val="24"/>
          <w:szCs w:val="24"/>
        </w:rPr>
        <w:t xml:space="preserve">格式自拟），不提供或提供不全者不</w:t>
      </w:r>
      <w:r>
        <w:rPr>
          <w:rFonts w:hint="eastAsia" w:hAnsi="宋体" w:cs="宋体"/>
          <w:b/>
          <w:bCs/>
          <w:color w:val="000000"/>
          <w:sz w:val="24"/>
          <w:szCs w:val="24"/>
        </w:rPr>
        <w:t xml:space="preserve">得分。</w:t>
      </w:r>
      <w:r>
        <w:rPr>
          <w:rFonts w:hint="eastAsia" w:ascii="宋体" w:hAnsi="宋体" w:cs="宋体"/>
          <w:b/>
          <w:bCs/>
          <w:color w:val="000000"/>
          <w:sz w:val="24"/>
        </w:rPr>
        <w:t xml:space="preserve">采购人根据招标文件、中标方的投标文件会同行业主管部门在进场作业前进行现场验收，确认后签订合同。中标方最迟于自中标公告发布之日起20天内按要求配齐作业车辆、设备，将作业车辆、设备集中至采购人指定的场所现场核查，达到可规范使用状态，包括但不限于车辆设备的通行、作业。如中标方所配备的作业车辆或设备没有达到招标文件规定要求，导致项目无法正常运行，采购人有权取消其中标资格，一切损失由中标单位负责。</w:t>
      </w:r>
      <w:r>
        <w:rPr>
          <w:rFonts w:ascii="宋体" w:hAnsi="宋体" w:cs="宋体"/>
          <w:b/>
          <w:bCs/>
          <w:color w:val="000000"/>
          <w:sz w:val="24"/>
        </w:rPr>
      </w:r>
      <w:r/>
    </w:p>
    <w:p>
      <w:pPr>
        <w:pStyle w:val="1497"/>
        <w:ind w:firstLine="480"/>
        <w:spacing w:line="360" w:lineRule="auto"/>
        <w:rPr>
          <w:rFonts w:hAnsi="宋体" w:cs="宋体"/>
          <w:color w:val="000000"/>
          <w:sz w:val="24"/>
          <w:szCs w:val="24"/>
        </w:rPr>
      </w:pPr>
      <w:r>
        <w:rPr>
          <w:rFonts w:hint="eastAsia" w:hAnsi="宋体" w:cs="宋体"/>
          <w:b/>
          <w:bCs/>
          <w:color w:val="000000"/>
          <w:sz w:val="24"/>
          <w:szCs w:val="24"/>
        </w:rPr>
        <w:t xml:space="preserve">4、人员配置（</w:t>
      </w:r>
      <w:r>
        <w:rPr>
          <w:rFonts w:hint="eastAsia" w:hAnsi="宋体" w:cs="宋体"/>
          <w:b/>
          <w:bCs/>
          <w:color w:val="000000"/>
          <w:sz w:val="24"/>
          <w:szCs w:val="24"/>
          <w:lang w:val="en-US" w:eastAsia="zh-CN"/>
        </w:rPr>
        <w:t xml:space="preserve">8</w:t>
      </w:r>
      <w:r>
        <w:rPr>
          <w:rFonts w:hint="eastAsia" w:hAnsi="宋体" w:cs="宋体"/>
          <w:b/>
          <w:bCs/>
          <w:color w:val="000000"/>
          <w:sz w:val="24"/>
          <w:szCs w:val="24"/>
        </w:rPr>
        <w:t xml:space="preserve">分）</w:t>
      </w:r>
      <w:r>
        <w:rPr>
          <w:rFonts w:hAnsi="宋体" w:cs="宋体"/>
          <w:color w:val="000000"/>
          <w:sz w:val="24"/>
          <w:szCs w:val="24"/>
        </w:rPr>
      </w:r>
      <w:r/>
    </w:p>
    <w:p>
      <w:pPr>
        <w:pStyle w:val="1497"/>
        <w:ind w:firstLine="480"/>
        <w:spacing w:line="360" w:lineRule="auto"/>
        <w:tabs>
          <w:tab w:val="left" w:pos="945" w:leader="none"/>
        </w:tabs>
        <w:rPr>
          <w:rFonts w:ascii="宋体" w:hAnsi="宋体" w:cs="宋体"/>
          <w:sz w:val="24"/>
          <w:szCs w:val="24"/>
        </w:rPr>
      </w:pPr>
      <w:r>
        <w:rPr>
          <w:rFonts w:hint="eastAsia" w:ascii="宋体" w:hAnsi="宋体" w:cs="宋体"/>
          <w:sz w:val="24"/>
          <w:szCs w:val="24"/>
        </w:rPr>
        <w:t xml:space="preserve">（1）养护作业基本人员（</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ascii="宋体" w:hAnsi="宋体" w:cs="宋体"/>
          <w:sz w:val="24"/>
          <w:szCs w:val="24"/>
        </w:rPr>
      </w:r>
      <w:r/>
    </w:p>
    <w:p>
      <w:pPr>
        <w:pStyle w:val="1497"/>
        <w:ind w:firstLine="480"/>
        <w:spacing w:line="360" w:lineRule="auto"/>
        <w:tabs>
          <w:tab w:val="left" w:pos="945" w:leader="none"/>
        </w:tabs>
        <w:rPr>
          <w:rFonts w:ascii="宋体" w:hAnsi="宋体" w:cs="宋体"/>
          <w:sz w:val="24"/>
          <w:szCs w:val="24"/>
        </w:rPr>
      </w:pPr>
      <w:r>
        <w:rPr>
          <w:rFonts w:hint="eastAsia" w:ascii="宋体" w:hAnsi="宋体" w:cs="宋体"/>
          <w:sz w:val="24"/>
          <w:szCs w:val="24"/>
        </w:rPr>
        <w:t xml:space="preserve">本项目养护作业人员中（项目负责人除外）具有</w:t>
      </w:r>
      <w:r>
        <w:rPr>
          <w:rFonts w:hint="eastAsia" w:ascii="宋体" w:hAnsi="宋体"/>
          <w:sz w:val="24"/>
          <w:szCs w:val="24"/>
        </w:rPr>
        <w:t xml:space="preserve">园林绿化相关专业中级及以上职称证书同时具备中级及以上绿化工证书的</w:t>
      </w:r>
      <w:r>
        <w:rPr>
          <w:rFonts w:hint="eastAsia" w:ascii="宋体" w:hAnsi="宋体" w:cs="宋体"/>
          <w:sz w:val="24"/>
          <w:szCs w:val="24"/>
        </w:rPr>
        <w:t xml:space="preserve">，每人得1分，本项最高得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ascii="宋体" w:hAnsi="宋体" w:cs="宋体"/>
          <w:sz w:val="24"/>
          <w:szCs w:val="24"/>
        </w:rPr>
      </w:r>
      <w:r/>
    </w:p>
    <w:p>
      <w:pPr>
        <w:pStyle w:val="1497"/>
        <w:ind w:firstLine="480"/>
        <w:spacing w:line="360" w:lineRule="auto"/>
        <w:tabs>
          <w:tab w:val="left" w:pos="945" w:leader="none"/>
        </w:tabs>
        <w:rPr>
          <w:rFonts w:ascii="宋体" w:hAnsi="宋体" w:cs="宋体"/>
          <w:sz w:val="24"/>
          <w:szCs w:val="24"/>
        </w:rPr>
      </w:pPr>
      <w:r>
        <w:rPr>
          <w:rFonts w:hint="eastAsia" w:ascii="宋体" w:hAnsi="宋体" w:cs="宋体"/>
          <w:sz w:val="24"/>
          <w:szCs w:val="24"/>
        </w:rPr>
        <w:t xml:space="preserve">（2）养护作业专业技术人员（4分）</w:t>
      </w:r>
      <w:r>
        <w:rPr>
          <w:rFonts w:ascii="宋体" w:hAnsi="宋体" w:cs="宋体"/>
          <w:sz w:val="24"/>
          <w:szCs w:val="24"/>
        </w:rPr>
      </w:r>
      <w:r/>
    </w:p>
    <w:p>
      <w:pPr>
        <w:pStyle w:val="1497"/>
        <w:ind w:firstLine="480"/>
        <w:spacing w:line="360" w:lineRule="auto"/>
        <w:tabs>
          <w:tab w:val="left" w:pos="945" w:leader="none"/>
        </w:tabs>
        <w:rPr>
          <w:rFonts w:ascii="宋体" w:hAnsi="宋体" w:cs="宋体"/>
          <w:sz w:val="24"/>
          <w:szCs w:val="24"/>
        </w:rPr>
      </w:pPr>
      <w:r>
        <w:rPr>
          <w:rFonts w:hint="eastAsia" w:ascii="宋体" w:hAnsi="宋体" w:cs="宋体"/>
          <w:sz w:val="24"/>
          <w:szCs w:val="24"/>
        </w:rPr>
        <w:t xml:space="preserve">①本项目养护作业人员中（项目负责人除外）具有</w:t>
      </w:r>
      <w:r>
        <w:rPr>
          <w:rFonts w:hint="eastAsia" w:ascii="宋体" w:hAnsi="宋体"/>
          <w:sz w:val="24"/>
          <w:szCs w:val="24"/>
        </w:rPr>
        <w:t xml:space="preserve">园林绿化相关专业中级及以上职称证书同时具备</w:t>
      </w:r>
      <w:r>
        <w:rPr>
          <w:rFonts w:hint="eastAsia" w:ascii="宋体" w:hAnsi="宋体" w:cs="宋体"/>
          <w:sz w:val="24"/>
          <w:szCs w:val="24"/>
        </w:rPr>
        <w:t xml:space="preserve">花卉工或植保工中级及以上技能等级证书的，每人得1分，本项最高得2分。</w:t>
      </w:r>
      <w:r>
        <w:rPr>
          <w:rFonts w:ascii="宋体" w:hAnsi="宋体" w:cs="宋体"/>
          <w:sz w:val="24"/>
          <w:szCs w:val="24"/>
        </w:rPr>
      </w:r>
      <w:r/>
    </w:p>
    <w:p>
      <w:pPr>
        <w:pStyle w:val="1497"/>
        <w:ind w:firstLine="480"/>
        <w:spacing w:line="360" w:lineRule="auto"/>
        <w:tabs>
          <w:tab w:val="left" w:pos="945" w:leader="none"/>
        </w:tabs>
        <w:rPr>
          <w:rFonts w:ascii="宋体" w:hAnsi="宋体" w:cs="宋体"/>
          <w:sz w:val="24"/>
          <w:szCs w:val="24"/>
        </w:rPr>
      </w:pPr>
      <w:r>
        <w:rPr>
          <w:rFonts w:hint="eastAsia" w:ascii="宋体" w:hAnsi="宋体" w:cs="宋体"/>
          <w:sz w:val="24"/>
          <w:szCs w:val="24"/>
        </w:rPr>
        <w:t xml:space="preserve">②本项目养护作业人员中（项目负责人除外）</w:t>
      </w:r>
      <w:r>
        <w:rPr>
          <w:rFonts w:hint="eastAsia" w:ascii="宋体" w:hAnsi="宋体" w:cs="宋体"/>
          <w:color w:val="000000"/>
          <w:sz w:val="24"/>
          <w:szCs w:val="24"/>
        </w:rPr>
        <w:t xml:space="preserve">配备特种作业人员中具有高处作业相关专业特种工证书的</w:t>
      </w:r>
      <w:r>
        <w:rPr>
          <w:rFonts w:hint="eastAsia" w:ascii="宋体" w:hAnsi="宋体" w:cs="宋体"/>
          <w:sz w:val="24"/>
          <w:szCs w:val="24"/>
        </w:rPr>
        <w:t xml:space="preserve">，有一人得2分，本项最高2分。</w:t>
      </w:r>
      <w:r>
        <w:rPr>
          <w:rFonts w:ascii="宋体" w:hAnsi="宋体" w:cs="宋体"/>
          <w:sz w:val="24"/>
          <w:szCs w:val="24"/>
        </w:rPr>
      </w:r>
      <w:r/>
    </w:p>
    <w:p>
      <w:pPr>
        <w:pStyle w:val="1497"/>
        <w:ind w:firstLine="240"/>
        <w:spacing w:line="360" w:lineRule="auto"/>
        <w:rPr>
          <w:rFonts w:hAnsi="宋体"/>
          <w:sz w:val="24"/>
          <w:szCs w:val="24"/>
        </w:rPr>
      </w:pPr>
      <w:r>
        <w:rPr>
          <w:rFonts w:hint="eastAsia" w:hAnsi="宋体"/>
          <w:sz w:val="24"/>
          <w:szCs w:val="24"/>
        </w:rPr>
        <w:t xml:space="preserve">（3）项目技术负责人（2分）：</w:t>
      </w:r>
      <w:r>
        <w:rPr>
          <w:rFonts w:hAnsi="宋体"/>
          <w:sz w:val="24"/>
          <w:szCs w:val="24"/>
        </w:rPr>
      </w:r>
      <w:r/>
    </w:p>
    <w:p>
      <w:pPr>
        <w:pStyle w:val="1497"/>
        <w:ind w:firstLine="576"/>
        <w:spacing w:line="360" w:lineRule="auto"/>
        <w:rPr>
          <w:rFonts w:hAnsi="宋体"/>
          <w:sz w:val="24"/>
          <w:szCs w:val="24"/>
        </w:rPr>
      </w:pPr>
      <w:r>
        <w:rPr>
          <w:rFonts w:hint="eastAsia" w:hAnsi="宋体"/>
          <w:sz w:val="24"/>
          <w:szCs w:val="24"/>
        </w:rPr>
        <w:t xml:space="preserve">项目技术负责人具有园林绿化相关专业中级及以上职称的，得1分；具有园林绿化相关专业高级及以上职称的，得2分。本项最多得2分。</w:t>
      </w:r>
      <w:r>
        <w:rPr>
          <w:rFonts w:hAnsi="宋体"/>
          <w:sz w:val="24"/>
          <w:szCs w:val="24"/>
        </w:rPr>
      </w:r>
      <w:r/>
    </w:p>
    <w:p>
      <w:pPr>
        <w:pStyle w:val="1497"/>
        <w:ind w:firstLine="576"/>
        <w:spacing w:line="360" w:lineRule="auto"/>
        <w:rPr>
          <w:rFonts w:hAnsi="宋体" w:cs="宋体"/>
          <w:sz w:val="24"/>
          <w:szCs w:val="24"/>
        </w:rPr>
      </w:pPr>
      <w:r>
        <w:rPr>
          <w:rFonts w:hint="eastAsia" w:hAnsi="宋体"/>
          <w:sz w:val="24"/>
          <w:szCs w:val="24"/>
        </w:rPr>
        <w:t xml:space="preserve">注：（1）、（2）、（3</w:t>
      </w:r>
      <w:r>
        <w:rPr>
          <w:rFonts w:hint="eastAsia" w:hAnsi="宋体"/>
          <w:b w:val="0"/>
          <w:bCs w:val="0"/>
          <w:sz w:val="24"/>
          <w:szCs w:val="24"/>
        </w:rPr>
        <w:t xml:space="preserve">）配置</w:t>
      </w:r>
      <w:r>
        <w:rPr>
          <w:rFonts w:hint="eastAsia" w:ascii="宋体" w:hAnsi="宋体" w:cs="宋体"/>
          <w:b w:val="0"/>
          <w:bCs w:val="0"/>
          <w:sz w:val="24"/>
        </w:rPr>
        <w:t xml:space="preserve">同一人时不可重复得分，</w:t>
      </w:r>
      <w:r>
        <w:rPr>
          <w:rFonts w:hint="eastAsia" w:hAnsi="宋体"/>
          <w:b w:val="0"/>
          <w:bCs w:val="0"/>
          <w:sz w:val="24"/>
          <w:szCs w:val="24"/>
        </w:rPr>
        <w:t xml:space="preserve">须提供以上人员相关</w:t>
      </w:r>
      <w:r>
        <w:rPr>
          <w:rFonts w:hint="eastAsia" w:hAnsi="宋体" w:cs="宋体"/>
          <w:b w:val="0"/>
          <w:bCs w:val="0"/>
          <w:sz w:val="24"/>
          <w:szCs w:val="24"/>
        </w:rPr>
        <w:t xml:space="preserve">证书原件扫描件、由社保机构出具的2024年4月至2024年6月连续的缴费证明（原件扫描件或含有县(区)级及以上社保部门电子签章或带二维码验证的打印件）扫描件上传至系统中并电子签章</w:t>
      </w:r>
      <w:r>
        <w:rPr>
          <w:rFonts w:hint="eastAsia" w:hAnsi="宋体" w:cs="宋体"/>
          <w:sz w:val="24"/>
          <w:szCs w:val="24"/>
        </w:rPr>
        <w:t xml:space="preserve">，不提供或提供不全者本项不得分。</w:t>
      </w:r>
      <w:r>
        <w:rPr>
          <w:rFonts w:hint="eastAsia" w:ascii="宋体" w:hAnsi="宋体"/>
          <w:sz w:val="24"/>
          <w:szCs w:val="24"/>
        </w:rPr>
        <w:t xml:space="preserve">园林绿化相关专业职称证书是指：与园林绿化工程规划、设计、施工及养护管理相关的专业，包括园林（含园林规划设计、园林植物、风景园林、园林绿化等）、园艺、城市规划、景观、植物（含植保、森保等）的职称证书。</w:t>
      </w:r>
      <w:r>
        <w:rPr>
          <w:rFonts w:hAnsi="宋体" w:cs="宋体"/>
          <w:sz w:val="24"/>
          <w:szCs w:val="24"/>
        </w:rPr>
      </w:r>
      <w:r/>
    </w:p>
    <w:p>
      <w:pPr>
        <w:pStyle w:val="1570"/>
        <w:ind w:firstLine="480"/>
        <w:spacing w:line="360" w:lineRule="auto"/>
        <w:rPr>
          <w:rFonts w:hint="eastAsia" w:ascii="宋体" w:hAnsi="宋体" w:cs="宋体"/>
          <w:b/>
          <w:bCs/>
          <w:sz w:val="24"/>
          <w:highlight w:val="none"/>
        </w:rPr>
      </w:pPr>
      <w:r>
        <w:rPr>
          <w:rFonts w:hint="eastAsia" w:ascii="宋体" w:hAnsi="宋体" w:cs="宋体"/>
          <w:b/>
          <w:bCs/>
          <w:sz w:val="24"/>
          <w:lang w:val="en-US" w:eastAsia="zh-CN"/>
        </w:rPr>
        <w:t xml:space="preserve">5</w:t>
      </w:r>
      <w:r>
        <w:rPr>
          <w:rFonts w:hint="eastAsia" w:ascii="宋体" w:hAnsi="宋体" w:cs="宋体"/>
          <w:b/>
          <w:bCs/>
          <w:sz w:val="24"/>
        </w:rPr>
        <w:t xml:space="preserve">、</w:t>
      </w:r>
      <w:r>
        <w:rPr>
          <w:rFonts w:hint="eastAsia" w:ascii="宋体" w:hAnsi="宋体" w:cs="宋体"/>
          <w:b/>
          <w:bCs/>
          <w:sz w:val="24"/>
          <w:lang w:eastAsia="zh-CN"/>
        </w:rPr>
        <w:t xml:space="preserve">服务</w:t>
      </w:r>
      <w:r>
        <w:rPr>
          <w:rFonts w:hint="eastAsia" w:ascii="宋体" w:hAnsi="宋体" w:cs="宋体"/>
          <w:b/>
          <w:bCs/>
          <w:sz w:val="24"/>
          <w:highlight w:val="none"/>
        </w:rPr>
        <w:t xml:space="preserve">文件（</w:t>
      </w:r>
      <w:r>
        <w:rPr>
          <w:rFonts w:hint="eastAsia" w:ascii="宋体" w:hAnsi="宋体" w:cs="宋体"/>
          <w:b/>
          <w:bCs/>
          <w:sz w:val="24"/>
          <w:highlight w:val="none"/>
          <w:lang w:val="en-US" w:eastAsia="zh-CN"/>
        </w:rPr>
        <w:t xml:space="preserve">60</w:t>
      </w:r>
      <w:r>
        <w:rPr>
          <w:rFonts w:hint="eastAsia" w:ascii="宋体" w:hAnsi="宋体" w:cs="宋体"/>
          <w:b/>
          <w:bCs/>
          <w:sz w:val="24"/>
          <w:highlight w:val="none"/>
        </w:rPr>
        <w:t xml:space="preserve">分）</w:t>
      </w:r>
      <w:r>
        <w:rPr>
          <w:rFonts w:hint="eastAsia" w:ascii="宋体" w:hAnsi="宋体" w:cs="宋体"/>
          <w:b/>
          <w:bCs/>
          <w:sz w:val="24"/>
          <w:highlight w:val="none"/>
        </w:rPr>
      </w:r>
      <w:r/>
    </w:p>
    <w:p>
      <w:pPr>
        <w:pStyle w:val="1497"/>
        <w:ind w:left="42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1）绿化养护作业方案</w:t>
      </w:r>
      <w:r>
        <w:rPr>
          <w:rFonts w:hint="eastAsia" w:ascii="宋体" w:hAnsi="宋体" w:cs="宋体"/>
          <w:b/>
          <w:bCs/>
          <w:sz w:val="24"/>
          <w:szCs w:val="24"/>
          <w:lang w:val="en-US" w:eastAsia="zh-CN"/>
        </w:rPr>
        <w:t xml:space="preserve">16</w:t>
      </w:r>
      <w:r>
        <w:rPr>
          <w:rFonts w:hint="eastAsia" w:ascii="宋体" w:hAnsi="宋体" w:cs="宋体"/>
          <w:b/>
          <w:bCs/>
          <w:sz w:val="24"/>
          <w:szCs w:val="24"/>
        </w:rPr>
        <w:t xml:space="preserve">分</w:t>
      </w:r>
      <w:r>
        <w:rPr>
          <w:rFonts w:ascii="宋体" w:hAnsi="宋体" w:cs="宋体"/>
          <w:b/>
          <w:bCs/>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绿化养护作业方案包括：①养护计划、作业规范；②养护管理制度和养护管理档案；③专项养护方案；④园林绿化废弃物处置方案。</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bCs/>
          <w:sz w:val="24"/>
        </w:rPr>
        <w:t xml:space="preserve">上述四项内容</w:t>
      </w:r>
      <w:r>
        <w:rPr>
          <w:rFonts w:hint="eastAsia" w:ascii="宋体" w:hAnsi="宋体" w:cs="宋体"/>
          <w:sz w:val="24"/>
        </w:rPr>
        <w:t xml:space="preserve">每有一项</w:t>
      </w:r>
      <w:r>
        <w:rPr>
          <w:rFonts w:hint="eastAsia" w:ascii="宋体" w:hAnsi="宋体" w:cs="宋体"/>
          <w:sz w:val="24"/>
          <w:szCs w:val="24"/>
        </w:rPr>
        <w:t xml:space="preserve">方案内容详实、需求贴合度高、条理清晰且有针对性和条理性的得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ascii="宋体" w:hAnsi="宋体" w:cs="宋体"/>
          <w:sz w:val="24"/>
        </w:rPr>
        <w:t xml:space="preserve">每有一项</w:t>
      </w:r>
      <w:r>
        <w:rPr>
          <w:rFonts w:hint="eastAsia" w:ascii="宋体" w:hAnsi="宋体" w:cs="宋体"/>
          <w:sz w:val="24"/>
          <w:szCs w:val="24"/>
        </w:rPr>
        <w:t xml:space="preserve">方案内容较详实、需求贴合度较高、条理清晰且分析有针对性和条理性的得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未提供方案或存在逻辑错误、前后矛盾，或存在违反现行相关规范的不得分。</w:t>
      </w:r>
      <w:r>
        <w:rPr>
          <w:rFonts w:ascii="宋体" w:hAnsi="宋体" w:cs="宋体"/>
          <w:sz w:val="24"/>
          <w:szCs w:val="24"/>
        </w:rPr>
      </w:r>
      <w:r/>
    </w:p>
    <w:p>
      <w:pPr>
        <w:pStyle w:val="1497"/>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2）本项目实施的重点难点及解决方案7分</w:t>
      </w:r>
      <w:r>
        <w:rPr>
          <w:rFonts w:ascii="宋体" w:hAnsi="宋体" w:cs="宋体"/>
          <w:b/>
          <w:bCs/>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本项目实施的重点难点及解决方案包括：①本项目重难点分析及解决方案；②本项目重点路段人员保障、技术保障方案。</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bCs/>
          <w:sz w:val="24"/>
        </w:rPr>
        <w:t xml:space="preserve">上述两项内容</w:t>
      </w:r>
      <w:r>
        <w:rPr>
          <w:rFonts w:hint="eastAsia" w:ascii="宋体" w:hAnsi="宋体" w:cs="宋体"/>
          <w:sz w:val="24"/>
        </w:rPr>
        <w:t xml:space="preserve">每有一项</w:t>
      </w:r>
      <w:r>
        <w:rPr>
          <w:rFonts w:hint="eastAsia" w:ascii="宋体" w:hAnsi="宋体" w:cs="宋体"/>
          <w:sz w:val="24"/>
          <w:szCs w:val="24"/>
        </w:rPr>
        <w:t xml:space="preserve">方案内容详实、需求贴合度高、条理清晰且重难点分析有针对性和条理性的得3.5分；</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ascii="宋体" w:hAnsi="宋体" w:cs="宋体"/>
          <w:sz w:val="24"/>
        </w:rPr>
        <w:t xml:space="preserve">每有一项</w:t>
      </w:r>
      <w:r>
        <w:rPr>
          <w:rFonts w:hint="eastAsia" w:ascii="宋体" w:hAnsi="宋体" w:cs="宋体"/>
          <w:sz w:val="24"/>
          <w:szCs w:val="24"/>
        </w:rPr>
        <w:t xml:space="preserve">方案内容较详实、需求贴合度较高、条理清晰且重难点分析有针对性和条理性的得2分；</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未提供方案或存在逻辑错误、前后矛盾，或存在违反现行相关规范的不得分。</w:t>
      </w:r>
      <w:r>
        <w:rPr>
          <w:rFonts w:ascii="宋体" w:hAnsi="宋体" w:cs="宋体"/>
          <w:sz w:val="24"/>
          <w:szCs w:val="24"/>
        </w:rPr>
      </w:r>
      <w:r/>
    </w:p>
    <w:p>
      <w:pPr>
        <w:pStyle w:val="1497"/>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3）精细化管理提升方案12分</w:t>
      </w:r>
      <w:r>
        <w:rPr>
          <w:rFonts w:ascii="宋体" w:hAnsi="宋体" w:cs="宋体"/>
          <w:b/>
          <w:bCs/>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精细化管理提升方案包括：①提升原则；②提升目标；③提升方法；④实施步骤。</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bCs/>
          <w:sz w:val="24"/>
        </w:rPr>
        <w:t xml:space="preserve">上述四项内容</w:t>
      </w:r>
      <w:r>
        <w:rPr>
          <w:rFonts w:hint="eastAsia" w:ascii="宋体" w:hAnsi="宋体" w:cs="宋体"/>
          <w:sz w:val="24"/>
        </w:rPr>
        <w:t xml:space="preserve">每有一项</w:t>
      </w:r>
      <w:r>
        <w:rPr>
          <w:rFonts w:hint="eastAsia" w:ascii="宋体" w:hAnsi="宋体" w:cs="宋体"/>
          <w:sz w:val="24"/>
          <w:szCs w:val="24"/>
        </w:rPr>
        <w:t xml:space="preserve">方案内容详实、需求贴合度高、条理清晰且有针对性和条理性的得3分；</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每有一项方案内容较详实、需求贴合度较高、条理清晰且分析有针对性和条理性的得1.5分；</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未提供方案或存在逻辑错误、前后矛盾，或存在违反现行相关规范的不得分。</w:t>
      </w:r>
      <w:r>
        <w:rPr>
          <w:rFonts w:ascii="宋体" w:hAnsi="宋体" w:cs="宋体"/>
          <w:sz w:val="24"/>
          <w:szCs w:val="24"/>
        </w:rPr>
      </w:r>
      <w:r/>
    </w:p>
    <w:p>
      <w:pPr>
        <w:pStyle w:val="1497"/>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4）安全文明保障措施方案9分</w:t>
      </w:r>
      <w:r>
        <w:rPr>
          <w:rFonts w:ascii="宋体" w:hAnsi="宋体" w:cs="宋体"/>
          <w:b/>
          <w:bCs/>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安全文明保障措施方案包括：①安全养护指导思想；②各类安全防护措施；③安全文明制度、安全教育制度。</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bCs/>
          <w:sz w:val="24"/>
        </w:rPr>
        <w:t xml:space="preserve">上述三项内容</w:t>
      </w:r>
      <w:r>
        <w:rPr>
          <w:rFonts w:hint="eastAsia" w:ascii="宋体" w:hAnsi="宋体" w:cs="宋体"/>
          <w:sz w:val="24"/>
        </w:rPr>
        <w:t xml:space="preserve">每有一项</w:t>
      </w:r>
      <w:r>
        <w:rPr>
          <w:rFonts w:hint="eastAsia" w:ascii="宋体" w:hAnsi="宋体" w:cs="宋体"/>
          <w:sz w:val="24"/>
          <w:szCs w:val="24"/>
        </w:rPr>
        <w:t xml:space="preserve">方案内容详实、需求贴合度高、条理清晰且有针对性和条理性的得3分；</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ascii="宋体" w:hAnsi="宋体" w:cs="宋体"/>
          <w:sz w:val="24"/>
        </w:rPr>
        <w:t xml:space="preserve">每有一项</w:t>
      </w:r>
      <w:r>
        <w:rPr>
          <w:rFonts w:hint="eastAsia" w:ascii="宋体" w:hAnsi="宋体" w:cs="宋体"/>
          <w:sz w:val="24"/>
          <w:szCs w:val="24"/>
        </w:rPr>
        <w:t xml:space="preserve">方案内容较详实、需求贴合度较高、条理清晰且分析有针对性和条理性的得1.5分；</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未提供方案或存在逻辑错误、前后矛盾，或存在违反现行相关规范的不得分。</w:t>
      </w:r>
      <w:r>
        <w:rPr>
          <w:rFonts w:ascii="宋体" w:hAnsi="宋体" w:cs="宋体"/>
          <w:sz w:val="24"/>
          <w:szCs w:val="24"/>
        </w:rPr>
      </w:r>
      <w:r/>
    </w:p>
    <w:p>
      <w:pPr>
        <w:pStyle w:val="1497"/>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5）快速保障应急措施方案4分</w:t>
      </w:r>
      <w:r>
        <w:rPr>
          <w:rFonts w:ascii="宋体" w:hAnsi="宋体" w:cs="宋体"/>
          <w:b/>
          <w:bCs/>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快速保障应急措施方案包括：①灾害性天气（防汛、防冻、防雪）、养护防护应急措施、交通应急措施；②重大活动、各类创建活动、重大事故的快速处理预案。</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bCs/>
          <w:sz w:val="24"/>
        </w:rPr>
        <w:t xml:space="preserve">上述两项内容</w:t>
      </w:r>
      <w:r>
        <w:rPr>
          <w:rFonts w:hint="eastAsia" w:ascii="宋体" w:hAnsi="宋体" w:cs="宋体"/>
          <w:sz w:val="24"/>
        </w:rPr>
        <w:t xml:space="preserve">每有一项</w:t>
      </w:r>
      <w:r>
        <w:rPr>
          <w:rFonts w:hint="eastAsia" w:ascii="宋体" w:hAnsi="宋体" w:cs="宋体"/>
          <w:sz w:val="24"/>
          <w:szCs w:val="24"/>
        </w:rPr>
        <w:t xml:space="preserve">方案内容详实、需求贴合度高、条理清晰且有针对性和条理性的得2分；</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每有一项方案内容较详实、需求贴合度较高、条理清晰且分析有针对性和条理性的得1分；</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提供方案或存在逻辑错误、前后矛盾，或存在违反现行相关规范的不得分。</w:t>
      </w:r>
      <w:r>
        <w:rPr>
          <w:rFonts w:ascii="宋体" w:hAnsi="宋体" w:cs="宋体"/>
          <w:sz w:val="24"/>
          <w:szCs w:val="24"/>
        </w:rPr>
      </w:r>
      <w:r/>
    </w:p>
    <w:p>
      <w:pPr>
        <w:pStyle w:val="1497"/>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6）养护管理制度和养护</w:t>
      </w:r>
      <w:r>
        <w:rPr>
          <w:rFonts w:hint="eastAsia" w:ascii="宋体" w:hAnsi="宋体" w:cs="宋体"/>
          <w:b/>
          <w:bCs/>
          <w:sz w:val="24"/>
          <w:szCs w:val="24"/>
          <w:lang w:eastAsia="zh-CN"/>
        </w:rPr>
        <w:t xml:space="preserve">台账管理</w:t>
      </w:r>
      <w:r>
        <w:rPr>
          <w:rFonts w:hint="eastAsia" w:ascii="宋体" w:hAnsi="宋体" w:cs="宋体"/>
          <w:b/>
          <w:bCs/>
          <w:sz w:val="24"/>
          <w:szCs w:val="24"/>
        </w:rPr>
        <w:t xml:space="preserve">方案8分</w:t>
      </w:r>
      <w:r>
        <w:rPr>
          <w:rFonts w:ascii="宋体" w:hAnsi="宋体" w:cs="宋体"/>
          <w:b/>
          <w:bCs/>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养护管理制度和养护</w:t>
      </w:r>
      <w:r>
        <w:rPr>
          <w:rFonts w:hint="eastAsia" w:ascii="宋体" w:hAnsi="宋体" w:cs="宋体"/>
          <w:sz w:val="24"/>
          <w:szCs w:val="24"/>
          <w:lang w:eastAsia="zh-CN"/>
        </w:rPr>
        <w:t xml:space="preserve">台账管理</w:t>
      </w:r>
      <w:r>
        <w:rPr>
          <w:rFonts w:hint="eastAsia" w:ascii="宋体" w:hAnsi="宋体" w:cs="宋体"/>
          <w:sz w:val="24"/>
          <w:szCs w:val="24"/>
        </w:rPr>
        <w:t xml:space="preserve">方案包括：①公司管理体系；②养护管理制度及考核制度；③日常养护管理方案；④养护台账管理体系。</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bCs/>
          <w:sz w:val="24"/>
        </w:rPr>
        <w:t xml:space="preserve">上述四项内容</w:t>
      </w:r>
      <w:r>
        <w:rPr>
          <w:rFonts w:hint="eastAsia" w:ascii="宋体" w:hAnsi="宋体" w:cs="宋体"/>
          <w:sz w:val="24"/>
        </w:rPr>
        <w:t xml:space="preserve">每有一项</w:t>
      </w:r>
      <w:r>
        <w:rPr>
          <w:rFonts w:hint="eastAsia" w:ascii="宋体" w:hAnsi="宋体" w:cs="宋体"/>
          <w:sz w:val="24"/>
          <w:szCs w:val="24"/>
        </w:rPr>
        <w:t xml:space="preserve">方案内容详实、需求贴合度高、条理清晰且有针对性和条理性的得2分；</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方案内容较详实、需求贴合度较高、条理清晰且分析有针对性和条理性的得1分；</w:t>
      </w:r>
      <w:r>
        <w:rPr>
          <w:rFonts w:ascii="宋体" w:hAnsi="宋体" w:cs="宋体"/>
          <w:sz w:val="24"/>
          <w:szCs w:val="24"/>
        </w:rPr>
      </w:r>
      <w:r/>
    </w:p>
    <w:p>
      <w:pPr>
        <w:pStyle w:val="1497"/>
        <w:ind w:firstLine="480"/>
        <w:spacing w:line="360" w:lineRule="auto"/>
        <w:rPr>
          <w:rFonts w:ascii="宋体" w:hAnsi="宋体" w:cs="宋体"/>
          <w:sz w:val="24"/>
          <w:szCs w:val="24"/>
        </w:rPr>
      </w:pPr>
      <w:r>
        <w:rPr>
          <w:rFonts w:hint="eastAsia" w:ascii="宋体" w:hAnsi="宋体" w:cs="宋体"/>
          <w:sz w:val="24"/>
          <w:szCs w:val="24"/>
        </w:rPr>
        <w:t xml:space="preserve">未提供方案或存在逻辑错误、前后矛盾，或存在违反现行相关规范的不得分。</w:t>
      </w:r>
      <w:r>
        <w:rPr>
          <w:rFonts w:ascii="宋体" w:hAnsi="宋体" w:cs="宋体"/>
          <w:sz w:val="24"/>
          <w:szCs w:val="24"/>
        </w:rPr>
      </w:r>
      <w:r/>
    </w:p>
    <w:p>
      <w:pPr>
        <w:pStyle w:val="1497"/>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7）常见病害养护技术方案4分</w:t>
      </w:r>
      <w:r>
        <w:rPr>
          <w:rFonts w:ascii="宋体" w:hAnsi="宋体" w:cs="宋体"/>
          <w:b/>
          <w:bCs/>
          <w:sz w:val="24"/>
          <w:szCs w:val="24"/>
        </w:rPr>
      </w:r>
      <w:r/>
    </w:p>
    <w:p>
      <w:pPr>
        <w:pStyle w:val="1497"/>
        <w:ind w:firstLine="480"/>
        <w:jc w:val="left"/>
        <w:spacing w:line="360" w:lineRule="auto"/>
        <w:rPr>
          <w:rFonts w:ascii="宋体" w:hAnsi="宋体" w:cs="宋体"/>
          <w:sz w:val="24"/>
          <w:szCs w:val="24"/>
        </w:rPr>
      </w:pPr>
      <w:r>
        <w:rPr>
          <w:rFonts w:hint="eastAsia" w:ascii="宋体" w:hAnsi="宋体" w:cs="宋体"/>
          <w:sz w:val="24"/>
          <w:szCs w:val="24"/>
        </w:rPr>
        <w:t xml:space="preserve">常见病害养护技术方案包括：①常见病害分析阐述；②常见病害对应解决方案。</w:t>
      </w:r>
      <w:r>
        <w:rPr>
          <w:rFonts w:ascii="宋体" w:hAnsi="宋体" w:cs="宋体"/>
          <w:sz w:val="24"/>
          <w:szCs w:val="24"/>
        </w:rPr>
      </w:r>
      <w:r/>
    </w:p>
    <w:p>
      <w:pPr>
        <w:pStyle w:val="1497"/>
        <w:ind w:firstLine="480"/>
        <w:jc w:val="left"/>
        <w:spacing w:line="360" w:lineRule="auto"/>
        <w:rPr>
          <w:rFonts w:ascii="宋体" w:hAnsi="宋体" w:cs="宋体"/>
          <w:sz w:val="24"/>
          <w:szCs w:val="24"/>
        </w:rPr>
      </w:pPr>
      <w:r>
        <w:rPr>
          <w:rFonts w:hint="eastAsia"/>
          <w:bCs/>
          <w:sz w:val="24"/>
        </w:rPr>
        <w:t xml:space="preserve">上述两项内容</w:t>
      </w:r>
      <w:r>
        <w:rPr>
          <w:rFonts w:hint="eastAsia" w:ascii="宋体" w:hAnsi="宋体" w:cs="宋体"/>
          <w:sz w:val="24"/>
        </w:rPr>
        <w:t xml:space="preserve">每有一项</w:t>
      </w:r>
      <w:r>
        <w:rPr>
          <w:rFonts w:hint="eastAsia" w:ascii="宋体" w:hAnsi="宋体" w:cs="宋体"/>
          <w:sz w:val="24"/>
          <w:szCs w:val="24"/>
        </w:rPr>
        <w:t xml:space="preserve">方案内容详实、需求贴合度高、条理清晰且有针对性和条理性的得2分；</w:t>
      </w:r>
      <w:r>
        <w:rPr>
          <w:rFonts w:ascii="宋体" w:hAnsi="宋体" w:cs="宋体"/>
          <w:sz w:val="24"/>
          <w:szCs w:val="24"/>
        </w:rPr>
      </w:r>
      <w:r/>
    </w:p>
    <w:p>
      <w:pPr>
        <w:pStyle w:val="1497"/>
        <w:ind w:firstLine="480"/>
        <w:jc w:val="left"/>
        <w:spacing w:line="360" w:lineRule="auto"/>
        <w:rPr>
          <w:rFonts w:ascii="宋体" w:hAnsi="宋体" w:cs="宋体"/>
          <w:sz w:val="24"/>
          <w:szCs w:val="24"/>
        </w:rPr>
      </w:pPr>
      <w:r>
        <w:rPr>
          <w:rFonts w:hint="eastAsia" w:ascii="宋体" w:hAnsi="宋体" w:cs="宋体"/>
          <w:sz w:val="24"/>
          <w:szCs w:val="24"/>
        </w:rPr>
        <w:t xml:space="preserve">每有一项方案内容较详实、需求贴合度较高、条理清晰且分析有针对性和条理性的得1分；</w:t>
      </w:r>
      <w:r>
        <w:rPr>
          <w:rFonts w:ascii="宋体" w:hAnsi="宋体" w:cs="宋体"/>
          <w:sz w:val="24"/>
          <w:szCs w:val="24"/>
        </w:rPr>
      </w:r>
      <w:r/>
    </w:p>
    <w:p>
      <w:pPr>
        <w:pStyle w:val="1497"/>
        <w:ind w:firstLine="480"/>
        <w:jc w:val="left"/>
        <w:spacing w:line="360" w:lineRule="auto"/>
        <w:rPr>
          <w:rFonts w:ascii="宋体" w:hAnsi="宋体" w:cs="宋体"/>
          <w:sz w:val="24"/>
          <w:szCs w:val="24"/>
        </w:rPr>
      </w:pPr>
      <w:r>
        <w:rPr>
          <w:rFonts w:hint="eastAsia" w:ascii="宋体" w:hAnsi="宋体" w:cs="宋体"/>
          <w:sz w:val="24"/>
          <w:szCs w:val="24"/>
        </w:rPr>
        <w:t xml:space="preserve">未提供方案或存在逻辑错误、前后矛盾，或存在违反现行相关规范的不得分</w:t>
      </w:r>
      <w:r>
        <w:rPr>
          <w:rFonts w:ascii="宋体" w:hAnsi="宋体" w:cs="宋体"/>
          <w:sz w:val="24"/>
          <w:szCs w:val="24"/>
        </w:rPr>
      </w:r>
      <w:r/>
    </w:p>
    <w:p>
      <w:pPr>
        <w:pStyle w:val="1497"/>
        <w:ind w:firstLine="480"/>
        <w:jc w:val="left"/>
        <w:spacing w:line="360" w:lineRule="auto"/>
        <w:tabs>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技术标评委在5人及5人以上的，取所有成员的平均值。评分办法及评分细则的解释权属采购人。未列入本评分细则的其他条件不作为评分内容。</w:t>
      </w:r>
      <w:r>
        <w:rPr>
          <w:rFonts w:ascii="宋体" w:hAnsi="宋体" w:cs="宋体"/>
          <w:bCs/>
          <w:color w:val="000000"/>
          <w:sz w:val="24"/>
          <w:szCs w:val="24"/>
        </w:rPr>
      </w:r>
      <w:r/>
    </w:p>
    <w:p>
      <w:pPr>
        <w:pStyle w:val="1497"/>
        <w:ind w:firstLine="480"/>
        <w:jc w:val="left"/>
        <w:spacing w:line="360" w:lineRule="auto"/>
        <w:tabs>
          <w:tab w:val="left" w:pos="945" w:leader="none"/>
          <w:tab w:val="left" w:pos="1155" w:leader="none"/>
        </w:tabs>
        <w:rPr>
          <w:rFonts w:ascii="宋体" w:hAnsi="宋体" w:cs="宋体"/>
          <w:b/>
          <w:color w:val="000000"/>
          <w:sz w:val="24"/>
          <w:szCs w:val="24"/>
        </w:rPr>
      </w:pPr>
      <w:r>
        <w:rPr>
          <w:rFonts w:hint="eastAsia" w:ascii="宋体" w:hAnsi="宋体" w:cs="宋体"/>
          <w:b/>
          <w:color w:val="000000"/>
          <w:sz w:val="24"/>
          <w:szCs w:val="24"/>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rPr>
          <w:rFonts w:ascii="宋体" w:hAnsi="宋体" w:cs="宋体"/>
          <w:b/>
          <w:color w:val="000000"/>
          <w:sz w:val="24"/>
          <w:szCs w:val="24"/>
        </w:rPr>
      </w:r>
      <w:r/>
    </w:p>
    <w:p>
      <w:pPr>
        <w:pStyle w:val="1497"/>
      </w:pPr>
      <w:r/>
      <w:r/>
    </w:p>
    <w:p>
      <w:pPr>
        <w:pStyle w:val="1497"/>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Cs/>
          <w:color w:val="000000"/>
          <w:sz w:val="24"/>
          <w:szCs w:val="24"/>
          <w:highlight w:val="none"/>
          <w:lang w:val="zh-CN" w:eastAsia="zh-CN"/>
        </w:rPr>
      </w:r>
      <w:r/>
    </w:p>
    <w:p>
      <w:pPr>
        <w:pStyle w:val="149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497"/>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1497"/>
        <w:rPr>
          <w:rFonts w:ascii="黑体" w:eastAsia="黑体"/>
          <w:bCs/>
          <w:color w:val="000000"/>
          <w:sz w:val="32"/>
          <w:highlight w:val="none"/>
        </w:rPr>
        <w:outlineLvl w:val="9"/>
      </w:pPr>
      <w:r>
        <w:rPr>
          <w:rFonts w:ascii="黑体" w:eastAsia="黑体"/>
          <w:bCs/>
          <w:color w:val="000000"/>
          <w:sz w:val="32"/>
          <w:highlight w:val="none"/>
        </w:rPr>
      </w:r>
      <w:r/>
    </w:p>
    <w:p>
      <w:pPr>
        <w:pStyle w:val="1497"/>
        <w:rPr>
          <w:rFonts w:ascii="黑体" w:eastAsia="黑体"/>
          <w:bCs/>
          <w:color w:val="000000"/>
          <w:sz w:val="32"/>
          <w:highlight w:val="none"/>
        </w:rPr>
        <w:outlineLvl w:val="9"/>
      </w:pPr>
      <w:r>
        <w:rPr>
          <w:rFonts w:ascii="黑体" w:eastAsia="黑体"/>
          <w:bCs/>
          <w:color w:val="000000"/>
          <w:sz w:val="32"/>
          <w:highlight w:val="none"/>
        </w:rPr>
      </w:r>
      <w:r/>
    </w:p>
    <w:p>
      <w:pPr>
        <w:pStyle w:val="1497"/>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1497"/>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497"/>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1497"/>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497"/>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1497"/>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497"/>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1530"/>
        <w:tabs>
          <w:tab w:val="center" w:pos="4153" w:leader="none"/>
          <w:tab w:val="right" w:pos="8306" w:leader="none"/>
        </w:tabs>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pStyle w:val="1497"/>
        <w:rPr>
          <w:rFonts w:hint="eastAsia" w:ascii="宋体" w:hAnsi="宋体" w:cs="宋体"/>
          <w:color w:val="000000"/>
          <w:highlight w:val="none"/>
        </w:rPr>
        <w:outlineLvl w:val="9"/>
      </w:pPr>
      <w:r>
        <w:rPr>
          <w:rFonts w:hint="eastAsia" w:ascii="宋体" w:hAnsi="宋体" w:cs="宋体"/>
          <w:color w:val="000000"/>
          <w:highlight w:val="none"/>
        </w:rPr>
      </w:r>
      <w:r/>
    </w:p>
    <w:p>
      <w:pPr>
        <w:pStyle w:val="1497"/>
        <w:spacing w:line="360" w:lineRule="auto"/>
        <w:rPr>
          <w:rFonts w:hint="eastAsia" w:ascii="宋体" w:hAnsi="宋体" w:eastAsia="宋体" w:cs="宋体"/>
          <w:bCs/>
          <w:color w:val="000000"/>
          <w:sz w:val="30"/>
          <w:szCs w:val="30"/>
          <w:highlight w:val="yellow"/>
          <w:lang w:eastAsia="zh-CN"/>
        </w:rPr>
        <w:outlineLvl w:val="9"/>
      </w:pPr>
      <w:r/>
      <w:bookmarkStart w:id="37" w:name="_Toc3725"/>
      <w:r/>
      <w:bookmarkStart w:id="38" w:name="_Toc31708"/>
      <w:r>
        <w:rPr>
          <w:rFonts w:hint="eastAsia" w:ascii="宋体" w:hAnsi="宋体" w:cs="宋体"/>
          <w:bCs/>
          <w:color w:val="000000"/>
          <w:sz w:val="30"/>
          <w:szCs w:val="30"/>
          <w:highlight w:val="none"/>
        </w:rPr>
        <w:t xml:space="preserve">采购项目编号：</w:t>
      </w:r>
      <w:bookmarkEnd w:id="37"/>
      <w:r/>
      <w:bookmarkEnd w:id="38"/>
      <w:r>
        <w:rPr>
          <w:rFonts w:hint="eastAsia" w:ascii="宋体" w:hAnsi="宋体" w:eastAsia="宋体" w:cs="宋体"/>
          <w:bCs/>
          <w:color w:val="000000"/>
          <w:sz w:val="30"/>
          <w:szCs w:val="30"/>
          <w:highlight w:val="yellow"/>
          <w:lang w:eastAsia="zh-CN"/>
        </w:rPr>
      </w:r>
      <w:r/>
    </w:p>
    <w:p>
      <w:pPr>
        <w:pStyle w:val="1497"/>
        <w:rPr>
          <w:rFonts w:hint="eastAsia" w:ascii="宋体" w:hAnsi="宋体" w:eastAsia="宋体" w:cs="Times New Roman"/>
          <w:b w:val="0"/>
          <w:bCs/>
          <w:color w:val="000000"/>
          <w:sz w:val="30"/>
          <w:szCs w:val="30"/>
          <w:highlight w:val="none"/>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rPr>
      </w:r>
      <w:r/>
    </w:p>
    <w:p>
      <w:pPr>
        <w:pStyle w:val="1497"/>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1497"/>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1497"/>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39" w:name="一．报价函（格式）"/>
      <w:r/>
      <w:bookmarkEnd w:id="39"/>
      <w:r>
        <w:rPr>
          <w:rFonts w:hint="eastAsia" w:ascii="宋体" w:hAnsi="宋体" w:cs="宋体"/>
          <w:bCs/>
          <w:color w:val="000000"/>
          <w:sz w:val="28"/>
          <w:szCs w:val="28"/>
          <w:highlight w:val="none"/>
        </w:rPr>
      </w:r>
      <w:r/>
    </w:p>
    <w:p>
      <w:pPr>
        <w:pStyle w:val="1497"/>
        <w:jc w:val="center"/>
        <w:rPr>
          <w:rFonts w:hint="eastAsia" w:ascii="宋体" w:hAnsi="宋体" w:cs="宋体"/>
          <w:bCs/>
          <w:color w:val="000000"/>
          <w:sz w:val="28"/>
          <w:szCs w:val="28"/>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pStyle w:val="1497"/>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rFonts w:hint="eastAsia"/>
          <w:color w:val="000000"/>
          <w:highlight w:val="none"/>
          <w:lang w:eastAsia="zh-CN"/>
        </w:rPr>
      </w:r>
      <w:r/>
    </w:p>
    <w:p>
      <w:pPr>
        <w:pStyle w:val="1497"/>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497"/>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rFonts w:hint="eastAsia"/>
          <w:color w:val="000000"/>
          <w:highlight w:val="none"/>
        </w:rPr>
      </w:r>
      <w:r/>
    </w:p>
    <w:p>
      <w:pPr>
        <w:pStyle w:val="1497"/>
        <w:spacing w:line="360" w:lineRule="auto"/>
        <w:rPr>
          <w:rFonts w:hint="eastAsia" w:ascii="宋体" w:hAnsi="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rPr>
        <w:t xml:space="preserve">江苏通汇工程管理咨询有限公司</w:t>
      </w:r>
      <w:r>
        <w:rPr>
          <w:rFonts w:hint="eastAsia" w:ascii="宋体" w:hAnsi="宋体" w:cs="宋体"/>
          <w:bCs/>
          <w:color w:val="000000"/>
          <w:sz w:val="24"/>
          <w:szCs w:val="24"/>
          <w:highlight w:val="none"/>
          <w:u w:val="singl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rPr>
          <w:rFonts w:hint="eastAsia" w:ascii="宋体" w:hAnsi="宋体" w:cs="宋体"/>
          <w:bCs/>
          <w:color w:val="000000"/>
          <w:sz w:val="24"/>
          <w:szCs w:val="24"/>
          <w:highlight w:val="none"/>
        </w:rPr>
      </w:r>
      <w:r/>
    </w:p>
    <w:p>
      <w:pPr>
        <w:pStyle w:val="1497"/>
        <w:numPr>
          <w:ilvl w:val="0"/>
          <w:numId w:val="4"/>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rPr>
          <w:rFonts w:hint="eastAsia" w:ascii="宋体" w:hAnsi="宋体" w:cs="宋体"/>
          <w:bCs/>
          <w:color w:val="000000"/>
          <w:sz w:val="24"/>
          <w:szCs w:val="24"/>
          <w:highlight w:val="none"/>
        </w:rPr>
      </w:r>
      <w:r/>
    </w:p>
    <w:p>
      <w:pPr>
        <w:pStyle w:val="1497"/>
        <w:numPr>
          <w:ilvl w:val="0"/>
          <w:numId w:val="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551"/>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rPr>
          <w:rStyle w:val="1551"/>
          <w:rFonts w:hint="eastAsia"/>
          <w:bCs/>
          <w:color w:val="000000"/>
          <w:highlight w:val="none"/>
        </w:rPr>
      </w:r>
      <w:r/>
    </w:p>
    <w:p>
      <w:pPr>
        <w:pStyle w:val="1497"/>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rPr>
          <w:rFonts w:hint="eastAsia" w:ascii="宋体" w:hAnsi="宋体" w:cs="宋体"/>
          <w:bCs/>
          <w:color w:val="000000"/>
          <w:sz w:val="24"/>
          <w:szCs w:val="24"/>
          <w:highlight w:val="none"/>
        </w:rPr>
      </w:r>
      <w:r/>
    </w:p>
    <w:p>
      <w:pPr>
        <w:pStyle w:val="1497"/>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rPr>
          <w:rFonts w:hint="eastAsia" w:ascii="宋体" w:hAnsi="宋体" w:cs="宋体"/>
          <w:bCs/>
          <w:color w:val="000000"/>
          <w:sz w:val="24"/>
          <w:szCs w:val="24"/>
          <w:highlight w:val="none"/>
        </w:rPr>
      </w:r>
      <w:r/>
    </w:p>
    <w:p>
      <w:pPr>
        <w:pStyle w:val="1497"/>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rPr>
          <w:rFonts w:hint="eastAsia" w:ascii="宋体" w:hAnsi="宋体" w:cs="宋体"/>
          <w:bCs/>
          <w:color w:val="000000"/>
          <w:sz w:val="24"/>
          <w:szCs w:val="24"/>
          <w:highlight w:val="none"/>
        </w:rPr>
      </w:r>
      <w:r/>
    </w:p>
    <w:p>
      <w:pPr>
        <w:pStyle w:val="1497"/>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rPr>
          <w:rFonts w:hint="eastAsia" w:ascii="宋体" w:hAnsi="宋体" w:cs="宋体"/>
          <w:bCs/>
          <w:color w:val="000000"/>
          <w:sz w:val="24"/>
          <w:szCs w:val="24"/>
          <w:highlight w:val="none"/>
        </w:rPr>
      </w:r>
      <w:r/>
    </w:p>
    <w:p>
      <w:pPr>
        <w:pStyle w:val="1497"/>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rPr>
          <w:rFonts w:hint="eastAsia" w:ascii="宋体" w:hAnsi="宋体" w:cs="宋体"/>
          <w:bCs/>
          <w:color w:val="000000"/>
          <w:sz w:val="24"/>
          <w:szCs w:val="24"/>
          <w:highlight w:val="none"/>
        </w:rPr>
      </w:r>
      <w:r/>
    </w:p>
    <w:p>
      <w:pPr>
        <w:pStyle w:val="1497"/>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color w:val="000000"/>
          <w:sz w:val="24"/>
          <w:szCs w:val="24"/>
          <w:highlight w:val="none"/>
        </w:rPr>
      </w:r>
      <w:r/>
    </w:p>
    <w:p>
      <w:pPr>
        <w:pStyle w:val="1497"/>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szCs w:val="24"/>
          <w:highlight w:val="none"/>
        </w:rPr>
      </w:r>
      <w:r/>
    </w:p>
    <w:p>
      <w:pPr>
        <w:pStyle w:val="1497"/>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 w:val="24"/>
          <w:szCs w:val="24"/>
          <w:highlight w:val="none"/>
        </w:rPr>
      </w:r>
      <w:r/>
    </w:p>
    <w:p>
      <w:pPr>
        <w:pStyle w:val="1497"/>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w:t>
      </w:r>
      <w:r>
        <w:rPr>
          <w:rFonts w:hint="eastAsia" w:ascii="宋体" w:hAnsi="宋体" w:cs="宋体"/>
          <w:bCs/>
          <w:color w:val="000000"/>
          <w:sz w:val="24"/>
          <w:szCs w:val="24"/>
          <w:highlight w:val="none"/>
        </w:rPr>
      </w:r>
      <w:r/>
    </w:p>
    <w:p>
      <w:pPr>
        <w:pStyle w:val="1497"/>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497"/>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1497"/>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r>
      <w:r/>
    </w:p>
    <w:p>
      <w:pPr>
        <w:pStyle w:val="1497"/>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49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rPr>
          <w:rFonts w:hint="eastAsia" w:ascii="宋体" w:hAnsi="宋体" w:eastAsia="宋体" w:cs="宋体"/>
          <w:b/>
          <w:color w:val="000000"/>
          <w:sz w:val="24"/>
          <w:szCs w:val="24"/>
          <w:highlight w:val="none"/>
          <w:lang w:eastAsia="zh-CN"/>
        </w:rPr>
      </w:r>
      <w:r/>
    </w:p>
    <w:p>
      <w:pPr>
        <w:pStyle w:val="1497"/>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jc w:val="center"/>
        <w:rPr>
          <w:rFonts w:hint="eastAsia" w:ascii="宋体" w:hAnsi="宋体" w:cs="宋体"/>
          <w:bCs/>
          <w:color w:val="000000"/>
          <w:sz w:val="24"/>
          <w:szCs w:val="24"/>
          <w:highlight w:val="none"/>
        </w:rPr>
        <w:outlineLvl w:val="9"/>
      </w:pPr>
      <w:r/>
      <w:bookmarkStart w:id="40" w:name="报价方关于资格的声明函（格式）"/>
      <w:r/>
      <w:bookmarkEnd w:id="40"/>
      <w:r>
        <w:rPr>
          <w:rFonts w:hint="eastAsia" w:ascii="宋体" w:hAnsi="宋体" w:cs="宋体"/>
          <w:bCs/>
          <w:color w:val="000000"/>
          <w:sz w:val="24"/>
          <w:szCs w:val="24"/>
          <w:highlight w:val="none"/>
        </w:rPr>
        <w:t xml:space="preserve">关于资格的声明函</w:t>
      </w:r>
      <w:r>
        <w:rPr>
          <w:rFonts w:hint="eastAsia" w:ascii="宋体" w:hAnsi="宋体" w:cs="宋体"/>
          <w:bCs/>
          <w:color w:val="000000"/>
          <w:sz w:val="24"/>
          <w:szCs w:val="24"/>
          <w:highlight w:val="none"/>
        </w:rPr>
      </w:r>
      <w:r/>
    </w:p>
    <w:p>
      <w:pPr>
        <w:pStyle w:val="149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497"/>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rFonts w:hint="eastAsia" w:ascii="宋体" w:hAnsi="宋体" w:cs="宋体"/>
          <w:bCs/>
          <w:color w:val="000000"/>
          <w:sz w:val="24"/>
          <w:szCs w:val="24"/>
          <w:highlight w:val="none"/>
        </w:rPr>
      </w:r>
      <w:r/>
    </w:p>
    <w:p>
      <w:pPr>
        <w:pStyle w:val="1497"/>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rFonts w:hint="eastAsia" w:ascii="宋体" w:hAnsi="宋体" w:cs="宋体"/>
          <w:color w:val="000000"/>
          <w:sz w:val="24"/>
          <w:szCs w:val="24"/>
          <w:highlight w:val="none"/>
        </w:rPr>
      </w:r>
      <w:r/>
    </w:p>
    <w:p>
      <w:pPr>
        <w:pStyle w:val="1497"/>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rFonts w:hint="eastAsia" w:ascii="宋体" w:hAnsi="宋体" w:cs="宋体"/>
          <w:color w:val="000000"/>
          <w:sz w:val="24"/>
          <w:szCs w:val="24"/>
          <w:highlight w:val="none"/>
        </w:rPr>
      </w:r>
      <w:r/>
    </w:p>
    <w:p>
      <w:pPr>
        <w:pStyle w:val="1497"/>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r>
      <w:r/>
    </w:p>
    <w:p>
      <w:pPr>
        <w:pStyle w:val="1497"/>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rFonts w:hint="eastAsia" w:ascii="宋体" w:hAnsi="宋体" w:cs="宋体"/>
          <w:color w:val="000000"/>
          <w:sz w:val="24"/>
          <w:szCs w:val="24"/>
          <w:highlight w:val="none"/>
        </w:rPr>
      </w:r>
      <w:r/>
    </w:p>
    <w:p>
      <w:pPr>
        <w:pStyle w:val="1497"/>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rFonts w:hint="eastAsia" w:ascii="宋体" w:hAnsi="宋体" w:cs="宋体"/>
          <w:color w:val="000000"/>
          <w:sz w:val="24"/>
          <w:szCs w:val="24"/>
          <w:highlight w:val="none"/>
        </w:rPr>
      </w:r>
      <w:r/>
    </w:p>
    <w:p>
      <w:pPr>
        <w:pStyle w:val="1497"/>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rFonts w:hint="eastAsia" w:ascii="宋体" w:hAnsi="宋体" w:cs="宋体"/>
          <w:color w:val="000000"/>
          <w:sz w:val="24"/>
          <w:szCs w:val="24"/>
          <w:highlight w:val="non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rFonts w:hint="eastAsia" w:ascii="宋体" w:hAnsi="宋体" w:cs="宋体"/>
          <w:bCs/>
          <w:color w:val="000000"/>
          <w:sz w:val="24"/>
          <w:szCs w:val="24"/>
          <w:highlight w:val="non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rFonts w:hint="eastAsia" w:ascii="宋体" w:hAnsi="宋体" w:cs="宋体"/>
          <w:bCs/>
          <w:color w:val="000000"/>
          <w:sz w:val="24"/>
          <w:szCs w:val="24"/>
          <w:highlight w:val="none"/>
        </w:rPr>
      </w:r>
      <w:r/>
    </w:p>
    <w:p>
      <w:pPr>
        <w:pStyle w:val="1497"/>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497"/>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497"/>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21"/>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497"/>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497"/>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pStyle w:val="149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7"/>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41" w:name="_Toc32348"/>
      <w:r/>
      <w:bookmarkStart w:id="42" w:name="_Toc2444"/>
      <w:r>
        <w:rPr>
          <w:rFonts w:hint="eastAsia" w:ascii="宋体" w:hAnsi="宋体" w:cs="宋体"/>
          <w:bCs/>
          <w:color w:val="000000"/>
          <w:sz w:val="24"/>
          <w:szCs w:val="24"/>
          <w:highlight w:val="none"/>
        </w:rPr>
      </w:r>
      <w:r/>
    </w:p>
    <w:p>
      <w:pPr>
        <w:pStyle w:val="1497"/>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41"/>
      <w:r/>
      <w:bookmarkEnd w:id="42"/>
      <w:r>
        <w:rPr>
          <w:rFonts w:hint="eastAsia" w:ascii="宋体" w:hAnsi="宋体" w:cs="宋体"/>
          <w:bCs/>
          <w:color w:val="000000"/>
          <w:sz w:val="24"/>
          <w:szCs w:val="24"/>
          <w:highlight w:val="none"/>
        </w:rPr>
      </w:r>
      <w:r/>
    </w:p>
    <w:p>
      <w:pPr>
        <w:pStyle w:val="1497"/>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rPr>
      </w:r>
      <w:r/>
    </w:p>
    <w:p>
      <w:pPr>
        <w:pStyle w:val="1497"/>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w:t>
      </w:r>
      <w:r>
        <w:rPr>
          <w:rFonts w:hint="eastAsia" w:ascii="宋体" w:hAnsi="宋体" w:cs="宋体"/>
          <w:bCs/>
          <w:color w:val="000000"/>
          <w:sz w:val="24"/>
          <w:szCs w:val="24"/>
          <w:highlight w:val="none"/>
        </w:rPr>
      </w:r>
      <w:r/>
    </w:p>
    <w:p>
      <w:pPr>
        <w:pStyle w:val="1497"/>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rFonts w:hint="eastAsia" w:ascii="宋体" w:hAnsi="宋体" w:cs="宋体"/>
          <w:bCs/>
          <w:color w:val="000000"/>
          <w:sz w:val="24"/>
          <w:szCs w:val="24"/>
          <w:highlight w:val="non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rFonts w:hint="eastAsia" w:ascii="宋体" w:hAnsi="宋体" w:cs="宋体"/>
          <w:bCs/>
          <w:color w:val="000000"/>
          <w:sz w:val="24"/>
          <w:szCs w:val="24"/>
          <w:highlight w:val="non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 w:val="24"/>
          <w:szCs w:val="24"/>
          <w:highlight w:val="non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rFonts w:hint="eastAsia" w:ascii="宋体" w:hAnsi="宋体" w:cs="宋体"/>
          <w:bCs/>
          <w:color w:val="000000"/>
          <w:sz w:val="24"/>
          <w:szCs w:val="24"/>
          <w:highlight w:val="non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rFonts w:hint="eastAsia" w:ascii="宋体" w:hAnsi="宋体" w:cs="宋体"/>
          <w:bCs/>
          <w:color w:val="000000"/>
          <w:sz w:val="24"/>
          <w:szCs w:val="24"/>
          <w:highlight w:val="none"/>
        </w:rPr>
      </w:r>
      <w:r/>
    </w:p>
    <w:p>
      <w:pPr>
        <w:pStyle w:val="1497"/>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rFonts w:hint="eastAsia" w:ascii="宋体" w:hAnsi="宋体" w:cs="宋体"/>
          <w:bCs/>
          <w:color w:val="000000"/>
          <w:sz w:val="24"/>
          <w:szCs w:val="24"/>
          <w:highlight w:val="none"/>
        </w:rPr>
      </w:r>
      <w:r/>
    </w:p>
    <w:p>
      <w:pPr>
        <w:pStyle w:val="1497"/>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0935" cy="1373505"/>
                <wp:effectExtent l="0" t="0" r="0" b="0"/>
                <wp:docPr id="19"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49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7"/>
                            </w:pPr>
                            <w:r/>
                            <w:r/>
                          </w:p>
                        </w:txbxContent>
                      </wps:txbx>
                      <wps:bodyPr wrap="square" upright="1"/>
                    </wps:wsp>
                  </a:graphicData>
                </a:graphic>
              </wp:inline>
            </w:drawing>
          </mc:Choice>
          <mc:Fallback>
            <w:pict>
              <v:shape id="shape 18" o:spid="_x0000_s18" o:spt="202" type="#_x0000_t202" style="width:189.0pt;height:108.1pt;mso-wrap-distance-left:0.0pt;mso-wrap-distance-top:0.0pt;mso-wrap-distance-right:0.0pt;mso-wrap-distance-bottom:0.0pt;visibility:visible;" fillcolor="#FFFFFF" strokecolor="#000000">
                <v:textbox inset="0,0,0,0">
                  <w:txbxContent>
                    <w:p>
                      <w:pPr>
                        <w:pStyle w:val="149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7"/>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1570" cy="1375410"/>
                <wp:effectExtent l="0" t="0" r="0" b="0"/>
                <wp:docPr id="20"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49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7"/>
                            </w:pPr>
                            <w:r/>
                            <w:r/>
                          </w:p>
                        </w:txbxContent>
                      </wps:txbx>
                      <wps:bodyPr wrap="square" upright="1"/>
                    </wps:wsp>
                  </a:graphicData>
                </a:graphic>
              </wp:inline>
            </w:drawing>
          </mc:Choice>
          <mc:Fallback>
            <w:pict>
              <v:shape id="shape 19" o:spid="_x0000_s19" o:spt="202" type="#_x0000_t202" style="width:189.1pt;height:108.3pt;mso-wrap-distance-left:0.0pt;mso-wrap-distance-top:0.0pt;mso-wrap-distance-right:0.0pt;mso-wrap-distance-bottom:0.0pt;visibility:visible;" fillcolor="#FFFFFF" strokecolor="#000000">
                <v:textbox inset="0,0,0,0">
                  <w:txbxContent>
                    <w:p>
                      <w:pPr>
                        <w:pStyle w:val="149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7"/>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rPr>
          <w:rFonts w:hint="eastAsia"/>
          <w:color w:val="000000"/>
          <w:highlight w:val="none"/>
        </w:rPr>
        <w:outlineLvl w:val="9"/>
      </w:pPr>
      <w:r>
        <w:rPr>
          <w:rFonts w:hint="eastAsia" w:ascii="宋体" w:hAnsi="宋体" w:cs="宋体"/>
          <w:bCs/>
          <w:color w:val="000000"/>
          <w:sz w:val="24"/>
          <w:szCs w:val="24"/>
          <w:highlight w:val="none"/>
        </w:rPr>
        <w:t xml:space="preserve">法定代表人授权代表身份证扫描件：</w:t>
      </w:r>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法定代表人亲自参与投标的除外）</w:t>
      </w:r>
      <w:r>
        <w:rPr>
          <w:rFonts w:hint="eastAsia"/>
          <w:color w:val="000000"/>
          <w:highlight w:val="none"/>
        </w:rPr>
      </w:r>
      <w:r/>
    </w:p>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round/>
                        </a:ln>
                      </wps:spPr>
                      <wps:txbx>
                        <w:txbxContent>
                          <w:p>
                            <w:pPr>
                              <w:pStyle w:val="149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7"/>
                            </w:pPr>
                            <w:r/>
                            <w:r/>
                          </w:p>
                        </w:txbxContent>
                      </wps:txbx>
                      <wps:bodyPr wrap="square" upright="1"/>
                    </wps:wsp>
                  </a:graphicData>
                </a:graphic>
              </wp:anchor>
            </w:drawing>
          </mc:Choice>
          <mc:Fallback>
            <w:pict>
              <v:shape id="shape 20" o:spid="_x0000_s20" o:spt="202" type="#_x0000_t202" style="position:absolute;z-index:251658243;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pStyle w:val="149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7"/>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22"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pStyle w:val="149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7"/>
                            </w:pPr>
                            <w:r/>
                            <w:r/>
                          </w:p>
                        </w:txbxContent>
                      </wps:txbx>
                      <wps:bodyPr wrap="square" upright="1"/>
                    </wps:wsp>
                  </a:graphicData>
                </a:graphic>
              </wp:anchor>
            </w:drawing>
          </mc:Choice>
          <mc:Fallback>
            <w:pict>
              <v:shape id="shape 21" o:spid="_x0000_s21" o:spt="202" type="#_x0000_t202" style="position:absolute;z-index:251658244;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pStyle w:val="149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7"/>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49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1497"/>
        <w:jc w:val="center"/>
        <w:spacing w:line="360" w:lineRule="auto"/>
        <w:rPr>
          <w:rFonts w:ascii="宋体" w:hAnsi="宋体"/>
          <w:b/>
          <w:sz w:val="28"/>
          <w:szCs w:val="28"/>
          <w:highlight w:val="none"/>
        </w:rPr>
      </w:pPr>
      <w:r>
        <w:rPr>
          <w:rFonts w:ascii="宋体" w:hAnsi="宋体"/>
          <w:b/>
          <w:sz w:val="28"/>
          <w:szCs w:val="28"/>
          <w:highlight w:val="none"/>
        </w:rPr>
      </w:r>
      <w:r/>
    </w:p>
    <w:p>
      <w:pPr>
        <w:pStyle w:val="1497"/>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497"/>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1497"/>
        <w:ind w:firstLine="612"/>
        <w:spacing w:line="360" w:lineRule="auto"/>
        <w:rPr>
          <w:rFonts w:ascii="宋体" w:hAnsi="宋体"/>
          <w:sz w:val="24"/>
          <w:szCs w:val="24"/>
          <w:highlight w:val="none"/>
        </w:rPr>
      </w:pPr>
      <w:r>
        <w:rPr>
          <w:rFonts w:ascii="宋体" w:hAnsi="宋体"/>
          <w:sz w:val="24"/>
          <w:szCs w:val="24"/>
          <w:highlight w:val="none"/>
        </w:rPr>
      </w:r>
      <w:r/>
    </w:p>
    <w:p>
      <w:pPr>
        <w:pStyle w:val="149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7"/>
        <w:ind w:firstLine="610"/>
        <w:spacing w:line="360" w:lineRule="auto"/>
        <w:rPr>
          <w:rFonts w:ascii="宋体" w:hAnsi="宋体"/>
          <w:sz w:val="24"/>
          <w:szCs w:val="24"/>
          <w:highlight w:val="none"/>
        </w:rPr>
      </w:pPr>
      <w:r>
        <w:rPr>
          <w:rFonts w:ascii="宋体" w:hAnsi="宋体"/>
          <w:sz w:val="24"/>
          <w:szCs w:val="24"/>
          <w:highlight w:val="none"/>
        </w:rPr>
      </w:r>
      <w:r/>
    </w:p>
    <w:p>
      <w:pPr>
        <w:pStyle w:val="149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7"/>
        <w:ind w:firstLine="610"/>
        <w:spacing w:line="360" w:lineRule="auto"/>
        <w:rPr>
          <w:rFonts w:ascii="宋体" w:hAnsi="宋体"/>
          <w:sz w:val="24"/>
          <w:szCs w:val="24"/>
          <w:highlight w:val="none"/>
        </w:rPr>
      </w:pPr>
      <w:r>
        <w:rPr>
          <w:rFonts w:ascii="宋体" w:hAnsi="宋体"/>
          <w:sz w:val="24"/>
          <w:szCs w:val="24"/>
          <w:highlight w:val="none"/>
        </w:rPr>
      </w:r>
      <w:r/>
    </w:p>
    <w:p>
      <w:pPr>
        <w:pStyle w:val="1497"/>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497"/>
        <w:ind w:firstLine="610"/>
        <w:spacing w:line="360" w:lineRule="auto"/>
        <w:rPr>
          <w:rFonts w:ascii="宋体" w:hAnsi="宋体"/>
          <w:sz w:val="24"/>
          <w:szCs w:val="24"/>
          <w:highlight w:val="none"/>
        </w:rPr>
      </w:pPr>
      <w:r>
        <w:rPr>
          <w:rFonts w:ascii="宋体" w:hAnsi="宋体"/>
          <w:sz w:val="24"/>
          <w:szCs w:val="24"/>
          <w:highlight w:val="none"/>
        </w:rPr>
      </w:r>
      <w:r/>
    </w:p>
    <w:p>
      <w:pPr>
        <w:pStyle w:val="149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7"/>
        <w:ind w:firstLine="610"/>
        <w:spacing w:line="360" w:lineRule="auto"/>
        <w:rPr>
          <w:rFonts w:ascii="宋体" w:hAnsi="宋体"/>
          <w:sz w:val="24"/>
          <w:szCs w:val="24"/>
          <w:highlight w:val="none"/>
        </w:rPr>
      </w:pPr>
      <w:r>
        <w:rPr>
          <w:rFonts w:ascii="宋体" w:hAnsi="宋体"/>
          <w:sz w:val="24"/>
          <w:szCs w:val="24"/>
          <w:highlight w:val="none"/>
        </w:rPr>
      </w:r>
      <w:r/>
    </w:p>
    <w:p>
      <w:pPr>
        <w:pStyle w:val="149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7"/>
        <w:ind w:firstLine="610"/>
        <w:spacing w:line="360" w:lineRule="auto"/>
        <w:rPr>
          <w:rFonts w:ascii="宋体" w:hAnsi="宋体"/>
          <w:sz w:val="24"/>
          <w:szCs w:val="24"/>
          <w:highlight w:val="none"/>
        </w:rPr>
      </w:pPr>
      <w:r>
        <w:rPr>
          <w:rFonts w:ascii="宋体" w:hAnsi="宋体"/>
          <w:sz w:val="24"/>
          <w:szCs w:val="24"/>
          <w:highlight w:val="none"/>
        </w:rPr>
      </w:r>
      <w:r/>
    </w:p>
    <w:p>
      <w:pPr>
        <w:pStyle w:val="1497"/>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497"/>
        <w:ind w:firstLine="610"/>
        <w:spacing w:line="360" w:lineRule="auto"/>
        <w:rPr>
          <w:rFonts w:ascii="宋体" w:hAnsi="宋体"/>
          <w:sz w:val="24"/>
          <w:szCs w:val="24"/>
          <w:highlight w:val="none"/>
        </w:rPr>
      </w:pPr>
      <w:r>
        <w:rPr>
          <w:rFonts w:ascii="宋体" w:hAnsi="宋体"/>
          <w:sz w:val="24"/>
          <w:szCs w:val="24"/>
          <w:highlight w:val="none"/>
        </w:rPr>
      </w:r>
      <w:r/>
    </w:p>
    <w:p>
      <w:pPr>
        <w:pStyle w:val="1497"/>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497"/>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497"/>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2400935" cy="1373505"/>
                <wp:effectExtent l="0" t="0" r="0" b="0"/>
                <wp:wrapNone/>
                <wp:docPr id="23"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round/>
                        </a:ln>
                      </wps:spPr>
                      <wps:txbx>
                        <w:txbxContent>
                          <w:p>
                            <w:pPr>
                              <w:pStyle w:val="149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7"/>
                            </w:pPr>
                            <w:r/>
                            <w:r/>
                          </w:p>
                        </w:txbxContent>
                      </wps:txbx>
                      <wps:bodyPr wrap="square" upright="1"/>
                    </wps:wsp>
                  </a:graphicData>
                </a:graphic>
              </wp:anchor>
            </w:drawing>
          </mc:Choice>
          <mc:Fallback>
            <w:pict>
              <v:shape id="shape 22" o:spid="_x0000_s22" o:spt="202" type="#_x0000_t202" style="position:absolute;z-index:251658241;o:allowoverlap:true;o:allowincell:true;mso-position-horizontal-relative:text;margin-left:0.0pt;mso-position-horizontal:absolute;mso-position-vertical-relative:text;margin-top:0.0pt;mso-position-vertical:absolute;width:189.0pt;height:108.1pt;mso-wrap-distance-left:9.0pt;mso-wrap-distance-top:0.0pt;mso-wrap-distance-right:9.0pt;mso-wrap-distance-bottom:0.0pt;visibility:visible;" fillcolor="#FFFFFF" strokecolor="#000000">
                <v:textbox inset="0,0,0,0">
                  <w:txbxContent>
                    <w:p>
                      <w:pPr>
                        <w:pStyle w:val="149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7"/>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2401570" cy="1375410"/>
                <wp:effectExtent l="0" t="0" r="0" b="0"/>
                <wp:wrapNone/>
                <wp:docPr id="24"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49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7"/>
                            </w:pPr>
                            <w:r/>
                            <w:r/>
                          </w:p>
                        </w:txbxContent>
                      </wps:txbx>
                      <wps:bodyPr wrap="square" upright="1"/>
                    </wps:wsp>
                  </a:graphicData>
                </a:graphic>
              </wp:anchor>
            </w:drawing>
          </mc:Choice>
          <mc:Fallback>
            <w:pict>
              <v:shape id="shape 23" o:spid="_x0000_s23" o:spt="202" type="#_x0000_t202" style="position:absolute;z-index:251658242;o:allowoverlap:true;o:allowincell:true;mso-position-horizontal-relative:text;margin-left:0.0pt;mso-position-horizontal:absolute;mso-position-vertical-relative:text;margin-top:0.0pt;mso-position-vertical:absolute;width:189.1pt;height:108.3pt;mso-wrap-distance-left:9.0pt;mso-wrap-distance-top:0.0pt;mso-wrap-distance-right:9.0pt;mso-wrap-distance-bottom:0.0pt;visibility:visible;" fillcolor="#FFFFFF" strokecolor="#000000">
                <v:textbox inset="0,0,0,0">
                  <w:txbxContent>
                    <w:p>
                      <w:pPr>
                        <w:pStyle w:val="149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7"/>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497"/>
        <w:numPr>
          <w:ilvl w:val="0"/>
          <w:numId w:val="0"/>
        </w:numPr>
        <w:rPr>
          <w:rFonts w:hint="eastAsia" w:ascii="宋体" w:hAnsi="宋体" w:eastAsia="宋体" w:cs="宋体"/>
          <w:b/>
          <w:color w:val="000000"/>
          <w:sz w:val="24"/>
          <w:szCs w:val="24"/>
          <w:highlight w:val="none"/>
          <w:lang w:eastAsia="zh-CN"/>
        </w:rPr>
        <w:outlineLvl w:val="2"/>
      </w:pPr>
      <w:r/>
      <w:bookmarkStart w:id="43" w:name="_Toc19047"/>
      <w:r/>
      <w:bookmarkStart w:id="44" w:name="_Toc7396"/>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3"/>
      <w:r/>
      <w:bookmarkEnd w:id="44"/>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jc w:val="center"/>
        <w:rPr>
          <w:rFonts w:hint="eastAsia" w:ascii="宋体" w:hAnsi="宋体" w:cs="宋体"/>
          <w:b w:val="0"/>
          <w:bCs w:val="0"/>
          <w:color w:val="000000"/>
          <w:sz w:val="24"/>
          <w:szCs w:val="24"/>
          <w:highlight w:val="none"/>
        </w:rPr>
        <w:outlineLvl w:val="9"/>
      </w:pPr>
      <w:r>
        <w:rPr>
          <w:rFonts w:hint="eastAsia" w:ascii="宋体" w:hAnsi="宋体" w:cs="宋体"/>
          <w:b w:val="0"/>
          <w:bCs w:val="0"/>
          <w:color w:val="000000"/>
          <w:sz w:val="24"/>
          <w:szCs w:val="24"/>
          <w:highlight w:val="none"/>
        </w:rPr>
        <w:t xml:space="preserve">承诺书</w:t>
      </w:r>
      <w:r>
        <w:rPr>
          <w:rFonts w:hint="eastAsia" w:ascii="宋体" w:hAnsi="宋体" w:cs="宋体"/>
          <w:b w:val="0"/>
          <w:bCs w:val="0"/>
          <w:color w:val="000000"/>
          <w:sz w:val="24"/>
          <w:szCs w:val="24"/>
          <w:highlight w:val="none"/>
        </w:rPr>
      </w:r>
      <w:r/>
    </w:p>
    <w:p>
      <w:pPr>
        <w:pStyle w:val="1521"/>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49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u w:val="single"/>
        </w:rPr>
        <w:t xml:space="preserve">（投标人名称）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497"/>
        <w:ind w:firstLine="480"/>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7"/>
        <w:ind w:firstLine="48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1．本公司（单位）</w:t>
      </w:r>
      <w:r>
        <w:rPr>
          <w:rFonts w:hint="eastAsia" w:ascii="宋体" w:hAnsi="宋体" w:cs="宋体"/>
          <w:bCs/>
          <w:color w:val="000000"/>
          <w:sz w:val="24"/>
          <w:szCs w:val="24"/>
          <w:highlight w:val="none"/>
        </w:rPr>
        <w:t xml:space="preserve">具备履行合同所必需的设备和专业技术能力；</w:t>
      </w:r>
      <w:r>
        <w:rPr>
          <w:rFonts w:hint="eastAsia" w:ascii="宋体" w:hAnsi="宋体" w:cs="宋体"/>
          <w:bCs/>
          <w:color w:val="000000"/>
          <w:sz w:val="24"/>
          <w:szCs w:val="24"/>
          <w:highlight w:val="none"/>
        </w:rPr>
      </w:r>
      <w:r/>
    </w:p>
    <w:p>
      <w:pPr>
        <w:pStyle w:val="1497"/>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本公司未被“</w:t>
      </w:r>
      <w:r>
        <w:rPr>
          <w:rFonts w:hint="eastAsia" w:ascii="宋体" w:hAnsi="宋体" w:cs="宋体"/>
          <w:bCs/>
          <w:color w:val="000000"/>
          <w:sz w:val="24"/>
          <w:szCs w:val="24"/>
          <w:highlight w:val="none"/>
        </w:rPr>
        <w:t xml:space="preserve">信用中国</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网站（</w:t>
      </w:r>
      <w:r>
        <w:rPr>
          <w:rFonts w:hint="eastAsia" w:ascii="宋体" w:hAnsi="宋体" w:cs="宋体"/>
          <w:bCs/>
          <w:color w:val="000000"/>
          <w:sz w:val="24"/>
          <w:szCs w:val="24"/>
          <w:highlight w:val="none"/>
          <w:u w:val="none"/>
        </w:rPr>
        <w:t xml:space="preserve">www.creditchina.gov.cn</w:t>
      </w:r>
      <w:r>
        <w:rPr>
          <w:rFonts w:hint="eastAsia" w:ascii="宋体" w:hAnsi="宋体" w:cs="宋体"/>
          <w:bCs/>
          <w:color w:val="000000"/>
          <w:sz w:val="24"/>
          <w:szCs w:val="24"/>
          <w:highlight w:val="none"/>
        </w:rPr>
        <w:t xml:space="preserve">）、中国政府采购网(www.ccgp.gov.cn)</w:t>
      </w:r>
      <w:r>
        <w:rPr>
          <w:rFonts w:hint="eastAsia" w:ascii="宋体" w:hAnsi="宋体" w:cs="宋体"/>
          <w:color w:val="000000"/>
          <w:sz w:val="24"/>
          <w:szCs w:val="24"/>
          <w:highlight w:val="none"/>
        </w:rPr>
        <w:t xml:space="preserve">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1497"/>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497"/>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7"/>
        <w:ind w:firstLine="540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ind w:firstLine="372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497"/>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497"/>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ind w:right="480" w:firstLine="4200"/>
        <w:jc w:val="right"/>
        <w:spacing w:before="240"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7"/>
        <w:ind w:firstLine="96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rPr>
          <w:rFonts w:hint="eastAsia" w:ascii="宋体" w:hAnsi="宋体" w:cs="宋体"/>
          <w:b/>
          <w:color w:val="000000"/>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
          <w:color w:val="000000"/>
          <w:sz w:val="24"/>
          <w:szCs w:val="24"/>
          <w:highlight w:val="none"/>
        </w:rPr>
      </w:r>
      <w:r/>
    </w:p>
    <w:p>
      <w:pPr>
        <w:pStyle w:val="149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pStyle w:val="149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 </w:t>
      </w:r>
      <w:r>
        <w:rPr>
          <w:rFonts w:hint="eastAsia" w:ascii="宋体" w:hAnsi="宋体" w:cs="宋体"/>
          <w:bCs/>
          <w:color w:val="000000"/>
          <w:sz w:val="24"/>
          <w:szCs w:val="24"/>
          <w:highlight w:val="none"/>
        </w:rPr>
      </w:r>
      <w:r/>
    </w:p>
    <w:p>
      <w:pPr>
        <w:pStyle w:val="1516"/>
        <w:rPr>
          <w:rFonts w:hint="eastAsia"/>
          <w:color w:val="000000"/>
          <w:highlight w:val="none"/>
        </w:rPr>
        <w:outlineLvl w:val="9"/>
      </w:pPr>
      <w:r>
        <w:rPr>
          <w:rFonts w:hint="eastAsia"/>
          <w:color w:val="000000"/>
          <w:highlight w:val="none"/>
        </w:rPr>
      </w:r>
      <w:r/>
    </w:p>
    <w:p>
      <w:pPr>
        <w:pStyle w:val="1497"/>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政府采购编号：</w:t>
      </w:r>
      <w:r>
        <w:rPr>
          <w:rFonts w:hint="eastAsia" w:ascii="宋体" w:hAnsi="宋体" w:cs="宋体"/>
          <w:bCs/>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trHeight w:val="993"/>
        </w:trPr>
        <w:tc>
          <w:tcPr>
            <w:tcW w:w="2907" w:type="dxa"/>
            <w:vAlign w:val="center"/>
            <w:textDirection w:val="lrTb"/>
            <w:noWrap w:val="false"/>
          </w:tcPr>
          <w:p>
            <w:pPr>
              <w:pStyle w:val="1516"/>
              <w:jc w:val="center"/>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5374" w:type="dxa"/>
            <w:vAlign w:val="center"/>
            <w:textDirection w:val="lrTb"/>
            <w:noWrap w:val="false"/>
          </w:tcPr>
          <w:p>
            <w:pPr>
              <w:pStyle w:val="1516"/>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1031"/>
        </w:trPr>
        <w:tc>
          <w:tcPr>
            <w:tcW w:w="2907" w:type="dxa"/>
            <w:vAlign w:val="center"/>
            <w:textDirection w:val="lrTb"/>
            <w:noWrap w:val="false"/>
          </w:tcPr>
          <w:p>
            <w:pPr>
              <w:pStyle w:val="1497"/>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项目总报价</w:t>
            </w:r>
            <w:r>
              <w:rPr>
                <w:rFonts w:hint="eastAsia" w:ascii="宋体" w:hAnsi="宋体" w:cs="宋体"/>
                <w:color w:val="000000"/>
                <w:sz w:val="24"/>
                <w:szCs w:val="24"/>
                <w:highlight w:val="none"/>
              </w:rPr>
            </w:r>
            <w:r/>
          </w:p>
        </w:tc>
        <w:tc>
          <w:tcPr>
            <w:tcW w:w="5374" w:type="dxa"/>
            <w:vAlign w:val="center"/>
            <w:textDirection w:val="lrTb"/>
            <w:noWrap w:val="false"/>
          </w:tcPr>
          <w:p>
            <w:pPr>
              <w:pStyle w:val="1497"/>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97"/>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人民币(小写)：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497"/>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服务期</w:t>
            </w:r>
            <w:r>
              <w:rPr>
                <w:rFonts w:hint="eastAsia" w:ascii="宋体" w:hAnsi="宋体" w:cs="宋体"/>
                <w:color w:val="000000"/>
                <w:sz w:val="24"/>
                <w:szCs w:val="24"/>
                <w:highlight w:val="none"/>
              </w:rPr>
            </w:r>
            <w:r/>
          </w:p>
        </w:tc>
        <w:tc>
          <w:tcPr>
            <w:tcW w:w="5374" w:type="dxa"/>
            <w:vAlign w:val="center"/>
            <w:textDirection w:val="lrTb"/>
            <w:noWrap w:val="false"/>
          </w:tcPr>
          <w:p>
            <w:pPr>
              <w:pStyle w:val="1497"/>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497"/>
              <w:jc w:val="center"/>
              <w:spacing w:line="300" w:lineRule="auto"/>
              <w:rPr>
                <w:rFonts w:hint="eastAsia" w:ascii="宋体" w:hAnsi="宋体" w:eastAsia="宋体" w:cs="宋体"/>
                <w:color w:val="000000"/>
                <w:sz w:val="24"/>
                <w:szCs w:val="24"/>
                <w:highlight w:val="none"/>
                <w:lang w:eastAsia="zh-CN"/>
              </w:rPr>
              <w:outlineLvl w:val="9"/>
            </w:pPr>
            <w:r>
              <w:rPr>
                <w:rFonts w:hint="eastAsia" w:ascii="宋体" w:hAnsi="宋体"/>
                <w:bCs/>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lang w:eastAsia="zh-CN"/>
              </w:rPr>
            </w:r>
            <w:r/>
          </w:p>
        </w:tc>
        <w:tc>
          <w:tcPr>
            <w:tcW w:w="5374" w:type="dxa"/>
            <w:vAlign w:val="center"/>
            <w:textDirection w:val="lrTb"/>
            <w:noWrap w:val="false"/>
          </w:tcPr>
          <w:p>
            <w:pPr>
              <w:pStyle w:val="1497"/>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bl>
    <w:p>
      <w:pPr>
        <w:pStyle w:val="1497"/>
        <w:spacing w:before="5"/>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p>
    <w:p>
      <w:pPr>
        <w:pStyle w:val="1574"/>
        <w:ind w:firstLine="0"/>
        <w:rPr>
          <w:rFonts w:hint="eastAsia" w:ascii="宋体" w:hAnsi="宋体" w:cs="宋体"/>
          <w:color w:val="000000"/>
          <w:highlight w:val="none"/>
        </w:rPr>
        <w:outlineLvl w:val="9"/>
      </w:pPr>
      <w:r>
        <w:rPr>
          <w:rFonts w:hint="eastAsia" w:ascii="宋体" w:hAnsi="宋体" w:cs="宋体"/>
          <w:color w:val="000000"/>
          <w:highlight w:val="none"/>
        </w:rPr>
      </w:r>
      <w:r/>
    </w:p>
    <w:p>
      <w:pPr>
        <w:pStyle w:val="1497"/>
        <w:ind w:firstLine="480"/>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574"/>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4"/>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4"/>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7"/>
        <w:ind w:firstLine="28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497"/>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ind w:firstLine="2880"/>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497"/>
        <w:ind w:left="720" w:hanging="720"/>
        <w:spacing w:line="400" w:lineRule="exact"/>
        <w:rPr>
          <w:rFonts w:hint="eastAsia" w:ascii="宋体" w:hAnsi="宋体" w:cs="宋体"/>
          <w:bCs/>
          <w:color w:val="000000"/>
          <w:sz w:val="24"/>
          <w:szCs w:val="24"/>
          <w:highlight w:val="none"/>
        </w:rPr>
        <w:sectPr>
          <w:footerReference w:type="default" r:id="rId23"/>
          <w:footerReference w:type="first" r:id="rId24"/>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49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）报价明细表（格式自拟）：</w:t>
      </w:r>
      <w:r>
        <w:rPr>
          <w:rFonts w:hint="eastAsia" w:ascii="宋体" w:hAnsi="宋体" w:eastAsia="宋体" w:cs="宋体"/>
          <w:b/>
          <w:color w:val="000000"/>
          <w:sz w:val="24"/>
          <w:szCs w:val="24"/>
          <w:highlight w:val="none"/>
          <w:lang w:eastAsia="zh-CN"/>
        </w:rPr>
      </w:r>
      <w:r/>
    </w:p>
    <w:p>
      <w:pPr>
        <w:pStyle w:val="1497"/>
        <w:ind w:firstLine="560"/>
        <w:jc w:val="center"/>
        <w:spacing w:line="480" w:lineRule="exact"/>
        <w:rPr>
          <w:rFonts w:hint="eastAsia" w:ascii="宋体" w:hAnsi="宋体" w:eastAsia="宋体" w:cs="宋体"/>
          <w:bCs/>
          <w:color w:val="000000"/>
          <w:sz w:val="28"/>
          <w:szCs w:val="28"/>
          <w:highlight w:val="none"/>
        </w:rPr>
        <w:outlineLvl w:val="9"/>
      </w:pPr>
      <w:r/>
      <w:bookmarkStart w:id="45" w:name="_Toc27474"/>
      <w:r>
        <w:rPr>
          <w:rFonts w:hint="eastAsia" w:ascii="宋体" w:hAnsi="宋体" w:eastAsia="宋体" w:cs="宋体"/>
          <w:bCs/>
          <w:color w:val="000000"/>
          <w:sz w:val="28"/>
          <w:szCs w:val="28"/>
          <w:highlight w:val="none"/>
        </w:rPr>
        <w:t xml:space="preserve">明细报价表</w:t>
      </w:r>
      <w:bookmarkEnd w:id="45"/>
      <w:r>
        <w:rPr>
          <w:rFonts w:hint="eastAsia" w:ascii="宋体" w:hAnsi="宋体" w:eastAsia="宋体" w:cs="宋体"/>
          <w:bCs/>
          <w:color w:val="000000"/>
          <w:sz w:val="28"/>
          <w:szCs w:val="28"/>
          <w:highlight w:val="none"/>
        </w:rPr>
      </w:r>
      <w:r/>
    </w:p>
    <w:p>
      <w:pPr>
        <w:pStyle w:val="1497"/>
        <w:spacing w:line="480" w:lineRule="exact"/>
        <w:rPr>
          <w:rFonts w:hint="eastAsia" w:ascii="宋体" w:hAnsi="宋体" w:eastAsia="宋体" w:cs="宋体"/>
          <w:b/>
          <w:color w:val="000000"/>
          <w:szCs w:val="21"/>
          <w:highlight w:val="none"/>
        </w:rPr>
        <w:outlineLvl w:val="9"/>
      </w:pPr>
      <w:r>
        <w:rPr>
          <w:rFonts w:hint="eastAsia" w:ascii="宋体" w:hAnsi="宋体"/>
          <w:bCs/>
          <w:sz w:val="24"/>
          <w:szCs w:val="24"/>
        </w:rPr>
        <w:t xml:space="preserve">项目名称：</w:t>
      </w:r>
      <w:r>
        <w:rPr>
          <w:rFonts w:hint="eastAsia" w:ascii="宋体" w:hAnsi="宋体"/>
          <w:bCs/>
          <w:sz w:val="24"/>
          <w:szCs w:val="24"/>
          <w:lang w:val="en-US" w:eastAsia="zh-CN"/>
        </w:rPr>
        <w:t xml:space="preserve">                                     </w:t>
      </w: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b/>
          <w:color w:val="000000"/>
          <w:szCs w:val="21"/>
          <w:highlight w:val="none"/>
        </w:rPr>
      </w:r>
      <w:r/>
    </w:p>
    <w:p>
      <w:pPr>
        <w:pStyle w:val="1530"/>
        <w:tabs>
          <w:tab w:val="center" w:pos="4153" w:leader="none"/>
          <w:tab w:val="right" w:pos="8306" w:leader="none"/>
        </w:tabs>
        <w:rPr>
          <w:rFonts w:hint="eastAsia"/>
        </w:rPr>
      </w:pPr>
      <w:r>
        <w:rPr>
          <w:rFonts w:hint="eastAsia"/>
        </w:rPr>
      </w:r>
      <w:r/>
    </w:p>
    <w:p>
      <w:pPr>
        <w:pStyle w:val="1530"/>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497"/>
        <w:ind w:firstLine="480"/>
        <w:jc w:val="right"/>
        <w:spacing w:line="480" w:lineRule="exact"/>
        <w:rPr>
          <w:rFonts w:hint="eastAsia" w:ascii="宋体" w:hAnsi="宋体" w:eastAsia="宋体" w:cs="宋体"/>
          <w:b/>
          <w:bCs/>
          <w:color w:val="000000"/>
          <w:sz w:val="24"/>
          <w:szCs w:val="24"/>
          <w:highlight w:val="none"/>
        </w:rPr>
        <w:outlineLvl w:val="9"/>
      </w:pPr>
      <w:r/>
      <w:bookmarkStart w:id="46" w:name="_Toc11575"/>
      <w:r/>
      <w:bookmarkStart w:id="47" w:name="_Toc17818"/>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497"/>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1497"/>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497"/>
        <w:spacing w:line="480" w:lineRule="auto"/>
        <w:rPr>
          <w:rFonts w:hint="eastAsia"/>
        </w:rPr>
        <w:outlineLvl w:val="9"/>
      </w:pPr>
      <w:r>
        <w:rPr>
          <w:rFonts w:hint="eastAsia" w:ascii="宋体" w:hAnsi="宋体" w:cs="宋体"/>
          <w:b/>
          <w:color w:val="000000"/>
          <w:sz w:val="24"/>
          <w:szCs w:val="24"/>
          <w:highlight w:val="none"/>
        </w:rPr>
        <w:t xml:space="preserve">注：投标供应商应当根据“项目技术要求和有关说明”的内容在详细填写。</w:t>
      </w:r>
      <w:r>
        <w:rPr>
          <w:rFonts w:hint="eastAsia"/>
        </w:rPr>
      </w:r>
      <w:r/>
    </w:p>
    <w:p>
      <w:pPr>
        <w:pStyle w:val="1497"/>
        <w:ind w:left="720" w:hanging="720"/>
        <w:spacing w:line="400" w:lineRule="exact"/>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49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46"/>
      <w:r/>
      <w:bookmarkEnd w:id="47"/>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7"/>
        <w:jc w:val="cente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服务保障承诺</w:t>
      </w:r>
      <w:r>
        <w:rPr>
          <w:rFonts w:hint="eastAsia" w:ascii="宋体" w:hAnsi="宋体" w:cs="宋体"/>
          <w:color w:val="000000"/>
          <w:sz w:val="24"/>
          <w:szCs w:val="24"/>
          <w:highlight w:val="none"/>
        </w:rPr>
      </w:r>
      <w:r/>
    </w:p>
    <w:p>
      <w:pPr>
        <w:pStyle w:val="1497"/>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rFonts w:hint="eastAsia" w:ascii="宋体" w:hAnsi="宋体" w:cs="宋体"/>
          <w:bCs/>
          <w:color w:val="000000"/>
          <w:sz w:val="24"/>
          <w:szCs w:val="24"/>
          <w:highlight w:val="non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color w:val="000000"/>
          <w:sz w:val="24"/>
          <w:szCs w:val="24"/>
          <w:highlight w:val="non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rFonts w:hint="eastAsia" w:ascii="宋体" w:hAnsi="宋体" w:cs="宋体"/>
          <w:bCs/>
          <w:color w:val="000000"/>
          <w:sz w:val="24"/>
          <w:szCs w:val="24"/>
          <w:highlight w:val="non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5、本公司承诺中标之后人员配置按工种及人数要求配置到位。</w:t>
      </w:r>
      <w:r>
        <w:rPr>
          <w:rFonts w:hint="eastAsia" w:ascii="宋体" w:hAnsi="宋体" w:cs="宋体"/>
          <w:bCs/>
          <w:color w:val="000000"/>
          <w:sz w:val="24"/>
          <w:szCs w:val="24"/>
          <w:highlight w:val="none"/>
        </w:rPr>
      </w:r>
      <w:r/>
    </w:p>
    <w:p>
      <w:pPr>
        <w:pStyle w:val="149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7"/>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497"/>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497"/>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516"/>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rFonts w:hint="eastAsia" w:eastAsia="宋体"/>
          <w:color w:val="000000"/>
          <w:highlight w:val="none"/>
        </w:rPr>
      </w:r>
      <w:r/>
    </w:p>
    <w:p>
      <w:pPr>
        <w:pStyle w:val="1497"/>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rFonts w:hint="eastAsia" w:ascii="宋体" w:hAnsi="宋体" w:cs="宋体"/>
          <w:b/>
          <w:color w:val="000000"/>
          <w:sz w:val="24"/>
          <w:szCs w:val="24"/>
          <w:highlight w:val="none"/>
        </w:rPr>
      </w:r>
      <w:r/>
    </w:p>
    <w:p>
      <w:pPr>
        <w:pStyle w:val="1516"/>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44"/>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544"/>
        <w:ind w:firstLine="241"/>
        <w:rPr>
          <w:rFonts w:hint="eastAsia" w:ascii="宋体" w:hAnsi="宋体" w:cs="宋体"/>
          <w:b/>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pStyle w:val="1497"/>
        <w:numPr>
          <w:ilvl w:val="0"/>
          <w:numId w:val="0"/>
        </w:numPr>
        <w:rPr>
          <w:rFonts w:hint="eastAsia" w:ascii="宋体" w:hAnsi="宋体" w:eastAsia="宋体" w:cs="宋体"/>
          <w:b/>
          <w:color w:val="000000"/>
          <w:sz w:val="24"/>
          <w:szCs w:val="24"/>
          <w:highlight w:val="none"/>
          <w:lang w:eastAsia="zh-CN"/>
        </w:rPr>
        <w:outlineLvl w:val="2"/>
      </w:pPr>
      <w:r/>
      <w:bookmarkStart w:id="48" w:name="_Toc28479"/>
      <w:r/>
      <w:bookmarkStart w:id="49" w:name="_Toc437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8"/>
      <w:r/>
      <w:bookmarkEnd w:id="49"/>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7"/>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ind w:firstLine="420"/>
        <w:jc w:val="center"/>
        <w:rPr>
          <w:rFonts w:hint="eastAsia" w:ascii="宋体" w:hAnsi="宋体" w:cs="宋体"/>
          <w:bCs/>
          <w:color w:val="000000"/>
          <w:sz w:val="24"/>
          <w:szCs w:val="24"/>
          <w:highlight w:val="none"/>
        </w:rPr>
        <w:outlineLvl w:val="9"/>
      </w:pPr>
      <w:r/>
      <w:bookmarkStart w:id="50" w:name="_Toc25155"/>
      <w:r/>
      <w:bookmarkStart w:id="51" w:name="_Toc27971"/>
      <w:r>
        <w:rPr>
          <w:rFonts w:hint="eastAsia" w:ascii="宋体" w:hAnsi="宋体" w:cs="宋体"/>
          <w:bCs/>
          <w:color w:val="000000"/>
          <w:sz w:val="24"/>
          <w:szCs w:val="24"/>
          <w:highlight w:val="none"/>
        </w:rPr>
        <w:t xml:space="preserve">投标偏离表</w:t>
      </w:r>
      <w:bookmarkEnd w:id="50"/>
      <w:r/>
      <w:bookmarkEnd w:id="51"/>
      <w:r>
        <w:rPr>
          <w:rFonts w:hint="eastAsia" w:ascii="宋体" w:hAnsi="宋体" w:cs="宋体"/>
          <w:bCs/>
          <w:color w:val="000000"/>
          <w:sz w:val="24"/>
          <w:szCs w:val="24"/>
          <w:highlight w:val="none"/>
        </w:rPr>
      </w:r>
      <w:r/>
    </w:p>
    <w:p>
      <w:pPr>
        <w:pStyle w:val="1497"/>
        <w:jc w:val="center"/>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项目名称：</w:t>
      </w:r>
      <w:r>
        <w:rPr>
          <w:rFonts w:hint="eastAsia" w:ascii="宋体" w:hAnsi="宋体" w:cs="宋体"/>
          <w:bCs/>
          <w:color w:val="000000"/>
          <w:sz w:val="24"/>
          <w:szCs w:val="24"/>
          <w:highlight w:val="none"/>
        </w:rPr>
      </w:r>
      <w:r/>
    </w:p>
    <w:p>
      <w:pPr>
        <w:pStyle w:val="1497"/>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ind w:firstLine="3120"/>
        <w:rPr>
          <w:rFonts w:hint="eastAsia" w:ascii="宋体" w:hAnsi="宋体" w:cs="宋体"/>
          <w:b/>
          <w:bCs/>
          <w:color w:val="000000"/>
          <w:sz w:val="24"/>
          <w:szCs w:val="24"/>
          <w:highlight w:val="none"/>
        </w:rPr>
        <w:outlineLvl w:val="9"/>
      </w:pPr>
      <w:r/>
      <w:bookmarkStart w:id="52" w:name="_Toc24453"/>
      <w:r/>
      <w:bookmarkStart w:id="53" w:name="_Toc31759"/>
      <w:r>
        <w:rPr>
          <w:rFonts w:hint="eastAsia" w:ascii="宋体" w:hAnsi="宋体" w:cs="宋体"/>
          <w:b/>
          <w:bCs/>
          <w:color w:val="000000"/>
          <w:sz w:val="24"/>
          <w:szCs w:val="24"/>
          <w:highlight w:val="none"/>
        </w:rPr>
        <w:t xml:space="preserve">法定代表人或法定代表人授权代表签字或盖章：</w:t>
      </w:r>
      <w:bookmarkEnd w:id="52"/>
      <w:r/>
      <w:bookmarkEnd w:id="53"/>
      <w:r>
        <w:rPr>
          <w:rFonts w:hint="eastAsia" w:ascii="宋体" w:hAnsi="宋体" w:cs="宋体"/>
          <w:b/>
          <w:bCs/>
          <w:color w:val="000000"/>
          <w:sz w:val="24"/>
          <w:szCs w:val="24"/>
          <w:highlight w:val="none"/>
        </w:rPr>
      </w:r>
      <w:r/>
    </w:p>
    <w:p>
      <w:pPr>
        <w:pStyle w:val="1516"/>
        <w:ind w:left="7200" w:hanging="7200"/>
        <w:rPr>
          <w:rFonts w:eastAsia="宋体"/>
          <w:color w:val="000000"/>
          <w:highlight w:val="none"/>
        </w:rPr>
        <w:outlineLvl w:val="9"/>
      </w:pPr>
      <w:r>
        <w:rPr>
          <w:rFonts w:hint="eastAsia" w:ascii="宋体" w:hAnsi="宋体" w:eastAsia="宋体" w:cs="宋体"/>
          <w:b/>
          <w:color w:val="000000"/>
          <w:sz w:val="24"/>
          <w:szCs w:val="24"/>
          <w:highlight w:val="none"/>
        </w:rPr>
        <w:t xml:space="preserve">                                                                  日  期：</w:t>
      </w:r>
      <w:r>
        <w:rPr>
          <w:rFonts w:eastAsia="宋体"/>
          <w:color w:val="000000"/>
          <w:highlight w:val="none"/>
        </w:rPr>
      </w:r>
      <w:r/>
    </w:p>
    <w:p>
      <w:pPr>
        <w:pStyle w:val="149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rPr>
          <w:rFonts w:hint="eastAsia" w:ascii="宋体" w:hAnsi="宋体" w:cs="宋体"/>
          <w:bCs/>
          <w:color w:val="000000"/>
          <w:sz w:val="24"/>
          <w:szCs w:val="24"/>
          <w:highlight w:val="none"/>
        </w:rPr>
        <w:outlineLvl w:val="9"/>
      </w:pPr>
      <w:r/>
      <w:bookmarkStart w:id="54" w:name="_Toc2067"/>
      <w:r/>
      <w:bookmarkStart w:id="55" w:name="_Toc8176"/>
      <w:r>
        <w:rPr>
          <w:rFonts w:hint="eastAsia" w:ascii="宋体" w:hAnsi="宋体" w:cs="宋体"/>
          <w:bCs/>
          <w:color w:val="000000"/>
          <w:sz w:val="24"/>
          <w:szCs w:val="24"/>
          <w:highlight w:val="none"/>
        </w:rPr>
        <w:t xml:space="preserve">注：（1）本表不得删除，可自行延长；</w:t>
      </w:r>
      <w:bookmarkEnd w:id="54"/>
      <w:r/>
      <w:bookmarkEnd w:id="55"/>
      <w:r>
        <w:rPr>
          <w:rFonts w:hint="eastAsia" w:ascii="宋体" w:hAnsi="宋体" w:cs="宋体"/>
          <w:bCs/>
          <w:color w:val="000000"/>
          <w:sz w:val="24"/>
          <w:szCs w:val="24"/>
          <w:highlight w:val="none"/>
        </w:rPr>
      </w:r>
      <w:r/>
    </w:p>
    <w:p>
      <w:pPr>
        <w:pStyle w:val="1497"/>
        <w:ind w:left="-214" w:firstLine="720"/>
        <w:rPr>
          <w:rFonts w:hint="eastAsia" w:ascii="宋体" w:hAnsi="宋体" w:cs="宋体"/>
          <w:bCs/>
          <w:color w:val="000000"/>
          <w:sz w:val="24"/>
          <w:szCs w:val="24"/>
          <w:highlight w:val="none"/>
        </w:rPr>
        <w:outlineLvl w:val="9"/>
      </w:pPr>
      <w:r/>
      <w:bookmarkStart w:id="56" w:name="_Toc511"/>
      <w:r/>
      <w:bookmarkStart w:id="57" w:name="_Toc22220"/>
      <w:r>
        <w:rPr>
          <w:rFonts w:hint="eastAsia" w:ascii="宋体" w:hAnsi="宋体" w:cs="宋体"/>
          <w:bCs/>
          <w:color w:val="000000"/>
          <w:sz w:val="24"/>
          <w:szCs w:val="24"/>
          <w:highlight w:val="none"/>
        </w:rPr>
        <w:t xml:space="preserve">（2）如无任何服务偏离，请于本表“偏离说明”中注明“无偏离”；</w:t>
      </w:r>
      <w:bookmarkEnd w:id="56"/>
      <w:r/>
      <w:bookmarkEnd w:id="57"/>
      <w:r>
        <w:rPr>
          <w:rFonts w:hint="eastAsia" w:ascii="宋体" w:hAnsi="宋体" w:cs="宋体"/>
          <w:bCs/>
          <w:color w:val="000000"/>
          <w:sz w:val="24"/>
          <w:szCs w:val="24"/>
          <w:highlight w:val="none"/>
        </w:rPr>
      </w:r>
      <w:r/>
    </w:p>
    <w:p>
      <w:pPr>
        <w:pStyle w:val="1497"/>
        <w:ind w:firstLine="480"/>
        <w:rPr>
          <w:rFonts w:hint="eastAsia" w:ascii="宋体" w:hAnsi="宋体" w:cs="宋体"/>
          <w:bCs/>
          <w:color w:val="000000"/>
          <w:sz w:val="24"/>
          <w:szCs w:val="24"/>
          <w:highlight w:val="none"/>
        </w:rPr>
        <w:outlineLvl w:val="9"/>
      </w:pPr>
      <w:r/>
      <w:bookmarkStart w:id="58" w:name="_Toc10188"/>
      <w:r/>
      <w:bookmarkStart w:id="59" w:name="_Toc9412"/>
      <w:r>
        <w:rPr>
          <w:rFonts w:hint="eastAsia" w:ascii="宋体" w:hAnsi="宋体" w:cs="宋体"/>
          <w:bCs/>
          <w:color w:val="000000"/>
          <w:sz w:val="24"/>
          <w:szCs w:val="24"/>
          <w:highlight w:val="none"/>
        </w:rPr>
        <w:t xml:space="preserve">（3）如有服务偏离项，</w:t>
      </w:r>
      <w:r>
        <w:rPr>
          <w:rFonts w:hint="eastAsia" w:ascii="宋体" w:hAnsi="宋体" w:cs="宋体"/>
          <w:bCs/>
          <w:color w:val="000000"/>
          <w:sz w:val="24"/>
          <w:szCs w:val="24"/>
          <w:highlight w:val="none"/>
        </w:rPr>
        <w:t xml:space="preserve">请于本表中列明偏离内容以及相关证明材料</w:t>
      </w:r>
      <w:r>
        <w:rPr>
          <w:rFonts w:hint="eastAsia" w:ascii="宋体" w:hAnsi="宋体" w:cs="宋体"/>
          <w:bCs/>
          <w:color w:val="000000"/>
          <w:sz w:val="24"/>
          <w:szCs w:val="24"/>
          <w:highlight w:val="none"/>
        </w:rPr>
        <w:t xml:space="preserve">，如需要可自行延长，其余无偏离内容不须赘述。</w:t>
      </w:r>
      <w:bookmarkEnd w:id="58"/>
      <w:r/>
      <w:bookmarkEnd w:id="59"/>
      <w:r>
        <w:rPr>
          <w:rFonts w:hint="eastAsia" w:ascii="宋体" w:hAnsi="宋体" w:cs="宋体"/>
          <w:bCs/>
          <w:color w:val="000000"/>
          <w:sz w:val="24"/>
          <w:szCs w:val="24"/>
          <w:highlight w:val="none"/>
        </w:rPr>
      </w:r>
      <w:r/>
    </w:p>
    <w:p>
      <w:pPr>
        <w:pStyle w:val="1574"/>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4"/>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4"/>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49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7"/>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7"/>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49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49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497"/>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497"/>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530"/>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497"/>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497"/>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497"/>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.供应商提供的声明函与事实不符的，依照《政府采购法》第七十七条第一款的规定追究法律责任。</w:t>
      </w:r>
      <w:r>
        <w:rPr>
          <w:rFonts w:hint="eastAsia" w:ascii="宋体" w:hAnsi="宋体" w:cs="宋体"/>
          <w:color w:val="000000"/>
          <w:sz w:val="24"/>
          <w:highlight w:val="none"/>
        </w:rPr>
      </w:r>
      <w:r/>
    </w:p>
    <w:p>
      <w:pPr>
        <w:pStyle w:val="1497"/>
        <w:numPr>
          <w:ilvl w:val="0"/>
          <w:numId w:val="0"/>
        </w:numPr>
        <w:rPr>
          <w:rFonts w:hint="eastAsia" w:ascii="宋体" w:hAnsi="宋体" w:eastAsia="宋体" w:cs="宋体"/>
          <w:b/>
          <w:color w:val="000000"/>
          <w:sz w:val="24"/>
          <w:szCs w:val="24"/>
          <w:highlight w:val="none"/>
          <w:lang w:eastAsia="zh-CN"/>
        </w:rPr>
        <w:outlineLvl w:val="2"/>
      </w:pPr>
      <w:r/>
      <w:bookmarkStart w:id="60" w:name="OLE_LINK14"/>
      <w:r/>
      <w:bookmarkStart w:id="61" w:name="OLE_LINK13"/>
      <w:r/>
      <w:bookmarkStart w:id="62" w:name="_Hlk6917152"/>
      <w:r>
        <w:rPr>
          <w:rFonts w:hint="eastAsia" w:ascii="宋体" w:hAnsi="宋体" w:eastAsia="宋体" w:cs="宋体"/>
          <w:b/>
          <w:color w:val="000000"/>
          <w:sz w:val="24"/>
          <w:szCs w:val="24"/>
          <w:highlight w:val="none"/>
          <w:lang w:eastAsia="zh-CN"/>
        </w:rPr>
        <w:t xml:space="preserve">（投标人）残疾人福利性单位声明函（格式）：</w:t>
      </w:r>
      <w:r>
        <w:rPr>
          <w:rFonts w:hint="eastAsia" w:ascii="宋体" w:hAnsi="宋体" w:eastAsia="宋体" w:cs="宋体"/>
          <w:b/>
          <w:color w:val="000000"/>
          <w:sz w:val="24"/>
          <w:szCs w:val="24"/>
          <w:highlight w:val="none"/>
          <w:lang w:eastAsia="zh-CN"/>
        </w:rPr>
      </w:r>
      <w:r/>
    </w:p>
    <w:p>
      <w:pPr>
        <w:pStyle w:val="1497"/>
        <w:spacing w:line="588" w:lineRule="exact"/>
        <w:rPr>
          <w:rFonts w:hint="eastAsia" w:ascii="宋体" w:hAnsi="宋体" w:cs="宋体"/>
          <w:b/>
          <w:color w:val="000000"/>
          <w:spacing w:val="6"/>
          <w:sz w:val="24"/>
          <w:szCs w:val="24"/>
          <w:highlight w:val="none"/>
        </w:rPr>
        <w:outlineLvl w:val="9"/>
      </w:pPr>
      <w:r/>
      <w:bookmarkEnd w:id="60"/>
      <w:r/>
      <w:bookmarkEnd w:id="61"/>
      <w:r>
        <w:rPr>
          <w:rFonts w:hint="eastAsia" w:ascii="宋体" w:hAnsi="宋体" w:cs="宋体"/>
          <w:b/>
          <w:color w:val="000000"/>
          <w:spacing w:val="6"/>
          <w:sz w:val="24"/>
          <w:szCs w:val="24"/>
          <w:highlight w:val="none"/>
        </w:rPr>
      </w:r>
      <w:r/>
    </w:p>
    <w:p>
      <w:pPr>
        <w:pStyle w:val="149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rFonts w:hint="eastAsia" w:ascii="宋体" w:hAnsi="宋体" w:cs="宋体"/>
          <w:bCs/>
          <w:color w:val="000000"/>
          <w:sz w:val="24"/>
          <w:szCs w:val="24"/>
          <w:highlight w:val="none"/>
        </w:rPr>
      </w:r>
      <w:r/>
    </w:p>
    <w:p>
      <w:pPr>
        <w:pStyle w:val="149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highlight w:val="none"/>
        </w:rPr>
      </w:r>
      <w:r/>
    </w:p>
    <w:p>
      <w:pPr>
        <w:pStyle w:val="149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rFonts w:hint="eastAsia" w:ascii="宋体" w:hAnsi="宋体" w:cs="宋体"/>
          <w:bCs/>
          <w:color w:val="000000"/>
          <w:sz w:val="24"/>
          <w:szCs w:val="24"/>
          <w:highlight w:val="none"/>
        </w:rPr>
      </w:r>
      <w:r/>
    </w:p>
    <w:p>
      <w:pPr>
        <w:pStyle w:val="149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7"/>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497"/>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574"/>
        <w:ind w:firstLine="480"/>
        <w:rPr>
          <w:rFonts w:hint="eastAsia" w:ascii="宋体" w:hAnsi="宋体" w:cs="宋体"/>
          <w:color w:val="000000"/>
          <w:sz w:val="24"/>
          <w:szCs w:val="24"/>
          <w:highlight w:val="none"/>
        </w:rPr>
        <w:outlineLvl w:val="9"/>
      </w:pPr>
      <w:r/>
      <w:bookmarkEnd w:id="62"/>
      <w:r>
        <w:rPr>
          <w:rFonts w:hint="eastAsia" w:ascii="宋体" w:hAnsi="宋体" w:cs="宋体"/>
          <w:color w:val="000000"/>
          <w:sz w:val="24"/>
          <w:szCs w:val="24"/>
          <w:highlight w:val="none"/>
        </w:rPr>
      </w:r>
      <w:r/>
    </w:p>
    <w:p>
      <w:pPr>
        <w:pStyle w:val="1574"/>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4"/>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4"/>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49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eastAsia="zh-CN"/>
        </w:rPr>
        <w:t xml:space="preserve">服务方案：</w:t>
      </w:r>
      <w:r>
        <w:rPr>
          <w:rFonts w:hint="eastAsia" w:ascii="宋体" w:hAnsi="宋体" w:eastAsia="宋体" w:cs="宋体"/>
          <w:b/>
          <w:color w:val="000000"/>
          <w:sz w:val="24"/>
          <w:szCs w:val="24"/>
          <w:highlight w:val="none"/>
          <w:lang w:eastAsia="zh-CN"/>
        </w:rPr>
      </w:r>
      <w:r/>
    </w:p>
    <w:p>
      <w:pPr>
        <w:pStyle w:val="1574"/>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4"/>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4"/>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服务方案</w:t>
      </w:r>
      <w:r>
        <w:rPr>
          <w:rFonts w:hint="eastAsia" w:ascii="宋体" w:hAnsi="宋体" w:cs="宋体"/>
          <w:bCs/>
          <w:color w:val="000000"/>
          <w:sz w:val="24"/>
          <w:szCs w:val="24"/>
          <w:highlight w:val="none"/>
        </w:rPr>
      </w:r>
      <w:r/>
    </w:p>
    <w:p>
      <w:pPr>
        <w:pStyle w:val="1574"/>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4"/>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rFonts w:hint="eastAsia" w:ascii="宋体" w:hAnsi="宋体" w:cs="宋体"/>
          <w:bCs/>
          <w:color w:val="000000"/>
          <w:sz w:val="24"/>
          <w:szCs w:val="24"/>
          <w:highlight w:val="none"/>
        </w:rPr>
      </w:r>
      <w:r/>
    </w:p>
    <w:p>
      <w:pPr>
        <w:pStyle w:val="1497"/>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497"/>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30"/>
          <w:szCs w:val="30"/>
          <w:highlight w:val="none"/>
          <w:lang w:eastAsia="zh-CN"/>
        </w:rPr>
      </w:r>
      <w:r/>
    </w:p>
    <w:sectPr>
      <w:footerReference w:type="default" r:id="rId25"/>
      <w:footerReference w:type="even" r:id="rId26"/>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Vrinda">
    <w:panose1 w:val="020B0502040204020203"/>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7"/>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tabs>
        <w:tab w:val="center" w:pos="4153" w:leader="none"/>
        <w:tab w:val="right" w:pos="8306" w:leader="none"/>
      </w:tabs>
      <w:rPr>
        <w:rStyle w:val="1549"/>
      </w:rPr>
      <w:framePr w:wrap="around" w:vAnchor="text" w:hAnchor="margin" w:xAlign="center" w:y="1"/>
    </w:pPr>
    <w:r>
      <w:fldChar w:fldCharType="begin"/>
    </w:r>
    <w:r>
      <w:rPr>
        <w:rStyle w:val="1549"/>
      </w:rPr>
      <w:instrText xml:space="preserve">PAGE  </w:instrText>
    </w:r>
    <w:r>
      <w:fldChar w:fldCharType="separate"/>
    </w:r>
    <w:r>
      <w:rPr>
        <w:rStyle w:val="1549"/>
      </w:rPr>
      <w:t xml:space="preserve">1</w:t>
    </w:r>
    <w:r>
      <w:fldChar w:fldCharType="end"/>
    </w:r>
    <w:r>
      <w:rPr>
        <w:rStyle w:val="1549"/>
      </w:rPr>
    </w:r>
    <w:r/>
  </w:p>
  <w:p>
    <w:pPr>
      <w:pStyle w:val="1530"/>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7"/>
                          </w:pPr>
                          <w:r/>
                          <w:r/>
                        </w:p>
                      </w:txbxContent>
                    </wps:txbx>
                    <wps:bodyPr wrap="none" lIns="0" tIns="0" rIns="0" bIns="0" upright="1">
                      <a:spAutoFit/>
                    </wps:bodyPr>
                  </wps:wsp>
                </a:graphicData>
              </a:graphic>
            </wp:anchor>
          </w:drawing>
        </mc:Choice>
        <mc:Fallback>
          <w:pict>
            <v:shape id="shape 1" o:spid="_x0000_s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497"/>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49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497"/>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49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97"/>
                          </w:pPr>
                          <w:r/>
                          <w:r/>
                        </w:p>
                      </w:txbxContent>
                    </wps:txbx>
                    <wps:bodyPr wrap="none" lIns="0" tIns="0" rIns="0" bIns="0" upright="1">
                      <a:spAutoFit/>
                    </wps:bodyPr>
                  </wps:wsp>
                </a:graphicData>
              </a:graphic>
            </wp:anchor>
          </w:drawing>
        </mc:Choice>
        <mc:Fallback>
          <w:pict>
            <v:shape id="shape 4" o:spid="_x0000_s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97"/>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pPr>
                          <w:r/>
                          <w:r/>
                        </w:p>
                        <w:p>
                          <w:pPr>
                            <w:pStyle w:val="1497"/>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pPr>
                    <w:r/>
                    <w:r/>
                  </w:p>
                  <w:p>
                    <w:pPr>
                      <w:pStyle w:val="1497"/>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pPr>
                          <w:r/>
                          <w:r/>
                        </w:p>
                        <w:p>
                          <w:pPr>
                            <w:pStyle w:val="1497"/>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pPr>
                    <w:r/>
                    <w:r/>
                  </w:p>
                  <w:p>
                    <w:pPr>
                      <w:pStyle w:val="14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pPr>
                          <w:r/>
                          <w:r/>
                        </w:p>
                        <w:p>
                          <w:pPr>
                            <w:pStyle w:val="1497"/>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7"/>
                    </w:pPr>
                    <w:r/>
                    <w:r/>
                  </w:p>
                  <w:p>
                    <w:pPr>
                      <w:pStyle w:val="14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pPr>
                          <w:r/>
                          <w:r/>
                        </w:p>
                        <w:p>
                          <w:pPr>
                            <w:pStyle w:val="1497"/>
                          </w:pPr>
                          <w:r/>
                          <w:r/>
                        </w:p>
                      </w:txbxContent>
                    </wps:txbx>
                    <wps:bodyPr wrap="none" lIns="0" tIns="0" rIns="0" bIns="0" upright="1">
                      <a:spAutoFit/>
                    </wps:bodyPr>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pPr>
                    <w:r/>
                    <w:r/>
                  </w:p>
                  <w:p>
                    <w:pPr>
                      <w:pStyle w:val="149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7"/>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7"/>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497"/>
                          </w:pPr>
                          <w:r/>
                          <w:r/>
                        </w:p>
                      </w:txbxContent>
                    </wps:txbx>
                    <wps:bodyPr wrap="none" lIns="0" tIns="0" rIns="0" bIns="0" upright="1">
                      <a:spAutoFit/>
                    </wps:bodyPr>
                  </wps:wsp>
                </a:graphicData>
              </a:graphic>
            </wp:anchor>
          </w:drawing>
        </mc:Choice>
        <mc:Fallback>
          <w:pict>
            <v:shape id="shape 10" o:spid="_x0000_s1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4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pPr>
                          <w:r/>
                          <w:r/>
                        </w:p>
                        <w:p>
                          <w:pPr>
                            <w:pStyle w:val="1497"/>
                          </w:pPr>
                          <w:r/>
                          <w:r/>
                        </w:p>
                      </w:txbxContent>
                    </wps:txbx>
                    <wps:bodyPr wrap="none" lIns="0" tIns="0" rIns="0" bIns="0" upright="1">
                      <a:spAutoFit/>
                    </wps:bodyPr>
                  </wps:wsp>
                </a:graphicData>
              </a:graphic>
            </wp:anchor>
          </w:drawing>
        </mc:Choice>
        <mc:Fallback>
          <w:pict>
            <v:shape id="shape 11" o:spid="_x0000_s11" o:spt="202" type="#_x0000_t202" style="position:absolute;z-index:251658243;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7"/>
                    </w:pPr>
                    <w:r/>
                    <w:r/>
                  </w:p>
                  <w:p>
                    <w:pPr>
                      <w:pStyle w:val="14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pPr>
                          <w:r/>
                          <w:r/>
                        </w:p>
                        <w:p>
                          <w:pPr>
                            <w:pStyle w:val="1497"/>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pPr>
                    <w:r/>
                    <w:r/>
                  </w:p>
                  <w:p>
                    <w:pPr>
                      <w:pStyle w:val="1497"/>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97"/>
                          </w:pPr>
                          <w:r/>
                          <w:r/>
                        </w:p>
                      </w:txbxContent>
                    </wps:txbx>
                    <wps:bodyPr wrap="none" lIns="0" tIns="0" rIns="0" bIns="0" upright="1">
                      <a:spAutoFit/>
                    </wps:bodyPr>
                  </wps:wsp>
                </a:graphicData>
              </a:graphic>
            </wp:anchor>
          </w:drawing>
        </mc:Choice>
        <mc:Fallback>
          <w:pict>
            <v:shape id="shape 13" o:spid="_x0000_s13"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97"/>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7"/>
                          </w:pPr>
                          <w:r/>
                          <w:r/>
                        </w:p>
                      </w:txbxContent>
                    </wps:txbx>
                    <wps:bodyPr wrap="none" lIns="0" tIns="0" rIns="0" bIns="0" upright="1">
                      <a:spAutoFit/>
                    </wps:bodyPr>
                  </wps:wsp>
                </a:graphicData>
              </a:graphic>
            </wp:anchor>
          </w:drawing>
        </mc:Choice>
        <mc:Fallback>
          <w:pict>
            <v:shape id="shape 14" o:spid="_x0000_s1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pPr>
                          <w:r/>
                          <w:r/>
                        </w:p>
                        <w:p>
                          <w:pPr>
                            <w:pStyle w:val="1497"/>
                          </w:pPr>
                          <w:r/>
                          <w:r/>
                        </w:p>
                      </w:txbxContent>
                    </wps:txbx>
                    <wps:bodyPr wrap="none" lIns="0" tIns="0" rIns="0" bIns="0" upright="1">
                      <a:spAutoFit/>
                    </wps:bodyPr>
                  </wps:wsp>
                </a:graphicData>
              </a:graphic>
            </wp:anchor>
          </w:drawing>
        </mc:Choice>
        <mc:Fallback>
          <w:pict>
            <v:shape id="shape 15" o:spid="_x0000_s15" o:spt="202" type="#_x0000_t202" style="position:absolute;z-index:25165824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7"/>
                    </w:pPr>
                    <w:r/>
                    <w:r/>
                  </w:p>
                  <w:p>
                    <w:pPr>
                      <w:pStyle w:val="14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pPr>
                          <w:r/>
                          <w:r/>
                        </w:p>
                        <w:p>
                          <w:pPr>
                            <w:pStyle w:val="1497"/>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pPr>
                    <w:r/>
                    <w:r/>
                  </w:p>
                  <w:p>
                    <w:pPr>
                      <w:pStyle w:val="1497"/>
                    </w:pPr>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497"/>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497"/>
                    </w:pPr>
                    <w:r/>
                    <w:r/>
                  </w:p>
                </w:txbxContent>
              </v:textbox>
            </v:shape>
          </w:pict>
        </mc:Fallback>
      </mc:AlternateContent>
    </w:r>
    <w:r>
      <w:rPr>
        <w:rFonts w:hint="eastAsi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spacing w:after="240"/>
      <w:tabs>
        <w:tab w:val="center" w:pos="4153" w:leader="none"/>
        <w:tab w:val="right" w:pos="8306" w:leader="none"/>
      </w:tabs>
      <w:rPr>
        <w:rStyle w:val="1549"/>
      </w:rPr>
      <w:framePr w:wrap="around" w:vAnchor="text" w:hAnchor="margin" w:xAlign="center" w:y="1"/>
    </w:pPr>
    <w:r>
      <w:fldChar w:fldCharType="begin"/>
    </w:r>
    <w:r>
      <w:rPr>
        <w:rStyle w:val="1549"/>
      </w:rPr>
      <w:instrText xml:space="preserve">PAGE  </w:instrText>
    </w:r>
    <w:r>
      <w:fldChar w:fldCharType="end"/>
    </w:r>
    <w:r>
      <w:rPr>
        <w:rStyle w:val="1549"/>
      </w:rPr>
    </w:r>
    <w:r/>
  </w:p>
  <w:p>
    <w:pPr>
      <w:pStyle w:val="1530"/>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both"/>
      <w:tabs>
        <w:tab w:val="center" w:pos="4153" w:leader="none"/>
        <w:tab w:val="right" w:pos="8306" w:leader="none"/>
      </w:tabs>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both"/>
      <w:tabs>
        <w:tab w:val="center" w:pos="4153" w:leader="none"/>
        <w:tab w:val="right" w:pos="8306" w:leader="none"/>
      </w:tabs>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both"/>
      <w:tabs>
        <w:tab w:val="center" w:pos="4153" w:leader="none"/>
        <w:tab w:val="right" w:pos="8306" w:leader="none"/>
      </w:tabs>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84"/>
      <w:isLgl w:val="false"/>
      <w:suff w:val="tab"/>
      <w:lvlText w:val="%1．"/>
      <w:lvlJc w:val="left"/>
      <w:pPr>
        <w:pStyle w:val="1497"/>
        <w:ind w:left="552" w:hanging="420"/>
        <w:tabs>
          <w:tab w:val="num" w:pos="552" w:leader="none"/>
        </w:tabs>
      </w:pPr>
      <w:rPr>
        <w:u w:val="none"/>
      </w:rPr>
    </w:lvl>
    <w:lvl w:ilvl="1">
      <w:start w:val="1"/>
      <w:numFmt w:val="decimal"/>
      <w:isLgl w:val="false"/>
      <w:suff w:val="tab"/>
      <w:lvlText w:val=""/>
      <w:lvlJc w:val="left"/>
      <w:pPr>
        <w:pStyle w:val="1497"/>
      </w:pPr>
    </w:lvl>
    <w:lvl w:ilvl="2">
      <w:start w:val="1"/>
      <w:numFmt w:val="decimal"/>
      <w:isLgl w:val="false"/>
      <w:suff w:val="tab"/>
      <w:lvlText w:val=""/>
      <w:lvlJc w:val="left"/>
      <w:pPr>
        <w:pStyle w:val="1497"/>
      </w:pPr>
    </w:lvl>
    <w:lvl w:ilvl="3">
      <w:start w:val="1"/>
      <w:numFmt w:val="decimal"/>
      <w:isLgl w:val="false"/>
      <w:suff w:val="tab"/>
      <w:lvlText w:val=""/>
      <w:lvlJc w:val="left"/>
      <w:pPr>
        <w:pStyle w:val="1497"/>
      </w:pPr>
    </w:lvl>
    <w:lvl w:ilvl="4">
      <w:start w:val="1"/>
      <w:numFmt w:val="decimal"/>
      <w:isLgl w:val="false"/>
      <w:suff w:val="tab"/>
      <w:lvlText w:val=""/>
      <w:lvlJc w:val="left"/>
      <w:pPr>
        <w:pStyle w:val="1497"/>
      </w:pPr>
    </w:lvl>
    <w:lvl w:ilvl="5">
      <w:start w:val="1"/>
      <w:numFmt w:val="decimal"/>
      <w:isLgl w:val="false"/>
      <w:suff w:val="tab"/>
      <w:lvlText w:val=""/>
      <w:lvlJc w:val="left"/>
      <w:pPr>
        <w:pStyle w:val="1497"/>
      </w:pPr>
    </w:lvl>
    <w:lvl w:ilvl="6">
      <w:start w:val="1"/>
      <w:numFmt w:val="decimal"/>
      <w:isLgl w:val="false"/>
      <w:suff w:val="tab"/>
      <w:lvlText w:val=""/>
      <w:lvlJc w:val="left"/>
      <w:pPr>
        <w:pStyle w:val="1497"/>
      </w:pPr>
    </w:lvl>
    <w:lvl w:ilvl="7">
      <w:start w:val="1"/>
      <w:numFmt w:val="decimal"/>
      <w:isLgl w:val="false"/>
      <w:suff w:val="tab"/>
      <w:lvlText w:val=""/>
      <w:lvlJc w:val="left"/>
      <w:pPr>
        <w:pStyle w:val="1497"/>
      </w:pPr>
    </w:lvl>
    <w:lvl w:ilvl="8">
      <w:start w:val="1"/>
      <w:numFmt w:val="decimal"/>
      <w:isLgl w:val="false"/>
      <w:suff w:val="tab"/>
      <w:lvlText w:val=""/>
      <w:lvlJc w:val="left"/>
      <w:pPr>
        <w:pStyle w:val="1497"/>
      </w:pPr>
    </w:lvl>
  </w:abstractNum>
  <w:abstractNum w:abstractNumId="1">
    <w:multiLevelType w:val="hybridMultilevel"/>
    <w:lvl w:ilvl="0">
      <w:start w:val="3"/>
      <w:numFmt w:val="decimal"/>
      <w:isLgl w:val="false"/>
      <w:suff w:val="nothing"/>
      <w:lvlText w:val="%1、"/>
      <w:lvlJc w:val="left"/>
      <w:pPr>
        <w:pStyle w:val="14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149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497"/>
        <w:ind w:left="840" w:hanging="420"/>
        <w:tabs>
          <w:tab w:val="num" w:pos="840" w:leader="none"/>
        </w:tabs>
      </w:pPr>
      <w:rPr>
        <w:rFonts w:cs="Times New Roman"/>
      </w:rPr>
    </w:lvl>
    <w:lvl w:ilvl="2">
      <w:start w:val="10"/>
      <w:numFmt w:val="decimal"/>
      <w:isLgl w:val="false"/>
      <w:suff w:val="tab"/>
      <w:lvlText w:val="%3."/>
      <w:lvlJc w:val="left"/>
      <w:pPr>
        <w:pStyle w:val="1497"/>
        <w:ind w:left="1200" w:hanging="360"/>
        <w:tabs>
          <w:tab w:val="num" w:pos="1200" w:leader="none"/>
        </w:tabs>
      </w:pPr>
      <w:rPr>
        <w:rFonts w:cs="Times New Roman"/>
      </w:rPr>
    </w:lvl>
    <w:lvl w:ilvl="3">
      <w:start w:val="1"/>
      <w:numFmt w:val="decimal"/>
      <w:isLgl w:val="false"/>
      <w:suff w:val="tab"/>
      <w:lvlText w:val="%4."/>
      <w:lvlJc w:val="left"/>
      <w:pPr>
        <w:pStyle w:val="1497"/>
        <w:ind w:left="1680" w:hanging="420"/>
        <w:tabs>
          <w:tab w:val="num" w:pos="1680" w:leader="none"/>
        </w:tabs>
      </w:pPr>
      <w:rPr>
        <w:rFonts w:cs="Times New Roman"/>
      </w:rPr>
    </w:lvl>
    <w:lvl w:ilvl="4">
      <w:start w:val="1"/>
      <w:numFmt w:val="lowerLetter"/>
      <w:isLgl w:val="false"/>
      <w:suff w:val="tab"/>
      <w:lvlText w:val="%5)"/>
      <w:lvlJc w:val="left"/>
      <w:pPr>
        <w:pStyle w:val="1497"/>
        <w:ind w:left="2100" w:hanging="420"/>
        <w:tabs>
          <w:tab w:val="num" w:pos="2100" w:leader="none"/>
        </w:tabs>
      </w:pPr>
      <w:rPr>
        <w:rFonts w:cs="Times New Roman"/>
      </w:rPr>
    </w:lvl>
    <w:lvl w:ilvl="5">
      <w:start w:val="1"/>
      <w:numFmt w:val="lowerRoman"/>
      <w:isLgl w:val="false"/>
      <w:suff w:val="tab"/>
      <w:lvlText w:val="%6."/>
      <w:lvlJc w:val="right"/>
      <w:pPr>
        <w:pStyle w:val="1497"/>
        <w:ind w:left="2520" w:hanging="420"/>
        <w:tabs>
          <w:tab w:val="num" w:pos="2520" w:leader="none"/>
        </w:tabs>
      </w:pPr>
      <w:rPr>
        <w:rFonts w:cs="Times New Roman"/>
      </w:rPr>
    </w:lvl>
    <w:lvl w:ilvl="6">
      <w:start w:val="1"/>
      <w:numFmt w:val="decimal"/>
      <w:isLgl w:val="false"/>
      <w:suff w:val="tab"/>
      <w:lvlText w:val="%7."/>
      <w:lvlJc w:val="left"/>
      <w:pPr>
        <w:pStyle w:val="1497"/>
        <w:ind w:left="2940" w:hanging="420"/>
        <w:tabs>
          <w:tab w:val="num" w:pos="2940" w:leader="none"/>
        </w:tabs>
      </w:pPr>
      <w:rPr>
        <w:rFonts w:cs="Times New Roman"/>
      </w:rPr>
    </w:lvl>
    <w:lvl w:ilvl="7">
      <w:start w:val="1"/>
      <w:numFmt w:val="lowerLetter"/>
      <w:isLgl w:val="false"/>
      <w:suff w:val="tab"/>
      <w:lvlText w:val="%8)"/>
      <w:lvlJc w:val="left"/>
      <w:pPr>
        <w:pStyle w:val="1497"/>
        <w:ind w:left="3360" w:hanging="420"/>
        <w:tabs>
          <w:tab w:val="num" w:pos="3360" w:leader="none"/>
        </w:tabs>
      </w:pPr>
      <w:rPr>
        <w:rFonts w:cs="Times New Roman"/>
      </w:rPr>
    </w:lvl>
    <w:lvl w:ilvl="8">
      <w:start w:val="1"/>
      <w:numFmt w:val="lowerRoman"/>
      <w:isLgl w:val="false"/>
      <w:suff w:val="tab"/>
      <w:lvlText w:val="%9."/>
      <w:lvlJc w:val="right"/>
      <w:pPr>
        <w:pStyle w:val="1497"/>
        <w:ind w:left="3780" w:hanging="420"/>
        <w:tabs>
          <w:tab w:val="num" w:pos="3780" w:leader="none"/>
        </w:tabs>
      </w:pPr>
      <w:rPr>
        <w:rFonts w:cs="Times New Roman"/>
      </w:rPr>
    </w:lvl>
  </w:abstractNum>
  <w:abstractNum w:abstractNumId="3">
    <w:multiLevelType w:val="hybridMultilevel"/>
    <w:lvl w:ilvl="0">
      <w:start w:val="1"/>
      <w:numFmt w:val="upperLetter"/>
      <w:pStyle w:val="1502"/>
      <w:isLgl w:val="false"/>
      <w:suff w:val="tab"/>
      <w:lvlText w:val="%1."/>
      <w:lvlJc w:val="left"/>
      <w:pPr>
        <w:pStyle w:val="1497"/>
        <w:ind w:left="360" w:hanging="360"/>
        <w:tabs>
          <w:tab w:val="num" w:pos="360" w:leader="none"/>
        </w:tabs>
      </w:pPr>
      <w:rPr>
        <w:rFonts w:cs="Times New Roman"/>
      </w:rPr>
    </w:lvl>
    <w:lvl w:ilvl="1">
      <w:start w:val="1"/>
      <w:numFmt w:val="lowerLetter"/>
      <w:isLgl w:val="false"/>
      <w:suff w:val="tab"/>
      <w:lvlText w:val="%2)"/>
      <w:lvlJc w:val="left"/>
      <w:pPr>
        <w:pStyle w:val="1497"/>
        <w:ind w:left="840" w:hanging="420"/>
        <w:tabs>
          <w:tab w:val="num" w:pos="840" w:leader="none"/>
        </w:tabs>
      </w:pPr>
      <w:rPr>
        <w:rFonts w:cs="Times New Roman"/>
      </w:rPr>
    </w:lvl>
    <w:lvl w:ilvl="2">
      <w:start w:val="1"/>
      <w:numFmt w:val="lowerRoman"/>
      <w:isLgl w:val="false"/>
      <w:suff w:val="tab"/>
      <w:lvlText w:val="%3."/>
      <w:lvlJc w:val="right"/>
      <w:pPr>
        <w:pStyle w:val="1497"/>
        <w:ind w:left="1260" w:hanging="420"/>
        <w:tabs>
          <w:tab w:val="num" w:pos="1260" w:leader="none"/>
        </w:tabs>
      </w:pPr>
      <w:rPr>
        <w:rFonts w:cs="Times New Roman"/>
      </w:rPr>
    </w:lvl>
    <w:lvl w:ilvl="3">
      <w:start w:val="1"/>
      <w:numFmt w:val="decimal"/>
      <w:isLgl w:val="false"/>
      <w:suff w:val="tab"/>
      <w:lvlText w:val="%4."/>
      <w:lvlJc w:val="left"/>
      <w:pPr>
        <w:pStyle w:val="1497"/>
        <w:ind w:left="1680" w:hanging="420"/>
        <w:tabs>
          <w:tab w:val="num" w:pos="1680" w:leader="none"/>
        </w:tabs>
      </w:pPr>
      <w:rPr>
        <w:rFonts w:cs="Times New Roman"/>
      </w:rPr>
    </w:lvl>
    <w:lvl w:ilvl="4">
      <w:start w:val="1"/>
      <w:numFmt w:val="lowerLetter"/>
      <w:isLgl w:val="false"/>
      <w:suff w:val="tab"/>
      <w:lvlText w:val="%5)"/>
      <w:lvlJc w:val="left"/>
      <w:pPr>
        <w:pStyle w:val="1497"/>
        <w:ind w:left="2100" w:hanging="420"/>
        <w:tabs>
          <w:tab w:val="num" w:pos="2100" w:leader="none"/>
        </w:tabs>
      </w:pPr>
      <w:rPr>
        <w:rFonts w:cs="Times New Roman"/>
      </w:rPr>
    </w:lvl>
    <w:lvl w:ilvl="5">
      <w:start w:val="1"/>
      <w:numFmt w:val="lowerRoman"/>
      <w:isLgl w:val="false"/>
      <w:suff w:val="tab"/>
      <w:lvlText w:val="%6."/>
      <w:lvlJc w:val="right"/>
      <w:pPr>
        <w:pStyle w:val="1497"/>
        <w:ind w:left="2520" w:hanging="420"/>
        <w:tabs>
          <w:tab w:val="num" w:pos="2520" w:leader="none"/>
        </w:tabs>
      </w:pPr>
      <w:rPr>
        <w:rFonts w:cs="Times New Roman"/>
      </w:rPr>
    </w:lvl>
    <w:lvl w:ilvl="6">
      <w:start w:val="1"/>
      <w:numFmt w:val="decimal"/>
      <w:isLgl w:val="false"/>
      <w:suff w:val="tab"/>
      <w:lvlText w:val="%7."/>
      <w:lvlJc w:val="left"/>
      <w:pPr>
        <w:pStyle w:val="1497"/>
        <w:ind w:left="2940" w:hanging="420"/>
        <w:tabs>
          <w:tab w:val="num" w:pos="2940" w:leader="none"/>
        </w:tabs>
      </w:pPr>
      <w:rPr>
        <w:rFonts w:cs="Times New Roman"/>
      </w:rPr>
    </w:lvl>
    <w:lvl w:ilvl="7">
      <w:start w:val="1"/>
      <w:numFmt w:val="lowerLetter"/>
      <w:isLgl w:val="false"/>
      <w:suff w:val="tab"/>
      <w:lvlText w:val="%8)"/>
      <w:lvlJc w:val="left"/>
      <w:pPr>
        <w:pStyle w:val="1497"/>
        <w:ind w:left="3360" w:hanging="420"/>
        <w:tabs>
          <w:tab w:val="num" w:pos="3360" w:leader="none"/>
        </w:tabs>
      </w:pPr>
      <w:rPr>
        <w:rFonts w:cs="Times New Roman"/>
      </w:rPr>
    </w:lvl>
    <w:lvl w:ilvl="8">
      <w:start w:val="1"/>
      <w:numFmt w:val="lowerRoman"/>
      <w:isLgl w:val="false"/>
      <w:suff w:val="tab"/>
      <w:lvlText w:val="%9."/>
      <w:lvlJc w:val="right"/>
      <w:pPr>
        <w:pStyle w:val="1497"/>
        <w:ind w:left="3780" w:hanging="420"/>
        <w:tabs>
          <w:tab w:val="num" w:pos="3780" w:leader="none"/>
        </w:tabs>
      </w:pPr>
      <w:rPr>
        <w:rFonts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20">
    <w:name w:val="Heading 1"/>
    <w:basedOn w:val="1497"/>
    <w:next w:val="1497"/>
    <w:link w:val="1321"/>
    <w:uiPriority w:val="9"/>
    <w:qFormat/>
    <w:pPr>
      <w:keepLines/>
      <w:keepNext/>
      <w:spacing w:before="480" w:after="200"/>
      <w:outlineLvl w:val="0"/>
    </w:pPr>
    <w:rPr>
      <w:rFonts w:ascii="Arial" w:hAnsi="Arial" w:eastAsia="Arial" w:cs="Arial"/>
      <w:sz w:val="40"/>
      <w:szCs w:val="40"/>
    </w:rPr>
  </w:style>
  <w:style w:type="character" w:styleId="1321">
    <w:name w:val="Heading 1 Char"/>
    <w:link w:val="1320"/>
    <w:uiPriority w:val="9"/>
    <w:rPr>
      <w:rFonts w:ascii="Arial" w:hAnsi="Arial" w:eastAsia="Arial" w:cs="Arial"/>
      <w:sz w:val="40"/>
      <w:szCs w:val="40"/>
    </w:rPr>
  </w:style>
  <w:style w:type="paragraph" w:styleId="1322">
    <w:name w:val="Heading 2"/>
    <w:basedOn w:val="1497"/>
    <w:next w:val="1497"/>
    <w:link w:val="1323"/>
    <w:uiPriority w:val="9"/>
    <w:unhideWhenUsed/>
    <w:qFormat/>
    <w:pPr>
      <w:keepLines/>
      <w:keepNext/>
      <w:spacing w:before="360" w:after="200"/>
      <w:outlineLvl w:val="1"/>
    </w:pPr>
    <w:rPr>
      <w:rFonts w:ascii="Arial" w:hAnsi="Arial" w:eastAsia="Arial" w:cs="Arial"/>
      <w:sz w:val="34"/>
    </w:rPr>
  </w:style>
  <w:style w:type="character" w:styleId="1323">
    <w:name w:val="Heading 2 Char"/>
    <w:link w:val="1322"/>
    <w:uiPriority w:val="9"/>
    <w:rPr>
      <w:rFonts w:ascii="Arial" w:hAnsi="Arial" w:eastAsia="Arial" w:cs="Arial"/>
      <w:sz w:val="34"/>
    </w:rPr>
  </w:style>
  <w:style w:type="paragraph" w:styleId="1324">
    <w:name w:val="Heading 3"/>
    <w:basedOn w:val="1497"/>
    <w:next w:val="1497"/>
    <w:link w:val="1325"/>
    <w:uiPriority w:val="9"/>
    <w:unhideWhenUsed/>
    <w:qFormat/>
    <w:pPr>
      <w:keepLines/>
      <w:keepNext/>
      <w:spacing w:before="320" w:after="200"/>
      <w:outlineLvl w:val="2"/>
    </w:pPr>
    <w:rPr>
      <w:rFonts w:ascii="Arial" w:hAnsi="Arial" w:eastAsia="Arial" w:cs="Arial"/>
      <w:sz w:val="30"/>
      <w:szCs w:val="30"/>
    </w:rPr>
  </w:style>
  <w:style w:type="character" w:styleId="1325">
    <w:name w:val="Heading 3 Char"/>
    <w:link w:val="1324"/>
    <w:uiPriority w:val="9"/>
    <w:rPr>
      <w:rFonts w:ascii="Arial" w:hAnsi="Arial" w:eastAsia="Arial" w:cs="Arial"/>
      <w:sz w:val="30"/>
      <w:szCs w:val="30"/>
    </w:rPr>
  </w:style>
  <w:style w:type="paragraph" w:styleId="1326">
    <w:name w:val="Heading 4"/>
    <w:basedOn w:val="1497"/>
    <w:next w:val="1497"/>
    <w:link w:val="1327"/>
    <w:uiPriority w:val="9"/>
    <w:unhideWhenUsed/>
    <w:qFormat/>
    <w:pPr>
      <w:keepLines/>
      <w:keepNext/>
      <w:spacing w:before="320" w:after="200"/>
      <w:outlineLvl w:val="3"/>
    </w:pPr>
    <w:rPr>
      <w:rFonts w:ascii="Arial" w:hAnsi="Arial" w:eastAsia="Arial" w:cs="Arial"/>
      <w:b/>
      <w:bCs/>
      <w:sz w:val="26"/>
      <w:szCs w:val="26"/>
    </w:rPr>
  </w:style>
  <w:style w:type="character" w:styleId="1327">
    <w:name w:val="Heading 4 Char"/>
    <w:link w:val="1326"/>
    <w:uiPriority w:val="9"/>
    <w:rPr>
      <w:rFonts w:ascii="Arial" w:hAnsi="Arial" w:eastAsia="Arial" w:cs="Arial"/>
      <w:b/>
      <w:bCs/>
      <w:sz w:val="26"/>
      <w:szCs w:val="26"/>
    </w:rPr>
  </w:style>
  <w:style w:type="paragraph" w:styleId="1328">
    <w:name w:val="Heading 5"/>
    <w:basedOn w:val="1497"/>
    <w:next w:val="1497"/>
    <w:link w:val="1329"/>
    <w:uiPriority w:val="9"/>
    <w:unhideWhenUsed/>
    <w:qFormat/>
    <w:pPr>
      <w:keepLines/>
      <w:keepNext/>
      <w:spacing w:before="320" w:after="200"/>
      <w:outlineLvl w:val="4"/>
    </w:pPr>
    <w:rPr>
      <w:rFonts w:ascii="Arial" w:hAnsi="Arial" w:eastAsia="Arial" w:cs="Arial"/>
      <w:b/>
      <w:bCs/>
      <w:sz w:val="24"/>
      <w:szCs w:val="24"/>
    </w:rPr>
  </w:style>
  <w:style w:type="character" w:styleId="1329">
    <w:name w:val="Heading 5 Char"/>
    <w:link w:val="1328"/>
    <w:uiPriority w:val="9"/>
    <w:rPr>
      <w:rFonts w:ascii="Arial" w:hAnsi="Arial" w:eastAsia="Arial" w:cs="Arial"/>
      <w:b/>
      <w:bCs/>
      <w:sz w:val="24"/>
      <w:szCs w:val="24"/>
    </w:rPr>
  </w:style>
  <w:style w:type="paragraph" w:styleId="1330">
    <w:name w:val="Heading 6"/>
    <w:basedOn w:val="1497"/>
    <w:next w:val="1497"/>
    <w:link w:val="1331"/>
    <w:uiPriority w:val="9"/>
    <w:unhideWhenUsed/>
    <w:qFormat/>
    <w:pPr>
      <w:keepLines/>
      <w:keepNext/>
      <w:spacing w:before="320" w:after="200"/>
      <w:outlineLvl w:val="5"/>
    </w:pPr>
    <w:rPr>
      <w:rFonts w:ascii="Arial" w:hAnsi="Arial" w:eastAsia="Arial" w:cs="Arial"/>
      <w:b/>
      <w:bCs/>
      <w:sz w:val="22"/>
      <w:szCs w:val="22"/>
    </w:rPr>
  </w:style>
  <w:style w:type="character" w:styleId="1331">
    <w:name w:val="Heading 6 Char"/>
    <w:link w:val="1330"/>
    <w:uiPriority w:val="9"/>
    <w:rPr>
      <w:rFonts w:ascii="Arial" w:hAnsi="Arial" w:eastAsia="Arial" w:cs="Arial"/>
      <w:b/>
      <w:bCs/>
      <w:sz w:val="22"/>
      <w:szCs w:val="22"/>
    </w:rPr>
  </w:style>
  <w:style w:type="paragraph" w:styleId="1332">
    <w:name w:val="Heading 7"/>
    <w:basedOn w:val="1497"/>
    <w:next w:val="1497"/>
    <w:link w:val="1333"/>
    <w:uiPriority w:val="9"/>
    <w:unhideWhenUsed/>
    <w:qFormat/>
    <w:pPr>
      <w:keepLines/>
      <w:keepNext/>
      <w:spacing w:before="320" w:after="200"/>
      <w:outlineLvl w:val="6"/>
    </w:pPr>
    <w:rPr>
      <w:rFonts w:ascii="Arial" w:hAnsi="Arial" w:eastAsia="Arial" w:cs="Arial"/>
      <w:b/>
      <w:bCs/>
      <w:i/>
      <w:iCs/>
      <w:sz w:val="22"/>
      <w:szCs w:val="22"/>
    </w:rPr>
  </w:style>
  <w:style w:type="character" w:styleId="1333">
    <w:name w:val="Heading 7 Char"/>
    <w:link w:val="1332"/>
    <w:uiPriority w:val="9"/>
    <w:rPr>
      <w:rFonts w:ascii="Arial" w:hAnsi="Arial" w:eastAsia="Arial" w:cs="Arial"/>
      <w:b/>
      <w:bCs/>
      <w:i/>
      <w:iCs/>
      <w:sz w:val="22"/>
      <w:szCs w:val="22"/>
    </w:rPr>
  </w:style>
  <w:style w:type="paragraph" w:styleId="1334">
    <w:name w:val="Heading 8"/>
    <w:basedOn w:val="1497"/>
    <w:next w:val="1497"/>
    <w:link w:val="1335"/>
    <w:uiPriority w:val="9"/>
    <w:unhideWhenUsed/>
    <w:qFormat/>
    <w:pPr>
      <w:keepLines/>
      <w:keepNext/>
      <w:spacing w:before="320" w:after="200"/>
      <w:outlineLvl w:val="7"/>
    </w:pPr>
    <w:rPr>
      <w:rFonts w:ascii="Arial" w:hAnsi="Arial" w:eastAsia="Arial" w:cs="Arial"/>
      <w:i/>
      <w:iCs/>
      <w:sz w:val="22"/>
      <w:szCs w:val="22"/>
    </w:rPr>
  </w:style>
  <w:style w:type="character" w:styleId="1335">
    <w:name w:val="Heading 8 Char"/>
    <w:link w:val="1334"/>
    <w:uiPriority w:val="9"/>
    <w:rPr>
      <w:rFonts w:ascii="Arial" w:hAnsi="Arial" w:eastAsia="Arial" w:cs="Arial"/>
      <w:i/>
      <w:iCs/>
      <w:sz w:val="22"/>
      <w:szCs w:val="22"/>
    </w:rPr>
  </w:style>
  <w:style w:type="paragraph" w:styleId="1336">
    <w:name w:val="Heading 9"/>
    <w:basedOn w:val="1497"/>
    <w:next w:val="1497"/>
    <w:link w:val="1337"/>
    <w:uiPriority w:val="9"/>
    <w:unhideWhenUsed/>
    <w:qFormat/>
    <w:pPr>
      <w:keepLines/>
      <w:keepNext/>
      <w:spacing w:before="320" w:after="200"/>
      <w:outlineLvl w:val="8"/>
    </w:pPr>
    <w:rPr>
      <w:rFonts w:ascii="Arial" w:hAnsi="Arial" w:eastAsia="Arial" w:cs="Arial"/>
      <w:i/>
      <w:iCs/>
      <w:sz w:val="21"/>
      <w:szCs w:val="21"/>
    </w:rPr>
  </w:style>
  <w:style w:type="character" w:styleId="1337">
    <w:name w:val="Heading 9 Char"/>
    <w:link w:val="1336"/>
    <w:uiPriority w:val="9"/>
    <w:rPr>
      <w:rFonts w:ascii="Arial" w:hAnsi="Arial" w:eastAsia="Arial" w:cs="Arial"/>
      <w:i/>
      <w:iCs/>
      <w:sz w:val="21"/>
      <w:szCs w:val="21"/>
    </w:rPr>
  </w:style>
  <w:style w:type="paragraph" w:styleId="1338">
    <w:name w:val="No Spacing"/>
    <w:uiPriority w:val="1"/>
    <w:qFormat/>
    <w:pPr>
      <w:spacing w:before="0" w:after="0" w:line="240" w:lineRule="auto"/>
    </w:pPr>
  </w:style>
  <w:style w:type="paragraph" w:styleId="1339">
    <w:name w:val="Title"/>
    <w:basedOn w:val="1497"/>
    <w:next w:val="1497"/>
    <w:link w:val="1340"/>
    <w:uiPriority w:val="10"/>
    <w:qFormat/>
    <w:pPr>
      <w:contextualSpacing/>
      <w:spacing w:before="300" w:after="200"/>
    </w:pPr>
    <w:rPr>
      <w:sz w:val="48"/>
      <w:szCs w:val="48"/>
    </w:rPr>
  </w:style>
  <w:style w:type="character" w:styleId="1340">
    <w:name w:val="Title Char"/>
    <w:link w:val="1339"/>
    <w:uiPriority w:val="10"/>
    <w:rPr>
      <w:sz w:val="48"/>
      <w:szCs w:val="48"/>
    </w:rPr>
  </w:style>
  <w:style w:type="paragraph" w:styleId="1341">
    <w:name w:val="Subtitle"/>
    <w:basedOn w:val="1497"/>
    <w:next w:val="1497"/>
    <w:link w:val="1342"/>
    <w:uiPriority w:val="11"/>
    <w:qFormat/>
    <w:pPr>
      <w:spacing w:before="200" w:after="200"/>
    </w:pPr>
    <w:rPr>
      <w:sz w:val="24"/>
      <w:szCs w:val="24"/>
    </w:rPr>
  </w:style>
  <w:style w:type="character" w:styleId="1342">
    <w:name w:val="Subtitle Char"/>
    <w:link w:val="1341"/>
    <w:uiPriority w:val="11"/>
    <w:rPr>
      <w:sz w:val="24"/>
      <w:szCs w:val="24"/>
    </w:rPr>
  </w:style>
  <w:style w:type="paragraph" w:styleId="1343">
    <w:name w:val="Quote"/>
    <w:basedOn w:val="1497"/>
    <w:next w:val="1497"/>
    <w:link w:val="1344"/>
    <w:uiPriority w:val="29"/>
    <w:qFormat/>
    <w:pPr>
      <w:ind w:left="720" w:right="720"/>
    </w:pPr>
    <w:rPr>
      <w:i/>
    </w:rPr>
  </w:style>
  <w:style w:type="character" w:styleId="1344">
    <w:name w:val="Quote Char"/>
    <w:link w:val="1343"/>
    <w:uiPriority w:val="29"/>
    <w:rPr>
      <w:i/>
    </w:rPr>
  </w:style>
  <w:style w:type="paragraph" w:styleId="1345">
    <w:name w:val="Intense Quote"/>
    <w:basedOn w:val="1497"/>
    <w:next w:val="1497"/>
    <w:link w:val="13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46">
    <w:name w:val="Intense Quote Char"/>
    <w:link w:val="1345"/>
    <w:uiPriority w:val="30"/>
    <w:rPr>
      <w:i/>
    </w:rPr>
  </w:style>
  <w:style w:type="paragraph" w:styleId="1347">
    <w:name w:val="Header"/>
    <w:basedOn w:val="1497"/>
    <w:link w:val="1348"/>
    <w:uiPriority w:val="99"/>
    <w:unhideWhenUsed/>
    <w:pPr>
      <w:spacing w:after="0" w:line="240" w:lineRule="auto"/>
      <w:tabs>
        <w:tab w:val="center" w:pos="7143" w:leader="none"/>
        <w:tab w:val="right" w:pos="14287" w:leader="none"/>
      </w:tabs>
    </w:pPr>
  </w:style>
  <w:style w:type="character" w:styleId="1348">
    <w:name w:val="Header Char"/>
    <w:link w:val="1347"/>
    <w:uiPriority w:val="99"/>
  </w:style>
  <w:style w:type="paragraph" w:styleId="1349">
    <w:name w:val="Footer"/>
    <w:basedOn w:val="1497"/>
    <w:link w:val="1352"/>
    <w:uiPriority w:val="99"/>
    <w:unhideWhenUsed/>
    <w:pPr>
      <w:spacing w:after="0" w:line="240" w:lineRule="auto"/>
      <w:tabs>
        <w:tab w:val="center" w:pos="7143" w:leader="none"/>
        <w:tab w:val="right" w:pos="14287" w:leader="none"/>
      </w:tabs>
    </w:pPr>
  </w:style>
  <w:style w:type="character" w:styleId="1350">
    <w:name w:val="Footer Char"/>
    <w:link w:val="1349"/>
    <w:uiPriority w:val="99"/>
  </w:style>
  <w:style w:type="paragraph" w:styleId="1351">
    <w:name w:val="Caption"/>
    <w:basedOn w:val="1497"/>
    <w:next w:val="1497"/>
    <w:uiPriority w:val="35"/>
    <w:semiHidden/>
    <w:unhideWhenUsed/>
    <w:qFormat/>
    <w:pPr>
      <w:spacing w:line="276" w:lineRule="auto"/>
    </w:pPr>
    <w:rPr>
      <w:b/>
      <w:bCs/>
      <w:color w:val="4f81bd" w:themeColor="accent1"/>
      <w:sz w:val="18"/>
      <w:szCs w:val="18"/>
    </w:rPr>
  </w:style>
  <w:style w:type="character" w:styleId="1352">
    <w:name w:val="Caption Char"/>
    <w:basedOn w:val="1351"/>
    <w:link w:val="1349"/>
    <w:uiPriority w:val="99"/>
  </w:style>
  <w:style w:type="table" w:styleId="13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79">
    <w:name w:val="Hyperlink"/>
    <w:uiPriority w:val="99"/>
    <w:unhideWhenUsed/>
    <w:rPr>
      <w:color w:val="0000ff" w:themeColor="hyperlink"/>
      <w:u w:val="single"/>
    </w:rPr>
  </w:style>
  <w:style w:type="paragraph" w:styleId="1480">
    <w:name w:val="footnote text"/>
    <w:basedOn w:val="1497"/>
    <w:link w:val="1481"/>
    <w:uiPriority w:val="99"/>
    <w:semiHidden/>
    <w:unhideWhenUsed/>
    <w:pPr>
      <w:spacing w:after="40" w:line="240" w:lineRule="auto"/>
    </w:pPr>
    <w:rPr>
      <w:sz w:val="18"/>
    </w:rPr>
  </w:style>
  <w:style w:type="character" w:styleId="1481">
    <w:name w:val="Footnote Text Char"/>
    <w:link w:val="1480"/>
    <w:uiPriority w:val="99"/>
    <w:rPr>
      <w:sz w:val="18"/>
    </w:rPr>
  </w:style>
  <w:style w:type="character" w:styleId="1482">
    <w:name w:val="footnote reference"/>
    <w:uiPriority w:val="99"/>
    <w:unhideWhenUsed/>
    <w:rPr>
      <w:vertAlign w:val="superscript"/>
    </w:rPr>
  </w:style>
  <w:style w:type="paragraph" w:styleId="1483">
    <w:name w:val="endnote text"/>
    <w:basedOn w:val="1497"/>
    <w:link w:val="1484"/>
    <w:uiPriority w:val="99"/>
    <w:semiHidden/>
    <w:unhideWhenUsed/>
    <w:pPr>
      <w:spacing w:after="0" w:line="240" w:lineRule="auto"/>
    </w:pPr>
    <w:rPr>
      <w:sz w:val="20"/>
    </w:rPr>
  </w:style>
  <w:style w:type="character" w:styleId="1484">
    <w:name w:val="Endnote Text Char"/>
    <w:link w:val="1483"/>
    <w:uiPriority w:val="99"/>
    <w:rPr>
      <w:sz w:val="20"/>
    </w:rPr>
  </w:style>
  <w:style w:type="character" w:styleId="1485">
    <w:name w:val="endnote reference"/>
    <w:uiPriority w:val="99"/>
    <w:semiHidden/>
    <w:unhideWhenUsed/>
    <w:rPr>
      <w:vertAlign w:val="superscript"/>
    </w:rPr>
  </w:style>
  <w:style w:type="paragraph" w:styleId="1486">
    <w:name w:val="toc 1"/>
    <w:basedOn w:val="1497"/>
    <w:next w:val="1497"/>
    <w:uiPriority w:val="39"/>
    <w:unhideWhenUsed/>
    <w:pPr>
      <w:ind w:left="0" w:right="0" w:firstLine="0"/>
      <w:spacing w:after="57"/>
    </w:pPr>
  </w:style>
  <w:style w:type="paragraph" w:styleId="1487">
    <w:name w:val="toc 2"/>
    <w:basedOn w:val="1497"/>
    <w:next w:val="1497"/>
    <w:uiPriority w:val="39"/>
    <w:unhideWhenUsed/>
    <w:pPr>
      <w:ind w:left="283" w:right="0" w:firstLine="0"/>
      <w:spacing w:after="57"/>
    </w:pPr>
  </w:style>
  <w:style w:type="paragraph" w:styleId="1488">
    <w:name w:val="toc 3"/>
    <w:basedOn w:val="1497"/>
    <w:next w:val="1497"/>
    <w:uiPriority w:val="39"/>
    <w:unhideWhenUsed/>
    <w:pPr>
      <w:ind w:left="567" w:right="0" w:firstLine="0"/>
      <w:spacing w:after="57"/>
    </w:pPr>
  </w:style>
  <w:style w:type="paragraph" w:styleId="1489">
    <w:name w:val="toc 4"/>
    <w:basedOn w:val="1497"/>
    <w:next w:val="1497"/>
    <w:uiPriority w:val="39"/>
    <w:unhideWhenUsed/>
    <w:pPr>
      <w:ind w:left="850" w:right="0" w:firstLine="0"/>
      <w:spacing w:after="57"/>
    </w:pPr>
  </w:style>
  <w:style w:type="paragraph" w:styleId="1490">
    <w:name w:val="toc 5"/>
    <w:basedOn w:val="1497"/>
    <w:next w:val="1497"/>
    <w:uiPriority w:val="39"/>
    <w:unhideWhenUsed/>
    <w:pPr>
      <w:ind w:left="1134" w:right="0" w:firstLine="0"/>
      <w:spacing w:after="57"/>
    </w:pPr>
  </w:style>
  <w:style w:type="paragraph" w:styleId="1491">
    <w:name w:val="toc 6"/>
    <w:basedOn w:val="1497"/>
    <w:next w:val="1497"/>
    <w:uiPriority w:val="39"/>
    <w:unhideWhenUsed/>
    <w:pPr>
      <w:ind w:left="1417" w:right="0" w:firstLine="0"/>
      <w:spacing w:after="57"/>
    </w:pPr>
  </w:style>
  <w:style w:type="paragraph" w:styleId="1492">
    <w:name w:val="toc 7"/>
    <w:basedOn w:val="1497"/>
    <w:next w:val="1497"/>
    <w:uiPriority w:val="39"/>
    <w:unhideWhenUsed/>
    <w:pPr>
      <w:ind w:left="1701" w:right="0" w:firstLine="0"/>
      <w:spacing w:after="57"/>
    </w:pPr>
  </w:style>
  <w:style w:type="paragraph" w:styleId="1493">
    <w:name w:val="toc 8"/>
    <w:basedOn w:val="1497"/>
    <w:next w:val="1497"/>
    <w:uiPriority w:val="39"/>
    <w:unhideWhenUsed/>
    <w:pPr>
      <w:ind w:left="1984" w:right="0" w:firstLine="0"/>
      <w:spacing w:after="57"/>
    </w:pPr>
  </w:style>
  <w:style w:type="paragraph" w:styleId="1494">
    <w:name w:val="toc 9"/>
    <w:basedOn w:val="1497"/>
    <w:next w:val="1497"/>
    <w:uiPriority w:val="39"/>
    <w:unhideWhenUsed/>
    <w:pPr>
      <w:ind w:left="2268" w:right="0" w:firstLine="0"/>
      <w:spacing w:after="57"/>
    </w:pPr>
  </w:style>
  <w:style w:type="paragraph" w:styleId="1495">
    <w:name w:val="TOC Heading"/>
    <w:uiPriority w:val="39"/>
    <w:unhideWhenUsed/>
  </w:style>
  <w:style w:type="paragraph" w:styleId="1496">
    <w:name w:val="table of figures"/>
    <w:basedOn w:val="1497"/>
    <w:next w:val="1497"/>
    <w:uiPriority w:val="99"/>
    <w:unhideWhenUsed/>
    <w:pPr>
      <w:spacing w:after="0" w:afterAutospacing="0"/>
    </w:pPr>
  </w:style>
  <w:style w:type="paragraph" w:styleId="1497" w:default="1">
    <w:name w:val="Normal"/>
    <w:next w:val="1497"/>
    <w:link w:val="1497"/>
    <w:qFormat/>
    <w:pPr>
      <w:jc w:val="both"/>
      <w:widowControl w:val="off"/>
    </w:pPr>
    <w:rPr>
      <w:sz w:val="21"/>
      <w:lang w:val="en-US" w:eastAsia="zh-CN" w:bidi="ar-SA"/>
    </w:rPr>
  </w:style>
  <w:style w:type="paragraph" w:styleId="1498">
    <w:name w:val="标题 1"/>
    <w:basedOn w:val="1497"/>
    <w:next w:val="1497"/>
    <w:link w:val="1505"/>
    <w:qFormat/>
    <w:pPr>
      <w:jc w:val="center"/>
      <w:keepNext/>
      <w:outlineLvl w:val="0"/>
    </w:pPr>
    <w:rPr>
      <w:rFonts w:ascii="楷体_GB2312" w:hAnsi="楷体_GB2312" w:eastAsia="宋体"/>
      <w:b/>
      <w:sz w:val="28"/>
      <w:szCs w:val="32"/>
    </w:rPr>
  </w:style>
  <w:style w:type="paragraph" w:styleId="1499">
    <w:name w:val="标题 2"/>
    <w:basedOn w:val="1497"/>
    <w:next w:val="1497"/>
    <w:link w:val="1506"/>
    <w:qFormat/>
    <w:pPr>
      <w:jc w:val="center"/>
      <w:keepNext/>
      <w:outlineLvl w:val="1"/>
    </w:pPr>
    <w:rPr>
      <w:rFonts w:ascii="楷体_GB2312" w:eastAsia="楷体_GB2312"/>
      <w:b/>
      <w:bCs/>
      <w:sz w:val="18"/>
    </w:rPr>
  </w:style>
  <w:style w:type="paragraph" w:styleId="1500">
    <w:name w:val="标题 3"/>
    <w:basedOn w:val="1497"/>
    <w:next w:val="1497"/>
    <w:link w:val="1507"/>
    <w:qFormat/>
    <w:pPr>
      <w:jc w:val="center"/>
      <w:keepNext/>
      <w:outlineLvl w:val="2"/>
    </w:pPr>
    <w:rPr>
      <w:rFonts w:eastAsia="楷体_GB2312"/>
      <w:b/>
      <w:bCs/>
      <w:sz w:val="15"/>
    </w:rPr>
  </w:style>
  <w:style w:type="paragraph" w:styleId="1501">
    <w:name w:val="标题 4"/>
    <w:basedOn w:val="1497"/>
    <w:next w:val="1497"/>
    <w:link w:val="1508"/>
    <w:qFormat/>
    <w:pPr>
      <w:jc w:val="center"/>
      <w:keepNext/>
      <w:outlineLvl w:val="3"/>
    </w:pPr>
    <w:rPr>
      <w:rFonts w:eastAsia="楷体_GB2312"/>
      <w:b/>
      <w:bCs/>
      <w:sz w:val="13"/>
    </w:rPr>
  </w:style>
  <w:style w:type="paragraph" w:styleId="1502">
    <w:name w:val="标题 5"/>
    <w:basedOn w:val="1497"/>
    <w:next w:val="1497"/>
    <w:link w:val="1509"/>
    <w:qFormat/>
    <w:pPr>
      <w:numPr>
        <w:ilvl w:val="0"/>
        <w:numId w:val="1"/>
      </w:numPr>
      <w:keepNext/>
      <w:tabs>
        <w:tab w:val="left" w:pos="360" w:leader="none"/>
      </w:tabs>
      <w:outlineLvl w:val="4"/>
    </w:pPr>
    <w:rPr>
      <w:rFonts w:ascii="楷体_GB2312" w:eastAsia="楷体_GB2312"/>
      <w:bCs/>
      <w:sz w:val="28"/>
    </w:rPr>
  </w:style>
  <w:style w:type="character" w:styleId="1503">
    <w:name w:val="默认段落字体"/>
    <w:next w:val="1503"/>
    <w:link w:val="1497"/>
    <w:uiPriority w:val="1"/>
    <w:unhideWhenUsed/>
  </w:style>
  <w:style w:type="table" w:styleId="1504">
    <w:name w:val="普通表格"/>
    <w:next w:val="1504"/>
    <w:link w:val="1497"/>
    <w:uiPriority w:val="99"/>
    <w:unhideWhenUsed/>
    <w:qFormat/>
    <w:tblPr/>
  </w:style>
  <w:style w:type="character" w:styleId="1505">
    <w:name w:val="标题 1 字符"/>
    <w:next w:val="1505"/>
    <w:link w:val="1498"/>
    <w:qFormat/>
    <w:rPr>
      <w:rFonts w:ascii="楷体_GB2312" w:hAnsi="楷体_GB2312" w:eastAsia="宋体" w:cs="Times New Roman"/>
      <w:b/>
      <w:sz w:val="28"/>
      <w:szCs w:val="32"/>
    </w:rPr>
  </w:style>
  <w:style w:type="character" w:styleId="1506">
    <w:name w:val="标题 2 字符"/>
    <w:next w:val="1506"/>
    <w:link w:val="1499"/>
    <w:qFormat/>
    <w:rPr>
      <w:rFonts w:ascii="楷体_GB2312" w:hAnsi="Times New Roman" w:eastAsia="楷体_GB2312" w:cs="Times New Roman"/>
      <w:b/>
      <w:bCs/>
      <w:sz w:val="18"/>
      <w:szCs w:val="20"/>
    </w:rPr>
  </w:style>
  <w:style w:type="character" w:styleId="1507">
    <w:name w:val="标题 3 字符"/>
    <w:next w:val="1507"/>
    <w:link w:val="1500"/>
    <w:qFormat/>
    <w:rPr>
      <w:rFonts w:ascii="Times New Roman" w:hAnsi="Times New Roman" w:eastAsia="楷体_GB2312" w:cs="Times New Roman"/>
      <w:b/>
      <w:bCs/>
      <w:sz w:val="15"/>
      <w:szCs w:val="20"/>
    </w:rPr>
  </w:style>
  <w:style w:type="character" w:styleId="1508">
    <w:name w:val="标题 4 字符"/>
    <w:next w:val="1508"/>
    <w:link w:val="1501"/>
    <w:qFormat/>
    <w:rPr>
      <w:rFonts w:ascii="Times New Roman" w:hAnsi="Times New Roman" w:eastAsia="楷体_GB2312" w:cs="Times New Roman"/>
      <w:b/>
      <w:bCs/>
      <w:sz w:val="13"/>
      <w:szCs w:val="20"/>
    </w:rPr>
  </w:style>
  <w:style w:type="character" w:styleId="1509">
    <w:name w:val="标题 5 字符"/>
    <w:next w:val="1509"/>
    <w:link w:val="1502"/>
    <w:qFormat/>
    <w:rPr>
      <w:rFonts w:ascii="楷体_GB2312" w:hAnsi="Times New Roman" w:eastAsia="楷体_GB2312" w:cs="Times New Roman"/>
      <w:bCs/>
      <w:sz w:val="28"/>
      <w:szCs w:val="20"/>
    </w:rPr>
  </w:style>
  <w:style w:type="paragraph" w:styleId="1510">
    <w:name w:val="正文缩进"/>
    <w:basedOn w:val="1497"/>
    <w:next w:val="1510"/>
    <w:link w:val="1511"/>
    <w:unhideWhenUsed/>
    <w:qFormat/>
    <w:pPr>
      <w:ind w:firstLine="420"/>
    </w:pPr>
  </w:style>
  <w:style w:type="character" w:styleId="1511">
    <w:name w:val="正文缩进 字符"/>
    <w:next w:val="1511"/>
    <w:link w:val="1510"/>
    <w:semiHidden/>
    <w:qFormat/>
    <w:rPr>
      <w:rFonts w:ascii="Times New Roman" w:hAnsi="Times New Roman"/>
      <w:sz w:val="21"/>
    </w:rPr>
  </w:style>
  <w:style w:type="paragraph" w:styleId="1512">
    <w:name w:val="文档结构图"/>
    <w:basedOn w:val="1497"/>
    <w:next w:val="1512"/>
    <w:link w:val="1513"/>
    <w:semiHidden/>
    <w:qFormat/>
    <w:pPr>
      <w:shd w:val="clear" w:color="auto" w:fill="000080"/>
    </w:pPr>
    <w:rPr>
      <w:sz w:val="20"/>
    </w:rPr>
  </w:style>
  <w:style w:type="character" w:styleId="1513">
    <w:name w:val="文档结构图 字符"/>
    <w:next w:val="1513"/>
    <w:link w:val="1512"/>
    <w:semiHidden/>
    <w:qFormat/>
    <w:rPr>
      <w:rFonts w:ascii="Times New Roman" w:hAnsi="Times New Roman" w:eastAsia="宋体" w:cs="Times New Roman"/>
      <w:szCs w:val="20"/>
      <w:shd w:val="clear" w:color="auto" w:fill="000080"/>
    </w:rPr>
  </w:style>
  <w:style w:type="paragraph" w:styleId="1514">
    <w:name w:val="批注文字"/>
    <w:basedOn w:val="1497"/>
    <w:next w:val="1514"/>
    <w:link w:val="1515"/>
    <w:uiPriority w:val="99"/>
    <w:semiHidden/>
    <w:qFormat/>
    <w:pPr>
      <w:jc w:val="left"/>
    </w:pPr>
    <w:rPr>
      <w:sz w:val="20"/>
      <w:szCs w:val="24"/>
    </w:rPr>
  </w:style>
  <w:style w:type="character" w:styleId="1515">
    <w:name w:val="批注文字 字符"/>
    <w:next w:val="1515"/>
    <w:link w:val="1514"/>
    <w:uiPriority w:val="99"/>
    <w:semiHidden/>
    <w:qFormat/>
    <w:rPr>
      <w:rFonts w:ascii="Times New Roman" w:hAnsi="Times New Roman" w:eastAsia="宋体" w:cs="Times New Roman"/>
      <w:szCs w:val="24"/>
    </w:rPr>
  </w:style>
  <w:style w:type="paragraph" w:styleId="1516">
    <w:name w:val="正文文本"/>
    <w:basedOn w:val="1497"/>
    <w:next w:val="1497"/>
    <w:link w:val="1517"/>
    <w:uiPriority w:val="99"/>
    <w:qFormat/>
    <w:rPr>
      <w:rFonts w:ascii="华文中宋" w:eastAsia="华文中宋"/>
      <w:bCs/>
      <w:sz w:val="28"/>
    </w:rPr>
  </w:style>
  <w:style w:type="character" w:styleId="1517">
    <w:name w:val="正文文本 字符"/>
    <w:next w:val="1517"/>
    <w:link w:val="1516"/>
    <w:uiPriority w:val="99"/>
    <w:qFormat/>
    <w:rPr>
      <w:rFonts w:ascii="华文中宋" w:hAnsi="Times New Roman" w:eastAsia="华文中宋" w:cs="Times New Roman"/>
      <w:bCs/>
      <w:sz w:val="28"/>
      <w:szCs w:val="20"/>
    </w:rPr>
  </w:style>
  <w:style w:type="paragraph" w:styleId="1518">
    <w:name w:val="正文文本缩进"/>
    <w:basedOn w:val="1497"/>
    <w:next w:val="1520"/>
    <w:link w:val="1519"/>
    <w:qFormat/>
    <w:pPr>
      <w:ind w:firstLine="576"/>
    </w:pPr>
    <w:rPr>
      <w:b/>
      <w:sz w:val="30"/>
    </w:rPr>
  </w:style>
  <w:style w:type="character" w:styleId="1519">
    <w:name w:val="正文文本缩进 字符"/>
    <w:next w:val="1519"/>
    <w:link w:val="1518"/>
    <w:qFormat/>
    <w:rPr>
      <w:rFonts w:ascii="Times New Roman" w:hAnsi="Times New Roman" w:eastAsia="宋体" w:cs="Times New Roman"/>
      <w:b/>
      <w:sz w:val="30"/>
      <w:szCs w:val="20"/>
    </w:rPr>
  </w:style>
  <w:style w:type="paragraph" w:styleId="1520">
    <w:name w:val="寄信人地址"/>
    <w:basedOn w:val="1497"/>
    <w:next w:val="1520"/>
    <w:link w:val="1497"/>
    <w:qFormat/>
    <w:rPr>
      <w:rFonts w:ascii="Arial" w:hAnsi="Arial"/>
    </w:rPr>
  </w:style>
  <w:style w:type="paragraph" w:styleId="1521">
    <w:name w:val="索引 4"/>
    <w:basedOn w:val="1497"/>
    <w:next w:val="1497"/>
    <w:link w:val="1497"/>
    <w:uiPriority w:val="99"/>
    <w:qFormat/>
    <w:pPr>
      <w:ind w:left="600"/>
    </w:pPr>
    <w:rPr>
      <w:szCs w:val="24"/>
    </w:rPr>
  </w:style>
  <w:style w:type="paragraph" w:styleId="1522">
    <w:name w:val="纯文本"/>
    <w:basedOn w:val="1497"/>
    <w:next w:val="1522"/>
    <w:link w:val="1523"/>
    <w:qFormat/>
    <w:rPr>
      <w:rFonts w:ascii="宋体" w:hAnsi="Courier New"/>
    </w:rPr>
  </w:style>
  <w:style w:type="character" w:styleId="1523">
    <w:name w:val="纯文本 字符"/>
    <w:next w:val="1523"/>
    <w:link w:val="1522"/>
    <w:rPr>
      <w:rFonts w:ascii="宋体" w:hAnsi="Courier New"/>
      <w:sz w:val="21"/>
    </w:rPr>
  </w:style>
  <w:style w:type="paragraph" w:styleId="1524">
    <w:name w:val="日期"/>
    <w:basedOn w:val="1497"/>
    <w:next w:val="1497"/>
    <w:link w:val="1525"/>
    <w:qFormat/>
    <w:rPr>
      <w:rFonts w:eastAsia="黑体"/>
      <w:b/>
      <w:sz w:val="36"/>
    </w:rPr>
  </w:style>
  <w:style w:type="character" w:styleId="1525">
    <w:name w:val="日期 字符"/>
    <w:next w:val="1525"/>
    <w:link w:val="1524"/>
    <w:qFormat/>
    <w:rPr>
      <w:rFonts w:ascii="Times New Roman" w:hAnsi="Times New Roman" w:eastAsia="黑体" w:cs="Times New Roman"/>
      <w:b/>
      <w:sz w:val="36"/>
      <w:szCs w:val="20"/>
    </w:rPr>
  </w:style>
  <w:style w:type="paragraph" w:styleId="1526">
    <w:name w:val="正文文本缩进 2"/>
    <w:basedOn w:val="1497"/>
    <w:next w:val="1526"/>
    <w:link w:val="1527"/>
    <w:qFormat/>
    <w:pPr>
      <w:ind w:left="900"/>
    </w:pPr>
    <w:rPr>
      <w:rFonts w:ascii="楷体_GB2312" w:eastAsia="楷体_GB2312"/>
      <w:b/>
      <w:sz w:val="28"/>
    </w:rPr>
  </w:style>
  <w:style w:type="character" w:styleId="1527">
    <w:name w:val="正文文本缩进 2 字符"/>
    <w:next w:val="1527"/>
    <w:link w:val="1526"/>
    <w:qFormat/>
    <w:rPr>
      <w:rFonts w:ascii="楷体_GB2312" w:hAnsi="Times New Roman" w:eastAsia="楷体_GB2312" w:cs="Times New Roman"/>
      <w:b/>
      <w:sz w:val="28"/>
      <w:szCs w:val="20"/>
    </w:rPr>
  </w:style>
  <w:style w:type="paragraph" w:styleId="1528">
    <w:name w:val="批注框文本"/>
    <w:basedOn w:val="1497"/>
    <w:next w:val="1528"/>
    <w:link w:val="1529"/>
    <w:uiPriority w:val="99"/>
    <w:unhideWhenUsed/>
    <w:qFormat/>
    <w:rPr>
      <w:sz w:val="18"/>
      <w:szCs w:val="18"/>
    </w:rPr>
  </w:style>
  <w:style w:type="character" w:styleId="1529">
    <w:name w:val="批注框文本 字符"/>
    <w:next w:val="1529"/>
    <w:link w:val="1528"/>
    <w:uiPriority w:val="99"/>
    <w:semiHidden/>
    <w:qFormat/>
    <w:rPr>
      <w:rFonts w:ascii="Times New Roman" w:hAnsi="Times New Roman" w:eastAsia="宋体" w:cs="Times New Roman"/>
      <w:sz w:val="18"/>
      <w:szCs w:val="18"/>
    </w:rPr>
  </w:style>
  <w:style w:type="paragraph" w:styleId="1530">
    <w:name w:val="页脚"/>
    <w:basedOn w:val="1497"/>
    <w:next w:val="1530"/>
    <w:link w:val="1531"/>
    <w:unhideWhenUsed/>
    <w:qFormat/>
    <w:pPr>
      <w:jc w:val="left"/>
      <w:tabs>
        <w:tab w:val="center" w:pos="4153" w:leader="none"/>
        <w:tab w:val="right" w:pos="8306" w:leader="none"/>
      </w:tabs>
    </w:pPr>
    <w:rPr>
      <w:sz w:val="18"/>
      <w:szCs w:val="18"/>
    </w:rPr>
  </w:style>
  <w:style w:type="character" w:styleId="1531">
    <w:name w:val="页脚 字符"/>
    <w:next w:val="1531"/>
    <w:link w:val="1530"/>
    <w:qFormat/>
    <w:rPr>
      <w:sz w:val="18"/>
      <w:szCs w:val="18"/>
    </w:rPr>
  </w:style>
  <w:style w:type="paragraph" w:styleId="1532">
    <w:name w:val="页眉"/>
    <w:basedOn w:val="1497"/>
    <w:next w:val="1532"/>
    <w:link w:val="1533"/>
    <w:unhideWhenUsed/>
    <w:qFormat/>
    <w:pPr>
      <w:jc w:val="center"/>
      <w:tabs>
        <w:tab w:val="center" w:pos="4153" w:leader="none"/>
        <w:tab w:val="right" w:pos="8306" w:leader="none"/>
      </w:tabs>
      <w:pBdr>
        <w:bottom w:val="single" w:color="000000" w:sz="6" w:space="1"/>
      </w:pBdr>
    </w:pPr>
    <w:rPr>
      <w:sz w:val="18"/>
      <w:szCs w:val="18"/>
    </w:rPr>
  </w:style>
  <w:style w:type="character" w:styleId="1533">
    <w:name w:val="页眉 字符"/>
    <w:next w:val="1533"/>
    <w:link w:val="1532"/>
    <w:qFormat/>
    <w:rPr>
      <w:sz w:val="18"/>
      <w:szCs w:val="18"/>
    </w:rPr>
  </w:style>
  <w:style w:type="paragraph" w:styleId="1534">
    <w:name w:val="目录 1"/>
    <w:basedOn w:val="1497"/>
    <w:next w:val="1497"/>
    <w:link w:val="1497"/>
    <w:uiPriority w:val="39"/>
    <w:unhideWhenUsed/>
  </w:style>
  <w:style w:type="paragraph" w:styleId="1535">
    <w:name w:val="列表"/>
    <w:basedOn w:val="1497"/>
    <w:next w:val="1535"/>
    <w:link w:val="1497"/>
    <w:qFormat/>
    <w:pPr>
      <w:ind w:left="420" w:hanging="420"/>
      <w:spacing w:after="20" w:line="288" w:lineRule="auto"/>
      <w:tabs>
        <w:tab w:val="left" w:pos="420" w:leader="none"/>
      </w:tabs>
    </w:pPr>
    <w:rPr>
      <w:szCs w:val="20"/>
      <w:lang w:val="en-GB"/>
    </w:rPr>
  </w:style>
  <w:style w:type="paragraph" w:styleId="1536">
    <w:name w:val="正文文本缩进 3"/>
    <w:basedOn w:val="1497"/>
    <w:next w:val="1536"/>
    <w:link w:val="1537"/>
    <w:qFormat/>
    <w:pPr>
      <w:ind w:left="359" w:firstLine="359"/>
    </w:pPr>
    <w:rPr>
      <w:sz w:val="20"/>
    </w:rPr>
  </w:style>
  <w:style w:type="character" w:styleId="1537">
    <w:name w:val="正文文本缩进 3 字符"/>
    <w:next w:val="1537"/>
    <w:link w:val="1536"/>
    <w:qFormat/>
    <w:rPr>
      <w:rFonts w:ascii="Times New Roman" w:hAnsi="Times New Roman" w:eastAsia="宋体" w:cs="Times New Roman"/>
      <w:szCs w:val="20"/>
    </w:rPr>
  </w:style>
  <w:style w:type="paragraph" w:styleId="1538">
    <w:name w:val="目录 2"/>
    <w:basedOn w:val="1497"/>
    <w:next w:val="1497"/>
    <w:link w:val="1497"/>
    <w:uiPriority w:val="39"/>
    <w:qFormat/>
    <w:pPr>
      <w:ind w:left="210" w:firstLine="150"/>
      <w:jc w:val="left"/>
      <w:tabs>
        <w:tab w:val="right" w:pos="9170" w:leader="dot"/>
      </w:tabs>
    </w:pPr>
    <w:rPr>
      <w:smallCaps/>
      <w:sz w:val="20"/>
    </w:rPr>
  </w:style>
  <w:style w:type="paragraph" w:styleId="1539">
    <w:name w:val="正文文本 2"/>
    <w:basedOn w:val="1497"/>
    <w:next w:val="1539"/>
    <w:link w:val="1540"/>
    <w:qFormat/>
    <w:pPr>
      <w:spacing w:after="120" w:line="480" w:lineRule="auto"/>
    </w:pPr>
    <w:rPr>
      <w:sz w:val="20"/>
    </w:rPr>
  </w:style>
  <w:style w:type="character" w:styleId="1540">
    <w:name w:val="正文文本 2 字符"/>
    <w:next w:val="1540"/>
    <w:link w:val="1539"/>
    <w:qFormat/>
    <w:rPr>
      <w:rFonts w:ascii="Times New Roman" w:hAnsi="Times New Roman" w:eastAsia="宋体" w:cs="Times New Roman"/>
      <w:szCs w:val="20"/>
    </w:rPr>
  </w:style>
  <w:style w:type="paragraph" w:styleId="1541">
    <w:name w:val="普通(网站)"/>
    <w:basedOn w:val="1497"/>
    <w:next w:val="1541"/>
    <w:link w:val="1497"/>
    <w:uiPriority w:val="99"/>
    <w:qFormat/>
    <w:pPr>
      <w:jc w:val="left"/>
      <w:spacing w:before="100" w:beforeAutospacing="1" w:after="100" w:afterAutospacing="1"/>
      <w:widowControl/>
    </w:pPr>
    <w:rPr>
      <w:rFonts w:ascii="宋体" w:hAnsi="宋体" w:cs="宋体"/>
      <w:sz w:val="24"/>
      <w:szCs w:val="24"/>
    </w:rPr>
  </w:style>
  <w:style w:type="paragraph" w:styleId="1542">
    <w:name w:val="批注主题"/>
    <w:basedOn w:val="1514"/>
    <w:next w:val="1514"/>
    <w:link w:val="1543"/>
    <w:uiPriority w:val="99"/>
    <w:semiHidden/>
    <w:qFormat/>
    <w:rPr>
      <w:b/>
      <w:bCs/>
    </w:rPr>
  </w:style>
  <w:style w:type="character" w:styleId="1543">
    <w:name w:val="批注主题 字符"/>
    <w:next w:val="1543"/>
    <w:link w:val="1542"/>
    <w:uiPriority w:val="99"/>
    <w:semiHidden/>
    <w:qFormat/>
    <w:rPr>
      <w:rFonts w:ascii="Times New Roman" w:hAnsi="Times New Roman" w:eastAsia="宋体" w:cs="Times New Roman"/>
      <w:b/>
      <w:bCs/>
      <w:szCs w:val="24"/>
    </w:rPr>
  </w:style>
  <w:style w:type="paragraph" w:styleId="1544">
    <w:name w:val="正文首行缩进"/>
    <w:basedOn w:val="1516"/>
    <w:next w:val="1544"/>
    <w:link w:val="1545"/>
    <w:pPr>
      <w:ind w:firstLine="420"/>
      <w:spacing w:after="120"/>
    </w:pPr>
    <w:rPr>
      <w:rFonts w:ascii="Times New Roman" w:eastAsia="宋体"/>
      <w:sz w:val="21"/>
      <w:szCs w:val="24"/>
    </w:rPr>
  </w:style>
  <w:style w:type="character" w:styleId="1545">
    <w:name w:val="正文首行缩进 字符"/>
    <w:next w:val="1545"/>
    <w:link w:val="1544"/>
    <w:qFormat/>
    <w:rPr>
      <w:rFonts w:ascii="Times New Roman" w:eastAsia="宋体"/>
      <w:sz w:val="21"/>
      <w:szCs w:val="24"/>
    </w:rPr>
  </w:style>
  <w:style w:type="paragraph" w:styleId="1546">
    <w:name w:val="正文首行缩进 2"/>
    <w:basedOn w:val="1518"/>
    <w:next w:val="1546"/>
    <w:link w:val="1497"/>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47">
    <w:name w:val="网格型"/>
    <w:basedOn w:val="1504"/>
    <w:next w:val="1547"/>
    <w:link w:val="1497"/>
    <w:qFormat/>
    <w:pPr>
      <w:jc w:val="both"/>
      <w:widowControl w:val="off"/>
    </w:pPr>
    <w:tblPr/>
  </w:style>
  <w:style w:type="character" w:styleId="1548">
    <w:name w:val="要点"/>
    <w:next w:val="1548"/>
    <w:link w:val="1497"/>
    <w:uiPriority w:val="99"/>
    <w:qFormat/>
    <w:rPr>
      <w:rFonts w:cs="Times New Roman"/>
      <w:b/>
      <w:bCs/>
    </w:rPr>
  </w:style>
  <w:style w:type="character" w:styleId="1549">
    <w:name w:val="页码"/>
    <w:next w:val="1549"/>
    <w:link w:val="1497"/>
    <w:rPr>
      <w:rFonts w:cs="Times New Roman"/>
    </w:rPr>
  </w:style>
  <w:style w:type="character" w:styleId="1550">
    <w:name w:val="已访问的超链接"/>
    <w:next w:val="1550"/>
    <w:link w:val="1497"/>
    <w:uiPriority w:val="99"/>
    <w:qFormat/>
    <w:rPr>
      <w:rFonts w:cs="Times New Roman"/>
      <w:color w:val="000000"/>
      <w:u w:val="none"/>
    </w:rPr>
  </w:style>
  <w:style w:type="character" w:styleId="1551">
    <w:name w:val="HTML 打字机"/>
    <w:next w:val="1551"/>
    <w:link w:val="1497"/>
    <w:uiPriority w:val="99"/>
    <w:qFormat/>
    <w:rPr>
      <w:rFonts w:ascii="宋体" w:hAnsi="宋体" w:eastAsia="宋体" w:cs="宋体"/>
      <w:sz w:val="24"/>
      <w:szCs w:val="24"/>
    </w:rPr>
  </w:style>
  <w:style w:type="character" w:styleId="1552">
    <w:name w:val="超链接"/>
    <w:next w:val="1552"/>
    <w:link w:val="1497"/>
    <w:qFormat/>
    <w:rPr>
      <w:color w:val="000000"/>
      <w:u w:val="none"/>
    </w:rPr>
  </w:style>
  <w:style w:type="paragraph" w:styleId="1553">
    <w:name w:val="标题 411"/>
    <w:basedOn w:val="1497"/>
    <w:next w:val="1497"/>
    <w:link w:val="1497"/>
    <w:qFormat/>
    <w:pPr>
      <w:jc w:val="center"/>
      <w:keepNext/>
      <w:outlineLvl w:val="3"/>
    </w:pPr>
    <w:rPr>
      <w:rFonts w:eastAsia="楷体_GB2312"/>
      <w:b/>
      <w:bCs/>
      <w:sz w:val="13"/>
    </w:rPr>
  </w:style>
  <w:style w:type="paragraph" w:styleId="1554">
    <w:name w:val="TOC Heading1"/>
    <w:next w:val="1497"/>
    <w:link w:val="1497"/>
    <w:qFormat/>
    <w:rPr>
      <w:sz w:val="32"/>
      <w:lang w:val="en-US" w:eastAsia="zh-CN" w:bidi="ar-SA"/>
    </w:rPr>
  </w:style>
  <w:style w:type="character" w:styleId="1555">
    <w:name w:val="font31"/>
    <w:next w:val="1555"/>
    <w:link w:val="1497"/>
    <w:qFormat/>
    <w:rPr>
      <w:rFonts w:hint="eastAsia" w:ascii="仿宋" w:hAnsi="仿宋" w:eastAsia="仿宋" w:cs="仿宋"/>
      <w:color w:val="000000"/>
      <w:sz w:val="24"/>
      <w:szCs w:val="24"/>
      <w:u w:val="none"/>
    </w:rPr>
  </w:style>
  <w:style w:type="character" w:styleId="1556">
    <w:name w:val="font11"/>
    <w:next w:val="1556"/>
    <w:link w:val="1497"/>
    <w:rPr>
      <w:rFonts w:hint="eastAsia" w:ascii="宋体" w:hAnsi="宋体" w:eastAsia="宋体" w:cs="宋体"/>
      <w:color w:val="000000"/>
      <w:sz w:val="20"/>
      <w:szCs w:val="20"/>
      <w:u w:val="none"/>
    </w:rPr>
  </w:style>
  <w:style w:type="character" w:styleId="1557">
    <w:name w:val="正文文本缩进 2 Char1"/>
    <w:next w:val="1557"/>
    <w:link w:val="1497"/>
    <w:semiHidden/>
    <w:qFormat/>
    <w:rPr>
      <w:rFonts w:ascii="Times New Roman" w:hAnsi="Times New Roman" w:eastAsia="宋体" w:cs="Times New Roman"/>
      <w:szCs w:val="20"/>
    </w:rPr>
  </w:style>
  <w:style w:type="character" w:styleId="1558">
    <w:name w:val="批注框文本 Char1"/>
    <w:next w:val="1558"/>
    <w:link w:val="1497"/>
    <w:uiPriority w:val="99"/>
    <w:semiHidden/>
    <w:rPr>
      <w:rFonts w:ascii="Times New Roman" w:hAnsi="Times New Roman" w:eastAsia="宋体" w:cs="Times New Roman"/>
      <w:sz w:val="18"/>
      <w:szCs w:val="18"/>
    </w:rPr>
  </w:style>
  <w:style w:type="character" w:styleId="1559">
    <w:name w:val="NormalCharacter1"/>
    <w:next w:val="1559"/>
    <w:link w:val="1560"/>
    <w:uiPriority w:val="99"/>
    <w:qFormat/>
    <w:rPr>
      <w:sz w:val="20"/>
    </w:rPr>
  </w:style>
  <w:style w:type="paragraph" w:styleId="1560">
    <w:name w:val="UserStyle_4"/>
    <w:basedOn w:val="1497"/>
    <w:next w:val="1560"/>
    <w:link w:val="1559"/>
    <w:uiPriority w:val="99"/>
    <w:qFormat/>
    <w:pPr>
      <w:widowControl/>
    </w:pPr>
    <w:rPr>
      <w:sz w:val="20"/>
    </w:rPr>
  </w:style>
  <w:style w:type="character" w:styleId="1561">
    <w:name w:val="正文文本缩进 Char1"/>
    <w:next w:val="1561"/>
    <w:link w:val="1497"/>
    <w:semiHidden/>
    <w:qFormat/>
    <w:rPr>
      <w:rFonts w:ascii="Times New Roman" w:hAnsi="Times New Roman" w:eastAsia="宋体" w:cs="Times New Roman"/>
      <w:szCs w:val="20"/>
    </w:rPr>
  </w:style>
  <w:style w:type="character" w:styleId="1562">
    <w:name w:val="case31"/>
    <w:next w:val="1562"/>
    <w:link w:val="1497"/>
    <w:qFormat/>
    <w:rPr>
      <w:spacing w:val="390"/>
      <w:sz w:val="21"/>
      <w:szCs w:val="21"/>
    </w:rPr>
  </w:style>
  <w:style w:type="character" w:styleId="1563">
    <w:name w:val="正文首行缩进两字 Char"/>
    <w:next w:val="1563"/>
    <w:link w:val="1564"/>
    <w:qFormat/>
    <w:rPr>
      <w:sz w:val="24"/>
      <w:szCs w:val="24"/>
      <w:lang w:val="en-US" w:eastAsia="zh-CN" w:bidi="ar-SA"/>
    </w:rPr>
  </w:style>
  <w:style w:type="paragraph" w:styleId="1564">
    <w:name w:val="正文首行缩进两字"/>
    <w:next w:val="1564"/>
    <w:link w:val="1563"/>
    <w:qFormat/>
    <w:pPr>
      <w:ind w:left="240" w:right="240" w:firstLine="480"/>
      <w:spacing w:line="300" w:lineRule="auto"/>
    </w:pPr>
    <w:rPr>
      <w:sz w:val="24"/>
      <w:szCs w:val="24"/>
      <w:lang w:val="en-US" w:eastAsia="zh-CN" w:bidi="ar-SA"/>
    </w:rPr>
  </w:style>
  <w:style w:type="character" w:styleId="1565">
    <w:name w:val="正文文本缩进 3 Char1"/>
    <w:next w:val="1565"/>
    <w:link w:val="1497"/>
    <w:semiHidden/>
    <w:qFormat/>
    <w:rPr>
      <w:rFonts w:ascii="Times New Roman" w:hAnsi="Times New Roman" w:eastAsia="宋体" w:cs="Times New Roman"/>
      <w:sz w:val="16"/>
      <w:szCs w:val="16"/>
    </w:rPr>
  </w:style>
  <w:style w:type="character" w:styleId="1566">
    <w:name w:val="日期 Char1"/>
    <w:next w:val="1566"/>
    <w:link w:val="1497"/>
    <w:semiHidden/>
    <w:qFormat/>
    <w:rPr>
      <w:rFonts w:ascii="Times New Roman" w:hAnsi="Times New Roman" w:eastAsia="宋体" w:cs="Times New Roman"/>
      <w:szCs w:val="20"/>
    </w:rPr>
  </w:style>
  <w:style w:type="character" w:styleId="1567">
    <w:name w:val="文档结构图 Char1"/>
    <w:next w:val="1567"/>
    <w:link w:val="1497"/>
    <w:semiHidden/>
    <w:qFormat/>
    <w:rPr>
      <w:rFonts w:ascii="宋体" w:hAnsi="Times New Roman" w:eastAsia="宋体" w:cs="Times New Roman"/>
      <w:sz w:val="18"/>
      <w:szCs w:val="18"/>
    </w:rPr>
  </w:style>
  <w:style w:type="character" w:styleId="1568">
    <w:name w:val="正文文本 2 Char1"/>
    <w:next w:val="1568"/>
    <w:link w:val="1497"/>
    <w:semiHidden/>
    <w:qFormat/>
    <w:rPr>
      <w:rFonts w:ascii="Times New Roman" w:hAnsi="Times New Roman" w:eastAsia="宋体" w:cs="Times New Roman"/>
      <w:szCs w:val="20"/>
    </w:rPr>
  </w:style>
  <w:style w:type="character" w:styleId="1569">
    <w:name w:val="font21"/>
    <w:next w:val="1569"/>
    <w:link w:val="1497"/>
    <w:qFormat/>
    <w:rPr>
      <w:rFonts w:hint="eastAsia" w:ascii="仿宋" w:hAnsi="仿宋" w:eastAsia="仿宋" w:cs="仿宋"/>
      <w:color w:val="000000"/>
      <w:sz w:val="24"/>
      <w:szCs w:val="24"/>
      <w:u w:val="none"/>
    </w:rPr>
  </w:style>
  <w:style w:type="paragraph" w:styleId="1570">
    <w:name w:val="列出段落"/>
    <w:basedOn w:val="1497"/>
    <w:next w:val="1570"/>
    <w:link w:val="1497"/>
    <w:uiPriority w:val="34"/>
    <w:qFormat/>
    <w:pPr>
      <w:ind w:firstLine="420"/>
    </w:pPr>
  </w:style>
  <w:style w:type="paragraph" w:styleId="1571">
    <w:name w:val="一级条标题"/>
    <w:next w:val="1497"/>
    <w:link w:val="1497"/>
    <w:qFormat/>
    <w:pPr>
      <w:ind w:left="552" w:hanging="420"/>
      <w:tabs>
        <w:tab w:val="left" w:pos="552" w:leader="none"/>
      </w:tabs>
      <w:outlineLvl w:val="2"/>
    </w:pPr>
    <w:rPr>
      <w:rFonts w:ascii="黑体" w:eastAsia="黑体"/>
      <w:sz w:val="21"/>
      <w:szCs w:val="21"/>
      <w:lang w:val="en-US" w:eastAsia="zh-CN" w:bidi="ar-SA"/>
    </w:rPr>
  </w:style>
  <w:style w:type="paragraph" w:styleId="1572">
    <w:name w:val="_Style 1"/>
    <w:basedOn w:val="1497"/>
    <w:next w:val="1572"/>
    <w:link w:val="1497"/>
    <w:uiPriority w:val="99"/>
    <w:qFormat/>
    <w:pPr>
      <w:ind w:firstLine="420"/>
    </w:pPr>
    <w:rPr>
      <w:rFonts w:ascii="Calibri" w:hAnsi="Calibri" w:eastAsia="宋体" w:cs="Calibri"/>
      <w:sz w:val="34"/>
      <w:szCs w:val="34"/>
    </w:rPr>
  </w:style>
  <w:style w:type="paragraph" w:styleId="1573">
    <w:name w:val="首行缩进"/>
    <w:basedOn w:val="1497"/>
    <w:next w:val="1573"/>
    <w:link w:val="1497"/>
    <w:qFormat/>
    <w:pPr>
      <w:ind w:firstLine="480"/>
    </w:pPr>
    <w:rPr>
      <w:szCs w:val="20"/>
      <w:lang w:val="zh-CN"/>
    </w:rPr>
  </w:style>
  <w:style w:type="paragraph" w:styleId="1574">
    <w:name w:val="List Paragraph1"/>
    <w:basedOn w:val="1497"/>
    <w:next w:val="1574"/>
    <w:link w:val="1497"/>
    <w:qFormat/>
    <w:pPr>
      <w:ind w:firstLine="420"/>
    </w:pPr>
    <w:rPr>
      <w:szCs w:val="21"/>
    </w:rPr>
  </w:style>
  <w:style w:type="paragraph" w:styleId="1575">
    <w:name w:val="普通文字"/>
    <w:basedOn w:val="1497"/>
    <w:next w:val="1497"/>
    <w:link w:val="1497"/>
    <w:rPr>
      <w:rFonts w:ascii="宋体"/>
      <w:sz w:val="24"/>
    </w:rPr>
  </w:style>
  <w:style w:type="paragraph" w:styleId="1576">
    <w:name w:val="二级无"/>
    <w:basedOn w:val="1497"/>
    <w:next w:val="1576"/>
    <w:link w:val="1497"/>
    <w:qFormat/>
    <w:pPr>
      <w:ind w:left="552" w:hanging="420"/>
      <w:jc w:val="left"/>
      <w:widowControl/>
      <w:tabs>
        <w:tab w:val="left" w:pos="552" w:leader="none"/>
      </w:tabs>
      <w:outlineLvl w:val="3"/>
    </w:pPr>
    <w:rPr>
      <w:rFonts w:ascii="宋体"/>
      <w:szCs w:val="21"/>
    </w:rPr>
  </w:style>
  <w:style w:type="paragraph" w:styleId="1577">
    <w:name w:val="正文文本1"/>
    <w:basedOn w:val="1497"/>
    <w:next w:val="1497"/>
    <w:link w:val="1497"/>
    <w:qFormat/>
    <w:rPr>
      <w:rFonts w:ascii="仿宋_GB2312" w:hAnsi="Times New Roman" w:eastAsia="仿宋_GB2312"/>
      <w:sz w:val="28"/>
      <w:szCs w:val="20"/>
    </w:rPr>
  </w:style>
  <w:style w:type="paragraph" w:styleId="1578">
    <w:name w:val="p0 paragraphindent"/>
    <w:basedOn w:val="1497"/>
    <w:next w:val="1578"/>
    <w:link w:val="1497"/>
    <w:qFormat/>
    <w:pPr>
      <w:jc w:val="left"/>
      <w:spacing w:before="100" w:beforeAutospacing="1" w:after="100" w:afterAutospacing="1"/>
      <w:widowControl/>
    </w:pPr>
    <w:rPr>
      <w:rFonts w:ascii="宋体" w:hAnsi="宋体" w:cs="宋体"/>
      <w:sz w:val="24"/>
      <w:szCs w:val="24"/>
    </w:rPr>
  </w:style>
  <w:style w:type="paragraph" w:styleId="1579">
    <w:name w:val="List Paragraph"/>
    <w:basedOn w:val="1497"/>
    <w:next w:val="1579"/>
    <w:link w:val="1497"/>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580">
    <w:name w:val="字母编号列项（一级）"/>
    <w:next w:val="1580"/>
    <w:link w:val="1497"/>
    <w:qFormat/>
    <w:pPr>
      <w:ind w:left="552" w:hanging="420"/>
      <w:jc w:val="both"/>
      <w:tabs>
        <w:tab w:val="left" w:pos="552" w:leader="none"/>
        <w:tab w:val="left" w:pos="840" w:leader="none"/>
      </w:tabs>
    </w:pPr>
    <w:rPr>
      <w:rFonts w:ascii="宋体"/>
      <w:sz w:val="21"/>
      <w:lang w:val="en-US" w:eastAsia="zh-CN" w:bidi="ar-SA"/>
    </w:rPr>
  </w:style>
  <w:style w:type="paragraph" w:styleId="1581">
    <w:name w:val="标题 41"/>
    <w:basedOn w:val="1497"/>
    <w:next w:val="1497"/>
    <w:link w:val="1497"/>
    <w:qFormat/>
    <w:pPr>
      <w:jc w:val="center"/>
      <w:keepNext/>
      <w:outlineLvl w:val="3"/>
    </w:pPr>
    <w:rPr>
      <w:rFonts w:eastAsia="楷体_GB2312"/>
      <w:b/>
      <w:bCs/>
      <w:sz w:val="13"/>
    </w:rPr>
  </w:style>
  <w:style w:type="paragraph" w:styleId="1582">
    <w:name w:val="样式 小四 段前: 5 磅 段后: 5 磅 首行缩进:  2 字符"/>
    <w:basedOn w:val="1497"/>
    <w:next w:val="1582"/>
    <w:link w:val="1497"/>
    <w:qFormat/>
    <w:pPr>
      <w:jc w:val="center"/>
      <w:spacing w:line="360" w:lineRule="auto"/>
    </w:pPr>
    <w:rPr>
      <w:rFonts w:ascii="宋体" w:hAnsi="宋体"/>
      <w:bCs/>
      <w:color w:val="ff0000"/>
      <w:sz w:val="24"/>
      <w:szCs w:val="24"/>
    </w:rPr>
  </w:style>
  <w:style w:type="paragraph" w:styleId="1583">
    <w:name w:val="列表段落1"/>
    <w:basedOn w:val="1497"/>
    <w:next w:val="1583"/>
    <w:link w:val="1497"/>
    <w:qFormat/>
    <w:pPr>
      <w:ind w:firstLine="420"/>
    </w:pPr>
    <w:rPr>
      <w:szCs w:val="21"/>
    </w:rPr>
  </w:style>
  <w:style w:type="paragraph" w:styleId="1584">
    <w:name w:val="Char"/>
    <w:basedOn w:val="1497"/>
    <w:next w:val="1584"/>
    <w:link w:val="1497"/>
    <w:unhideWhenUsed/>
    <w:qFormat/>
    <w:pPr>
      <w:numPr>
        <w:ilvl w:val="0"/>
        <w:numId w:val="2"/>
      </w:numPr>
      <w:ind w:left="552" w:hanging="420"/>
      <w:tabs>
        <w:tab w:val="left" w:pos="1080" w:leader="none"/>
      </w:tabs>
    </w:pPr>
    <w:rPr>
      <w:sz w:val="24"/>
      <w:szCs w:val="20"/>
    </w:rPr>
  </w:style>
  <w:style w:type="character" w:styleId="1585" w:default="1">
    <w:name w:val="Default Paragraph Font"/>
    <w:uiPriority w:val="1"/>
    <w:semiHidden/>
    <w:unhideWhenUsed/>
  </w:style>
  <w:style w:type="numbering" w:styleId="1586" w:default="1">
    <w:name w:val="No List"/>
    <w:uiPriority w:val="99"/>
    <w:semiHidden/>
    <w:unhideWhenUsed/>
  </w:style>
  <w:style w:type="table" w:styleId="15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刘燕</cp:lastModifiedBy>
  <cp:revision>5</cp:revision>
  <dcterms:created xsi:type="dcterms:W3CDTF">2023-03-28T06:55:00Z</dcterms:created>
  <dcterms:modified xsi:type="dcterms:W3CDTF">2024-07-23T08:12:18Z</dcterms:modified>
</cp:coreProperties>
</file>