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72"/>
        </w:rPr>
        <w:t xml:space="preserve">江 阴 市 政 府 采 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公　开　招　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9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728027"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0.8pt;height:0.8pt;mso-wrap-distance-left:0.0pt;mso-wrap-distance-top:0.0pt;mso-wrap-distance-right:0.0pt;mso-wrap-distance-bottom:0.0pt;" stroked="false">
                <v:path textboxrect="0,0,0,0"/>
              </v:shape>
            </w:pict>
          </mc:Fallback>
        </mc:AlternateContent>
      </w:r>
      <w:r>
        <w:rPr>
          <w:rFonts w:ascii="SimSun" w:hAnsi="SimSun" w:eastAsia="SimSun" w:cs="SimSun"/>
          <w:b/>
          <w:color w:val="000000"/>
          <w:sz w:val="72"/>
        </w:rPr>
        <w:t xml:space="preserve">招　标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0"/>
        </w:rPr>
        <w:t xml:space="preserve"> </w:t>
      </w:r>
      <w:r/>
    </w:p>
    <w:p>
      <w:pPr>
        <w:ind w:left="3528" w:right="0" w:hanging="2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采购项目名称：</w:t>
      </w:r>
      <w:r>
        <w:rPr>
          <w:rFonts w:ascii="SimSun" w:hAnsi="SimSun" w:eastAsia="SimSun" w:cs="SimSun"/>
          <w:color w:val="000000"/>
          <w:sz w:val="32"/>
        </w:rPr>
        <w:t xml:space="preserve">江阴市政策性农业保险承保机构遴选项目</w:t>
      </w:r>
      <w:r/>
    </w:p>
    <w:p>
      <w:pPr>
        <w:ind w:left="3032" w:right="0" w:hanging="20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采购项</w:t>
      </w:r>
      <w:r>
        <w:rPr>
          <w:rFonts w:ascii="SimSun" w:hAnsi="SimSun" w:eastAsia="SimSun" w:cs="SimSun"/>
          <w:b/>
          <w:color w:val="000000"/>
          <w:sz w:val="32"/>
        </w:rPr>
        <w:t xml:space="preserve">目编号</w:t>
      </w:r>
      <w:r>
        <w:rPr>
          <w:rFonts w:ascii="SimSun" w:hAnsi="SimSun" w:eastAsia="SimSun" w:cs="SimSun"/>
          <w:color w:val="000000"/>
          <w:sz w:val="32"/>
        </w:rPr>
        <w:t xml:space="preserve">：JSZC-320281-RHXX-G2024-0002</w:t>
      </w:r>
      <w:r/>
    </w:p>
    <w:p>
      <w:pPr>
        <w:ind w:left="3032" w:right="0" w:hanging="20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   购   人：</w:t>
      </w:r>
      <w:r>
        <w:rPr>
          <w:rFonts w:ascii="SimSun" w:hAnsi="SimSun" w:eastAsia="SimSun" w:cs="SimSun"/>
          <w:color w:val="000000"/>
          <w:sz w:val="32"/>
        </w:rPr>
        <w:t xml:space="preserve">江阴市财政局</w:t>
      </w:r>
      <w:r/>
    </w:p>
    <w:p>
      <w:pPr>
        <w:pStyle w:val="672"/>
        <w:ind w:left="0" w:right="0" w:firstLine="9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采</w:t>
      </w:r>
      <w:r>
        <w:rPr>
          <w:rFonts w:ascii="SimSun" w:hAnsi="SimSun" w:eastAsia="SimSun" w:cs="SimSun"/>
          <w:b/>
          <w:color w:val="000000"/>
          <w:sz w:val="32"/>
        </w:rPr>
        <w:t xml:space="preserve">购代理机构: </w:t>
      </w:r>
      <w:r>
        <w:rPr>
          <w:rFonts w:ascii="SimSun" w:hAnsi="SimSun" w:eastAsia="SimSun" w:cs="SimSun"/>
          <w:color w:val="000000"/>
          <w:sz w:val="32"/>
        </w:rPr>
        <w:t xml:space="preserve">江苏容海信息咨询管理有限公司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二○二四年十月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目　录</w:t>
      </w:r>
      <w:r/>
    </w:p>
    <w:p>
      <w:pPr>
        <w:ind w:left="0" w:right="0" w:firstLine="0"/>
        <w:jc w:val="both"/>
        <w:spacing w:before="0" w:after="0" w:line="17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第一章　　</w:t>
      </w:r>
      <w:r>
        <w:rPr>
          <w:rFonts w:ascii="SimSun" w:hAnsi="SimSun" w:eastAsia="SimSun" w:cs="SimSun"/>
          <w:color w:val="000000"/>
          <w:sz w:val="28"/>
        </w:rPr>
        <w:t xml:space="preserve">投标邀请函———————————————————第2页</w:t>
      </w:r>
      <w:r/>
    </w:p>
    <w:p>
      <w:pPr>
        <w:ind w:left="0" w:right="0" w:firstLine="0"/>
        <w:jc w:val="both"/>
        <w:spacing w:before="0" w:after="0" w:line="17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第二章    </w:t>
      </w:r>
      <w:r>
        <w:rPr>
          <w:rFonts w:ascii="SimSun" w:hAnsi="SimSun" w:eastAsia="SimSun" w:cs="SimSun"/>
          <w:color w:val="000000"/>
          <w:sz w:val="28"/>
        </w:rPr>
        <w:t xml:space="preserve">投标人须知前附表————————————————第5页</w:t>
      </w:r>
      <w:r/>
    </w:p>
    <w:p>
      <w:pPr>
        <w:ind w:left="0" w:right="0" w:firstLine="0"/>
        <w:jc w:val="both"/>
        <w:spacing w:before="0" w:after="0" w:line="17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第三章　　</w:t>
      </w:r>
      <w:r>
        <w:rPr>
          <w:rFonts w:ascii="SimSun" w:hAnsi="SimSun" w:eastAsia="SimSun" w:cs="SimSun"/>
          <w:color w:val="000000"/>
          <w:sz w:val="28"/>
        </w:rPr>
        <w:t xml:space="preserve">投标人须知———————————————————第6页</w:t>
      </w:r>
      <w:r/>
    </w:p>
    <w:p>
      <w:pPr>
        <w:ind w:left="0" w:right="0" w:firstLine="0"/>
        <w:jc w:val="both"/>
        <w:spacing w:before="0" w:after="0" w:line="17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第四章</w:t>
      </w:r>
      <w:r>
        <w:rPr>
          <w:rFonts w:ascii="SimSun" w:hAnsi="SimSun" w:eastAsia="SimSun" w:cs="SimSun"/>
          <w:color w:val="000000"/>
          <w:sz w:val="28"/>
        </w:rPr>
        <w:t xml:space="preserve">项目要求和有关说明———————————————第19页</w:t>
      </w:r>
      <w:r/>
    </w:p>
    <w:p>
      <w:pPr>
        <w:ind w:left="0" w:right="0" w:firstLine="0"/>
        <w:jc w:val="both"/>
        <w:spacing w:before="0" w:after="0" w:line="17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第五章</w:t>
      </w:r>
      <w:r>
        <w:rPr>
          <w:rFonts w:ascii="SimSun" w:hAnsi="SimSun" w:eastAsia="SimSun" w:cs="SimSun"/>
          <w:color w:val="000000"/>
          <w:sz w:val="28"/>
        </w:rPr>
        <w:t xml:space="preserve">评标方法和评标标准———————————————第25页</w:t>
      </w:r>
      <w:r/>
    </w:p>
    <w:p>
      <w:pPr>
        <w:ind w:left="0" w:right="0" w:firstLine="0"/>
        <w:jc w:val="both"/>
        <w:spacing w:before="0" w:after="0" w:line="17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第六章</w:t>
      </w:r>
      <w:r>
        <w:rPr>
          <w:rFonts w:ascii="SimSun" w:hAnsi="SimSun" w:eastAsia="SimSun" w:cs="SimSun"/>
          <w:color w:val="000000"/>
          <w:sz w:val="28"/>
        </w:rPr>
        <w:t xml:space="preserve">合同书（格式）—————————————————第27页</w:t>
      </w:r>
      <w:r/>
    </w:p>
    <w:p>
      <w:pPr>
        <w:ind w:left="0" w:right="0" w:firstLine="0"/>
        <w:jc w:val="both"/>
        <w:spacing w:before="0" w:after="0" w:line="17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第七章</w:t>
      </w:r>
      <w:r>
        <w:rPr>
          <w:rFonts w:ascii="SimSun" w:hAnsi="SimSun" w:eastAsia="SimSun" w:cs="SimSun"/>
          <w:color w:val="000000"/>
          <w:sz w:val="28"/>
        </w:rPr>
        <w:t xml:space="preserve">投标文件的组成和格式——————————————第34页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0"/>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100" w:right="0" w:hanging="200"/>
        <w:spacing w:before="210" w:after="21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spacing w:before="210" w:after="21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第一章 投标邀请函</w:t>
      </w:r>
      <w:r/>
    </w:p>
    <w:p>
      <w:pPr>
        <w:ind w:left="0" w:right="0" w:firstLine="0"/>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江阴市政策性农业保险承保机构遴选项目JSZC-320281-RHXX-G2024-0002，招标项目的潜在投标人应在“江苏政府采购网”获取招标文件，并于2024-11-20 13:30（北京时间）前递交投标文件。</w:t>
      </w:r>
      <w:r/>
    </w:p>
    <w:p>
      <w:pPr>
        <w:ind w:left="0" w:right="0" w:firstLine="0"/>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1、项目编号：JSZC-320281-RHXX-G2024-0002</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2、项目名称：江阴市政策性农业保险承保机构遴选项目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3、预算金额：3500万元/年（具体金额以实际发生额为准）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 购 人：江阴市财政局</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5、采购方式:公开招标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6、合同履行期限：三年，到2027年12月31日止，合同一年一签。</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（一）满足《中华人民共和国政府采购法》第二十二条规定；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1、提供格式条款《关于资格的声明函》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2、法定代表人授权委托书（法定代表人签署投标/响应文件且亲自参与的必须提供《法定代表人亲自投标/磋商/谈判/询价声明》）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3、未被“信用中国”网站、“中国政府采购网”列入失信被执行人、重大税收违法失信主体、政府采购严重违法失信行为信息记录名单（无需提供证明材料）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1、详见招标文件；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1、投标人省级公司具有保险监管部门批准的财产保险及农业保险业务经营资质，且在遴选期内能独立承保各级财政补贴的政策性农业保险业务；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江苏省财政厅江苏省农业农村厅关于做好政策性农业保险承保机构遴选工作的通知》（苏财金〔2021〕42号）印发后开业的承保机构，承保机构总公司开业时间需在5年以上（含），存在重组、更名或新设主体依法受让相关业务的，可以原主体开业时间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3、单位负责人为同一人或者存在直接控股、管理关系的不同供应商，不得参加同一合同项下的政府采购活动。否则，相关投标均无效。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4、本项目不接受联合体投标。</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时间：</w:t>
      </w:r>
      <w:r>
        <w:rPr>
          <w:rFonts w:ascii="SimSun" w:hAnsi="SimSun" w:eastAsia="SimSun" w:cs="SimSun"/>
          <w:color w:val="000000"/>
          <w:sz w:val="24"/>
        </w:rPr>
        <w:t xml:space="preserve">2024年10月28日至2024年11月20日，每天上午00:00-12:00,下午12:00-23:59 （北京时间，法定节假日除外）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方式：自行免费下载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202</w:t>
      </w:r>
      <w:r>
        <w:rPr>
          <w:rFonts w:ascii="SimSun" w:hAnsi="SimSun" w:eastAsia="SimSun" w:cs="SimSun"/>
          <w:color w:val="000000"/>
          <w:sz w:val="24"/>
        </w:rPr>
        <w:t xml:space="preserve">4年11月20日 13:30（北京时间）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地点：苏采云平台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rPr>
          <w:rFonts w:ascii="SimSun" w:hAnsi="SimSun" w:eastAsia="SimSun" w:cs="SimSun"/>
          <w:color w:val="000000"/>
          <w:sz w:val="24"/>
          <w:highlight w:val="white"/>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六、其他补充事宜</w:t>
      </w:r>
      <w:r>
        <w:rPr>
          <w:rFonts w:ascii="SimSun" w:hAnsi="SimSun" w:eastAsia="SimSun" w:cs="SimSun"/>
          <w:b/>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（一）供应商注册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1.请有意参加本项目采购活动的供应商按以下流程进行操作：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（1）访问“江苏省政府采购（苏采云）平台”（以下简称“苏采云”）进行账号注册，注册完成后需在系统中填写资质信息并提交审核。也可以直接通过http://jszfcg.jsczt.cn/进入注册界面。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（2）办理“意源”CA数字证书和“方正”电子签章（办理地址：无锡市滨湖区观山路199号12号楼二楼9号、10号窗口 咨询电话：0510-81827781），办理指南链接：http://jsxcmm.com/help/help.html。</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2.完成苏采云注册的供应商方可在苏采云中进行CA绑定。登录“江苏省政府采购（苏采云）平台”，插入CA后，点击【账号设置】——【绑定CA】。</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3.供应商应按上述要求提供相关材料及注册登记信息，所提供的材料应均是真实的、准确的，若有违背，供应商自行承担由此而产生的一切后果。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技术服务电话：16651529117（服务时间：工作日 9:00-11:30,13:00-17:00）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（二）获取采购文件，完成项目参与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2.供应商通过苏采云平台提交数据电文形式的响应文件，通过苏采云平台进入“开标大厅”开启（解密）响应文件。推荐使用谷歌浏览器，参与苏采云平台不见面开标。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（三）本项目按区域共分三个标段。为保证所涉及的乡镇、街道农保工作推进的同步性，参加本项目投标的供应商必须同时参加三个标段的投标，不得只选择其中一个标段。</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七、对本次招标提出询问，请按以下方式联系</w:t>
      </w:r>
      <w:r>
        <w:rPr>
          <w:rFonts w:ascii="SimSun" w:hAnsi="SimSun" w:eastAsia="SimSun" w:cs="SimSun"/>
          <w:b/>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名称：江阴市财政局</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地址：江阴市澄江中路9号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项目联系人：杨女士</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联系电话：0510-86861151</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名称：江苏容海信息咨询管理有限公司</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地址：江阴市长江路777号东方广场19号楼801-809</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项目联系人：谭先生</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联系电话：0510-86190310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项目联系人：谭先生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联系电话：0510-86190310</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2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江苏容海信息咨询管理有限公司</w:t>
      </w:r>
      <w:r/>
    </w:p>
    <w:p>
      <w:pPr>
        <w:ind w:left="0" w:right="12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2024年10月28日</w:t>
      </w:r>
      <w:r/>
    </w:p>
    <w:p>
      <w:pPr>
        <w:ind w:left="0" w:right="0" w:firstLine="480"/>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第二章 投标人须知前附表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8"/>
        <w:gridCol w:w="8626"/>
      </w:tblGrid>
      <w:tr>
        <w:trPr>
          <w:trHeight w:val="7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序号</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86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内　　　　　　　　容</w:t>
            </w:r>
            <w:r/>
          </w:p>
        </w:tc>
      </w:tr>
      <w:tr>
        <w:trPr>
          <w:trHeight w:val="489"/>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8626" w:type="dxa"/>
            <w:vAlign w:val="top"/>
            <w:textDirection w:val="lrTb"/>
            <w:noWrap w:val="false"/>
          </w:tcPr>
          <w:p>
            <w:pPr>
              <w:ind w:left="1200" w:right="0" w:hanging="12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项目名称：江阴市政策性农业保险承保机构遴选项目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项目编号：JSZC-320281-RHXX-G2024-0002</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 购 人：江阴市财政局</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采购方式：公开招标</w:t>
            </w:r>
            <w:r/>
          </w:p>
        </w:tc>
      </w:tr>
      <w:tr>
        <w:trPr>
          <w:trHeight w:val="7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86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采购代理机构：江苏容海信息咨询管理有限公司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地址：江阴市长江路777号东方广场19号楼801-809</w:t>
            </w:r>
            <w:r/>
          </w:p>
        </w:tc>
      </w:tr>
      <w:tr>
        <w:trPr>
          <w:trHeight w:val="459"/>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86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rPr>
                <w:rFonts w:ascii="SimHei" w:hAnsi="SimHei" w:eastAsia="SimHei" w:cs="SimHei"/>
                <w:color w:val="000000"/>
                <w:sz w:val="24"/>
              </w:rPr>
              <w:t xml:space="preserve">本项目免收投标保证金</w:t>
            </w:r>
            <w:r/>
          </w:p>
        </w:tc>
      </w:tr>
      <w:tr>
        <w:trPr>
          <w:trHeight w:val="48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862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投标有效期：开标后60天</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86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投标文件接收时间：2024年11月20日 下午13:30（北京时间）止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投标文件接收地点：“苏采云”政府采购交易系统网上开标大厅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截止期后的投标文件或未按招标文件规定提交的投标文件，恕不接受。</w:t>
            </w:r>
            <w:r/>
          </w:p>
        </w:tc>
      </w:tr>
      <w:tr>
        <w:trPr>
          <w:trHeight w:val="509"/>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86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开标时间：2024年11月20日 下午13:30（北京时间）起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tc>
      </w:tr>
      <w:tr>
        <w:trPr>
          <w:trHeight w:val="37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86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确定中标单位时间：评审结束后</w:t>
            </w:r>
            <w:r/>
          </w:p>
        </w:tc>
      </w:tr>
      <w:tr>
        <w:trPr>
          <w:trHeight w:val="7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86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投标文件：上传电子投标文件</w:t>
            </w:r>
            <w:r/>
          </w:p>
        </w:tc>
      </w:tr>
      <w:tr>
        <w:trPr>
          <w:trHeight w:val="70"/>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862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采购人信息</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称：江阴市财政局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址：江阴市澄江中路9号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项目联系人：杨女士</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联系电话：0510-86861151</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采购代理机构信息</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称：江苏容海信息咨询管理有限公司</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址：江阴市长江路777号东方广场19号楼801-809</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项目联系人：谭先生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联系电话：0510-86190310</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项目联系方式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项目联系人：谭先生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联系电话：0510-86190310</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第三章　投标人须知</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w:t>
      </w:r>
      <w:r>
        <w:rPr>
          <w:rFonts w:ascii="SimHei" w:hAnsi="SimHei" w:eastAsia="SimHei" w:cs="SimHei"/>
          <w:color w:val="000000"/>
          <w:sz w:val="28"/>
        </w:rPr>
        <w:t xml:space="preserve">遵循原则：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公开透明原则、公平竞争原则、公正原则和诚实信用原则。</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二、招标文件：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1、招标文件包括本文件目录所列全部内容，投标人应仔细阅读，并在投标文件中充分反映招标文件的所有要求。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2、招标文件中的“法定代表人”是指投标人的营业执照或相关部门的有效登记证明文件中的“法定代表人”或“负责人”。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3、投标人应向采购代理机构购买招标文件及有关资料，按招标文件要求提交全部资料并对招标文件各项内容做出实质性响应，否则投标无效。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4、投标人一旦参加本项目，即被认为接受了本招标文件中的所有条件和规定。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5、招标文件仅作为本次采购投标使用。</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三、招标文件的解释：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投标人如有需要对招标文件要求澄清的问题，请以电子邮件形式提出“JSZC-320281-RHXX-G2024-0002项目需澄清问题”，并于2024年11月4日11时前发送给采购代理机构邮箱（</w:t>
      </w:r>
      <w:hyperlink r:id="rId9" w:tooltip="mailto:heyufei@jsrhib.com" w:history="1">
        <w:r>
          <w:rPr>
            <w:rStyle w:val="830"/>
            <w:rFonts w:ascii="SimSun" w:hAnsi="SimSun" w:eastAsia="SimSun" w:cs="SimSun"/>
            <w:color w:val="0000ee"/>
            <w:sz w:val="24"/>
            <w:u w:val="single"/>
          </w:rPr>
          <w:t xml:space="preserve">tanhaitao@jsrhib.com</w:t>
        </w:r>
      </w:hyperlink>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本文件的最终解释权归江苏容海信息咨询管理有限公司。</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四、招标文件的补充或修正：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1、采购人、采购代理机构将以更正公告的形式，对已发出的招标文件进行必要的澄清或者修改。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2、澄清或者修改在江苏政府采购网（</w:t>
      </w:r>
      <w:r>
        <w:rPr>
          <w:rFonts w:ascii="SimSun" w:hAnsi="SimSun" w:eastAsia="SimSun" w:cs="SimSun"/>
          <w:color w:val="000000"/>
          <w:spacing w:val="-6"/>
          <w:sz w:val="24"/>
        </w:rPr>
        <w:t xml:space="preserve">http://www.ccgp-jiangsu.gov.cn</w:t>
      </w:r>
      <w:r>
        <w:rPr>
          <w:rFonts w:ascii="SimSun" w:hAnsi="SimSun" w:eastAsia="SimSun" w:cs="SimSun"/>
          <w:color w:val="000000"/>
          <w:sz w:val="24"/>
        </w:rPr>
        <w:t xml:space="preserve">）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3、澄清或者修改的内容可能影响投标文件编制的，采购代理机构将在投标截止时间至少15日前发布澄清公告；不足15日的顺延提交投标文件的截止时间和开标时间。</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五、投标文件的要求：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投标文件由下列部分组成：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w:t>
      </w:r>
      <w:r>
        <w:rPr>
          <w:rFonts w:ascii="SimSun" w:hAnsi="SimSun" w:eastAsia="SimSun" w:cs="SimSun"/>
          <w:color w:val="000000"/>
          <w:sz w:val="24"/>
        </w:rPr>
        <w:t xml:space="preserve">投标函；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w:t>
      </w:r>
      <w:r>
        <w:rPr>
          <w:rFonts w:ascii="SimSun" w:hAnsi="SimSun" w:eastAsia="SimSun" w:cs="SimSun"/>
          <w:color w:val="000000"/>
          <w:sz w:val="24"/>
        </w:rPr>
        <w:t xml:space="preserve">承诺书；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w:t>
      </w:r>
      <w:r>
        <w:rPr>
          <w:rFonts w:ascii="SimSun" w:hAnsi="SimSun" w:eastAsia="SimSun" w:cs="SimSun"/>
          <w:color w:val="000000"/>
          <w:sz w:val="24"/>
        </w:rPr>
        <w:t xml:space="preserve">投标人相关信息一览表；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w:t>
      </w:r>
      <w:r>
        <w:rPr>
          <w:rFonts w:ascii="SimSun" w:hAnsi="SimSun" w:eastAsia="SimSun" w:cs="SimSun"/>
          <w:color w:val="000000"/>
          <w:sz w:val="24"/>
        </w:rPr>
        <w:t xml:space="preserve">投标人农业保险业务开展情况；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（5）分支机构及服务网点分布（招标区域内）；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b/>
          <w:color w:val="000000"/>
          <w:sz w:val="24"/>
        </w:rPr>
        <w:t xml:space="preserve">*</w:t>
      </w:r>
      <w:r>
        <w:rPr>
          <w:rFonts w:ascii="SimSun" w:hAnsi="SimSun" w:eastAsia="SimSun" w:cs="SimSun"/>
          <w:color w:val="000000"/>
          <w:sz w:val="24"/>
        </w:rPr>
        <w:t xml:space="preserve">本项目组织管理体系及主要投入人员情况介绍；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（7）类似项目成功案例一览表；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b/>
          <w:color w:val="000000"/>
          <w:sz w:val="24"/>
        </w:rPr>
        <w:t xml:space="preserve">*</w:t>
      </w:r>
      <w:r>
        <w:rPr>
          <w:rFonts w:ascii="SimSun" w:hAnsi="SimSun" w:eastAsia="SimSun" w:cs="SimSun"/>
          <w:color w:val="000000"/>
          <w:sz w:val="24"/>
        </w:rPr>
        <w:t xml:space="preserve">投标人保险机构、专业保险团队及相应业务部门设置及管理办法设置；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b/>
          <w:color w:val="000000"/>
          <w:sz w:val="24"/>
        </w:rPr>
        <w:t xml:space="preserve">*</w:t>
      </w:r>
      <w:r>
        <w:rPr>
          <w:rFonts w:ascii="SimSun" w:hAnsi="SimSun" w:eastAsia="SimSun" w:cs="SimSun"/>
          <w:color w:val="000000"/>
          <w:sz w:val="24"/>
        </w:rPr>
        <w:t xml:space="preserve">服务偏离表和承诺；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SimSun" w:hAnsi="SimSun" w:eastAsia="SimSun" w:cs="SimSun"/>
          <w:b/>
          <w:color w:val="000000"/>
          <w:sz w:val="24"/>
        </w:rPr>
        <w:t xml:space="preserve">*</w:t>
      </w:r>
      <w:r>
        <w:rPr>
          <w:rFonts w:ascii="SimSun" w:hAnsi="SimSun" w:eastAsia="SimSun" w:cs="SimSun"/>
          <w:color w:val="000000"/>
          <w:sz w:val="24"/>
        </w:rPr>
        <w:t xml:space="preserve">公司情况简介；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rPr>
          <w:rFonts w:ascii="SimSun" w:hAnsi="SimSun" w:eastAsia="SimSun" w:cs="SimSun"/>
          <w:b/>
          <w:color w:val="000000"/>
          <w:sz w:val="24"/>
        </w:rPr>
        <w:t xml:space="preserve">*</w:t>
      </w:r>
      <w:r>
        <w:rPr>
          <w:rFonts w:ascii="SimSun" w:hAnsi="SimSun" w:eastAsia="SimSun" w:cs="SimSun"/>
          <w:color w:val="000000"/>
          <w:sz w:val="24"/>
        </w:rPr>
        <w:t xml:space="preserve">资格证明文件：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文件1：</w:t>
      </w:r>
      <w:r>
        <w:rPr>
          <w:rFonts w:ascii="SimSun" w:hAnsi="SimSun" w:eastAsia="SimSun" w:cs="SimSun"/>
          <w:color w:val="000000"/>
          <w:sz w:val="24"/>
        </w:rPr>
        <w:t xml:space="preserve">企业法人营业执照副本、经营保险业务许可证或其他有效登记证书</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文件2：</w:t>
      </w:r>
      <w:r>
        <w:rPr>
          <w:rFonts w:ascii="SimSun" w:hAnsi="SimSun" w:eastAsia="SimSun" w:cs="SimSun"/>
          <w:color w:val="000000"/>
          <w:sz w:val="24"/>
        </w:rPr>
        <w:t xml:space="preserve">财务状况报告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（提供投标人近6个月中任意1个月份(不含投标当月)的财务状况报告（资产负债表和利润表）或由会计师事务所出具的近两年中任意一个年度的审计报告和所附已审财务报告）</w:t>
        <w:br/>
      </w:r>
      <w:r>
        <w:rPr>
          <w:rFonts w:ascii="SimSun" w:hAnsi="SimSun" w:eastAsia="SimSun" w:cs="SimSun"/>
          <w:b/>
          <w:color w:val="000000"/>
          <w:sz w:val="24"/>
        </w:rPr>
        <w:t xml:space="preserve">    文件3：</w:t>
      </w:r>
      <w:r>
        <w:rPr>
          <w:rFonts w:ascii="SimSun" w:hAnsi="SimSun" w:eastAsia="SimSun" w:cs="SimSun"/>
          <w:color w:val="000000"/>
          <w:sz w:val="24"/>
        </w:rPr>
        <w:t xml:space="preserve">依法缴纳税收和社会保障资金的相关材料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（提供投标人近6个月中任意1个月份(不含投标当月)的依法缴纳税收的相关材料（提供相关主管部门证明或银行代扣证明））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（提供投标人近6个月中任意1个月份(不含投标当月)的依法缴纳社会保障资金的相关材料（提供相关主管部门证明或银行代扣证明））</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文件4：</w:t>
      </w:r>
      <w:r>
        <w:rPr>
          <w:rFonts w:ascii="SimSun" w:hAnsi="SimSun" w:eastAsia="SimSun" w:cs="SimSun"/>
          <w:color w:val="000000"/>
          <w:sz w:val="24"/>
        </w:rPr>
        <w:t xml:space="preserve">参加政府采购活动前3年内在经营活动中没有重大违法记录的书面声明（原件,格式见附件）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文件5：</w:t>
      </w:r>
      <w:r>
        <w:rPr>
          <w:rFonts w:ascii="SimSun" w:hAnsi="SimSun" w:eastAsia="SimSun" w:cs="SimSun"/>
          <w:color w:val="000000"/>
          <w:sz w:val="24"/>
        </w:rPr>
        <w:t xml:space="preserve">法定代表人授权委托书（法定代表人签署投标文件且亲自参与的不需提供）【授权委托人必须提供本单位连续6个月（且至少包含近3个月中任意1个月份&lt;不含投标当月&gt;）为其缴纳社保的证明】</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文件6：</w:t>
      </w:r>
      <w:r>
        <w:rPr>
          <w:rFonts w:ascii="SimSun" w:hAnsi="SimSun" w:eastAsia="SimSun" w:cs="SimSun"/>
          <w:color w:val="000000"/>
          <w:sz w:val="24"/>
        </w:rPr>
        <w:t xml:space="preserve">关于资格的声明函</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文件7：</w:t>
      </w:r>
      <w:r>
        <w:rPr>
          <w:rFonts w:ascii="SimSun" w:hAnsi="SimSun" w:eastAsia="SimSun" w:cs="SimSun"/>
          <w:color w:val="000000"/>
          <w:sz w:val="24"/>
        </w:rPr>
        <w:t xml:space="preserve">投标人具有独立承保各级财政补贴的政策性农业保险业务的省级保险机构的资质材料，以及省级保险机构对投保人的授权材料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（12）评分标准中对应的其它所需证明材料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（13）投标人认为需要提供的其他证明文件</w:t>
      </w:r>
      <w:r/>
    </w:p>
    <w:p>
      <w:pPr>
        <w:ind w:left="0" w:right="0" w:firstLine="47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①其中加“*”项目若有缺失或无效，将作为无效投标文件。</w:t>
      </w:r>
      <w:r/>
    </w:p>
    <w:p>
      <w:pPr>
        <w:ind w:left="0" w:right="0" w:firstLine="4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如上述资格证明文件若遇年检、换证等未能提供的情况，则必须提供法定年检、换证单位出具的有效证明。提供以人事代理、控股子公司等代收代缴形式缴纳社会保障资金的证明，属于无效证明文件。如上述资格证明文件遇有国家相关政策规定可不具备的，必须提供相关政策规定或相关单位出具的有效证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③新成立的单位若不能提供上述资格证明文件中的文件2、3或授权委托人的社保缴纳证明，可提供自成立以来的相关证明。新成立的单位是指营业执照颁发日期在本项目开标之日前六个月内。</w:t>
      </w:r>
      <w:r/>
    </w:p>
    <w:p>
      <w:pPr>
        <w:ind w:left="0" w:right="0" w:firstLine="4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④资格证明文件中的文件2和文件3，投标人或其上级公司的相关材料均予以认可。</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六、投标文件的制作、提交与远程交互：</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1、所有文件、往来函件均应使用简体中文（规格、型号辅助符号例外）。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2、投标文件由投标单位按给定格式如实填写（编写），须有法人、法定代表人或法定代表人授权委托人签字（盖章），方为有效，未尽事宜可自行补充。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3、投标单位投标一律以人民币为投标结算货币,结算单位为“元”。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4、投标文件格式部分，应由投标单位按给定格式提供，不得更改。混乱的编排导致投标文件被误读或评委会查找不到有效文件是投标人的风险。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5、投标文件须加盖电子签章之处，应按要求加盖投标人数字证书的电子签章。其他需要盖章但未明确要求电子签章的，投标人可按要求加盖公章后上传材料电子件或直接加盖电子签章。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6、投标书不应有涂改、增删和潦草之处，如有必须修改时，修改处必须有法人、法定代表人或法定代表人授权委托人的签章。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7、投标人在投标文件中应加盖与投标人全称相一致的标准公章，不得使用其他形式如带有“专用章”等字样的印章，否则视为无效投标；投标人法定代表人或授权委托人的签字须为全名，否则视为无效投标。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人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9、中标后按相关要求提供与电子投标文件一致的纸质打印投标文件2份。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项目采用远程不见面交易模式。通过不见面交易系统及相应的配套硬件设备（摄像头、话筒、麦克风等）完成远程解密、开标现场异议及回复、开标唱标、等交互环节。（具体操作详见《“苏采云”系统投标人操作手册》，网址链接</w:t>
      </w:r>
      <w:hyperlink r:id="rId10" w:tooltip="http://www.ccgp-jiangsu.gov.cn/webfile/jiangsu/202311/1699268553318052447.pdf%EF%BC%89%E3%80%82" w:history="1">
        <w:r>
          <w:rPr>
            <w:rStyle w:val="830"/>
            <w:rFonts w:ascii="SimSun" w:hAnsi="SimSun" w:eastAsia="SimSun" w:cs="SimSun"/>
            <w:color w:val="0000ee"/>
            <w:sz w:val="24"/>
            <w:u w:val="single"/>
          </w:rPr>
          <w:t xml:space="preserve">http://www.ccgp-jiangsu.gov.cn</w:t>
        </w:r>
      </w:hyperlink>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//webfile/jiangsu/202311/1699268553318052447.pdf）。</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相关要求和说明如下：</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①远程开标项目的时间均以国家授时中心发布的时间为准；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②开标当日，投标人不必抵达开标现场；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11、本项目投标费用由投标人自理。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r/>
    </w:p>
    <w:p>
      <w:pPr>
        <w:numPr>
          <w:ilvl w:val="0"/>
          <w:numId w:val="10"/>
        </w:numPr>
        <w:jc w:val="both"/>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投标有效期</w:t>
      </w:r>
      <w:r/>
    </w:p>
    <w:p>
      <w:pPr>
        <w:numPr>
          <w:ilvl w:val="0"/>
          <w:numId w:val="11"/>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投标有效期为开标之日后60天。投标有效期比规定短的将被视为未实质性响应招标文件而予以拒绝。</w:t>
      </w:r>
      <w:r/>
    </w:p>
    <w:p>
      <w:pPr>
        <w:numPr>
          <w:ilvl w:val="0"/>
          <w:numId w:val="11"/>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numPr>
          <w:ilvl w:val="0"/>
          <w:numId w:val="11"/>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中标人的投标文件作为项目服务合同的附件，其有效期至中标人全部合同义务履行完毕为止。</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八、无效投标文件的确认：</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（一）投标人存在下列情况之一的，其投标无效：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1、投标文件未按招标文件要求签署、盖章的；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2、不具备招标文件中规定的资格要求的，未提供格式条款《关于资格的声明函》承诺书或者对该承诺书作实质性修改的；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3、投标文件含有采购人不能接受的附加条件的；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4、投标人在“苏采云”系统规定的时间内未成功解密电子投标文件的。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5、投标人未按照招标文件要求上传电子投标文件的；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6、投标文件内容未实质性响应或不符合法律法规和招标文件中规定的其它实质性要求的；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7、投标文件中同一方案有选择性报价且未声明以哪一个为准的；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8、不响应招标文件中的付款方式的；</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（二）投标人有下列情形之一的，视为串通投标，其投标无效，并按《政府采购法》第七十七条规定追究法律责任：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1、投标单位直接或间接从采购人或采购代理机构处获得其他投标单位的投标情况，并修改其投标文件；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2、评审活动开始前投标单位直接或间接从采购人或采购代理机构处获得评标委员会组成人员情况；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3、投标单位接受采购人或采购代理机构授意撤换、修改投标文件；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4、投标单位之间协商技术方案等投标文件实质性内容；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5、属于同一集团、协会、商会等组织成员的投标单位按照该组织要求协同投标；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6、投标单位之间事先约定由某一特定投标单位中标；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7、投标单位之间商定部分投标单位放弃投标或者放弃中标；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8、投标单位与采购人或采购代理机构之间、投标单位相互之间为谋求特定投标单位中标成交或者排斥其他投标单位的其他串通行为；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9、不同投标人的投标文件由同一单位或者个人编制；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10、不同投标人委托同一单位或者个人办理投标事宜；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11、不同投标人的投标文件载明的项目管理成员为同一人；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12、不同投标人的投标文件异常一致或者呈规律性差异；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13、不同投标人的投标文件相互混装。</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九、开标、评标：</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（一）开标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1、采购代理机构将在招标公告中规定的时间和地点组织公开开标。投标人应当按照《“苏采云”系统供应商操作手册》规定，参加开标活动和在“苏采云”系统规定的时间内对投标文件进行解密。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3、投标人在开标过程中涉及到的投标文件解密、开标结果确认等工作，应按照《操作手册》规定执行。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4、投标人如果对开标过程和开标记录有疑义，应当根据《操作手册》规定提出，如“苏采云”系统中《开标记录表》宣布后5分钟内未提出的，视同认可开标结果。</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1、评标委员会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后，采购代理机构将立即组织评标委员会进行评标。评标委员会由采购人代表和有关技术、经济等方面的专家组成，且人员构成必须符合政府采购有关规定。采购人代表和评审专家依法组建评标委员会，评审专家实行回避制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（2）评委会独立工作，负责评审所有投标文件并确定中标候选人。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2、评标过程的保密与公正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（1）凡是与审查、澄清、评价和比较投标的有关资料以及授标建议等，采购人、评委、采购代理机构均不得向投标人或与评标无关的其他人员透露。</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（2）在评标过程中，投标人不得以任何行为影响评标过程，否则其投标文件将被作为无效投标文件。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（3）采购代理机构和评委会不向未中标的投标人解释未中标原因，也不公布评标过程中的相关细节。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（4）采用综合评分法的项目，未中标的投标人可于中标结果公告期限届满之日起通过“苏采云”系统查看自己的评审得分及排序情况。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3、投标文件初审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初审分为资格性检查和符合性检查。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（1）、资格性检查：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A、依据法律法规和招标文件的规定，由采购人或其委托的代理机构对投标文件中的资格证明文件进行审查，以确定投标人是否具备投标资格。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通过“信用中国”网站、中国政府采购网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（2）、符合性检查：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A、评标委员会依据招标文件的规定，从投标文件的有效性、完整性和对招标文件的响应程度进行审查，以确定是否对招标文件的实质性要求作出响应。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（a）投标文件没有投标单位法定代表人或授权委托人签字和加盖公章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（b）投标文件载明的采购项目的完成期限超过招标文件规定的期限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（c）投标文件严重背离招标文件中确定的技术功能要求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（d）投标文件附有采购人不能接受的商务条件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（e）不符合招标文件中规定的其他实质性要求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确定投标文件的响应性只根据投标文件本身的内容，而不寻求外部证据。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如果投标文件没有实质上响应招标文件的要求，采购代理机构将予以拒绝。投标人不得通过修正或撤消不合要求的偏离或保留从而使其投标成为实质上响应的投标。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各投标人符合性审查过程中，对初步被认定为无效投标者，由评委会组长或采购人代表将集体意见通过“苏采云”系统中告知未通过符合性审查的原因，评标结束后，将不再告知未通过符合性审查的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4、评标方法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通过初审的，方可进入比较与评价程序。评标委员会应当按照招标文件中规定的评标方法和标准，对符合性审查合格的投标文件进行商务和技术评估，综合比较与评价。具体办法和标准详见招标文件第五章《评标方法和评标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5、投标文件的澄清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（1）对于投标文件中含义不明确、同类问题表述不一致或者有明显文字和计算错误的内容，评标委员会应当以书面形式要求投标人作出必要的澄清、说明或者补正。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（3）接到评标委员会澄清、说明和补正要求的投标人如未按规定做出澄清、说明和补正，其风险由投标人自行承担。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6、投标文件报价出现前后不一致的，按照下列规定修正：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（1）投标文件中开标一览表（报价表）内容与投标文件中相应内容不一致的，以开标一览表（报价表）为准；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按照《政府采购货物和服务招标投标管理办法》第五十一条第二款的规定经投标人确认后产生约束力，评标委员会将按上述修正错误的方法调整投标文件中的投标报价，并通过“苏采云”系统告知投标人，如果投标人不接受修正后的价格，则其投标将被拒绝。</w:t>
      </w:r>
      <w:r/>
    </w:p>
    <w:p>
      <w:pPr>
        <w:numPr>
          <w:ilvl w:val="0"/>
          <w:numId w:val="12"/>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投标人在开、评标全过程中应随时保持系统在线，及时在“苏采云”系统查阅、答复相关信息。</w:t>
      </w:r>
      <w:r/>
    </w:p>
    <w:p>
      <w:pPr>
        <w:numPr>
          <w:ilvl w:val="0"/>
          <w:numId w:val="12"/>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十、确定中标单位：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1、评标委员会根据评标方法和评标标准确定第一、二、三标段的中标候选单位。采将评选结果通知所有参加评标的未中标单位，并宣布中标单位。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2、确定中标单位2个工作日内，采购代理机构将在“江苏政府采购网”发布中标公告。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3、采购代理机构不负责向任何投标单位说明中标或不中标的原因。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4、如有质疑，按《中华人民共和国政府采购法》、《中华人民共和国政府采购法实施条例》、财政部《政府采购货物和服务招标投标管理办法》有关规定处理。</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十一、质疑处理：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单位质疑按《中华人民共和国政府采购法》、《中华人民共和国政府采购法实施条例》、《政府采购货物和服务招标投标管理办法》、《政府采购质疑和投诉办法》、《江苏省政府采购投标单位监督管理暂行办法》有关规定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2、投标单位认为采购文件、采购过程和中标结果使自己的权益受到损害的，应在知道或者应知其权益受到损害之日起七个工作日内，以书面形式向采购人、采购代理机构提出质疑。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3、投标单位提出质疑应当提交质疑函和必要的证明材料。质疑函应当包括下列内容：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（1）质疑人的姓名或者名称、地址、邮编、联系人及联系电话；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（3）具体、明确的质疑事项和与质疑事项相关的请求；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（6）提出质疑的日期。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人为自然人的，应当由本人签字；质疑人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（7）未按上述要求提交的质疑函（仅限于原件）采购代理机构有权不予受理。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4、质疑人须在法定质疑期内一次性提出针对同一采购程序环节的质疑。提出质疑的质疑人应当是参与所质疑项目采购活动的投标单位。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5、投标人提交书面质疑函可以采用现场递交或者邮寄递交的形式，现场递交质疑函的请送至江苏容海信息咨询管理有限公司，邮寄递交质疑函</w:t>
      </w:r>
      <w:r>
        <w:rPr>
          <w:rFonts w:ascii="SimSun" w:hAnsi="SimSun" w:eastAsia="SimSun" w:cs="SimSun"/>
          <w:b/>
          <w:color w:val="000000"/>
          <w:sz w:val="24"/>
        </w:rPr>
        <w:t xml:space="preserve">（收件地址：江阴市长江路777号东方广场19号楼801-809，收件电话：18068261778）</w:t>
      </w:r>
      <w:r>
        <w:rPr>
          <w:rFonts w:ascii="SimSun" w:hAnsi="SimSun" w:eastAsia="SimSun" w:cs="SimSun"/>
          <w:color w:val="000000"/>
          <w:sz w:val="24"/>
        </w:rPr>
        <w:t xml:space="preserve">的应当在快递寄出后联系江苏容海信息咨询管理有限公司告知质疑函接收时间及质疑函快递单号，因未告知接收时间导致未及时答复质疑的，江苏容海信息咨询管理有限公司将不予承担责任。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单位提出质疑的应当有明确的请求和必要的证明材料，投标人提出书面质疑必须有理、有据，不得恶意质疑或提交虚假质疑。否则，一经查实，采购代理机构有权依据政府采购的有关规定，报请政府采购监管部门对该投标人进行相应的行政处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9、采购人及采购代理机构将在收到投标单位的有效书面质疑函后七个工作日内作出答复，并以书面形式通知质疑投标单位和其他有关投标单位，但答复的内容不得涉及商业秘密。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十二、采购项目的废标：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在评标采购中，出现下列情况之一的，应予废标；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1、符合专业条件的投标人或者对招标文件作出实质性响应的投标人不足三家的；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3、投标单位的报价均超过采购预算，采购人不能支付的；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5、评委会认定招标文件存在歧义、重大缺陷导致评审工作无法进行。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十三、投标保证金：</w:t>
      </w:r>
      <w:r>
        <w:rPr>
          <w:rFonts w:ascii="SimSun" w:hAnsi="SimSun" w:eastAsia="SimSun" w:cs="SimSun"/>
          <w:color w:val="000000"/>
          <w:sz w:val="24"/>
        </w:rPr>
        <w:t xml:space="preserve">本项目免收投标保证金。</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十四、中标无效的确认：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有下列情形之一的，处以采购金额千分之五以上千分之十以下的罚款，列入不良行为记录名单，三年内禁止参加政府采购活动，有违法所得的，并处没收违法所得，情节严重的，由工商行政管理机关吊销营业执照；构成犯罪的，依法追究刑事责任：</w:t>
        <w:br/>
        <w:t xml:space="preserve">　　（一）提供虚假材料谋取中标、成交的；</w:t>
        <w:br/>
        <w:t xml:space="preserve">　　（二）采取不正当手段诋毁、排挤其他投标单位的；</w:t>
        <w:br/>
        <w:t xml:space="preserve">　　（三）与采购人、其他投标单位或者采购代理机构恶意串通的；</w:t>
        <w:br/>
        <w:t xml:space="preserve">　　（四）向采购人、采购代理机构行贿或者提供其他不正当利益的；</w:t>
        <w:br/>
        <w:t xml:space="preserve">　　（五）在招标采购过程中与采购人进行协商谈判的；</w:t>
        <w:br/>
        <w:t xml:space="preserve">　　（六）拒</w:t>
      </w:r>
      <w:r>
        <w:rPr>
          <w:rFonts w:ascii="SimSun" w:hAnsi="SimSun" w:eastAsia="SimSun" w:cs="SimSun"/>
          <w:color w:val="000000"/>
          <w:sz w:val="24"/>
        </w:rPr>
        <w:t xml:space="preserve">绝有关部门监督检查或者提供虚假情况的。</w:t>
        <w:br/>
        <w:t xml:space="preserve">　　投标单位有前款第（一）至（五）项情形之一的，中标无效。</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十五、签订合同：</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结果确定后，代理机构将向中标人发出中标通知书。请中标人使用CA数字证书登录“苏采云系统”及时下载中标通知书。中标人可自行下载打印《中标通知书》，《中标通知书》将作为授予合同资格的唯一合法依据。</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2、中标通知书将是合同的一个组成部分。对采购人和中标人均具有法律效力。中标通知书发出后，采购人改变中标结果的，或者中标人放弃中标项目的，应当依法承担法律责任。</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采购人在签订之日起2个工作日内将政府采购合同在指定的媒体上公告，但政府采购合同中涉及国家秘密、商业秘密的内容除外。</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4、招标文件、中标人的投标文件及招标过程中有关澄清、承诺文件均应作为合同附件。</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6、履约保证金的收取：合同签署前，中标人向采购人缴纳履约保证金。中标人向采购人缴纳的履约保证金不超过政府采购合同金额的10%。收取履约保证金的，采购人允许中标人自主选择以支票、 汇票、 本票、 保函等非现金形式缴纳或提交，并与中标人在采购合同中约定履约保证金退还的方式、时间、条件和不予退还的情形，明确逾期退还履约保证金的违约责任。采购人收到缴纳的履约保证金后向中标人出具有效的履约保证金收款凭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履约保证金的管理及退还：采购人应做好履约保证金的账务处理工作，实行专项管理，不得违规收取、挪用、截留等其他用途。项目验收合格后（货物类）或有效期结束后（服务类），采购人应及时退还履约保证金，不计利息。</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采购代理机构监督合同的履行，协调和处理履约过程中的问题，同时对售后服务进行评价。中标人未履行招标文件、投标文件和合同规定的义务，采购代理机构将根据具体情况提请政府采购管理部门作出相应处理。不可抗力除外。</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十六、付款方式：</w:t>
      </w:r>
      <w:r>
        <w:rPr>
          <w:rFonts w:ascii="SimSun" w:hAnsi="SimSun" w:eastAsia="SimSun" w:cs="SimSun"/>
          <w:color w:val="000000"/>
          <w:sz w:val="24"/>
        </w:rPr>
        <w:t xml:space="preserve">详见第四章项目要求。</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十七、政策功能：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财政部、工业和信息化部关于印发《政府采购促进中小企业发展管理办法》的通知》（财库[2020]46号）的规定，符合《政府采购促进中小企业发展管理办法》第四条所述情形的小型、微型企业参加本项目，给予20%的价格扣除，用扣除后的价格参与评审。参加投标的小型、微型企业，应当出具《政府采购促进中小企业发展管理办法》规定的《中小企业声明函》（格式见后）（“中小企业划型标准”详见《关于印发中小企业划型标准规定的通知》工信部联企业〔2011〕300号及《国家统计局关于印发统计上大中小微型企业划分办法（2017）的</w:t>
      </w:r>
      <w:r>
        <w:rPr>
          <w:rFonts w:ascii="SimSun" w:hAnsi="SimSun" w:eastAsia="SimSun" w:cs="SimSun"/>
          <w:color w:val="000000"/>
          <w:sz w:val="24"/>
        </w:rPr>
        <w:t xml:space="preserve">通知》国统字〔2017〕213号）。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4、同一投标人，上述三项价格扣除优惠不得重复享受。</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6、中标供应商享受中小企业扶持政策的，江阴市政府采购中心将随中标结果公开中标供应商的《中小企业声明函》。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7、供应商提供声明函内容不实的，属于提供虚假材料谋取中标，依照《中华人民共和国政府采购法》等国家有关规定追究相应责任。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9、提供的产品属于信息安全产品的，投标单位应当选择经国家认证的信息安全产品投标，并提供由中国信息安全认证中心按国家标准认证颁发的有效认证证书。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w:t>
      </w:r>
      <w:r>
        <w:rPr>
          <w:rFonts w:ascii="SimSun" w:hAnsi="SimSun" w:eastAsia="SimSun" w:cs="SimSun"/>
          <w:color w:val="000000"/>
          <w:sz w:val="24"/>
        </w:rPr>
        <w:t xml:space="preserve">可以委托依法取得检测、认证资质的机构进行检测、认证。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十八、履约保函政策：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十九、政府采购合同融资：</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根据国家扶持中小企业的有关政策，在我中心组织的采购项目中标、成交的供应商可根据自身情况，自行决定是否选择采用合同融资形式，如需要政府采购合同融资，请按锡财购【2020】17号文件执行。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w:t>
      </w:r>
      <w:r>
        <w:rPr>
          <w:rFonts w:ascii="SimSun" w:hAnsi="SimSun" w:eastAsia="SimSun" w:cs="SimSun"/>
          <w:color w:val="000000"/>
          <w:sz w:val="24"/>
        </w:rPr>
        <w:t xml:space="preserve">订融资协议，确定融资成交信息并约定融资回款账户。</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二十、质量及验收：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完毕后，中标人书面通知采购人验收，采购人依据为国家有关规定、招标文件、中标人的投标文件以及其他相关文件和资料，根据实际按照《关于进一步规范江阴市政府采购履约验收管理的指导意见》（澄财购〔2021〕5号）组织验收。对项目验收发生的检测（检验）费、劳务报酬等费用支出，采购合同有约定的按照约定执行；无约定的，由采购人承担。因供应商问题导致重新组织项目验收的，由供应商负担验收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highlight w:val="white"/>
        </w:rPr>
        <w:t xml:space="preserve">采购人可以邀请参加本项目的其他投标人或者第三方机构参与验收。参与验收的投标人或者第三方机构的意见作为验收书的参考资料一并存档。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highlight w:val="white"/>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二十一、中标服务费：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1、本项目中标服务费为5万元，由中标公司按承保份额分摊（分包一3.55万元、分包二1.25万元、分包三0.2万元）。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2、中标服务费汇至如下账号：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收款单位：江苏容海信息咨询管理有限公司</w:t>
      </w:r>
      <w:r/>
    </w:p>
    <w:p>
      <w:pPr>
        <w:ind w:left="0" w:right="0" w:firstLine="480"/>
        <w:jc w:val="both"/>
        <w:spacing w:before="210" w:after="21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开户银行：中国银行江阴澄江支行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账号：497575580115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3、采购代理机构出具全额正规发票。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第四章　项目要求和有关说明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一、项目概述</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加快农业保险高质量发展的指导意见》（财金〔2019〕102号）、《关于加快农业保险高质量发展的实施意见》（苏财金〔2020〕51号）、《关于加强政策性农业保险承保机构遴选管理工作的通知》（财金〔2020〕128号）、《关于做好政策性农业保险承保机构遴选工作的通知》（苏财金〔2021〕42号）、《进一步加强农业保险承保理赔管理工作的通知》（苏农险办〔2022〕18号）和《关于应对灾害天气做好农业保险救灾工作有关事项的通知》（苏财金〔2023〕113号）等文件精神，为进一步规范农业保险经营行为，完善农</w:t>
      </w:r>
      <w:r>
        <w:rPr>
          <w:rFonts w:ascii="SimSun" w:hAnsi="SimSun" w:eastAsia="SimSun" w:cs="SimSun"/>
          <w:color w:val="000000"/>
          <w:sz w:val="24"/>
        </w:rPr>
        <w:t xml:space="preserve">业保险市场化运营机制，为优化农业保险市场布局，提升农业保险服务质量，更好地推动农业保险高质量发展，现对江阴市政策性农业保险承保机构进行公开招标，择优确定</w:t>
      </w:r>
      <w:r/>
    </w:p>
    <w:sdt>
      <w:sdtPr>
        <w:alias w:val="关键词"/>
        <w15:appearance w15:val="boundingBox"/>
        <w:rPr/>
      </w:sdtPr>
      <w:sdtContent>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sdtContent>
    </w:sdt>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家承保机构，参与2025至2027年度江阴市政策性农业保险工作。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二、江阴市政策性农业保险模式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（一）公开招标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江阴市政策性农业保险对符合条件的承保机构进行公开招标。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（二）分包项目按照区域划分将“城南片”、“城西片”、“城中片”分别设为3个标段，分别设为分包一、分包二、分包三。各分包中标机构承担对应区域内全部政策性农业保险服务。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城南片（分包一）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城西片（分包二）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城中片（分包三）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南闸街道，顾山镇</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华士镇，青阳镇</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新桥镇，徐霞客镇</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月城镇，长泾镇</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周庄镇，祝塘镇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璜土镇</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利港街道</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申港街道</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夏港街道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城东街道</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澄江街道</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云亭街道</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林场</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numPr>
          <w:ilvl w:val="0"/>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中标机制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1、标段选择：为保证上述标段所涉及的乡镇、街道农保工作推进的同步性，参加本项目投标的供应商必须同时参加上述三个标段的投标，不得只选择其中一个标段。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2、开标顺序：按标段序号从小到大依次，即先开第一标段，后开第二标段，最后开第三标段，评标顺序同开标顺序。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3、定标原则：每位投标人只能在一个标段上中标。如某投标人已在第一标段被推荐为第一中标候选人的，则其继续参与第二、三段评标，但在第二、三标段不参与推荐中标候选人的排序。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（四）付款方式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江阴市农业保险工作小组负责政策性农业保险组织推动工作，政策性农业保险实行财政补贴，各险种的各级财政补贴比例按中央、省、市、县级（区）政府有关部门的相关文件规定实施。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首创保护期内的创新品种不参加遴选，保护期届满，由政策性农业保险承保机构按照当前中标服务区域进行承保，不再另行组织遴选。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（五）市场运作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承保机构单独设立农业保险财务账户，单独核算，专款专用，主要用于展业承保、查勘定损、理赔支出、再保支出、协保费用支出等规定用途。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（六）保户自愿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江阴市政策性农业保险按照农户自主自愿投保原则，政府实施引导鼓励，承保机构开展组织、宣传、推动，农户在承担相应的农业保险部分自缴保费的同时，享受政府相应的财政保费补贴。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（七）协同推进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江阴市农业保险工作小组和承保机构依据各自职责，协同推进农业保险工作。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三、项目基本情况</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（一）承保险种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稻、水稻增额、小麦、油菜、公益林综合等主要种植业保险，能繁母猪、奶牛、育肥猪等主要养殖业保险，设施大棚、果品防鸟设施、露地葡萄（桃、梨、旱生蔬菜）、内塘螃蟹水文指数、池塘淡水鱼、林木火灾、苗木、食用菌等高效设施农业保险项目及运输型拖拉机交强险、农机综合保险、粮食烘干机等农机具保险以及根据上级有关规定及江阴市农业生产实际情况增设的其它险种。</w:t>
      </w:r>
      <w:r/>
    </w:p>
    <w:p>
      <w:pPr>
        <w:numPr>
          <w:ilvl w:val="0"/>
          <w:numId w:val="14"/>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险种标准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承保政策性险种应严格执行省、市、县下发的关于条款及费率、承保理赔等文件实施项目操作。保险金额或赔偿限额根据省、市、县要求。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四、合同承保期限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本项目服务期限为2025年1月1日起至2027年12月31日止。（服务合同为一年制，当年验收合格后续签下一年服务合同）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5"/>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江阴市政策性农业保险承保、理赔服务要求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承保机构具体服务要求如下：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（一）服务承诺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保区域为江阴市范围内，投保人必须是江阴市行政辖区内各街道（农场、园区）、村（居）、农民专业合作社、农业企业、家庭农场、农户等，承保机构不得以任何理由拒绝投保人投保江阴市开设的政策性农业保险险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2、提供相应管理体系、服务和投诉制度，按照省市规定的农险险种、条款、费率等相关要求，规范进行承保、理赔工作，遵守相关制度规定。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3、严格资金管理。按规定提取和使用管理费；农险资金赔付必须通过“一卡通”赔付到保户手中。</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（二）服务要求</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1、管理体系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（1）组织及业务管理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保机构需设置农险责任部门，由公司经理分管，配置专门人员，落实展业、核保、出单、查勘、定损、核赔、财务、统计、档案等工作，专门人员在业务素质和数量上能够适应服务工作要求。乡镇服务机构（或网点）、服务人员（协保员）应书面报县农险办备案，变更农业保险人员应重新报备。</w:t>
      </w:r>
      <w:r/>
    </w:p>
    <w:p>
      <w:pPr>
        <w:numPr>
          <w:ilvl w:val="0"/>
          <w:numId w:val="16"/>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配置基层服务网点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承保机构需建设乡镇服务机构（或网点），安排专兼职服务人员，能够深入农村高质量做好农业保险服务工作，保证农业保险高质量发展。</w:t>
      </w:r>
      <w:r/>
    </w:p>
    <w:p>
      <w:pPr>
        <w:numPr>
          <w:ilvl w:val="0"/>
          <w:numId w:val="16"/>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信息化建设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承保机构按要求与中国农业再保险股份有限公司约定分保业务信息系统对接。</w:t>
      </w:r>
      <w:r/>
    </w:p>
    <w:p>
      <w:pPr>
        <w:numPr>
          <w:ilvl w:val="0"/>
          <w:numId w:val="16"/>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报表制度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承保机构业务管理系统能够直接导出农业保险承保、理赔、批改等数据，并于每月第5个工作日前向江阴市财政局报送完整的原始数据信息。</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承保机构每季度首月5号前，必须按本次招标内容、条件的要求，提交上季度承保、理赔统计报表（同时提交电子文档）上报江阴市农业保险工作小组。</w:t>
      </w:r>
      <w:r/>
    </w:p>
    <w:p>
      <w:pPr>
        <w:numPr>
          <w:ilvl w:val="0"/>
          <w:numId w:val="16"/>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年度总结</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保机构每年度2月15日前，必须按本次招标相关内容、条件的要求，向江阴市农业保险工作小组提交上年度总结报告及附件（上年度农业保险实施方案、财政年度决算报告、农业保险保费结算统计表、投保台账、理赔台账等资料，原件承保机构用印并提供电子文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承保机构每年度9月30日前，向江阴市农业保险工作小组提交下一年度农业保险预测情况报告（原件承保机构用印）。</w:t>
      </w:r>
      <w:r/>
    </w:p>
    <w:p>
      <w:pPr>
        <w:numPr>
          <w:ilvl w:val="0"/>
          <w:numId w:val="16"/>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问责制度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保机构根据农业保险的需要，理清涉及经营农险的各部门之间的工作职责与范围，建立相应问责制度，配合有关部门定期开展检查监督，严格落实《农业保险条例》承保理赔“三公示、两签字”和保监会“五公开、三到户”监管规定。</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2、承保服务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（1）承保机构应积极到各保险单位开展政策性农业保险业务，保险单位也可自行到承保机构投保。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（2）承保机构根据投保资料协助投保户填写《农业保险投保单》，并完成核保与出单事宜，并在收到投保单5个工作日内将保单正本和保险费发票派专人送达投保人指定地点或指定部门(人员)。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保机构应积极提供上门服务，并在投保人递交投保资料之日起（包括传真形式，但以传真形式递交投保资料之后应补递正本）5个工作日内完成出单事宜并将保单正本和保费收据送达各投保人指定地点或指定部门(人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（4）若上级或本级政府部门同意予以推行的新增政策性农业保险险种，承保机构不得拒保，应按照相关文件规定给予办理。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3、理赔服务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承保公司应建立本次保险招标项目理赔服务绿色通道，按照省市有关农业保险文件要求，切实遵守以下保险理赔服务条款，主动迅速地为各被保险人提供优质的理赔服务，实现客户服务高度满意。</w:t>
      </w:r>
      <w:r/>
    </w:p>
    <w:p>
      <w:pPr>
        <w:ind w:left="0" w:right="0" w:firstLine="47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（1）接报案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①</w:t>
      </w:r>
      <w:r>
        <w:rPr>
          <w:rFonts w:ascii="SimSun" w:hAnsi="SimSun" w:eastAsia="SimSun" w:cs="SimSun"/>
          <w:color w:val="000000"/>
          <w:sz w:val="24"/>
        </w:rPr>
        <w:t xml:space="preserve">设立24小时保险服务专线电话，可全年365天随时接受被保险人的出险报案，并应立即通知本公司相关部门及人员。被保险人也可以直接向中标单位相关部门及人员报案。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②</w:t>
      </w:r>
      <w:r>
        <w:rPr>
          <w:rFonts w:ascii="SimSun" w:hAnsi="SimSun" w:eastAsia="SimSun" w:cs="SimSun"/>
          <w:color w:val="000000"/>
          <w:sz w:val="24"/>
        </w:rPr>
        <w:t xml:space="preserve">被保险人因特殊情况无法在规定的时间内报案，并视同为及时报案。</w:t>
      </w:r>
      <w:r/>
    </w:p>
    <w:p>
      <w:pPr>
        <w:ind w:left="0" w:right="0" w:firstLine="47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（2）现场查勘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①</w:t>
      </w:r>
      <w:r>
        <w:rPr>
          <w:rFonts w:ascii="SimSun" w:hAnsi="SimSun" w:eastAsia="SimSun" w:cs="SimSun"/>
          <w:color w:val="000000"/>
          <w:sz w:val="24"/>
        </w:rPr>
        <w:t xml:space="preserve">接到报案后需要进行现场查勘的，应立即指派专门人员在2小时到达出险现场，如无法及时抵达现场的，应主动与被保险人约定好具体查勘时间，并指导保护现场。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②</w:t>
      </w:r>
      <w:r>
        <w:rPr>
          <w:rFonts w:ascii="SimSun" w:hAnsi="SimSun" w:eastAsia="SimSun" w:cs="SimSun"/>
          <w:color w:val="000000"/>
          <w:sz w:val="24"/>
        </w:rPr>
        <w:t xml:space="preserve">如中标公司无法按照约定时间到达出险现场，应以被保险人提供的现场照片、损失清单、出险说明及其他证明材料作为赔付理算依据。如被保险人当时无法拍照，可不提供现场照片。</w:t>
      </w:r>
      <w:r/>
    </w:p>
    <w:p>
      <w:pPr>
        <w:ind w:left="0" w:right="0" w:firstLine="47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（3）定责定损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承保机构自行收集气象证明材料，简化被保险人定责流程。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对于不属于保险责任的，应在接到被保险人赔偿请求后3个工作日内向其发出《拒赔通知书》。</w:t>
      </w:r>
      <w:r/>
    </w:p>
    <w:p>
      <w:pPr>
        <w:ind w:left="0" w:right="0" w:firstLine="47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（4）索赔材料递交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公司接到被保险人索赔材料后应立即审查核实，若认为有关证明或材料不完整，应立刻以书面或电子邮件方式通知被保险人应补充提供的有关证明或材料。若承保公司在接到索赔资料后3个工作日内未给予有关审核意见，则视为认可索赔资料的完整性；     </w:t>
      </w:r>
      <w:r/>
    </w:p>
    <w:p>
      <w:pPr>
        <w:ind w:left="0" w:right="0" w:firstLine="47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（5）赔款时限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①</w:t>
      </w:r>
      <w:r>
        <w:rPr>
          <w:rFonts w:ascii="SimSun" w:hAnsi="SimSun" w:eastAsia="SimSun" w:cs="SimSun"/>
          <w:color w:val="000000"/>
          <w:sz w:val="24"/>
        </w:rPr>
        <w:t xml:space="preserve">在被保险人提供完整必要的索赔材料后，承诺按约定时限向农业保险基金管理单位发出赔款通知。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②</w:t>
      </w:r>
      <w:r>
        <w:rPr>
          <w:rFonts w:ascii="SimSun" w:hAnsi="SimSun" w:eastAsia="SimSun" w:cs="SimSun"/>
          <w:color w:val="000000"/>
          <w:sz w:val="24"/>
        </w:rPr>
        <w:t xml:space="preserve">如自收到完整的索赔资料之日起15个工作日内未能确定赔偿金额，应根据已有证明和资料将可以确的最低赔偿数额先予支付，待最终确定赔偿金额后及时支付相应的差额。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③</w:t>
      </w:r>
      <w:r>
        <w:rPr>
          <w:rFonts w:ascii="SimSun" w:hAnsi="SimSun" w:eastAsia="SimSun" w:cs="SimSun"/>
          <w:color w:val="000000"/>
          <w:sz w:val="24"/>
        </w:rPr>
        <w:t xml:space="preserve">如未按约定时间发出赔款通知，则应按照实际拖延天数向被保险人支付赔款滞纳金，赔款滞纳金为应付赔款金额按实际违约天数所计算的单利（采用中国人民银行公布的活期利率），由保险公司在综合费用中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④</w:t>
      </w:r>
      <w:r>
        <w:rPr>
          <w:rFonts w:ascii="SimSun" w:hAnsi="SimSun" w:eastAsia="SimSun" w:cs="SimSun"/>
          <w:color w:val="000000"/>
          <w:sz w:val="24"/>
        </w:rPr>
        <w:t xml:space="preserve">预付赔款。凡估损人民币10万以上的赔案，可根据情况，报江阴市农业保险工作小组批准，在未结案前可先预付已能确认金额的50%赔款。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4、服务管理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（1）承保机构需加强宣传力度，保障有效提高江阴市广大人民群众对农业保险政策知晓率和满意度，引导农户正确参加农业保险，充分发挥农业保险抵御自然灾害的风险保障作用。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①</w:t>
      </w:r>
      <w:r>
        <w:rPr>
          <w:rFonts w:ascii="SimSun" w:hAnsi="SimSun" w:eastAsia="SimSun" w:cs="SimSun"/>
          <w:color w:val="000000"/>
          <w:sz w:val="24"/>
        </w:rPr>
        <w:t xml:space="preserve">宣传原则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口径统一：宣传工作的日常管理，严格监督，严格审核，在宣传上始终保持与政府一个“出口”，一个“声音”；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实事求是：宣传工作坚持实事求是的新闻观，严格遵循真实、准确、严谨、全面、客观、公正的原则，不夸大事实，不夸大保险功能，不意会杜撰，更不做虚假新闻。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②</w:t>
      </w:r>
      <w:r>
        <w:rPr>
          <w:rFonts w:ascii="SimSun" w:hAnsi="SimSun" w:eastAsia="SimSun" w:cs="SimSun"/>
          <w:color w:val="000000"/>
          <w:sz w:val="24"/>
        </w:rPr>
        <w:t xml:space="preserve">宣传内容</w:t>
      </w:r>
      <w:r/>
    </w:p>
    <w:p>
      <w:pPr>
        <w:ind w:left="0" w:right="-63" w:firstLine="456"/>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宣传农业保险的惠民政策，宣传农业保险的社会反响。</w:t>
      </w:r>
      <w:r/>
    </w:p>
    <w:p>
      <w:pPr>
        <w:ind w:left="0" w:right="-63" w:firstLine="456"/>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6"/>
          <w:sz w:val="24"/>
        </w:rPr>
        <w:t xml:space="preserve">③</w:t>
      </w:r>
      <w:r>
        <w:rPr>
          <w:rFonts w:ascii="SimSun" w:hAnsi="SimSun" w:eastAsia="SimSun" w:cs="SimSun"/>
          <w:color w:val="000000"/>
          <w:spacing w:val="-6"/>
          <w:sz w:val="24"/>
        </w:rPr>
        <w:t xml:space="preserve">宣传举措</w:t>
      </w:r>
      <w:r/>
    </w:p>
    <w:p>
      <w:pPr>
        <w:ind w:left="0" w:right="-63" w:firstLine="456"/>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包含且不限于网络平台新闻媒体宣传、墙体标语宣传、悬挂横幅宣传、车辆巡回宣传、开展咨询活动等。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（2）承保机构需重视投诉处理，—旦发现潜在争议问题，早介入、早化解；—旦发生投诉问题，全程介入、掌握主动、后续追责。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①</w:t>
      </w:r>
      <w:r>
        <w:rPr>
          <w:rFonts w:ascii="SimSun" w:hAnsi="SimSun" w:eastAsia="SimSun" w:cs="SimSun"/>
          <w:color w:val="000000"/>
          <w:sz w:val="24"/>
        </w:rPr>
        <w:t xml:space="preserve">设立投诉受理电话，由承保机构分管总负责受理各被保险人对各分支机构的保险投诉；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②</w:t>
      </w:r>
      <w:r>
        <w:rPr>
          <w:rFonts w:ascii="SimSun" w:hAnsi="SimSun" w:eastAsia="SimSun" w:cs="SimSun"/>
          <w:color w:val="000000"/>
          <w:sz w:val="24"/>
        </w:rPr>
        <w:t xml:space="preserve">对于同一分支机构发生超过3次（含3次）以上的有效投诉，应更换该分支机构的分管经理和负责人。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③</w:t>
      </w:r>
      <w:r>
        <w:rPr>
          <w:rFonts w:ascii="SimSun" w:hAnsi="SimSun" w:eastAsia="SimSun" w:cs="SimSun"/>
          <w:color w:val="000000"/>
          <w:sz w:val="24"/>
        </w:rPr>
        <w:t xml:space="preserve">各承保机构建立《政策性农业保险争议处理台账》，每月5日前上报江阴市农业保险服务小组。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（3）承保机构还应注重争议处理，—旦发生承保、理赔方面的争议，按以下程序进行：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①</w:t>
      </w:r>
      <w:r>
        <w:rPr>
          <w:rFonts w:ascii="SimSun" w:hAnsi="SimSun" w:eastAsia="SimSun" w:cs="SimSun"/>
          <w:color w:val="000000"/>
          <w:sz w:val="24"/>
        </w:rPr>
        <w:t xml:space="preserve">检查承保、理赔程序与相关要求，查明原因后与保户协商解决；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②</w:t>
      </w:r>
      <w:r>
        <w:rPr>
          <w:rFonts w:ascii="SimSun" w:hAnsi="SimSun" w:eastAsia="SimSun" w:cs="SimSun"/>
          <w:color w:val="000000"/>
          <w:sz w:val="24"/>
        </w:rPr>
        <w:t xml:space="preserve">与保户协商未决，邀请江阴市农业保险工作小组代表、农险专家以及保险公司进行合议，保证定损准确度的情况下最大程度保障农户利益，化解争议矛盾与保户协商解决;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③</w:t>
      </w:r>
      <w:r>
        <w:rPr>
          <w:rFonts w:ascii="SimSun" w:hAnsi="SimSun" w:eastAsia="SimSun" w:cs="SimSun"/>
          <w:color w:val="000000"/>
          <w:sz w:val="24"/>
        </w:rPr>
        <w:t xml:space="preserve">共同协商未决，递交江阴市仲裁机构进行仲裁；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④</w:t>
      </w:r>
      <w:r>
        <w:rPr>
          <w:rFonts w:ascii="SimSun" w:hAnsi="SimSun" w:eastAsia="SimSun" w:cs="SimSun"/>
          <w:color w:val="000000"/>
          <w:sz w:val="24"/>
        </w:rPr>
        <w:t xml:space="preserve">仲裁费用按相关规定执行。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（4）承保机构需完善回访工作，定期组织各分支机构项目小组进行客户回访服务，收集承保、理赔、投诉、争议等问题的客户反馈意见。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5、防灾减损</w:t>
      </w:r>
      <w:r/>
    </w:p>
    <w:p>
      <w:pPr>
        <w:ind w:left="0" w:right="0" w:firstLine="480"/>
        <w:spacing w:before="210" w:after="21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保机构应重视防灾减损服务，建立大灾应急预案。通过科技手段的预警提前防范灾害，结合灾后损失赔偿，进而减少灾害损失。各承保机构还应利用公司优势，建立农险专家库，开展风险排查、防灾培训、大灾演练、灾害预警、灾害救助等一系列的防灾减损服务，提高农户防灾减损的能力。</w:t>
      </w:r>
      <w:r/>
    </w:p>
    <w:p>
      <w:pPr>
        <w:ind w:left="0" w:right="0" w:firstLine="480"/>
        <w:spacing w:before="210" w:after="21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5"/>
        </w:numPr>
        <w:spacing w:before="210" w:after="21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服务的监督考核</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江苏省《关于规范全省农业保险市场准入和退出工作的通知》（苏金融办发[2013]63号）、《省政府办公厅关于落实发展新理念推动农业保险迈上新台阶的指导意见》（苏政办发[2017]1号）、《江苏省政策性农业保险工作评价暂行办法》和《江苏省政策性农业保险承保机构服务评价暂行办法》等文件精神要求，江阴市农业保险工作小组将积极开展考核工作，引入退出机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江阴市农业保险工作小组对承保机构服务情况进行评价和考核，对考核不合格的承保机构，三年内不得参加政府采购招标。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具体考核内容如下：</w:t>
      </w:r>
      <w:r/>
    </w:p>
    <w:p>
      <w:pPr>
        <w:numPr>
          <w:ilvl w:val="0"/>
          <w:numId w:val="17"/>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农业保险宣传推广情况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①</w:t>
      </w:r>
      <w:r>
        <w:rPr>
          <w:rFonts w:ascii="SimSun" w:hAnsi="SimSun" w:eastAsia="SimSun" w:cs="SimSun"/>
          <w:color w:val="000000"/>
          <w:sz w:val="24"/>
        </w:rPr>
        <w:t xml:space="preserve">水稻、小麦、油菜三个主要种植品种的承保率；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②</w:t>
      </w:r>
      <w:r>
        <w:rPr>
          <w:rFonts w:ascii="SimSun" w:hAnsi="SimSun" w:eastAsia="SimSun" w:cs="SimSun"/>
          <w:color w:val="000000"/>
          <w:sz w:val="24"/>
        </w:rPr>
        <w:t xml:space="preserve">能繁母猪、奶牛、露地果品和育肥猪的承保率；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③</w:t>
      </w:r>
      <w:r>
        <w:rPr>
          <w:rFonts w:ascii="SimSun" w:hAnsi="SimSun" w:eastAsia="SimSun" w:cs="SimSun"/>
          <w:color w:val="000000"/>
          <w:sz w:val="24"/>
        </w:rPr>
        <w:t xml:space="preserve">商业农险、创新产品开发能力等。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（2）基层服务网点建设情况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①</w:t>
      </w:r>
      <w:r>
        <w:rPr>
          <w:rFonts w:ascii="SimSun" w:hAnsi="SimSun" w:eastAsia="SimSun" w:cs="SimSun"/>
          <w:color w:val="000000"/>
          <w:sz w:val="24"/>
        </w:rPr>
        <w:t xml:space="preserve">基层服务网点覆盖率、乡镇网点服务人员配备率、村级农险协保员配备率；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②</w:t>
      </w:r>
      <w:r>
        <w:rPr>
          <w:rFonts w:ascii="SimSun" w:hAnsi="SimSun" w:eastAsia="SimSun" w:cs="SimSun"/>
          <w:color w:val="000000"/>
          <w:sz w:val="24"/>
        </w:rPr>
        <w:t xml:space="preserve">三农服务车辆以及其他服务工具配备情况；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（3）服务承诺要求达成情况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①</w:t>
      </w:r>
      <w:r>
        <w:rPr>
          <w:rFonts w:ascii="SimSun" w:hAnsi="SimSun" w:eastAsia="SimSun" w:cs="SimSun"/>
          <w:color w:val="000000"/>
          <w:sz w:val="24"/>
        </w:rPr>
        <w:t xml:space="preserve">理赔结案率；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②</w:t>
      </w:r>
      <w:r>
        <w:rPr>
          <w:rFonts w:ascii="SimSun" w:hAnsi="SimSun" w:eastAsia="SimSun" w:cs="SimSun"/>
          <w:color w:val="000000"/>
          <w:sz w:val="24"/>
        </w:rPr>
        <w:t xml:space="preserve">服务投诉率；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③</w:t>
      </w:r>
      <w:r>
        <w:rPr>
          <w:rFonts w:ascii="SimSun" w:hAnsi="SimSun" w:eastAsia="SimSun" w:cs="SimSun"/>
          <w:color w:val="000000"/>
          <w:sz w:val="24"/>
        </w:rPr>
        <w:t xml:space="preserve">满意度问卷调查。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（4）如出现重大群体上访、重大负面舆情，相应承保机构直接判定为不合格。</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第五章　评标方法和评标标准</w:t>
      </w:r>
      <w:r/>
    </w:p>
    <w:p>
      <w:pPr>
        <w:ind w:left="0" w:right="0" w:firstLine="0"/>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一、评标方法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招标采用综合评标法，是指投标文件满足招标文件全部实质性要求，且按照评审因素的量化指标评审得分最高的投标人为中标候选人的评标方法，评审因素包括投标报价、技术或者服务水平、履约能力、售后服务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评委独立按照评分标准分别评定投标人的分值；各投标人的最终得分为各评委所评定分值的平均值，并按高低顺序排列。每位投标人只能在一个标段上中标，如某投标人已在第一标段被推荐为第一中标候选人的，则其参与第二、三标段评标，但在第二、三标段不参与推荐中标候选人的排序，最终确定三个标段的中标候选单位。若得分相同的，先按“服务能力”指标优劣顺序排列；若得分仍相同，再按“公司偿付能力充足率”指标优劣顺序排列。</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注：每部分的得分保留小数点后两位，合计得分保留小数点后两位。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评分标准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招标以服务能力、合规经营能力、风险管控能力为基本导向和前提，坚持规范有序、适度竞争。评审指标分值权重应向基层服务网络、服务人员、服务装备、服务技术等代表基层服务能力的因素倾斜，服务能力指标权重</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评审指标体系详见下表。</w:t>
      </w:r>
      <w:r/>
    </w:p>
    <w:p>
      <w:pPr>
        <w:ind w:left="3029" w:right="0" w:firstLine="0"/>
        <w:jc w:val="both"/>
        <w:spacing w:before="99"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333333"/>
          <w:spacing w:val="2"/>
          <w:sz w:val="22"/>
        </w:rPr>
        <w:t xml:space="preserve">政策性农业保险承保机构遴选评审指标</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9"/>
        <w:gridCol w:w="745"/>
        <w:gridCol w:w="812"/>
        <w:gridCol w:w="2455"/>
        <w:gridCol w:w="4339"/>
        <w:gridCol w:w="504"/>
      </w:tblGrid>
      <w:tr>
        <w:trPr>
          <w:trHeight w:val="3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评审指标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指标涵义</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分值</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4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服务能力（60分）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基层服务网点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指保险机构乡镇农险服务网点覆盖乡镇（涉农街道、功能性园区）的比例（乡镇农险服务网点数量。遴选区域服务网点包括保险监管机构批准的分支机构、三农服务站点。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保险分支机构每个得0.6分，三农服务站点每个得0.2分，最高10分。同一乡镇（涉农街道、功能性园区）的三农服务站不重复计数。或保险机构承诺中选后在3个月内设立必要的基层服务网点的本项得3分。【须提供（1）保险分支机构 的营业执照、保险许可证；（2）服务网点照片及其他相关材料；（3）承诺书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10</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乡镇级农险服务人员配备数量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指乡镇农险服务网点配备政策性农业保险服务人员的数量。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配置数量达4人得4分，每增加1人再加0.5分，最高8分。或保险机构承诺中选后在3个月内配齐服务人员的本项得4分。【须提供（1）服务人员名单、劳动合同、近3个月社保缴纳凭证（不含投标当月）、证明在遴选区域从事农险岗位服务的人力系统截图（兼职人员不计算在内）；（2）承诺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8</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村级农险协保员配备数量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指村级农业保险协保员配备数量。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配置数量达50人得4分，每增加20人再加1分，最高8分。或保险机构承诺中选后在3个月内配齐协保员的本项得4分。【须提供（1）遴选区域村级农业保险协保员名单；（2）2022年1月1日至本次招标公布之日期间的支付费用的银行转账凭证、协保合同协议；（3）承诺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8</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服务车辆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指保险机构配备的农业保险专用服务车辆数量。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配置数量达4辆得1分，每增加1辆再加0.2分，最高3分。【须提供遴选区域车辆清单、车辆行驶证（车主为投标机构或其直属上级机构）、车辆照片（车身喷绘有规范的“理赔服务”或“三农服务”标识）】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3</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公司偿付能力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指保险法人机构对保单持有人履行赔付义务的能力大小。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上年度末综合偿付能力充足率， 180%（含）  以下得0分； 180%（含） 以上，每增加30个百分点加1分 ，最高得5分。 比如180% -210%（含）得1分 、210%-240%（含）得2分 。 【须提供上年度国家金融监督管理总局偿二代监管信息系统截图】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5</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消费者权益保护监管评价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指由保险监管机构对保险机构消费者权益保护的监管评价，反映一个保险机构运营服务水平的行业指标。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参考监管机构通报的保险机构省级公司上年度消费者权益保护监管评价，评价等级“一级”，得5分；评价等级“二级A”，得4分；评价等级“二级B”，得3分；评价等级“二级C”，得2分；评价等级“三级”（包括三级A\B\C)，得1分；评价等级“三级”以下不得分。 【须提供上年度国家金融监督管理总局江苏监管局通报文件】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5</w:t>
            </w:r>
            <w:r/>
          </w:p>
        </w:tc>
      </w:tr>
      <w:tr>
        <w:trPr>
          <w:trHeight w:val="3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评审因素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评审指标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指标涵义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评审标准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分值</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7</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4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服务能力（60分）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理赔结案率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指省级机构年度内保险支付赔案数占报案立案数的比例（支付赔案数/报案立案数）。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省级机构上年度理赔结案率70%（含）以上的，得分=理赔结案率×指标分值。70% 以下不得分 。【须提供保险监督管理机构统计数据或业务信息系统统计截图】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6</w:t>
            </w:r>
            <w:r/>
          </w:p>
        </w:tc>
      </w:tr>
      <w:tr>
        <w:trPr>
          <w:trHeight w:val="20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商业性保险发展能力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指保险机构拓展商业性农业保险险种的综合服务能力。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根据2022年1月1日至本次招标公布之日期间的在遴选区域开办商业性农业保险的险种数量、保单数量、保费规模，3个指标分别设置2分。险种数量：3＜险种数量≤5，得0.5分；5＜险种数量≤8，得1分；8＜险种数量≤10，得1.5分；险种数量＞10，得2分。保单数量：30＜保单数量≤50，得0.5分；50＜保单数量≤100，得1分；100＜保单数量≤200，得1.5分；保单数量＞200，得2分。保费规模：20万元＜保费规模≤50万元，得0.5分；50万元＜保费规模≤100万元，得1分；100万元＜保费规模≤200万</w:t>
            </w:r>
            <w:r>
              <w:rPr>
                <w:rFonts w:ascii="Microsoft YaHei" w:hAnsi="Microsoft YaHei" w:eastAsia="Microsoft YaHei" w:cs="Microsoft YaHei"/>
                <w:color w:val="000000"/>
                <w:sz w:val="13"/>
              </w:rPr>
              <w:t xml:space="preserve">元，得1.5分；保费规模＞200万元，得2分。三项指标分数相加为最终得分。【须提供（1）保险监督管理机构统计数据或业务信息系统统计数据（2）遴选区域保单】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6</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科技赋能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保险机构利用卫星 、网络 、移动端开展农业保险线上化精准承保理赔服务，具有保险标的定位 、保险标的数量识别 、理赔处理、保单查询等功能。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配置具备承保理赔功能的移动端APP或小程序得1分，APP或小程序具备卫星定位功能加1分，APP或小程序具备保险标的数量识别功能加1分，配置给遴选区域服务用无人机加1分，最高得4分。【须提供相关工具照片和能够显示保险标的位置 、保险标的数量、查勘理赔处理、保单查询结果的证明材料等】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4</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服务创新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保险机构根据遴选需求，展现投保人的创新产品开发能力。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投标人或其江苏省内其他机构2022年以来创新产品保护数量，每1个创新保护产品加1分，最高得5分。【提供江苏省农业保险工作小组创新产品保护认定文件】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5</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风险管控能力（20分）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农业保险业务信息管理水平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按照规定，具备相对独立、功能完善的农业保险信息管理系统。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配备独立的农业保险信息管理系统得1分，具备数据管理和统计分析功能得1分， 具备直接导出承保、理赔 、批改、汇总等数据功能得1分，具备其他特色功能得1分，最高得4分 。【须提供农业保险信息系统有关功能截图】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4</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12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农业保险责任部门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责任人员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按照规定，设置农业保险责任部门、安排责任人员。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市级机构设立单独农业保险责任部门得1分，县分支机构设立单独农业保险责任部门得1分，农业保险责任部门人员配置满足核保、核赔 、回访 、稽核等内控制度的得2分，最高得4分 。【须提供设置农业保险责任部门的相关证明材料、专职人员名单、劳动合同、近3个月社保缴纳凭证（不含投标当月）】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4</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13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管理制度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按照规定，建立完善的农业保险管理制度，包括不限于承保理赔 、费用管理、客户回访、投诉管理、 内控合规、档案管理等。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农业保险承保制度、理赔制度、费用管理制度、投诉管理制度、客户回访制度、内控合规制度、档案管理制度、大灾应急预案，每项制度分别得0.5分 ，最高得4分 。【须提供有关制度】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4</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14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大灾风险分散 （再保险）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按照规定，与中国农业再保险股份有限公司签署《政策性农业保险再保险标准协议》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总公司签订协议得4分，其他不得分。【须提供当期有效的《政策性农业保险再保险标准协议》】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4</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15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大灾风险分散 （准备金）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按照财政部《农业保险大灾风险准备金管理办法》计提农业大灾风险准备金。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按规定计提、使用 、管理农业保险大灾风险准备金的得4分， </w:t>
            </w:r>
            <w:r>
              <w:rPr>
                <w:rFonts w:ascii="Microsoft YaHei" w:hAnsi="Microsoft YaHei" w:eastAsia="Microsoft YaHei" w:cs="Microsoft YaHei"/>
                <w:color w:val="000000"/>
                <w:spacing w:val="-17"/>
                <w:sz w:val="13"/>
              </w:rPr>
              <w:t xml:space="preserve">其 他 不 得 分 </w:t>
            </w:r>
            <w:r>
              <w:rPr>
                <w:rFonts w:ascii="Microsoft YaHei" w:hAnsi="Microsoft YaHei" w:eastAsia="Microsoft YaHei" w:cs="Microsoft YaHei"/>
                <w:color w:val="000000"/>
                <w:spacing w:val="5"/>
                <w:sz w:val="13"/>
              </w:rPr>
              <w:t xml:space="preserve">。【须提供向省财政部门报送的大灾准备金的计</w:t>
            </w:r>
            <w:r>
              <w:rPr>
                <w:rFonts w:ascii="Microsoft YaHei" w:hAnsi="Microsoft YaHei" w:eastAsia="Microsoft YaHei" w:cs="Microsoft YaHei"/>
                <w:color w:val="000000"/>
                <w:spacing w:val="3"/>
                <w:sz w:val="13"/>
              </w:rPr>
              <w:t xml:space="preserve">提</w:t>
            </w:r>
            <w:r>
              <w:rPr>
                <w:rFonts w:ascii="Microsoft YaHei" w:hAnsi="Microsoft YaHei" w:eastAsia="Microsoft YaHei" w:cs="Microsoft YaHei"/>
                <w:color w:val="000000"/>
                <w:spacing w:val="-21"/>
                <w:sz w:val="13"/>
              </w:rPr>
              <w:t xml:space="preserve"> </w:t>
            </w:r>
            <w:r>
              <w:rPr>
                <w:rFonts w:ascii="Microsoft YaHei" w:hAnsi="Microsoft YaHei" w:eastAsia="Microsoft YaHei" w:cs="Microsoft YaHei"/>
                <w:color w:val="000000"/>
                <w:spacing w:val="3"/>
                <w:sz w:val="13"/>
              </w:rPr>
              <w:t xml:space="preserve">、使用</w:t>
            </w:r>
            <w:r>
              <w:rPr>
                <w:rFonts w:ascii="Microsoft YaHei" w:hAnsi="Microsoft YaHei" w:eastAsia="Microsoft YaHei" w:cs="Microsoft YaHei"/>
                <w:color w:val="000000"/>
                <w:spacing w:val="-19"/>
                <w:sz w:val="13"/>
              </w:rPr>
              <w:t xml:space="preserve"> </w:t>
            </w:r>
            <w:r>
              <w:rPr>
                <w:rFonts w:ascii="Microsoft YaHei" w:hAnsi="Microsoft YaHei" w:eastAsia="Microsoft YaHei" w:cs="Microsoft YaHei"/>
                <w:color w:val="000000"/>
                <w:spacing w:val="3"/>
                <w:sz w:val="13"/>
              </w:rPr>
              <w:t xml:space="preserve">、管理等情况报告】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4</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合规经营能力（20分）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省级机构服务合规水平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省级保险机构总体服务农业保险合规水平。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上年度省级机构达到“优”等级的得满分 ；“良”等级得70% 的分值； 因没有承保政策性农险而没有参与评价的对应“良”等级分值 。【须提供（1）省公布的省级公司的最近年度评价结果；（2）提供没有开展服务的说明】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10</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17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属地分支机构服务合规水平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属地保险机构服务农业保险合规水平。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上年度属地分支机构达到“优”等级的得满分；“良”等级得70% 的分值； 因没有承保政策性农险而没有参与评价的对应“良”等级分值 。【提供（1 ）遴选区域农险办对服务机构得评价结果；（ 2 ）提供没有开展服务的说明】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10</w:t>
            </w:r>
            <w:r/>
          </w:p>
        </w:tc>
      </w:tr>
      <w:tr>
        <w:trPr>
          <w:trHeight w:val="383"/>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3"/>
              </w:rPr>
              <w:t xml:space="preserve">100</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第六章　合同书（格式）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社会保险法》、《省政府办公厅关于落实发展新理念推动农业保险迈上新台阶的指导意见》（苏政办发〔2017〕1号）和《市政府办公室关于推动全市农业保险再上新台阶的工作意见》（锡政办发[2017]1931号）等文件规定，本着平等协作和诚实信用的原则，签订本合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1．定义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本合同中的下列术语应解释为：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“合同”系指甲方与中标各方签署的，合同条款及格式中载明的甲方与中标各方所达成的协议，包括招标文件、投标文件以及附件、附录和构成合同的所有文件。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“服务”系指根据合同规定中标各方应承担的义务及相关的后续服务，如受理索赔请求、限时理赔支付、无偿提供保险知识培训和其他类似的中标各方应承担的义务。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“甲方”即“投保人”，系指</w:t>
      </w:r>
      <w:r>
        <w:rPr>
          <w:rFonts w:ascii="SimSun" w:hAnsi="SimSun" w:eastAsia="SimSun" w:cs="SimSun"/>
          <w:color w:val="000000"/>
          <w:sz w:val="24"/>
          <w:u w:val="single"/>
        </w:rPr>
        <w:t xml:space="preserve">江阴市财政局</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“中标各方”即“承保人”，系指为江阴市政策性农业保险定点保险承保单位招标提供承保服务的保险机构，合同中明确为“乙方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“工作日”是指除公休日和国家法定节假日以外的日历日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“被保险人”系指所有江阴市行政辖区内享受各级财政补贴的种养殖户。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“第三方“是指本合同以外的任何中国境内、境外的法人、自然人或其他组织。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1.8“附件”是指本合同的订立、履行有关的，经甲、乙双方认可的，对本合同约定的内容进行细化、补充、修改、变更的文件、图纸、音像制品等资料。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2.江阴市政策性农业保险项目服务范围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2.1中标各方的服务范围为分包区域范围内的各农业合作组织、农业企业、农户等，承保标的为涉及的种植业、养殖业及高效设施农业。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3.承保方承保服务内容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依法合规经营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严格遵守中华人民共和国法律规定及国家相关政策，在法律政策范围内开展经营活动。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3.2受理投保</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3.2.1承保方可以到各投保单位或农户处开展农业保险业务并收取保费，各投保单位或农户也可自行到承保方各营业网点进行投保。</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承保方根据投保资料协助投保户填写《农业保险投保单》，并完成核保与出单事宜，并在收到保险费5个工作日内将保单正本和保险费收据送达投保人。承保方根据省农险办实务要求统一印制农业保险单证，并出具保单。每险种承保工作结束后，承保方应及时提供该险种的承保清单。</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应投保人要求可提供上门服务，并在投保人递交投保资料之日起(包括传真形式，但以传真形式递交投保资料之后应补递正本)5个工作日内完成出单事宜并将保单正本和保费收据送达各指定地点或指定部门（人员）。</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3.2.4明确属于省金融办统一颁布的保险条款目录中的保险险种，在参保农户有投保需求与意愿的前提下，承保方一律不得拒绝承保。</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4.承保方理赔服务内容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4.1受理理赔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承保方应保证农业保险获得优先服务的权利，以优良的服务态度、便利、快捷的上门服务方式响应被保险人的索赔要求。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4.2接报案</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 设立24小时保险服务专线电话：    ，可全年365天随时接受被保险人的出险报案，并应立即通知本公司相关部门及人员（重大案情应及时通知甲方委托的专业管理机构）。</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被保险人也可以直接向承保方相关部门及人员报案。</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 被保险人因特殊情况无法在规定的时间内报案，承保方应认可被保险人(仅限于种植业)事后出具的书面说明，并视同为及时报案。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4.3现场查勘 </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 接到报案后需要进行现场查勘的，承保方应立即指派专门人员按以下时限要求到达出险现场。</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4.3.1.1 市区内2小时以内</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4.3.1.2 乡镇3小时以内；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边远村组3小时以内；</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如承保方无法按照约定时间到达出险现场，应以被保险人提供的现场照片、损失清单、出险说明及其他证明材料作为赔付理算依据。由此造成的理赔纠纷由承保方自行处理，由此增加的赔款损失也由承保方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定责定损</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4.4.1对于不属于保险责任的，应报相应的市（县）、区农业保险工作小组审核，并在接到被保险人赔偿请求后15个工作日内向其发出《拒赔通知书》。</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4.4.2 根据保险条款规定，承保方如需被保险人提供损失鉴定报告的，甲方应根据相关法律法规，协助被保险人出具相关职能部门的鉴定报告,所有气象证明材料均由承保方自行收集。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4.5索赔材料递交</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4.5.1承保公司接到被保险人索赔材料后应立即审查核实，若认为有关证明或材料不完整，应立刻以书面或电子邮件方式通知被保险人应补充提供有关证明或材料。若承保公司在接到索赔资料后15个工作日内未给予有关审核意见，则视为认可索赔资料的完整性；由此造成的赔款损失由承保方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4.6赔款时限</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4.6.1在被保险人提供完整必要的索赔材料后，承保方应在约定时限内进行赔付。</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4.6.2 如自收到完整的索赔资料之日起15个工作日内未能确定赔偿金额，应根据已有证明和资料将可以确定的最低赔偿数额先予支付，待最终确定赔偿金额后及时支付相应的差额。</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4.6.3如未按约定时间发出赔款通知，承保方则应按照实际拖延天数向被保险人支付赔款滞纳金，赔款滞纳金为应付赔款金额按实际违约天数所计算的单利（采用中国人民银行公布的活期利率），由保险公司承担。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 预付赔款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凡估损人民币在10万元以上的赔案，可根据情况，报同级农业保险小组批准，在未结案前可先行预付已能确认金额的50%赔款，预付赔款一般在3个工作日划付至出险农户的一卡通账户。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 赔款划付</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4.8.1在理算结束、赔款支付前，将理算结果、拟赔款金额在村委会公示栏、农技站或畜牧兽医站进行为期7天的公示，并拍照留存。</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4.8.2公示结束无异议后，承保方应将赔款划拨至出险农户的一卡通：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理赔金额在5000元以下的，公示结束后1个工作日赔付结案；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理赔金额在1万元以下的，公示结束后2个工作日赔付结案；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理赔金额在3万元以下的，公示结束后3个工作日赔付结案；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理赔金额在10万元以下的，公示结束后，上报各市（县）、区农险小组确认后赔付；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理赔金额在10万元以上的，公示结束后，上报市农险小组确认后赔付。</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5.承保方防灾防损服务内容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承保方配合甲方组织各类防灾防损活动和培训，采取防范和控制等措施提高参保农户的风险防范能力及应急处理能力，降低事故发生率、降低因自然灾害造成的损失程度。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制定计划</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保方协商制定年度防灾防损方案，报甲方批准后实施，包括防灾防损活动内容、方案、时间、对象、实施责任人等。按计划开展各类保险培训、养殖种植科技培训、防灾防灾主体宣传、风险评估活动，提高农户的防灾防损尤其是防范大灾的能力，降低事故发生率、降低因自然灾害造成的损失程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组建专家队伍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承保方负责建立农业种植、养殖技术专家队伍、动物防疫技术专家组、协助开展村镇社区防疫站的技术培训工作以及对农户的知识普及工作，每半年1次，种植业每年集中培训活动不少于3次，高效设施不少于5次。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5.4重大灾害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发生重大灾害事故时，承保公司应及时启动大灾应急方案，积极调动系统内人力物力资源，主动提供农业保险防灾减灾服务。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 理赔案例分析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承保方负责收集典型理赔案例，汇编成册，借助组织开展农业保险会议的恰当时间，发放给基层农户。学习交流活动每年不少于2次。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5.6表彰先进、总结工作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组织表彰活动，对在年度防灾防损工作表现突出的农户进行表彰，每年进行一次工作总结，选拔各层级工作突出、有重大贡献涉农保险的工作人员，进行奖励，鼓励优秀。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6.业务管理及服务制度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6.1报表制度：每月5日前，承保方必须按本次招标相关内容、条件的要求，向甲方提交上月份展业、理赔统计报表，同时提交电子文档。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6.2财政年度决算制度：每年度2月15日前，承保方必须按本次招标相关内容、条件的要求，向甲方提交上年财政年度决算报告，同时提交电子文档。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6.3建立农业保险联席会议制度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承保方应出席季度(每季第一个月上旬)农业保险联席会议，定期通报保险展业、理赔与服务情况，就有关问题进行沟通与协商。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6.4建立投诉制度</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6.4.1 设立投诉受理电话，由高管人员负责受理各被保险人对各分支机构的保险投诉；</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6.4.2 对于同一分支机构发生超过 3 次（含 3 次）以上的有效投诉，应更换该分支机构的分管经理和负责人。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6.5建立回访制度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定期(每季度一次)组织各分支机构项目小组进行投保农户回访服务，收集保户反馈意见。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6.6建立宣传报道制度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承保方每月至少要提供两篇时效性强、内容真实的农业保险宣传报道稿件，并及时报送给甲方。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7.争议制度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建立争议制度，一旦发生承保、理赔方面的争议，按以下程序进行：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复查承保、理赔程序与相关要求，江阴市农业保险服务小组参与查明原因后与保户协商解决；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与保户协商未决，由江阴市农业保险服务小组牵头，邀请江阴市农业保险工作小组代表、农险专家以及保险公司进行合议，保证定损准确度的情况下最大程度保障农户利益，化解争议矛盾与保户协商解决;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共同协商未决的事项递交江阴市仲裁机构进行仲裁；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仲裁费用按相关规定执行。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8.违约责任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按照无锡市农业保险推进委员会办公室制订的《无锡市政策性农业保险履约考核办法（暂行）》执行。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9.违约投诉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9.1承保方主动接受甲方及农业农村等主管部门的监督及专项检查，并接受相关处理。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投保人可就承保方的服务质量向甲方投诉，经甲方核查，如情况属实则该投诉有效，将列入违约记载。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10.不可抗力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10.1本条所述的“不可抗力”系指承保方无法控制、不可预见的事件，但不包括承保方的违约或疏忽。这些事件包括：战争、严重火灾、洪水、台风、地震等其它意外事件。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在不可抗力事件发生后，承保方应尽快以书面形式将不可抗力的情况和原因通知甲方和投保人。除甲方和投保人书面另行要求外，承保方应尽实际可能继续履行合同义务，以及寻求采取合理的方案履行不受不可抗力影响的其他事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10.3不可抗力事件是指甲乙双方在缔结协议时所不能预见的，且它的发生及其后果是无法避免和无法克服的灾害、事故。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10.4合同任何一方由于受地震的自然因素以及诸如战争、骚乱等不可抗力事件（以下简称不可抗力）影响而不能执行协议时，履行合同的期限应予以延长，延长的期限应相当于战争、骚乱、地震等所影响的时间。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遭受不可抗力一方应在不可抗力灾害、事故发生后尽快以书面形式通知对方，并于事故发生后14个工作日内将有关当局出具的证明文件、详细情况报告以及不可抗力对履行协议影响程度的说明用特快专递或挂号信寄给对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发生不可抗力时，任何一方均不对因不可抗力无法履行或延迟履行本协议义务而使另一方蒙受损失承担责任，但遭受不可抗力一方有责任尽可能及时采取适当或必要措施减少或消除不可抗力的影响。遭受不可抗力的一方对因未尽本项义务而造成的损失承担赔偿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10.7一旦不可抗力事故的影响持续120天以上，甲乙双方通过友好协商，在合理的时间内达成进一步履行协议。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11.协议的终止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本协议有效期内，任何一方不得擅自终止协议，否则应负担所造成的一切损失。如一方因故需终止协议，需提前三个月书面通知另一方，经双方达成一致意见后，方可终止。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出现下列情况时本协议自行终止：</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 本协议正常履行完毕；</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11.2.2 甲与中标各方协议终止本协议的履行；</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11.2.3 不可抗力导致本协议无法履行或履行不必要时；</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 一方不履行协议条款，造成另一方无法执行协议，协商又不能求得解决，责任方赔偿损失并经另一方同意后，合同终止。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除本协议另有约定外，发生任何以下一种情况，甲方有权解除本协议，对于由此给中标各方造成的损失甲方不承担赔偿责任，对于由此给甲方造成的损失，中标各方应负赔偿责任：</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 中标各方未按规定及时补足履约保证金的；</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11.3.2 中标各方向被保险单位农业保险经办人员提供任何形式的回扣。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11.4国家保险政策发生重大变化时，双方应及时协商重新修订协议相关条款。如协商未达成一致，甲方有权终止协议。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12．法律适用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本协议及附件的订立、效力、解释、履行、争议的解决等适用本协议签订时有效的中华人民共和国的法律、法规、规范性文件的有关规定。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13．权利的保留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任何一方没有行使其权利或没有就违约方的违约行为采取任何行动，不应被视为是对其权利的放弃或对追究其它各方违约责任权利的放弃。任何一方放弃针对违约方的某种权利，或放弃追究违约方的某种责任，不应视为对其它权利或追究其它责任的放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如果本协议部分条款依据现行有关法律、法规被确认为无效或无法履行，且该部分无效或无法履行的条款不影响本协议其它条款效力的，本协议其它条款继续有效；同时协议各方应根据现行有关法律、法规对该部分无效或无法履行的条款进行调整，使其依法成为有效条款，并尽量符合本协议所体现的原则和精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在本协议履行期间，因中国法律、法规、政策的变化致使本协议的部分条款相冲突、无效或失去可强制执行效力时，甲方与中标各方应尽快修改本协议相冲突或无效或失去可强制执行效力的条款。</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14．协议修改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对于本协议的未尽事宜，需进行修改、补充或完善的，甲方和中标各方必须就所修改的内容签订书面的协议修改书，作为本协议的补充协议。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补充协议与本协议具有同等法律效力。</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15．转让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15.1除甲方事先书面同意外，中标各方不能全部或部分转让本协议项下的权利和义务。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16．协议生效及其他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除非协议中另有说明，本协议经甲方和中标各方负责人签字盖章并经采购代理机构见证后生效。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本协议中的附件均为本协议不可分割的部分，与本协议具有同等的法律效力。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本协议期满后，在协议有效期内投保人与承保方签订的农业保险保单，在保险单约定的保险期限内继续有效。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协议期限：本协议有效期自合同签订之日起至2025年12月31日24:00止。（验收合格后续签下一年合同，本轮政策性农业保险服务期限共3年）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17.本协议应按照中华人民共和国的现行法律进行解释。</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18.合同不可分割部分：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招标文件、投标文件、合同条款及中标通知书，中标人在投标、评标过程中所作其它有关承诺、声明、书面澄清等均为合同不可分割的部分，与主合同具有同等法律效力。</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19.合同备案：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本合同一式四份，甲、中标各方各执壹份，采购代理机构执壹份、市财政局政府采购科备案壹份。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35"/>
        <w:gridCol w:w="284"/>
        <w:gridCol w:w="4535"/>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甲方（采购单位）：</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4"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乙方（中标单位）：（盖章）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4"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4"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5" w:type="dxa"/>
            <w:vAlign w:val="top"/>
            <w:textDirection w:val="lrTb"/>
            <w:noWrap w:val="false"/>
          </w:tcPr>
          <w:p>
            <w:pPr>
              <w:ind w:left="0" w:right="0" w:firstLine="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4"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5" w:type="dxa"/>
            <w:vAlign w:val="top"/>
            <w:textDirection w:val="lrTb"/>
            <w:noWrap w:val="false"/>
          </w:tcPr>
          <w:p>
            <w:pPr>
              <w:ind w:left="0" w:right="0" w:firstLine="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5" w:type="dxa"/>
            <w:vAlign w:val="top"/>
            <w:textDirection w:val="lrTb"/>
            <w:noWrap w:val="false"/>
          </w:tcPr>
          <w:p>
            <w:pPr>
              <w:ind w:left="0" w:right="0" w:firstLine="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4"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5" w:type="dxa"/>
            <w:vAlign w:val="top"/>
            <w:textDirection w:val="lrTb"/>
            <w:noWrap w:val="false"/>
          </w:tcPr>
          <w:p>
            <w:pPr>
              <w:ind w:left="0" w:right="0" w:firstLine="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丙方（中标单位）：（盖章）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4"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丁方（中标单位）：（盖章）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4"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4"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5" w:type="dxa"/>
            <w:vAlign w:val="top"/>
            <w:textDirection w:val="lrTb"/>
            <w:noWrap w:val="false"/>
          </w:tcPr>
          <w:p>
            <w:pPr>
              <w:ind w:left="0" w:right="0" w:firstLine="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4"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5" w:type="dxa"/>
            <w:vAlign w:val="top"/>
            <w:textDirection w:val="lrTb"/>
            <w:noWrap w:val="false"/>
          </w:tcPr>
          <w:p>
            <w:pPr>
              <w:ind w:left="0" w:right="0" w:firstLine="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4"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见证方：江苏容海信息咨询管理有限公司（盖章）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4"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见证方代表：</w:t>
            </w:r>
            <w:r>
              <w:rPr>
                <w:rFonts w:ascii="SimSun" w:hAnsi="SimSun" w:eastAsia="SimSun" w:cs="SimSun"/>
                <w:color w:val="000000"/>
                <w:sz w:val="24"/>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4"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5" w:type="dxa"/>
            <w:vAlign w:val="top"/>
            <w:textDirection w:val="lrTb"/>
            <w:noWrap w:val="false"/>
          </w:tcPr>
          <w:p>
            <w:pPr>
              <w:ind w:left="0" w:right="0" w:firstLine="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4"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第七章　投标文件的组成和格式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书</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2395" w:right="0" w:hanging="1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2395" w:right="0" w:hanging="1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项目名称：</w:t>
      </w:r>
      <w:r>
        <w:rPr>
          <w:rFonts w:ascii="SimSun" w:hAnsi="SimSun" w:eastAsia="SimSun" w:cs="SimSun"/>
          <w:color w:val="000000"/>
          <w:sz w:val="30"/>
          <w:u w:val="single"/>
        </w:rPr>
        <w:t xml:space="preserve">江阴市政策性农业保险承保机构遴选项目</w:t>
      </w:r>
      <w:r/>
    </w:p>
    <w:p>
      <w:pPr>
        <w:ind w:left="0" w:right="0" w:firstLine="9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项目编号：</w:t>
      </w:r>
      <w:r>
        <w:rPr>
          <w:rFonts w:ascii="SimSun" w:hAnsi="SimSun" w:eastAsia="SimSun" w:cs="SimSun"/>
          <w:color w:val="000000"/>
          <w:sz w:val="30"/>
          <w:u w:val="single"/>
        </w:rPr>
        <w:t xml:space="preserve">  JSZC-320281-RHXX-G2024-0002        </w:t>
      </w:r>
      <w:r/>
    </w:p>
    <w:p>
      <w:pPr>
        <w:ind w:left="0" w:right="0" w:firstLine="9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投标单位：</w:t>
      </w:r>
      <w:r>
        <w:rPr>
          <w:rFonts w:ascii="SimSun" w:hAnsi="SimSun" w:eastAsia="SimSun" w:cs="SimSun"/>
          <w:color w:val="000000"/>
          <w:sz w:val="30"/>
          <w:u w:val="single"/>
        </w:rPr>
        <w:t xml:space="preserve">   </w:t>
      </w:r>
      <w:r>
        <w:rPr>
          <w:rFonts w:ascii="SimSun" w:hAnsi="SimSun" w:eastAsia="SimSun" w:cs="SimSun"/>
          <w:b/>
          <w:color w:val="000000"/>
          <w:sz w:val="30"/>
          <w:u w:val="single"/>
        </w:rPr>
        <w:t xml:space="preserve">（加盖CA电子公章）              </w:t>
      </w:r>
      <w:r/>
    </w:p>
    <w:p>
      <w:pPr>
        <w:ind w:left="0" w:right="0" w:firstLine="33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33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二○二四年月日</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投标文件目录</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一、投标函；</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二、承诺书；</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三、投标人相关信息一览表；</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四、投标人农业保险业务开展情况；</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五、分支机构及服务网点分布（招标区域内）；</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六、本项目组织管理体系及主要投入人员情况介绍；</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七、类似项目成功案例一览表；</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八、投标人保险机构、专业保险团队及相应业务部门设置及管理办法设置；</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九、服务偏离表和承诺；</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十、公司情况简介；</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十一、资格证明文件：</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十二、评分标准中对应的其它所需证明材料</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十三、投标人认为需要提供的其他证明文件</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十四、其他附件</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一、投标函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致江苏容海信息咨询管理有限公司：</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我方收到贵司</w:t>
      </w:r>
      <w:r>
        <w:rPr>
          <w:rFonts w:ascii="SimSun" w:hAnsi="SimSun" w:eastAsia="SimSun" w:cs="SimSun"/>
          <w:color w:val="000000"/>
          <w:sz w:val="24"/>
          <w:u w:val="single"/>
        </w:rPr>
        <w:t xml:space="preserve">JSZC-320281-RHXX-G2024-0002</w:t>
      </w:r>
      <w:r>
        <w:rPr>
          <w:rFonts w:ascii="SimSun" w:hAnsi="SimSun" w:eastAsia="SimSun" w:cs="SimSun"/>
          <w:color w:val="000000"/>
          <w:sz w:val="24"/>
        </w:rPr>
        <w:t xml:space="preserve">招标文件，经仔细阅读和研究，我们决定参加</w:t>
      </w:r>
      <w:r>
        <w:rPr>
          <w:rFonts w:ascii="SimSun" w:hAnsi="SimSun" w:eastAsia="SimSun" w:cs="SimSun"/>
          <w:color w:val="000000"/>
          <w:sz w:val="24"/>
          <w:u w:val="single"/>
        </w:rPr>
        <w:t xml:space="preserve">江阴市政策性农业保险承保机构遴选项目</w:t>
      </w:r>
      <w:r>
        <w:rPr>
          <w:rFonts w:ascii="SimSun" w:hAnsi="SimSun" w:eastAsia="SimSun" w:cs="SimSun"/>
          <w:color w:val="000000"/>
          <w:sz w:val="24"/>
        </w:rPr>
        <w:t xml:space="preserve">的投标。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1、愿意按照招标文件的一切要求，提供</w:t>
      </w:r>
      <w:r>
        <w:rPr>
          <w:rFonts w:ascii="SimSun" w:hAnsi="SimSun" w:eastAsia="SimSun" w:cs="SimSun"/>
          <w:color w:val="000000"/>
          <w:sz w:val="24"/>
          <w:u w:val="single"/>
        </w:rPr>
        <w:t xml:space="preserve">江阴市政策性农业保险承保机构遴选项目</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2、我方同意按招标文件的规定，本投标文件的投标有效期限为开标后60天。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3、我方愿意提供招标文件中要求的原始资料及可能另外要求的与投标有关的任何资料，并保证我方已提供和将要提供的资料是真实的、准确的。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4、我方认为你们有权决定中标者。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愿意遵守《中华人民共和国政府采购法》、《中华人民共和国政府采购法实施条例》，并按《中华人民共和国民法典》、财政部《政府采购货物和服务招标投标管理办法》和合同条款履行自己的全部责任。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6、我方认可并遵守采购文件的所有规定，放弃对招标（采购）文件、评标办法、评分细则及配分提出质疑的权利。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7、如我们在投标截止期后撤回投标或中标后拒绝遵守投标承诺或拒绝在规定的时间内与采购人签订合同，则将接受相应处罚。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如果我方被确定为中标单位，我方愿意在合同签署并见证时缴纳履约保证金。且我方如未履行招标文件、投标文件和合同条款的，我方愿意赔偿由此而造成的一切损失，并同意接受按招标文件的相关要求对我方进行处理，有不可抗力情形的除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9、一旦我方中标，我方将根据招标文件的规定，严格履行合同的责任和义务，保证按期、按质、按量完成项目。</w:t>
      </w:r>
      <w:r/>
    </w:p>
    <w:p>
      <w:pPr>
        <w:ind w:left="132"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投标单位（公章）：</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法定代表人或授权委托人（签名或盖章）：</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电话：传真：</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开户名称：</w:t>
      </w:r>
      <w:r/>
    </w:p>
    <w:p>
      <w:pPr>
        <w:ind w:left="0" w:right="0" w:firstLine="71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开户银行：开户账号：</w:t>
      </w:r>
      <w:r/>
    </w:p>
    <w:p>
      <w:pPr>
        <w:ind w:left="0" w:right="0" w:firstLine="71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二、承诺书</w:t>
      </w:r>
      <w:r/>
    </w:p>
    <w:p>
      <w:pPr>
        <w:ind w:left="102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800080"/>
          <w:sz w:val="28"/>
          <w:u w:val="single"/>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江苏容海信息咨询管理有限公司:</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我公司承诺按照江苏省农业保险工作领导小组颁发的条款及费率，对种植业、养殖业、高效设施农业险种进行承保。</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120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投标单位（公章）：</w:t>
      </w:r>
      <w:r/>
    </w:p>
    <w:p>
      <w:pPr>
        <w:ind w:left="0" w:right="0" w:firstLine="120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法定代表人或授权委托人（签名或盖章）：</w:t>
      </w:r>
      <w:r/>
    </w:p>
    <w:p>
      <w:pPr>
        <w:ind w:left="0" w:right="0" w:firstLine="120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w:t>
      </w:r>
      <w:r>
        <w:rPr>
          <w:rFonts w:ascii="SimHei" w:hAnsi="SimHei" w:eastAsia="SimHei" w:cs="SimHei"/>
          <w:color w:val="000000"/>
          <w:sz w:val="28"/>
          <w:u w:val="none"/>
        </w:rPr>
        <w:t xml:space="preserve">投标人</w:t>
      </w:r>
      <w:r>
        <w:rPr>
          <w:rFonts w:ascii="SimHei" w:hAnsi="SimHei" w:eastAsia="SimHei" w:cs="SimHei"/>
          <w:color w:val="000000"/>
          <w:sz w:val="28"/>
        </w:rPr>
        <w:t xml:space="preserve">相关信息一览表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935"/>
        <w:gridCol w:w="935"/>
        <w:gridCol w:w="935"/>
        <w:gridCol w:w="935"/>
        <w:gridCol w:w="935"/>
        <w:gridCol w:w="935"/>
        <w:gridCol w:w="935"/>
        <w:gridCol w:w="935"/>
        <w:gridCol w:w="935"/>
      </w:tblGrid>
      <w:tr>
        <w:trPr>
          <w:trHeight w:val="2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84" w:type="dxa"/>
            <w:vAlign w:val="center"/>
            <w:textDirection w:val="lrTb"/>
            <w:noWrap w:val="false"/>
          </w:tcPr>
          <w:p>
            <w:pPr>
              <w:ind w:left="0" w:right="0" w:firstLine="7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7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tc>
      </w:tr>
      <w:tr>
        <w:trPr>
          <w:trHeight w:val="2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6" w:type="dxa"/>
            <w:vAlign w:val="center"/>
            <w:textDirection w:val="lrTb"/>
            <w:noWrap w:val="false"/>
          </w:tcPr>
          <w:p>
            <w:pPr>
              <w:ind w:left="120" w:right="0" w:hanging="1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216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2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6" w:type="dxa"/>
            <w:vAlign w:val="center"/>
            <w:textDirection w:val="lrTb"/>
            <w:noWrap w:val="false"/>
          </w:tcPr>
          <w:p>
            <w:pPr>
              <w:ind w:left="120" w:right="0" w:hanging="1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216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8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资产总计（2021年）</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204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2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股东权益（2021年）</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vMerge w:val="restart"/>
            <w:textDirection w:val="lrTb"/>
            <w:noWrap w:val="false"/>
          </w:tcPr>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2022年           万元</w:t>
            </w:r>
            <w:r/>
          </w:p>
        </w:tc>
      </w:tr>
      <w:tr>
        <w:trPr>
          <w:trHeight w:val="20"/>
        </w:trPr>
        <w:tc>
          <w:tcPr>
            <w:gridSpan w:val="2"/>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2023年           万元</w:t>
            </w:r>
            <w:r/>
          </w:p>
        </w:tc>
      </w:tr>
      <w:tr>
        <w:trPr>
          <w:trHeight w:val="2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8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2022年     万元，2023年        万元</w:t>
            </w:r>
            <w:r/>
          </w:p>
        </w:tc>
      </w:tr>
      <w:tr>
        <w:trPr>
          <w:trHeight w:val="2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年末“固定资产合计”</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年末“资产总计”余额（万元）</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年末“流动资产”余额</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年末“货币资金”余额（万元）：</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年末“短期负债”余额</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年末“长期负责”余额（万元）：</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gridSpan w:val="10"/>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以下内容填写江阴分支机构状况</w:t>
            </w:r>
            <w:r/>
          </w:p>
        </w:tc>
      </w:tr>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1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7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r>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营业面积（全市）</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vMerge w:val="restart"/>
            <w:textDirection w:val="lrTb"/>
            <w:noWrap w:val="false"/>
          </w:tcPr>
          <w:p>
            <w:pPr>
              <w:ind w:left="0" w:right="0" w:firstLine="96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平方米</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       平方米</w:t>
            </w:r>
            <w:r/>
          </w:p>
        </w:tc>
      </w:tr>
      <w:tr>
        <w:trPr>
          <w:trHeight w:val="20"/>
        </w:trPr>
        <w:tc>
          <w:tcPr>
            <w:vMerge w:val="continue"/>
            <w:textDirection w:val="lrTb"/>
            <w:noWrap w:val="false"/>
          </w:tcPr>
          <w:p>
            <w:r/>
            <w:r/>
          </w:p>
        </w:tc>
        <w:tc>
          <w:tcPr>
            <w:gridSpan w:val="2"/>
            <w:vMerge w:val="continue"/>
            <w:textDirection w:val="lrTb"/>
            <w:noWrap w:val="false"/>
          </w:tcPr>
          <w:p>
            <w:r/>
            <w:r/>
          </w:p>
        </w:tc>
        <w:tc>
          <w:tcPr>
            <w:gridSpan w:val="4"/>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       平方米</w:t>
            </w:r>
            <w:r/>
          </w:p>
        </w:tc>
      </w:tr>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查勘车辆</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144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辆</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查勘人员数量</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6" w:type="dxa"/>
            <w:vAlign w:val="center"/>
            <w:textDirection w:val="lrTb"/>
            <w:noWrap w:val="false"/>
          </w:tcPr>
          <w:p>
            <w:pPr>
              <w:ind w:left="0" w:right="220" w:firstLine="240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r>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9"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9"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9"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公司取得的相关资质及等级</w:t>
            </w:r>
            <w:r/>
          </w:p>
        </w:tc>
        <w:tc>
          <w:tcPr>
            <w:gridSpan w:val="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9"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w:t>
            </w:r>
            <w:r/>
          </w:p>
        </w:tc>
        <w:tc>
          <w:tcPr>
            <w:gridSpan w:val="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9"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（包括行业监管部门、交通、旅游、财政、工商、税务、物价等部门稽查情况和结果）</w:t>
            </w:r>
            <w:r/>
          </w:p>
        </w:tc>
      </w:tr>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公司经营活动状况</w:t>
            </w:r>
            <w:r/>
          </w:p>
        </w:tc>
        <w:tc>
          <w:tcPr>
            <w:gridSpan w:val="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9"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参加政府采购活动前三年内，在经营活动中有重大违法记录，应回避本项目采购，如没有请声明。</w:t>
            </w:r>
            <w:r/>
          </w:p>
        </w:tc>
      </w:tr>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农业保险业务状况</w:t>
            </w:r>
            <w:r/>
          </w:p>
        </w:tc>
        <w:tc>
          <w:tcPr>
            <w:gridSpan w:val="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9"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本系统内上一年度在全省农业保险业务有发生重大违法违规行为，应回避本项目采购，如没有请声明。</w:t>
            </w:r>
            <w:r/>
          </w:p>
        </w:tc>
      </w:tr>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赔付率情况说明：</w:t>
            </w:r>
            <w:r/>
          </w:p>
        </w:tc>
        <w:tc>
          <w:tcPr>
            <w:gridSpan w:val="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9"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120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投标单位（公章）：</w:t>
      </w:r>
      <w:r/>
    </w:p>
    <w:p>
      <w:pPr>
        <w:ind w:left="0" w:right="0" w:firstLine="120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法定代表人或授权委托人（签名或盖章）：</w:t>
      </w:r>
      <w:r/>
    </w:p>
    <w:p>
      <w:pPr>
        <w:ind w:left="0" w:right="0" w:firstLine="120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四、投标人农业保险业务开展情况</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由各投标人根据本公司关于农业保险业务开展情况以及服务方案给予简单描述，格式自拟，应包括但不限于：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1、农业再保险和大灾风险安排以及风险应对预案；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2、政策宣传方案；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3、接报案方案；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4、现场查勘方案；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5、定责定损方案；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6、索赔材料递交方案；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7、提供气象证明材料；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8、赔款时限设定；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9、投诉制度；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10、回访制度；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11、争议调处制度；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12、防灾减损方案；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13、报表报送方法；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14、承保面积说明；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15、应保尽保说明；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16、农业保险占比说明。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五、分支机构及服务网点分布（江阴市）</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8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网点地址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rHeight w:val="5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投标单位（公章）：</w:t>
      </w:r>
      <w:r/>
    </w:p>
    <w:p>
      <w:pPr>
        <w:ind w:left="0" w:right="0" w:firstLine="120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法定代表人或授权委托人（签名或盖章）</w:t>
      </w:r>
      <w:r/>
    </w:p>
    <w:p>
      <w:pPr>
        <w:ind w:left="0" w:right="0" w:firstLine="120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六、本项目组织管理体系及主要投入人员情况介绍</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w:t>
      </w:r>
      <w:r/>
    </w:p>
    <w:p>
      <w:pPr>
        <w:pStyle w:val="672"/>
        <w:ind w:left="0" w:right="0" w:firstLine="472"/>
        <w:spacing w:before="260" w:after="26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由各投标人根据本项目特点对组织管理体系(组织管理实施方案、服务质量、人力资源等)给予简单描述，格式自拟。</w:t>
      </w:r>
      <w:r/>
    </w:p>
    <w:p>
      <w:pPr>
        <w:pStyle w:val="672"/>
        <w:ind w:left="0" w:right="0" w:firstLine="0"/>
        <w:jc w:val="center"/>
        <w:spacing w:before="260" w:after="26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（二）拟派本项目负责人情况简介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rHeight w:val="63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15" w:right="0" w:firstLine="2534"/>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3118" w:type="dxa"/>
            <w:vAlign w:val="center"/>
            <w:textDirection w:val="lrTb"/>
            <w:noWrap w:val="false"/>
          </w:tcPr>
          <w:p>
            <w:pPr>
              <w:ind w:left="-15"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近3年工作业绩及承担的主要工作</w:t>
            </w:r>
            <w:r/>
          </w:p>
        </w:tc>
      </w:tr>
      <w:tr>
        <w:trPr>
          <w:trHeight w:val="63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15" w:right="0" w:firstLine="2534"/>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118" w:type="dxa"/>
            <w:vAlign w:val="center"/>
            <w:vMerge w:val="restart"/>
            <w:textDirection w:val="lrTb"/>
            <w:noWrap w:val="false"/>
          </w:tcPr>
          <w:p>
            <w:pPr>
              <w:ind w:left="-15" w:right="0" w:firstLine="2534"/>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15" w:right="0" w:firstLine="2534"/>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15" w:right="0" w:firstLine="2534"/>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15"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15" w:right="0" w:firstLine="2534"/>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15"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所学专业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15" w:right="0" w:firstLine="2534"/>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15" w:right="0" w:firstLine="2534"/>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15"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*****证书编号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15" w:right="0" w:firstLine="2534"/>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15"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15" w:right="0" w:firstLine="2534"/>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15"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15" w:right="0" w:firstLine="2534"/>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1435"/>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3118" w:type="dxa"/>
            <w:vAlign w:val="center"/>
            <w:textDirection w:val="lrTb"/>
            <w:noWrap w:val="false"/>
          </w:tcPr>
          <w:p>
            <w:pPr>
              <w:ind w:left="-15"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曾担任项目主要负责人的项目</w:t>
            </w:r>
            <w:r/>
          </w:p>
        </w:tc>
        <w:tc>
          <w:tcPr>
            <w:gridSpan w:val="2"/>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6237" w:type="dxa"/>
            <w:vAlign w:val="center"/>
            <w:textDirection w:val="lrTb"/>
            <w:noWrap w:val="false"/>
          </w:tcPr>
          <w:p>
            <w:pPr>
              <w:ind w:left="-15" w:right="0" w:firstLine="2534"/>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注：1、项目负责人为*****师，提交相关证书复印件，原件携带备查。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2、列入本表人员如要更换，需经采购人同意。擅自更换属违约行为。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3、项目负责人须提供本单位连续6个月的社保缴纳证明（至少包含近三个月中任意一个月份&lt;不含投标当月&gt;）。</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（三）本项目拟投入人员配备一览表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9"/>
        <w:gridCol w:w="1169"/>
        <w:gridCol w:w="1169"/>
        <w:gridCol w:w="1169"/>
        <w:gridCol w:w="1169"/>
        <w:gridCol w:w="1169"/>
        <w:gridCol w:w="1169"/>
        <w:gridCol w:w="1169"/>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从事农业保险工作年限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农业保险</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管理特长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17"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注：1、行数不够请自行添加，投标文件中须附相关工作人员的身份证等的复印件，携带原件备查；2、列入本表人员如要更换，需经采购人同意。擅自更换属违约行为；3、合署办公的工作人员请在备注栏标明。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 本项目拟投入农业保险管理和服务团队一览表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935"/>
        <w:gridCol w:w="935"/>
        <w:gridCol w:w="935"/>
        <w:gridCol w:w="935"/>
        <w:gridCol w:w="935"/>
        <w:gridCol w:w="935"/>
        <w:gridCol w:w="935"/>
        <w:gridCol w:w="935"/>
        <w:gridCol w:w="935"/>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号码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院校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从业年限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类似工作经验及技术专长</w:t>
            </w:r>
            <w:r/>
          </w:p>
        </w:tc>
      </w:tr>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精算师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高级工程师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普通工作</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17"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注：1.行数不够请自行添加，投标文件中须附相关工作人员的身份证、学历证书、从业证书复印件，携带原件备查。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0"/>
          <w:sz w:val="28"/>
        </w:rPr>
        <w:t xml:space="preserve">（五）</w:t>
      </w:r>
      <w:r>
        <w:rPr>
          <w:rFonts w:ascii="SimHei" w:hAnsi="SimHei" w:eastAsia="SimHei" w:cs="SimHei"/>
          <w:color w:val="000000"/>
          <w:sz w:val="28"/>
        </w:rPr>
        <w:t xml:space="preserve">本项目农业专家咨询库一览表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9"/>
        <w:gridCol w:w="1039"/>
        <w:gridCol w:w="1039"/>
        <w:gridCol w:w="1039"/>
        <w:gridCol w:w="1039"/>
        <w:gridCol w:w="1039"/>
        <w:gridCol w:w="1039"/>
        <w:gridCol w:w="1039"/>
        <w:gridCol w:w="1039"/>
      </w:tblGrid>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从业年限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类似工作经验及技术专长</w:t>
            </w:r>
            <w:r/>
          </w:p>
        </w:tc>
      </w:tr>
      <w:tr>
        <w:trPr>
          <w:trHeight w:val="6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17"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注：1.行数不够请自行添加，投标文件中须附相关工作人员的身份证、学历证书、职称或执业证书等复印件。</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七、类似项目成功案例一览表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9"/>
        <w:gridCol w:w="1169"/>
        <w:gridCol w:w="1169"/>
        <w:gridCol w:w="1169"/>
        <w:gridCol w:w="1169"/>
        <w:gridCol w:w="1169"/>
        <w:gridCol w:w="1169"/>
        <w:gridCol w:w="1169"/>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客户名称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险种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赔付金额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  注</w:t>
            </w:r>
            <w:r/>
          </w:p>
        </w:tc>
      </w:tr>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注：成功案例除需填报本表外，还需提供相应的证明材料复印件（成功案例指具有合同和验收报告或用户证明材料）。</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八、投标人保险机构、专业保险团队及相应业务部门设置及管理办法设置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照招标文件采购要求所编写的本地保险营业机构设置，应包括但不限于以下内容：本地保险机构的人员简介（见一览表），建立农业保险经办业务内部管理机制、怎样实现与采购方实现计算机联网、专门的业务管理部门规章制度、办公硬件情况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2、团队的设置、团队的培训及日常管理、团队主要人员及其岗位描述、资质、经历等。</w:t>
      </w:r>
      <w:r/>
    </w:p>
    <w:p>
      <w:pPr>
        <w:pStyle w:val="672"/>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3、相应业务部门设置及管理办法等。</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九、服务偏离表和承诺</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（一）服务偏离表</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偏离情况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原因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补救措施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both"/>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注：1、请仔细对照招标文件要求，将偏离情况如实填写并说明原因，是否有其他补救措施。除本服务偏离表所列的偏离服务外，其他所有服务均完全响应“招标文件”中的要求。</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（二）承诺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格式自拟，由各投标人根据招标要求及评分要点自行作出相应承诺。</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十、公司情况简介</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请投标人自行介绍本公司情况，应包括具有提供本项目服务所必须的设备和专业技术能力，格式自拟。</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2"/>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numPr>
          <w:ilvl w:val="0"/>
          <w:numId w:val="10"/>
        </w:numPr>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资格证明文件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numPr>
          <w:ilvl w:val="0"/>
          <w:numId w:val="10"/>
        </w:numPr>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企业法人营业执照副本、《经营保险业务许可证》或其他有效登记证书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numPr>
          <w:ilvl w:val="0"/>
          <w:numId w:val="10"/>
        </w:numPr>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财务状况报告</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numPr>
          <w:ilvl w:val="0"/>
          <w:numId w:val="10"/>
        </w:numPr>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依法缴纳税收和社会保障资金的相关材料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pStyle w:val="674"/>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（四）参加政府采购活动前3年内在经营活动中没有重大违法记</w:t>
      </w:r>
      <w:r>
        <w:rPr>
          <w:rFonts w:ascii="SimHei" w:hAnsi="SimHei" w:eastAsia="SimHei" w:cs="SimHei"/>
          <w:color w:val="000000"/>
          <w:sz w:val="28"/>
        </w:rPr>
        <w:t xml:space="preserve">录的书面声明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声明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38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8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投标单位（公章）：</w:t>
      </w:r>
      <w:r/>
    </w:p>
    <w:p>
      <w:pPr>
        <w:ind w:left="0" w:right="0" w:firstLine="120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法定代表人或授权委托人（签名或盖章）：</w:t>
      </w:r>
      <w:r/>
    </w:p>
    <w:p>
      <w:pPr>
        <w:ind w:left="0" w:right="0" w:firstLine="120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2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20"/>
          <w:sz w:val="72"/>
        </w:rPr>
        <w:t xml:space="preserve"> </w:t>
      </w:r>
      <w:r/>
    </w:p>
    <w:p>
      <w:pPr>
        <w:ind w:left="0" w:right="0" w:firstLine="0"/>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（五）法定代表人授权委托书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江苏容海信息咨询管理有限公司：</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系中华人民共和国合法企业。法定地址：</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特授权代表我公司（单位）全权办理针对上述项目的投标、参与评标、签约等具体工作，并签署全部有关的文件、协议及合同。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我公司（单位）对授权委托人的签名负全部责任。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在撤销授权的书面通知送达你处以前，本授权书一直有效，授权委托人签署的所有文件（在授权书有效期内签署的）不因授权的撤销而失效。授权委托人无转委托权。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授权委托人情况：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姓名：性别：年龄：职务：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身份证号码：电话：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授权委托人签名：单位名称（公章）：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法定代表人（签名或盖章）：</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【授权委托人必须提供本单位连续6个月（且至少包含近3个月中任意1个月份&lt;不含投标当月&gt;）为其缴纳社保的证明复印件】</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42"/>
        <w:gridCol w:w="2843"/>
        <w:gridCol w:w="2843"/>
      </w:tblGrid>
      <w:tr>
        <w:trPr>
          <w:trHeight w:val="16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复印件</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843"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授权委托人身份证</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复印件</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（六）关于资格的声明函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江苏容海信息咨询管理有限公司：</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我公司（单位）参加本次</w:t>
      </w:r>
      <w:r>
        <w:rPr>
          <w:rFonts w:ascii="SimSun" w:hAnsi="SimSun" w:eastAsia="SimSun" w:cs="SimSun"/>
          <w:color w:val="000000"/>
          <w:sz w:val="24"/>
          <w:u w:val="single"/>
        </w:rPr>
        <w:t xml:space="preserve">江阴市政策性农业保险承保机构遴选项目</w:t>
      </w:r>
      <w:r>
        <w:rPr>
          <w:rFonts w:ascii="SimSun" w:hAnsi="SimSun" w:eastAsia="SimSun" w:cs="SimSun"/>
          <w:color w:val="000000"/>
          <w:sz w:val="24"/>
        </w:rPr>
        <w:t xml:space="preserve">的投标，作如下承诺：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1、我公司（单位）投标文件中所有关于投标资格的文件、证明、陈述均是真实的、准确的。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2、我公司（单位）未被列入“信用中国”网站、中国政府采购网等渠道信用记录失信被执行人、重大税收违法案件当事人名单、政府采购严重违法失信行为记录名单。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3、我公司（单位）不具有违反政府采购法第二十二条的情形。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若有违背，我公司（单位）愿意承担因“提供虚假材料谋取中标的”的一切法律后果。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投标单位（公章）：</w:t>
      </w:r>
      <w:r/>
    </w:p>
    <w:p>
      <w:pPr>
        <w:ind w:left="0" w:right="0" w:firstLine="120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法定代表人或授权委托人（签名或盖章）：</w:t>
      </w:r>
      <w:r/>
    </w:p>
    <w:p>
      <w:pPr>
        <w:ind w:left="0" w:right="0" w:firstLine="120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numPr>
          <w:ilvl w:val="0"/>
          <w:numId w:val="10"/>
        </w:numPr>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投保人具有独立承保各级财政补贴的政策性农业保险业务的省级保险机构的资质材料、省级保险机构对投标人的授权材料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numPr>
          <w:ilvl w:val="0"/>
          <w:numId w:val="10"/>
        </w:numPr>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评分标准中对应的其它所需证明材料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十三、投标人认为需要提供的其他证明文件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十四、其他附件</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（一）中小企业声明函（工程、服务）</w:t>
        <w:br/>
        <w:t xml:space="preserve">（非小微企业无需提供此表内容）</w:t>
      </w:r>
      <w:r/>
    </w:p>
    <w:p>
      <w:pPr>
        <w:ind w:left="0" w:right="158"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w:t>
      </w:r>
      <w:r>
        <w:rPr>
          <w:rFonts w:ascii="SimSun" w:hAnsi="SimSun" w:eastAsia="SimSun" w:cs="SimSun"/>
          <w:color w:val="000000"/>
          <w:sz w:val="24"/>
          <w:vertAlign w:val="superscript"/>
        </w:rPr>
        <w:t xml:space="preserve">１</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w:t>
      </w:r>
      <w:r>
        <w:rPr>
          <w:rFonts w:ascii="SimSun" w:hAnsi="SimSun" w:eastAsia="SimSun" w:cs="SimSun"/>
          <w:color w:val="000000"/>
          <w:sz w:val="24"/>
          <w:vertAlign w:val="superscript"/>
        </w:rPr>
        <w:t xml:space="preserve">１</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158"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80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1680" w:right="0" w:hanging="42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注：</w:t>
      </w:r>
      <w:r>
        <w:rPr>
          <w:rFonts w:ascii="SimSun" w:hAnsi="SimSun" w:eastAsia="SimSun" w:cs="SimSun"/>
          <w:color w:val="000000"/>
          <w:sz w:val="18"/>
          <w:vertAlign w:val="superscript"/>
        </w:rPr>
        <w:t xml:space="preserve">1</w:t>
      </w:r>
      <w:r>
        <w:rPr>
          <w:rFonts w:ascii="SimSun" w:hAnsi="SimSun" w:eastAsia="SimSun" w:cs="SimSun"/>
          <w:color w:val="000000"/>
          <w:sz w:val="18"/>
        </w:rPr>
        <w:t xml:space="preserve">从业人员、营业收入、资产总额填报上一年度数据，无上一年度数据的新成立企业可不填报。</w:t>
      </w:r>
      <w:r/>
    </w:p>
    <w:p>
      <w:pPr>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vertAlign w:val="superscript"/>
        </w:rPr>
        <w:t xml:space="preserve">2</w:t>
      </w:r>
      <w:r>
        <w:rPr>
          <w:rFonts w:ascii="SimSun" w:hAnsi="SimSun" w:eastAsia="SimSun" w:cs="SimSun"/>
          <w:color w:val="000000"/>
          <w:sz w:val="18"/>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6"/>
          <w:sz w:val="28"/>
        </w:rPr>
        <w:t xml:space="preserve">（二）残疾人福利性单位声明函</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6"/>
          <w:sz w:val="28"/>
        </w:rPr>
        <w:t xml:space="preserve">（非残疾人福利性单位无需提供此表内容）</w:t>
      </w:r>
      <w:r/>
    </w:p>
    <w:p>
      <w:pPr>
        <w:ind w:left="0" w:right="0" w:firstLine="50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 141</w:t>
      </w:r>
      <w:r>
        <w:rPr>
          <w:rFonts w:ascii="SimSun" w:hAnsi="SimSun" w:eastAsia="SimSun" w:cs="SimSun"/>
          <w:color w:val="000000"/>
          <w:spacing w:val="6"/>
          <w:sz w:val="24"/>
        </w:rPr>
        <w:t xml:space="preserve">号）的规定，本单位为符合条件的残疾人福利性单位，且本单位参加</w:t>
      </w:r>
      <w:r>
        <w:rPr>
          <w:rFonts w:ascii="SimSun" w:hAnsi="SimSun" w:eastAsia="SimSun" w:cs="SimSun"/>
          <w:color w:val="000000"/>
          <w:sz w:val="24"/>
        </w:rPr>
        <w:t xml:space="preserve">单位的项目</w:t>
      </w:r>
      <w:r>
        <w:rPr>
          <w:rFonts w:ascii="SimSun" w:hAnsi="SimSun" w:eastAsia="SimSun" w:cs="SimSun"/>
          <w:color w:val="000000"/>
          <w:spacing w:val="6"/>
          <w:sz w:val="24"/>
        </w:rPr>
        <w:t xml:space="preserve">采购活动提供本单位制造的货物（由本单位承担工程/提供服务），或者提供其他残疾人福利性单位制造的货物（不包括使用非残疾人福利性单位注册商标的货物）。</w:t>
      </w:r>
      <w:r/>
    </w:p>
    <w:p>
      <w:pPr>
        <w:ind w:left="0" w:right="0" w:firstLine="50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50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单位名称（盖章）：　　　　　　　</w:t>
      </w:r>
      <w:r/>
    </w:p>
    <w:p>
      <w:pPr>
        <w:ind w:left="0" w:right="0" w:firstLine="504"/>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日期：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一、质疑投标人基本信息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3.质疑投标人若对项目的某一分包进行质疑，质疑函中应列明具体分包号。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6.质疑投标人为自然人的，质疑函应由本人签字；质疑投标人为法人或者其他组织的，质疑函应由法定代表人/单位负责人，或者其授权代表签字或者盖章，并加盖公章。</w:t>
      </w:r>
      <w:r/>
    </w:p>
    <w:p>
      <w:pPr>
        <w:pStyle w:val="674"/>
        <w:ind w:left="0" w:right="0" w:firstLine="0"/>
        <w:jc w:val="lef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r>
      <w:r>
        <w:rPr>
          <w:rFonts w:ascii="Times New Roman" w:hAnsi="Times New Roman" w:eastAsia="Times New Roman" w:cs="Times New Roman"/>
          <w:sz w:val="32"/>
        </w:r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FangSong">
    <w:panose1 w:val="02010609060101010101"/>
  </w:font>
  <w:font w:name="SimHei">
    <w:panose1 w:val="02010609060101010101"/>
  </w:font>
  <w:font w:name="Microsoft YaHei">
    <w:panose1 w:val="020B0503020204020204"/>
  </w:font>
  <w:font w:name="Times New Roman">
    <w:panose1 w:val="02020603050405020304"/>
  </w:font>
  <w:font w:name="KaiTi">
    <w:panose1 w:val="02010609060101010101"/>
  </w:font>
  <w:font w:name="Symbol">
    <w:panose1 w:val="05050102010706020507"/>
  </w:font>
  <w:font w:name="Wingdings">
    <w:panose1 w:val="05000000000000000000"/>
  </w:font>
  <w:font w:name="Courier New">
    <w:panose1 w:val="02070309020205020404"/>
  </w:font>
  <w:font w:name="SimSun">
    <w:panose1 w:val="02010600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7"/>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name w:val="Heading 1"/>
    <w:link w:val="671"/>
    <w:uiPriority w:val="9"/>
    <w:qFormat/>
    <w:pPr>
      <w:keepLines/>
      <w:keepNext/>
      <w:spacing w:before="480" w:after="200"/>
      <w:outlineLvl w:val="0"/>
    </w:pPr>
    <w:rPr>
      <w:rFonts w:ascii="Arial" w:hAnsi="Arial" w:eastAsia="Arial" w:cs="Arial"/>
      <w:sz w:val="40"/>
      <w:szCs w:val="40"/>
    </w:rPr>
  </w:style>
  <w:style w:type="character" w:styleId="671">
    <w:name w:val="Heading 1 Char"/>
    <w:link w:val="670"/>
    <w:uiPriority w:val="9"/>
    <w:rPr>
      <w:rFonts w:ascii="Arial" w:hAnsi="Arial" w:eastAsia="Arial" w:cs="Arial"/>
      <w:sz w:val="40"/>
      <w:szCs w:val="40"/>
    </w:rPr>
  </w:style>
  <w:style w:type="paragraph" w:styleId="672">
    <w:name w:val="Heading 2"/>
    <w:link w:val="673"/>
    <w:uiPriority w:val="9"/>
    <w:unhideWhenUsed/>
    <w:qFormat/>
    <w:pPr>
      <w:keepLines/>
      <w:keepNext/>
      <w:spacing w:before="360" w:after="200"/>
      <w:outlineLvl w:val="1"/>
    </w:pPr>
    <w:rPr>
      <w:rFonts w:ascii="Arial" w:hAnsi="Arial" w:eastAsia="Arial" w:cs="Arial"/>
      <w:sz w:val="34"/>
    </w:rPr>
  </w:style>
  <w:style w:type="character" w:styleId="673">
    <w:name w:val="Heading 2 Char"/>
    <w:link w:val="672"/>
    <w:uiPriority w:val="9"/>
    <w:rPr>
      <w:rFonts w:ascii="Arial" w:hAnsi="Arial" w:eastAsia="Arial" w:cs="Arial"/>
      <w:sz w:val="34"/>
    </w:rPr>
  </w:style>
  <w:style w:type="paragraph" w:styleId="674">
    <w:name w:val="Heading 3"/>
    <w:link w:val="675"/>
    <w:uiPriority w:val="9"/>
    <w:unhideWhenUsed/>
    <w:qFormat/>
    <w:pPr>
      <w:keepLines/>
      <w:keepNext/>
      <w:spacing w:before="320" w:after="200"/>
      <w:outlineLvl w:val="2"/>
    </w:pPr>
    <w:rPr>
      <w:rFonts w:ascii="Arial" w:hAnsi="Arial" w:eastAsia="Arial" w:cs="Arial"/>
      <w:sz w:val="30"/>
      <w:szCs w:val="30"/>
    </w:rPr>
  </w:style>
  <w:style w:type="character" w:styleId="675">
    <w:name w:val="Heading 3 Char"/>
    <w:link w:val="674"/>
    <w:uiPriority w:val="9"/>
    <w:rPr>
      <w:rFonts w:ascii="Arial" w:hAnsi="Arial" w:eastAsia="Arial" w:cs="Arial"/>
      <w:sz w:val="30"/>
      <w:szCs w:val="30"/>
    </w:rPr>
  </w:style>
  <w:style w:type="paragraph" w:styleId="676">
    <w:name w:val="Heading 4"/>
    <w:link w:val="677"/>
    <w:uiPriority w:val="9"/>
    <w:unhideWhenUsed/>
    <w:qFormat/>
    <w:pPr>
      <w:keepLines/>
      <w:keepNext/>
      <w:spacing w:before="320" w:after="200"/>
      <w:outlineLvl w:val="3"/>
    </w:pPr>
    <w:rPr>
      <w:rFonts w:ascii="Arial" w:hAnsi="Arial" w:eastAsia="Arial" w:cs="Arial"/>
      <w:b/>
      <w:bCs/>
      <w:sz w:val="26"/>
      <w:szCs w:val="26"/>
    </w:rPr>
  </w:style>
  <w:style w:type="character" w:styleId="677">
    <w:name w:val="Heading 4 Char"/>
    <w:link w:val="676"/>
    <w:uiPriority w:val="9"/>
    <w:rPr>
      <w:rFonts w:ascii="Arial" w:hAnsi="Arial" w:eastAsia="Arial" w:cs="Arial"/>
      <w:b/>
      <w:bCs/>
      <w:sz w:val="26"/>
      <w:szCs w:val="26"/>
    </w:rPr>
  </w:style>
  <w:style w:type="paragraph" w:styleId="678">
    <w:name w:val="Heading 5"/>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link w:val="678"/>
    <w:uiPriority w:val="9"/>
    <w:rPr>
      <w:rFonts w:ascii="Arial" w:hAnsi="Arial" w:eastAsia="Arial" w:cs="Arial"/>
      <w:b/>
      <w:bCs/>
      <w:sz w:val="24"/>
      <w:szCs w:val="24"/>
    </w:rPr>
  </w:style>
  <w:style w:type="paragraph" w:styleId="680">
    <w:name w:val="Heading 6"/>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link w:val="680"/>
    <w:uiPriority w:val="9"/>
    <w:rPr>
      <w:rFonts w:ascii="Arial" w:hAnsi="Arial" w:eastAsia="Arial" w:cs="Arial"/>
      <w:b/>
      <w:bCs/>
      <w:sz w:val="22"/>
      <w:szCs w:val="22"/>
    </w:rPr>
  </w:style>
  <w:style w:type="paragraph" w:styleId="682">
    <w:name w:val="Heading 7"/>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link w:val="682"/>
    <w:uiPriority w:val="9"/>
    <w:rPr>
      <w:rFonts w:ascii="Arial" w:hAnsi="Arial" w:eastAsia="Arial" w:cs="Arial"/>
      <w:b/>
      <w:bCs/>
      <w:i/>
      <w:iCs/>
      <w:sz w:val="22"/>
      <w:szCs w:val="22"/>
    </w:rPr>
  </w:style>
  <w:style w:type="paragraph" w:styleId="684">
    <w:name w:val="Heading 8"/>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link w:val="684"/>
    <w:uiPriority w:val="9"/>
    <w:rPr>
      <w:rFonts w:ascii="Arial" w:hAnsi="Arial" w:eastAsia="Arial" w:cs="Arial"/>
      <w:i/>
      <w:iCs/>
      <w:sz w:val="22"/>
      <w:szCs w:val="22"/>
    </w:rPr>
  </w:style>
  <w:style w:type="paragraph" w:styleId="686">
    <w:name w:val="Heading 9"/>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link w:val="686"/>
    <w:uiPriority w:val="9"/>
    <w:rPr>
      <w:rFonts w:ascii="Arial" w:hAnsi="Arial" w:eastAsia="Arial" w:cs="Arial"/>
      <w:i/>
      <w:iCs/>
      <w:sz w:val="21"/>
      <w:szCs w:val="21"/>
    </w:rPr>
  </w:style>
  <w:style w:type="paragraph" w:styleId="688">
    <w:name w:val="List Paragraph"/>
    <w:uiPriority w:val="34"/>
    <w:qFormat/>
    <w:pPr>
      <w:contextualSpacing/>
      <w:ind w:left="720"/>
    </w:pPr>
  </w:style>
  <w:style w:type="paragraph" w:styleId="689">
    <w:name w:val="No Spacing"/>
    <w:uiPriority w:val="1"/>
    <w:qFormat/>
    <w:pPr>
      <w:spacing w:before="0" w:after="0" w:line="240" w:lineRule="auto"/>
    </w:pPr>
  </w:style>
  <w:style w:type="paragraph" w:styleId="690">
    <w:name w:val="Title"/>
    <w:link w:val="691"/>
    <w:uiPriority w:val="10"/>
    <w:qFormat/>
    <w:pPr>
      <w:contextualSpacing/>
      <w:spacing w:before="300" w:after="200"/>
    </w:pPr>
    <w:rPr>
      <w:sz w:val="48"/>
      <w:szCs w:val="48"/>
    </w:rPr>
  </w:style>
  <w:style w:type="character" w:styleId="691">
    <w:name w:val="Title Char"/>
    <w:link w:val="690"/>
    <w:uiPriority w:val="10"/>
    <w:rPr>
      <w:sz w:val="48"/>
      <w:szCs w:val="48"/>
    </w:rPr>
  </w:style>
  <w:style w:type="paragraph" w:styleId="692">
    <w:name w:val="Subtitle"/>
    <w:link w:val="693"/>
    <w:uiPriority w:val="11"/>
    <w:qFormat/>
    <w:pPr>
      <w:spacing w:before="200" w:after="200"/>
    </w:pPr>
    <w:rPr>
      <w:sz w:val="24"/>
      <w:szCs w:val="24"/>
    </w:rPr>
  </w:style>
  <w:style w:type="character" w:styleId="693">
    <w:name w:val="Subtitle Char"/>
    <w:link w:val="692"/>
    <w:uiPriority w:val="11"/>
    <w:rPr>
      <w:sz w:val="24"/>
      <w:szCs w:val="24"/>
    </w:rPr>
  </w:style>
  <w:style w:type="paragraph" w:styleId="694">
    <w:name w:val="Quote"/>
    <w:link w:val="695"/>
    <w:uiPriority w:val="29"/>
    <w:qFormat/>
    <w:pPr>
      <w:ind w:left="720" w:right="720"/>
    </w:pPr>
    <w:rPr>
      <w:i/>
    </w:rPr>
  </w:style>
  <w:style w:type="character" w:styleId="695">
    <w:name w:val="Quote Char"/>
    <w:link w:val="694"/>
    <w:uiPriority w:val="29"/>
    <w:rPr>
      <w:i/>
    </w:rPr>
  </w:style>
  <w:style w:type="paragraph" w:styleId="696">
    <w:name w:val="Intense Quote"/>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paragraph" w:styleId="698">
    <w:name w:val="Header"/>
    <w:link w:val="699"/>
    <w:uiPriority w:val="99"/>
    <w:unhideWhenUsed/>
    <w:pPr>
      <w:spacing w:after="0" w:line="240" w:lineRule="auto"/>
      <w:tabs>
        <w:tab w:val="center" w:pos="7143" w:leader="none"/>
        <w:tab w:val="right" w:pos="14287" w:leader="none"/>
      </w:tabs>
    </w:pPr>
  </w:style>
  <w:style w:type="character" w:styleId="699">
    <w:name w:val="Header Char"/>
    <w:link w:val="698"/>
    <w:uiPriority w:val="99"/>
  </w:style>
  <w:style w:type="paragraph" w:styleId="700">
    <w:name w:val="Footer"/>
    <w:link w:val="703"/>
    <w:uiPriority w:val="99"/>
    <w:unhideWhenUsed/>
    <w:pPr>
      <w:spacing w:after="0" w:line="240" w:lineRule="auto"/>
      <w:tabs>
        <w:tab w:val="center" w:pos="7143" w:leader="none"/>
        <w:tab w:val="right" w:pos="14287" w:leader="none"/>
      </w:tabs>
    </w:pPr>
  </w:style>
  <w:style w:type="character" w:styleId="701">
    <w:name w:val="Footer Char"/>
    <w:link w:val="700"/>
    <w:uiPriority w:val="99"/>
  </w:style>
  <w:style w:type="paragraph" w:styleId="702">
    <w:name w:val="Caption"/>
    <w:uiPriority w:val="35"/>
    <w:semiHidden/>
    <w:unhideWhenUsed/>
    <w:qFormat/>
    <w:pPr>
      <w:spacing w:line="276" w:lineRule="auto"/>
    </w:pPr>
    <w:rPr>
      <w:b/>
      <w:bCs/>
      <w:color w:val="4f81bd" w:themeColor="accent1"/>
      <w:sz w:val="18"/>
      <w:szCs w:val="18"/>
    </w:rPr>
  </w:style>
  <w:style w:type="character" w:styleId="703">
    <w:name w:val="Caption Char"/>
    <w:basedOn w:val="702"/>
    <w:link w:val="700"/>
    <w:uiPriority w:val="99"/>
  </w:style>
  <w:style w:type="table" w:styleId="7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0">
    <w:name w:val="Hyperlink"/>
    <w:uiPriority w:val="99"/>
    <w:unhideWhenUsed/>
    <w:rPr>
      <w:color w:val="0000ff" w:themeColor="hyperlink"/>
      <w:u w:val="single"/>
    </w:rPr>
  </w:style>
  <w:style w:type="paragraph" w:styleId="831">
    <w:name w:val="footnote text"/>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uiPriority w:val="99"/>
    <w:unhideWhenUsed/>
    <w:rPr>
      <w:vertAlign w:val="superscript"/>
    </w:rPr>
  </w:style>
  <w:style w:type="paragraph" w:styleId="834">
    <w:name w:val="endnote text"/>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uiPriority w:val="99"/>
    <w:semiHidden/>
    <w:unhideWhenUsed/>
    <w:rPr>
      <w:vertAlign w:val="superscript"/>
    </w:rPr>
  </w:style>
  <w:style w:type="paragraph" w:styleId="837">
    <w:name w:val="toc 1"/>
    <w:uiPriority w:val="39"/>
    <w:unhideWhenUsed/>
    <w:pPr>
      <w:ind w:left="0" w:right="0" w:firstLine="0"/>
      <w:spacing w:after="57"/>
    </w:pPr>
  </w:style>
  <w:style w:type="paragraph" w:styleId="838">
    <w:name w:val="toc 2"/>
    <w:uiPriority w:val="39"/>
    <w:unhideWhenUsed/>
    <w:pPr>
      <w:ind w:left="283" w:right="0" w:firstLine="0"/>
      <w:spacing w:after="57"/>
    </w:pPr>
  </w:style>
  <w:style w:type="paragraph" w:styleId="839">
    <w:name w:val="toc 3"/>
    <w:uiPriority w:val="39"/>
    <w:unhideWhenUsed/>
    <w:pPr>
      <w:ind w:left="567" w:right="0" w:firstLine="0"/>
      <w:spacing w:after="57"/>
    </w:pPr>
  </w:style>
  <w:style w:type="paragraph" w:styleId="840">
    <w:name w:val="toc 4"/>
    <w:uiPriority w:val="39"/>
    <w:unhideWhenUsed/>
    <w:pPr>
      <w:ind w:left="850" w:right="0" w:firstLine="0"/>
      <w:spacing w:after="57"/>
    </w:pPr>
  </w:style>
  <w:style w:type="paragraph" w:styleId="841">
    <w:name w:val="toc 5"/>
    <w:uiPriority w:val="39"/>
    <w:unhideWhenUsed/>
    <w:pPr>
      <w:ind w:left="1134" w:right="0" w:firstLine="0"/>
      <w:spacing w:after="57"/>
    </w:pPr>
  </w:style>
  <w:style w:type="paragraph" w:styleId="842">
    <w:name w:val="toc 6"/>
    <w:uiPriority w:val="39"/>
    <w:unhideWhenUsed/>
    <w:pPr>
      <w:ind w:left="1417" w:right="0" w:firstLine="0"/>
      <w:spacing w:after="57"/>
    </w:pPr>
  </w:style>
  <w:style w:type="paragraph" w:styleId="843">
    <w:name w:val="toc 7"/>
    <w:uiPriority w:val="39"/>
    <w:unhideWhenUsed/>
    <w:pPr>
      <w:ind w:left="1701" w:right="0" w:firstLine="0"/>
      <w:spacing w:after="57"/>
    </w:pPr>
  </w:style>
  <w:style w:type="paragraph" w:styleId="844">
    <w:name w:val="toc 8"/>
    <w:uiPriority w:val="39"/>
    <w:unhideWhenUsed/>
    <w:pPr>
      <w:ind w:left="1984" w:right="0" w:firstLine="0"/>
      <w:spacing w:after="57"/>
    </w:pPr>
  </w:style>
  <w:style w:type="paragraph" w:styleId="845">
    <w:name w:val="toc 9"/>
    <w:uiPriority w:val="39"/>
    <w:unhideWhenUsed/>
    <w:pPr>
      <w:ind w:left="2268" w:right="0" w:firstLine="0"/>
      <w:spacing w:after="57"/>
    </w:pPr>
  </w:style>
  <w:style w:type="paragraph" w:styleId="846">
    <w:name w:val="TOC Heading"/>
    <w:uiPriority w:val="39"/>
    <w:unhideWhenUsed/>
  </w:style>
  <w:style w:type="paragraph" w:styleId="847">
    <w:name w:val="table of figures"/>
    <w:uiPriority w:val="99"/>
    <w:unhideWhenUsed/>
    <w:pPr>
      <w:spacing w:after="0" w:afterAutospacing="0"/>
    </w:pPr>
  </w:style>
  <w:style w:type="character" w:styleId="848" w:default="1">
    <w:name w:val="Default Paragraph Font"/>
    <w:uiPriority w:val="1"/>
    <w:semiHidden/>
    <w:unhideWhenUsed/>
  </w:style>
  <w:style w:type="numbering" w:styleId="849" w:default="1">
    <w:name w:val="No List"/>
    <w:uiPriority w:val="99"/>
    <w:semiHidden/>
    <w:unhideWhenUsed/>
  </w:style>
  <w:style w:type="paragraph" w:styleId="850" w:default="1">
    <w:name w:val="Normal"/>
    <w:qFormat/>
  </w:style>
  <w:style w:type="table" w:styleId="8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mailto:heyufei@jsrhib.com" TargetMode="External"/><Relationship Id="rId10" Type="http://schemas.openxmlformats.org/officeDocument/2006/relationships/hyperlink" Target="http://www.ccgp-jiangsu.gov.cn/webfile/jiangsu/202311/1699268553318052447.pdf%EF%BC%89%E3%80%82"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赵黄星</cp:lastModifiedBy>
  <cp:revision>6</cp:revision>
  <dcterms:created xsi:type="dcterms:W3CDTF">2024-10-27T08:20:54Z</dcterms:created>
  <dcterms:modified xsi:type="dcterms:W3CDTF">2024-10-28T07:08:05Z</dcterms:modified>
</cp:coreProperties>
</file>