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t xml:space="preserve"> </w:t>
      </w:r>
      <w:r/>
    </w:p>
    <w:p>
      <w:pPr>
        <w:pStyle w:val="85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5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4"/>
        <w:ind w:firstLine="643"/>
        <w:jc w:val="center"/>
        <w:spacing w:beforeAutospacing="0" w:afterAutospacing="0"/>
        <w:rPr>
          <w:rFonts w:hint="eastAsia" w:ascii="Arial" w:hAnsi="Arial" w:cs="Arial"/>
          <w:b/>
          <w:color w:val="000000"/>
          <w:sz w:val="32"/>
          <w:szCs w:val="32"/>
          <w:lang w:val="en-US" w:eastAsia="zh-CN"/>
        </w:rPr>
      </w:pPr>
      <w:r>
        <w:rPr>
          <w:rFonts w:ascii="Arial" w:hAnsi="Arial" w:cs="Arial"/>
          <w:b/>
          <w:color w:val="000000"/>
          <w:sz w:val="32"/>
          <w:szCs w:val="32"/>
        </w:rPr>
        <w:t xml:space="preserve">项目名</w:t>
      </w:r>
      <w:r>
        <w:rPr>
          <w:rFonts w:hint="eastAsia" w:ascii="Arial" w:hAnsi="Arial" w:cs="Arial"/>
          <w:b/>
          <w:color w:val="000000"/>
          <w:sz w:val="32"/>
          <w:szCs w:val="32"/>
        </w:rPr>
        <w:t xml:space="preserve">称：</w:t>
      </w:r>
      <w:r>
        <w:rPr>
          <w:rFonts w:hint="eastAsia" w:ascii="Arial" w:hAnsi="Arial" w:cs="Arial"/>
          <w:b/>
          <w:color w:val="000000"/>
          <w:sz w:val="32"/>
          <w:szCs w:val="32"/>
          <w:lang w:eastAsia="zh-CN"/>
        </w:rPr>
        <w:t xml:space="preserve">编制盐城滨海湿地部分区域生态修复实施方案项目</w:t>
      </w:r>
      <w:r/>
    </w:p>
    <w:p>
      <w:pPr>
        <w:pStyle w:val="854"/>
        <w:ind w:firstLine="1285"/>
        <w:jc w:val="both"/>
        <w:spacing w:beforeAutospacing="0" w:afterAutospacing="0"/>
        <w:rPr>
          <w:rFonts w:hint="eastAsia" w:eastAsiaTheme="minorEastAsia"/>
          <w:lang w:eastAsia="zh-CN"/>
        </w:rPr>
      </w:pPr>
      <w:r>
        <w:rPr>
          <w:rFonts w:ascii="Times New Roman" w:hAnsi="Times New Roman"/>
          <w:b/>
          <w:color w:val="000000"/>
          <w:sz w:val="32"/>
          <w:szCs w:val="32"/>
        </w:rPr>
        <w:t xml:space="preserve">项目编号：JSZC-320900-YCCD-G2024-002</w:t>
      </w:r>
      <w:r>
        <w:rPr>
          <w:rFonts w:hint="eastAsia" w:ascii="Times New Roman" w:hAnsi="Times New Roman"/>
          <w:b/>
          <w:color w:val="000000"/>
          <w:sz w:val="32"/>
          <w:szCs w:val="32"/>
          <w:lang w:val="en-US" w:eastAsia="zh-CN"/>
        </w:rPr>
        <w:t xml:space="preserve">8</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1"/>
        <w:ind w:left="0" w:firstLine="0"/>
        <w:jc w:val="center"/>
        <w:spacing w:line="700" w:lineRule="exact"/>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采购单位：盐城市湿地和世界自然遗产保护管理中心</w:t>
      </w:r>
      <w:r/>
    </w:p>
    <w:p>
      <w:pPr>
        <w:pStyle w:val="854"/>
        <w:jc w:val="center"/>
        <w:spacing w:before="120" w:beforeAutospacing="0" w:after="120" w:afterAutospacing="0" w:line="360" w:lineRule="auto"/>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11</w:t>
      </w:r>
      <w:r>
        <w:rPr>
          <w:rFonts w:ascii="Arial" w:hAnsi="Arial" w:cs="Arial"/>
          <w:b/>
          <w:color w:val="000000"/>
          <w:sz w:val="32"/>
          <w:szCs w:val="32"/>
        </w:rPr>
        <w:t xml:space="preserve">月</w:t>
      </w:r>
      <w:r/>
    </w:p>
    <w:p>
      <w:pPr>
        <w:pStyle w:val="854"/>
        <w:spacing w:before="120" w:beforeAutospacing="0" w:after="120" w:afterAutospacing="0" w:line="360" w:lineRule="auto"/>
      </w:pPr>
      <w:r>
        <w:rPr>
          <w:rFonts w:ascii="Arial" w:hAnsi="Arial" w:cs="Arial"/>
          <w:color w:val="000000"/>
        </w:rPr>
        <w:t xml:space="preserve">                        </w:t>
      </w:r>
      <w:r/>
    </w:p>
    <w:p>
      <w:pPr>
        <w:pStyle w:val="854"/>
        <w:jc w:val="center"/>
        <w:spacing w:before="120" w:beforeAutospacing="0" w:after="120" w:afterAutospacing="0" w:line="360" w:lineRule="auto"/>
      </w:pPr>
      <w:r>
        <w:t xml:space="preserve"> </w:t>
      </w:r>
      <w:r/>
    </w:p>
    <w:p>
      <w:pPr>
        <w:pStyle w:val="854"/>
        <w:jc w:val="center"/>
        <w:spacing w:before="120" w:beforeAutospacing="0" w:after="120" w:afterAutospacing="0" w:line="360" w:lineRule="auto"/>
      </w:pPr>
      <w:r/>
      <w:r/>
    </w:p>
    <w:p>
      <w:pPr>
        <w:pStyle w:val="854"/>
        <w:jc w:val="center"/>
        <w:spacing w:before="120" w:beforeAutospacing="0" w:after="120" w:afterAutospacing="0" w:line="360" w:lineRule="auto"/>
      </w:pPr>
      <w:r/>
      <w:r/>
    </w:p>
    <w:p>
      <w:pPr>
        <w:pStyle w:val="854"/>
        <w:jc w:val="center"/>
        <w:spacing w:before="120" w:beforeAutospacing="0" w:after="120" w:afterAutospacing="0" w:line="360" w:lineRule="auto"/>
      </w:pPr>
      <w:r/>
      <w:r/>
    </w:p>
    <w:p>
      <w:pPr>
        <w:pStyle w:val="854"/>
        <w:jc w:val="center"/>
        <w:spacing w:beforeAutospacing="0" w:afterAutospacing="0" w:line="480" w:lineRule="auto"/>
      </w:pPr>
      <w:r>
        <w:rPr>
          <w:rFonts w:ascii="Times New Roman" w:hAnsi="Times New Roman"/>
          <w:color w:val="000000"/>
          <w:sz w:val="21"/>
          <w:szCs w:val="21"/>
        </w:rPr>
        <w:t xml:space="preserve"> </w:t>
      </w:r>
      <w:bookmarkStart w:id="0" w:name="_Toc20823272"/>
      <w:r/>
      <w:bookmarkStart w:id="1" w:name="_Toc479757206"/>
      <w:r/>
      <w:bookmarkStart w:id="2" w:name="_Toc513029200"/>
      <w:r/>
      <w:bookmarkStart w:id="3" w:name="_Toc523127445"/>
      <w:r/>
      <w:bookmarkStart w:id="4" w:name="_Toc16938516"/>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4"/>
        <w:jc w:val="both"/>
        <w:spacing w:beforeAutospacing="0" w:afterAutospacing="0" w:line="480" w:lineRule="auto"/>
      </w:pPr>
      <w:r>
        <w:t xml:space="preserve"> </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54"/>
        <w:ind w:firstLine="480"/>
        <w:jc w:val="both"/>
        <w:spacing w:beforeAutospacing="0" w:afterAutospacing="0" w:line="360" w:lineRule="auto"/>
        <w:rPr>
          <w:rFonts w:hint="eastAsia" w:asciiTheme="minorEastAsia" w:hAnsiTheme="minorEastAsia" w:eastAsiaTheme="minorEastAsia" w:cstheme="minorEastAsia"/>
          <w:sz w:val="24"/>
          <w:szCs w:val="24"/>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color w:val="000000"/>
          <w:sz w:val="24"/>
          <w:szCs w:val="24"/>
        </w:rPr>
        <w:t xml:space="preserve">项目概况</w:t>
      </w:r>
      <w:r/>
    </w:p>
    <w:p>
      <w:pPr>
        <w:pStyle w:val="854"/>
        <w:ind w:firstLine="480"/>
        <w:jc w:val="both"/>
        <w:spacing w:beforeAutospacing="0" w:afterAutospacing="0" w:line="360" w:lineRule="auto"/>
        <w:rPr>
          <w:rFonts w:hint="eastAsia" w:asciiTheme="minorEastAsia" w:hAnsiTheme="minorEastAsia" w:eastAsiaTheme="minorEastAsia" w:cstheme="minorEastAsia"/>
          <w:color w:val="000000"/>
          <w:sz w:val="24"/>
          <w:szCs w:val="24"/>
          <w:lang w:eastAsia="zh-CN"/>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sz w:val="24"/>
          <w:szCs w:val="24"/>
          <w:lang w:eastAsia="zh-CN"/>
        </w:rPr>
        <w:t xml:space="preserve">编制盐城滨海湿地部分区域生态修复实施方案项目</w:t>
      </w:r>
      <w:r>
        <w:rPr>
          <w:rFonts w:hint="eastAsia" w:asciiTheme="minorEastAsia" w:hAnsiTheme="minorEastAsia" w:eastAsiaTheme="minorEastAsia" w:cstheme="minorEastAsia"/>
          <w:color w:val="000000"/>
          <w:sz w:val="24"/>
          <w:szCs w:val="24"/>
          <w:lang w:val="en-US" w:eastAsia="zh-CN"/>
        </w:rPr>
        <w:t xml:space="preserve">JSZC-320900-YCCD-G2024-0026</w:t>
      </w:r>
      <w:r>
        <w:rPr>
          <w:rFonts w:hint="eastAsia" w:asciiTheme="minorEastAsia" w:hAnsiTheme="minorEastAsia" w:eastAsiaTheme="minorEastAsia" w:cstheme="minorEastAsia"/>
          <w:color w:val="000000"/>
          <w:sz w:val="24"/>
          <w:szCs w:val="24"/>
          <w:lang w:eastAsia="zh-CN"/>
        </w:rPr>
        <w:t xml:space="preserve">招标项目的潜在投标人</w:t>
      </w:r>
      <w:r>
        <w:rPr>
          <w:rFonts w:hint="eastAsia" w:asciiTheme="minorEastAsia" w:hAnsiTheme="minorEastAsia" w:eastAsiaTheme="minorEastAsia" w:cstheme="minorEastAsia"/>
          <w:color w:val="000000"/>
          <w:sz w:val="24"/>
          <w:szCs w:val="24"/>
          <w:lang w:val="en-US" w:eastAsia="zh-CN"/>
        </w:rPr>
        <w:t xml:space="preserve">应</w:t>
      </w:r>
      <w:r>
        <w:rPr>
          <w:rFonts w:hint="eastAsia" w:asciiTheme="minorEastAsia" w:hAnsiTheme="minorEastAsia" w:eastAsiaTheme="minorEastAsia" w:cstheme="minorEastAsia"/>
          <w:color w:val="000000"/>
          <w:sz w:val="24"/>
          <w:szCs w:val="24"/>
          <w:lang w:eastAsia="zh-CN"/>
        </w:rPr>
        <w:t xml:space="preserve">在“苏采云”系统内免费下载（投标人必须在苏采云系统中获取采购文件，方能参与政府采购项目）；获取招标文件，并于2024年</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lang w:eastAsia="zh-CN"/>
        </w:rPr>
        <w:t xml:space="preserve">月</w:t>
      </w:r>
      <w:r>
        <w:rPr>
          <w:rFonts w:hint="eastAsia" w:asciiTheme="minorEastAsia" w:hAnsi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lang w:eastAsia="zh-CN"/>
        </w:rPr>
        <w:t xml:space="preserve">日15点00分（北京时间）前递交投标文件。</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6" w:name="_Toc38985263"/>
      <w:r/>
      <w:bookmarkStart w:id="7" w:name="_Toc35393621"/>
      <w:r/>
      <w:bookmarkStart w:id="8" w:name="_Hlk24379207"/>
      <w:r/>
      <w:bookmarkStart w:id="9" w:name="_Toc28359079"/>
      <w:r/>
      <w:bookmarkStart w:id="10" w:name="_Toc28359002"/>
      <w:r/>
      <w:bookmarkStart w:id="11" w:name="_Toc35393790"/>
      <w:r>
        <w:rPr>
          <w:rFonts w:hint="eastAsia" w:asciiTheme="minorEastAsia" w:hAnsiTheme="minorEastAsia" w:eastAsiaTheme="minorEastAsia" w:cstheme="minorEastAsia"/>
          <w:b/>
          <w:bCs/>
          <w:color w:val="333333"/>
          <w:sz w:val="24"/>
          <w:szCs w:val="24"/>
          <w:shd w:val="clear" w:color="auto" w:fill="ffffff"/>
        </w:rPr>
        <w:t xml:space="preserve">一、项目基本情况</w:t>
      </w:r>
      <w:bookmarkEnd w:id="6"/>
      <w:r/>
      <w:bookmarkEnd w:id="7"/>
      <w:r/>
      <w:bookmarkEnd w:id="8"/>
      <w:r/>
      <w:bookmarkEnd w:id="9"/>
      <w:r/>
      <w:bookmarkEnd w:id="10"/>
      <w:r/>
      <w:bookmarkEnd w:id="11"/>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eastAsia="zh-CN"/>
        </w:rPr>
      </w:pPr>
      <w:r>
        <w:rPr>
          <w:rFonts w:hint="eastAsia" w:asciiTheme="minorEastAsia" w:hAnsiTheme="minorEastAsia" w:eastAsiaTheme="minorEastAsia" w:cstheme="minorEastAsia"/>
          <w:color w:val="333333"/>
          <w:sz w:val="24"/>
          <w:szCs w:val="24"/>
          <w:shd w:val="clear" w:color="auto" w:fill="ffffff"/>
        </w:rPr>
        <w:t xml:space="preserve">1.项目编号：JSZC-320900-YCCD-G2024-002</w:t>
      </w:r>
      <w:r>
        <w:rPr>
          <w:rFonts w:hint="eastAsia" w:asciiTheme="minorEastAsia" w:hAnsiTheme="minorEastAsia" w:cstheme="minorEastAsia"/>
          <w:color w:val="333333"/>
          <w:sz w:val="24"/>
          <w:szCs w:val="24"/>
          <w:shd w:val="clear" w:color="auto" w:fill="ffffff"/>
          <w:lang w:val="en-US" w:eastAsia="zh-CN"/>
        </w:rPr>
        <w:t xml:space="preserve">8</w:t>
      </w:r>
      <w:r/>
    </w:p>
    <w:p>
      <w:pPr>
        <w:pStyle w:val="854"/>
        <w:ind w:firstLine="480"/>
        <w:jc w:val="both"/>
        <w:spacing w:beforeAutospacing="0" w:afterAutospacing="0" w:line="360" w:lineRule="auto"/>
        <w:rPr>
          <w:rFonts w:hint="default" w:asciiTheme="minorEastAsia" w:hAnsi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2.项目名称：</w:t>
      </w:r>
      <w:r>
        <w:rPr>
          <w:rFonts w:hint="eastAsia" w:asciiTheme="minorEastAsia" w:hAnsiTheme="minorEastAsia" w:cstheme="minorEastAsia"/>
          <w:color w:val="333333"/>
          <w:sz w:val="24"/>
          <w:szCs w:val="24"/>
          <w:shd w:val="clear" w:color="auto" w:fill="ffffff"/>
          <w:lang w:eastAsia="zh-CN"/>
        </w:rPr>
        <w:t xml:space="preserve">编制盐城滨海湿地部分区域生态修复实施方案项目</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3.采购方式：公开招标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4.预算金额：1</w:t>
      </w:r>
      <w:r>
        <w:rPr>
          <w:rFonts w:hint="eastAsia" w:asciiTheme="minorEastAsia" w:hAnsiTheme="minorEastAsia" w:cstheme="minorEastAsia"/>
          <w:color w:val="333333"/>
          <w:sz w:val="24"/>
          <w:szCs w:val="24"/>
          <w:shd w:val="clear" w:color="auto" w:fill="ffffff"/>
          <w:lang w:val="en-US" w:eastAsia="zh-CN"/>
        </w:rPr>
        <w:t xml:space="preserve">25</w:t>
      </w:r>
      <w:r>
        <w:rPr>
          <w:rFonts w:hint="eastAsia" w:asciiTheme="minorEastAsia" w:hAnsiTheme="minorEastAsia" w:eastAsiaTheme="minorEastAsia" w:cstheme="minorEastAsia"/>
          <w:color w:val="333333"/>
          <w:sz w:val="24"/>
          <w:szCs w:val="24"/>
          <w:shd w:val="clear" w:color="auto" w:fill="ffffff"/>
        </w:rPr>
        <w:t xml:space="preserve">万元</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5.最高限价：1</w:t>
      </w:r>
      <w:r>
        <w:rPr>
          <w:rFonts w:hint="eastAsia" w:asciiTheme="minorEastAsia" w:hAnsiTheme="minorEastAsia" w:cstheme="minorEastAsia"/>
          <w:color w:val="333333"/>
          <w:sz w:val="24"/>
          <w:szCs w:val="24"/>
          <w:shd w:val="clear" w:color="auto" w:fill="ffffff"/>
          <w:lang w:val="en-US" w:eastAsia="zh-CN"/>
        </w:rPr>
        <w:t xml:space="preserve">25</w:t>
      </w:r>
      <w:r>
        <w:rPr>
          <w:rFonts w:hint="eastAsia" w:asciiTheme="minorEastAsia" w:hAnsiTheme="minorEastAsia" w:eastAsiaTheme="minorEastAsia" w:cstheme="minorEastAsia"/>
          <w:color w:val="333333"/>
          <w:sz w:val="24"/>
          <w:szCs w:val="24"/>
          <w:shd w:val="clear" w:color="auto" w:fill="ffffff"/>
        </w:rPr>
        <w:t xml:space="preserve">万元</w:t>
      </w:r>
      <w:r/>
    </w:p>
    <w:p>
      <w:pPr>
        <w:pStyle w:val="854"/>
        <w:ind w:firstLine="480"/>
        <w:jc w:val="both"/>
        <w:spacing w:beforeAutospacing="0" w:afterAutospacing="0" w:line="360" w:lineRule="auto"/>
        <w:rPr>
          <w:rFonts w:hint="eastAsia" w:asciiTheme="minorEastAsia" w:hAnsi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6.采购需求：</w:t>
      </w:r>
      <w:r>
        <w:rPr>
          <w:rFonts w:hint="eastAsia" w:asciiTheme="minorEastAsia" w:hAnsiTheme="minorEastAsia" w:eastAsiaTheme="minorEastAsia" w:cstheme="minorEastAsia"/>
          <w:color w:val="333333"/>
          <w:sz w:val="24"/>
          <w:szCs w:val="24"/>
          <w:shd w:val="clear" w:color="auto" w:fill="ffffff"/>
          <w:lang w:val="en-US" w:eastAsia="zh-CN"/>
        </w:rPr>
        <w:t xml:space="preserve">盐城市湿地和世界自然遗产保护管理中心对</w:t>
      </w:r>
      <w:r>
        <w:rPr>
          <w:rFonts w:hint="eastAsia" w:asciiTheme="minorEastAsia" w:hAnsiTheme="minorEastAsia" w:cstheme="minorEastAsia"/>
          <w:color w:val="333333"/>
          <w:sz w:val="24"/>
          <w:szCs w:val="24"/>
          <w:shd w:val="clear" w:color="auto" w:fill="ffffff"/>
          <w:lang w:eastAsia="zh-CN"/>
        </w:rPr>
        <w:t xml:space="preserve">编制盐城滨海湿地部分区域生态修复实施方案项目</w:t>
      </w:r>
      <w:r>
        <w:rPr>
          <w:rFonts w:hint="eastAsia" w:asciiTheme="minorEastAsia" w:hAnsiTheme="minorEastAsia" w:eastAsiaTheme="minorEastAsia" w:cstheme="minorEastAsia"/>
          <w:color w:val="333333"/>
          <w:sz w:val="24"/>
          <w:szCs w:val="24"/>
          <w:shd w:val="clear" w:color="auto" w:fill="ffffff"/>
          <w:lang w:val="en-US" w:eastAsia="zh-CN"/>
        </w:rPr>
        <w:t xml:space="preserve">进行</w:t>
      </w:r>
      <w:r>
        <w:rPr>
          <w:rFonts w:hint="eastAsia" w:asciiTheme="minorEastAsia" w:hAnsiTheme="minorEastAsia" w:cstheme="minorEastAsia"/>
          <w:color w:val="333333"/>
          <w:sz w:val="24"/>
          <w:szCs w:val="24"/>
          <w:shd w:val="clear" w:color="auto" w:fill="ffffff"/>
          <w:lang w:val="en-US" w:eastAsia="zh-CN"/>
        </w:rPr>
        <w:t xml:space="preserve">招标。采购内容包括：为履行世界遗产公约，响应国家相关要求，拟对盐城市世界自然遗产地缓冲区内约15.6万亩区域（包括射阳县约6.9万亩、大丰区约7.2万亩、东台市约1.5万亩）编制生态修复实施方案，提出切实可行的修复措施；并对海北和上海农场部分区域修复模式提出相关建议。（详细内容见本招标文件第四章，项目范围见附图）</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lang w:val="en-US" w:eastAsia="zh-CN"/>
        </w:rPr>
        <w:t xml:space="preserve">7.合同履行期限：</w:t>
      </w:r>
      <w:r>
        <w:rPr>
          <w:rFonts w:hint="eastAsia" w:asciiTheme="minorEastAsia" w:hAnsiTheme="minorEastAsia" w:eastAsiaTheme="minorEastAsia" w:cstheme="minorEastAsia"/>
          <w:color w:val="333333"/>
          <w:sz w:val="24"/>
          <w:szCs w:val="24"/>
          <w:shd w:val="clear" w:color="auto" w:fill="ffffff"/>
        </w:rPr>
        <w:t xml:space="preserve">中标单位与采购方签订合同后后 10 个工作日内完成地形测绘，测绘成果出来后 20 个工作日内完成实施方案(达到可研深度)的编制。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8.本项目接受联合体参与招标。</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2" w:name="_Toc28359003"/>
      <w:r/>
      <w:bookmarkStart w:id="13" w:name="_Toc38985264"/>
      <w:r/>
      <w:bookmarkStart w:id="14" w:name="_Toc35393791"/>
      <w:r/>
      <w:bookmarkStart w:id="15" w:name="_Toc28359080"/>
      <w:r/>
      <w:bookmarkStart w:id="16" w:name="_Toc35393622"/>
      <w:r>
        <w:rPr>
          <w:rFonts w:hint="eastAsia" w:asciiTheme="minorEastAsia" w:hAnsiTheme="minorEastAsia" w:eastAsiaTheme="minorEastAsia" w:cstheme="minorEastAsia"/>
          <w:b/>
          <w:bCs/>
          <w:color w:val="333333"/>
          <w:sz w:val="24"/>
          <w:szCs w:val="24"/>
          <w:shd w:val="clear" w:color="auto" w:fill="ffffff"/>
        </w:rPr>
        <w:t xml:space="preserve">二、申请人的资格要求：</w:t>
      </w:r>
      <w:bookmarkEnd w:id="12"/>
      <w:r/>
      <w:bookmarkEnd w:id="13"/>
      <w:r/>
      <w:bookmarkEnd w:id="14"/>
      <w:r/>
      <w:bookmarkEnd w:id="15"/>
      <w:r/>
      <w:bookmarkEnd w:id="16"/>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1.满足《中华人民共和国政府采购法》第二十二条规定，并提供下列材料：</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1.1 法人或者其他组织的营业执照等证明文件，自然人的身份证明；</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1.2上一年度的财务状况报表（成立不满一年无需提供）；</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1.3具备履行合同所必需的设备和专业技术能力的书面声明；</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1.5参加政府采购活动前3年内在经营活动中没有重大违法记录的书面声明。</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1.6法律、行政法规规定的其他条件。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2.落实政府采购政策需满足的资格要求：</w:t>
      </w:r>
      <w:r>
        <w:rPr>
          <w:rFonts w:hint="eastAsia" w:asciiTheme="minorEastAsia" w:hAnsiTheme="minorEastAsia" w:eastAsiaTheme="minorEastAsia" w:cstheme="minorEastAsia"/>
          <w:color w:val="333333"/>
          <w:sz w:val="24"/>
          <w:szCs w:val="24"/>
          <w:shd w:val="clear" w:color="auto" w:fill="ffffff"/>
          <w:lang w:val="en-US" w:eastAsia="zh-CN"/>
        </w:rPr>
        <w:t xml:space="preserve">本项目为服务类采购项目，所属行业为：其他未列明行业。本项目专门面向中小企业采购，投标人所投货物须为符合《关于印发中小企业划型标准规定的通知》（工信部联企业[2011]300号）文件的中小企业（投标申请时须提供中小企业声明函；如是联合体投标，组成联合体的成员均须提供中小企业声明函，否则按无效标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3.本项目的特定资格要求：</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3.1投标人具有林业调查规划设计乙级及以上资质；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3.2本项目接受联合体投标，联合体单位数量不得超过2家。若以联合体形式投标，须满足以下条件：</w:t>
      </w:r>
      <w:r>
        <w:rPr>
          <w:rFonts w:hint="eastAsia" w:asciiTheme="minorEastAsia" w:hAnsiTheme="minorEastAsia" w:eastAsiaTheme="minorEastAsia" w:cstheme="minorEastAsia"/>
          <w:color w:val="333333"/>
          <w:sz w:val="24"/>
          <w:szCs w:val="24"/>
          <w:shd w:val="clear" w:color="auto" w:fill="ffffff"/>
          <w:lang w:val="en-US" w:eastAsia="zh-CN"/>
        </w:rPr>
        <w:br/>
      </w:r>
      <w:r>
        <w:rPr>
          <w:rFonts w:hint="eastAsia" w:asciiTheme="minorEastAsia" w:hAnsiTheme="minorEastAsia" w:eastAsiaTheme="minorEastAsia" w:cstheme="minorEastAsia"/>
          <w:color w:val="333333"/>
          <w:sz w:val="24"/>
          <w:szCs w:val="24"/>
          <w:shd w:val="clear" w:color="auto" w:fill="ffffff"/>
          <w:lang w:val="en-US" w:eastAsia="zh-CN"/>
        </w:rPr>
        <w:t xml:space="preserve">   （1）联合体牵头公司须是具有林业调查规划设计乙级及以上资质的独立法人。</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cstheme="minorEastAsia"/>
          <w:color w:val="333333"/>
          <w:sz w:val="24"/>
          <w:szCs w:val="24"/>
          <w:shd w:val="clear" w:color="auto" w:fill="ffffff"/>
          <w:lang w:val="en-US" w:eastAsia="zh-CN"/>
        </w:rPr>
        <w:t xml:space="preserve">（2）</w:t>
      </w:r>
      <w:r>
        <w:rPr>
          <w:rFonts w:hint="eastAsia" w:asciiTheme="minorEastAsia" w:hAnsiTheme="minorEastAsia" w:eastAsiaTheme="minorEastAsia" w:cstheme="minorEastAsia"/>
          <w:color w:val="333333"/>
          <w:sz w:val="24"/>
          <w:szCs w:val="24"/>
          <w:shd w:val="clear" w:color="auto" w:fill="ffffff"/>
          <w:lang w:val="en-US" w:eastAsia="zh-CN"/>
        </w:rPr>
        <w:t xml:space="preserve">联合体组成单位不超过2家，联合体各成员之间应签订并提交《联合体协议书》，明确联合体牵头单位作为投标全权代表，代表所有联合体成员负责执行一切与该项目招投标活动有关的事项；</w:t>
      </w:r>
      <w:r>
        <w:rPr>
          <w:rFonts w:hint="eastAsia" w:asciiTheme="minorEastAsia" w:hAnsiTheme="minorEastAsia" w:eastAsiaTheme="minorEastAsia" w:cstheme="minorEastAsia"/>
          <w:color w:val="333333"/>
          <w:sz w:val="24"/>
          <w:szCs w:val="24"/>
          <w:shd w:val="clear" w:color="auto" w:fill="ffffff"/>
          <w:lang w:val="en-US" w:eastAsia="zh-CN"/>
        </w:rPr>
        <w:br/>
      </w:r>
      <w:r>
        <w:rPr>
          <w:rFonts w:hint="eastAsia" w:asciiTheme="minorEastAsia" w:hAnsiTheme="minorEastAsia" w:eastAsiaTheme="minorEastAsia" w:cstheme="minorEastAsia"/>
          <w:color w:val="333333"/>
          <w:sz w:val="24"/>
          <w:szCs w:val="24"/>
          <w:shd w:val="clear" w:color="auto" w:fill="ffffff"/>
          <w:lang w:val="en-US" w:eastAsia="zh-CN"/>
        </w:rPr>
        <w:t xml:space="preserve">  </w:t>
      </w:r>
      <w:r>
        <w:rPr>
          <w:rFonts w:hint="eastAsia" w:asciiTheme="minorEastAsia" w:hAnsiTheme="minorEastAsia" w:cstheme="minorEastAsia"/>
          <w:color w:val="333333"/>
          <w:sz w:val="24"/>
          <w:szCs w:val="24"/>
          <w:shd w:val="clear" w:color="auto" w:fill="ffffff"/>
          <w:lang w:val="en-US" w:eastAsia="zh-CN"/>
        </w:rPr>
        <w:t xml:space="preserve"> </w:t>
      </w:r>
      <w:r>
        <w:rPr>
          <w:rFonts w:hint="eastAsia" w:asciiTheme="minorEastAsia" w:hAnsiTheme="minorEastAsia" w:eastAsiaTheme="minorEastAsia" w:cstheme="minorEastAsia"/>
          <w:color w:val="333333"/>
          <w:sz w:val="24"/>
          <w:szCs w:val="24"/>
          <w:shd w:val="clear" w:color="auto" w:fill="ffffff"/>
          <w:lang w:val="en-US" w:eastAsia="zh-CN"/>
        </w:rPr>
        <w:t xml:space="preserve">（</w:t>
      </w:r>
      <w:r>
        <w:rPr>
          <w:rFonts w:hint="eastAsia" w:asciiTheme="minorEastAsia" w:hAnsiTheme="minorEastAsia" w:cstheme="minorEastAsia"/>
          <w:color w:val="333333"/>
          <w:sz w:val="24"/>
          <w:szCs w:val="24"/>
          <w:shd w:val="clear" w:color="auto" w:fill="ffffff"/>
          <w:lang w:val="en-US" w:eastAsia="zh-CN"/>
        </w:rPr>
        <w:t xml:space="preserve">3</w:t>
      </w:r>
      <w:r>
        <w:rPr>
          <w:rFonts w:hint="eastAsia" w:asciiTheme="minorEastAsia" w:hAnsiTheme="minorEastAsia" w:eastAsiaTheme="minorEastAsia" w:cstheme="minorEastAsia"/>
          <w:color w:val="333333"/>
          <w:sz w:val="24"/>
          <w:szCs w:val="24"/>
          <w:shd w:val="clear" w:color="auto" w:fill="ffffff"/>
          <w:lang w:val="en-US" w:eastAsia="zh-CN"/>
        </w:rPr>
        <w:t xml:space="preserve">）参加联合体的各成员不得再以自己名义单独投标，也不得再与其他单位组成新的联合体参与该项目投标。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w:t>
      </w:r>
      <w:r>
        <w:rPr>
          <w:rFonts w:hint="eastAsia" w:asciiTheme="minorEastAsia" w:hAnsiTheme="minorEastAsia" w:cstheme="minorEastAsia"/>
          <w:color w:val="333333"/>
          <w:sz w:val="24"/>
          <w:szCs w:val="24"/>
          <w:shd w:val="clear" w:color="auto" w:fill="ffffff"/>
          <w:lang w:val="en-US" w:eastAsia="zh-CN"/>
        </w:rPr>
        <w:t xml:space="preserve">4</w:t>
      </w:r>
      <w:r>
        <w:rPr>
          <w:rFonts w:hint="eastAsia" w:asciiTheme="minorEastAsia" w:hAnsiTheme="minorEastAsia" w:eastAsiaTheme="minorEastAsia" w:cstheme="minorEastAsia"/>
          <w:color w:val="333333"/>
          <w:sz w:val="24"/>
          <w:szCs w:val="24"/>
          <w:shd w:val="clear" w:color="auto" w:fill="ffffff"/>
          <w:lang w:val="en-US" w:eastAsia="zh-CN"/>
        </w:rPr>
        <w:t xml:space="preserve">）以联合体形式进行政府采购投标的，参加联合体的供应商均应当具备《中华人民共和国政府采购法》第二十二条规定的条件，并在投标时提供。</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3.4单位负责人为同一人或者存在直接控股、管理关系的不同供应商，不得参加同一合同项下的政府采购活动。</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三、获取招标文件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
      <w:r/>
      <w:r/>
      <w:r/>
      <w:r>
        <w:rPr>
          <w:rFonts w:hint="eastAsia" w:asciiTheme="minorEastAsia" w:hAnsiTheme="minorEastAsia" w:eastAsiaTheme="minorEastAsia" w:cstheme="minorEastAsia"/>
          <w:color w:val="333333"/>
          <w:sz w:val="24"/>
          <w:szCs w:val="24"/>
          <w:shd w:val="clear" w:color="auto" w:fill="ffffff"/>
        </w:rPr>
        <w:t xml:space="preserve">1.时间：</w:t>
      </w:r>
      <w:r>
        <w:rPr>
          <w:rFonts w:hint="eastAsia" w:asciiTheme="minorEastAsia" w:hAnsiTheme="minorEastAsia" w:eastAsiaTheme="minorEastAsia" w:cstheme="minorEastAsia"/>
          <w:color w:val="333333"/>
          <w:sz w:val="24"/>
          <w:szCs w:val="24"/>
          <w:shd w:val="clear" w:color="auto" w:fill="ffffff"/>
        </w:rPr>
        <w:t xml:space="preserve">自招标文件公告发布之日起5个工作日 </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2.地点：“苏采云”系统内免费下载（投标人必须在苏采云系统中获取采购 文件，方能参与政府采购项目）</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3.方式：本项目采用网上注册登记方式</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4.售价：0元</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四、提交投标文件截止时间、开标时间和地点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1.时间：2024年</w:t>
      </w:r>
      <w:r>
        <w:rPr>
          <w:rFonts w:hint="eastAsia" w:asciiTheme="minorEastAsia" w:hAnsiTheme="minorEastAsia" w:cstheme="minorEastAsia"/>
          <w:color w:val="333333"/>
          <w:sz w:val="24"/>
          <w:szCs w:val="24"/>
          <w:shd w:val="clear" w:color="auto" w:fill="ffffff"/>
          <w:lang w:val="en-US" w:eastAsia="zh-CN"/>
        </w:rPr>
        <w:t xml:space="preserve">12</w:t>
      </w:r>
      <w:r>
        <w:rPr>
          <w:rFonts w:hint="eastAsia" w:asciiTheme="minorEastAsia" w:hAnsiTheme="minorEastAsia" w:eastAsiaTheme="minorEastAsia" w:cstheme="minorEastAsia"/>
          <w:color w:val="333333"/>
          <w:sz w:val="24"/>
          <w:szCs w:val="24"/>
          <w:shd w:val="clear" w:color="auto" w:fill="ffffff"/>
        </w:rPr>
        <w:t xml:space="preserve">月</w:t>
      </w:r>
      <w:r>
        <w:rPr>
          <w:rFonts w:hint="eastAsia" w:asciiTheme="minorEastAsia" w:hAnsiTheme="minorEastAsia" w:cstheme="minorEastAsia"/>
          <w:color w:val="333333"/>
          <w:sz w:val="24"/>
          <w:szCs w:val="24"/>
          <w:shd w:val="clear" w:color="auto" w:fill="ffffff"/>
          <w:lang w:val="en-US" w:eastAsia="zh-CN"/>
        </w:rPr>
        <w:t xml:space="preserve">6</w:t>
      </w:r>
      <w:r>
        <w:rPr>
          <w:rFonts w:hint="eastAsia" w:asciiTheme="minorEastAsia" w:hAnsiTheme="minorEastAsia" w:eastAsiaTheme="minorEastAsia" w:cstheme="minorEastAsia"/>
          <w:color w:val="333333"/>
          <w:sz w:val="24"/>
          <w:szCs w:val="24"/>
          <w:shd w:val="clear" w:color="auto" w:fill="ffffff"/>
        </w:rPr>
        <w:t xml:space="preserve">日15:00分（北京时间）</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2.地点：“苏采云”政府采购交易系统网上开标大厅</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22" w:name="_Toc38985267"/>
      <w:r/>
      <w:bookmarkStart w:id="23" w:name="_Toc28359084"/>
      <w:r/>
      <w:bookmarkStart w:id="24" w:name="_Toc35393625"/>
      <w:r/>
      <w:bookmarkStart w:id="25" w:name="_Toc35393794"/>
      <w:r/>
      <w:bookmarkStart w:id="26" w:name="_Toc28359007"/>
      <w:r>
        <w:rPr>
          <w:rFonts w:hint="eastAsia" w:asciiTheme="minorEastAsia" w:hAnsiTheme="minorEastAsia" w:eastAsiaTheme="minorEastAsia" w:cstheme="minorEastAsia"/>
          <w:b/>
          <w:bCs/>
          <w:color w:val="333333"/>
          <w:sz w:val="24"/>
          <w:szCs w:val="24"/>
          <w:shd w:val="clear" w:color="auto" w:fill="ffffff"/>
        </w:rPr>
        <w:t xml:space="preserve">五、公告期限</w:t>
      </w:r>
      <w:bookmarkEnd w:id="22"/>
      <w:r/>
      <w:bookmarkEnd w:id="23"/>
      <w:r/>
      <w:bookmarkEnd w:id="24"/>
      <w:r/>
      <w:bookmarkEnd w:id="25"/>
      <w:r/>
      <w:bookmarkEnd w:id="26"/>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27" w:name="_Toc35393795"/>
      <w:r/>
      <w:bookmarkStart w:id="28" w:name="_Toc35393626"/>
      <w:r/>
      <w:bookmarkStart w:id="29" w:name="_Toc38985268"/>
      <w:r>
        <w:rPr>
          <w:rFonts w:hint="eastAsia" w:asciiTheme="minorEastAsia" w:hAnsiTheme="minorEastAsia" w:eastAsiaTheme="minorEastAsia" w:cstheme="minorEastAsia"/>
          <w:color w:val="333333"/>
          <w:sz w:val="24"/>
          <w:szCs w:val="24"/>
          <w:shd w:val="clear" w:color="auto" w:fill="ffffff"/>
        </w:rPr>
        <w:t xml:space="preserve">自本公告发布之日起5个工作日。</w:t>
      </w:r>
      <w:bookmarkEnd w:id="27"/>
      <w:r/>
      <w:bookmarkEnd w:id="28"/>
      <w:r/>
      <w:bookmarkEnd w:id="29"/>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六、其他补充事宜</w:t>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3.投标人不得提供虚假材料谋取中标成交的或采取不正当手段诋毁、排挤其他供应商。</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4.投标人存在串通投标、以他人名义投标、弄虚作假等违法违规行为，或者无正当理由放弃投标、中标资格，造成项目招标失败的，不得参加该项目重新招标的投标。</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5.因供应商的系统环境、操作等原因导致项目参与、开评标过程中出现问题由供应商自行承担负责。</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6.本次招标不收取投标保证金，不收取质量保证金。</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7.中标供应商在中标后需向采购人提交纸质投标文件一式三份。</w:t>
      </w:r>
      <w:r>
        <w:rPr>
          <w:rFonts w:hint="eastAsia" w:asciiTheme="minorEastAsia" w:hAnsiTheme="minorEastAsia" w:eastAsiaTheme="minorEastAsia" w:cstheme="minorEastAsia"/>
          <w:color w:val="333333"/>
          <w:sz w:val="24"/>
          <w:szCs w:val="24"/>
          <w:shd w:val="clear" w:color="auto" w:fill="ffffff"/>
        </w:rPr>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七、对本次招标提出询问，请按以下方式联系。</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w:t>
      </w:r>
      <w:bookmarkStart w:id="31" w:name="_Toc35393637"/>
      <w:r/>
      <w:bookmarkStart w:id="32" w:name="_Toc35393806"/>
      <w:r/>
      <w:bookmarkStart w:id="33" w:name="_Toc28359096"/>
      <w:r/>
      <w:bookmarkStart w:id="34" w:name="_Toc28359019"/>
      <w:r/>
      <w:bookmarkStart w:id="35" w:name="_Toc28359009"/>
      <w:r>
        <w:rPr>
          <w:rFonts w:hint="eastAsia" w:asciiTheme="minorEastAsia" w:hAnsiTheme="minorEastAsia" w:eastAsiaTheme="minorEastAsia" w:cstheme="minorEastAsia"/>
          <w:color w:val="333333"/>
          <w:sz w:val="24"/>
          <w:szCs w:val="24"/>
          <w:shd w:val="clear" w:color="auto" w:fill="ffffff"/>
        </w:rPr>
        <w:t xml:space="preserve">1.采购人信息</w:t>
      </w:r>
      <w:bookmarkEnd w:id="31"/>
      <w:r/>
      <w:bookmarkEnd w:id="32"/>
      <w:r/>
      <w:bookmarkEnd w:id="33"/>
      <w:r/>
      <w:bookmarkEnd w:id="34"/>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名    称：盐城市湿地和世界自然遗产保护管理中心</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地    址：江苏省盐城市亭湖区新都东路82号未来科技城C3楼</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联系方式：</w:t>
      </w:r>
      <w:bookmarkStart w:id="36" w:name="_Toc28359097"/>
      <w:r/>
      <w:bookmarkStart w:id="37" w:name="_Toc35393807"/>
      <w:r/>
      <w:bookmarkStart w:id="38" w:name="_Toc28359020"/>
      <w:r/>
      <w:bookmarkStart w:id="39" w:name="_Toc35393638"/>
      <w:r>
        <w:rPr>
          <w:rFonts w:hint="eastAsia" w:asciiTheme="minorEastAsia" w:hAnsiTheme="minorEastAsia" w:cstheme="minorEastAsia"/>
          <w:color w:val="333333"/>
          <w:sz w:val="24"/>
          <w:szCs w:val="24"/>
          <w:shd w:val="clear" w:color="auto" w:fill="ffffff"/>
          <w:lang w:val="en-US" w:eastAsia="zh-CN"/>
        </w:rPr>
        <w:t xml:space="preserve">18994830466</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2.采购代理机构信息</w:t>
      </w:r>
      <w:bookmarkEnd w:id="36"/>
      <w:r/>
      <w:bookmarkEnd w:id="37"/>
      <w:r/>
      <w:bookmarkEnd w:id="38"/>
      <w:r/>
      <w:bookmarkEnd w:id="39"/>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名    称：盐城畅达招标代理有限公司</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地　　址：射阳县人民西路金源创客空间二楼</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联系方式：15189268322</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40" w:name="_Toc35393808"/>
      <w:r/>
      <w:bookmarkStart w:id="41" w:name="_Toc28359098"/>
      <w:r/>
      <w:bookmarkStart w:id="42" w:name="_Toc35393639"/>
      <w:r/>
      <w:bookmarkStart w:id="43" w:name="_Toc28359021"/>
      <w:r>
        <w:rPr>
          <w:rFonts w:hint="eastAsia" w:asciiTheme="minorEastAsia" w:hAnsiTheme="minorEastAsia" w:eastAsiaTheme="minorEastAsia" w:cstheme="minorEastAsia"/>
          <w:color w:val="333333"/>
          <w:sz w:val="24"/>
          <w:szCs w:val="24"/>
          <w:shd w:val="clear" w:color="auto" w:fill="ffffff"/>
        </w:rPr>
        <w:t xml:space="preserve">3.项目联系方式</w:t>
      </w:r>
      <w:bookmarkEnd w:id="40"/>
      <w:r/>
      <w:bookmarkEnd w:id="41"/>
      <w:r/>
      <w:bookmarkEnd w:id="42"/>
      <w:r/>
      <w:bookmarkEnd w:id="43"/>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项目联系人：</w:t>
      </w:r>
      <w:r>
        <w:rPr>
          <w:rFonts w:hint="eastAsia" w:asciiTheme="minorEastAsia" w:hAnsiTheme="minorEastAsia" w:cstheme="minorEastAsia"/>
          <w:color w:val="333333"/>
          <w:sz w:val="24"/>
          <w:szCs w:val="24"/>
          <w:shd w:val="clear" w:color="auto" w:fill="ffffff"/>
          <w:lang w:val="en-US" w:eastAsia="zh-CN"/>
        </w:rPr>
        <w:t xml:space="preserve">张荣</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联系电话：</w:t>
      </w:r>
      <w:r>
        <w:rPr>
          <w:rFonts w:hint="eastAsia" w:asciiTheme="minorEastAsia" w:hAnsiTheme="minorEastAsia" w:cstheme="minorEastAsia"/>
          <w:color w:val="333333"/>
          <w:sz w:val="24"/>
          <w:szCs w:val="24"/>
          <w:shd w:val="clear" w:color="auto" w:fill="ffffff"/>
          <w:lang w:val="en-US" w:eastAsia="zh-CN"/>
        </w:rPr>
        <w:t xml:space="preserve">18994830466</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 </w:t>
      </w:r>
      <w:bookmarkStart w:id="44" w:name="_Toc120614211"/>
      <w:r>
        <w:rPr>
          <w:rFonts w:hint="eastAsia" w:ascii="宋体" w:hAnsi="宋体" w:eastAsia="宋体" w:cs="宋体"/>
          <w:color w:val="000000"/>
          <w:lang w:val="en-US" w:eastAsia="zh-CN"/>
        </w:rPr>
        <w:t xml:space="preserve">            </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1886"/>
        <w:jc w:val="both"/>
        <w:spacing w:beforeAutospacing="0" w:afterAutospacing="0" w:line="360" w:lineRule="auto"/>
      </w:pPr>
      <w:r>
        <w:rPr>
          <w:rFonts w:hint="eastAsia" w:ascii="黑体" w:hAnsi="宋体" w:eastAsia="黑体" w:cs="黑体"/>
          <w:b/>
          <w:color w:val="000000"/>
          <w:sz w:val="44"/>
          <w:szCs w:val="44"/>
        </w:rPr>
        <w:t xml:space="preserve">第二章  </w:t>
      </w:r>
      <w:bookmarkEnd w:id="44"/>
      <w:r/>
      <w:bookmarkStart w:id="45" w:name="_Toc120614213"/>
      <w:r/>
      <w:bookmarkStart w:id="46" w:name="_Toc16938518"/>
      <w:r/>
      <w:bookmarkStart w:id="47" w:name="_Toc20823274"/>
      <w:r/>
      <w:bookmarkStart w:id="48" w:name="_Toc513029202"/>
      <w:r>
        <w:rPr>
          <w:rFonts w:hint="eastAsia" w:ascii="黑体" w:hAnsi="宋体" w:eastAsia="黑体" w:cs="黑体"/>
          <w:b/>
          <w:color w:val="000000"/>
          <w:sz w:val="44"/>
          <w:szCs w:val="44"/>
        </w:rPr>
        <w:t xml:space="preserve">投标人须知</w:t>
      </w:r>
      <w:bookmarkEnd w:id="45"/>
      <w:r/>
      <w:bookmarkEnd w:id="46"/>
      <w:r/>
      <w:bookmarkEnd w:id="47"/>
      <w:r/>
      <w:bookmarkEnd w:id="48"/>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49" w:name="_Toc20823275"/>
      <w:r/>
      <w:bookmarkStart w:id="50" w:name="_Toc513029203"/>
      <w:r/>
      <w:bookmarkStart w:id="51" w:name="_Toc120614214"/>
      <w:r/>
      <w:bookmarkStart w:id="52" w:name="_Toc16938519"/>
      <w:r>
        <w:rPr>
          <w:rFonts w:hint="eastAsia" w:asciiTheme="minorEastAsia" w:hAnsiTheme="minorEastAsia" w:eastAsiaTheme="minorEastAsia" w:cstheme="minorEastAsia"/>
          <w:b/>
          <w:bCs/>
          <w:color w:val="333333"/>
          <w:sz w:val="24"/>
          <w:szCs w:val="24"/>
          <w:shd w:val="clear" w:color="auto" w:fill="ffffff"/>
        </w:rPr>
        <w:t xml:space="preserve">一、总则</w:t>
      </w:r>
      <w:bookmarkEnd w:id="49"/>
      <w:r/>
      <w:bookmarkEnd w:id="50"/>
      <w:r/>
      <w:bookmarkEnd w:id="51"/>
      <w:r/>
      <w:bookmarkEnd w:id="52"/>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53" w:name="_Toc16938520"/>
      <w:r/>
      <w:bookmarkStart w:id="54" w:name="_Toc20823276"/>
      <w:r/>
      <w:bookmarkStart w:id="55" w:name="_Toc513029204"/>
      <w:r/>
      <w:bookmarkStart w:id="56" w:name="_Toc458694821"/>
      <w:r/>
      <w:bookmarkStart w:id="57" w:name="_Hlt16619475"/>
      <w:r>
        <w:rPr>
          <w:rFonts w:hint="eastAsia" w:asciiTheme="minorEastAsia" w:hAnsiTheme="minorEastAsia" w:eastAsiaTheme="minorEastAsia" w:cstheme="minorEastAsia"/>
          <w:b/>
          <w:bCs/>
          <w:color w:val="333333"/>
          <w:sz w:val="24"/>
          <w:szCs w:val="24"/>
          <w:shd w:val="clear" w:color="auto" w:fill="ffffff"/>
        </w:rPr>
        <w:t xml:space="preserve">1</w:t>
      </w:r>
      <w:bookmarkEnd w:id="53"/>
      <w:r>
        <w:rPr>
          <w:rFonts w:hint="eastAsia" w:asciiTheme="minorEastAsia" w:hAnsiTheme="minorEastAsia" w:eastAsiaTheme="minorEastAsia" w:cstheme="minorEastAsia"/>
          <w:b/>
          <w:bCs/>
          <w:color w:val="333333"/>
          <w:sz w:val="24"/>
          <w:szCs w:val="24"/>
          <w:shd w:val="clear" w:color="auto" w:fill="ffffff"/>
        </w:rPr>
        <w:t xml:space="preserve">、招标方式</w:t>
      </w:r>
      <w:bookmarkEnd w:id="54"/>
      <w:r/>
      <w:bookmarkEnd w:id="55"/>
      <w:r/>
      <w:bookmarkEnd w:id="56"/>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1.1本次招标采取公开招标方式，本招标文件仅适用于招标公告中所述项目。</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58" w:name="_Toc20823277"/>
      <w:r/>
      <w:bookmarkStart w:id="59" w:name="_Toc513029205"/>
      <w:r/>
      <w:bookmarkStart w:id="60" w:name="_Toc16938521"/>
      <w:r>
        <w:rPr>
          <w:rFonts w:hint="eastAsia" w:asciiTheme="minorEastAsia" w:hAnsiTheme="minorEastAsia" w:eastAsiaTheme="minorEastAsia" w:cstheme="minorEastAsia"/>
          <w:b/>
          <w:bCs/>
          <w:color w:val="333333"/>
          <w:sz w:val="24"/>
          <w:szCs w:val="24"/>
          <w:shd w:val="clear" w:color="auto" w:fill="ffffff"/>
        </w:rPr>
        <w:t xml:space="preserve">2、合格的投标人</w:t>
      </w:r>
      <w:bookmarkEnd w:id="58"/>
      <w:r/>
      <w:bookmarkEnd w:id="59"/>
      <w:r/>
      <w:bookmarkEnd w:id="60"/>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2.1满足招标公告中供应商的资格要求的规定。</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2.2满足本文件实质性要求和条件的规定。</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61" w:name="_Toc513029206"/>
      <w:r/>
      <w:bookmarkStart w:id="62" w:name="_Toc16938522"/>
      <w:r/>
      <w:bookmarkStart w:id="63" w:name="_Toc20823278"/>
      <w:r>
        <w:rPr>
          <w:rFonts w:hint="eastAsia" w:asciiTheme="minorEastAsia" w:hAnsiTheme="minorEastAsia" w:eastAsiaTheme="minorEastAsia" w:cstheme="minorEastAsia"/>
          <w:b/>
          <w:bCs/>
          <w:color w:val="333333"/>
          <w:sz w:val="24"/>
          <w:szCs w:val="24"/>
          <w:shd w:val="clear" w:color="auto" w:fill="ffffff"/>
        </w:rPr>
        <w:t xml:space="preserve">3、适用法律</w:t>
      </w:r>
      <w:bookmarkEnd w:id="61"/>
      <w:r/>
      <w:bookmarkEnd w:id="62"/>
      <w:r/>
      <w:bookmarkEnd w:id="63"/>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3.1本次招标及由此产生的合同受中华人民共和国有关的法律法规制约和保护。</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64" w:name="_Toc462564067"/>
      <w:r/>
      <w:bookmarkStart w:id="65" w:name="_Toc16938523"/>
      <w:r/>
      <w:bookmarkStart w:id="66" w:name="_Toc513029207"/>
      <w:r/>
      <w:bookmarkStart w:id="67" w:name="_Toc20823279"/>
      <w:r>
        <w:rPr>
          <w:rFonts w:hint="eastAsia" w:asciiTheme="minorEastAsia" w:hAnsiTheme="minorEastAsia" w:eastAsiaTheme="minorEastAsia" w:cstheme="minorEastAsia"/>
          <w:b/>
          <w:bCs/>
          <w:color w:val="333333"/>
          <w:sz w:val="24"/>
          <w:szCs w:val="24"/>
          <w:shd w:val="clear" w:color="auto" w:fill="ffffff"/>
        </w:rPr>
        <w:t xml:space="preserve">4、投标费用</w:t>
      </w:r>
      <w:bookmarkEnd w:id="64"/>
      <w:r/>
      <w:bookmarkEnd w:id="65"/>
      <w:r/>
      <w:bookmarkEnd w:id="66"/>
      <w:r/>
      <w:bookmarkEnd w:id="67"/>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4.1投标人应自行承担所有与参加投标有关的费用，无论投标过程中的做法和结果如何，盐城畅达招标代理有限公司公司（以下简称代理机构）在任何情况下均无义务和责任承担这些费用。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4.2本次招标采购人和盐城畅达招标代理有限公司公司不收取标书工本费。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5、招标文件的约束力</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5.1投标人一旦参加本项目采购活动，即被认为接受了本招标文件的规定和约束。</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68" w:name="_Toc20823281"/>
      <w:r/>
      <w:bookmarkStart w:id="69" w:name="_Toc513029209"/>
      <w:r/>
      <w:bookmarkStart w:id="70" w:name="_Toc16938525"/>
      <w:r/>
      <w:bookmarkStart w:id="71" w:name="_Toc120614215"/>
      <w:r>
        <w:rPr>
          <w:rFonts w:hint="eastAsia" w:asciiTheme="minorEastAsia" w:hAnsiTheme="minorEastAsia" w:eastAsiaTheme="minorEastAsia" w:cstheme="minorEastAsia"/>
          <w:b/>
          <w:bCs/>
          <w:color w:val="333333"/>
          <w:sz w:val="24"/>
          <w:szCs w:val="24"/>
          <w:shd w:val="clear" w:color="auto" w:fill="ffffff"/>
        </w:rPr>
        <w:t xml:space="preserve">二、招标文件</w:t>
      </w:r>
      <w:bookmarkEnd w:id="68"/>
      <w:r/>
      <w:bookmarkEnd w:id="69"/>
      <w:r/>
      <w:bookmarkEnd w:id="70"/>
      <w:r/>
      <w:bookmarkEnd w:id="71"/>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72" w:name="_Toc20823282"/>
      <w:r/>
      <w:bookmarkStart w:id="73" w:name="_Toc16938526"/>
      <w:r/>
      <w:bookmarkStart w:id="74" w:name="_Toc513029210"/>
      <w:r>
        <w:rPr>
          <w:rFonts w:hint="eastAsia" w:asciiTheme="minorEastAsia" w:hAnsiTheme="minorEastAsia" w:eastAsiaTheme="minorEastAsia" w:cstheme="minorEastAsia"/>
          <w:b/>
          <w:bCs/>
          <w:color w:val="333333"/>
          <w:sz w:val="24"/>
          <w:szCs w:val="24"/>
          <w:shd w:val="clear" w:color="auto" w:fill="ffffff"/>
        </w:rPr>
        <w:t xml:space="preserve">6、招标文件构成</w:t>
      </w:r>
      <w:bookmarkEnd w:id="72"/>
      <w:r/>
      <w:bookmarkEnd w:id="73"/>
      <w:r/>
      <w:bookmarkEnd w:id="74"/>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6.1 招标文件由以下部分组成：</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（1）招标公告</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（2）投标人须知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（3）合同文本</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（4）采购需求</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（5）评标方法与评标标准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（6）投标文件格式</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请仔细检查招标文件是否齐全，如有缺漏请立即与代理机构联系解决。</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75" w:name="_Toc462564070"/>
      <w:r/>
      <w:bookmarkStart w:id="76" w:name="_Toc16938527"/>
      <w:r/>
      <w:bookmarkStart w:id="77" w:name="_Toc513029211"/>
      <w:r/>
      <w:bookmarkStart w:id="78" w:name="_Toc20823283"/>
      <w:r>
        <w:rPr>
          <w:rFonts w:hint="eastAsia" w:asciiTheme="minorEastAsia" w:hAnsiTheme="minorEastAsia" w:eastAsiaTheme="minorEastAsia" w:cstheme="minorEastAsia"/>
          <w:b/>
          <w:bCs/>
          <w:color w:val="333333"/>
          <w:sz w:val="24"/>
          <w:szCs w:val="24"/>
          <w:shd w:val="clear" w:color="auto" w:fill="ffffff"/>
        </w:rPr>
        <w:t xml:space="preserve">7、招标文件的澄清</w:t>
      </w:r>
      <w:bookmarkEnd w:id="75"/>
      <w:r/>
      <w:bookmarkEnd w:id="76"/>
      <w:r/>
      <w:bookmarkEnd w:id="77"/>
      <w:r/>
      <w:bookmarkEnd w:id="78"/>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7.1任何要求对招标文件进行澄清的投标人，应在投标截止期十日前按招标公告中的通讯地址，以书面形式通知采购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79" w:name="_Toc20823284"/>
      <w:r/>
      <w:bookmarkStart w:id="80" w:name="_Toc513029212"/>
      <w:r/>
      <w:bookmarkStart w:id="81" w:name="_Toc16938528"/>
      <w:r/>
      <w:bookmarkStart w:id="82" w:name="_Toc462564071"/>
      <w:r>
        <w:rPr>
          <w:rFonts w:hint="eastAsia" w:asciiTheme="minorEastAsia" w:hAnsiTheme="minorEastAsia" w:eastAsiaTheme="minorEastAsia" w:cstheme="minorEastAsia"/>
          <w:b/>
          <w:bCs/>
          <w:color w:val="333333"/>
          <w:sz w:val="24"/>
          <w:szCs w:val="24"/>
          <w:shd w:val="clear" w:color="auto" w:fill="ffffff"/>
        </w:rPr>
        <w:t xml:space="preserve">8、招标文件的修改</w:t>
      </w:r>
      <w:bookmarkEnd w:id="79"/>
      <w:r/>
      <w:bookmarkEnd w:id="80"/>
      <w:r/>
      <w:bookmarkEnd w:id="81"/>
      <w:r/>
      <w:bookmarkEnd w:id="82"/>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8.1在投标截止时间前，采购</w:t>
      </w:r>
      <w:r>
        <w:rPr>
          <w:rFonts w:hint="eastAsia" w:asciiTheme="minorEastAsia" w:hAnsiTheme="minorEastAsia" w:cstheme="minorEastAsia"/>
          <w:color w:val="333333"/>
          <w:sz w:val="24"/>
          <w:szCs w:val="24"/>
          <w:shd w:val="clear" w:color="auto" w:fill="ffffff"/>
          <w:lang w:eastAsia="zh-CN"/>
        </w:rPr>
        <w:t xml:space="preserve">人</w:t>
      </w:r>
      <w:r>
        <w:rPr>
          <w:rFonts w:hint="eastAsia" w:asciiTheme="minorEastAsia" w:hAnsiTheme="minorEastAsia" w:eastAsiaTheme="minorEastAsia" w:cstheme="minorEastAsia"/>
          <w:color w:val="333333"/>
          <w:sz w:val="24"/>
          <w:szCs w:val="24"/>
          <w:shd w:val="clear" w:color="auto" w:fill="ffffff"/>
        </w:rPr>
        <w:t xml:space="preserve">可以对招标文件进行修改。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8.2采购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有权按照法定的要求推迟投标截止日期和开标日期。</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8.3招标文件的修改将在中国政府采购网、江苏政府采购网、盐城市政府采购网公布，补充文件将作为招标文件的组成部分，并对投标人具有约束力。</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83" w:name="_Toc16938529"/>
      <w:r/>
      <w:bookmarkStart w:id="84" w:name="_Toc120614216"/>
      <w:r/>
      <w:bookmarkStart w:id="85" w:name="_Toc20823285"/>
      <w:r/>
      <w:bookmarkStart w:id="86" w:name="_Toc462564072"/>
      <w:r/>
      <w:bookmarkStart w:id="87" w:name="_Toc513029213"/>
      <w:r>
        <w:rPr>
          <w:rFonts w:hint="eastAsia" w:asciiTheme="minorEastAsia" w:hAnsiTheme="minorEastAsia" w:eastAsiaTheme="minorEastAsia" w:cstheme="minorEastAsia"/>
          <w:b/>
          <w:bCs/>
          <w:color w:val="333333"/>
          <w:sz w:val="24"/>
          <w:szCs w:val="24"/>
          <w:shd w:val="clear" w:color="auto" w:fill="ffffff"/>
        </w:rPr>
        <w:t xml:space="preserve">三、投标文件的编制</w:t>
      </w:r>
      <w:bookmarkEnd w:id="83"/>
      <w:r/>
      <w:bookmarkEnd w:id="84"/>
      <w:r/>
      <w:bookmarkEnd w:id="85"/>
      <w:r/>
      <w:bookmarkEnd w:id="86"/>
      <w:r/>
      <w:bookmarkEnd w:id="87"/>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88" w:name="_Toc20823286"/>
      <w:r/>
      <w:bookmarkStart w:id="89" w:name="_Toc462564073"/>
      <w:r/>
      <w:bookmarkStart w:id="90" w:name="_Toc16938530"/>
      <w:r/>
      <w:bookmarkStart w:id="91" w:name="_Toc513029214"/>
      <w:r>
        <w:rPr>
          <w:rFonts w:hint="eastAsia" w:asciiTheme="minorEastAsia" w:hAnsiTheme="minorEastAsia" w:eastAsiaTheme="minorEastAsia" w:cstheme="minorEastAsia"/>
          <w:b/>
          <w:bCs/>
          <w:color w:val="333333"/>
          <w:sz w:val="24"/>
          <w:szCs w:val="24"/>
          <w:shd w:val="clear" w:color="auto" w:fill="ffffff"/>
        </w:rPr>
        <w:t xml:space="preserve">9、投标文件的语言及度量衡单位</w:t>
      </w:r>
      <w:bookmarkEnd w:id="88"/>
      <w:r/>
      <w:bookmarkEnd w:id="89"/>
      <w:r/>
      <w:bookmarkEnd w:id="90"/>
      <w:r/>
      <w:bookmarkEnd w:id="91"/>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9.1投标人提交的投标文件以及投标人与采购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就有关投标的所有来往通知、函件和文件均应使用简体中文。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9.2除技术性能另有规定外，投标文件所使用的度量衡单位，均须采用国家法定计量单位。</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92" w:name="_Toc513029215"/>
      <w:r/>
      <w:bookmarkStart w:id="93" w:name="_Toc462564074"/>
      <w:r/>
      <w:bookmarkStart w:id="94" w:name="_Toc20823287"/>
      <w:r/>
      <w:bookmarkStart w:id="95" w:name="_Toc16938531"/>
      <w:r>
        <w:rPr>
          <w:rFonts w:hint="eastAsia" w:asciiTheme="minorEastAsia" w:hAnsiTheme="minorEastAsia" w:eastAsiaTheme="minorEastAsia" w:cstheme="minorEastAsia"/>
          <w:b/>
          <w:bCs/>
          <w:color w:val="333333"/>
          <w:sz w:val="24"/>
          <w:szCs w:val="24"/>
          <w:shd w:val="clear" w:color="auto" w:fill="ffffff"/>
        </w:rPr>
        <w:t xml:space="preserve">10、投标文件构成</w:t>
      </w:r>
      <w:bookmarkEnd w:id="92"/>
      <w:r/>
      <w:bookmarkEnd w:id="93"/>
      <w:r/>
      <w:bookmarkEnd w:id="94"/>
      <w:r/>
      <w:bookmarkEnd w:id="95"/>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10.1投标人编写的投标文件应包括资格证明文件、符合性证明文件、投标分项报价表、技术要求响应及偏离表、商务要求响应及偏离表、其他证明文件、投标函、开标一览表等部分。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96" w:name="_Toc49090507"/>
      <w:r/>
      <w:bookmarkStart w:id="97" w:name="_Toc49090509"/>
      <w:r/>
      <w:bookmarkStart w:id="98" w:name="_Toc513029219"/>
      <w:r/>
      <w:bookmarkStart w:id="99" w:name="_Toc14577354"/>
      <w:r/>
      <w:bookmarkStart w:id="100" w:name="_Toc513029216"/>
      <w:r/>
      <w:bookmarkStart w:id="101" w:name="_Toc14577357"/>
      <w:r/>
      <w:bookmarkStart w:id="102" w:name="_Hlt26668975"/>
      <w:r/>
      <w:bookmarkStart w:id="103" w:name="_Hlt26954838"/>
      <w:r/>
      <w:bookmarkStart w:id="104" w:name="_Hlt26670360"/>
      <w:r>
        <w:rPr>
          <w:rFonts w:hint="eastAsia" w:asciiTheme="minorEastAsia" w:hAnsiTheme="minorEastAsia" w:eastAsiaTheme="minorEastAsia" w:cstheme="minorEastAsia"/>
          <w:b/>
          <w:bCs/>
          <w:color w:val="333333"/>
          <w:sz w:val="24"/>
          <w:szCs w:val="24"/>
          <w:shd w:val="clear" w:color="auto" w:fill="ffffff"/>
        </w:rPr>
        <w:t xml:space="preserve">11、证明投标人及投标标的符合招标文件规定的文件</w:t>
      </w:r>
      <w:bookmarkEnd w:id="96"/>
      <w:r/>
      <w:bookmarkEnd w:id="97"/>
      <w:r/>
      <w:bookmarkEnd w:id="98"/>
      <w:r/>
      <w:bookmarkEnd w:id="99"/>
      <w:r/>
      <w:bookmarkEnd w:id="100"/>
      <w:r/>
      <w:bookmarkEnd w:id="101"/>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105" w:name="_Toc14577355"/>
      <w:r/>
      <w:bookmarkStart w:id="106" w:name="_Toc49090508"/>
      <w:r>
        <w:rPr>
          <w:rFonts w:hint="eastAsia" w:asciiTheme="minorEastAsia" w:hAnsiTheme="minorEastAsia" w:eastAsiaTheme="minorEastAsia" w:cstheme="minorEastAsia"/>
          <w:color w:val="333333"/>
          <w:sz w:val="24"/>
          <w:szCs w:val="24"/>
          <w:shd w:val="clear" w:color="auto" w:fill="ffffff"/>
        </w:rPr>
        <w:t xml:space="preserve">11.1投标人应按照法律、法规、规章和规范性文件以及招标文件要求提交证明文件，证明其及投标标的符合招标文件规定。</w:t>
      </w:r>
      <w:bookmarkEnd w:id="105"/>
      <w:r/>
      <w:bookmarkEnd w:id="106"/>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11.2招标文件对证明文件无明确形式要求的，证明文件可以以文字资料、图纸和数据等形式提交。</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12、投标分项报价</w:t>
      </w:r>
      <w:bookmarkStart w:id="107" w:name="_Hlt26670373"/>
      <w:r>
        <w:rPr>
          <w:rFonts w:hint="eastAsia" w:asciiTheme="minorEastAsia" w:hAnsiTheme="minorEastAsia" w:eastAsiaTheme="minorEastAsia" w:cstheme="minorEastAsia"/>
          <w:b/>
          <w:bCs/>
          <w:color w:val="333333"/>
          <w:sz w:val="24"/>
          <w:szCs w:val="24"/>
          <w:shd w:val="clear" w:color="auto" w:fill="ffffff"/>
        </w:rPr>
        <w:t xml:space="preserve">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12.1投</w:t>
      </w:r>
      <w:bookmarkStart w:id="108" w:name="_Hlt26954840"/>
      <w:r>
        <w:rPr>
          <w:rFonts w:hint="eastAsia" w:asciiTheme="minorEastAsia" w:hAnsiTheme="minorEastAsia" w:eastAsiaTheme="minorEastAsia" w:cstheme="minorEastAsia"/>
          <w:color w:val="333333"/>
          <w:sz w:val="24"/>
          <w:szCs w:val="24"/>
          <w:shd w:val="clear" w:color="auto" w:fill="ffffff"/>
        </w:rPr>
        <w:t xml:space="preserve">标人应按照招标文件规定格式填报投标分项报价表</w:t>
      </w:r>
      <w:bookmarkStart w:id="109" w:name="_Hlt26670399"/>
      <w:r>
        <w:rPr>
          <w:rFonts w:hint="eastAsia" w:asciiTheme="minorEastAsia" w:hAnsiTheme="minorEastAsia" w:eastAsiaTheme="minorEastAsia" w:cstheme="minorEastAsia"/>
          <w:color w:val="333333"/>
          <w:sz w:val="24"/>
          <w:szCs w:val="24"/>
          <w:shd w:val="clear" w:color="auto" w:fill="ffffff"/>
        </w:rPr>
        <w:t xml:space="preserve">。</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12.2投标货币。投标文件中的单价和总价无特殊规定的采用人民币报价，以元为单位标注。招标文件中另有规定的按规定执行。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110" w:name="_Hlt26954844"/>
      <w:r/>
      <w:bookmarkStart w:id="111" w:name="_Hlt26954731"/>
      <w:r/>
      <w:bookmarkStart w:id="112" w:name="_Hlt26670425"/>
      <w:r/>
      <w:bookmarkStart w:id="113" w:name="_Hlt26670486"/>
      <w:r/>
      <w:bookmarkStart w:id="114" w:name="_Hlt26670482"/>
      <w:r/>
      <w:bookmarkStart w:id="115" w:name="_Hlt26670403"/>
      <w:r/>
      <w:bookmarkStart w:id="116" w:name="_Hlt26954846"/>
      <w:r/>
      <w:bookmarkStart w:id="117" w:name="_Hlt26954842"/>
      <w:r/>
      <w:bookmarkStart w:id="118" w:name="_Hlt26668983"/>
      <w:r/>
      <w:bookmarkStart w:id="119" w:name="_Hlt26954848"/>
      <w:r>
        <w:rPr>
          <w:rFonts w:hint="eastAsia" w:asciiTheme="minorEastAsia" w:hAnsiTheme="minorEastAsia" w:eastAsiaTheme="minorEastAsia" w:cstheme="minorEastAsia"/>
          <w:color w:val="333333"/>
          <w:sz w:val="24"/>
          <w:szCs w:val="24"/>
          <w:shd w:val="clear" w:color="auto" w:fill="ffffff"/>
        </w:rPr>
        <w:t xml:space="preserve">13、技术要求响应及偏离表、商务要求响应及偏离表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13.1投标人需对招标文件中的技术要求与商务要求逐项作出响应或偏离，并说明原因。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13.2投标人可在投标文件中提供认为需要的其他技术文件或说明。</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20" w:name="_Toc49090510"/>
      <w:r/>
      <w:bookmarkStart w:id="121" w:name="_Toc14577359"/>
      <w:r>
        <w:rPr>
          <w:rFonts w:hint="eastAsia" w:asciiTheme="minorEastAsia" w:hAnsiTheme="minorEastAsia" w:eastAsiaTheme="minorEastAsia" w:cstheme="minorEastAsia"/>
          <w:b/>
          <w:bCs/>
          <w:color w:val="333333"/>
          <w:sz w:val="24"/>
          <w:szCs w:val="24"/>
          <w:shd w:val="clear" w:color="auto" w:fill="ffffff"/>
        </w:rPr>
        <w:t xml:space="preserve">14、投标函和开标一览表</w:t>
      </w:r>
      <w:bookmarkEnd w:id="120"/>
      <w:r/>
      <w:bookmarkEnd w:id="121"/>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14.1投标人应按照招标文件中提供的格式完整、正确填写投标函、开标一览表。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14.2对于采用货币报价的项目，开标一览表中的投标总报价应与投标分项报价表中的投标总报价一致，如不一致，不作为无效投标处理，但评标时按开标一览表中价格为准。</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22" w:name="_Toc14577360"/>
      <w:r/>
      <w:bookmarkStart w:id="123" w:name="_Toc49090511"/>
      <w:r/>
      <w:bookmarkStart w:id="124" w:name="_Hlt26954734"/>
      <w:r/>
      <w:bookmarkStart w:id="125" w:name="_Hlt26670489"/>
      <w:r/>
      <w:bookmarkStart w:id="126" w:name="_Hlt26954850"/>
      <w:r>
        <w:rPr>
          <w:rFonts w:hint="eastAsia" w:asciiTheme="minorEastAsia" w:hAnsiTheme="minorEastAsia" w:eastAsiaTheme="minorEastAsia" w:cstheme="minorEastAsia"/>
          <w:b/>
          <w:bCs/>
          <w:color w:val="333333"/>
          <w:sz w:val="24"/>
          <w:szCs w:val="24"/>
          <w:shd w:val="clear" w:color="auto" w:fill="ffffff"/>
        </w:rPr>
        <w:t xml:space="preserve">15、投标有效期</w:t>
      </w:r>
      <w:bookmarkEnd w:id="122"/>
      <w:r/>
      <w:bookmarkEnd w:id="123"/>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15.1投标有效期为采购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规定的开标之日后六十（60）天。投标有效期比规定短的将被视为未实质性响应招标文件而予以拒绝。</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16、投标有效期的延长</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16.1在特殊情况下，采购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于原投标有效期满之前，可向投标人提出延长投标有效期的要求。这种要求与答复均应采用书面形式。投标人可以拒绝采购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的这一要求而放弃投标。同意延长投标有效期的投标人既不能要求也不允许修改其投标文件，同时受投标有效期约束的所有权利与义务均延长至新的有效期。</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27" w:name="_Toc16938540"/>
      <w:r/>
      <w:bookmarkStart w:id="128" w:name="_Toc513029224"/>
      <w:r/>
      <w:bookmarkStart w:id="129" w:name="_Toc20823296"/>
      <w:r/>
      <w:bookmarkStart w:id="130" w:name="_Toc120614217"/>
      <w:r/>
      <w:bookmarkStart w:id="131" w:name="_Hlt26954739"/>
      <w:r/>
      <w:bookmarkStart w:id="132" w:name="_Hlt26954852"/>
      <w:r>
        <w:rPr>
          <w:rFonts w:hint="eastAsia" w:asciiTheme="minorEastAsia" w:hAnsiTheme="minorEastAsia" w:eastAsiaTheme="minorEastAsia" w:cstheme="minorEastAsia"/>
          <w:b/>
          <w:bCs/>
          <w:color w:val="333333"/>
          <w:sz w:val="24"/>
          <w:szCs w:val="24"/>
          <w:shd w:val="clear" w:color="auto" w:fill="ffffff"/>
        </w:rPr>
        <w:t xml:space="preserve">四、投标文件的递交</w:t>
      </w:r>
      <w:bookmarkEnd w:id="127"/>
      <w:r/>
      <w:bookmarkEnd w:id="128"/>
      <w:r/>
      <w:bookmarkEnd w:id="129"/>
      <w:r/>
      <w:bookmarkEnd w:id="130"/>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33" w:name="_Toc462564084"/>
      <w:r/>
      <w:bookmarkStart w:id="134" w:name="_Toc20823297"/>
      <w:r/>
      <w:bookmarkStart w:id="135" w:name="_Toc513029225"/>
      <w:r/>
      <w:bookmarkStart w:id="136" w:name="_Toc16938541"/>
      <w:r>
        <w:rPr>
          <w:rFonts w:hint="eastAsia" w:asciiTheme="minorEastAsia" w:hAnsiTheme="minorEastAsia" w:eastAsiaTheme="minorEastAsia" w:cstheme="minorEastAsia"/>
          <w:b/>
          <w:bCs/>
          <w:color w:val="333333"/>
          <w:sz w:val="24"/>
          <w:szCs w:val="24"/>
          <w:shd w:val="clear" w:color="auto" w:fill="ffffff"/>
        </w:rPr>
        <w:t xml:space="preserve">17、投标文件</w:t>
      </w:r>
      <w:bookmarkEnd w:id="133"/>
      <w:r/>
      <w:bookmarkEnd w:id="134"/>
      <w:r/>
      <w:bookmarkEnd w:id="135"/>
      <w:r/>
      <w:bookmarkEnd w:id="136"/>
      <w:r>
        <w:rPr>
          <w:rFonts w:hint="eastAsia" w:asciiTheme="minorEastAsia" w:hAnsiTheme="minorEastAsia" w:eastAsiaTheme="minorEastAsia" w:cstheme="minorEastAsia"/>
          <w:b/>
          <w:bCs/>
          <w:color w:val="333333"/>
          <w:sz w:val="24"/>
          <w:szCs w:val="24"/>
          <w:shd w:val="clear" w:color="auto" w:fill="ffffff"/>
        </w:rPr>
        <w:t xml:space="preserve">的递交</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17.1 电子投标文件的递交</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投标人应当按照《操作手册》规定，在投标截止时间前制作并上传电子投标文件。</w:t>
      </w:r>
      <w:bookmarkStart w:id="137" w:name="_Toc16938542"/>
      <w:r/>
      <w:bookmarkEnd w:id="137"/>
      <w:r/>
      <w:bookmarkStart w:id="138" w:name="_Toc20823298"/>
      <w:r/>
      <w:bookmarkEnd w:id="138"/>
      <w:r/>
      <w:bookmarkStart w:id="139" w:name="_Toc513029226"/>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18、投标截止时间</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18.1投标人上传电子投标文件的时间不得迟于招标公告中规定的投标截止时间。</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投标人应充分考虑到网络环境、网络带宽等风险因素，如因投标人自身原因造成的电子投标文件上传不成功的按照本招标文件第二章第26.1.2条 规定做无效投标处理。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18.2采购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可以按照规定，通过修改招标文件酌情延长投标截止时间，在此情况下，投标人的所有权利和义务以及投标人受制的截止时间均应以延长后新的截止时间为准。</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40" w:name="_Toc513029227"/>
      <w:r/>
      <w:bookmarkStart w:id="141" w:name="_Toc16938543"/>
      <w:r/>
      <w:bookmarkStart w:id="142" w:name="_Toc20823299"/>
      <w:r>
        <w:rPr>
          <w:rFonts w:hint="eastAsia" w:asciiTheme="minorEastAsia" w:hAnsiTheme="minorEastAsia" w:eastAsiaTheme="minorEastAsia" w:cstheme="minorEastAsia"/>
          <w:b/>
          <w:bCs/>
          <w:color w:val="333333"/>
          <w:sz w:val="24"/>
          <w:szCs w:val="24"/>
          <w:shd w:val="clear" w:color="auto" w:fill="ffffff"/>
        </w:rPr>
        <w:t xml:space="preserve">19、投标文件</w:t>
      </w:r>
      <w:bookmarkEnd w:id="140"/>
      <w:r/>
      <w:bookmarkEnd w:id="141"/>
      <w:r/>
      <w:bookmarkEnd w:id="142"/>
      <w:r>
        <w:rPr>
          <w:rFonts w:hint="eastAsia" w:asciiTheme="minorEastAsia" w:hAnsiTheme="minorEastAsia" w:eastAsiaTheme="minorEastAsia" w:cstheme="minorEastAsia"/>
          <w:b/>
          <w:bCs/>
          <w:color w:val="333333"/>
          <w:sz w:val="24"/>
          <w:szCs w:val="24"/>
          <w:shd w:val="clear" w:color="auto" w:fill="ffffff"/>
        </w:rPr>
        <w:t xml:space="preserve">的拒收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19.1采购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拒绝接收在其规定的投标截止时间后上传的任何投标文件。</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43" w:name="_Toc20823300"/>
      <w:r/>
      <w:bookmarkStart w:id="144" w:name="_Toc513029228"/>
      <w:r/>
      <w:bookmarkStart w:id="145" w:name="_Toc16938544"/>
      <w:r>
        <w:rPr>
          <w:rFonts w:hint="eastAsia" w:asciiTheme="minorEastAsia" w:hAnsiTheme="minorEastAsia" w:eastAsiaTheme="minorEastAsia" w:cstheme="minorEastAsia"/>
          <w:b/>
          <w:bCs/>
          <w:color w:val="333333"/>
          <w:sz w:val="24"/>
          <w:szCs w:val="24"/>
          <w:shd w:val="clear" w:color="auto" w:fill="ffffff"/>
        </w:rPr>
        <w:t xml:space="preserve">20、投标文件的撤回和修改</w:t>
      </w:r>
      <w:bookmarkEnd w:id="143"/>
      <w:r/>
      <w:bookmarkEnd w:id="144"/>
      <w:r/>
      <w:bookmarkEnd w:id="145"/>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20.1投标文件的撤回</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w:t>
      </w:r>
      <w:r>
        <w:rPr>
          <w:rFonts w:hint="eastAsia" w:asciiTheme="minorEastAsia" w:hAnsiTheme="minorEastAsia" w:cstheme="minorEastAsia"/>
          <w:color w:val="333333"/>
          <w:sz w:val="24"/>
          <w:szCs w:val="24"/>
          <w:shd w:val="clear" w:color="auto" w:fill="ffffff"/>
          <w:lang w:val="en-US" w:eastAsia="zh-CN"/>
        </w:rPr>
        <w:t xml:space="preserve">0</w:t>
      </w:r>
      <w:r>
        <w:rPr>
          <w:rFonts w:hint="eastAsia" w:asciiTheme="minorEastAsia" w:hAnsiTheme="minorEastAsia" w:eastAsiaTheme="minorEastAsia" w:cstheme="minorEastAsia"/>
          <w:color w:val="333333"/>
          <w:sz w:val="24"/>
          <w:szCs w:val="24"/>
          <w:shd w:val="clear" w:color="auto" w:fill="ffffff"/>
        </w:rPr>
        <w:t xml:space="preserve">.1.1电子投标文件的撤回</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投标人可在投标截止时间前，撤回其电子投标文件，具体操作方法见《操作手册》。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w:t>
      </w:r>
      <w:r>
        <w:rPr>
          <w:rFonts w:hint="eastAsia" w:asciiTheme="minorEastAsia" w:hAnsiTheme="minorEastAsia" w:cstheme="minorEastAsia"/>
          <w:color w:val="333333"/>
          <w:sz w:val="24"/>
          <w:szCs w:val="24"/>
          <w:shd w:val="clear" w:color="auto" w:fill="ffffff"/>
          <w:lang w:val="en-US" w:eastAsia="zh-CN"/>
        </w:rPr>
        <w:t xml:space="preserve">0</w:t>
      </w:r>
      <w:r>
        <w:rPr>
          <w:rFonts w:hint="eastAsia" w:asciiTheme="minorEastAsia" w:hAnsiTheme="minorEastAsia" w:eastAsiaTheme="minorEastAsia" w:cstheme="minorEastAsia"/>
          <w:color w:val="333333"/>
          <w:sz w:val="24"/>
          <w:szCs w:val="24"/>
          <w:shd w:val="clear" w:color="auto" w:fill="ffffff"/>
        </w:rPr>
        <w:t xml:space="preserve">.1.2投标人撤回电子投标文件，则认为其不再参与本项目投标活动。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20.2 投标文件的修改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20.2.1投标人可在投标截止时间前，对其电子投标文件进行修改，具体操作方法见《操作手册》。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20.2.2在投标截止时间之后，投标人不得对其电子投标文件作任何修改。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20.3在投标截止时间至招标文件中规定的投标有效期满之间的这段时间内，投标人不得撤回其投标。</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46" w:name="_Toc20823301"/>
      <w:r/>
      <w:bookmarkStart w:id="147" w:name="_Toc513029229"/>
      <w:r/>
      <w:bookmarkStart w:id="148" w:name="_Toc16938545"/>
      <w:r/>
      <w:bookmarkStart w:id="149" w:name="_Toc120614218"/>
      <w:r>
        <w:rPr>
          <w:rFonts w:hint="eastAsia" w:asciiTheme="minorEastAsia" w:hAnsiTheme="minorEastAsia" w:eastAsiaTheme="minorEastAsia" w:cstheme="minorEastAsia"/>
          <w:b/>
          <w:bCs/>
          <w:color w:val="333333"/>
          <w:sz w:val="24"/>
          <w:szCs w:val="24"/>
          <w:shd w:val="clear" w:color="auto" w:fill="ffffff"/>
        </w:rPr>
        <w:t xml:space="preserve">五、开标与评标</w:t>
      </w:r>
      <w:bookmarkEnd w:id="146"/>
      <w:r/>
      <w:bookmarkEnd w:id="147"/>
      <w:r/>
      <w:bookmarkEnd w:id="148"/>
      <w:r/>
      <w:bookmarkEnd w:id="149"/>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50" w:name="_Toc513029230"/>
      <w:r/>
      <w:bookmarkStart w:id="151" w:name="_Toc20823302"/>
      <w:r/>
      <w:bookmarkStart w:id="152" w:name="_Toc16938546"/>
      <w:r>
        <w:rPr>
          <w:rFonts w:hint="eastAsia" w:asciiTheme="minorEastAsia" w:hAnsiTheme="minorEastAsia" w:eastAsiaTheme="minorEastAsia" w:cstheme="minorEastAsia"/>
          <w:b/>
          <w:bCs/>
          <w:color w:val="333333"/>
          <w:sz w:val="24"/>
          <w:szCs w:val="24"/>
          <w:shd w:val="clear" w:color="auto" w:fill="ffffff"/>
        </w:rPr>
        <w:t xml:space="preserve">21、开标</w:t>
      </w:r>
      <w:bookmarkEnd w:id="150"/>
      <w:r/>
      <w:bookmarkEnd w:id="151"/>
      <w:r/>
      <w:bookmarkEnd w:id="152"/>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21.1采购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将在招标公告中规定的时间和地点组织公开开标。投标人应当按照《操作手册》规定，参加开标活动和在苏采云系统规定的时间内对投标文件进行解密。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21.2开标仪式由采购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组织。苏采云系统将自动对项目进行开标，并宣布各投标人名称和投标价格。</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21.3投标人在开标过程中涉及到的投标文件解密、开标结果确认等工作，应按照《操作手册》规定执行。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21.4投标人如果对开标过程和开标记录有疑义，应当根据《操作手册》规定提出，如苏采云系统中《开标记录表》宣布后5分钟内未提出的，视同认可开标结果。</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53" w:name="_Toc20823303"/>
      <w:r/>
      <w:bookmarkStart w:id="154" w:name="_Toc16938547"/>
      <w:r/>
      <w:bookmarkStart w:id="155" w:name="_Toc513029231"/>
      <w:r>
        <w:rPr>
          <w:rFonts w:hint="eastAsia" w:asciiTheme="minorEastAsia" w:hAnsiTheme="minorEastAsia" w:eastAsiaTheme="minorEastAsia" w:cstheme="minorEastAsia"/>
          <w:b/>
          <w:bCs/>
          <w:color w:val="333333"/>
          <w:sz w:val="24"/>
          <w:szCs w:val="24"/>
          <w:shd w:val="clear" w:color="auto" w:fill="ffffff"/>
        </w:rPr>
        <w:t xml:space="preserve">22、评标委员会</w:t>
      </w:r>
      <w:bookmarkEnd w:id="153"/>
      <w:r/>
      <w:bookmarkEnd w:id="154"/>
      <w:r/>
      <w:bookmarkEnd w:id="155"/>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22.1开标后，采购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将立即组织评标委员会（以下简称评委会）进行评标。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22.2评委会由采购人代表和有关技术、经济等方面的专家组成，且人员构成符合政府采购有关规定。</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22.3评委会独立工作，负责评审所有投标文件并确定中标侯选人。</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23、评标过程的保密与公正</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23.1凡是与审查、澄清、评价和比较投标的有关资料以及授标建议等，采购人、评委、采购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均不得向投标人或与评标无关的其他人员透露。</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23.2在评标过程中，投标人不得以任何行为影响评标过程，否则其投标文件将被作为无效投标文件。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23.3采购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和评标委员会不向未中标的投标人解释未中标原因，也不公布评标过程中的相关细节。</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23.4采用综合评分法的项目，未中标的投标人可于中标结果公告期限届满之日起通过苏采云系统查看自己的评审得分及排序情况。</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56" w:name="_Toc20823304"/>
      <w:r/>
      <w:bookmarkStart w:id="157" w:name="_Toc16938548"/>
      <w:r/>
      <w:bookmarkStart w:id="158" w:name="_Toc513029232"/>
      <w:r>
        <w:rPr>
          <w:rFonts w:hint="eastAsia" w:asciiTheme="minorEastAsia" w:hAnsiTheme="minorEastAsia" w:eastAsiaTheme="minorEastAsia" w:cstheme="minorEastAsia"/>
          <w:b/>
          <w:bCs/>
          <w:color w:val="333333"/>
          <w:sz w:val="24"/>
          <w:szCs w:val="24"/>
          <w:shd w:val="clear" w:color="auto" w:fill="ffffff"/>
        </w:rPr>
        <w:t xml:space="preserve">24、投标文件的澄清</w:t>
      </w:r>
      <w:bookmarkEnd w:id="156"/>
      <w:r/>
      <w:bookmarkEnd w:id="157"/>
      <w:r/>
      <w:bookmarkEnd w:id="158"/>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24.1评标期间，评委会对投标文件中含义不明确、同类问题表述不一致或者有明显文字和计算错误的内容 ，有权要求投标人作出必要的澄清、说明或者补正。</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投标人的澄清、说明或者补正不得超出投标文件的范围或者改变投标文件的实质性内容。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评标委员会并非对每个投标人都做澄清要求。</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24.3接到评委会澄清、说明和补正要求的投标人如未按规定做出澄清、说明和补正，其风险由投标人自行承担。</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59" w:name="_Toc20823305"/>
      <w:r/>
      <w:bookmarkStart w:id="160" w:name="_Toc16938549"/>
      <w:r/>
      <w:bookmarkStart w:id="161" w:name="_Toc513029233"/>
      <w:r>
        <w:rPr>
          <w:rFonts w:hint="eastAsia" w:asciiTheme="minorEastAsia" w:hAnsiTheme="minorEastAsia" w:eastAsiaTheme="minorEastAsia" w:cstheme="minorEastAsia"/>
          <w:b/>
          <w:bCs/>
          <w:color w:val="333333"/>
          <w:sz w:val="24"/>
          <w:szCs w:val="24"/>
          <w:shd w:val="clear" w:color="auto" w:fill="ffffff"/>
        </w:rPr>
        <w:t xml:space="preserve">25、对投标文件的初审</w:t>
      </w:r>
      <w:bookmarkEnd w:id="159"/>
      <w:r/>
      <w:bookmarkEnd w:id="160"/>
      <w:r/>
      <w:bookmarkEnd w:id="161"/>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25.1投标文件初审分为资格审查和符合性审查。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25.1.1资格审查：依据法律法规和招标文件的规定，由采购人对投标文件中的资格证明文件进行审查。资格审查的结论，采购人以书面形式向评委会进行反馈。</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采购人在进行资格性审查的同时，将在“信用中国”网站（www.creditchina.gov.cn）查询投标人的信用记录，以确定投标人是否具备投标资格,查询结果留存并归档。</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25.1.2符合性审查：依据招标文件的规定，由评委会从投标文件的有效性、完整性和对招标文件的响应程度进行审查，以确定是否对招标文件的实质性要求作出响应。</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25.1.3未通过资格审查或符合性审查的投标人，采购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将在苏采云系统中告知未通过资格审查或符合性审查的原因，评标结束后，采购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将不再告知未通过资格审查和符合性审查的原因。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所谓重大偏离或保留是指与招标文件规定的实质性要求存在负偏离，或者在实质上与招标文件不一致，而且限制了合同中买方和采购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25.3如果投标文件实质上没有响应招标文件的要求，评委会将予以拒绝，投标人不得通过修改或撤销不合要求的偏离或保留而使其投标成为实质性响应的投标。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25.4评委会将对确定为实质性响应的投标进行进一步审核，确定其是否有计算上或累加上的算术错误，修正错误的原则如下：</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（1）投标文件中开标一览表内容与投标文件中相应内容不一致的，以开标一览表为准。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（2）大写金额和小写金额不一致的，以大写金额为准。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（3）单价金额小数点或者百分比有明显错位的，以开标一览表的总价为准，并修改单价。</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（4）总价金额与按单价汇总金额不一致的，以单价金额计算结果为准。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同时出现两种以上错误的，按照前款规定的顺序修正。</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162" w:name="_Toc20823306"/>
      <w:r/>
      <w:bookmarkStart w:id="163" w:name="_Toc16938550"/>
      <w:r/>
      <w:bookmarkStart w:id="164" w:name="_Toc513029234"/>
      <w:r>
        <w:rPr>
          <w:rFonts w:hint="eastAsia" w:asciiTheme="minorEastAsia" w:hAnsiTheme="minorEastAsia" w:eastAsiaTheme="minorEastAsia" w:cstheme="minorEastAsia"/>
          <w:color w:val="333333"/>
          <w:sz w:val="24"/>
          <w:szCs w:val="24"/>
          <w:shd w:val="clear" w:color="auto" w:fill="ffffff"/>
        </w:rPr>
        <w:t xml:space="preserve">25.6投标人在开、评标全过程中应保持通讯畅通，及时登录苏采云系统查阅、答复相关信息，并安排专人与采购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及评标委员会联系。</w:t>
      </w:r>
      <w:bookmarkEnd w:id="162"/>
      <w:r/>
      <w:bookmarkEnd w:id="163"/>
      <w:r/>
      <w:bookmarkEnd w:id="164"/>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26、无效投标条款和废标条款</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165" w:name="_Toc16938551"/>
      <w:r/>
      <w:bookmarkStart w:id="166" w:name="_Toc513029235"/>
      <w:r/>
      <w:bookmarkStart w:id="167" w:name="_Toc20823307"/>
      <w:r>
        <w:rPr>
          <w:rFonts w:hint="eastAsia" w:asciiTheme="minorEastAsia" w:hAnsiTheme="minorEastAsia" w:eastAsiaTheme="minorEastAsia" w:cstheme="minorEastAsia"/>
          <w:color w:val="333333"/>
          <w:sz w:val="24"/>
          <w:szCs w:val="24"/>
          <w:shd w:val="clear" w:color="auto" w:fill="ffffff"/>
        </w:rPr>
        <w:t xml:space="preserve">26.1无效投标条款</w:t>
      </w:r>
      <w:bookmarkEnd w:id="165"/>
      <w:r/>
      <w:bookmarkEnd w:id="166"/>
      <w:r/>
      <w:bookmarkEnd w:id="167"/>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26.1.1投标人在苏采云系统规定的时间内未成功解密电子投标文件的。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26.1.2投标人未按照招标文件要求上传电子投标文件的。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26.1.3同一投标人提交两个（含两个）以上不同的投标报价的。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26.1.4投标人不具备招标文件中规定资格要求的。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26.1.5投标人的报价超过了采购预算或最高限价的。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26.1.6未通过符合性审查的。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26.1.7不符合招标文件中规定的实质性要求和条件的（本招标文件中斜体且有下划线部分为实质性要求和条件）。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26.1.9投标文件含有采购人不能接受的附加条件的。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26.1.11投标文件未按照招标文件要求加盖CA电子公章的。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26.1.12其他法律、法规及本招标文件规定的属无效投标的情形。</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26.2废标条款</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26.2.1符合专业条件的供应商或者对招标文件作实质响应的供应商不足三家的。26.2.2出现影响采购公正的违法、违规行为的。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26.2.3因重大变故，采购任务取消的。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26.2.4评标委员会认定招标文件存在歧义、重大缺陷导致评审工作无法进行。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26.2.5因苏采云系统系统故障原因造成开标不成功的。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26.3 投标截止时间结束后参加投标的供应商不足三家的处理：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26.3.1如出现投标截止时间结束后参加投标的供应商或者在评标期间对招标文件做出实质响应的供应商不足三家情况，按政府采购相关规定执行。</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68" w:name="_Toc120614219"/>
      <w:r>
        <w:rPr>
          <w:rFonts w:hint="eastAsia" w:asciiTheme="minorEastAsia" w:hAnsiTheme="minorEastAsia" w:eastAsiaTheme="minorEastAsia" w:cstheme="minorEastAsia"/>
          <w:b/>
          <w:bCs/>
          <w:color w:val="333333"/>
          <w:sz w:val="24"/>
          <w:szCs w:val="24"/>
          <w:shd w:val="clear" w:color="auto" w:fill="ffffff"/>
        </w:rPr>
        <w:t xml:space="preserve">六、定标</w:t>
      </w:r>
      <w:bookmarkEnd w:id="168"/>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69" w:name="_Toc20823310"/>
      <w:r/>
      <w:bookmarkStart w:id="170" w:name="_Toc513029238"/>
      <w:r/>
      <w:bookmarkStart w:id="171" w:name="_Toc16938554"/>
      <w:r>
        <w:rPr>
          <w:rFonts w:hint="eastAsia" w:asciiTheme="minorEastAsia" w:hAnsiTheme="minorEastAsia" w:eastAsiaTheme="minorEastAsia" w:cstheme="minorEastAsia"/>
          <w:b/>
          <w:bCs/>
          <w:color w:val="333333"/>
          <w:sz w:val="24"/>
          <w:szCs w:val="24"/>
          <w:shd w:val="clear" w:color="auto" w:fill="ffffff"/>
        </w:rPr>
        <w:t xml:space="preserve">27、</w:t>
      </w:r>
      <w:bookmarkEnd w:id="169"/>
      <w:r>
        <w:rPr>
          <w:rFonts w:hint="eastAsia" w:asciiTheme="minorEastAsia" w:hAnsiTheme="minorEastAsia" w:eastAsiaTheme="minorEastAsia" w:cstheme="minorEastAsia"/>
          <w:b/>
          <w:bCs/>
          <w:color w:val="333333"/>
          <w:sz w:val="24"/>
          <w:szCs w:val="24"/>
          <w:shd w:val="clear" w:color="auto" w:fill="ffffff"/>
        </w:rPr>
        <w:t xml:space="preserve">确定</w:t>
      </w:r>
      <w:bookmarkEnd w:id="170"/>
      <w:r/>
      <w:bookmarkEnd w:id="171"/>
      <w:r>
        <w:rPr>
          <w:rFonts w:hint="eastAsia" w:asciiTheme="minorEastAsia" w:hAnsiTheme="minorEastAsia" w:eastAsiaTheme="minorEastAsia" w:cstheme="minorEastAsia"/>
          <w:b/>
          <w:bCs/>
          <w:color w:val="333333"/>
          <w:sz w:val="24"/>
          <w:szCs w:val="24"/>
          <w:shd w:val="clear" w:color="auto" w:fill="ffffff"/>
        </w:rPr>
        <w:t xml:space="preserve">中标单位</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27.1中标候选人的选取原则和数量见招标文件第五章规定。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27.2采购人应根据评委会推荐的中标候选人确定中标人。</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27.3采购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将在“中国政府采购网”、“江苏政府采购网”、“盐城市政府采购网”发布中标公告，公告期限为1个工作日。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27.4若有充分证据证明，中标人出现下列情况之一的，一经查实，将被取消中标资格：</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27.4.1提供虚假材料谋取中标的。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27.4.2向采购人、采购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行贿或者提供其他不正当利益的。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27.4.3属于本文件规定的无效条件，但在评标过程中又未被评委会发现的。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27.4.4与采购人或者其他供应商恶意串通的。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27.4.5采取不正当手段诋毁、排挤其他供应商的。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bookmarkStart w:id="172" w:name="_Toc200451960"/>
      <w:r>
        <w:rPr>
          <w:rFonts w:hint="eastAsia" w:asciiTheme="minorEastAsia" w:hAnsiTheme="minorEastAsia" w:eastAsiaTheme="minorEastAsia" w:cstheme="minorEastAsia"/>
          <w:color w:val="333333"/>
          <w:sz w:val="24"/>
          <w:szCs w:val="24"/>
          <w:shd w:val="clear" w:color="auto" w:fill="ffffff"/>
        </w:rPr>
        <w:t xml:space="preserve">27.5 有下列情形之一的，视为投标人串通投标，投标无效：</w:t>
      </w:r>
      <w:bookmarkEnd w:id="172"/>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27.5.1不同投标人的投标文件由同一单位或者个人编制。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27.5.2不同投标人委托同一单位或者个人办理投标事宜。</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27.5.3不同投标人的投标文件载明的项目管理成员或者联系人员为同一人。</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27.5.4不同投标人的投标文件异常一致或者投标报价呈规律性差异。</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28、质疑处理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28.1提出质疑的供应商应当是参与所质疑项目采购活动的供应商。潜在供应商依法获取其可质疑的采购文件的，可以对采购文件提出质疑。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或采购人提出质疑。上述应知其权益受到损害之日，是指：</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28.2.1对可以质疑的采购文件提出质疑的，为收到采购文件之日或者采购文件公告期限届满之日；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28.2.2对采购过程提出质疑的，为各采购程序环节结束之日；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28.2.3对中标或者成交结果提出质疑的，为中标或者成交结果公告期限届满之日。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供应商应当在法定质疑期内一次性提出针对同一采购程序环节的质疑。供应商如在法定期限内对同一采购程序环节提出多次质疑的，采购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、采购人将只对供应商第一次质疑作出答复。</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提出，由采购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负责答复。</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及采购人只接收以纸质原件形式送达的质疑,采购人和采购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不接受未填写快递运单的快件。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采购人质疑接收人及联系方式见招标文件第一章。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质疑人（或授权委托人）须是投标单位正式员工，授权委托人须提供投标单位为其缴纳的本年度近期社保证明。</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28.5 以下情形的质疑不予受理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28.5.1内容不符合《政府采购质疑和投诉办法》第十二条规定的质疑。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28.5.2超出政府采购法定期限的质疑。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28.5.3以传真、电子邮件等方式递交的非原件形式的质疑。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28.5.4未参加投标活动的供应商或在投标活动中自身权益未受到损害的供应商所提出的质疑。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28.5.5供应商组成联合体参加投标，联合体中任何一方或多方未按要求签字、盖章、加盖公章的质疑。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28.6供应商提出书面质疑必须有理、有据，不得捏造事实、提供虚假材料进行恶意质疑。否则，一经查实，采购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有权依据政府采购的有关规定，报请政府采购监管部门对该供应商进行相应的行政处罚和记录该供应商的失信信息。</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29、中标通知书</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29.l中标结果确定后，采购</w:t>
      </w:r>
      <w:r>
        <w:rPr>
          <w:rFonts w:hint="eastAsia" w:asciiTheme="minorEastAsia" w:hAnsiTheme="minorEastAsia" w:cstheme="minorEastAsia"/>
          <w:color w:val="333333"/>
          <w:sz w:val="24"/>
          <w:szCs w:val="24"/>
          <w:shd w:val="clear" w:color="auto" w:fill="ffffff"/>
          <w:lang w:val="en-US" w:eastAsia="zh-CN"/>
        </w:rPr>
        <w:t xml:space="preserve">代理机构</w:t>
      </w:r>
      <w:r>
        <w:rPr>
          <w:rFonts w:hint="eastAsia" w:asciiTheme="minorEastAsia" w:hAnsiTheme="minorEastAsia" w:eastAsiaTheme="minorEastAsia" w:cstheme="minorEastAsia"/>
          <w:color w:val="333333"/>
          <w:sz w:val="24"/>
          <w:szCs w:val="24"/>
          <w:shd w:val="clear" w:color="auto" w:fill="ffffff"/>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29.2中标通知书将是合同的一个组成部分。对采购人和中标人均具有法律效力。中标通知书发出后，采购人改变中标结果的，或者中标人放弃中标项目的，应当依法承担法律责任。</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73" w:name="_Toc120614220"/>
      <w:r/>
      <w:bookmarkStart w:id="174" w:name="_Toc20823308"/>
      <w:r/>
      <w:bookmarkStart w:id="175" w:name="_Toc513029236"/>
      <w:r/>
      <w:bookmarkStart w:id="176" w:name="_Toc16938552"/>
      <w:r>
        <w:rPr>
          <w:rFonts w:hint="eastAsia" w:asciiTheme="minorEastAsia" w:hAnsiTheme="minorEastAsia" w:eastAsiaTheme="minorEastAsia" w:cstheme="minorEastAsia"/>
          <w:b/>
          <w:bCs/>
          <w:color w:val="333333"/>
          <w:sz w:val="24"/>
          <w:szCs w:val="24"/>
          <w:shd w:val="clear" w:color="auto" w:fill="ffffff"/>
        </w:rPr>
        <w:t xml:space="preserve">七、授予合同</w:t>
      </w:r>
      <w:bookmarkEnd w:id="173"/>
      <w:r/>
      <w:bookmarkEnd w:id="174"/>
      <w:r/>
      <w:bookmarkEnd w:id="175"/>
      <w:r/>
      <w:bookmarkEnd w:id="176"/>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77" w:name="_Toc20823309"/>
      <w:r/>
      <w:bookmarkStart w:id="178" w:name="_Toc513029237"/>
      <w:r/>
      <w:bookmarkStart w:id="179" w:name="_Toc16938553"/>
      <w:r>
        <w:rPr>
          <w:rFonts w:hint="eastAsia" w:asciiTheme="minorEastAsia" w:hAnsiTheme="minorEastAsia" w:eastAsiaTheme="minorEastAsia" w:cstheme="minorEastAsia"/>
          <w:b/>
          <w:bCs/>
          <w:color w:val="333333"/>
          <w:sz w:val="24"/>
          <w:szCs w:val="24"/>
          <w:shd w:val="clear" w:color="auto" w:fill="ffffff"/>
        </w:rPr>
        <w:t xml:space="preserve">30.签订合同</w:t>
      </w:r>
      <w:bookmarkEnd w:id="177"/>
      <w:r/>
      <w:bookmarkEnd w:id="178"/>
      <w:r/>
      <w:bookmarkEnd w:id="179"/>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30.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30.2招标文件、中标人的投标文件及招标过程中有关澄清、承诺文件均应作为合同附件。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31、服务（包含与服务相关的货物）的追加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bookmarkStart w:id="180" w:name="_Toc20823314"/>
      <w:r/>
      <w:bookmarkStart w:id="181" w:name="_Toc120614221"/>
      <w:r/>
      <w:bookmarkStart w:id="182" w:name="_Toc16938558"/>
      <w:r/>
      <w:bookmarkStart w:id="183" w:name="_Toc479757207"/>
      <w:r/>
      <w:bookmarkStart w:id="184" w:name="_Toc513029242"/>
      <w:r>
        <w:rPr>
          <w:rFonts w:hint="eastAsia" w:asciiTheme="minorEastAsia" w:hAnsiTheme="minorEastAsia" w:eastAsiaTheme="minorEastAsia" w:cstheme="minorEastAsia"/>
          <w:b/>
          <w:bCs/>
          <w:color w:val="333333"/>
          <w:sz w:val="24"/>
          <w:szCs w:val="24"/>
          <w:shd w:val="clear" w:color="auto" w:fill="ffffff"/>
        </w:rPr>
        <w:t xml:space="preserve">32、政府采购履约资金扶持政策</w:t>
      </w:r>
      <w:bookmarkEnd w:id="180"/>
      <w:r/>
      <w:bookmarkEnd w:id="181"/>
      <w:r/>
      <w:bookmarkEnd w:id="182"/>
      <w:r/>
      <w:bookmarkEnd w:id="183"/>
      <w:r/>
      <w:bookmarkEnd w:id="184"/>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33、政府采购履约资金扶持政策</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34、招标项目需满足的政府采购政策目标和具体支持对象</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34.1中小微型企业有关政策</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根据工信部等部委发布的《关于印发中小企业划型标准规定的通知》（工信部联企业〔2011〕300号），根据具体品目确定相应标准。符合上述条件的中小微型企业应按照招标文件中的格式要求提供《中小企业声明函》。</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（3）供应商须按照采购文件要求提供相应的《企业声明函》（格式附后），不提供声明函或有弄虚作假的，将依法承担相应责任。</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（4）根据工信部等部委发布的《关于印发中小企业划型标准规定的通知》（工信部联企业【2011】300号）文件规定自行填写，根据具体品目确定相应标准。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（5）以上规定未尽事项，按《政府采购促进中小企业发展管理办法》 （财库【2020】46号）等有关制度规定执行。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34.2监狱和戒毒企业</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（1）本项目对监狱和戒毒企业（简称监狱企业）视同小型、微型企业。</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（3）监狱企业标准请参照《关于政府采购支持监狱企业发展有关问题的通知》（财库[2014]68号）。</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34.3残疾人福利单位、监狱企业属于小型、微型企业的，不重复享受政策。</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35、履约保证金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35.1履约保证金缴纳</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35.1.1中标后签订合同时中标方须缴纳中标金额8%的履约保证</w:t>
      </w:r>
      <w:r>
        <w:rPr>
          <w:rFonts w:hint="eastAsia" w:asciiTheme="minorEastAsia" w:hAnsiTheme="minorEastAsia" w:eastAsiaTheme="minorEastAsia" w:cstheme="minorEastAsia"/>
          <w:color w:val="333333"/>
          <w:sz w:val="24"/>
          <w:szCs w:val="24"/>
          <w:shd w:val="clear" w:color="auto" w:fill="ffffff"/>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3%）。</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35.2合同履行结束后，甲方应及时退还交纳的履约保证金。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35.3履约保证金的退还：</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35.3.1方式：无息退还至投标人缴纳履约保证金的账户。如为保函，在到期时自行失效。</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35.3.2时间：验收合格且采购人收到发票后30日内。</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35.3.3条件：按合同要求全部履约完成并经采购人验收合格，且采购人收到中标人出具的发票。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35.3.4不予退还情形：</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除不可抗力情况外，投标人出现下列情形之一的，其履约保证金，招标人将视情节决定不予退还或部分不予退还。</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（1）中标人无正当理由拒绝签订合同的，或者在签订合同时向采购人提出附加条件或者更改合同实质性内容要求的；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（2）中标人不履行与采购人订立的合同的；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（3）中标人所供货物或服务不符合招标文件规定要求的；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（4）中标人采取欺骗、弄虚作假方式投标的或与其它投标人串通投标的；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（5）中标人将合同内容违法转包、分包的；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（6）中标人故意捏造事实或伪造证明材料，进行虚假恶意投诉或反映的。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35.3.5逾期退还的违约责任：采购人逾期无故未退还履约保证金的，按中国人民银行同期贷款基准利率上浮20%后的利率支付超期资金占用费，但因供应商自身原因导致无法及时退还的除外。</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36、落实节能、环保产品政策</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36.1严格执行政府采购关于支持</w:t>
      </w:r>
      <w:r>
        <w:rPr>
          <w:rFonts w:hint="eastAsia" w:asciiTheme="minorEastAsia" w:hAnsiTheme="minorEastAsia" w:eastAsiaTheme="minorEastAsia" w:cstheme="minorEastAsia"/>
          <w:color w:val="333333"/>
          <w:sz w:val="24"/>
          <w:szCs w:val="24"/>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37、收费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37.1中标服务费：本次招标代理服务费由中标单位向招标代理机构支付。中标单位须在领取中标通知书时向招标代理机构一次性付清。该费用折算在报价中，不在响应文件中单独列出。招标代理服务费按照国家收费标准收取。招标代理服务收费按差额定率累进法计算。</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37.2收费标准：本次招标的代理服务费按《江苏省招标代理服务费收费的指导意见》（苏招协【2022】002号）收费标准</w:t>
      </w:r>
      <w:r>
        <w:rPr>
          <w:rFonts w:hint="eastAsia" w:asciiTheme="minorEastAsia" w:hAnsiTheme="minorEastAsia" w:cstheme="minorEastAsia"/>
          <w:color w:val="333333"/>
          <w:sz w:val="24"/>
          <w:szCs w:val="24"/>
          <w:shd w:val="clear" w:color="auto" w:fill="ffffff"/>
          <w:lang w:eastAsia="zh-CN"/>
        </w:rPr>
        <w:t xml:space="preserve">【收费标准：中标金额50万（含50万）元以下：按壹万元收取；中标金额50-400万（含400万）元：货物、服务、工程按中标金额的1.5%收取】</w:t>
      </w:r>
      <w:r>
        <w:rPr>
          <w:rFonts w:hint="eastAsia" w:asciiTheme="minorEastAsia" w:hAnsiTheme="minorEastAsia" w:eastAsiaTheme="minorEastAsia" w:cstheme="minorEastAsia"/>
          <w:color w:val="333333"/>
          <w:sz w:val="24"/>
          <w:szCs w:val="24"/>
          <w:shd w:val="clear" w:color="auto" w:fill="ffffff"/>
        </w:rPr>
        <w:t xml:space="preserve">*75%进行计取（本项目中标服务费按照本项目中标价结合收费标准进行收取）</w:t>
      </w:r>
      <w:r>
        <w:rPr>
          <w:rFonts w:hint="eastAsia" w:asciiTheme="minorEastAsia" w:hAnsiTheme="minorEastAsia" w:cstheme="minorEastAsia"/>
          <w:color w:val="333333"/>
          <w:sz w:val="24"/>
          <w:szCs w:val="24"/>
          <w:shd w:val="clear" w:color="auto" w:fill="ffffff"/>
          <w:lang w:eastAsia="zh-CN"/>
        </w:rPr>
        <w:t xml:space="preserve">，</w:t>
      </w:r>
      <w:r>
        <w:rPr>
          <w:rFonts w:hint="eastAsia" w:asciiTheme="minorEastAsia" w:hAnsiTheme="minorEastAsia" w:eastAsiaTheme="minorEastAsia" w:cstheme="minorEastAsia"/>
          <w:color w:val="333333"/>
          <w:sz w:val="24"/>
          <w:szCs w:val="24"/>
          <w:shd w:val="clear" w:color="auto" w:fill="ffffff"/>
        </w:rPr>
        <w:t xml:space="preserve">并由中标人在领取中标通知书时支付给招标代理机构</w:t>
      </w:r>
      <w:r>
        <w:rPr>
          <w:rFonts w:hint="eastAsia" w:asciiTheme="minorEastAsia" w:hAnsiTheme="minorEastAsia" w:eastAsiaTheme="minorEastAsia" w:cstheme="minorEastAsia"/>
          <w:color w:val="333333"/>
          <w:sz w:val="24"/>
          <w:szCs w:val="24"/>
          <w:shd w:val="clear" w:color="auto" w:fill="ffffff"/>
          <w:lang w:eastAsia="zh-CN"/>
        </w:rPr>
        <w:t xml:space="preserve">，</w:t>
      </w:r>
      <w:r>
        <w:rPr>
          <w:rFonts w:hint="eastAsia" w:asciiTheme="minorEastAsia" w:hAnsiTheme="minorEastAsia" w:eastAsiaTheme="minorEastAsia" w:cstheme="minorEastAsia"/>
          <w:color w:val="333333"/>
          <w:sz w:val="24"/>
          <w:szCs w:val="24"/>
          <w:shd w:val="clear" w:color="auto" w:fill="ffffff"/>
        </w:rPr>
        <w:t xml:space="preserve">专家评审费由中标人另行支付。</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收款帐户为：盐城畅达招标代理有限公司 ，开户行：中国建设银行股份有限公司射阳新阳支行，账号：32050173745500000098。</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color w:val="333333"/>
          <w:sz w:val="24"/>
          <w:szCs w:val="24"/>
          <w:shd w:val="clear" w:color="auto" w:fill="ffffff"/>
          <w:lang w:val="en-US" w:eastAsia="zh-CN"/>
        </w:rPr>
        <w:t xml:space="preserve">37.3</w:t>
      </w:r>
      <w:r>
        <w:rPr>
          <w:rFonts w:hint="eastAsia" w:asciiTheme="minorEastAsia" w:hAnsiTheme="minorEastAsia" w:eastAsiaTheme="minorEastAsia" w:cstheme="minorEastAsia"/>
          <w:color w:val="333333"/>
          <w:sz w:val="24"/>
          <w:szCs w:val="24"/>
          <w:shd w:val="clear" w:color="auto" w:fill="ffffff"/>
        </w:rPr>
        <w:t xml:space="preserve">投标人应自行承担所有与参加投标有关的费用，无论投标过程中的做法和结果如何，</w:t>
      </w:r>
      <w:r>
        <w:rPr>
          <w:rFonts w:hint="eastAsia" w:asciiTheme="minorEastAsia" w:hAnsiTheme="minorEastAsia" w:cstheme="minorEastAsia"/>
          <w:color w:val="333333"/>
          <w:sz w:val="24"/>
          <w:szCs w:val="24"/>
          <w:shd w:val="clear" w:color="auto" w:fill="ffffff"/>
          <w:lang w:val="en-US" w:eastAsia="zh-CN"/>
        </w:rPr>
        <w:t xml:space="preserve">招标</w:t>
      </w:r>
      <w:r>
        <w:rPr>
          <w:rFonts w:hint="eastAsia" w:asciiTheme="minorEastAsia" w:hAnsiTheme="minorEastAsia" w:eastAsiaTheme="minorEastAsia" w:cstheme="minorEastAsia"/>
          <w:color w:val="333333"/>
          <w:sz w:val="24"/>
          <w:szCs w:val="24"/>
          <w:shd w:val="clear" w:color="auto" w:fill="ffffff"/>
        </w:rPr>
        <w:t xml:space="preserve">代理机构在任何情况下均无义务和责任承担这些费用。</w:t>
      </w:r>
      <w:r/>
    </w:p>
    <w:p>
      <w:pPr>
        <w:pStyle w:val="854"/>
        <w:ind w:firstLine="480"/>
        <w:jc w:val="both"/>
        <w:spacing w:beforeAutospacing="0" w:afterAutospacing="0" w:line="360" w:lineRule="auto"/>
        <w:rPr>
          <w:rFonts w:hint="eastAsia" w:asciiTheme="minorEastAsia" w:hAnsi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 </w:t>
      </w:r>
      <w:r>
        <w:rPr>
          <w:rFonts w:hint="eastAsia" w:asciiTheme="minorEastAsia" w:hAnsiTheme="minorEastAsia" w:cstheme="minorEastAsia"/>
          <w:color w:val="333333"/>
          <w:sz w:val="24"/>
          <w:szCs w:val="24"/>
          <w:shd w:val="clear" w:color="auto" w:fill="ffffff"/>
          <w:lang w:val="en-US" w:eastAsia="zh-CN"/>
        </w:rPr>
        <w:t xml:space="preserve">          </w:t>
      </w:r>
      <w:r/>
    </w:p>
    <w:p>
      <w:pPr>
        <w:pStyle w:val="854"/>
        <w:ind w:firstLine="2222"/>
        <w:jc w:val="both"/>
        <w:spacing w:beforeAutospacing="0" w:afterAutospacing="0" w:line="360" w:lineRule="auto"/>
        <w:rPr>
          <w:rFonts w:hint="eastAsia" w:asciiTheme="minorEastAsia" w:hAnsiTheme="minorEastAsia" w:cstheme="minorEastAsia"/>
          <w:color w:val="333333"/>
          <w:sz w:val="24"/>
          <w:szCs w:val="24"/>
          <w:shd w:val="clear" w:color="auto" w:fill="ffffff"/>
          <w:lang w:val="en-US" w:eastAsia="zh-CN"/>
        </w:rPr>
      </w:pPr>
      <w:r>
        <w:rPr>
          <w:rFonts w:hint="eastAsia" w:asciiTheme="minorEastAsia" w:hAnsiTheme="minorEastAsia" w:cstheme="minorEastAsia"/>
          <w:color w:val="333333"/>
          <w:sz w:val="24"/>
          <w:szCs w:val="24"/>
          <w:shd w:val="clear" w:color="auto" w:fill="ffffff"/>
          <w:lang w:val="en-US" w:eastAsia="zh-CN"/>
        </w:rPr>
      </w:r>
      <w:r/>
    </w:p>
    <w:p>
      <w:pPr>
        <w:pStyle w:val="854"/>
        <w:ind w:firstLine="2222"/>
        <w:jc w:val="both"/>
        <w:spacing w:beforeAutospacing="0" w:afterAutospacing="0" w:line="360" w:lineRule="auto"/>
      </w:pPr>
      <w:r>
        <w:rPr>
          <w:rFonts w:hint="eastAsia" w:asciiTheme="minorEastAsia" w:hAnsiTheme="minorEastAsia" w:cstheme="minorEastAsia"/>
          <w:color w:val="333333"/>
          <w:sz w:val="24"/>
          <w:szCs w:val="24"/>
          <w:shd w:val="clear" w:color="auto" w:fill="ffffff"/>
          <w:lang w:val="en-US" w:eastAsia="zh-CN"/>
        </w:rPr>
        <w:t xml:space="preserve"> </w:t>
      </w:r>
      <w:r>
        <w:rPr>
          <w:rFonts w:hint="eastAsia" w:ascii="黑体" w:hAnsi="宋体" w:eastAsia="黑体" w:cs="黑体"/>
          <w:color w:val="000000"/>
          <w:sz w:val="44"/>
          <w:szCs w:val="44"/>
        </w:rPr>
        <w:t xml:space="preserve">第三章  合同文本</w:t>
      </w:r>
      <w:r/>
    </w:p>
    <w:p>
      <w:pPr>
        <w:pStyle w:val="854"/>
        <w:ind w:firstLine="480"/>
        <w:jc w:val="both"/>
        <w:spacing w:beforeAutospacing="0" w:afterAutospacing="0" w:line="0" w:lineRule="atLeast"/>
      </w:pPr>
      <w:r/>
      <w:bookmarkStart w:id="185" w:name="_Toc513029243"/>
      <w:r/>
      <w:bookmarkStart w:id="186" w:name="_Toc20823315"/>
      <w:r/>
      <w:bookmarkStart w:id="187" w:name="_Toc16938559"/>
      <w:r>
        <w:rPr>
          <w:rFonts w:hint="eastAsia" w:ascii="宋体" w:hAnsi="宋体" w:eastAsia="宋体" w:cs="宋体"/>
          <w:color w:val="000000"/>
        </w:rPr>
        <w:t xml:space="preserve">以下为中标后签定本项目合同的通用条款，中标人不得提出实质性的修改。</w:t>
      </w:r>
      <w:bookmarkEnd w:id="185"/>
      <w:r/>
      <w:bookmarkEnd w:id="186"/>
      <w:r/>
      <w:bookmarkEnd w:id="187"/>
      <w:r/>
      <w:r/>
    </w:p>
    <w:p>
      <w:pPr>
        <w:pStyle w:val="854"/>
        <w:jc w:val="center"/>
        <w:spacing w:before="145" w:beforeAutospacing="0" w:after="145" w:afterAutospacing="0"/>
      </w:pPr>
      <w:r>
        <w:rPr>
          <w:rFonts w:hint="eastAsia" w:ascii="宋体" w:hAnsi="宋体" w:eastAsia="宋体" w:cs="宋体"/>
          <w:b/>
          <w:color w:val="000000"/>
          <w:sz w:val="30"/>
          <w:szCs w:val="30"/>
        </w:rPr>
        <w:t xml:space="preserve">盐城市政府采购合同（服务）（合同编号）</w:t>
      </w:r>
      <w:r/>
    </w:p>
    <w:p>
      <w:pPr>
        <w:pStyle w:val="854"/>
        <w:ind w:firstLine="480"/>
        <w:jc w:val="both"/>
        <w:spacing w:beforeAutospacing="0" w:afterAutospacing="0" w:line="360" w:lineRule="auto"/>
        <w:rPr>
          <w:rFonts w:hint="default" w:asciiTheme="minorEastAsia" w:hAnsi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项目名称：</w:t>
      </w:r>
      <w:r>
        <w:rPr>
          <w:rFonts w:hint="eastAsia" w:asciiTheme="minorEastAsia" w:hAnsiTheme="minorEastAsia" w:cstheme="minorEastAsia"/>
          <w:color w:val="333333"/>
          <w:sz w:val="24"/>
          <w:szCs w:val="24"/>
          <w:shd w:val="clear" w:color="auto" w:fill="ffffff"/>
          <w:lang w:eastAsia="zh-CN"/>
        </w:rPr>
        <w:t xml:space="preserve">编制盐城滨海湿地部分区域生态修复实施方案项目</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项目编号：</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甲方：（买方）_________</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乙方：（卖方）_________</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甲、乙双方根据</w:t>
      </w:r>
      <w:r>
        <w:rPr>
          <w:rFonts w:hint="eastAsia" w:asciiTheme="minorEastAsia" w:hAnsiTheme="minorEastAsia" w:cstheme="minorEastAsia"/>
          <w:color w:val="333333"/>
          <w:sz w:val="24"/>
          <w:szCs w:val="24"/>
          <w:shd w:val="clear" w:color="auto" w:fill="ffffff"/>
          <w:lang w:eastAsia="zh-CN"/>
        </w:rPr>
        <w:t xml:space="preserve">编制盐城滨海湿地部分区域生态修复实施方案项目</w:t>
      </w:r>
      <w:r>
        <w:rPr>
          <w:rFonts w:hint="eastAsia" w:asciiTheme="minorEastAsia" w:hAnsiTheme="minorEastAsia" w:eastAsiaTheme="minorEastAsia" w:cstheme="minorEastAsia"/>
          <w:color w:val="333333"/>
          <w:sz w:val="24"/>
          <w:szCs w:val="24"/>
          <w:shd w:val="clear" w:color="auto" w:fill="ffffff"/>
        </w:rPr>
        <w:t xml:space="preserve">公开招标的结果，签署本合同。</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一、合同内容</w:t>
      </w:r>
      <w:r/>
    </w:p>
    <w:p>
      <w:pPr>
        <w:pStyle w:val="854"/>
        <w:ind w:firstLine="480"/>
        <w:jc w:val="both"/>
        <w:spacing w:beforeAutospacing="0" w:afterAutospacing="0" w:line="360" w:lineRule="auto"/>
        <w:rPr>
          <w:rFonts w:hint="default" w:asciiTheme="minorEastAsia" w:hAnsi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1.1 标的名称：</w:t>
      </w:r>
      <w:r>
        <w:rPr>
          <w:rFonts w:hint="eastAsia" w:asciiTheme="minorEastAsia" w:hAnsiTheme="minorEastAsia" w:cstheme="minorEastAsia"/>
          <w:color w:val="333333"/>
          <w:sz w:val="24"/>
          <w:szCs w:val="24"/>
          <w:shd w:val="clear" w:color="auto" w:fill="ffffff"/>
          <w:lang w:eastAsia="zh-CN"/>
        </w:rPr>
        <w:t xml:space="preserve">编制盐城滨海湿地部分区域生态修复实施方案项目</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1.2</w:t>
      </w:r>
      <w:r>
        <w:rPr>
          <w:rFonts w:hint="eastAsia" w:asciiTheme="minorEastAsia" w:hAnsiTheme="minorEastAsia" w:eastAsiaTheme="minorEastAsia" w:cstheme="minorEastAsia"/>
          <w:color w:val="333333"/>
          <w:sz w:val="24"/>
          <w:szCs w:val="24"/>
          <w:shd w:val="clear" w:color="auto" w:fill="ffffff"/>
          <w:lang w:val="en-US" w:eastAsia="zh-CN"/>
        </w:rPr>
        <w:t xml:space="preserve"> </w:t>
      </w:r>
      <w:r>
        <w:rPr>
          <w:rFonts w:hint="eastAsia" w:asciiTheme="minorEastAsia" w:hAnsiTheme="minorEastAsia" w:eastAsiaTheme="minorEastAsia" w:cstheme="minorEastAsia"/>
          <w:color w:val="333333"/>
          <w:sz w:val="24"/>
          <w:szCs w:val="24"/>
          <w:shd w:val="clear" w:color="auto" w:fill="ffffff"/>
        </w:rPr>
        <w:t xml:space="preserve">标的质量：</w:t>
      </w:r>
      <w:r>
        <w:rPr>
          <w:rFonts w:hint="eastAsia" w:asciiTheme="minorEastAsia" w:hAnsiTheme="minorEastAsia" w:eastAsiaTheme="minorEastAsia" w:cstheme="minorEastAsia"/>
          <w:color w:val="333333"/>
          <w:sz w:val="24"/>
          <w:szCs w:val="24"/>
          <w:shd w:val="clear" w:color="auto" w:fill="ffffff"/>
          <w:lang w:val="en-US" w:eastAsia="zh-CN"/>
        </w:rPr>
        <w:t xml:space="preserve">详见本项目招标文件中项目需求内容。</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1.3 标的数量（规模）：</w:t>
      </w:r>
      <w:r>
        <w:rPr>
          <w:rFonts w:hint="eastAsia" w:asciiTheme="minorEastAsia" w:hAnsiTheme="minorEastAsia" w:eastAsiaTheme="minorEastAsia" w:cstheme="minorEastAsia"/>
          <w:color w:val="333333"/>
          <w:sz w:val="24"/>
          <w:szCs w:val="24"/>
          <w:shd w:val="clear" w:color="auto" w:fill="ffffff"/>
          <w:lang w:val="en-US" w:eastAsia="zh-CN"/>
        </w:rPr>
        <w:t xml:space="preserve">以采购单位要求为准。</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1.4 履行时间（期限）：</w:t>
      </w:r>
      <w:r>
        <w:rPr>
          <w:rFonts w:hint="eastAsia" w:asciiTheme="minorEastAsia" w:hAnsiTheme="minorEastAsia" w:cstheme="minorEastAsia"/>
          <w:color w:val="333333"/>
          <w:sz w:val="24"/>
          <w:szCs w:val="24"/>
          <w:shd w:val="clear" w:color="auto" w:fill="ffffff"/>
          <w:lang w:val="en-US" w:eastAsia="zh-CN"/>
        </w:rPr>
        <w:t xml:space="preserve">****</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rPr>
        <w:t xml:space="preserve">1.5 履行地点：</w:t>
      </w:r>
      <w:r>
        <w:rPr>
          <w:rFonts w:hint="eastAsia" w:asciiTheme="minorEastAsia" w:hAnsiTheme="minorEastAsia" w:eastAsiaTheme="minorEastAsia" w:cstheme="minorEastAsia"/>
          <w:color w:val="333333"/>
          <w:sz w:val="24"/>
          <w:szCs w:val="24"/>
          <w:shd w:val="clear" w:color="auto" w:fill="ffffff"/>
          <w:lang w:val="en-US" w:eastAsia="zh-CN"/>
        </w:rPr>
        <w:t xml:space="preserve">采购人指定地点。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1.6履行方式：</w:t>
      </w:r>
      <w:r>
        <w:rPr>
          <w:rFonts w:hint="eastAsia" w:asciiTheme="minorEastAsia" w:hAnsiTheme="minorEastAsia" w:eastAsiaTheme="minorEastAsia" w:cstheme="minorEastAsia"/>
          <w:color w:val="333333"/>
          <w:sz w:val="24"/>
          <w:szCs w:val="24"/>
          <w:shd w:val="clear" w:color="auto" w:fill="ffffff"/>
          <w:lang w:val="en-US" w:eastAsia="zh-CN"/>
        </w:rPr>
        <w:t xml:space="preserve">以采购单位要求为准</w:t>
      </w:r>
      <w:r/>
    </w:p>
    <w:p>
      <w:pPr>
        <w:pStyle w:val="854"/>
        <w:ind w:firstLine="480"/>
        <w:jc w:val="both"/>
        <w:spacing w:beforeAutospacing="0" w:afterAutospacing="0" w:line="360" w:lineRule="auto"/>
        <w:rPr>
          <w:rFonts w:hint="eastAsia" w:asciiTheme="minorEastAsia" w:hAnsiTheme="minorEastAsia" w:cstheme="minorEastAsia"/>
          <w:b/>
          <w:bCs/>
          <w:color w:val="333333"/>
          <w:sz w:val="24"/>
          <w:szCs w:val="24"/>
          <w:shd w:val="clear" w:color="auto" w:fill="ffffff"/>
          <w:lang w:val="en-US" w:eastAsia="zh-CN"/>
        </w:rPr>
      </w:pPr>
      <w:r>
        <w:rPr>
          <w:rFonts w:hint="eastAsia" w:asciiTheme="minorEastAsia" w:hAnsiTheme="minorEastAsia" w:cstheme="minorEastAsia"/>
          <w:b/>
          <w:bCs/>
          <w:color w:val="333333"/>
          <w:sz w:val="24"/>
          <w:szCs w:val="24"/>
          <w:shd w:val="clear" w:color="auto" w:fill="ffffff"/>
          <w:lang w:val="en-US" w:eastAsia="zh-CN"/>
        </w:rPr>
        <w:t xml:space="preserve">1.7服务内容及标准和要求：以本项目招标文件和中标单位投标文件中内容为准。</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二、合同金额</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2.1本合同金额为（大写）：____________________________________圆（_______________元）人民币或其他币种。</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三、技术资料</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3.1乙方应按招标文件规定的时间向甲方提供服务（包含与服务相关的货物）的有关技术资料。</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四、知识产权</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五、产权担保</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5.1乙方保证所交付的服务（包含与服务相关的货物）的所有权完全属于乙方且无任何抵押、查封等产权瑕疵。</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六、履约保证金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6.1乙方交纳人民币_________元作为本合同的履约保证金。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lang w:val="en-US" w:eastAsia="zh-CN"/>
        </w:rPr>
        <w:t xml:space="preserve">备注：</w:t>
      </w:r>
      <w:r>
        <w:rPr>
          <w:rFonts w:hint="eastAsia" w:asciiTheme="minorEastAsia" w:hAnsiTheme="minorEastAsia" w:eastAsiaTheme="minorEastAsia" w:cstheme="minorEastAsia"/>
          <w:color w:val="333333"/>
          <w:sz w:val="24"/>
          <w:szCs w:val="24"/>
          <w:shd w:val="clear" w:color="auto" w:fill="ffffff"/>
        </w:rPr>
        <w:t xml:space="preserve">中标后签订合同时中标方须缴纳中标金额8%的履约保证金到采购人指定账户；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3%）。</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6.2确需收取履约保证金的，履约保证金的缴纳形式：</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6.2.2 如以履约保函（保险）形式缴纳履约保证金，供应商可通过政府采购电子履约保函（保险）平台（www.jsdzbh.com）在线申请履约保函（保险）。</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6.3合同履行结束后，甲方应及时退还交纳的履约保证金。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6.4履约保证金的退还：</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6.4.1方式：无息退还至投标人缴纳履约保证金的账户。如为保函，在到期时自行失效。</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6.4.2时间：验收合格且采购人收到发票后30日内。</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6.4.3条件：按合同要求全部履约完成并经采购人验收合格，且采购人收到中标人出具的发票。</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6.4.4不予退还情形：</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除不可抗力情况外，投标人出现下列情形之一的，其履约保证金，招标人将视情节决定不予退还或部分不予退还。</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（1）中标人无正当理由拒绝签订合同的，或者在签订合同时向采购人提出附加条件或者更改合同实质性内容要求的；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（2）中标人不履行与采购人订立的合同的；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（3）中标人所供货物或服务不符合招标文件规定要求的；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（4）中标人采取欺骗、弄虚作假方式投标的或与其它投标人串通投标的；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（5）中标人将合同内容违法转包、分包的；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（6）中标人故意捏造事实或伪造证明材料，进行虚假恶意投诉或反映的。</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七、合同转包或分包</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7.1乙方不得将合同标的转包给他人履行。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7.2乙方不得将合同标的分包给他人履行。</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八、合同款项支付</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8.1合同款项的支付方式及进度安排</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color w:val="333333"/>
          <w:sz w:val="24"/>
          <w:szCs w:val="24"/>
          <w:shd w:val="clear" w:color="auto" w:fill="ffffff"/>
          <w:lang w:val="en-US" w:eastAsia="zh-CN"/>
        </w:rPr>
        <w:t xml:space="preserve">8.1.1</w:t>
      </w:r>
      <w:r>
        <w:rPr>
          <w:rFonts w:hint="eastAsia" w:asciiTheme="minorEastAsia" w:hAnsiTheme="minorEastAsia" w:eastAsiaTheme="minorEastAsia" w:cstheme="minorEastAsia"/>
          <w:color w:val="333333"/>
          <w:sz w:val="24"/>
          <w:szCs w:val="24"/>
          <w:shd w:val="clear" w:color="auto" w:fill="ffffff"/>
        </w:rPr>
        <w:t xml:space="preserve">本项目落实预付款制度，</w:t>
      </w:r>
      <w:r>
        <w:rPr>
          <w:rFonts w:hint="eastAsia" w:asciiTheme="minorEastAsia" w:hAnsiTheme="minorEastAsia" w:cstheme="minorEastAsia"/>
          <w:color w:val="333333"/>
          <w:sz w:val="24"/>
          <w:szCs w:val="24"/>
          <w:shd w:val="clear" w:color="auto" w:fill="ffffff"/>
          <w:lang w:eastAsia="zh-CN"/>
        </w:rPr>
        <w:t xml:space="preserve">预付款比例为60%</w:t>
      </w:r>
      <w:r>
        <w:rPr>
          <w:rFonts w:hint="eastAsia" w:asciiTheme="minorEastAsia" w:hAnsiTheme="minorEastAsia" w:eastAsiaTheme="minorEastAsia" w:cstheme="minorEastAsia"/>
          <w:color w:val="333333"/>
          <w:sz w:val="24"/>
          <w:szCs w:val="24"/>
          <w:shd w:val="clear" w:color="auto" w:fill="ffffff"/>
        </w:rPr>
        <w:t xml:space="preserve">，采购单位在收到发票后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cstheme="minorEastAsia"/>
          <w:color w:val="333333"/>
          <w:sz w:val="24"/>
          <w:szCs w:val="24"/>
          <w:shd w:val="clear" w:color="auto" w:fill="ffffff"/>
          <w:lang w:val="en-US" w:eastAsia="zh-CN"/>
        </w:rPr>
        <w:t xml:space="preserve">8.1.2</w:t>
      </w:r>
      <w:r>
        <w:rPr>
          <w:rFonts w:hint="eastAsia" w:asciiTheme="minorEastAsia" w:hAnsiTheme="minorEastAsia" w:eastAsiaTheme="minorEastAsia" w:cstheme="minorEastAsia"/>
          <w:color w:val="333333"/>
          <w:sz w:val="24"/>
          <w:szCs w:val="24"/>
          <w:shd w:val="clear" w:color="auto" w:fill="ffffff"/>
        </w:rPr>
        <w:t xml:space="preserve">提交成果</w:t>
      </w:r>
      <w:r>
        <w:rPr>
          <w:rFonts w:hint="eastAsia" w:asciiTheme="minorEastAsia" w:hAnsiTheme="minorEastAsia" w:cstheme="minorEastAsia"/>
          <w:color w:val="333333"/>
          <w:sz w:val="24"/>
          <w:szCs w:val="24"/>
          <w:shd w:val="clear" w:color="auto" w:fill="ffffff"/>
          <w:lang w:val="en-US" w:eastAsia="zh-CN"/>
        </w:rPr>
        <w:t xml:space="preserve">验收</w:t>
      </w:r>
      <w:r>
        <w:rPr>
          <w:rFonts w:hint="eastAsia" w:asciiTheme="minorEastAsia" w:hAnsiTheme="minorEastAsia" w:eastAsiaTheme="minorEastAsia" w:cstheme="minorEastAsia"/>
          <w:color w:val="333333"/>
          <w:sz w:val="24"/>
          <w:szCs w:val="24"/>
          <w:shd w:val="clear" w:color="auto" w:fill="ffffff"/>
        </w:rPr>
        <w:t xml:space="preserve">后待财政资金到位，采购人收到发票后10个工作日内一次性付清剩余合同款。</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九、税费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9.1本合同执行中相关的一切税费均由乙方负担。</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十、项目验收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10.1甲方依法组织履约验收工作。</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10.3对于实际使用人和甲方分离的项目，甲方邀请实际使用人参与验收。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10.4如有必要，甲方邀请参加本项目的其他供应商或第三方专业机构及专家参与验收，相关意见将作为验收书的参考资料。</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十一、违约责任</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11.1甲方无正当理由拒绝接受乙方提供服务的，甲方向乙方偿付拒绝接受服务合同价款总值</w:t>
      </w:r>
      <w:r>
        <w:rPr>
          <w:rFonts w:hint="eastAsia" w:asciiTheme="minorEastAsia" w:hAnsiTheme="minorEastAsia" w:eastAsiaTheme="minorEastAsia" w:cstheme="minorEastAsia"/>
          <w:color w:val="333333"/>
          <w:sz w:val="24"/>
          <w:szCs w:val="24"/>
          <w:u w:val="single"/>
          <w:shd w:val="clear" w:color="auto" w:fill="ffffff"/>
        </w:rPr>
        <w:t xml:space="preserve">  </w:t>
      </w:r>
      <w:r>
        <w:rPr>
          <w:rFonts w:hint="eastAsia" w:asciiTheme="minorEastAsia" w:hAnsiTheme="minorEastAsia" w:eastAsiaTheme="minorEastAsia" w:cstheme="minorEastAsia"/>
          <w:color w:val="333333"/>
          <w:sz w:val="24"/>
          <w:szCs w:val="24"/>
          <w:u w:val="single"/>
          <w:shd w:val="clear" w:color="auto" w:fill="ffffff"/>
          <w:lang w:eastAsia="zh-CN"/>
        </w:rPr>
        <w:t xml:space="preserve">（</w:t>
      </w:r>
      <w:r>
        <w:rPr>
          <w:rFonts w:hint="eastAsia" w:asciiTheme="minorEastAsia" w:hAnsiTheme="minorEastAsia" w:eastAsiaTheme="minorEastAsia" w:cstheme="minorEastAsia"/>
          <w:color w:val="333333"/>
          <w:sz w:val="24"/>
          <w:szCs w:val="24"/>
          <w:u w:val="single"/>
          <w:shd w:val="clear" w:color="auto" w:fill="ffffff"/>
          <w:lang w:val="en-US" w:eastAsia="zh-CN"/>
        </w:rPr>
        <w:t xml:space="preserve">以签订合同时采购人要求为准</w:t>
      </w:r>
      <w:r>
        <w:rPr>
          <w:rFonts w:hint="eastAsia" w:asciiTheme="minorEastAsia" w:hAnsiTheme="minorEastAsia" w:eastAsiaTheme="minorEastAsia" w:cstheme="minorEastAsia"/>
          <w:color w:val="333333"/>
          <w:sz w:val="24"/>
          <w:szCs w:val="24"/>
          <w:u w:val="single"/>
          <w:shd w:val="clear" w:color="auto" w:fill="ffffff"/>
          <w:lang w:eastAsia="zh-CN"/>
        </w:rPr>
        <w:t xml:space="preserve">）</w:t>
      </w:r>
      <w:r>
        <w:rPr>
          <w:rFonts w:hint="eastAsia" w:asciiTheme="minorEastAsia" w:hAnsiTheme="minorEastAsia" w:eastAsiaTheme="minorEastAsia" w:cstheme="minorEastAsia"/>
          <w:color w:val="333333"/>
          <w:sz w:val="24"/>
          <w:szCs w:val="24"/>
          <w:u w:val="single"/>
          <w:shd w:val="clear" w:color="auto" w:fill="ffffff"/>
        </w:rPr>
        <w:t xml:space="preserve">  </w:t>
      </w:r>
      <w:r>
        <w:rPr>
          <w:rFonts w:hint="eastAsia" w:asciiTheme="minorEastAsia" w:hAnsiTheme="minorEastAsia" w:eastAsiaTheme="minorEastAsia" w:cstheme="minorEastAsia"/>
          <w:color w:val="333333"/>
          <w:sz w:val="24"/>
          <w:szCs w:val="24"/>
          <w:shd w:val="clear" w:color="auto" w:fill="ffffff"/>
        </w:rPr>
        <w:t xml:space="preserve">的违约金。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highlight w:val="none"/>
          <w:shd w:val="clear" w:color="auto" w:fill="ffffff"/>
        </w:rPr>
        <w:t xml:space="preserve">11.2甲方无故逾期验收和办理合同款项支付手续的,甲方应按逾期付款总额</w:t>
      </w:r>
      <w:r>
        <w:rPr>
          <w:rFonts w:hint="eastAsia" w:asciiTheme="minorEastAsia" w:hAnsiTheme="minorEastAsia" w:eastAsiaTheme="minorEastAsia" w:cstheme="minorEastAsia"/>
          <w:color w:val="333333"/>
          <w:sz w:val="24"/>
          <w:szCs w:val="24"/>
          <w:highlight w:val="none"/>
          <w:u w:val="single"/>
          <w:shd w:val="clear" w:color="auto" w:fill="ffffff"/>
        </w:rPr>
        <w:t xml:space="preserve"> </w:t>
      </w:r>
      <w:r>
        <w:rPr>
          <w:rFonts w:hint="eastAsia" w:asciiTheme="minorEastAsia" w:hAnsiTheme="minorEastAsia" w:cstheme="minorEastAsia"/>
          <w:color w:val="333333"/>
          <w:sz w:val="24"/>
          <w:szCs w:val="24"/>
          <w:highlight w:val="none"/>
          <w:u w:val="single"/>
          <w:shd w:val="clear" w:color="auto" w:fill="ffffff"/>
          <w:lang w:eastAsia="zh-CN"/>
        </w:rPr>
        <w:t xml:space="preserve">（</w:t>
      </w:r>
      <w:r>
        <w:rPr>
          <w:rFonts w:hint="eastAsia" w:asciiTheme="minorEastAsia" w:hAnsiTheme="minorEastAsia" w:cstheme="minorEastAsia"/>
          <w:color w:val="333333"/>
          <w:sz w:val="24"/>
          <w:szCs w:val="24"/>
          <w:highlight w:val="none"/>
          <w:u w:val="single"/>
          <w:shd w:val="clear" w:color="auto" w:fill="ffffff"/>
          <w:lang w:val="en-US" w:eastAsia="zh-CN"/>
        </w:rPr>
        <w:t xml:space="preserve">以签订合同时采购人要求为准</w:t>
      </w:r>
      <w:r>
        <w:rPr>
          <w:rFonts w:hint="eastAsia" w:asciiTheme="minorEastAsia" w:hAnsiTheme="minorEastAsia" w:cstheme="minorEastAsia"/>
          <w:color w:val="333333"/>
          <w:sz w:val="24"/>
          <w:szCs w:val="24"/>
          <w:highlight w:val="none"/>
          <w:u w:val="single"/>
          <w:shd w:val="clear" w:color="auto" w:fill="ffffff"/>
          <w:lang w:eastAsia="zh-CN"/>
        </w:rPr>
        <w:t xml:space="preserve">）</w:t>
      </w:r>
      <w:r>
        <w:rPr>
          <w:rFonts w:hint="eastAsia" w:asciiTheme="minorEastAsia" w:hAnsiTheme="minorEastAsia" w:eastAsiaTheme="minorEastAsia" w:cstheme="minorEastAsia"/>
          <w:color w:val="333333"/>
          <w:sz w:val="24"/>
          <w:szCs w:val="24"/>
          <w:highlight w:val="none"/>
          <w:u w:val="single"/>
          <w:shd w:val="clear" w:color="auto" w:fill="ffffff"/>
        </w:rPr>
        <w:t xml:space="preserve"> </w:t>
      </w:r>
      <w:r>
        <w:rPr>
          <w:rFonts w:hint="eastAsia" w:asciiTheme="minorEastAsia" w:hAnsiTheme="minorEastAsia" w:eastAsiaTheme="minorEastAsia" w:cstheme="minorEastAsia"/>
          <w:color w:val="333333"/>
          <w:sz w:val="24"/>
          <w:szCs w:val="24"/>
          <w:highlight w:val="none"/>
          <w:shd w:val="clear" w:color="auto" w:fill="ffffff"/>
        </w:rPr>
        <w:t xml:space="preserve">每日向乙方支</w:t>
      </w:r>
      <w:r>
        <w:rPr>
          <w:rFonts w:hint="eastAsia" w:asciiTheme="minorEastAsia" w:hAnsiTheme="minorEastAsia" w:eastAsiaTheme="minorEastAsia" w:cstheme="minorEastAsia"/>
          <w:color w:val="333333"/>
          <w:sz w:val="24"/>
          <w:szCs w:val="24"/>
          <w:shd w:val="clear" w:color="auto" w:fill="ffffff"/>
        </w:rPr>
        <w:t xml:space="preserve">付违约金。</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highlight w:val="none"/>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w:t>
      </w:r>
      <w:r>
        <w:rPr>
          <w:rFonts w:hint="eastAsia" w:asciiTheme="minorEastAsia" w:hAnsiTheme="minorEastAsia" w:eastAsiaTheme="minorEastAsia" w:cstheme="minorEastAsia"/>
          <w:color w:val="333333"/>
          <w:sz w:val="24"/>
          <w:szCs w:val="24"/>
          <w:highlight w:val="none"/>
          <w:shd w:val="clear" w:color="auto" w:fill="ffffff"/>
        </w:rPr>
        <w:t xml:space="preserve">合同价款总额</w:t>
      </w:r>
      <w:r>
        <w:rPr>
          <w:rFonts w:hint="eastAsia" w:asciiTheme="minorEastAsia" w:hAnsiTheme="minorEastAsia" w:eastAsiaTheme="minorEastAsia" w:cstheme="minorEastAsia"/>
          <w:color w:val="333333"/>
          <w:sz w:val="24"/>
          <w:szCs w:val="24"/>
          <w:highlight w:val="none"/>
          <w:u w:val="single"/>
          <w:shd w:val="clear" w:color="auto" w:fill="ffffff"/>
        </w:rPr>
        <w:t xml:space="preserve"> </w:t>
      </w:r>
      <w:r>
        <w:rPr>
          <w:rFonts w:hint="eastAsia" w:asciiTheme="minorEastAsia" w:hAnsiTheme="minorEastAsia" w:cstheme="minorEastAsia"/>
          <w:color w:val="333333"/>
          <w:sz w:val="24"/>
          <w:szCs w:val="24"/>
          <w:highlight w:val="none"/>
          <w:u w:val="single"/>
          <w:shd w:val="clear" w:color="auto" w:fill="ffffff"/>
          <w:lang w:eastAsia="zh-CN"/>
        </w:rPr>
        <w:t xml:space="preserve">（</w:t>
      </w:r>
      <w:r>
        <w:rPr>
          <w:rFonts w:hint="eastAsia" w:asciiTheme="minorEastAsia" w:hAnsiTheme="minorEastAsia" w:cstheme="minorEastAsia"/>
          <w:color w:val="333333"/>
          <w:sz w:val="24"/>
          <w:szCs w:val="24"/>
          <w:highlight w:val="none"/>
          <w:u w:val="single"/>
          <w:shd w:val="clear" w:color="auto" w:fill="ffffff"/>
          <w:lang w:val="en-US" w:eastAsia="zh-CN"/>
        </w:rPr>
        <w:t xml:space="preserve">以签订合同时采购人要求为准</w:t>
      </w:r>
      <w:r>
        <w:rPr>
          <w:rFonts w:hint="eastAsia" w:asciiTheme="minorEastAsia" w:hAnsiTheme="minorEastAsia" w:cstheme="minorEastAsia"/>
          <w:color w:val="333333"/>
          <w:sz w:val="24"/>
          <w:szCs w:val="24"/>
          <w:highlight w:val="none"/>
          <w:u w:val="single"/>
          <w:shd w:val="clear" w:color="auto" w:fill="ffffff"/>
          <w:lang w:eastAsia="zh-CN"/>
        </w:rPr>
        <w:t xml:space="preserve">）</w:t>
      </w:r>
      <w:r>
        <w:rPr>
          <w:rFonts w:hint="eastAsia" w:asciiTheme="minorEastAsia" w:hAnsiTheme="minorEastAsia" w:eastAsiaTheme="minorEastAsia" w:cstheme="minorEastAsia"/>
          <w:color w:val="333333"/>
          <w:sz w:val="24"/>
          <w:szCs w:val="24"/>
          <w:highlight w:val="none"/>
          <w:u w:val="single"/>
          <w:shd w:val="clear" w:color="auto" w:fill="ffffff"/>
        </w:rPr>
        <w:t xml:space="preserve"> </w:t>
      </w:r>
      <w:r>
        <w:rPr>
          <w:rFonts w:hint="eastAsia" w:asciiTheme="minorEastAsia" w:hAnsiTheme="minorEastAsia" w:eastAsiaTheme="minorEastAsia" w:cstheme="minorEastAsia"/>
          <w:color w:val="333333"/>
          <w:sz w:val="24"/>
          <w:szCs w:val="24"/>
          <w:highlight w:val="none"/>
          <w:shd w:val="clear" w:color="auto" w:fill="ffffff"/>
        </w:rPr>
        <w:t xml:space="preserve"> 的违约金，如造成甲方损失超过违约金的，超出部分由乙方继续承担赔偿责任。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11.4乙方所提供服务的标准不符合合同规定及招标文件规定标准的，甲方有权拒绝接受服务，并可单方面解除合同。</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十二、不可抗力事件处理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12.1在合同有效期内，任何一方因不可抗力事件导致不能履行合同，则合同履行期可延长，其延长期与不可抗力影响 期相同。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12.2不可抗力事件发生后，应立即通知对方，并寄送有关权威机构出具的证明。</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12.3不可抗力事件延续120天以上，双方应通过友好协商，确定是否继续履行合同。</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十三、解决争议的方法</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13.1双方在签订、履行合同中所发生的一切争议，应通过友好协商解决。如协商不成，由甲方住所地人民法院管辖。</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十四、合同生效及其它</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14.1合同经双方法定代表人或授权委托代表人签字并加盖单位公章后生效。</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14.2本合同未尽事宜，遵照《民法典》、《政府采购法》有关条文执行。</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14.3 本合同正本一式两份，具有同等法律效力，甲方、乙方各执一份。</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甲方：                        乙方：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地址：                        地址：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法定代表人或授权代表：        法定代表人或授权代表：</w:t>
      </w:r>
      <w:r/>
    </w:p>
    <w:p>
      <w:pPr>
        <w:pStyle w:val="854"/>
        <w:ind w:firstLine="72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联系电话：           </w:t>
      </w:r>
      <w:r>
        <w:rPr>
          <w:rFonts w:hint="eastAsia" w:asciiTheme="minorEastAsia" w:hAnsiTheme="minorEastAsia" w:cstheme="minorEastAsia"/>
          <w:color w:val="333333"/>
          <w:sz w:val="24"/>
          <w:szCs w:val="24"/>
          <w:shd w:val="clear" w:color="auto" w:fill="ffffff"/>
          <w:lang w:val="en-US" w:eastAsia="zh-CN"/>
        </w:rPr>
        <w:t xml:space="preserve">     </w:t>
      </w:r>
      <w:r>
        <w:rPr>
          <w:rFonts w:hint="eastAsia" w:asciiTheme="minorEastAsia" w:hAnsiTheme="minorEastAsia" w:eastAsiaTheme="minorEastAsia" w:cstheme="minorEastAsia"/>
          <w:color w:val="333333"/>
          <w:sz w:val="24"/>
          <w:szCs w:val="24"/>
          <w:shd w:val="clear" w:color="auto" w:fill="ffffff"/>
        </w:rPr>
        <w:t xml:space="preserve">联系电话：          </w:t>
      </w:r>
      <w:r/>
    </w:p>
    <w:p>
      <w:pPr>
        <w:pStyle w:val="854"/>
        <w:ind w:firstLine="480"/>
        <w:jc w:val="both"/>
        <w:spacing w:beforeAutospacing="0" w:afterAutospacing="0" w:line="360" w:lineRule="auto"/>
      </w:pPr>
      <w:r>
        <w:rPr>
          <w:rFonts w:hint="eastAsia" w:asciiTheme="minorEastAsia" w:hAnsiTheme="minorEastAsia" w:eastAsiaTheme="minorEastAsia" w:cstheme="minorEastAsia"/>
          <w:color w:val="333333"/>
          <w:sz w:val="24"/>
          <w:szCs w:val="24"/>
          <w:shd w:val="clear" w:color="auto" w:fill="ffffff"/>
        </w:rPr>
        <w:t xml:space="preserve">                                          签订日期：      年    月   日</w:t>
      </w:r>
      <w:bookmarkStart w:id="188" w:name="_Toc479757211"/>
      <w:r/>
      <w:bookmarkStart w:id="189" w:name="_Toc462564139"/>
      <w:r/>
      <w:bookmarkStart w:id="190" w:name="_Hlt16619350"/>
      <w:r/>
      <w:bookmarkStart w:id="191" w:name="_Toc16938590"/>
      <w:r/>
      <w:bookmarkStart w:id="192" w:name="_Toc20823346"/>
      <w:r/>
      <w:bookmarkStart w:id="193" w:name="_Toc120614244"/>
      <w:r/>
      <w:bookmarkStart w:id="194" w:name="_Hlt16619369"/>
      <w:r>
        <w:rPr>
          <w:rFonts w:hint="eastAsia" w:asciiTheme="minorEastAsia" w:hAnsiTheme="minorEastAsia" w:eastAsiaTheme="minorEastAsia" w:cstheme="minorEastAsia"/>
          <w:color w:val="333333"/>
          <w:sz w:val="24"/>
          <w:szCs w:val="24"/>
          <w:shd w:val="clear" w:color="auto" w:fill="ffffff"/>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 采购需求</w:t>
      </w:r>
      <w:bookmarkEnd w:id="189"/>
      <w:r/>
      <w:bookmarkEnd w:id="190"/>
      <w:r/>
      <w:bookmarkEnd w:id="191"/>
      <w:r/>
      <w:bookmarkEnd w:id="192"/>
      <w:r/>
      <w:bookmarkEnd w:id="193"/>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lang w:val="en-US" w:eastAsia="zh-CN"/>
        </w:rPr>
      </w:pPr>
      <w:r/>
      <w:bookmarkStart w:id="195" w:name="_Toc26554093"/>
      <w:r/>
      <w:bookmarkStart w:id="196" w:name="_Toc49090575"/>
      <w:r>
        <w:rPr>
          <w:rFonts w:hint="eastAsia" w:asciiTheme="minorEastAsia" w:hAnsiTheme="minorEastAsia" w:eastAsiaTheme="minorEastAsia" w:cstheme="minorEastAsia"/>
          <w:b/>
          <w:bCs/>
          <w:color w:val="333333"/>
          <w:sz w:val="24"/>
          <w:szCs w:val="24"/>
          <w:shd w:val="clear" w:color="auto" w:fill="ffffff"/>
          <w:lang w:val="en-US" w:eastAsia="zh-CN"/>
        </w:rPr>
        <w:t xml:space="preserve">项目属性:服务类项目</w:t>
      </w:r>
      <w:bookmarkEnd w:id="195"/>
      <w:r/>
      <w:bookmarkEnd w:id="196"/>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lang w:val="en-US" w:eastAsia="zh-CN"/>
        </w:rPr>
      </w:pPr>
      <w:r>
        <w:rPr>
          <w:rFonts w:hint="eastAsia" w:asciiTheme="minorEastAsia" w:hAnsiTheme="minorEastAsia" w:eastAsiaTheme="minorEastAsia" w:cstheme="minorEastAsia"/>
          <w:b/>
          <w:bCs/>
          <w:color w:val="333333"/>
          <w:sz w:val="24"/>
          <w:szCs w:val="24"/>
          <w:shd w:val="clear" w:color="auto" w:fill="ffffff"/>
          <w:lang w:val="en-US" w:eastAsia="zh-CN"/>
        </w:rPr>
        <w:t xml:space="preserve"> 一、项目概况</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1、采购内容包括：为履行世界遗产公约，响应国家相关要求，拟对盐城市世界自然遗产地缓冲区内约15.6万亩区域（包括射阳县约6.9万亩、大丰区约7.2万亩、东台市约1.5万亩）编制生态修复实施方案，提出切实可行的修复措施；并对海北和上海农场部分区域修复模式提出相关建议。（详细内容见本招标文件第四章，项目范围见附图）</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2、工作内容</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2.1地形测绘：通过遥感影像，结合现场考察，精确测绘鱼塘地形，并制作1:5000的CAD地形图。测绘面积：15.6万亩。</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2.2实施方案：编制实施方案(达可行性研究报告深度)。</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3、成果提交及验收方式：实施方案需通过相关部门组织的专家评审。</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4、投标人其他要求（此项为符合性审查内容，如未提供相关材料作无效投标人处理）：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4.1投标人（或联合体成员中）应具备海洋测绘乙级及上资质。须在投标文件中提供资质证书原件彩色扫描件并加盖投标人公章；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4.2如投标人（或联合体成员中）不具备海洋测绘乙级及上资质，须承诺中标后，提供具备海洋测绘乙级及以上资质的测绘单位出具的测绘报告。须提供符合加盖投标人红色公章的承诺函，否则作为无效投标人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b/>
          <w:bCs/>
          <w:color w:val="333333"/>
          <w:sz w:val="24"/>
          <w:szCs w:val="24"/>
          <w:shd w:val="clear" w:color="auto" w:fill="ffffff"/>
          <w:lang w:val="en-US" w:eastAsia="zh-CN"/>
        </w:rPr>
        <w:t xml:space="preserve">二</w:t>
      </w:r>
      <w:r>
        <w:rPr>
          <w:rFonts w:hint="eastAsia" w:asciiTheme="minorEastAsia" w:hAnsiTheme="minorEastAsia" w:eastAsiaTheme="minorEastAsia" w:cstheme="minorEastAsia"/>
          <w:b/>
          <w:bCs/>
          <w:color w:val="333333"/>
          <w:sz w:val="24"/>
          <w:szCs w:val="24"/>
          <w:shd w:val="clear" w:color="auto" w:fill="ffffff"/>
        </w:rPr>
        <w:t xml:space="preserve">、合同履行期限及地点：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合同履行期限：中标单位与采购方签订合同后后 10 个工作日内完成地形测绘，测绘成果出来后 20 个工作日内完成实施方案(达到可研深度)的编制。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地点：采购方指定地点。</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三、付款方式: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color w:val="333333"/>
          <w:sz w:val="24"/>
          <w:szCs w:val="24"/>
          <w:shd w:val="clear" w:color="auto" w:fill="ffffff"/>
          <w:lang w:val="en-US" w:eastAsia="zh-CN"/>
        </w:rPr>
        <w:t xml:space="preserve">1、</w:t>
      </w:r>
      <w:r>
        <w:rPr>
          <w:rFonts w:hint="eastAsia" w:asciiTheme="minorEastAsia" w:hAnsiTheme="minorEastAsia" w:eastAsiaTheme="minorEastAsia" w:cstheme="minorEastAsia"/>
          <w:color w:val="333333"/>
          <w:sz w:val="24"/>
          <w:szCs w:val="24"/>
          <w:shd w:val="clear" w:color="auto" w:fill="ffffff"/>
        </w:rPr>
        <w:t xml:space="preserve">本项目落实预付款制度，</w:t>
      </w:r>
      <w:r>
        <w:rPr>
          <w:rFonts w:hint="eastAsia" w:asciiTheme="minorEastAsia" w:hAnsiTheme="minorEastAsia" w:cstheme="minorEastAsia"/>
          <w:color w:val="333333"/>
          <w:sz w:val="24"/>
          <w:szCs w:val="24"/>
          <w:shd w:val="clear" w:color="auto" w:fill="ffffff"/>
          <w:lang w:eastAsia="zh-CN"/>
        </w:rPr>
        <w:t xml:space="preserve">预付款比例为60%</w:t>
      </w:r>
      <w:r>
        <w:rPr>
          <w:rFonts w:hint="eastAsia" w:asciiTheme="minorEastAsia" w:hAnsiTheme="minorEastAsia" w:eastAsiaTheme="minorEastAsia" w:cstheme="minorEastAsia"/>
          <w:color w:val="333333"/>
          <w:sz w:val="24"/>
          <w:szCs w:val="24"/>
          <w:shd w:val="clear" w:color="auto" w:fill="ffffff"/>
        </w:rPr>
        <w:t xml:space="preserve">，采购单位在收到发票后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cstheme="minorEastAsia"/>
          <w:color w:val="333333"/>
          <w:sz w:val="24"/>
          <w:szCs w:val="24"/>
          <w:shd w:val="clear" w:color="auto" w:fill="ffffff"/>
          <w:lang w:val="en-US" w:eastAsia="zh-CN"/>
        </w:rPr>
        <w:t xml:space="preserve">2、</w:t>
      </w:r>
      <w:r>
        <w:rPr>
          <w:rFonts w:hint="eastAsia" w:asciiTheme="minorEastAsia" w:hAnsiTheme="minorEastAsia" w:eastAsiaTheme="minorEastAsia" w:cstheme="minorEastAsia"/>
          <w:color w:val="333333"/>
          <w:sz w:val="24"/>
          <w:szCs w:val="24"/>
          <w:shd w:val="clear" w:color="auto" w:fill="ffffff"/>
        </w:rPr>
        <w:t xml:space="preserve">提交成果后待财政资金到位，采购人收到发票后10个工作日内一次性付清剩余合同款。</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采购标的对应的中小企业划分标准所属行业一览表</w:t>
      </w:r>
      <w:r/>
    </w:p>
    <w:tbl>
      <w:tblPr>
        <w:tblStyle w:val="844"/>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4"/>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color w:val="333333"/>
                <w:sz w:val="24"/>
                <w:szCs w:val="24"/>
                <w:shd w:val="clear" w:color="auto" w:fill="ffffff"/>
                <w:lang w:eastAsia="zh-CN"/>
              </w:rPr>
              <w:t xml:space="preserve">编制盐城滨海湿地部分区域生态修复实施方案项目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其他未列明行业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 </w:t>
            </w:r>
            <w:r/>
          </w:p>
        </w:tc>
      </w:tr>
    </w:tbl>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备注：1.采购人须填报上表，所属行业按《工业和信息化部、国家统计局、国家发展和改革委员会、财政部关于印发中小企业划型标准规定的通知》(工信部联企业[2011]300号)规定填写。2.项目经办人须对填报内容是否准确进行核查。）</w:t>
      </w:r>
      <w:r/>
    </w:p>
    <w:p>
      <w:pPr>
        <w:pStyle w:val="854"/>
        <w:jc w:val="both"/>
        <w:spacing w:beforeAutospacing="0" w:afterAutospacing="0"/>
      </w:pPr>
      <w:r>
        <w:t xml:space="preserve"> </w:t>
      </w:r>
      <w:r/>
    </w:p>
    <w:p>
      <w:pPr>
        <w:pStyle w:val="854"/>
        <w:ind w:firstLine="480"/>
        <w:jc w:val="both"/>
        <w:spacing w:beforeAutospacing="0" w:afterAutospacing="0" w:line="0" w:lineRule="atLeast"/>
      </w:pPr>
      <w:r>
        <w:t xml:space="preserve"> </w:t>
      </w:r>
      <w:r/>
    </w:p>
    <w:p>
      <w:pPr>
        <w:pStyle w:val="854"/>
        <w:ind w:firstLine="602"/>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tabs>
          <w:tab w:val="left" w:pos="6205" w:leader="none"/>
        </w:tabs>
      </w:pPr>
      <w:r>
        <w:t xml:space="preserve"> </w:t>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both"/>
        <w:spacing w:beforeAutospacing="0" w:afterAutospacing="0"/>
        <w:tabs>
          <w:tab w:val="left" w:pos="6205" w:leader="none"/>
        </w:tabs>
      </w:pPr>
      <w:r/>
      <w:r/>
    </w:p>
    <w:p>
      <w:pPr>
        <w:pStyle w:val="854"/>
        <w:jc w:val="center"/>
        <w:keepNext/>
        <w:spacing w:beforeAutospacing="0" w:afterAutospacing="0"/>
      </w:pPr>
      <w:r/>
      <w:bookmarkStart w:id="197" w:name="_Toc120614281"/>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54"/>
        <w:jc w:val="both"/>
        <w:spacing w:beforeAutospacing="0" w:afterAutospacing="0"/>
      </w:pPr>
      <w:r>
        <w:t xml:space="preserve"> </w:t>
      </w:r>
      <w:r/>
    </w:p>
    <w:p>
      <w:pPr>
        <w:ind w:firstLine="480"/>
        <w:spacing w:line="420" w:lineRule="exact"/>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54"/>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4"/>
        <w:ind w:firstLine="441"/>
        <w:spacing w:before="120" w:beforeAutospacing="0" w:after="120" w:afterAutospacing="0" w:line="360" w:lineRule="auto"/>
      </w:pPr>
      <w:r>
        <w:rPr>
          <w:rFonts w:hint="eastAsia" w:ascii="宋体" w:hAnsi="宋体" w:eastAsia="宋体" w:cs="宋体"/>
          <w:b/>
          <w:color w:val="000000"/>
        </w:rPr>
        <w:t xml:space="preserve">二、政府采购政策功能落实</w:t>
      </w:r>
      <w:r/>
    </w:p>
    <w:p>
      <w:pPr>
        <w:pStyle w:val="854"/>
        <w:ind w:firstLine="439"/>
        <w:spacing w:before="120" w:beforeAutospacing="0" w:after="120" w:afterAutospacing="0" w:line="360" w:lineRule="auto"/>
        <w:rPr>
          <w:rFonts w:hint="eastAsia" w:ascii="Arial" w:hAnsi="Arial" w:cs="Arial"/>
          <w:color w:val="000000"/>
        </w:rPr>
      </w:pPr>
      <w:r>
        <w:rPr>
          <w:rFonts w:hint="eastAsia" w:ascii="Arial" w:hAnsi="Arial" w:cs="Arial"/>
          <w:color w:val="000000"/>
        </w:rPr>
        <w:t xml:space="preserve">1、本项目专门面向中小企业采购，投标人须为符合《关于印发中小企业划型标准规定的通知》（工信部联企业[2011]300号）文件的中小企业</w:t>
      </w:r>
      <w:r>
        <w:rPr>
          <w:rFonts w:hint="eastAsia" w:ascii="Arial" w:hAnsi="Arial" w:cs="Arial"/>
          <w:color w:val="000000"/>
          <w:lang w:val="en-US" w:eastAsia="zh-CN"/>
        </w:rPr>
        <w:t xml:space="preserve">（投标申请时须提供中小企业声明函；如是联合体投标，组成联合体的成员均须提供中小企业声明函，否则按无效标处理，）。</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rPr>
        <w:t xml:space="preserve">2、因本项目专门面向中小企业采购，不再执行价格评审优惠的扶持政策。</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rPr>
        <w:t xml:space="preserve">3、供应商须按照采购文件要求提供相应的《企业声明函》（格式附后），不提供声明函或有弄虚作假的，将依法承担相应责任。</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rPr>
        <w:t xml:space="preserve">4、企业标准请参照《关于印发中小企业划型标准规定的通知》（工信部联企业【2011】300号）文件规定自行填写。</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rPr>
        <w:t xml:space="preserve">5、以上规定未尽事项，按《政府采购促进中小企业发展管理办法》 （财库【2020】46号）等有关制度规定执行。</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lang w:val="en-US" w:eastAsia="zh-CN"/>
        </w:rPr>
        <w:t xml:space="preserve">6</w:t>
      </w:r>
      <w:r>
        <w:rPr>
          <w:rFonts w:hint="eastAsia" w:ascii="Arial" w:hAnsi="Arial" w:cs="Arial"/>
          <w:color w:val="000000"/>
        </w:rPr>
        <w:t xml:space="preserve">、严格执行政府采购关于支持</w:t>
      </w:r>
      <w:r>
        <w:rPr>
          <w:rFonts w:hint="eastAsia" w:ascii="Arial" w:hAnsi="Arial" w:cs="Arial"/>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lang w:val="en-US" w:eastAsia="zh-CN"/>
        </w:rPr>
        <w:t xml:space="preserve">7</w:t>
      </w:r>
      <w:r>
        <w:rPr>
          <w:rFonts w:hint="eastAsia" w:ascii="Arial" w:hAnsi="Arial" w:cs="Arial"/>
          <w:color w:val="000000"/>
        </w:rPr>
        <w:t xml:space="preserve">、供应商对于投标产品的商品包装、快递包装应按照《关于印发《商品包装政府采购需求标准（试行）》、《快递包装政府采购需求标准（试行）》的通知》（财办库〔2020〕123号）执行。</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lang w:val="en-US" w:eastAsia="zh-CN"/>
        </w:rPr>
        <w:t xml:space="preserve">8</w:t>
      </w:r>
      <w:r>
        <w:rPr>
          <w:rFonts w:hint="eastAsia" w:ascii="Arial" w:hAnsi="Arial" w:cs="Arial"/>
          <w:color w:val="000000"/>
        </w:rPr>
        <w:t xml:space="preserve">、本文件中若涉及到数据中心采购，应按照《&lt;绿色数据中心政府采购需求标准（试行）&gt;的通知》（财库〔2023〕7号）执行。</w:t>
      </w:r>
      <w:r/>
    </w:p>
    <w:p>
      <w:pPr>
        <w:pStyle w:val="854"/>
        <w:ind w:firstLine="439"/>
        <w:spacing w:before="120" w:beforeAutospacing="0" w:after="120" w:afterAutospacing="0" w:line="360" w:lineRule="auto"/>
        <w:rPr>
          <w:rFonts w:ascii="Arial" w:hAnsi="Arial" w:cs="Arial"/>
          <w:color w:val="000000"/>
        </w:rPr>
      </w:pPr>
      <w:r>
        <w:rPr>
          <w:rFonts w:hint="eastAsia" w:ascii="Arial" w:hAnsi="Arial" w:cs="Arial"/>
          <w:color w:val="000000"/>
          <w:lang w:val="en-US" w:eastAsia="zh-CN"/>
        </w:rPr>
        <w:t xml:space="preserve">9</w:t>
      </w:r>
      <w:r>
        <w:rPr>
          <w:rFonts w:hint="eastAsia" w:ascii="Arial" w:hAnsi="Arial" w:cs="Arial"/>
          <w:color w:val="000000"/>
        </w:rPr>
        <w:t xml:space="preserve">、根据《江苏省政府采购信用管理暂行办法》的规定，供应商信用评价结果为三星的扣2分，评价结果为二星的扣3分，评价结果为一星的扣4分。</w:t>
      </w:r>
      <w:r/>
    </w:p>
    <w:p>
      <w:pPr>
        <w:ind w:firstLine="422"/>
        <w:spacing w:line="520" w:lineRule="exact"/>
        <w:rPr>
          <w:rFonts w:ascii="宋体" w:hAnsi="宋体" w:eastAsia="宋体" w:cs="宋体"/>
        </w:rPr>
      </w:pPr>
      <w:r>
        <w:rPr>
          <w:rFonts w:hint="eastAsia" w:ascii="宋体" w:hAnsi="宋体" w:eastAsia="宋体" w:cs="宋体"/>
          <w:b/>
          <w:color w:val="000000"/>
        </w:rPr>
        <w:t xml:space="preserve">三、评标方法与评标标准</w:t>
      </w:r>
      <w:r/>
    </w:p>
    <w:tbl>
      <w:tblPr>
        <w:tblStyle w:val="844"/>
        <w:tblW w:w="10121"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200"/>
        <w:gridCol w:w="6795"/>
        <w:gridCol w:w="810"/>
      </w:tblGrid>
      <w:tr>
        <w:trPr/>
        <w:tc>
          <w:tcPr>
            <w:tcW w:w="1316"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评审项目</w:t>
            </w:r>
            <w:r/>
          </w:p>
        </w:tc>
        <w:tc>
          <w:tcPr>
            <w:tcW w:w="1200"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评标分项</w:t>
            </w:r>
            <w:r/>
          </w:p>
        </w:tc>
        <w:tc>
          <w:tcPr>
            <w:tcW w:w="6795" w:type="dxa"/>
            <w:textDirection w:val="lrTb"/>
            <w:noWrap w:val="false"/>
          </w:tcPr>
          <w:p>
            <w:pPr>
              <w:ind w:firstLine="432"/>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评分标准</w:t>
            </w:r>
            <w:r/>
          </w:p>
        </w:tc>
        <w:tc>
          <w:tcPr>
            <w:tcW w:w="810"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分值</w:t>
            </w:r>
            <w:r/>
          </w:p>
        </w:tc>
      </w:tr>
      <w:tr>
        <w:trPr>
          <w:trHeight w:val="1233"/>
        </w:trPr>
        <w:tc>
          <w:tcPr>
            <w:tcW w:w="1316"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报价部分（2</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报价得分</w:t>
            </w:r>
            <w:r/>
          </w:p>
        </w:tc>
        <w:tc>
          <w:tcPr>
            <w:tcW w:w="679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评标基准价：满足招标文件要求且价格最低的报价为评标基准价，其价格分为满分（22分）；报价得分=（评标基准价/招标报价）×22（该结果四舍五入，保留两位小数）</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2</w:t>
            </w:r>
            <w:r/>
          </w:p>
        </w:tc>
      </w:tr>
      <w:tr>
        <w:trPr>
          <w:trHeight w:val="1005"/>
        </w:trPr>
        <w:tc>
          <w:tcPr>
            <w:tcW w:w="1316" w:type="dxa"/>
            <w:vAlign w:val="center"/>
            <w:vMerge w:val="restart"/>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商务部分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val="en-US" w:eastAsia="zh-CN"/>
              </w:rPr>
              <w:t xml:space="preserve">43</w:t>
            </w:r>
            <w:r>
              <w:rPr>
                <w:rFonts w:hint="eastAsia" w:asciiTheme="minorEastAsia" w:hAnsiTheme="minorEastAsia" w:eastAsiaTheme="minorEastAsia" w:cstheme="minorEastAsia"/>
                <w:sz w:val="24"/>
                <w:szCs w:val="24"/>
              </w:rPr>
              <w:t xml:space="preserve">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企业综合实力</w:t>
            </w:r>
            <w:r/>
          </w:p>
        </w:tc>
        <w:tc>
          <w:tcPr>
            <w:tcW w:w="679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1.认证范围包含生态环境规划、修复治理类的ISO质量管理体系认证证书、职业健康安全管理体系认证证书、环境管理体系认证证书并在有效期内的，有一个得2分，最高得6分。</w:t>
            </w:r>
            <w:r/>
          </w:p>
          <w:p>
            <w:pPr>
              <w:jc w:val="left"/>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2.投标人具有第三方信用机构出具的3A级或以上信用证明的得2分，其他不得分；</w:t>
            </w:r>
            <w:r/>
          </w:p>
          <w:p>
            <w:pPr>
              <w:jc w:val="left"/>
              <w:spacing w:line="360" w:lineRule="auto"/>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3.投标人具有生态或湿地相关科研能力。投人具有市级相关工程研究中心或科研基地的，每有一个得1分；投人具有省级及以上相关工程研究中心或科研基地的，每有一个得2分；本项</w:t>
            </w:r>
            <w:r/>
          </w:p>
          <w:p>
            <w:pPr>
              <w:jc w:val="left"/>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最高得6分</w:t>
            </w:r>
            <w:r/>
          </w:p>
          <w:p>
            <w:pPr>
              <w:jc w:val="left"/>
              <w:spacing w:line="360" w:lineRule="auto"/>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4.投标人承担的海洋工程项目获得过市级及以上科学技术进步奖的得3分。</w:t>
            </w:r>
            <w:r/>
          </w:p>
          <w:p>
            <w:pPr>
              <w:jc w:val="left"/>
              <w:spacing w:line="360" w:lineRule="auto"/>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备注：须提供相关论证证书（及其他证明材料）原件彩色扫描件并加盖投标人公章，否则不得分。</w:t>
            </w:r>
            <w:r/>
          </w:p>
        </w:tc>
        <w:tc>
          <w:tcPr>
            <w:tcW w:w="810" w:type="dxa"/>
            <w:vAlign w:val="center"/>
            <w:textDirection w:val="lrTb"/>
            <w:noWrap w:val="false"/>
          </w:tcPr>
          <w:p>
            <w:pPr>
              <w:jc w:val="left"/>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17</w:t>
            </w:r>
            <w:r/>
          </w:p>
        </w:tc>
      </w:tr>
      <w:tr>
        <w:trPr>
          <w:trHeight w:val="422"/>
        </w:trPr>
        <w:tc>
          <w:tcPr>
            <w:tcW w:w="1316"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业绩</w:t>
            </w:r>
            <w:r/>
          </w:p>
        </w:tc>
        <w:tc>
          <w:tcPr>
            <w:tcW w:w="679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近五年（2019年1月1日以来），承担过</w:t>
            </w:r>
            <w:r>
              <w:rPr>
                <w:rFonts w:hint="eastAsia" w:asciiTheme="minorEastAsia" w:hAnsiTheme="minorEastAsia" w:cstheme="minorEastAsia"/>
                <w:sz w:val="24"/>
                <w:szCs w:val="24"/>
                <w:lang w:val="en-US" w:eastAsia="zh-CN"/>
              </w:rPr>
              <w:t xml:space="preserve">湿地</w:t>
            </w:r>
            <w:r>
              <w:rPr>
                <w:rFonts w:hint="eastAsia" w:asciiTheme="minorEastAsia" w:hAnsiTheme="minorEastAsia" w:eastAsiaTheme="minorEastAsia" w:cstheme="minorEastAsia"/>
                <w:sz w:val="24"/>
                <w:szCs w:val="24"/>
              </w:rPr>
              <w:t xml:space="preserve">类</w:t>
            </w:r>
            <w:r>
              <w:rPr>
                <w:rFonts w:hint="eastAsia" w:asciiTheme="minorEastAsia" w:hAnsiTheme="minorEastAsia" w:cstheme="minorEastAsia"/>
                <w:sz w:val="24"/>
                <w:szCs w:val="24"/>
                <w:lang w:val="en-US" w:eastAsia="zh-CN"/>
              </w:rPr>
              <w:t xml:space="preserve">生态修复</w:t>
            </w:r>
            <w:r>
              <w:rPr>
                <w:rFonts w:hint="eastAsia" w:asciiTheme="minorEastAsia" w:hAnsiTheme="minorEastAsia" w:eastAsiaTheme="minorEastAsia" w:cstheme="minorEastAsia"/>
                <w:sz w:val="24"/>
                <w:szCs w:val="24"/>
              </w:rPr>
              <w:t xml:space="preserve">项目的，每有一个项目得3分，本项最高得15分。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注：以上项目不重复计分，提供相关业绩合同复印件加盖单位公章，合同内容中需能反映出相关内容，否则不得分。</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r>
      <w:tr>
        <w:trPr>
          <w:trHeight w:val="4795"/>
        </w:trPr>
        <w:tc>
          <w:tcPr>
            <w:tcW w:w="1316"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项目组织机构人员配备</w:t>
            </w:r>
            <w:r/>
          </w:p>
        </w:tc>
        <w:tc>
          <w:tcPr>
            <w:tcW w:w="679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1.项目负责人具有</w:t>
            </w:r>
            <w:r>
              <w:rPr>
                <w:rFonts w:hint="eastAsia" w:asciiTheme="minorEastAsia" w:hAnsiTheme="minorEastAsia" w:cstheme="minorEastAsia"/>
                <w:sz w:val="24"/>
                <w:szCs w:val="24"/>
                <w:lang w:val="en-US" w:eastAsia="zh-CN"/>
              </w:rPr>
              <w:t xml:space="preserve">环境工程或</w:t>
            </w:r>
            <w:r>
              <w:rPr>
                <w:rFonts w:hint="eastAsia" w:asciiTheme="minorEastAsia" w:hAnsiTheme="minorEastAsia" w:eastAsiaTheme="minorEastAsia" w:cstheme="minorEastAsia"/>
                <w:sz w:val="24"/>
                <w:szCs w:val="24"/>
              </w:rPr>
              <w:t xml:space="preserve">海洋工程相关专业高级职称</w:t>
            </w:r>
            <w:r>
              <w:rPr>
                <w:rFonts w:hint="eastAsia" w:asciiTheme="minorEastAsia" w:hAnsiTheme="minorEastAsia" w:cstheme="minorEastAsia"/>
                <w:sz w:val="24"/>
                <w:szCs w:val="24"/>
                <w:lang w:eastAsia="zh-CN"/>
              </w:rPr>
              <w:t xml:space="preserve">的</w:t>
            </w:r>
            <w:r>
              <w:rPr>
                <w:rFonts w:hint="eastAsia" w:asciiTheme="minorEastAsia" w:hAnsiTheme="minorEastAsia" w:eastAsiaTheme="minorEastAsia" w:cstheme="minorEastAsia"/>
                <w:sz w:val="24"/>
                <w:szCs w:val="24"/>
              </w:rPr>
              <w:t xml:space="preserve">得</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除项目负责人外，供应商项目技术团队</w:t>
            </w:r>
            <w:r>
              <w:rPr>
                <w:rFonts w:hint="eastAsia" w:asciiTheme="minorEastAsia" w:hAnsiTheme="minorEastAsia" w:cstheme="minorEastAsia"/>
                <w:sz w:val="24"/>
                <w:szCs w:val="24"/>
                <w:lang w:val="en-US" w:eastAsia="zh-CN"/>
              </w:rPr>
              <w:t xml:space="preserve">具有生态学、环境工程、地图学与地理信息系统、测绘工程、海洋科学、风景园林专业</w:t>
            </w:r>
            <w:r>
              <w:rPr>
                <w:rFonts w:hint="eastAsia" w:asciiTheme="minorEastAsia" w:hAnsiTheme="minorEastAsia" w:eastAsiaTheme="minorEastAsia" w:cstheme="minorEastAsia"/>
                <w:sz w:val="24"/>
                <w:szCs w:val="24"/>
              </w:rPr>
              <w:t xml:space="preserve">硕士及以上学历的，每有一个相关专业得人员得1分，本项最高得</w:t>
            </w:r>
            <w:r>
              <w:rPr>
                <w:rFonts w:hint="eastAsia" w:asciiTheme="minorEastAsia" w:hAnsi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除项目负责人外，项目团队中每有一个高级工程师职称的得1分，最高得</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①须提供项目组人员一览表（格式自拟）、相关证明材料扫描件并加盖供应商单位公章（若职称证书无法体现相关专业，则另需提供有效证明材料扫描件并加盖供应商单位公章），否则不得分。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②项目组人员须为供应商本单位人员，须提供社保机构出具并盖章的供应商为其缴纳的社保缴纳证明材料扫描件并加盖供应商单位公章，否则不得分。</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1</w:t>
            </w:r>
            <w:r/>
          </w:p>
        </w:tc>
      </w:tr>
      <w:tr>
        <w:trPr>
          <w:trHeight w:val="1406"/>
        </w:trPr>
        <w:tc>
          <w:tcPr>
            <w:tcW w:w="1316" w:type="dxa"/>
            <w:vAlign w:val="center"/>
            <w:vMerge w:val="restart"/>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技术方案部分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（35分）</w:t>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项目的理解和认识</w:t>
            </w:r>
            <w:r/>
          </w:p>
        </w:tc>
        <w:tc>
          <w:tcPr>
            <w:tcW w:w="6795" w:type="dxa"/>
            <w:vAlign w:val="center"/>
            <w:textDirection w:val="lrTb"/>
            <w:noWrap w:val="false"/>
          </w:tcPr>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根据</w:t>
            </w:r>
            <w:r>
              <w:rPr>
                <w:rFonts w:hint="eastAsia" w:asciiTheme="minorEastAsia" w:hAnsiTheme="minorEastAsia" w:eastAsiaTheme="minorEastAsia" w:cstheme="minorEastAsia"/>
                <w:sz w:val="24"/>
                <w:szCs w:val="24"/>
              </w:rPr>
              <w:t xml:space="preserve">供应商</w:t>
            </w:r>
            <w:r>
              <w:rPr>
                <w:rFonts w:hint="eastAsia" w:asciiTheme="minorEastAsia" w:hAnsiTheme="minorEastAsia" w:cstheme="minorEastAsia"/>
                <w:sz w:val="24"/>
                <w:szCs w:val="24"/>
                <w:lang w:val="en-US" w:eastAsia="zh-CN"/>
              </w:rPr>
              <w:t xml:space="preserve">提供的关于本项目的</w:t>
            </w:r>
            <w:r>
              <w:rPr>
                <w:rFonts w:hint="eastAsia" w:asciiTheme="minorEastAsia" w:hAnsiTheme="minorEastAsia" w:eastAsiaTheme="minorEastAsia" w:cstheme="minorEastAsia"/>
                <w:sz w:val="24"/>
                <w:szCs w:val="24"/>
              </w:rPr>
              <w:t xml:space="preserve">工作范围、现状情况和任务描述，</w:t>
            </w:r>
            <w:r>
              <w:rPr>
                <w:rFonts w:hint="eastAsia" w:asciiTheme="minorEastAsia" w:hAnsiTheme="minorEastAsia" w:cstheme="minorEastAsia"/>
                <w:sz w:val="24"/>
                <w:szCs w:val="24"/>
                <w:lang w:val="en-US" w:eastAsia="zh-CN"/>
              </w:rPr>
              <w:t xml:space="preserve">及项目</w:t>
            </w:r>
            <w:r>
              <w:rPr>
                <w:rFonts w:hint="eastAsia" w:asciiTheme="minorEastAsia" w:hAnsiTheme="minorEastAsia" w:eastAsiaTheme="minorEastAsia" w:cstheme="minorEastAsia"/>
                <w:sz w:val="24"/>
                <w:szCs w:val="24"/>
              </w:rPr>
              <w:t xml:space="preserve">和周边保护属性的关系分析</w:t>
            </w:r>
            <w:r>
              <w:rPr>
                <w:rFonts w:hint="eastAsia" w:asciiTheme="minorEastAsia" w:hAnsiTheme="minorEastAsia" w:cstheme="minorEastAsia"/>
                <w:sz w:val="24"/>
                <w:szCs w:val="24"/>
                <w:lang w:val="en-US" w:eastAsia="zh-CN"/>
              </w:rPr>
              <w:t xml:space="preserve">方案进行评。</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优于项目需求内容的</w:t>
            </w:r>
            <w:r>
              <w:rPr>
                <w:rFonts w:hint="eastAsia" w:asciiTheme="minorEastAsia" w:hAnsiTheme="minorEastAsia" w:eastAsiaTheme="minorEastAsia" w:cstheme="minorEastAsia"/>
                <w:sz w:val="24"/>
                <w:szCs w:val="24"/>
              </w:rPr>
              <w:t xml:space="preserve">得</w:t>
            </w: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分；</w:t>
            </w:r>
            <w:r/>
          </w:p>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满足项目需求内容的得8分；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不能满足项目需求的得3分。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未提供不得分。</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r>
      <w:tr>
        <w:trPr>
          <w:trHeight w:val="1406"/>
        </w:trPr>
        <w:tc>
          <w:tcPr>
            <w:tcW w:w="1316"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项目的方案设计</w:t>
            </w:r>
            <w:r/>
          </w:p>
        </w:tc>
        <w:tc>
          <w:tcPr>
            <w:tcW w:w="6795" w:type="dxa"/>
            <w:vAlign w:val="center"/>
            <w:textDirection w:val="lrTb"/>
            <w:noWrap w:val="false"/>
          </w:tcPr>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根据</w:t>
            </w:r>
            <w:r>
              <w:rPr>
                <w:rFonts w:hint="eastAsia" w:asciiTheme="minorEastAsia" w:hAnsiTheme="minorEastAsia" w:eastAsiaTheme="minorEastAsia" w:cstheme="minorEastAsia"/>
                <w:sz w:val="24"/>
                <w:szCs w:val="24"/>
              </w:rPr>
              <w:t xml:space="preserve">供应商</w:t>
            </w:r>
            <w:r>
              <w:rPr>
                <w:rFonts w:hint="eastAsia" w:asciiTheme="minorEastAsia" w:hAnsiTheme="minorEastAsia" w:cstheme="minorEastAsia"/>
                <w:sz w:val="24"/>
                <w:szCs w:val="24"/>
                <w:lang w:val="en-US" w:eastAsia="zh-CN"/>
              </w:rPr>
              <w:t xml:space="preserve">提供的</w:t>
            </w:r>
            <w:r>
              <w:rPr>
                <w:rFonts w:hint="eastAsia" w:asciiTheme="minorEastAsia" w:hAnsiTheme="minorEastAsia" w:eastAsiaTheme="minorEastAsia" w:cstheme="minorEastAsia"/>
                <w:sz w:val="24"/>
                <w:szCs w:val="24"/>
              </w:rPr>
              <w:t xml:space="preserve">对项目需求的理解</w:t>
            </w:r>
            <w:r>
              <w:rPr>
                <w:rFonts w:hint="eastAsia" w:asciiTheme="minorEastAsia" w:hAnsiTheme="minorEastAsia" w:cstheme="minorEastAsia"/>
                <w:sz w:val="24"/>
                <w:szCs w:val="24"/>
                <w:lang w:val="en-US" w:eastAsia="zh-CN"/>
              </w:rPr>
              <w:t xml:space="preserve">和设计方案内容进行评审。</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优于项目需求内容的</w:t>
            </w:r>
            <w:r>
              <w:rPr>
                <w:rFonts w:hint="eastAsia" w:asciiTheme="minorEastAsia" w:hAnsiTheme="minorEastAsia" w:eastAsiaTheme="minorEastAsia" w:cstheme="minorEastAsia"/>
                <w:sz w:val="24"/>
                <w:szCs w:val="24"/>
              </w:rPr>
              <w:t xml:space="preserve">得</w:t>
            </w: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分；</w:t>
            </w:r>
            <w:r/>
          </w:p>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满足项目需求内容的得8分；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不能满足项目需求的得3分。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未提供不得分。</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r>
      <w:tr>
        <w:trPr>
          <w:trHeight w:val="90"/>
        </w:trPr>
        <w:tc>
          <w:tcPr>
            <w:tcW w:w="1316"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证措施</w:t>
            </w:r>
            <w:r/>
          </w:p>
        </w:tc>
        <w:tc>
          <w:tcPr>
            <w:tcW w:w="6795" w:type="dxa"/>
            <w:vAlign w:val="center"/>
            <w:textDirection w:val="lrTb"/>
            <w:noWrap w:val="false"/>
          </w:tcPr>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根据</w:t>
            </w:r>
            <w:r>
              <w:rPr>
                <w:rFonts w:hint="eastAsia" w:asciiTheme="minorEastAsia" w:hAnsiTheme="minorEastAsia" w:eastAsiaTheme="minorEastAsia" w:cstheme="minorEastAsia"/>
                <w:sz w:val="24"/>
                <w:szCs w:val="24"/>
              </w:rPr>
              <w:t xml:space="preserve">供应商提供的质量保证体系</w:t>
            </w:r>
            <w:r>
              <w:rPr>
                <w:rFonts w:hint="eastAsia" w:asciiTheme="minorEastAsia" w:hAnsiTheme="minorEastAsia" w:cstheme="minorEastAsia"/>
                <w:sz w:val="24"/>
                <w:szCs w:val="24"/>
                <w:lang w:val="en-US" w:eastAsia="zh-CN"/>
              </w:rPr>
              <w:t xml:space="preserve">方案进行评审。</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优于项目需求内容的</w:t>
            </w:r>
            <w:r>
              <w:rPr>
                <w:rFonts w:hint="eastAsia" w:asciiTheme="minorEastAsia" w:hAnsiTheme="minorEastAsia" w:eastAsiaTheme="minorEastAsia" w:cstheme="minorEastAsia"/>
                <w:sz w:val="24"/>
                <w:szCs w:val="24"/>
              </w:rPr>
              <w:t xml:space="preserve">得5分；</w:t>
            </w:r>
            <w:r/>
          </w:p>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满足项目需求内容的得2分；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不能满足项目需求的得1分。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未提供不得分。</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r>
      <w:tr>
        <w:trPr>
          <w:trHeight w:val="403"/>
        </w:trPr>
        <w:tc>
          <w:tcPr>
            <w:tcW w:w="1316"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进度保证措施</w:t>
            </w:r>
            <w:r/>
          </w:p>
        </w:tc>
        <w:tc>
          <w:tcPr>
            <w:tcW w:w="679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根据</w:t>
            </w:r>
            <w:r>
              <w:rPr>
                <w:rFonts w:hint="eastAsia" w:asciiTheme="minorEastAsia" w:hAnsiTheme="minorEastAsia" w:eastAsiaTheme="minorEastAsia" w:cstheme="minorEastAsia"/>
                <w:sz w:val="24"/>
                <w:szCs w:val="24"/>
              </w:rPr>
              <w:t xml:space="preserve">供应商对本项目</w:t>
            </w:r>
            <w:r>
              <w:rPr>
                <w:rFonts w:hint="eastAsia" w:asciiTheme="minorEastAsia" w:hAnsiTheme="minorEastAsia" w:cstheme="minorEastAsia"/>
                <w:sz w:val="24"/>
                <w:szCs w:val="24"/>
                <w:lang w:val="en-US" w:eastAsia="zh-CN"/>
              </w:rPr>
              <w:t xml:space="preserve">进度保证措施方案、</w:t>
            </w:r>
            <w:r>
              <w:rPr>
                <w:rFonts w:hint="eastAsia" w:asciiTheme="minorEastAsia" w:hAnsiTheme="minorEastAsia" w:eastAsiaTheme="minorEastAsia" w:cstheme="minorEastAsia"/>
                <w:sz w:val="24"/>
                <w:szCs w:val="24"/>
              </w:rPr>
              <w:t xml:space="preserve">工期</w:t>
            </w:r>
            <w:r>
              <w:rPr>
                <w:rFonts w:hint="eastAsia" w:asciiTheme="minorEastAsia" w:hAnsiTheme="minorEastAsia" w:cstheme="minorEastAsia"/>
                <w:sz w:val="24"/>
                <w:szCs w:val="24"/>
                <w:lang w:val="en-US" w:eastAsia="zh-CN"/>
              </w:rPr>
              <w:t xml:space="preserve">方案进行评审。优于项目需求内容的</w:t>
            </w:r>
            <w:r>
              <w:rPr>
                <w:rFonts w:hint="eastAsia" w:asciiTheme="minorEastAsia" w:hAnsiTheme="minorEastAsia" w:eastAsiaTheme="minorEastAsia" w:cstheme="minorEastAsia"/>
                <w:sz w:val="24"/>
                <w:szCs w:val="24"/>
              </w:rPr>
              <w:t xml:space="preserve">得5分；</w:t>
            </w:r>
            <w:r/>
          </w:p>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满足项目需求内容的得2分；</w:t>
            </w:r>
            <w:r/>
          </w:p>
          <w:p>
            <w:pPr>
              <w:jc w:val="left"/>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不能满足项目需求的得1分。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未提供不得分。</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r>
      <w:tr>
        <w:trPr>
          <w:trHeight w:val="698"/>
        </w:trPr>
        <w:tc>
          <w:tcPr>
            <w:tcW w:w="1316" w:type="dxa"/>
            <w:vAlign w:val="center"/>
            <w:vMerge w:val="continue"/>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0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承诺</w:t>
            </w:r>
            <w:r/>
          </w:p>
        </w:tc>
        <w:tc>
          <w:tcPr>
            <w:tcW w:w="6795" w:type="dxa"/>
            <w:vAlign w:val="center"/>
            <w:textDirection w:val="lrTb"/>
            <w:noWrap w:val="false"/>
          </w:tcPr>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根据供应商提供的</w:t>
            </w:r>
            <w:r>
              <w:rPr>
                <w:rFonts w:hint="eastAsia" w:asciiTheme="minorEastAsia" w:hAnsiTheme="minorEastAsia" w:eastAsiaTheme="minorEastAsia" w:cstheme="minorEastAsia"/>
                <w:sz w:val="24"/>
                <w:szCs w:val="24"/>
              </w:rPr>
              <w:t xml:space="preserve">服务承诺</w:t>
            </w:r>
            <w:r>
              <w:rPr>
                <w:rFonts w:hint="eastAsia" w:asciiTheme="minorEastAsia" w:hAnsiTheme="minorEastAsia" w:cstheme="minorEastAsia"/>
                <w:sz w:val="24"/>
                <w:szCs w:val="24"/>
                <w:lang w:val="en-US" w:eastAsia="zh-CN"/>
              </w:rPr>
              <w:t xml:space="preserve">方案（</w:t>
            </w:r>
            <w:r>
              <w:rPr>
                <w:rFonts w:hint="eastAsia" w:asciiTheme="minorEastAsia" w:hAnsiTheme="minorEastAsia" w:eastAsiaTheme="minorEastAsia" w:cstheme="minorEastAsia"/>
                <w:sz w:val="24"/>
                <w:szCs w:val="24"/>
              </w:rPr>
              <w:t xml:space="preserve">服务措施</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服务保障体系</w:t>
            </w:r>
            <w:r>
              <w:rPr>
                <w:rFonts w:hint="eastAsia" w:asciiTheme="minorEastAsia" w:hAnsiTheme="minorEastAsia" w:cstheme="minorEastAsia"/>
                <w:sz w:val="24"/>
                <w:szCs w:val="24"/>
                <w:lang w:val="en-US" w:eastAsia="zh-CN"/>
              </w:rPr>
              <w:t xml:space="preserve">）进行评审。</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优于项目需求内容的</w:t>
            </w:r>
            <w:r>
              <w:rPr>
                <w:rFonts w:hint="eastAsia" w:asciiTheme="minorEastAsia" w:hAnsiTheme="minorEastAsia" w:eastAsiaTheme="minorEastAsia" w:cstheme="minorEastAsia"/>
                <w:sz w:val="24"/>
                <w:szCs w:val="24"/>
              </w:rPr>
              <w:t xml:space="preserve">得5分；</w:t>
            </w:r>
            <w:r/>
          </w:p>
          <w:p>
            <w:pPr>
              <w:jc w:val="left"/>
              <w:spacing w:line="360" w:lineRule="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满足项目需求内容的得2分；</w:t>
            </w:r>
            <w:r/>
          </w:p>
          <w:p>
            <w:pPr>
              <w:jc w:val="left"/>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不能满足项目需求的得1分。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未提供不得分。 </w:t>
            </w:r>
            <w:r/>
          </w:p>
        </w:tc>
        <w:tc>
          <w:tcPr>
            <w:tcW w:w="810"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r>
    </w:tbl>
    <w:p>
      <w:pPr>
        <w:pStyle w:val="870"/>
        <w:ind w:firstLine="480"/>
        <w:spacing w:line="50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备注：</w:t>
      </w:r>
      <w:r/>
    </w:p>
    <w:p>
      <w:pPr>
        <w:pStyle w:val="870"/>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870"/>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870"/>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3、评分中涉及的证书/检测报告应在有效期内，且在招标文件上网前取得；</w:t>
      </w:r>
      <w:r/>
    </w:p>
    <w:p>
      <w:pPr>
        <w:pStyle w:val="870"/>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4"/>
        <w:jc w:val="both"/>
        <w:spacing w:beforeAutospacing="0" w:afterAutospacing="0"/>
      </w:pPr>
      <w:r/>
      <w:r/>
    </w:p>
    <w:p>
      <w:pPr>
        <w:pStyle w:val="854"/>
        <w:jc w:val="both"/>
        <w:spacing w:beforeAutospacing="0" w:afterAutospacing="0"/>
      </w:pPr>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54"/>
        <w:jc w:val="center"/>
        <w:spacing w:beforeAutospacing="0" w:afterAutospacing="0"/>
      </w:pPr>
      <w:r/>
      <w:bookmarkStart w:id="198" w:name="_Toc26554094"/>
      <w:r/>
      <w:bookmarkEnd w:id="198"/>
      <w:r/>
      <w:bookmarkStart w:id="199" w:name="_Hlt26671244"/>
      <w:r/>
      <w:bookmarkEnd w:id="199"/>
      <w:r/>
      <w:bookmarkStart w:id="200" w:name="_Hlt26955039"/>
      <w:r/>
      <w:bookmarkEnd w:id="200"/>
      <w:r/>
      <w:bookmarkStart w:id="201" w:name="_Toc120614282"/>
      <w:r/>
      <w:bookmarkStart w:id="202" w:name="_Toc49090576"/>
      <w:r>
        <w:rPr>
          <w:rFonts w:hint="eastAsia" w:ascii="宋体" w:hAnsi="宋体" w:eastAsia="宋体" w:cs="宋体"/>
          <w:b/>
          <w:color w:val="000000"/>
          <w:sz w:val="72"/>
          <w:szCs w:val="72"/>
        </w:rPr>
        <w:t xml:space="preserve">投  标  文  件</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4"/>
        <w:jc w:val="center"/>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54"/>
        <w:jc w:val="center"/>
        <w:spacing w:beforeAutospacing="0" w:afterAutospacing="0" w:line="0" w:lineRule="atLeast"/>
      </w:pPr>
      <w:r>
        <w:t xml:space="preserve"> </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二、上一年度的财务状况报表（至少提供资产负债表、利润表、现金流量表，</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投标人成立不满一年无需提供）</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5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企业声明函</w:t>
      </w:r>
      <w:r/>
    </w:p>
    <w:p>
      <w:pPr>
        <w:pStyle w:val="85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54"/>
        <w:ind w:firstLine="480"/>
        <w:jc w:val="both"/>
        <w:spacing w:beforeAutospacing="0" w:afterAutospacing="0" w:line="0" w:lineRule="atLeast"/>
        <w:rPr>
          <w:rFonts w:hint="eastAsia" w:ascii="宋体" w:hAnsi="宋体" w:eastAsia="宋体" w:cs="宋体"/>
          <w:i/>
          <w:color w:val="000000"/>
          <w:u w:val="single"/>
          <w:lang w:val="en-US" w:eastAsia="zh-CN"/>
        </w:rPr>
      </w:pPr>
      <w:r>
        <w:rPr>
          <w:rFonts w:hint="eastAsia" w:ascii="宋体" w:hAnsi="宋体" w:eastAsia="宋体" w:cs="宋体"/>
          <w:i/>
          <w:color w:val="000000"/>
          <w:u w:val="single"/>
        </w:rPr>
        <w:t xml:space="preserve">十一、</w:t>
      </w:r>
      <w:r>
        <w:rPr>
          <w:rFonts w:hint="eastAsia" w:ascii="宋体" w:hAnsi="宋体" w:eastAsia="宋体" w:cs="宋体"/>
          <w:i/>
          <w:color w:val="000000"/>
          <w:u w:val="single"/>
          <w:lang w:val="en-US" w:eastAsia="zh-CN"/>
        </w:rPr>
        <w:t xml:space="preserve">联合体协议书（如有）</w:t>
      </w:r>
      <w:r/>
    </w:p>
    <w:p>
      <w:pPr>
        <w:pStyle w:val="85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lang w:val="en-US" w:eastAsia="zh-CN"/>
        </w:rPr>
        <w:t xml:space="preserve">十二、</w:t>
      </w:r>
      <w:r>
        <w:rPr>
          <w:rFonts w:hint="eastAsia" w:ascii="宋体" w:hAnsi="宋体" w:eastAsia="宋体" w:cs="宋体"/>
          <w:i/>
          <w:color w:val="000000"/>
          <w:u w:val="single"/>
        </w:rPr>
        <w:t xml:space="preserve">资格性审查响应对照表</w:t>
      </w:r>
      <w:r/>
    </w:p>
    <w:p>
      <w:pPr>
        <w:pStyle w:val="85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十二、符合性检查响应对照表</w:t>
      </w:r>
      <w:r/>
    </w:p>
    <w:p>
      <w:pPr>
        <w:pStyle w:val="854"/>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十三、开标一览表</w:t>
      </w:r>
      <w:r/>
    </w:p>
    <w:p>
      <w:pPr>
        <w:pStyle w:val="85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十四、项目服务方案等</w:t>
      </w:r>
      <w:r/>
    </w:p>
    <w:p>
      <w:pPr>
        <w:pStyle w:val="85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十五、拟派项目负责人资格证明材料</w:t>
      </w:r>
      <w:r/>
    </w:p>
    <w:p>
      <w:pPr>
        <w:pStyle w:val="85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十六、拟派项目组成员资格证明材料</w:t>
      </w:r>
      <w:r/>
    </w:p>
    <w:p>
      <w:pPr>
        <w:pStyle w:val="85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十七、投标人类似业绩项目一览表</w:t>
      </w:r>
      <w:r/>
    </w:p>
    <w:p>
      <w:pPr>
        <w:pStyle w:val="854"/>
        <w:ind w:firstLine="480"/>
        <w:jc w:val="both"/>
        <w:spacing w:beforeAutospacing="0" w:afterAutospacing="0" w:line="0" w:lineRule="atLeast"/>
        <w:rPr>
          <w:rFonts w:hint="default" w:ascii="宋体" w:hAnsi="宋体" w:eastAsia="宋体" w:cs="宋体"/>
          <w:i/>
          <w:color w:val="000000"/>
          <w:u w:val="single"/>
          <w:lang w:val="en-US" w:eastAsia="zh-CN"/>
        </w:rPr>
      </w:pPr>
      <w:r>
        <w:rPr>
          <w:rFonts w:hint="eastAsia" w:ascii="宋体" w:hAnsi="宋体" w:eastAsia="宋体" w:cs="宋体"/>
          <w:i/>
          <w:color w:val="000000"/>
          <w:u w:val="single"/>
        </w:rPr>
        <w:t xml:space="preserve">十八、</w:t>
      </w:r>
      <w:r>
        <w:rPr>
          <w:rFonts w:hint="eastAsia" w:ascii="宋体" w:hAnsi="宋体" w:eastAsia="宋体" w:cs="宋体"/>
          <w:i/>
          <w:color w:val="000000"/>
          <w:u w:val="single"/>
          <w:lang w:val="en-US" w:eastAsia="zh-CN"/>
        </w:rPr>
        <w:t xml:space="preserve">联合体协议书（如有）</w:t>
      </w:r>
      <w:r/>
    </w:p>
    <w:p>
      <w:pPr>
        <w:pStyle w:val="854"/>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lang w:val="en-US" w:eastAsia="zh-CN"/>
        </w:rPr>
        <w:t xml:space="preserve">十九</w:t>
      </w:r>
      <w:r>
        <w:rPr>
          <w:rFonts w:hint="eastAsia" w:ascii="宋体" w:hAnsi="宋体" w:eastAsia="宋体" w:cs="宋体"/>
          <w:i/>
          <w:color w:val="000000"/>
          <w:u w:val="single"/>
        </w:rPr>
        <w:t xml:space="preserve">盐城市政府采购事前信用承诺书</w:t>
      </w:r>
      <w:r/>
    </w:p>
    <w:p>
      <w:pPr>
        <w:pStyle w:val="85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4"/>
        <w:ind w:firstLine="480"/>
        <w:jc w:val="both"/>
        <w:spacing w:beforeAutospacing="0" w:afterAutospacing="0" w:line="0" w:lineRule="atLeast"/>
      </w:pPr>
      <w:r>
        <w:t xml:space="preserve"> </w:t>
      </w:r>
      <w:r/>
    </w:p>
    <w:p>
      <w:pPr>
        <w:pStyle w:val="854"/>
        <w:ind w:firstLine="480"/>
        <w:jc w:val="both"/>
        <w:spacing w:beforeAutospacing="0" w:afterAutospacing="0" w:line="0" w:lineRule="atLeast"/>
      </w:pPr>
      <w:r>
        <w:t xml:space="preserve"> </w:t>
      </w:r>
      <w:r/>
    </w:p>
    <w:p>
      <w:pPr>
        <w:pStyle w:val="854"/>
        <w:ind w:firstLine="480"/>
        <w:jc w:val="both"/>
        <w:spacing w:beforeAutospacing="0" w:afterAutospacing="0" w:line="0" w:lineRule="atLeast"/>
      </w:pPr>
      <w:r>
        <w:t xml:space="preserve"> </w:t>
      </w:r>
      <w:r/>
    </w:p>
    <w:p>
      <w:pPr>
        <w:pStyle w:val="854"/>
        <w:ind w:firstLine="480"/>
        <w:jc w:val="both"/>
        <w:spacing w:beforeAutospacing="0" w:afterAutospacing="0" w:line="0" w:lineRule="atLeast"/>
      </w:pPr>
      <w:r>
        <w:t xml:space="preserve"> </w:t>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r/>
    </w:p>
    <w:p>
      <w:pPr>
        <w:pStyle w:val="85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4"/>
        <w:ind w:firstLine="480"/>
        <w:jc w:val="both"/>
        <w:spacing w:beforeAutospacing="0" w:afterAutospacing="0" w:line="0" w:lineRule="atLeast"/>
      </w:pPr>
      <w:r>
        <w:t xml:space="preserve"> </w:t>
      </w:r>
      <w:r/>
    </w:p>
    <w:p>
      <w:pPr>
        <w:pStyle w:val="854"/>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pStyle w:val="854"/>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4"/>
        <w:ind w:firstLine="480"/>
        <w:jc w:val="both"/>
        <w:spacing w:beforeAutospacing="0" w:afterAutospacing="0"/>
      </w:pPr>
      <w:r/>
      <w:bookmarkStart w:id="203"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03"/>
      <w:r/>
      <w:r/>
    </w:p>
    <w:p>
      <w:pPr>
        <w:pStyle w:val="85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4"/>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5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4"/>
        <w:jc w:val="both"/>
        <w:spacing w:beforeAutospacing="0" w:afterAutospacing="0"/>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5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54"/>
        <w:jc w:val="both"/>
        <w:spacing w:beforeAutospacing="0" w:afterAutospacing="0" w:line="0" w:lineRule="atLeast"/>
      </w:pPr>
      <w:r>
        <w:t xml:space="preserve"> </w:t>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4"/>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54"/>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54"/>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54"/>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54"/>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5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54"/>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54"/>
        <w:ind w:firstLine="480"/>
        <w:jc w:val="both"/>
        <w:spacing w:beforeAutospacing="0" w:afterAutospacing="0"/>
        <w:tabs>
          <w:tab w:val="left" w:pos="360" w:leader="none"/>
        </w:tabs>
      </w:pPr>
      <w:r>
        <w:rPr>
          <w:rFonts w:ascii="Times New Roman" w:hAnsi="Times New Roman"/>
          <w:color w:val="000000"/>
        </w:rPr>
        <w:t xml:space="preserve">      日期：</w:t>
      </w:r>
      <w:bookmarkStart w:id="204" w:name="_格式3__银行出具的资信证明"/>
      <w:r/>
      <w:bookmarkStart w:id="205" w:name="_Hlt26955070"/>
      <w:r/>
      <w:bookmarkStart w:id="206" w:name="_Hlt26671380"/>
      <w:r>
        <w:rPr>
          <w:rFonts w:ascii="Times New Roman" w:hAnsi="Times New Roman"/>
          <w:color w:val="000000"/>
          <w:u w:val="single"/>
        </w:rPr>
        <w:t xml:space="preserve">                                         </w:t>
      </w:r>
      <w:r/>
    </w:p>
    <w:p>
      <w:pPr>
        <w:pStyle w:val="854"/>
        <w:ind w:firstLine="420"/>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line="0" w:lineRule="atLeast"/>
      </w:pPr>
      <w:r>
        <w:t xml:space="preserve"> </w:t>
      </w:r>
      <w:r/>
    </w:p>
    <w:p>
      <w:pPr>
        <w:pStyle w:val="854"/>
        <w:jc w:val="both"/>
        <w:spacing w:beforeAutospacing="0" w:afterAutospacing="0" w:line="0" w:lineRule="atLeast"/>
      </w:pPr>
      <w:r>
        <w:t xml:space="preserve"> </w:t>
      </w:r>
      <w:r/>
    </w:p>
    <w:p>
      <w:pPr>
        <w:pStyle w:val="854"/>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54"/>
        <w:spacing w:beforeAutospacing="0" w:afterAutospacing="0" w:line="0" w:lineRule="atLeast"/>
      </w:pPr>
      <w:r>
        <w:rPr>
          <w:rFonts w:hint="eastAsia" w:ascii="宋体" w:hAnsi="宋体" w:eastAsia="宋体" w:cs="宋体"/>
          <w:color w:val="000000"/>
        </w:rPr>
        <w:t xml:space="preserve">致：盐城畅达招标代理有限公司</w:t>
      </w:r>
      <w:r/>
    </w:p>
    <w:p>
      <w:pPr>
        <w:pStyle w:val="854"/>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854"/>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54"/>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54"/>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54"/>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4"/>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4"/>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4"/>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4"/>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54"/>
        <w:ind w:left="420" w:firstLine="480"/>
        <w:spacing w:beforeAutospacing="0" w:afterAutospacing="0" w:line="0" w:lineRule="atLeast"/>
      </w:pPr>
      <w:r>
        <w:rPr>
          <w:rFonts w:hint="eastAsia" w:ascii="宋体" w:hAnsi="宋体" w:eastAsia="宋体" w:cs="宋体"/>
          <w:color w:val="000000"/>
        </w:rPr>
        <w:t xml:space="preserve">地          址：</w:t>
      </w:r>
      <w:r/>
    </w:p>
    <w:p>
      <w:pPr>
        <w:pStyle w:val="854"/>
        <w:ind w:left="420" w:firstLine="480"/>
        <w:spacing w:beforeAutospacing="0" w:afterAutospacing="0" w:line="0" w:lineRule="atLeast"/>
      </w:pPr>
      <w:r>
        <w:rPr>
          <w:rFonts w:hint="eastAsia" w:ascii="宋体" w:hAnsi="宋体" w:eastAsia="宋体" w:cs="宋体"/>
          <w:color w:val="000000"/>
        </w:rPr>
        <w:t xml:space="preserve">邮          编：</w:t>
      </w:r>
      <w:r/>
    </w:p>
    <w:p>
      <w:pPr>
        <w:pStyle w:val="854"/>
        <w:ind w:left="420" w:firstLine="480"/>
        <w:spacing w:beforeAutospacing="0" w:afterAutospacing="0" w:line="0" w:lineRule="atLeast"/>
      </w:pPr>
      <w:r>
        <w:rPr>
          <w:rFonts w:hint="eastAsia" w:ascii="宋体" w:hAnsi="宋体" w:eastAsia="宋体" w:cs="宋体"/>
          <w:color w:val="000000"/>
        </w:rPr>
        <w:t xml:space="preserve">电          话：</w:t>
      </w:r>
      <w:r/>
    </w:p>
    <w:p>
      <w:pPr>
        <w:pStyle w:val="854"/>
        <w:ind w:left="420" w:firstLine="480"/>
        <w:spacing w:beforeAutospacing="0" w:afterAutospacing="0" w:line="0" w:lineRule="atLeast"/>
      </w:pPr>
      <w:r>
        <w:rPr>
          <w:rFonts w:hint="eastAsia" w:ascii="宋体" w:hAnsi="宋体" w:eastAsia="宋体" w:cs="宋体"/>
          <w:color w:val="000000"/>
        </w:rPr>
        <w:t xml:space="preserve">传          真：</w:t>
      </w:r>
      <w:r/>
    </w:p>
    <w:p>
      <w:pPr>
        <w:pStyle w:val="854"/>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54"/>
        <w:ind w:left="420" w:firstLine="480"/>
        <w:spacing w:beforeAutospacing="0" w:afterAutospacing="0" w:line="0" w:lineRule="atLeast"/>
      </w:pPr>
      <w:r>
        <w:rPr>
          <w:rFonts w:hint="eastAsia" w:ascii="宋体" w:hAnsi="宋体" w:eastAsia="宋体" w:cs="宋体"/>
          <w:color w:val="000000"/>
        </w:rPr>
        <w:t xml:space="preserve">账          号： </w:t>
      </w:r>
      <w:r/>
    </w:p>
    <w:p>
      <w:pPr>
        <w:pStyle w:val="854"/>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中小</w:t>
      </w:r>
      <w:r>
        <w:rPr>
          <w:rFonts w:hint="eastAsia" w:ascii="黑体" w:hAnsi="宋体" w:eastAsia="黑体" w:cs="黑体"/>
          <w:b/>
          <w:color w:val="000000"/>
          <w:sz w:val="32"/>
          <w:szCs w:val="32"/>
        </w:rPr>
        <w:t xml:space="preserve">企业声明函（服务）（分包号：**）</w:t>
      </w:r>
      <w:r/>
    </w:p>
    <w:p>
      <w:pPr>
        <w:pStyle w:val="854"/>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本公司（联合体）郑重声明，根据《政府采购促进中小企业发展管理办法》(财库[2020]46号)的规定，本公司（联合体）参加盐城畅达招标代理有限公司组织的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4"/>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854"/>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中型企业、</w:t>
      </w:r>
      <w:r>
        <w:rPr>
          <w:rFonts w:hint="eastAsia" w:ascii="宋体" w:hAnsi="宋体" w:eastAsia="宋体" w:cs="宋体"/>
          <w:color w:val="000000"/>
          <w:u w:val="single"/>
        </w:rPr>
        <w:t xml:space="preserve">小型企业、微型企业）；</w:t>
      </w:r>
      <w:r/>
    </w:p>
    <w:p>
      <w:pPr>
        <w:pStyle w:val="854"/>
        <w:ind w:firstLine="360"/>
        <w:jc w:val="both"/>
        <w:spacing w:beforeAutospacing="0" w:afterAutospacing="0" w:line="0" w:lineRule="atLeast"/>
      </w:pPr>
      <w:r>
        <w:rPr>
          <w:rFonts w:hint="eastAsia" w:ascii="宋体" w:hAnsi="宋体" w:eastAsia="宋体" w:cs="宋体"/>
          <w:color w:val="000000"/>
        </w:rPr>
        <w:t xml:space="preserve">……</w:t>
      </w:r>
      <w:r/>
    </w:p>
    <w:p>
      <w:pPr>
        <w:pStyle w:val="854"/>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4"/>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54"/>
        <w:ind w:right="720"/>
        <w:jc w:val="both"/>
        <w:spacing w:beforeAutospacing="0" w:afterAutospacing="0" w:line="0" w:lineRule="atLeast"/>
      </w:pPr>
      <w:r>
        <w:t xml:space="preserve"> </w:t>
      </w:r>
      <w:r/>
    </w:p>
    <w:p>
      <w:pPr>
        <w:pStyle w:val="854"/>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54"/>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54"/>
        <w:ind w:firstLine="240"/>
        <w:jc w:val="both"/>
        <w:spacing w:beforeAutospacing="0" w:afterAutospacing="0" w:line="0" w:lineRule="atLeast"/>
      </w:pPr>
      <w:r>
        <w:t xml:space="preserve"> </w:t>
      </w:r>
      <w:r/>
    </w:p>
    <w:p>
      <w:pPr>
        <w:pStyle w:val="854"/>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4"/>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54"/>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854"/>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54"/>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54"/>
        <w:ind w:firstLine="480"/>
        <w:jc w:val="both"/>
        <w:spacing w:beforeAutospacing="0" w:afterAutospacing="0" w:line="0" w:lineRule="atLeast"/>
      </w:pPr>
      <w:r>
        <w:t xml:space="preserve"> </w:t>
      </w:r>
      <w:r/>
    </w:p>
    <w:p>
      <w:pPr>
        <w:pStyle w:val="854"/>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54"/>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54"/>
        <w:ind w:firstLine="624"/>
        <w:jc w:val="both"/>
        <w:spacing w:beforeAutospacing="0" w:afterAutospacing="0" w:line="0" w:lineRule="atLeast"/>
      </w:pPr>
      <w:r>
        <w:t xml:space="preserve"> </w:t>
      </w:r>
      <w:r/>
    </w:p>
    <w:p>
      <w:pPr>
        <w:pStyle w:val="854"/>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pPr>
      <w:r/>
      <w:bookmarkStart w:id="207" w:name="_Hlt26671374"/>
      <w:r/>
      <w:bookmarkStart w:id="208" w:name="_Hlt26955054"/>
      <w:r/>
      <w:bookmarkStart w:id="209" w:name="_格式2__法定代表人授权书"/>
      <w:r/>
      <w:bookmarkStart w:id="210" w:name="_Hlt26955066"/>
      <w:r/>
      <w:bookmarkStart w:id="211" w:name="_Toc462564146"/>
      <w:r/>
      <w:bookmarkStart w:id="212" w:name="_Hlt26609389"/>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、联合体协议（参考格式）（分包号：**）</w:t>
      </w:r>
      <w:r/>
    </w:p>
    <w:p>
      <w:pPr>
        <w:pStyle w:val="854"/>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54"/>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54"/>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54"/>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4"/>
        <w:ind w:firstLine="645"/>
        <w:jc w:val="both"/>
        <w:spacing w:beforeAutospacing="0" w:afterAutospacing="0" w:line="0" w:lineRule="atLeast"/>
      </w:pPr>
      <w:r>
        <w:t xml:space="preserve"> </w:t>
      </w:r>
      <w:r/>
    </w:p>
    <w:p>
      <w:pPr>
        <w:pStyle w:val="854"/>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54"/>
        <w:ind w:firstLine="645"/>
        <w:jc w:val="both"/>
        <w:spacing w:beforeAutospacing="0" w:afterAutospacing="0" w:line="0" w:lineRule="atLeast"/>
      </w:pPr>
      <w:r>
        <w:rPr>
          <w:rFonts w:hint="eastAsia" w:ascii="宋体" w:hAnsi="宋体" w:eastAsia="宋体" w:cs="宋体"/>
          <w:color w:val="000000"/>
        </w:rPr>
        <w:t xml:space="preserve">                               </w:t>
      </w:r>
      <w:r/>
    </w:p>
    <w:p>
      <w:pPr>
        <w:pStyle w:val="854"/>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日期：</w:t>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854"/>
        <w:ind w:firstLine="64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、资格性审查响应对照表</w:t>
      </w:r>
      <w:r/>
    </w:p>
    <w:tbl>
      <w:tblPr>
        <w:tblStyle w:val="844"/>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071"/>
        <w:gridCol w:w="1660"/>
        <w:gridCol w:w="1181"/>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071"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6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181"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1</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提供营业执照</w:t>
            </w:r>
            <w:r>
              <w:rPr>
                <w:rFonts w:hint="eastAsia" w:hAnsi="宋体" w:cs="宋体"/>
                <w:iCs/>
                <w:sz w:val="24"/>
              </w:rPr>
              <w:t xml:space="preserve">（如是联合体，均须提供）</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2</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年度财务状况报告或本年度近期月度财务报表</w:t>
            </w:r>
            <w:r>
              <w:rPr>
                <w:rFonts w:hint="eastAsia" w:hAnsi="宋体" w:cs="宋体"/>
                <w:iCs/>
                <w:sz w:val="24"/>
              </w:rPr>
              <w:t xml:space="preserve">（如是联合体，均须提供）</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3</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依法缴纳税收和社会保障资金的相关材料</w:t>
            </w:r>
            <w:r>
              <w:rPr>
                <w:rFonts w:hint="eastAsia" w:hAnsi="宋体" w:cs="宋体"/>
                <w:iCs/>
                <w:sz w:val="24"/>
              </w:rPr>
              <w:t xml:space="preserve">（如是联合体，均须提供）</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722"/>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4</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具备履行合同所必</w:t>
            </w:r>
            <w:r>
              <w:rPr>
                <w:rFonts w:hint="eastAsia" w:hAnsi="宋体"/>
                <w:iCs/>
                <w:szCs w:val="21"/>
                <w:lang w:val="en-US" w:eastAsia="zh-CN"/>
              </w:rPr>
              <w:t xml:space="preserve">须</w:t>
            </w:r>
            <w:r>
              <w:rPr>
                <w:rFonts w:hint="eastAsia" w:hAnsi="宋体"/>
                <w:iCs/>
                <w:szCs w:val="21"/>
              </w:rPr>
              <w:t xml:space="preserve">的设备和专业技术能力的书面声明；</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5</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参加政府采购活动前3年内在经营活动中没有重大违法记录的书面声明。</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6</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投标人必须为未被列入“信用中国”网站(www.creditchina.gov.cn)、中国政府采购网(www.ccgp.gov.cn)、信用江苏（www.jscredit.gov.cn）、渠道信用记录失信被执行人、重大税收违法案件当事人名单、政府采购严重违法失信行为记录名单。 </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7</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资质证书（如是联合体，牵头公司须</w:t>
            </w:r>
            <w:r>
              <w:rPr>
                <w:rFonts w:hint="eastAsia" w:hAnsi="宋体"/>
                <w:iCs/>
                <w:szCs w:val="21"/>
                <w:lang w:val="en-US" w:eastAsia="zh-CN"/>
              </w:rPr>
              <w:t xml:space="preserve">提供</w:t>
            </w:r>
            <w:r>
              <w:rPr>
                <w:rFonts w:hint="eastAsia" w:hAnsi="宋体"/>
                <w:iCs/>
                <w:szCs w:val="21"/>
              </w:rPr>
              <w:t xml:space="preserve">林业调查规划设计乙级及以上资质）</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40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8</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联合体协议书（如有）</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508"/>
        </w:trPr>
        <w:tc>
          <w:tcPr>
            <w:tcW w:w="646" w:type="dxa"/>
            <w:vAlign w:val="center"/>
            <w:textDirection w:val="lrTb"/>
            <w:noWrap w:val="false"/>
          </w:tcPr>
          <w:p>
            <w:pPr>
              <w:spacing w:line="480" w:lineRule="exact"/>
              <w:rPr>
                <w:rFonts w:hint="eastAsia" w:hAnsi="宋体" w:eastAsiaTheme="minorEastAsia"/>
                <w:iCs/>
                <w:szCs w:val="21"/>
                <w:lang w:val="en-US" w:eastAsia="zh-CN"/>
              </w:rPr>
            </w:pPr>
            <w:r>
              <w:rPr>
                <w:rFonts w:hint="eastAsia" w:hAnsi="宋体"/>
                <w:iCs/>
                <w:szCs w:val="21"/>
                <w:lang w:val="en-US" w:eastAsia="zh-CN"/>
              </w:rPr>
              <w:t xml:space="preserve">9</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lang w:val="en-US" w:eastAsia="zh-CN"/>
              </w:rPr>
              <w:t xml:space="preserve">中小企业声明函</w:t>
            </w:r>
            <w:r>
              <w:rPr>
                <w:rFonts w:hint="eastAsia" w:hAnsi="宋体"/>
                <w:iCs/>
                <w:szCs w:val="21"/>
              </w:rPr>
              <w:t xml:space="preserve">（如是联合体，均须提供）</w:t>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548"/>
        </w:trPr>
        <w:tc>
          <w:tcPr>
            <w:tcW w:w="646" w:type="dxa"/>
            <w:vAlign w:val="center"/>
            <w:textDirection w:val="lrTb"/>
            <w:noWrap w:val="false"/>
          </w:tcPr>
          <w:p>
            <w:pPr>
              <w:spacing w:line="480" w:lineRule="exact"/>
              <w:rPr>
                <w:rFonts w:hAnsi="宋体"/>
                <w:iCs/>
                <w:szCs w:val="21"/>
              </w:rPr>
            </w:pPr>
            <w:r>
              <w:rPr>
                <w:rFonts w:hAnsi="宋体"/>
                <w:iCs/>
                <w:szCs w:val="21"/>
              </w:rPr>
            </w:r>
            <w:r/>
          </w:p>
        </w:tc>
        <w:tc>
          <w:tcPr>
            <w:tcW w:w="6071" w:type="dxa"/>
            <w:vAlign w:val="center"/>
            <w:textDirection w:val="lrTb"/>
            <w:noWrap w:val="false"/>
          </w:tcPr>
          <w:p>
            <w:pPr>
              <w:rPr>
                <w:rFonts w:hAnsi="宋体"/>
                <w:iCs/>
                <w:szCs w:val="21"/>
              </w:rPr>
            </w:pPr>
            <w:r>
              <w:rPr>
                <w:rFonts w:hAnsi="宋体"/>
                <w:iCs/>
                <w:szCs w:val="21"/>
              </w:rPr>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588"/>
        </w:trPr>
        <w:tc>
          <w:tcPr>
            <w:tcW w:w="646" w:type="dxa"/>
            <w:vAlign w:val="center"/>
            <w:textDirection w:val="lrTb"/>
            <w:noWrap w:val="false"/>
          </w:tcPr>
          <w:p>
            <w:pPr>
              <w:spacing w:line="480" w:lineRule="exact"/>
              <w:rPr>
                <w:rFonts w:hAnsi="宋体"/>
                <w:iCs/>
                <w:szCs w:val="21"/>
              </w:rPr>
            </w:pPr>
            <w:r>
              <w:rPr>
                <w:rFonts w:hAnsi="宋体"/>
                <w:iCs/>
                <w:szCs w:val="21"/>
              </w:rPr>
            </w:r>
            <w:r/>
          </w:p>
        </w:tc>
        <w:tc>
          <w:tcPr>
            <w:tcW w:w="6071" w:type="dxa"/>
            <w:vAlign w:val="center"/>
            <w:textDirection w:val="lrTb"/>
            <w:noWrap w:val="false"/>
          </w:tcPr>
          <w:p>
            <w:pPr>
              <w:rPr>
                <w:rFonts w:hAnsi="宋体"/>
                <w:iCs/>
                <w:szCs w:val="21"/>
              </w:rPr>
            </w:pPr>
            <w:r>
              <w:rPr>
                <w:rFonts w:hAnsi="宋体"/>
                <w:iCs/>
                <w:szCs w:val="21"/>
              </w:rPr>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r>
        <w:trPr>
          <w:trHeight w:val="588"/>
        </w:trPr>
        <w:tc>
          <w:tcPr>
            <w:tcW w:w="646" w:type="dxa"/>
            <w:vAlign w:val="center"/>
            <w:textDirection w:val="lrTb"/>
            <w:noWrap w:val="false"/>
          </w:tcPr>
          <w:p>
            <w:pPr>
              <w:spacing w:line="480" w:lineRule="exact"/>
              <w:rPr>
                <w:rFonts w:hAnsi="宋体"/>
                <w:iCs/>
                <w:szCs w:val="21"/>
              </w:rPr>
            </w:pPr>
            <w:r>
              <w:rPr>
                <w:rFonts w:hAnsi="宋体"/>
                <w:iCs/>
                <w:szCs w:val="21"/>
              </w:rPr>
            </w:r>
            <w:r/>
          </w:p>
        </w:tc>
        <w:tc>
          <w:tcPr>
            <w:tcW w:w="6071" w:type="dxa"/>
            <w:vAlign w:val="center"/>
            <w:textDirection w:val="lrTb"/>
            <w:noWrap w:val="false"/>
          </w:tcPr>
          <w:p>
            <w:pPr>
              <w:spacing w:line="480" w:lineRule="exact"/>
              <w:rPr>
                <w:rFonts w:hAnsi="宋体"/>
                <w:iCs/>
                <w:szCs w:val="21"/>
              </w:rPr>
            </w:pPr>
            <w:r>
              <w:rPr>
                <w:rFonts w:hAnsi="宋体"/>
                <w:iCs/>
                <w:szCs w:val="21"/>
              </w:rPr>
            </w:r>
            <w:r/>
          </w:p>
        </w:tc>
        <w:tc>
          <w:tcPr>
            <w:tcW w:w="1660" w:type="dxa"/>
            <w:vAlign w:val="center"/>
            <w:textDirection w:val="lrTb"/>
            <w:noWrap w:val="false"/>
          </w:tcPr>
          <w:p>
            <w:pPr>
              <w:spacing w:line="480" w:lineRule="exact"/>
              <w:rPr>
                <w:rFonts w:hAnsi="宋体"/>
                <w:iCs/>
                <w:szCs w:val="21"/>
              </w:rPr>
            </w:pPr>
            <w:r>
              <w:rPr>
                <w:rFonts w:hAnsi="宋体"/>
                <w:iCs/>
                <w:szCs w:val="21"/>
              </w:rPr>
            </w:r>
            <w:r/>
          </w:p>
        </w:tc>
        <w:tc>
          <w:tcPr>
            <w:tcW w:w="1181" w:type="dxa"/>
            <w:vAlign w:val="center"/>
            <w:textDirection w:val="lrTb"/>
            <w:noWrap w:val="false"/>
          </w:tcPr>
          <w:p>
            <w:pPr>
              <w:spacing w:line="480" w:lineRule="exact"/>
              <w:rPr>
                <w:rFonts w:hAnsi="宋体"/>
                <w:iCs/>
                <w:szCs w:val="21"/>
              </w:rPr>
            </w:pPr>
            <w:r>
              <w:rPr>
                <w:rFonts w:hAnsi="宋体"/>
                <w:iCs/>
                <w:szCs w:val="21"/>
              </w:rPr>
            </w:r>
            <w:r/>
          </w:p>
        </w:tc>
      </w:tr>
    </w:tbl>
    <w:p>
      <w:pPr>
        <w:spacing w:line="480" w:lineRule="exact"/>
        <w:rPr>
          <w:rFonts w:hAnsi="宋体"/>
          <w:iCs/>
          <w:szCs w:val="21"/>
          <w:lang w:val="zh-CN"/>
        </w:rPr>
      </w:pPr>
      <w:r>
        <w:rPr>
          <w:rFonts w:hAnsi="宋体"/>
          <w:iCs/>
          <w:szCs w:val="21"/>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54"/>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5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pStyle w:val="849"/>
      </w:pPr>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、符合性检查响应对照表</w:t>
      </w:r>
      <w:r/>
    </w:p>
    <w:tbl>
      <w:tblPr>
        <w:tblStyle w:val="844"/>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3837" w:type="dxa"/>
            <w:vAlign w:val="center"/>
            <w:textDirection w:val="lrTb"/>
            <w:noWrap w:val="false"/>
          </w:tcPr>
          <w:p>
            <w:pPr>
              <w:rPr>
                <w:rFonts w:hAnsi="宋体"/>
                <w:iCs/>
                <w:sz w:val="24"/>
                <w:szCs w:val="22"/>
              </w:rPr>
            </w:pPr>
            <w:r>
              <w:rPr>
                <w:rFonts w:hint="eastAsia" w:hAnsi="宋体"/>
                <w:iCs/>
                <w:sz w:val="24"/>
                <w:szCs w:val="22"/>
              </w:rPr>
              <w:t xml:space="preserve">项目服务内容响应</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3837" w:type="dxa"/>
            <w:vAlign w:val="center"/>
            <w:textDirection w:val="lrTb"/>
            <w:noWrap w:val="false"/>
          </w:tcPr>
          <w:p>
            <w:pPr>
              <w:rPr>
                <w:rFonts w:hAnsi="宋体"/>
                <w:iCs/>
                <w:sz w:val="24"/>
                <w:szCs w:val="22"/>
              </w:rPr>
            </w:pPr>
            <w:r>
              <w:rPr>
                <w:rFonts w:hint="eastAsia" w:hAnsi="宋体"/>
                <w:iCs/>
                <w:sz w:val="24"/>
                <w:szCs w:val="22"/>
              </w:rPr>
              <w:t xml:space="preserve">合同履行期限 </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3837" w:type="dxa"/>
            <w:vAlign w:val="center"/>
            <w:textDirection w:val="lrTb"/>
            <w:noWrap w:val="false"/>
          </w:tcPr>
          <w:p>
            <w:pPr>
              <w:rPr>
                <w:rFonts w:hAnsi="宋体"/>
                <w:iCs/>
                <w:sz w:val="24"/>
                <w:szCs w:val="22"/>
              </w:rPr>
            </w:pPr>
            <w:r>
              <w:rPr>
                <w:rFonts w:hint="eastAsia" w:hAnsi="宋体"/>
                <w:iCs/>
                <w:sz w:val="24"/>
              </w:rPr>
              <w:t xml:space="preserve">其他实质性响应内容（详见附件1）</w:t>
            </w:r>
            <w:r/>
          </w:p>
        </w:tc>
        <w:tc>
          <w:tcPr>
            <w:tcW w:w="3290" w:type="dxa"/>
            <w:vAlign w:val="center"/>
            <w:textDirection w:val="lrTb"/>
            <w:noWrap w:val="false"/>
          </w:tcPr>
          <w:p>
            <w:pPr>
              <w:rPr>
                <w:rFonts w:hAnsi="宋体"/>
                <w:iCs/>
                <w:sz w:val="24"/>
                <w:szCs w:val="22"/>
              </w:rPr>
            </w:pPr>
            <w:r>
              <w:rPr>
                <w:rFonts w:hAnsi="宋体"/>
                <w:iCs/>
                <w:sz w:val="24"/>
                <w:szCs w:val="22"/>
              </w:rPr>
            </w:r>
            <w:r/>
          </w:p>
        </w:tc>
        <w:tc>
          <w:tcPr>
            <w:tcW w:w="1785"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54"/>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5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ind w:left="420"/>
        <w:jc w:val="center"/>
        <w:rPr>
          <w:rFonts w:ascii="宋体" w:hAnsi="宋体"/>
          <w:b/>
          <w:sz w:val="32"/>
          <w:szCs w:val="32"/>
        </w:rPr>
        <w:outlineLvl w:val="1"/>
      </w:pPr>
      <w:r>
        <w:rPr>
          <w:rFonts w:ascii="宋体" w:hAnsi="宋体"/>
          <w:b/>
          <w:sz w:val="32"/>
          <w:szCs w:val="32"/>
        </w:rPr>
      </w:r>
      <w:r/>
    </w:p>
    <w:p>
      <w:pPr>
        <w:pStyle w:val="868"/>
        <w:rPr>
          <w:rFonts w:ascii="宋体" w:hAnsi="宋体"/>
          <w:b/>
          <w:sz w:val="32"/>
          <w:szCs w:val="32"/>
        </w:rPr>
      </w:pPr>
      <w:r>
        <w:rPr>
          <w:rFonts w:ascii="宋体" w:hAnsi="宋体"/>
          <w:b/>
          <w:sz w:val="32"/>
          <w:szCs w:val="32"/>
        </w:rPr>
      </w:r>
      <w:r/>
    </w:p>
    <w:p>
      <w:pPr>
        <w:pStyle w:val="868"/>
        <w:rPr>
          <w:rFonts w:ascii="宋体" w:hAnsi="宋体"/>
          <w:b/>
          <w:sz w:val="32"/>
          <w:szCs w:val="32"/>
        </w:rPr>
      </w:pPr>
      <w:r>
        <w:rPr>
          <w:rFonts w:ascii="宋体" w:hAnsi="宋体"/>
          <w:b/>
          <w:sz w:val="32"/>
          <w:szCs w:val="32"/>
        </w:rPr>
      </w:r>
      <w:r/>
    </w:p>
    <w:p>
      <w:pPr>
        <w:pStyle w:val="868"/>
        <w:rPr>
          <w:rFonts w:ascii="宋体" w:hAnsi="宋体"/>
          <w:b/>
          <w:sz w:val="32"/>
          <w:szCs w:val="32"/>
        </w:rPr>
      </w:pPr>
      <w:r>
        <w:rPr>
          <w:rFonts w:ascii="宋体" w:hAnsi="宋体"/>
          <w:b/>
          <w:sz w:val="32"/>
          <w:szCs w:val="32"/>
        </w:rPr>
      </w:r>
      <w:r/>
    </w:p>
    <w:p>
      <w:pPr>
        <w:pStyle w:val="868"/>
        <w:rPr>
          <w:rFonts w:ascii="宋体" w:hAnsi="宋体"/>
          <w:b/>
          <w:sz w:val="32"/>
          <w:szCs w:val="32"/>
        </w:rPr>
      </w:pPr>
      <w:r>
        <w:rPr>
          <w:rFonts w:ascii="宋体" w:hAnsi="宋体"/>
          <w:b/>
          <w:sz w:val="32"/>
          <w:szCs w:val="32"/>
        </w:rPr>
      </w:r>
      <w:r/>
    </w:p>
    <w:p>
      <w:pPr>
        <w:pStyle w:val="841"/>
        <w:jc w:val="left"/>
        <w:spacing w:line="360" w:lineRule="auto"/>
        <w:rPr>
          <w:rFonts w:hAnsi="宋体" w:eastAsia="宋体"/>
          <w:b/>
          <w:bCs/>
          <w:sz w:val="32"/>
          <w:szCs w:val="32"/>
        </w:rPr>
      </w:pPr>
      <w:r>
        <w:rPr>
          <w:rFonts w:hint="eastAsia" w:hAnsi="宋体" w:eastAsia="宋体"/>
          <w:b/>
          <w:bCs/>
          <w:sz w:val="32"/>
          <w:szCs w:val="32"/>
        </w:rPr>
        <w:t xml:space="preserve">附件1、            实质性响应内容</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lang w:val="en-US" w:eastAsia="zh-CN"/>
        </w:rPr>
      </w:pPr>
      <w:r>
        <w:rPr>
          <w:rFonts w:hint="eastAsia" w:asciiTheme="minorEastAsia" w:hAnsiTheme="minorEastAsia" w:eastAsiaTheme="minorEastAsia" w:cstheme="minorEastAsia"/>
          <w:b/>
          <w:bCs/>
          <w:color w:val="333333"/>
          <w:sz w:val="24"/>
          <w:szCs w:val="24"/>
          <w:shd w:val="clear" w:color="auto" w:fill="ffffff"/>
          <w:lang w:val="en-US" w:eastAsia="zh-CN"/>
        </w:rPr>
        <w:t xml:space="preserve">一、项目概况</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1、采购内容包括：为履行世界遗产公约，响应国家相关要求，拟对盐城市世界自然遗产地缓冲区内约15.6万亩区域（包括射阳县约6.9万亩、大丰区约7.2万亩、东台市约1.5万亩）编制生态修复实施方案，提出切实可行的修复措施；并对海北和上海农场部分区域修复模式提出相关建议。（详细内容见本招标文件第四章，项目范围见附图）</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2、工作内容</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2.1地形测绘：通过遥感影像，结合现场考察，精确测绘鱼塘地形，并制作1:5000的CAD地形图。测绘面积：15.6万亩。</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2.2实施方案：编制实施方案(达可行性研究报告深度)。</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eastAsiaTheme="minorEastAsia" w:cstheme="minorEastAsia"/>
          <w:color w:val="333333"/>
          <w:sz w:val="24"/>
          <w:szCs w:val="24"/>
          <w:shd w:val="clear" w:color="auto" w:fill="ffffff"/>
          <w:lang w:val="en-US" w:eastAsia="zh-CN"/>
        </w:rPr>
        <w:t xml:space="preserve">3、成果提交及验收方式：实施方案需通过相关部门组织的专家评审。</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highlight w:val="yellow"/>
          <w:shd w:val="clear" w:color="auto" w:fill="ffffff"/>
          <w:lang w:val="en-US" w:eastAsia="zh-CN"/>
        </w:rPr>
      </w:pPr>
      <w:r>
        <w:rPr>
          <w:rFonts w:hint="eastAsia" w:asciiTheme="minorEastAsia" w:hAnsiTheme="minorEastAsia" w:eastAsiaTheme="minorEastAsia" w:cstheme="minorEastAsia"/>
          <w:color w:val="333333"/>
          <w:sz w:val="24"/>
          <w:szCs w:val="24"/>
          <w:highlight w:val="yellow"/>
          <w:shd w:val="clear" w:color="auto" w:fill="ffffff"/>
          <w:lang w:val="en-US" w:eastAsia="zh-CN"/>
        </w:rPr>
        <w:t xml:space="preserve">4、投标人其他要求（此项为符合性审查内容，如未提供相关材料作无效投标人处理）：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highlight w:val="yellow"/>
          <w:shd w:val="clear" w:color="auto" w:fill="ffffff"/>
          <w:lang w:val="en-US" w:eastAsia="zh-CN"/>
        </w:rPr>
      </w:pPr>
      <w:r>
        <w:rPr>
          <w:rFonts w:hint="eastAsia" w:asciiTheme="minorEastAsia" w:hAnsiTheme="minorEastAsia" w:eastAsiaTheme="minorEastAsia" w:cstheme="minorEastAsia"/>
          <w:color w:val="333333"/>
          <w:sz w:val="24"/>
          <w:szCs w:val="24"/>
          <w:highlight w:val="yellow"/>
          <w:shd w:val="clear" w:color="auto" w:fill="ffffff"/>
          <w:lang w:val="en-US" w:eastAsia="zh-CN"/>
        </w:rPr>
        <w:t xml:space="preserve">4.1投标人（或联合体成员中）应具备海洋测绘乙级及上资质。须在投标文件中提供资质证书原件彩色扫描件并加盖投标人公章；</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highlight w:val="yellow"/>
          <w:shd w:val="clear" w:color="auto" w:fill="ffffff"/>
          <w:lang w:val="en-US" w:eastAsia="zh-CN"/>
        </w:rPr>
      </w:pPr>
      <w:r>
        <w:rPr>
          <w:rFonts w:hint="eastAsia" w:asciiTheme="minorEastAsia" w:hAnsiTheme="minorEastAsia" w:eastAsiaTheme="minorEastAsia" w:cstheme="minorEastAsia"/>
          <w:color w:val="333333"/>
          <w:sz w:val="24"/>
          <w:szCs w:val="24"/>
          <w:highlight w:val="yellow"/>
          <w:shd w:val="clear" w:color="auto" w:fill="ffffff"/>
          <w:lang w:val="en-US" w:eastAsia="zh-CN"/>
        </w:rPr>
        <w:t xml:space="preserve">4.2如投标人（或联合体成员中）不具备海洋测绘乙级及上资质，须承诺中标后，提供具备海洋测绘乙级及以上资质的测绘单位出具的测绘报告。须提供符合加盖投标人红色公章的承诺函，否则作为无效投标人处理。</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b/>
          <w:bCs/>
          <w:color w:val="333333"/>
          <w:sz w:val="24"/>
          <w:szCs w:val="24"/>
          <w:shd w:val="clear" w:color="auto" w:fill="ffffff"/>
          <w:lang w:val="en-US" w:eastAsia="zh-CN"/>
        </w:rPr>
        <w:t xml:space="preserve">二</w:t>
      </w:r>
      <w:r>
        <w:rPr>
          <w:rFonts w:hint="eastAsia" w:asciiTheme="minorEastAsia" w:hAnsiTheme="minorEastAsia" w:eastAsiaTheme="minorEastAsia" w:cstheme="minorEastAsia"/>
          <w:b/>
          <w:bCs/>
          <w:color w:val="333333"/>
          <w:sz w:val="24"/>
          <w:szCs w:val="24"/>
          <w:shd w:val="clear" w:color="auto" w:fill="ffffff"/>
        </w:rPr>
        <w:t xml:space="preserve">、合同履行期限及地点：</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合同履行期限：中标单位与采购方签订合同后后 10 个工作日内完成地形测绘，测绘成果出来后 20 个工作日内完成实施方案(达到可研深度)的编制。</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eastAsiaTheme="minorEastAsia" w:cstheme="minorEastAsia"/>
          <w:color w:val="333333"/>
          <w:sz w:val="24"/>
          <w:szCs w:val="24"/>
          <w:shd w:val="clear" w:color="auto" w:fill="ffffff"/>
        </w:rPr>
        <w:t xml:space="preserve">地点：采购方指定地点。</w:t>
      </w:r>
      <w:r/>
    </w:p>
    <w:p>
      <w:pPr>
        <w:pStyle w:val="854"/>
        <w:ind w:firstLine="480"/>
        <w:jc w:val="both"/>
        <w:spacing w:beforeAutospacing="0" w:afterAutospacing="0" w:line="360" w:lineRule="auto"/>
        <w:rPr>
          <w:rFonts w:hint="eastAsia" w:asciiTheme="minorEastAsia" w:hAnsiTheme="minorEastAsia" w:eastAsiaTheme="minorEastAsia" w:cstheme="minorEastAsia"/>
          <w:b/>
          <w:bCs/>
          <w:color w:val="333333"/>
          <w:sz w:val="24"/>
          <w:szCs w:val="24"/>
          <w:shd w:val="clear" w:color="auto" w:fill="ffffff"/>
        </w:rPr>
      </w:pPr>
      <w:r>
        <w:rPr>
          <w:rFonts w:hint="eastAsia" w:asciiTheme="minorEastAsia" w:hAnsiTheme="minorEastAsia" w:eastAsiaTheme="minorEastAsia" w:cstheme="minorEastAsia"/>
          <w:b/>
          <w:bCs/>
          <w:color w:val="333333"/>
          <w:sz w:val="24"/>
          <w:szCs w:val="24"/>
          <w:shd w:val="clear" w:color="auto" w:fill="ffffff"/>
        </w:rPr>
        <w:t xml:space="preserve">三、付款方式: </w:t>
      </w:r>
      <w:r/>
    </w:p>
    <w:p>
      <w:pPr>
        <w:pStyle w:val="854"/>
        <w:ind w:firstLine="480"/>
        <w:jc w:val="both"/>
        <w:spacing w:beforeAutospacing="0" w:afterAutospacing="0" w:line="360" w:lineRule="auto"/>
        <w:rPr>
          <w:rFonts w:hint="eastAsia" w:asciiTheme="minorEastAsia" w:hAnsiTheme="minorEastAsia" w:eastAsiaTheme="minorEastAsia" w:cstheme="minorEastAsia"/>
          <w:color w:val="333333"/>
          <w:sz w:val="24"/>
          <w:szCs w:val="24"/>
          <w:shd w:val="clear" w:color="auto" w:fill="ffffff"/>
        </w:rPr>
      </w:pPr>
      <w:r>
        <w:rPr>
          <w:rFonts w:hint="eastAsia" w:asciiTheme="minorEastAsia" w:hAnsiTheme="minorEastAsia" w:cstheme="minorEastAsia"/>
          <w:color w:val="333333"/>
          <w:sz w:val="24"/>
          <w:szCs w:val="24"/>
          <w:shd w:val="clear" w:color="auto" w:fill="ffffff"/>
          <w:lang w:val="en-US" w:eastAsia="zh-CN"/>
        </w:rPr>
        <w:t xml:space="preserve">1、</w:t>
      </w:r>
      <w:r>
        <w:rPr>
          <w:rFonts w:hint="eastAsia" w:asciiTheme="minorEastAsia" w:hAnsiTheme="minorEastAsia" w:eastAsiaTheme="minorEastAsia" w:cstheme="minorEastAsia"/>
          <w:color w:val="333333"/>
          <w:sz w:val="24"/>
          <w:szCs w:val="24"/>
          <w:shd w:val="clear" w:color="auto" w:fill="ffffff"/>
        </w:rPr>
        <w:t xml:space="preserve">本项目落实预付款制度，</w:t>
      </w:r>
      <w:r>
        <w:rPr>
          <w:rFonts w:hint="eastAsia" w:asciiTheme="minorEastAsia" w:hAnsiTheme="minorEastAsia" w:cstheme="minorEastAsia"/>
          <w:color w:val="333333"/>
          <w:sz w:val="24"/>
          <w:szCs w:val="24"/>
          <w:shd w:val="clear" w:color="auto" w:fill="ffffff"/>
          <w:lang w:eastAsia="zh-CN"/>
        </w:rPr>
        <w:t xml:space="preserve">预付款比例为60%</w:t>
      </w:r>
      <w:r>
        <w:rPr>
          <w:rFonts w:hint="eastAsia" w:asciiTheme="minorEastAsia" w:hAnsiTheme="minorEastAsia" w:eastAsiaTheme="minorEastAsia" w:cstheme="minorEastAsia"/>
          <w:color w:val="333333"/>
          <w:sz w:val="24"/>
          <w:szCs w:val="24"/>
          <w:shd w:val="clear" w:color="auto" w:fill="ffffff"/>
        </w:rPr>
        <w:t xml:space="preserve">，采购单位在收到发票后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54"/>
        <w:ind w:firstLine="480"/>
        <w:jc w:val="both"/>
        <w:spacing w:beforeAutospacing="0" w:afterAutospacing="0" w:line="360" w:lineRule="auto"/>
        <w:rPr>
          <w:rFonts w:hint="default" w:asciiTheme="minorEastAsia" w:hAnsiTheme="minorEastAsia" w:eastAsiaTheme="minorEastAsia" w:cstheme="minorEastAsia"/>
          <w:color w:val="333333"/>
          <w:sz w:val="24"/>
          <w:szCs w:val="24"/>
          <w:shd w:val="clear" w:color="auto" w:fill="ffffff"/>
          <w:lang w:val="en-US" w:eastAsia="zh-CN"/>
        </w:rPr>
      </w:pPr>
      <w:r>
        <w:rPr>
          <w:rFonts w:hint="eastAsia" w:asciiTheme="minorEastAsia" w:hAnsiTheme="minorEastAsia" w:cstheme="minorEastAsia"/>
          <w:color w:val="333333"/>
          <w:sz w:val="24"/>
          <w:szCs w:val="24"/>
          <w:shd w:val="clear" w:color="auto" w:fill="ffffff"/>
          <w:lang w:val="en-US" w:eastAsia="zh-CN"/>
        </w:rPr>
        <w:t xml:space="preserve">2、</w:t>
      </w:r>
      <w:r>
        <w:rPr>
          <w:rFonts w:hint="eastAsia" w:asciiTheme="minorEastAsia" w:hAnsiTheme="minorEastAsia" w:eastAsiaTheme="minorEastAsia" w:cstheme="minorEastAsia"/>
          <w:color w:val="333333"/>
          <w:sz w:val="24"/>
          <w:szCs w:val="24"/>
          <w:shd w:val="clear" w:color="auto" w:fill="ffffff"/>
        </w:rPr>
        <w:t xml:space="preserve">提交成果后待财政资金到位，采购人收到发票后10个工作日内一次性付清剩余合同款。</w:t>
      </w:r>
      <w:r/>
    </w:p>
    <w:p>
      <w:pPr>
        <w:pStyle w:val="854"/>
        <w:ind w:firstLine="480"/>
        <w:jc w:val="both"/>
        <w:spacing w:beforeAutospacing="0" w:afterAutospacing="0" w:line="460" w:lineRule="exact"/>
        <w:rPr>
          <w:rFonts w:ascii="宋体" w:hAnsi="宋体" w:eastAsia="宋体" w:cs="宋体"/>
          <w:color w:val="000000"/>
        </w:rPr>
      </w:pPr>
      <w:r>
        <w:rPr>
          <w:rFonts w:ascii="宋体" w:hAnsi="宋体" w:eastAsia="宋体" w:cs="宋体"/>
          <w:color w:val="000000"/>
        </w:rPr>
      </w:r>
      <w:r/>
    </w:p>
    <w:p>
      <w:pPr>
        <w:pStyle w:val="854"/>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我公司承诺响应上述项目需求内容。</w:t>
      </w:r>
      <w:r/>
    </w:p>
    <w:p>
      <w:pPr>
        <w:pStyle w:val="854"/>
        <w:ind w:firstLine="480"/>
        <w:jc w:val="both"/>
        <w:spacing w:beforeAutospacing="0" w:afterAutospacing="0" w:line="460" w:lineRule="exact"/>
        <w:rPr>
          <w:rFonts w:ascii="宋体" w:hAnsi="宋体" w:eastAsia="宋体" w:cs="宋体"/>
          <w:color w:val="000000"/>
        </w:rPr>
      </w:pPr>
      <w:r>
        <w:rPr>
          <w:rFonts w:ascii="宋体" w:hAnsi="宋体" w:eastAsia="宋体" w:cs="宋体"/>
          <w:color w:val="000000"/>
        </w:rPr>
      </w:r>
      <w:r/>
    </w:p>
    <w:p>
      <w:pPr>
        <w:pStyle w:val="869"/>
        <w:ind w:firstLine="42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850"/>
        <w:ind w:left="0" w:right="0" w:firstLine="4340"/>
        <w:spacing w:line="560" w:lineRule="exact"/>
        <w:rPr>
          <w:rFonts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jc w:val="center"/>
        <w:spacing w:before="50" w:after="50"/>
        <w:widowControl/>
        <w:rPr>
          <w:rFonts w:ascii="宋体" w:hAnsi="宋体" w:eastAsia="宋体" w:cs="宋体"/>
          <w:color w:val="000000"/>
          <w:sz w:val="32"/>
          <w:szCs w:val="32"/>
        </w:rPr>
      </w:pPr>
      <w:r>
        <w:rPr>
          <w:rFonts w:ascii="宋体" w:hAnsi="宋体" w:eastAsia="宋体" w:cs="宋体"/>
          <w:color w:val="000000"/>
          <w:sz w:val="32"/>
          <w:szCs w:val="32"/>
        </w:rPr>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54"/>
        <w:ind w:firstLine="480"/>
        <w:jc w:val="both"/>
        <w:spacing w:beforeAutospacing="0" w:afterAutospacing="0"/>
      </w:pPr>
      <w:r>
        <w:rPr>
          <w:rFonts w:hint="eastAsia" w:ascii="宋体" w:hAnsi="宋体" w:eastAsia="宋体" w:cs="宋体"/>
          <w:color w:val="000000"/>
        </w:rPr>
        <w:t xml:space="preserve">投标人全称（加盖CA电子签章）：</w:t>
      </w:r>
      <w:r/>
    </w:p>
    <w:p>
      <w:pPr>
        <w:pStyle w:val="854"/>
        <w:ind w:firstLine="480"/>
        <w:jc w:val="both"/>
        <w:spacing w:beforeAutospacing="0" w:afterAutospacing="0"/>
      </w:pPr>
      <w:r>
        <w:rPr>
          <w:rFonts w:hint="eastAsia" w:ascii="宋体" w:hAnsi="宋体" w:eastAsia="宋体" w:cs="宋体"/>
          <w:color w:val="000000"/>
        </w:rPr>
        <w:t xml:space="preserve">项目名称：</w:t>
      </w:r>
      <w:r/>
    </w:p>
    <w:p>
      <w:pPr>
        <w:pStyle w:val="854"/>
        <w:ind w:firstLine="480"/>
        <w:jc w:val="both"/>
        <w:spacing w:beforeAutospacing="0" w:afterAutospacing="0"/>
      </w:pPr>
      <w:r>
        <w:rPr>
          <w:rFonts w:hint="eastAsia" w:ascii="宋体" w:hAnsi="宋体" w:eastAsia="宋体" w:cs="宋体"/>
          <w:color w:val="000000"/>
        </w:rPr>
        <w:t xml:space="preserve">招标编号：                                   分包号：</w:t>
      </w:r>
      <w:r/>
    </w:p>
    <w:tbl>
      <w:tblPr>
        <w:tblStyle w:val="84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4"/>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4"/>
              <w:spacing w:beforeAutospacing="0" w:afterAutospacing="0" w:line="0" w:lineRule="atLeast"/>
            </w:pPr>
            <w:r>
              <w:rPr>
                <w:rFonts w:hint="eastAsia" w:ascii="宋体" w:hAnsi="宋体" w:eastAsia="宋体" w:cs="宋体"/>
                <w:color w:val="000000"/>
              </w:rPr>
              <w:t xml:space="preserve">小写：                             （人民币：元）</w:t>
            </w:r>
            <w:r/>
          </w:p>
        </w:tc>
      </w:tr>
    </w:tbl>
    <w:p>
      <w:pPr>
        <w:pStyle w:val="854"/>
        <w:jc w:val="both"/>
        <w:spacing w:beforeAutospacing="0" w:afterAutospacing="0"/>
      </w:pPr>
      <w:r>
        <w:t xml:space="preserve"> </w:t>
      </w:r>
      <w:r/>
    </w:p>
    <w:p>
      <w:pPr>
        <w:pStyle w:val="854"/>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4"/>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49"/>
      </w:pPr>
      <w:r/>
      <w:r/>
    </w:p>
    <w:p>
      <w:pPr>
        <w:pStyle w:val="857"/>
      </w:pPr>
      <w:r/>
      <w:r/>
    </w:p>
    <w:p>
      <w:pPr>
        <w:jc w:val="center"/>
        <w:spacing w:before="50" w:after="50"/>
        <w:widowControl/>
      </w:pPr>
      <w:r/>
      <w:r/>
    </w:p>
    <w:p>
      <w:pPr>
        <w:jc w:val="center"/>
        <w:spacing w:before="50" w:after="50"/>
        <w:widowControl/>
      </w:p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五</w:t>
      </w:r>
      <w:r>
        <w:rPr>
          <w:rFonts w:hint="eastAsia" w:ascii="黑体" w:hAnsi="宋体" w:eastAsia="黑体" w:cs="黑体"/>
          <w:b/>
          <w:iCs/>
          <w:color w:val="000000"/>
          <w:sz w:val="32"/>
          <w:szCs w:val="32"/>
        </w:rPr>
        <w:t xml:space="preserve">、项目服务方案等</w:t>
      </w:r>
      <w:r/>
    </w:p>
    <w:p>
      <w:pPr>
        <w:pStyle w:val="842"/>
        <w:jc w:val="center"/>
        <w:rPr>
          <w:rFonts w:hint="default" w:ascii="黑体" w:eastAsia="黑体" w:cs="黑体"/>
          <w:bCs w:val="0"/>
          <w:iCs/>
          <w:color w:val="000000"/>
          <w:sz w:val="32"/>
          <w:szCs w:val="32"/>
        </w:rPr>
      </w:pPr>
      <w:r>
        <w:rPr>
          <w:rFonts w:hint="eastAsia" w:ascii="黑体" w:eastAsia="黑体" w:cs="黑体"/>
          <w:bCs w:val="0"/>
          <w:iCs/>
          <w:color w:val="000000"/>
          <w:sz w:val="32"/>
          <w:szCs w:val="32"/>
          <w:lang w:val="en-US" w:eastAsia="zh-CN"/>
        </w:rPr>
        <w:t xml:space="preserve">十六</w:t>
      </w:r>
      <w:r>
        <w:rPr>
          <w:rFonts w:ascii="黑体" w:eastAsia="黑体" w:cs="黑体"/>
          <w:bCs w:val="0"/>
          <w:iCs/>
          <w:color w:val="000000"/>
          <w:sz w:val="32"/>
          <w:szCs w:val="32"/>
        </w:rPr>
        <w:t xml:space="preserve">、拟派项目负责人资格证明材料</w:t>
      </w:r>
      <w:bookmarkStart w:id="213" w:name="_GoBack"/>
      <w:r/>
      <w:bookmarkEnd w:id="213"/>
      <w:r/>
      <w:r/>
    </w:p>
    <w:tbl>
      <w:tblPr>
        <w:tblStyle w:val="844"/>
        <w:tblW w:w="8990" w:type="dxa"/>
        <w:tblInd w:w="11" w:type="dxa"/>
        <w:tblLayout w:type="fixed"/>
        <w:tblCellMar>
          <w:left w:w="0" w:type="dxa"/>
          <w:top w:w="0" w:type="dxa"/>
          <w:right w:w="0" w:type="dxa"/>
          <w:bottom w:w="0" w:type="dxa"/>
        </w:tblCellMar>
        <w:tblLook w:val="04A0" w:firstRow="1" w:lastRow="0" w:firstColumn="1" w:lastColumn="0" w:noHBand="0" w:noVBand="1"/>
      </w:tblPr>
      <w:tblGrid>
        <w:gridCol w:w="1454"/>
        <w:gridCol w:w="643"/>
        <w:gridCol w:w="1047"/>
        <w:gridCol w:w="729"/>
        <w:gridCol w:w="941"/>
        <w:gridCol w:w="1469"/>
        <w:gridCol w:w="211"/>
        <w:gridCol w:w="2496"/>
      </w:tblGrid>
      <w:tr>
        <w:trPr>
          <w:trHeight w:val="545" w:hRule="exact"/>
        </w:trPr>
        <w:tc>
          <w:tcPr>
            <w:tcBorders>
              <w:top w:val="single" w:color="auto" w:sz="8" w:space="0"/>
              <w:left w:val="single" w:color="auto" w:sz="8" w:space="0"/>
              <w:bottom w:val="single" w:color="auto" w:sz="8" w:space="0"/>
              <w:right w:val="single" w:color="auto" w:sz="8" w:space="0"/>
            </w:tcBorders>
            <w:tcW w:w="1454" w:type="dxa"/>
            <w:vAlign w:val="center"/>
            <w:textDirection w:val="lrTb"/>
            <w:noWrap w:val="false"/>
          </w:tcPr>
          <w:p>
            <w:pPr>
              <w:jc w:val="center"/>
              <w:rPr>
                <w:rFonts w:hAnsi="宋体" w:eastAsia="宋体" w:cs="宋体"/>
                <w:color w:val="000000"/>
                <w:szCs w:val="21"/>
              </w:rPr>
            </w:pPr>
            <w:r>
              <w:rPr>
                <w:rFonts w:hint="eastAsia" w:hAnsi="宋体" w:eastAsia="宋体" w:cs="宋体"/>
                <w:b/>
                <w:color w:val="000000"/>
                <w:szCs w:val="21"/>
              </w:rPr>
              <w:t xml:space="preserve"> </w:t>
            </w:r>
            <w:r>
              <w:rPr>
                <w:rFonts w:hint="eastAsia" w:hAnsi="宋体" w:eastAsia="宋体" w:cs="宋体"/>
                <w:color w:val="000000"/>
                <w:szCs w:val="21"/>
              </w:rPr>
              <w:t xml:space="preserve">姓  名</w:t>
            </w:r>
            <w:r/>
          </w:p>
        </w:tc>
        <w:tc>
          <w:tcPr>
            <w:gridSpan w:val="2"/>
            <w:tcBorders>
              <w:top w:val="single" w:color="auto" w:sz="8" w:space="0"/>
              <w:left w:val="single" w:color="auto" w:sz="8" w:space="0"/>
              <w:bottom w:val="single" w:color="auto" w:sz="8" w:space="0"/>
              <w:right w:val="single" w:color="auto" w:sz="8" w:space="0"/>
            </w:tcBorders>
            <w:tcW w:w="1690"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tcBorders>
              <w:top w:val="single" w:color="auto" w:sz="8" w:space="0"/>
              <w:left w:val="single" w:color="auto" w:sz="8" w:space="0"/>
              <w:bottom w:val="single" w:color="auto" w:sz="8" w:space="0"/>
              <w:right w:val="single" w:color="auto" w:sz="8" w:space="0"/>
            </w:tcBorders>
            <w:tcW w:w="729"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性别</w:t>
            </w:r>
            <w:r/>
          </w:p>
        </w:tc>
        <w:tc>
          <w:tcPr>
            <w:tcBorders>
              <w:top w:val="single" w:color="auto" w:sz="8" w:space="0"/>
              <w:left w:val="single" w:color="auto" w:sz="8" w:space="0"/>
              <w:bottom w:val="single" w:color="auto" w:sz="8" w:space="0"/>
              <w:right w:val="single" w:color="auto" w:sz="8" w:space="0"/>
            </w:tcBorders>
            <w:tcW w:w="941"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1680"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出生日期</w:t>
            </w:r>
            <w:r/>
          </w:p>
        </w:tc>
        <w:tc>
          <w:tcPr>
            <w:tcBorders>
              <w:top w:val="single" w:color="auto" w:sz="8" w:space="0"/>
              <w:left w:val="single" w:color="auto" w:sz="8" w:space="0"/>
              <w:bottom w:val="single" w:color="auto" w:sz="8" w:space="0"/>
              <w:right w:val="single" w:color="auto" w:sz="8" w:space="0"/>
            </w:tcBorders>
            <w:tcW w:w="2496"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  年  月  日</w:t>
            </w:r>
            <w:r/>
          </w:p>
        </w:tc>
      </w:tr>
      <w:tr>
        <w:trPr>
          <w:trHeight w:val="603" w:hRule="exact"/>
        </w:trPr>
        <w:tc>
          <w:tcPr>
            <w:tcBorders>
              <w:top w:val="single" w:color="auto" w:sz="8" w:space="0"/>
              <w:left w:val="single" w:color="auto" w:sz="8" w:space="0"/>
              <w:bottom w:val="single" w:color="auto" w:sz="8" w:space="0"/>
              <w:right w:val="single" w:color="auto" w:sz="8" w:space="0"/>
            </w:tcBorders>
            <w:tcW w:w="1454" w:type="dxa"/>
            <w:vAlign w:val="center"/>
            <w:textDirection w:val="lrTb"/>
            <w:noWrap w:val="false"/>
          </w:tcPr>
          <w:p>
            <w:pPr>
              <w:jc w:val="center"/>
              <w:rPr>
                <w:rFonts w:hAnsi="宋体" w:eastAsia="宋体" w:cs="宋体"/>
                <w:color w:val="000000"/>
                <w:sz w:val="24"/>
                <w:szCs w:val="20"/>
              </w:rPr>
            </w:pPr>
            <w:r>
              <w:rPr>
                <w:rFonts w:hint="eastAsia" w:hAnsi="宋体" w:eastAsia="宋体" w:cs="宋体"/>
                <w:color w:val="000000"/>
                <w:sz w:val="24"/>
                <w:szCs w:val="20"/>
              </w:rPr>
              <w:t xml:space="preserve">毕业院校及专业</w:t>
            </w:r>
            <w:r/>
          </w:p>
          <w:p>
            <w:pPr>
              <w:jc w:val="center"/>
              <w:rPr>
                <w:rFonts w:hAnsi="宋体" w:eastAsia="宋体" w:cs="宋体"/>
                <w:color w:val="000000"/>
                <w:szCs w:val="21"/>
              </w:rPr>
            </w:pPr>
            <w:r>
              <w:rPr>
                <w:rFonts w:hAnsi="宋体" w:eastAsia="宋体" w:cs="宋体"/>
                <w:color w:val="000000"/>
                <w:szCs w:val="21"/>
              </w:rPr>
            </w:r>
            <w:r/>
          </w:p>
        </w:tc>
        <w:tc>
          <w:tcPr>
            <w:gridSpan w:val="4"/>
            <w:tcBorders>
              <w:top w:val="single" w:color="auto" w:sz="8" w:space="0"/>
              <w:left w:val="single" w:color="auto" w:sz="8" w:space="0"/>
              <w:bottom w:val="single" w:color="auto" w:sz="8" w:space="0"/>
              <w:right w:val="single" w:color="auto" w:sz="8" w:space="0"/>
            </w:tcBorders>
            <w:tcW w:w="3360"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1680"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毕业时间</w:t>
            </w:r>
            <w:r/>
          </w:p>
        </w:tc>
        <w:tc>
          <w:tcPr>
            <w:tcBorders>
              <w:top w:val="single" w:color="auto" w:sz="8" w:space="0"/>
              <w:left w:val="single" w:color="auto" w:sz="8" w:space="0"/>
              <w:bottom w:val="single" w:color="auto" w:sz="8" w:space="0"/>
              <w:right w:val="single" w:color="auto" w:sz="8" w:space="0"/>
            </w:tcBorders>
            <w:tcW w:w="2496"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  年  月  日</w:t>
            </w:r>
            <w:r/>
          </w:p>
        </w:tc>
      </w:tr>
      <w:tr>
        <w:trPr>
          <w:trHeight w:val="662" w:hRule="exact"/>
        </w:trPr>
        <w:tc>
          <w:tcPr>
            <w:tcBorders>
              <w:top w:val="single" w:color="auto" w:sz="8" w:space="0"/>
              <w:left w:val="single" w:color="auto" w:sz="8" w:space="0"/>
              <w:bottom w:val="single" w:color="auto" w:sz="8" w:space="0"/>
              <w:right w:val="single" w:color="auto" w:sz="8" w:space="0"/>
            </w:tcBorders>
            <w:tcW w:w="1454" w:type="dxa"/>
            <w:vAlign w:val="center"/>
            <w:textDirection w:val="lrTb"/>
            <w:noWrap w:val="false"/>
          </w:tcPr>
          <w:p>
            <w:pPr>
              <w:jc w:val="center"/>
              <w:rPr>
                <w:rFonts w:hAnsi="宋体" w:eastAsia="宋体" w:cs="宋体"/>
                <w:color w:val="000000"/>
                <w:sz w:val="24"/>
                <w:szCs w:val="20"/>
              </w:rPr>
            </w:pPr>
            <w:r>
              <w:rPr>
                <w:rFonts w:hint="eastAsia" w:hAnsi="宋体" w:eastAsia="宋体" w:cs="宋体"/>
                <w:color w:val="000000"/>
                <w:sz w:val="24"/>
                <w:szCs w:val="20"/>
              </w:rPr>
              <w:t xml:space="preserve">从事本</w:t>
            </w:r>
            <w:r/>
          </w:p>
          <w:p>
            <w:pPr>
              <w:jc w:val="center"/>
              <w:rPr>
                <w:rFonts w:hAnsi="宋体" w:eastAsia="宋体" w:cs="宋体"/>
                <w:color w:val="000000"/>
                <w:sz w:val="24"/>
                <w:szCs w:val="20"/>
              </w:rPr>
            </w:pPr>
            <w:r>
              <w:rPr>
                <w:rFonts w:hint="eastAsia" w:hAnsi="宋体" w:eastAsia="宋体" w:cs="宋体"/>
                <w:color w:val="000000"/>
                <w:sz w:val="24"/>
                <w:szCs w:val="20"/>
              </w:rPr>
              <w:t xml:space="preserve">专业年限</w:t>
            </w:r>
            <w:r/>
          </w:p>
          <w:p>
            <w:pPr>
              <w:jc w:val="center"/>
              <w:rPr>
                <w:rFonts w:hAnsi="宋体" w:eastAsia="宋体" w:cs="宋体"/>
                <w:color w:val="000000"/>
                <w:sz w:val="24"/>
                <w:szCs w:val="20"/>
              </w:rPr>
            </w:pPr>
            <w:r>
              <w:rPr>
                <w:rFonts w:hAnsi="宋体" w:eastAsia="宋体" w:cs="宋体"/>
                <w:color w:val="000000"/>
                <w:sz w:val="24"/>
                <w:szCs w:val="20"/>
              </w:rPr>
            </w:r>
            <w:r/>
          </w:p>
        </w:tc>
        <w:tc>
          <w:tcPr>
            <w:gridSpan w:val="4"/>
            <w:tcBorders>
              <w:top w:val="single" w:color="auto" w:sz="8" w:space="0"/>
              <w:left w:val="single" w:color="auto" w:sz="8" w:space="0"/>
              <w:bottom w:val="single" w:color="auto" w:sz="8" w:space="0"/>
              <w:right w:val="single" w:color="auto" w:sz="8" w:space="0"/>
            </w:tcBorders>
            <w:tcW w:w="3360"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1680"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社保证号</w:t>
            </w:r>
            <w:r/>
          </w:p>
        </w:tc>
        <w:tc>
          <w:tcPr>
            <w:tcBorders>
              <w:top w:val="single" w:color="auto" w:sz="8" w:space="0"/>
              <w:left w:val="single" w:color="auto" w:sz="8" w:space="0"/>
              <w:bottom w:val="single" w:color="auto" w:sz="8" w:space="0"/>
              <w:right w:val="single" w:color="auto" w:sz="8" w:space="0"/>
            </w:tcBorders>
            <w:tcW w:w="2496"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trHeight w:val="577" w:hRule="exact"/>
        </w:trPr>
        <w:tc>
          <w:tcPr>
            <w:tcBorders>
              <w:top w:val="single" w:color="auto" w:sz="8" w:space="0"/>
              <w:left w:val="single" w:color="auto" w:sz="8" w:space="0"/>
              <w:bottom w:val="single" w:color="auto" w:sz="8" w:space="0"/>
              <w:right w:val="single" w:color="auto" w:sz="8" w:space="0"/>
            </w:tcBorders>
            <w:tcW w:w="1454" w:type="dxa"/>
            <w:vAlign w:val="center"/>
            <w:textDirection w:val="lrTb"/>
            <w:noWrap w:val="false"/>
          </w:tcPr>
          <w:p>
            <w:pPr>
              <w:jc w:val="center"/>
              <w:rPr>
                <w:rFonts w:hAnsi="宋体" w:eastAsia="宋体" w:cs="宋体"/>
                <w:color w:val="000000"/>
                <w:sz w:val="24"/>
                <w:szCs w:val="20"/>
              </w:rPr>
            </w:pPr>
            <w:r>
              <w:rPr>
                <w:rFonts w:hint="eastAsia" w:hAnsi="宋体" w:eastAsia="宋体" w:cs="宋体"/>
                <w:color w:val="000000"/>
                <w:sz w:val="24"/>
                <w:szCs w:val="20"/>
              </w:rPr>
              <w:t xml:space="preserve">执业注册</w:t>
            </w:r>
            <w:r/>
          </w:p>
        </w:tc>
        <w:tc>
          <w:tcPr>
            <w:gridSpan w:val="4"/>
            <w:tcBorders>
              <w:top w:val="single" w:color="auto" w:sz="8" w:space="0"/>
              <w:left w:val="single" w:color="auto" w:sz="8" w:space="0"/>
              <w:bottom w:val="single" w:color="auto" w:sz="8" w:space="0"/>
              <w:right w:val="single" w:color="auto" w:sz="8" w:space="0"/>
            </w:tcBorders>
            <w:tcW w:w="3360"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1680"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职称</w:t>
            </w:r>
            <w:r/>
          </w:p>
        </w:tc>
        <w:tc>
          <w:tcPr>
            <w:tcBorders>
              <w:top w:val="single" w:color="auto" w:sz="8" w:space="0"/>
              <w:left w:val="single" w:color="auto" w:sz="8" w:space="0"/>
              <w:bottom w:val="single" w:color="auto" w:sz="8" w:space="0"/>
              <w:right w:val="single" w:color="auto" w:sz="8" w:space="0"/>
            </w:tcBorders>
            <w:tcW w:w="2496"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trHeight w:val="900" w:hRule="exact"/>
        </w:trPr>
        <w:tc>
          <w:tcPr>
            <w:tcBorders>
              <w:top w:val="single" w:color="auto" w:sz="8" w:space="0"/>
              <w:left w:val="single" w:color="auto" w:sz="8" w:space="0"/>
              <w:bottom w:val="single" w:color="auto" w:sz="8" w:space="0"/>
              <w:right w:val="single" w:color="auto" w:sz="8" w:space="0"/>
            </w:tcBorders>
            <w:tcW w:w="1454" w:type="dxa"/>
            <w:vAlign w:val="center"/>
            <w:textDirection w:val="lrTb"/>
            <w:noWrap w:val="false"/>
          </w:tcPr>
          <w:p>
            <w:pPr>
              <w:jc w:val="center"/>
              <w:rPr>
                <w:rFonts w:hAnsi="宋体" w:eastAsia="宋体" w:cs="宋体"/>
                <w:color w:val="000000"/>
                <w:sz w:val="24"/>
                <w:szCs w:val="20"/>
              </w:rPr>
            </w:pPr>
            <w:r>
              <w:rPr>
                <w:rFonts w:hint="eastAsia" w:hAnsi="宋体" w:eastAsia="宋体" w:cs="宋体"/>
                <w:color w:val="000000"/>
                <w:sz w:val="24"/>
                <w:szCs w:val="20"/>
              </w:rPr>
              <w:t xml:space="preserve">在本项目中  担任任务</w:t>
            </w:r>
            <w:r/>
          </w:p>
        </w:tc>
        <w:tc>
          <w:tcPr>
            <w:gridSpan w:val="7"/>
            <w:tcBorders>
              <w:top w:val="single" w:color="auto" w:sz="8" w:space="0"/>
              <w:left w:val="single" w:color="auto" w:sz="8" w:space="0"/>
              <w:bottom w:val="single" w:color="auto" w:sz="8" w:space="0"/>
              <w:right w:val="single" w:color="auto" w:sz="8" w:space="0"/>
            </w:tcBorders>
            <w:tcW w:w="7536"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cantSplit/>
          <w:trHeight w:val="624" w:hRule="exact"/>
        </w:trPr>
        <w:tc>
          <w:tcPr>
            <w:tcBorders>
              <w:top w:val="single" w:color="auto" w:sz="8" w:space="0"/>
              <w:left w:val="single" w:color="auto" w:sz="8" w:space="0"/>
              <w:bottom w:val="single" w:color="auto" w:sz="8" w:space="0"/>
              <w:right w:val="single" w:color="auto" w:sz="8" w:space="0"/>
            </w:tcBorders>
            <w:tcW w:w="1454" w:type="dxa"/>
            <w:vAlign w:val="center"/>
            <w:vMerge w:val="restart"/>
            <w:textDirection w:val="tbRlV"/>
            <w:noWrap w:val="false"/>
          </w:tcPr>
          <w:p>
            <w:pPr>
              <w:ind w:right="113" w:firstLine="210"/>
              <w:rPr>
                <w:rFonts w:hAnsi="宋体" w:eastAsia="宋体" w:cs="宋体"/>
                <w:color w:val="000000"/>
                <w:szCs w:val="21"/>
              </w:rPr>
            </w:pPr>
            <w:r>
              <w:rPr>
                <w:rFonts w:hint="eastAsia" w:hAnsi="宋体" w:eastAsia="宋体" w:cs="宋体"/>
                <w:color w:val="000000"/>
                <w:szCs w:val="21"/>
              </w:rPr>
              <w:t xml:space="preserve">本人主要设计成果</w:t>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1</w:t>
            </w:r>
            <w:r/>
          </w:p>
          <w:p>
            <w:pPr>
              <w:jc w:val="center"/>
              <w:rPr>
                <w:rFonts w:hAnsi="宋体" w:eastAsia="宋体" w:cs="宋体"/>
                <w:color w:val="000000"/>
                <w:szCs w:val="21"/>
              </w:rPr>
            </w:pPr>
            <w:r>
              <w:rPr>
                <w:rFonts w:hAnsi="宋体" w:eastAsia="宋体" w:cs="宋体"/>
                <w:color w:val="000000"/>
                <w:szCs w:val="21"/>
              </w:rPr>
            </w:r>
            <w:r/>
          </w:p>
        </w:tc>
        <w:tc>
          <w:tcPr>
            <w:gridSpan w:val="3"/>
            <w:tcBorders>
              <w:top w:val="single" w:color="auto" w:sz="8" w:space="0"/>
              <w:left w:val="single" w:color="auto" w:sz="8" w:space="0"/>
              <w:bottom w:val="single" w:color="auto" w:sz="8" w:space="0"/>
              <w:right w:val="single" w:color="auto" w:sz="8" w:space="0"/>
            </w:tcBorders>
            <w:tcW w:w="2717"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工程项目名称及规模</w:t>
            </w:r>
            <w:r/>
          </w:p>
        </w:tc>
        <w:tc>
          <w:tcPr>
            <w:tcBorders>
              <w:top w:val="single" w:color="auto" w:sz="8" w:space="0"/>
              <w:left w:val="single" w:color="auto" w:sz="8" w:space="0"/>
              <w:bottom w:val="single" w:color="auto" w:sz="8" w:space="0"/>
              <w:right w:val="single" w:color="auto" w:sz="8" w:space="0"/>
            </w:tcBorders>
            <w:tcW w:w="1469"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完成年月</w:t>
            </w:r>
            <w:r/>
          </w:p>
        </w:tc>
        <w:tc>
          <w:tcPr>
            <w:gridSpan w:val="2"/>
            <w:tcBorders>
              <w:top w:val="single" w:color="auto" w:sz="8" w:space="0"/>
              <w:left w:val="single" w:color="auto" w:sz="8" w:space="0"/>
              <w:bottom w:val="single" w:color="auto" w:sz="8" w:space="0"/>
              <w:right w:val="single" w:color="auto" w:sz="8" w:space="0"/>
            </w:tcBorders>
            <w:tcW w:w="2707"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在该项目中任何职</w:t>
            </w:r>
            <w:r/>
          </w:p>
        </w:tc>
      </w:tr>
      <w:tr>
        <w:trPr>
          <w:cantSplit/>
          <w:trHeight w:val="567" w:hRule="exact"/>
        </w:trPr>
        <w:tc>
          <w:tcPr>
            <w:tcBorders>
              <w:top w:val="single" w:color="auto" w:sz="8" w:space="0"/>
              <w:left w:val="single" w:color="auto" w:sz="8" w:space="0"/>
              <w:bottom w:val="single" w:color="auto" w:sz="8" w:space="0"/>
              <w:right w:val="single" w:color="auto" w:sz="8" w:space="0"/>
            </w:tcBorders>
            <w:tcW w:w="1454" w:type="dxa"/>
            <w:vAlign w:val="center"/>
            <w:vMerge w:val="continue"/>
            <w:textDirection w:val="lrTb"/>
            <w:noWrap w:val="false"/>
          </w:tcPr>
          <w:p>
            <w:pPr>
              <w:rPr>
                <w:rFonts w:ascii="Calibri" w:eastAsia="宋体"/>
              </w:rPr>
            </w:pPr>
            <w:r>
              <w:rPr>
                <w:rFonts w:ascii="Calibri" w:eastAsia="宋体"/>
              </w:rPr>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2</w:t>
            </w:r>
            <w:r/>
          </w:p>
          <w:p>
            <w:pPr>
              <w:jc w:val="center"/>
              <w:rPr>
                <w:rFonts w:hAnsi="宋体" w:eastAsia="宋体" w:cs="宋体"/>
                <w:color w:val="000000"/>
                <w:szCs w:val="21"/>
              </w:rPr>
            </w:pPr>
            <w:r>
              <w:rPr>
                <w:rFonts w:hAnsi="宋体" w:eastAsia="宋体" w:cs="宋体"/>
                <w:color w:val="000000"/>
                <w:szCs w:val="21"/>
              </w:rPr>
            </w:r>
            <w:r/>
          </w:p>
        </w:tc>
        <w:tc>
          <w:tcPr>
            <w:gridSpan w:val="3"/>
            <w:tcBorders>
              <w:top w:val="single" w:color="auto" w:sz="8" w:space="0"/>
              <w:left w:val="single" w:color="auto" w:sz="8" w:space="0"/>
              <w:bottom w:val="single" w:color="auto" w:sz="8" w:space="0"/>
              <w:right w:val="single" w:color="auto" w:sz="8" w:space="0"/>
            </w:tcBorders>
            <w:tcW w:w="271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tcBorders>
              <w:top w:val="single" w:color="auto" w:sz="8" w:space="0"/>
              <w:left w:val="single" w:color="auto" w:sz="8" w:space="0"/>
              <w:bottom w:val="single" w:color="auto" w:sz="8" w:space="0"/>
              <w:right w:val="single" w:color="auto" w:sz="8" w:space="0"/>
            </w:tcBorders>
            <w:tcW w:w="1469"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270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cantSplit/>
          <w:trHeight w:val="567" w:hRule="exact"/>
        </w:trPr>
        <w:tc>
          <w:tcPr>
            <w:tcBorders>
              <w:top w:val="single" w:color="auto" w:sz="8" w:space="0"/>
              <w:left w:val="single" w:color="auto" w:sz="8" w:space="0"/>
              <w:bottom w:val="single" w:color="auto" w:sz="8" w:space="0"/>
              <w:right w:val="single" w:color="auto" w:sz="8" w:space="0"/>
            </w:tcBorders>
            <w:tcW w:w="1454" w:type="dxa"/>
            <w:vAlign w:val="center"/>
            <w:vMerge w:val="continue"/>
            <w:textDirection w:val="lrTb"/>
            <w:noWrap w:val="false"/>
          </w:tcPr>
          <w:p>
            <w:pPr>
              <w:rPr>
                <w:rFonts w:ascii="Calibri" w:eastAsia="宋体"/>
              </w:rPr>
            </w:pPr>
            <w:r>
              <w:rPr>
                <w:rFonts w:ascii="Calibri" w:eastAsia="宋体"/>
              </w:rPr>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3</w:t>
            </w:r>
            <w:r/>
          </w:p>
          <w:p>
            <w:pPr>
              <w:jc w:val="center"/>
              <w:rPr>
                <w:rFonts w:hAnsi="宋体" w:eastAsia="宋体" w:cs="宋体"/>
                <w:color w:val="000000"/>
                <w:szCs w:val="21"/>
              </w:rPr>
            </w:pPr>
            <w:r>
              <w:rPr>
                <w:rFonts w:hAnsi="宋体" w:eastAsia="宋体" w:cs="宋体"/>
                <w:color w:val="000000"/>
                <w:szCs w:val="21"/>
              </w:rPr>
            </w:r>
            <w:r/>
          </w:p>
        </w:tc>
        <w:tc>
          <w:tcPr>
            <w:gridSpan w:val="3"/>
            <w:tcBorders>
              <w:top w:val="single" w:color="auto" w:sz="8" w:space="0"/>
              <w:left w:val="single" w:color="auto" w:sz="8" w:space="0"/>
              <w:bottom w:val="single" w:color="auto" w:sz="8" w:space="0"/>
              <w:right w:val="single" w:color="auto" w:sz="8" w:space="0"/>
            </w:tcBorders>
            <w:tcW w:w="271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tcBorders>
              <w:top w:val="single" w:color="auto" w:sz="8" w:space="0"/>
              <w:left w:val="single" w:color="auto" w:sz="8" w:space="0"/>
              <w:bottom w:val="single" w:color="auto" w:sz="8" w:space="0"/>
              <w:right w:val="single" w:color="auto" w:sz="8" w:space="0"/>
            </w:tcBorders>
            <w:tcW w:w="1469"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270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cantSplit/>
          <w:trHeight w:val="567" w:hRule="exact"/>
        </w:trPr>
        <w:tc>
          <w:tcPr>
            <w:tcBorders>
              <w:top w:val="single" w:color="auto" w:sz="8" w:space="0"/>
              <w:left w:val="single" w:color="auto" w:sz="8" w:space="0"/>
              <w:bottom w:val="single" w:color="auto" w:sz="8" w:space="0"/>
              <w:right w:val="single" w:color="auto" w:sz="8" w:space="0"/>
            </w:tcBorders>
            <w:tcW w:w="1454" w:type="dxa"/>
            <w:vAlign w:val="center"/>
            <w:vMerge w:val="continue"/>
            <w:textDirection w:val="lrTb"/>
            <w:noWrap w:val="false"/>
          </w:tcPr>
          <w:p>
            <w:pPr>
              <w:rPr>
                <w:rFonts w:ascii="Calibri" w:eastAsia="宋体"/>
              </w:rPr>
            </w:pPr>
            <w:r>
              <w:rPr>
                <w:rFonts w:ascii="Calibri" w:eastAsia="宋体"/>
              </w:rPr>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4</w:t>
            </w:r>
            <w:r/>
          </w:p>
          <w:p>
            <w:pPr>
              <w:jc w:val="center"/>
              <w:rPr>
                <w:rFonts w:hAnsi="宋体" w:eastAsia="宋体" w:cs="宋体"/>
                <w:color w:val="000000"/>
                <w:szCs w:val="21"/>
              </w:rPr>
            </w:pPr>
            <w:r>
              <w:rPr>
                <w:rFonts w:hAnsi="宋体" w:eastAsia="宋体" w:cs="宋体"/>
                <w:color w:val="000000"/>
                <w:szCs w:val="21"/>
              </w:rPr>
            </w:r>
            <w:r/>
          </w:p>
        </w:tc>
        <w:tc>
          <w:tcPr>
            <w:gridSpan w:val="3"/>
            <w:tcBorders>
              <w:top w:val="single" w:color="auto" w:sz="8" w:space="0"/>
              <w:left w:val="single" w:color="auto" w:sz="8" w:space="0"/>
              <w:bottom w:val="single" w:color="auto" w:sz="8" w:space="0"/>
              <w:right w:val="single" w:color="auto" w:sz="8" w:space="0"/>
            </w:tcBorders>
            <w:tcW w:w="271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tcBorders>
              <w:top w:val="single" w:color="auto" w:sz="8" w:space="0"/>
              <w:left w:val="single" w:color="auto" w:sz="8" w:space="0"/>
              <w:bottom w:val="single" w:color="auto" w:sz="8" w:space="0"/>
              <w:right w:val="single" w:color="auto" w:sz="8" w:space="0"/>
            </w:tcBorders>
            <w:tcW w:w="1469"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270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cantSplit/>
          <w:trHeight w:val="567" w:hRule="exact"/>
        </w:trPr>
        <w:tc>
          <w:tcPr>
            <w:tcBorders>
              <w:top w:val="single" w:color="auto" w:sz="8" w:space="0"/>
              <w:left w:val="single" w:color="auto" w:sz="8" w:space="0"/>
              <w:bottom w:val="single" w:color="auto" w:sz="8" w:space="0"/>
              <w:right w:val="single" w:color="auto" w:sz="8" w:space="0"/>
            </w:tcBorders>
            <w:tcW w:w="1454" w:type="dxa"/>
            <w:vAlign w:val="center"/>
            <w:vMerge w:val="continue"/>
            <w:textDirection w:val="lrTb"/>
            <w:noWrap w:val="false"/>
          </w:tcPr>
          <w:p>
            <w:pPr>
              <w:rPr>
                <w:rFonts w:ascii="Calibri" w:eastAsia="宋体"/>
              </w:rPr>
            </w:pPr>
            <w:r>
              <w:rPr>
                <w:rFonts w:ascii="Calibri" w:eastAsia="宋体"/>
              </w:rPr>
            </w:r>
            <w:r/>
          </w:p>
        </w:tc>
        <w:tc>
          <w:tcPr>
            <w:tcBorders>
              <w:top w:val="single" w:color="auto" w:sz="8" w:space="0"/>
              <w:left w:val="single" w:color="auto" w:sz="8" w:space="0"/>
              <w:bottom w:val="single" w:color="auto" w:sz="8" w:space="0"/>
              <w:right w:val="single" w:color="auto" w:sz="8" w:space="0"/>
            </w:tcBorders>
            <w:tcW w:w="643" w:type="dxa"/>
            <w:vAlign w:val="center"/>
            <w:textDirection w:val="lrTb"/>
            <w:noWrap w:val="false"/>
          </w:tcPr>
          <w:p>
            <w:pPr>
              <w:jc w:val="center"/>
              <w:rPr>
                <w:rFonts w:hAnsi="宋体" w:eastAsia="宋体" w:cs="宋体"/>
                <w:color w:val="000000"/>
                <w:szCs w:val="21"/>
              </w:rPr>
            </w:pPr>
            <w:r>
              <w:rPr>
                <w:rFonts w:hint="eastAsia" w:hAnsi="宋体" w:eastAsia="宋体" w:cs="宋体"/>
                <w:color w:val="000000"/>
                <w:szCs w:val="21"/>
              </w:rPr>
              <w:t xml:space="preserve">5</w:t>
            </w:r>
            <w:r/>
          </w:p>
          <w:p>
            <w:pPr>
              <w:jc w:val="center"/>
              <w:rPr>
                <w:rFonts w:hAnsi="宋体" w:eastAsia="宋体" w:cs="宋体"/>
                <w:color w:val="000000"/>
                <w:szCs w:val="21"/>
              </w:rPr>
            </w:pPr>
            <w:r>
              <w:rPr>
                <w:rFonts w:hAnsi="宋体" w:eastAsia="宋体" w:cs="宋体"/>
                <w:color w:val="000000"/>
                <w:szCs w:val="21"/>
              </w:rPr>
            </w:r>
            <w:r/>
          </w:p>
        </w:tc>
        <w:tc>
          <w:tcPr>
            <w:gridSpan w:val="3"/>
            <w:tcBorders>
              <w:top w:val="single" w:color="auto" w:sz="8" w:space="0"/>
              <w:left w:val="single" w:color="auto" w:sz="8" w:space="0"/>
              <w:bottom w:val="single" w:color="auto" w:sz="8" w:space="0"/>
              <w:right w:val="single" w:color="auto" w:sz="8" w:space="0"/>
            </w:tcBorders>
            <w:tcW w:w="271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tcBorders>
              <w:top w:val="single" w:color="auto" w:sz="8" w:space="0"/>
              <w:left w:val="single" w:color="auto" w:sz="8" w:space="0"/>
              <w:bottom w:val="single" w:color="auto" w:sz="8" w:space="0"/>
              <w:right w:val="single" w:color="auto" w:sz="8" w:space="0"/>
            </w:tcBorders>
            <w:tcW w:w="1469"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c>
          <w:tcPr>
            <w:gridSpan w:val="2"/>
            <w:tcBorders>
              <w:top w:val="single" w:color="auto" w:sz="8" w:space="0"/>
              <w:left w:val="single" w:color="auto" w:sz="8" w:space="0"/>
              <w:bottom w:val="single" w:color="auto" w:sz="8" w:space="0"/>
              <w:right w:val="single" w:color="auto" w:sz="8" w:space="0"/>
            </w:tcBorders>
            <w:tcW w:w="2707"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trHeight w:val="2835" w:hRule="exact"/>
        </w:trPr>
        <w:tc>
          <w:tcPr>
            <w:tcBorders>
              <w:top w:val="single" w:color="auto" w:sz="8" w:space="0"/>
              <w:left w:val="single" w:color="auto" w:sz="8" w:space="0"/>
              <w:bottom w:val="single" w:color="auto" w:sz="8" w:space="0"/>
              <w:right w:val="single" w:color="auto" w:sz="8" w:space="0"/>
            </w:tcBorders>
            <w:tcW w:w="1454" w:type="dxa"/>
            <w:vAlign w:val="center"/>
            <w:textDirection w:val="tbRlV"/>
            <w:noWrap w:val="false"/>
          </w:tcPr>
          <w:p>
            <w:pPr>
              <w:ind w:left="113" w:right="113"/>
              <w:jc w:val="center"/>
              <w:rPr>
                <w:rFonts w:hAnsi="宋体" w:eastAsia="宋体" w:cs="宋体"/>
                <w:color w:val="000000"/>
                <w:szCs w:val="21"/>
              </w:rPr>
            </w:pPr>
            <w:r>
              <w:rPr>
                <w:rFonts w:hint="eastAsia" w:hAnsi="宋体" w:eastAsia="宋体" w:cs="宋体"/>
                <w:color w:val="000000"/>
                <w:szCs w:val="21"/>
              </w:rPr>
              <w:t xml:space="preserve">本人主要获奖情况</w:t>
            </w:r>
            <w:r/>
          </w:p>
        </w:tc>
        <w:tc>
          <w:tcPr>
            <w:gridSpan w:val="7"/>
            <w:tcBorders>
              <w:top w:val="single" w:color="auto" w:sz="8" w:space="0"/>
              <w:left w:val="single" w:color="auto" w:sz="8" w:space="0"/>
              <w:bottom w:val="single" w:color="auto" w:sz="8" w:space="0"/>
              <w:right w:val="single" w:color="auto" w:sz="8" w:space="0"/>
            </w:tcBorders>
            <w:tcW w:w="7536"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r>
        <w:trPr>
          <w:trHeight w:val="981" w:hRule="exact"/>
        </w:trPr>
        <w:tc>
          <w:tcPr>
            <w:tcBorders>
              <w:top w:val="single" w:color="auto" w:sz="8" w:space="0"/>
              <w:left w:val="single" w:color="auto" w:sz="8" w:space="0"/>
              <w:bottom w:val="single" w:color="auto" w:sz="8" w:space="0"/>
              <w:right w:val="single" w:color="auto" w:sz="8" w:space="0"/>
            </w:tcBorders>
            <w:tcW w:w="1454" w:type="dxa"/>
            <w:vAlign w:val="center"/>
            <w:textDirection w:val="lrTb"/>
            <w:noWrap w:val="false"/>
          </w:tcPr>
          <w:p>
            <w:pPr>
              <w:jc w:val="center"/>
              <w:rPr>
                <w:rFonts w:hAnsi="宋体" w:eastAsia="宋体" w:cs="宋体"/>
                <w:color w:val="000000"/>
                <w:sz w:val="24"/>
                <w:szCs w:val="20"/>
              </w:rPr>
            </w:pPr>
            <w:r>
              <w:rPr>
                <w:rFonts w:hint="eastAsia" w:hAnsi="宋体" w:eastAsia="宋体" w:cs="宋体"/>
                <w:color w:val="000000"/>
                <w:sz w:val="24"/>
                <w:szCs w:val="20"/>
              </w:rPr>
              <w:t xml:space="preserve">其它需</w:t>
            </w:r>
            <w:r/>
          </w:p>
          <w:p>
            <w:pPr>
              <w:jc w:val="center"/>
              <w:rPr>
                <w:rFonts w:hAnsi="宋体" w:eastAsia="宋体" w:cs="宋体"/>
                <w:color w:val="000000"/>
                <w:szCs w:val="21"/>
              </w:rPr>
            </w:pPr>
            <w:r>
              <w:rPr>
                <w:rFonts w:hint="eastAsia" w:hAnsi="宋体" w:eastAsia="宋体" w:cs="宋体"/>
                <w:color w:val="000000"/>
                <w:sz w:val="24"/>
                <w:szCs w:val="20"/>
              </w:rPr>
              <w:t xml:space="preserve">补充的情况</w:t>
            </w:r>
            <w:r/>
          </w:p>
        </w:tc>
        <w:tc>
          <w:tcPr>
            <w:gridSpan w:val="7"/>
            <w:tcBorders>
              <w:top w:val="single" w:color="auto" w:sz="8" w:space="0"/>
              <w:left w:val="single" w:color="auto" w:sz="8" w:space="0"/>
              <w:bottom w:val="single" w:color="auto" w:sz="8" w:space="0"/>
              <w:right w:val="single" w:color="auto" w:sz="8" w:space="0"/>
            </w:tcBorders>
            <w:tcW w:w="7536" w:type="dxa"/>
            <w:vAlign w:val="center"/>
            <w:textDirection w:val="lrTb"/>
            <w:noWrap w:val="false"/>
          </w:tcPr>
          <w:p>
            <w:pPr>
              <w:jc w:val="center"/>
              <w:rPr>
                <w:rFonts w:hAnsi="宋体" w:eastAsia="宋体" w:cs="宋体"/>
                <w:color w:val="000000"/>
                <w:szCs w:val="21"/>
              </w:rPr>
            </w:pPr>
            <w:r>
              <w:rPr>
                <w:rFonts w:hAnsi="宋体" w:eastAsia="宋体" w:cs="宋体"/>
                <w:color w:val="000000"/>
                <w:szCs w:val="21"/>
              </w:rPr>
            </w:r>
            <w:r/>
          </w:p>
        </w:tc>
      </w:tr>
    </w:tbl>
    <w:p>
      <w:pPr>
        <w:ind w:firstLine="720"/>
        <w:rPr>
          <w:rFonts w:hAnsi="宋体" w:eastAsia="宋体"/>
          <w:sz w:val="24"/>
        </w:rPr>
      </w:pPr>
      <w:r>
        <w:rPr>
          <w:rFonts w:hAnsi="宋体" w:eastAsia="宋体"/>
          <w:sz w:val="24"/>
        </w:rPr>
      </w:r>
      <w:r/>
    </w:p>
    <w:p>
      <w:pPr>
        <w:ind w:firstLine="720"/>
        <w:rPr>
          <w:rFonts w:hAnsi="宋体" w:eastAsia="宋体"/>
          <w:sz w:val="24"/>
        </w:rPr>
      </w:pPr>
      <w:r>
        <w:rPr>
          <w:rFonts w:hAnsi="宋体" w:eastAsia="宋体"/>
          <w:sz w:val="24"/>
        </w:rPr>
      </w:r>
      <w:r/>
    </w:p>
    <w:p>
      <w:pPr>
        <w:ind w:firstLine="2940"/>
        <w:rPr>
          <w:rFonts w:hAnsi="宋体" w:eastAsia="宋体"/>
          <w:bCs/>
          <w:szCs w:val="28"/>
        </w:rPr>
      </w:pPr>
      <w:r>
        <w:rPr>
          <w:rFonts w:hint="eastAsia" w:hAnsi="宋体" w:eastAsia="宋体"/>
          <w:bCs/>
          <w:szCs w:val="28"/>
        </w:rPr>
        <w:t xml:space="preserve">投标人（公章）：</w:t>
      </w:r>
      <w:r/>
    </w:p>
    <w:p>
      <w:pPr>
        <w:ind w:firstLine="2940"/>
        <w:rPr>
          <w:rFonts w:hAnsi="宋体" w:eastAsia="宋体"/>
          <w:bCs/>
          <w:szCs w:val="28"/>
        </w:rPr>
      </w:pPr>
      <w:r>
        <w:rPr>
          <w:rFonts w:hint="eastAsia" w:hAnsi="宋体" w:eastAsia="宋体"/>
          <w:bCs/>
          <w:szCs w:val="28"/>
        </w:rPr>
        <w:t xml:space="preserve">法定代表人或授权委托人：（签字或盖章）</w:t>
      </w:r>
      <w:r/>
    </w:p>
    <w:p>
      <w:pPr>
        <w:ind w:firstLine="3360"/>
        <w:rPr>
          <w:rFonts w:hAnsi="宋体" w:eastAsia="宋体"/>
          <w:bCs/>
          <w:szCs w:val="28"/>
        </w:rPr>
      </w:pPr>
      <w:r>
        <w:rPr>
          <w:rFonts w:hint="eastAsia" w:hAnsi="宋体" w:eastAsia="宋体"/>
          <w:bCs/>
          <w:szCs w:val="28"/>
        </w:rPr>
        <w:t xml:space="preserve">日期：</w:t>
      </w:r>
      <w:r>
        <w:rPr>
          <w:rFonts w:hAnsi="宋体" w:eastAsia="宋体"/>
          <w:bCs/>
          <w:szCs w:val="28"/>
          <w:u w:val="single"/>
        </w:rPr>
        <w:t xml:space="preserve">      </w:t>
      </w:r>
      <w:r>
        <w:rPr>
          <w:rFonts w:hint="eastAsia" w:hAnsi="宋体" w:eastAsia="宋体"/>
          <w:bCs/>
          <w:szCs w:val="28"/>
        </w:rPr>
        <w:t xml:space="preserve">年</w:t>
      </w:r>
      <w:r>
        <w:rPr>
          <w:rFonts w:hAnsi="宋体" w:eastAsia="宋体"/>
          <w:bCs/>
          <w:szCs w:val="28"/>
        </w:rPr>
        <w:t xml:space="preserve"> </w:t>
      </w:r>
      <w:r>
        <w:rPr>
          <w:rFonts w:hAnsi="宋体" w:eastAsia="宋体"/>
          <w:bCs/>
          <w:szCs w:val="28"/>
          <w:u w:val="single"/>
        </w:rPr>
        <w:t xml:space="preserve">    </w:t>
      </w:r>
      <w:r>
        <w:rPr>
          <w:rFonts w:hint="eastAsia" w:hAnsi="宋体" w:eastAsia="宋体"/>
          <w:bCs/>
          <w:szCs w:val="28"/>
        </w:rPr>
        <w:t xml:space="preserve">月</w:t>
      </w:r>
      <w:r>
        <w:rPr>
          <w:rFonts w:hAnsi="宋体" w:eastAsia="宋体"/>
          <w:bCs/>
          <w:szCs w:val="28"/>
          <w:u w:val="single"/>
        </w:rPr>
        <w:t xml:space="preserve">     </w:t>
      </w:r>
      <w:r>
        <w:rPr>
          <w:rFonts w:hint="eastAsia" w:hAnsi="宋体" w:eastAsia="宋体"/>
          <w:bCs/>
          <w:szCs w:val="28"/>
        </w:rPr>
        <w:t xml:space="preserve">日</w:t>
      </w:r>
      <w:r/>
    </w:p>
    <w:p>
      <w:pPr>
        <w:jc w:val="center"/>
        <w:rPr>
          <w:rFonts w:ascii="Arial" w:hAnsi="宋体" w:eastAsia="宋体"/>
          <w:b/>
          <w:bCs/>
          <w:sz w:val="32"/>
          <w:szCs w:val="32"/>
        </w:rPr>
      </w:pPr>
      <w:r>
        <w:rPr>
          <w:rFonts w:ascii="Arial" w:hAnsi="宋体" w:eastAsia="宋体"/>
          <w:b/>
          <w:bCs/>
          <w:sz w:val="32"/>
          <w:szCs w:val="32"/>
        </w:rPr>
      </w:r>
      <w:r/>
    </w:p>
    <w:p>
      <w:pPr>
        <w:jc w:val="center"/>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七</w:t>
      </w:r>
      <w:r>
        <w:rPr>
          <w:rFonts w:hint="eastAsia" w:ascii="黑体" w:hAnsi="宋体" w:eastAsia="黑体" w:cs="黑体"/>
          <w:b/>
          <w:iCs/>
          <w:color w:val="000000"/>
          <w:sz w:val="32"/>
          <w:szCs w:val="32"/>
        </w:rPr>
        <w:t xml:space="preserve">、拟派项目组成员资格证明材料</w:t>
      </w:r>
      <w:r/>
    </w:p>
    <w:tbl>
      <w:tblPr>
        <w:tblStyle w:val="844"/>
        <w:tblpPr w:horzAnchor="page" w:tblpX="1257" w:vertAnchor="text" w:tblpY="120" w:leftFromText="180" w:topFromText="0" w:rightFromText="180" w:bottomFromText="0"/>
        <w:tblW w:w="9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2593"/>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int="eastAsia" w:hAnsi="宋体" w:cs="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int="eastAsia" w:hAnsi="宋体" w:cs="宋体"/>
                <w:sz w:val="24"/>
                <w:szCs w:val="21"/>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int="eastAsia" w:hAnsi="宋体" w:cs="宋体"/>
                <w:sz w:val="24"/>
                <w:szCs w:val="21"/>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int="eastAsia" w:hAnsi="宋体" w:cs="宋体"/>
                <w:sz w:val="24"/>
                <w:szCs w:val="21"/>
              </w:rPr>
              <w:t xml:space="preserve">出生</w:t>
            </w:r>
            <w:r/>
          </w:p>
          <w:p>
            <w:pPr>
              <w:jc w:val="center"/>
              <w:rPr>
                <w:rFonts w:hAnsi="宋体" w:cs="宋体"/>
                <w:sz w:val="24"/>
                <w:szCs w:val="21"/>
              </w:rPr>
            </w:pPr>
            <w:r>
              <w:rPr>
                <w:rFonts w:hint="eastAsia" w:hAnsi="宋体" w:cs="宋体"/>
                <w:sz w:val="24"/>
                <w:szCs w:val="21"/>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int="eastAsia" w:hAnsi="宋体" w:cs="宋体"/>
                <w:sz w:val="24"/>
                <w:szCs w:val="21"/>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int="eastAsia" w:hAnsi="宋体" w:cs="宋体"/>
                <w:sz w:val="24"/>
                <w:szCs w:val="21"/>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int="eastAsia" w:hAnsi="宋体" w:cs="宋体"/>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int="eastAsia" w:hAnsi="宋体" w:cs="宋体"/>
                <w:sz w:val="24"/>
                <w:szCs w:val="21"/>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szCs w:val="21"/>
              </w:rPr>
            </w:pPr>
            <w:r>
              <w:rPr>
                <w:rFonts w:hAnsi="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val="false"/>
          </w:tcPr>
          <w:p>
            <w:pPr>
              <w:jc w:val="center"/>
              <w:rPr>
                <w:rFonts w:hAnsi="宋体" w:cs="宋体"/>
                <w:sz w:val="24"/>
                <w:szCs w:val="21"/>
              </w:rPr>
            </w:pPr>
            <w:r>
              <w:rPr>
                <w:rFonts w:hAnsi="宋体" w:cs="宋体"/>
                <w:sz w:val="24"/>
                <w:szCs w:val="21"/>
              </w:rPr>
            </w:r>
            <w:r/>
          </w:p>
        </w:tc>
      </w:tr>
    </w:tbl>
    <w:p>
      <w:pPr>
        <w:ind w:firstLine="720"/>
        <w:rPr>
          <w:rFonts w:hAnsi="宋体"/>
          <w:sz w:val="24"/>
        </w:rPr>
      </w:pPr>
      <w:r>
        <w:rPr>
          <w:rFonts w:hAnsi="宋体"/>
          <w:sz w:val="24"/>
        </w:rPr>
      </w:r>
      <w:r/>
    </w:p>
    <w:p>
      <w:pPr>
        <w:ind w:firstLine="720"/>
        <w:rPr>
          <w:rFonts w:hAnsi="宋体" w:eastAsia="宋体"/>
          <w:sz w:val="24"/>
        </w:rPr>
      </w:pPr>
      <w:r>
        <w:rPr>
          <w:rFonts w:hAnsi="宋体" w:eastAsia="宋体"/>
          <w:sz w:val="24"/>
        </w:rPr>
      </w:r>
      <w:r/>
    </w:p>
    <w:p>
      <w:pPr>
        <w:ind w:firstLine="2940"/>
        <w:rPr>
          <w:rFonts w:hAnsi="宋体" w:eastAsia="宋体"/>
          <w:bCs/>
          <w:szCs w:val="28"/>
        </w:rPr>
      </w:pPr>
      <w:r>
        <w:rPr>
          <w:rFonts w:hint="eastAsia" w:hAnsi="宋体" w:eastAsia="宋体"/>
          <w:bCs/>
          <w:szCs w:val="28"/>
        </w:rPr>
        <w:t xml:space="preserve">投标人（公章）：</w:t>
      </w:r>
      <w:r/>
    </w:p>
    <w:p>
      <w:pPr>
        <w:ind w:firstLine="2940"/>
        <w:rPr>
          <w:rFonts w:hAnsi="宋体" w:eastAsia="宋体"/>
          <w:bCs/>
          <w:szCs w:val="28"/>
        </w:rPr>
      </w:pPr>
      <w:r>
        <w:rPr>
          <w:rFonts w:hint="eastAsia" w:hAnsi="宋体" w:eastAsia="宋体"/>
          <w:bCs/>
          <w:szCs w:val="28"/>
        </w:rPr>
        <w:t xml:space="preserve">法定代表人或授权委托人：（签字或盖章）</w:t>
      </w:r>
      <w:r/>
    </w:p>
    <w:p>
      <w:pPr>
        <w:ind w:firstLine="3360"/>
        <w:rPr>
          <w:rFonts w:hAnsi="宋体" w:eastAsia="宋体"/>
          <w:bCs/>
          <w:szCs w:val="28"/>
        </w:rPr>
      </w:pPr>
      <w:r>
        <w:rPr>
          <w:rFonts w:hint="eastAsia" w:hAnsi="宋体" w:eastAsia="宋体"/>
          <w:bCs/>
          <w:szCs w:val="28"/>
        </w:rPr>
        <w:t xml:space="preserve">日期：</w:t>
      </w:r>
      <w:r>
        <w:rPr>
          <w:rFonts w:hAnsi="宋体" w:eastAsia="宋体"/>
          <w:bCs/>
          <w:szCs w:val="28"/>
          <w:u w:val="single"/>
        </w:rPr>
        <w:t xml:space="preserve">      </w:t>
      </w:r>
      <w:r>
        <w:rPr>
          <w:rFonts w:hint="eastAsia" w:hAnsi="宋体" w:eastAsia="宋体"/>
          <w:bCs/>
          <w:szCs w:val="28"/>
        </w:rPr>
        <w:t xml:space="preserve">年</w:t>
      </w:r>
      <w:r>
        <w:rPr>
          <w:rFonts w:hAnsi="宋体" w:eastAsia="宋体"/>
          <w:bCs/>
          <w:szCs w:val="28"/>
        </w:rPr>
        <w:t xml:space="preserve"> </w:t>
      </w:r>
      <w:r>
        <w:rPr>
          <w:rFonts w:hAnsi="宋体" w:eastAsia="宋体"/>
          <w:bCs/>
          <w:szCs w:val="28"/>
          <w:u w:val="single"/>
        </w:rPr>
        <w:t xml:space="preserve">    </w:t>
      </w:r>
      <w:r>
        <w:rPr>
          <w:rFonts w:hint="eastAsia" w:hAnsi="宋体" w:eastAsia="宋体"/>
          <w:bCs/>
          <w:szCs w:val="28"/>
        </w:rPr>
        <w:t xml:space="preserve">月</w:t>
      </w:r>
      <w:r>
        <w:rPr>
          <w:rFonts w:hAnsi="宋体" w:eastAsia="宋体"/>
          <w:bCs/>
          <w:szCs w:val="28"/>
          <w:u w:val="single"/>
        </w:rPr>
        <w:t xml:space="preserve">     </w:t>
      </w:r>
      <w:r>
        <w:rPr>
          <w:rFonts w:hint="eastAsia" w:hAnsi="宋体" w:eastAsia="宋体"/>
          <w:bCs/>
          <w:szCs w:val="28"/>
        </w:rPr>
        <w:t xml:space="preserve">日</w:t>
      </w:r>
      <w:r/>
    </w:p>
    <w:p>
      <w:pPr>
        <w:pStyle w:val="842"/>
        <w:jc w:val="center"/>
        <w:rPr>
          <w:rFonts w:hint="default"/>
        </w:rPr>
      </w:pPr>
      <w:r>
        <w:rPr>
          <w:rFonts w:hint="default"/>
        </w:rPr>
      </w:r>
      <w:r/>
    </w:p>
    <w:p>
      <w:r/>
      <w:r/>
    </w:p>
    <w:p>
      <w:pPr>
        <w:pStyle w:val="845"/>
        <w:ind w:left="560"/>
      </w:pPr>
      <w:r/>
      <w:r/>
    </w:p>
    <w:p>
      <w:r/>
      <w:r/>
    </w:p>
    <w:p>
      <w:pPr>
        <w:pStyle w:val="845"/>
        <w:ind w:left="560"/>
      </w:pPr>
      <w:r/>
      <w:r/>
    </w:p>
    <w:p>
      <w:r/>
      <w:r/>
    </w:p>
    <w:p>
      <w:pPr>
        <w:pStyle w:val="845"/>
        <w:ind w:left="560"/>
      </w:pPr>
      <w:r/>
      <w:r/>
    </w:p>
    <w:p>
      <w:r/>
      <w:r/>
    </w:p>
    <w:p>
      <w:pPr>
        <w:pStyle w:val="860"/>
      </w:pPr>
      <w:r/>
      <w:r/>
    </w:p>
    <w:p>
      <w:r/>
      <w:r/>
    </w:p>
    <w:p>
      <w:pPr>
        <w:pStyle w:val="860"/>
      </w:pPr>
      <w:r/>
      <w:r/>
    </w:p>
    <w:p>
      <w:pPr>
        <w:pStyle w:val="842"/>
        <w:ind w:firstLine="2570"/>
        <w:rPr>
          <w:rFonts w:hint="default" w:ascii="黑体" w:eastAsia="黑体" w:cs="黑体"/>
          <w:bCs w:val="0"/>
          <w:iCs/>
          <w:color w:val="000000"/>
          <w:sz w:val="32"/>
          <w:szCs w:val="32"/>
        </w:rPr>
      </w:pPr>
      <w:r>
        <w:rPr>
          <w:rFonts w:ascii="黑体" w:eastAsia="黑体" w:cs="黑体"/>
          <w:bCs w:val="0"/>
          <w:iCs/>
          <w:color w:val="000000"/>
          <w:sz w:val="32"/>
          <w:szCs w:val="32"/>
        </w:rPr>
        <w:t xml:space="preserve">十</w:t>
      </w:r>
      <w:r>
        <w:rPr>
          <w:rFonts w:hint="eastAsia" w:ascii="黑体" w:eastAsia="黑体" w:cs="黑体"/>
          <w:bCs w:val="0"/>
          <w:iCs/>
          <w:color w:val="000000"/>
          <w:sz w:val="32"/>
          <w:szCs w:val="32"/>
          <w:lang w:val="en-US" w:eastAsia="zh-CN"/>
        </w:rPr>
        <w:t xml:space="preserve">八</w:t>
      </w:r>
      <w:r>
        <w:rPr>
          <w:rFonts w:ascii="黑体" w:eastAsia="黑体" w:cs="黑体"/>
          <w:bCs w:val="0"/>
          <w:iCs/>
          <w:color w:val="000000"/>
          <w:sz w:val="32"/>
          <w:szCs w:val="32"/>
        </w:rPr>
        <w:t xml:space="preserve">、投标人类似业绩项目一览表</w:t>
      </w:r>
      <w:r/>
    </w:p>
    <w:tbl>
      <w:tblPr>
        <w:tblStyle w:val="844"/>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0"/>
        <w:gridCol w:w="1680"/>
        <w:gridCol w:w="1241"/>
        <w:gridCol w:w="1878"/>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jc w:val="center"/>
              <w:rPr>
                <w:bCs/>
                <w:szCs w:val="28"/>
              </w:rPr>
            </w:pPr>
            <w:r>
              <w:rPr>
                <w:rFonts w:hint="eastAsia"/>
                <w:bCs/>
                <w:szCs w:val="28"/>
              </w:rPr>
              <w:t xml:space="preserve">序号</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jc w:val="center"/>
              <w:rPr>
                <w:bCs/>
                <w:szCs w:val="28"/>
              </w:rPr>
            </w:pPr>
            <w:r>
              <w:rPr>
                <w:rFonts w:hint="eastAsia"/>
                <w:bCs/>
                <w:szCs w:val="28"/>
              </w:rPr>
              <w:t xml:space="preserve">项目名称</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jc w:val="center"/>
              <w:rPr>
                <w:bCs/>
                <w:szCs w:val="28"/>
              </w:rPr>
            </w:pPr>
            <w:r>
              <w:rPr>
                <w:rFonts w:hint="eastAsia"/>
                <w:bCs/>
                <w:szCs w:val="28"/>
              </w:rPr>
              <w:t xml:space="preserve">合同期</w:t>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jc w:val="center"/>
              <w:rPr>
                <w:bCs/>
                <w:szCs w:val="28"/>
              </w:rPr>
            </w:pPr>
            <w:r>
              <w:rPr>
                <w:rFonts w:hint="eastAsia"/>
                <w:bCs/>
                <w:szCs w:val="28"/>
              </w:rPr>
              <w:t xml:space="preserve">范围</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rPr>
                <w:bCs/>
                <w:szCs w:val="28"/>
              </w:rPr>
            </w:pPr>
            <w:r>
              <w:rPr>
                <w:rFonts w:hint="eastAsia"/>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rFonts w:hint="eastAsia"/>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rPr>
                <w:bCs/>
                <w:szCs w:val="28"/>
              </w:rPr>
            </w:pPr>
            <w:r>
              <w:rPr>
                <w:rFonts w:hint="eastAsia"/>
                <w:bCs/>
                <w:szCs w:val="28"/>
              </w:rPr>
              <w:t xml:space="preserve">1</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rPr>
                <w:bCs/>
                <w:szCs w:val="28"/>
              </w:rPr>
            </w:pPr>
            <w:r>
              <w:rPr>
                <w:rFonts w:hint="eastAsia"/>
                <w:bCs/>
                <w:szCs w:val="28"/>
              </w:rPr>
              <w:t xml:space="preserve">2</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rPr>
                <w:bCs/>
                <w:szCs w:val="28"/>
              </w:rPr>
            </w:pPr>
            <w:r>
              <w:rPr>
                <w:rFonts w:hint="eastAsia"/>
                <w:bCs/>
                <w:szCs w:val="28"/>
              </w:rPr>
              <w:t xml:space="preserve">3</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rPr>
                <w:bCs/>
                <w:szCs w:val="28"/>
              </w:rPr>
            </w:pPr>
            <w:r>
              <w:rPr>
                <w:rFonts w:hint="eastAsia"/>
                <w:bCs/>
                <w:szCs w:val="28"/>
              </w:rPr>
              <w:t xml:space="preserve">4</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rPr>
                <w:bCs/>
                <w:szCs w:val="28"/>
              </w:rPr>
            </w:pPr>
            <w:r>
              <w:rPr>
                <w:rFonts w:hint="eastAsia"/>
                <w:bCs/>
                <w:szCs w:val="28"/>
              </w:rPr>
              <w:t xml:space="preserve">5</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tbRlV"/>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54"/>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54"/>
              <w:ind w:firstLine="480"/>
              <w:jc w:val="center"/>
              <w:rPr>
                <w:bCs/>
                <w:szCs w:val="28"/>
              </w:rPr>
            </w:pPr>
            <w:r>
              <w:rPr>
                <w:bCs/>
                <w:szCs w:val="28"/>
              </w:rPr>
            </w:r>
            <w:r/>
          </w:p>
        </w:tc>
      </w:tr>
    </w:tbl>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int="eastAsia" w:hAnsi="宋体"/>
          <w:bCs/>
          <w:szCs w:val="28"/>
        </w:rPr>
        <w:t xml:space="preserve">投标人（公章）：</w:t>
      </w:r>
      <w:r/>
    </w:p>
    <w:p>
      <w:pPr>
        <w:ind w:firstLine="2940"/>
        <w:rPr>
          <w:rFonts w:hAnsi="宋体"/>
          <w:bCs/>
          <w:szCs w:val="28"/>
        </w:rPr>
      </w:pPr>
      <w:r>
        <w:rPr>
          <w:rFonts w:hint="eastAsia" w:hAnsi="宋体"/>
          <w:bCs/>
          <w:szCs w:val="28"/>
        </w:rPr>
        <w:t xml:space="preserve">法定代表人或授权委托人：（签字或盖章）</w:t>
      </w:r>
      <w:r/>
    </w:p>
    <w:p>
      <w:pPr>
        <w:ind w:firstLine="3360"/>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jc w:val="center"/>
        <w:spacing w:before="50" w:after="50"/>
        <w:widowControl/>
        <w:rPr>
          <w:rFonts w:ascii="黑体" w:hAnsi="宋体" w:eastAsia="黑体" w:cs="黑体"/>
          <w:b/>
          <w:iCs/>
          <w:color w:val="000000"/>
          <w:sz w:val="32"/>
          <w:szCs w:val="32"/>
        </w:rPr>
      </w:pPr>
      <w:r>
        <w:rPr>
          <w:rFonts w:hint="eastAsia"/>
          <w:szCs w:val="28"/>
          <w:lang w:val="zh-CN"/>
        </w:rPr>
        <w:br w:type="page" w:clear="all"/>
      </w: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九</w:t>
      </w:r>
      <w:r>
        <w:rPr>
          <w:rFonts w:hint="eastAsia" w:ascii="黑体" w:hAnsi="宋体" w:eastAsia="黑体" w:cs="黑体"/>
          <w:b/>
          <w:i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54"/>
        <w:jc w:val="center"/>
        <w:spacing w:beforeAutospacing="0" w:afterAutospacing="0"/>
      </w:pPr>
      <w:r/>
      <w:bookmarkEnd w:id="35"/>
      <w:r/>
      <w:bookmarkEnd w:id="57"/>
      <w:r/>
      <w:bookmarkEnd w:id="102"/>
      <w:r/>
      <w:bookmarkEnd w:id="103"/>
      <w:r/>
      <w:bookmarkEnd w:id="104"/>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4"/>
      <w:r/>
      <w:bookmarkEnd w:id="125"/>
      <w:r/>
      <w:bookmarkEnd w:id="126"/>
      <w:r/>
      <w:bookmarkEnd w:id="131"/>
      <w:r/>
      <w:bookmarkEnd w:id="132"/>
      <w:r/>
      <w:bookmarkEnd w:id="139"/>
      <w:r/>
      <w:bookmarkEnd w:id="194"/>
      <w:r/>
      <w:bookmarkEnd w:id="197"/>
      <w:r/>
      <w:bookmarkEnd w:id="201"/>
      <w:r/>
      <w:bookmarkEnd w:id="202"/>
      <w:r/>
      <w:bookmarkEnd w:id="204"/>
      <w:r/>
      <w:bookmarkEnd w:id="205"/>
      <w:r/>
      <w:bookmarkEnd w:id="206"/>
      <w:r/>
      <w:bookmarkEnd w:id="207"/>
      <w:r/>
      <w:bookmarkEnd w:id="208"/>
      <w:r/>
      <w:bookmarkEnd w:id="209"/>
      <w:r/>
      <w:bookmarkEnd w:id="210"/>
      <w:r/>
      <w:bookmarkEnd w:id="211"/>
      <w:r/>
      <w:bookmarkEnd w:id="212"/>
      <w:r/>
      <w:r/>
    </w:p>
    <w:p>
      <w:r/>
      <w:r/>
    </w:p>
    <w:p>
      <w:pPr>
        <w:pStyle w:val="85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5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5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54"/>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幼圆">
    <w:panose1 w:val="02010509060101010101"/>
  </w:font>
  <w:font w:name="黑体">
    <w:panose1 w:val="02010609060101010101"/>
  </w:font>
  <w:font w:name="仿宋_GB2312">
    <w:panose1 w:val="02010609060101010101"/>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2"/>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3"/>
    <w:link w:val="841"/>
    <w:uiPriority w:val="9"/>
    <w:rPr>
      <w:rFonts w:ascii="Arial" w:hAnsi="Arial" w:eastAsia="Arial" w:cs="Arial"/>
      <w:sz w:val="40"/>
      <w:szCs w:val="40"/>
    </w:rPr>
  </w:style>
  <w:style w:type="character" w:styleId="669">
    <w:name w:val="Heading 2 Char"/>
    <w:basedOn w:val="843"/>
    <w:link w:val="842"/>
    <w:uiPriority w:val="9"/>
    <w:rPr>
      <w:rFonts w:ascii="Arial" w:hAnsi="Arial" w:eastAsia="Arial" w:cs="Arial"/>
      <w:sz w:val="34"/>
    </w:rPr>
  </w:style>
  <w:style w:type="paragraph" w:styleId="670">
    <w:name w:val="Heading 3"/>
    <w:basedOn w:val="840"/>
    <w:next w:val="840"/>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basedOn w:val="843"/>
    <w:link w:val="670"/>
    <w:uiPriority w:val="9"/>
    <w:rPr>
      <w:rFonts w:ascii="Arial" w:hAnsi="Arial" w:eastAsia="Arial" w:cs="Arial"/>
      <w:sz w:val="30"/>
      <w:szCs w:val="30"/>
    </w:rPr>
  </w:style>
  <w:style w:type="paragraph" w:styleId="672">
    <w:name w:val="Heading 4"/>
    <w:basedOn w:val="840"/>
    <w:next w:val="840"/>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basedOn w:val="843"/>
    <w:link w:val="672"/>
    <w:uiPriority w:val="9"/>
    <w:rPr>
      <w:rFonts w:ascii="Arial" w:hAnsi="Arial" w:eastAsia="Arial" w:cs="Arial"/>
      <w:b/>
      <w:bCs/>
      <w:sz w:val="26"/>
      <w:szCs w:val="26"/>
    </w:rPr>
  </w:style>
  <w:style w:type="paragraph" w:styleId="674">
    <w:name w:val="Heading 5"/>
    <w:basedOn w:val="840"/>
    <w:next w:val="840"/>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basedOn w:val="843"/>
    <w:link w:val="674"/>
    <w:uiPriority w:val="9"/>
    <w:rPr>
      <w:rFonts w:ascii="Arial" w:hAnsi="Arial" w:eastAsia="Arial" w:cs="Arial"/>
      <w:b/>
      <w:bCs/>
      <w:sz w:val="24"/>
      <w:szCs w:val="24"/>
    </w:rPr>
  </w:style>
  <w:style w:type="paragraph" w:styleId="676">
    <w:name w:val="Heading 6"/>
    <w:basedOn w:val="840"/>
    <w:next w:val="840"/>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basedOn w:val="843"/>
    <w:link w:val="676"/>
    <w:uiPriority w:val="9"/>
    <w:rPr>
      <w:rFonts w:ascii="Arial" w:hAnsi="Arial" w:eastAsia="Arial" w:cs="Arial"/>
      <w:b/>
      <w:bCs/>
      <w:sz w:val="22"/>
      <w:szCs w:val="22"/>
    </w:rPr>
  </w:style>
  <w:style w:type="paragraph" w:styleId="678">
    <w:name w:val="Heading 7"/>
    <w:basedOn w:val="840"/>
    <w:next w:val="840"/>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basedOn w:val="843"/>
    <w:link w:val="678"/>
    <w:uiPriority w:val="9"/>
    <w:rPr>
      <w:rFonts w:ascii="Arial" w:hAnsi="Arial" w:eastAsia="Arial" w:cs="Arial"/>
      <w:b/>
      <w:bCs/>
      <w:i/>
      <w:iCs/>
      <w:sz w:val="22"/>
      <w:szCs w:val="22"/>
    </w:rPr>
  </w:style>
  <w:style w:type="paragraph" w:styleId="680">
    <w:name w:val="Heading 8"/>
    <w:basedOn w:val="840"/>
    <w:next w:val="840"/>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basedOn w:val="843"/>
    <w:link w:val="680"/>
    <w:uiPriority w:val="9"/>
    <w:rPr>
      <w:rFonts w:ascii="Arial" w:hAnsi="Arial" w:eastAsia="Arial" w:cs="Arial"/>
      <w:i/>
      <w:iCs/>
      <w:sz w:val="22"/>
      <w:szCs w:val="22"/>
    </w:rPr>
  </w:style>
  <w:style w:type="paragraph" w:styleId="682">
    <w:name w:val="Heading 9"/>
    <w:basedOn w:val="840"/>
    <w:next w:val="840"/>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basedOn w:val="843"/>
    <w:link w:val="682"/>
    <w:uiPriority w:val="9"/>
    <w:rPr>
      <w:rFonts w:ascii="Arial" w:hAnsi="Arial" w:eastAsia="Arial" w:cs="Arial"/>
      <w:i/>
      <w:iCs/>
      <w:sz w:val="21"/>
      <w:szCs w:val="21"/>
    </w:rPr>
  </w:style>
  <w:style w:type="paragraph" w:styleId="684">
    <w:name w:val="No Spacing"/>
    <w:uiPriority w:val="1"/>
    <w:qFormat/>
    <w:pPr>
      <w:spacing w:before="0" w:after="0" w:line="240" w:lineRule="auto"/>
    </w:pPr>
  </w:style>
  <w:style w:type="paragraph" w:styleId="685">
    <w:name w:val="Title"/>
    <w:basedOn w:val="840"/>
    <w:next w:val="840"/>
    <w:link w:val="686"/>
    <w:uiPriority w:val="10"/>
    <w:qFormat/>
    <w:pPr>
      <w:contextualSpacing/>
      <w:spacing w:before="300" w:after="200"/>
    </w:pPr>
    <w:rPr>
      <w:sz w:val="48"/>
      <w:szCs w:val="48"/>
    </w:rPr>
  </w:style>
  <w:style w:type="character" w:styleId="686">
    <w:name w:val="Title Char"/>
    <w:basedOn w:val="843"/>
    <w:link w:val="685"/>
    <w:uiPriority w:val="10"/>
    <w:rPr>
      <w:sz w:val="48"/>
      <w:szCs w:val="48"/>
    </w:rPr>
  </w:style>
  <w:style w:type="paragraph" w:styleId="687">
    <w:name w:val="Subtitle"/>
    <w:basedOn w:val="840"/>
    <w:next w:val="840"/>
    <w:link w:val="688"/>
    <w:uiPriority w:val="11"/>
    <w:qFormat/>
    <w:pPr>
      <w:spacing w:before="200" w:after="200"/>
    </w:pPr>
    <w:rPr>
      <w:sz w:val="24"/>
      <w:szCs w:val="24"/>
    </w:rPr>
  </w:style>
  <w:style w:type="character" w:styleId="688">
    <w:name w:val="Subtitle Char"/>
    <w:basedOn w:val="843"/>
    <w:link w:val="687"/>
    <w:uiPriority w:val="11"/>
    <w:rPr>
      <w:sz w:val="24"/>
      <w:szCs w:val="24"/>
    </w:rPr>
  </w:style>
  <w:style w:type="paragraph" w:styleId="689">
    <w:name w:val="Quote"/>
    <w:basedOn w:val="840"/>
    <w:next w:val="840"/>
    <w:link w:val="690"/>
    <w:uiPriority w:val="29"/>
    <w:qFormat/>
    <w:pPr>
      <w:ind w:left="720" w:right="720"/>
    </w:pPr>
    <w:rPr>
      <w:i/>
    </w:rPr>
  </w:style>
  <w:style w:type="character" w:styleId="690">
    <w:name w:val="Quote Char"/>
    <w:link w:val="689"/>
    <w:uiPriority w:val="29"/>
    <w:rPr>
      <w:i/>
    </w:rPr>
  </w:style>
  <w:style w:type="paragraph" w:styleId="691">
    <w:name w:val="Intense Quote"/>
    <w:basedOn w:val="840"/>
    <w:next w:val="840"/>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character" w:styleId="693">
    <w:name w:val="Header Char"/>
    <w:basedOn w:val="843"/>
    <w:link w:val="853"/>
    <w:uiPriority w:val="99"/>
  </w:style>
  <w:style w:type="character" w:styleId="694">
    <w:name w:val="Footer Char"/>
    <w:basedOn w:val="843"/>
    <w:link w:val="852"/>
    <w:uiPriority w:val="99"/>
  </w:style>
  <w:style w:type="paragraph" w:styleId="695">
    <w:name w:val="Caption"/>
    <w:basedOn w:val="840"/>
    <w:next w:val="840"/>
    <w:uiPriority w:val="35"/>
    <w:semiHidden/>
    <w:unhideWhenUsed/>
    <w:qFormat/>
    <w:pPr>
      <w:spacing w:line="276" w:lineRule="auto"/>
    </w:pPr>
    <w:rPr>
      <w:b/>
      <w:bCs/>
      <w:color w:val="4f81bd" w:themeColor="accent1"/>
      <w:sz w:val="18"/>
      <w:szCs w:val="18"/>
    </w:rPr>
  </w:style>
  <w:style w:type="character" w:styleId="696">
    <w:name w:val="Caption Char"/>
    <w:basedOn w:val="695"/>
    <w:link w:val="852"/>
    <w:uiPriority w:val="99"/>
  </w:style>
  <w:style w:type="table" w:styleId="697">
    <w:name w:val="Table Grid"/>
    <w:basedOn w:val="8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3"/>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3"/>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next w:val="84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1">
    <w:name w:val="Heading 1"/>
    <w:basedOn w:val="840"/>
    <w:next w:val="840"/>
    <w:uiPriority w:val="0"/>
    <w:qFormat/>
    <w:pPr>
      <w:jc w:val="center"/>
      <w:keepNext/>
      <w:outlineLvl w:val="0"/>
    </w:pPr>
    <w:rPr>
      <w:rFonts w:ascii="楷体_GB2312" w:eastAsia="楷体_GB2312"/>
      <w:szCs w:val="28"/>
    </w:rPr>
  </w:style>
  <w:style w:type="paragraph" w:styleId="842">
    <w:name w:val="Heading 2"/>
    <w:basedOn w:val="840"/>
    <w:next w:val="84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Body Text First Indent 2"/>
    <w:basedOn w:val="846"/>
    <w:next w:val="840"/>
    <w:uiPriority w:val="0"/>
    <w:qFormat/>
    <w:pPr>
      <w:ind w:firstLine="420"/>
      <w:spacing w:line="360" w:lineRule="auto"/>
    </w:pPr>
    <w:rPr>
      <w:rFonts w:ascii="宋体" w:hAnsi="宋体" w:eastAsia="宋体"/>
      <w:sz w:val="21"/>
      <w:szCs w:val="20"/>
    </w:rPr>
  </w:style>
  <w:style w:type="paragraph" w:styleId="846">
    <w:name w:val="Body Text Indent"/>
    <w:basedOn w:val="840"/>
    <w:next w:val="847"/>
    <w:uiPriority w:val="0"/>
    <w:qFormat/>
    <w:pPr>
      <w:ind w:firstLine="645"/>
    </w:pPr>
    <w:rPr>
      <w:rFonts w:ascii="楷体_GB2312" w:eastAsia="楷体_GB2312"/>
      <w:sz w:val="32"/>
      <w:szCs w:val="32"/>
    </w:rPr>
  </w:style>
  <w:style w:type="paragraph" w:styleId="847">
    <w:name w:val="envelope return"/>
    <w:basedOn w:val="840"/>
    <w:uiPriority w:val="99"/>
    <w:qFormat/>
    <w:rPr>
      <w:rFonts w:ascii="Arial" w:hAnsi="Arial" w:cs="Arial"/>
    </w:rPr>
  </w:style>
  <w:style w:type="paragraph" w:styleId="848">
    <w:name w:val="annotation text"/>
    <w:basedOn w:val="840"/>
    <w:uiPriority w:val="99"/>
    <w:semiHidden/>
    <w:qFormat/>
    <w:pPr>
      <w:jc w:val="left"/>
    </w:pPr>
    <w:rPr>
      <w:lang w:val="zh-CN"/>
    </w:rPr>
  </w:style>
  <w:style w:type="paragraph" w:styleId="849">
    <w:name w:val="Body Text"/>
    <w:basedOn w:val="840"/>
    <w:next w:val="840"/>
    <w:uiPriority w:val="0"/>
    <w:qFormat/>
    <w:rPr>
      <w:rFonts w:ascii="楷体_GB2312" w:hAnsi="Arial" w:eastAsia="楷体_GB2312"/>
      <w:sz w:val="28"/>
      <w:szCs w:val="28"/>
    </w:rPr>
  </w:style>
  <w:style w:type="paragraph" w:styleId="850">
    <w:name w:val="Block Text"/>
    <w:basedOn w:val="840"/>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1">
    <w:name w:val="Body Text Indent 2"/>
    <w:basedOn w:val="840"/>
    <w:uiPriority w:val="0"/>
    <w:qFormat/>
    <w:pPr>
      <w:ind w:left="630" w:firstLine="645"/>
    </w:pPr>
    <w:rPr>
      <w:rFonts w:ascii="Arial" w:hAnsi="Arial" w:eastAsia="仿宋_GB2312" w:cs="Arial"/>
      <w:sz w:val="32"/>
      <w:szCs w:val="32"/>
    </w:rPr>
  </w:style>
  <w:style w:type="paragraph" w:styleId="852">
    <w:name w:val="Footer"/>
    <w:basedOn w:val="840"/>
    <w:link w:val="862"/>
    <w:uiPriority w:val="0"/>
    <w:qFormat/>
    <w:pPr>
      <w:jc w:val="left"/>
      <w:tabs>
        <w:tab w:val="center" w:pos="4153" w:leader="none"/>
        <w:tab w:val="right" w:pos="8306" w:leader="none"/>
      </w:tabs>
    </w:pPr>
    <w:rPr>
      <w:sz w:val="18"/>
      <w:szCs w:val="18"/>
    </w:rPr>
  </w:style>
  <w:style w:type="paragraph" w:styleId="853">
    <w:name w:val="Header"/>
    <w:basedOn w:val="840"/>
    <w:link w:val="861"/>
    <w:uiPriority w:val="0"/>
    <w:qFormat/>
    <w:pPr>
      <w:jc w:val="center"/>
      <w:tabs>
        <w:tab w:val="center" w:pos="4153" w:leader="none"/>
        <w:tab w:val="right" w:pos="8306" w:leader="none"/>
      </w:tabs>
      <w:pBdr>
        <w:bottom w:val="single" w:color="auto" w:sz="6" w:space="1"/>
      </w:pBdr>
    </w:pPr>
    <w:rPr>
      <w:sz w:val="18"/>
      <w:szCs w:val="18"/>
    </w:rPr>
  </w:style>
  <w:style w:type="paragraph" w:styleId="854">
    <w:name w:val="Normal (Web)"/>
    <w:basedOn w:val="840"/>
    <w:uiPriority w:val="0"/>
    <w:qFormat/>
    <w:pPr>
      <w:jc w:val="left"/>
      <w:spacing w:beforeAutospacing="1" w:afterAutospacing="1"/>
    </w:pPr>
    <w:rPr>
      <w:rFonts w:cs="Times New Roman"/>
      <w:sz w:val="24"/>
    </w:rPr>
  </w:style>
  <w:style w:type="character" w:styleId="855">
    <w:name w:val="Strong"/>
    <w:basedOn w:val="843"/>
    <w:uiPriority w:val="0"/>
    <w:qFormat/>
    <w:rPr>
      <w:b/>
    </w:rPr>
  </w:style>
  <w:style w:type="character" w:styleId="856">
    <w:name w:val="Hyperlink"/>
    <w:basedOn w:val="843"/>
    <w:uiPriority w:val="0"/>
    <w:qFormat/>
    <w:rPr>
      <w:color w:val="0000ff"/>
      <w:u w:val="single"/>
    </w:rPr>
  </w:style>
  <w:style w:type="paragraph" w:styleId="857" w:customStyle="1">
    <w:name w:val="一级条标题"/>
    <w:basedOn w:val="858"/>
    <w:next w:val="859"/>
    <w:uiPriority w:val="0"/>
    <w:unhideWhenUsed/>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0"/>
    <w:uiPriority w:val="0"/>
    <w:unhideWhenUsed/>
    <w:qFormat/>
    <w:pPr>
      <w:ind w:left="810" w:hanging="810"/>
      <w:jc w:val="both"/>
      <w:spacing w:before="50" w:after="50"/>
      <w:tabs>
        <w:tab w:val="left" w:pos="810" w:leader="none"/>
        <w:tab w:val="left" w:pos="1265" w:leader="none"/>
      </w:tabs>
      <w:outlineLvl w:val="1"/>
    </w:pPr>
    <w:rPr>
      <w:rFonts w:ascii="黑体" w:hAnsi="Calibri" w:eastAsia="黑体" w:cs="宋体"/>
      <w:sz w:val="21"/>
      <w:szCs w:val="22"/>
      <w:lang w:val="en-US" w:eastAsia="zh-CN" w:bidi="ar-SA"/>
    </w:rPr>
  </w:style>
  <w:style w:type="paragraph" w:styleId="859" w:customStyle="1">
    <w:name w:val="段"/>
    <w:next w:val="840"/>
    <w:uiPriority w:val="0"/>
    <w:qFormat/>
    <w:pPr>
      <w:ind w:firstLine="200"/>
      <w:jc w:val="both"/>
    </w:pPr>
    <w:rPr>
      <w:rFonts w:ascii="宋体" w:hAnsi="Times New Roman" w:eastAsia="宋体" w:cs="Times New Roman"/>
      <w:sz w:val="21"/>
      <w:lang w:val="en-US" w:eastAsia="zh-CN" w:bidi="ar-SA"/>
    </w:rPr>
  </w:style>
  <w:style w:type="paragraph" w:styleId="860" w:customStyle="1">
    <w:name w:val="Body Text1"/>
    <w:basedOn w:val="840"/>
    <w:next w:val="840"/>
    <w:uiPriority w:val="0"/>
    <w:qFormat/>
    <w:pPr>
      <w:spacing w:after="120"/>
    </w:pPr>
  </w:style>
  <w:style w:type="character" w:styleId="861" w:customStyle="1">
    <w:name w:val="页眉 Char"/>
    <w:basedOn w:val="843"/>
    <w:link w:val="853"/>
    <w:uiPriority w:val="0"/>
    <w:qFormat/>
    <w:rPr>
      <w:rFonts w:asciiTheme="minorHAnsi" w:hAnsiTheme="minorHAnsi" w:eastAsiaTheme="minorEastAsia" w:cstheme="minorBidi"/>
      <w:sz w:val="18"/>
      <w:szCs w:val="18"/>
    </w:rPr>
  </w:style>
  <w:style w:type="character" w:styleId="862" w:customStyle="1">
    <w:name w:val="页脚 Char"/>
    <w:basedOn w:val="843"/>
    <w:link w:val="852"/>
    <w:uiPriority w:val="0"/>
    <w:qFormat/>
    <w:rPr>
      <w:rFonts w:asciiTheme="minorHAnsi" w:hAnsiTheme="minorHAnsi" w:eastAsiaTheme="minorEastAsia" w:cstheme="minorBidi"/>
      <w:sz w:val="18"/>
      <w:szCs w:val="18"/>
    </w:rPr>
  </w:style>
  <w:style w:type="paragraph" w:styleId="863">
    <w:name w:val="List Paragraph"/>
    <w:basedOn w:val="840"/>
    <w:uiPriority w:val="34"/>
    <w:qFormat/>
    <w:pPr>
      <w:ind w:firstLine="420"/>
    </w:pPr>
  </w:style>
  <w:style w:type="paragraph" w:styleId="864" w:customStyle="1">
    <w:name w:val="BodyText"/>
    <w:basedOn w:val="840"/>
    <w:next w:val="865"/>
    <w:uiPriority w:val="0"/>
    <w:qFormat/>
    <w:pPr>
      <w:jc w:val="left"/>
      <w:widowControl/>
    </w:pPr>
    <w:rPr>
      <w:rFonts w:ascii="宋体" w:hAnsi="宋体"/>
      <w:lang w:val="zh-CN" w:bidi="zh-CN"/>
    </w:rPr>
  </w:style>
  <w:style w:type="paragraph" w:styleId="865" w:customStyle="1">
    <w:name w:val="PlainText"/>
    <w:basedOn w:val="840"/>
    <w:uiPriority w:val="0"/>
    <w:qFormat/>
    <w:pPr>
      <w:jc w:val="left"/>
      <w:widowControl/>
    </w:pPr>
    <w:rPr>
      <w:rFonts w:ascii="宋体" w:hAnsi="Courier New"/>
      <w:szCs w:val="22"/>
    </w:rPr>
  </w:style>
  <w:style w:type="character" w:styleId="866" w:customStyle="1">
    <w:name w:val="NormalCharacter"/>
    <w:uiPriority w:val="0"/>
    <w:qFormat/>
  </w:style>
  <w:style w:type="paragraph" w:styleId="867" w:customStyle="1">
    <w:name w:val="普通正文"/>
    <w:basedOn w:val="840"/>
    <w:uiPriority w:val="99"/>
    <w:qFormat/>
    <w:pPr>
      <w:ind w:firstLine="480"/>
      <w:jc w:val="left"/>
      <w:spacing w:before="120" w:after="120" w:line="360" w:lineRule="auto"/>
    </w:pPr>
    <w:rPr>
      <w:rFonts w:ascii="Arial" w:hAnsi="Arial"/>
      <w:sz w:val="24"/>
    </w:rPr>
  </w:style>
  <w:style w:type="paragraph" w:styleId="868" w:customStyle="1">
    <w:name w:val="文本块1"/>
    <w:basedOn w:val="840"/>
    <w:uiPriority w:val="99"/>
    <w:qFormat/>
    <w:pPr>
      <w:ind w:left="1440" w:right="1440"/>
      <w:spacing w:after="120"/>
      <w:tabs>
        <w:tab w:val="left" w:pos="9000" w:leader="none"/>
      </w:tabs>
    </w:pPr>
  </w:style>
  <w:style w:type="paragraph" w:styleId="869" w:customStyle="1">
    <w:name w:val="正文空2格  1."/>
    <w:basedOn w:val="840"/>
    <w:uiPriority w:val="0"/>
    <w:qFormat/>
    <w:pPr>
      <w:ind w:firstLine="480"/>
    </w:pPr>
    <w:rPr>
      <w:rFonts w:cs="宋体"/>
      <w:szCs w:val="20"/>
    </w:rPr>
  </w:style>
  <w:style w:type="paragraph" w:styleId="870" w:customStyle="1">
    <w:name w:val="列出段落3"/>
    <w:basedOn w:val="840"/>
    <w:uiPriority w:val="0"/>
    <w:qFormat/>
    <w:pPr>
      <w:ind w:firstLine="420"/>
    </w:pPr>
    <w:rPr>
      <w:szCs w:val="20"/>
    </w:rPr>
  </w:style>
  <w:style w:type="paragraph" w:styleId="871" w:customStyle="1">
    <w:name w:val="正文文本1"/>
    <w:basedOn w:val="840"/>
    <w:next w:val="872"/>
    <w:uiPriority w:val="0"/>
    <w:qFormat/>
    <w:rPr>
      <w:sz w:val="24"/>
    </w:rPr>
  </w:style>
  <w:style w:type="paragraph" w:styleId="872" w:customStyle="1">
    <w:name w:val="正文缩进1"/>
    <w:basedOn w:val="840"/>
    <w:next w:val="840"/>
    <w:uiPriority w:val="0"/>
    <w:qFormat/>
    <w:pPr>
      <w:ind w:firstLine="420"/>
      <w:jc w:val="left"/>
    </w:pPr>
    <w:rPr>
      <w:rFonts w:eastAsia="楷体_GB2312"/>
      <w:sz w:val="24"/>
    </w:rPr>
  </w:style>
  <w:style w:type="paragraph" w:styleId="873" w:customStyle="1">
    <w:name w:val="报告正文"/>
    <w:basedOn w:val="840"/>
    <w:uiPriority w:val="0"/>
    <w:qFormat/>
    <w:pPr>
      <w:ind w:firstLine="200"/>
      <w:spacing w:line="360" w:lineRule="auto"/>
    </w:pPr>
    <w:rPr>
      <w:rFonts w:ascii="Times New Roman" w:hAnsi="Times New Roman" w:eastAsia="宋体" w:cs="Times New Roman"/>
      <w:sz w:val="28"/>
      <w:szCs w:val="24"/>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王伟</cp:lastModifiedBy>
  <cp:revision>8</cp:revision>
  <dcterms:created xsi:type="dcterms:W3CDTF">2024-08-29T00:04:00Z</dcterms:created>
  <dcterms:modified xsi:type="dcterms:W3CDTF">2024-11-15T08:44:09Z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1F2695F7557644B78123F90A31810F4F_13</vt:lpwstr>
  </property>
</Properties>
</file>