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8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w:t>
      </w:r>
      <w:r>
        <w:rPr>
          <w:rFonts w:ascii="Arial" w:hAnsi="Arial" w:eastAsia="Arial" w:cs="Arial"/>
          <w:b/>
          <w:color w:val="000000"/>
          <w:sz w:val="84"/>
        </w:rPr>
        <w:t xml:space="preserve"> </w:t>
      </w:r>
      <w:r>
        <w:rPr>
          <w:rFonts w:ascii="SimHei" w:hAnsi="SimHei" w:eastAsia="SimHei" w:cs="SimHei"/>
          <w:b/>
          <w:color w:val="000000"/>
          <w:sz w:val="84"/>
        </w:rPr>
        <w:t xml:space="preserve">标</w:t>
      </w:r>
      <w:r>
        <w:rPr>
          <w:rFonts w:ascii="Arial" w:hAnsi="Arial" w:eastAsia="Arial" w:cs="Arial"/>
          <w:b/>
          <w:color w:val="000000"/>
          <w:sz w:val="84"/>
        </w:rPr>
        <w:t xml:space="preserve"> </w:t>
      </w:r>
      <w:r>
        <w:rPr>
          <w:rFonts w:ascii="SimHei" w:hAnsi="SimHei" w:eastAsia="SimHei" w:cs="SimHei"/>
          <w:b/>
          <w:color w:val="000000"/>
          <w:sz w:val="84"/>
        </w:rPr>
        <w:t xml:space="preserve">文</w:t>
      </w:r>
      <w:r>
        <w:rPr>
          <w:rFonts w:ascii="Arial" w:hAnsi="Arial" w:eastAsia="Arial" w:cs="Arial"/>
          <w:b/>
          <w:color w:val="000000"/>
          <w:sz w:val="84"/>
        </w:rPr>
        <w:t xml:space="preserve"> </w:t>
      </w:r>
      <w:r>
        <w:rPr>
          <w:rFonts w:ascii="SimHei" w:hAnsi="SimHei" w:eastAsia="SimHei" w:cs="SimHei"/>
          <w:b/>
          <w:color w:val="000000"/>
          <w:sz w:val="84"/>
        </w:rPr>
        <w:t xml:space="preserve">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highlight w:val="yellow"/>
        </w:rPr>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Arial" w:hAnsi="Arial" w:eastAsia="Arial" w:cs="Arial"/>
          <w:b/>
          <w:color w:val="000000"/>
          <w:sz w:val="32"/>
        </w:rPr>
        <w:t xml:space="preserve">JSZC-320830-ZQHJ-G2024-0073</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894"/>
        <w:jc w:val="both"/>
        <w:spacing w:before="120" w:after="12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b/>
          <w:color w:val="000000"/>
          <w:sz w:val="30"/>
          <w:u w:val="none"/>
        </w:rPr>
        <w:t xml:space="preserve">盱眙县公安局食堂食材采购项目</w:t>
      </w:r>
      <w:r/>
    </w:p>
    <w:p>
      <w:pPr>
        <w:ind w:left="0" w:right="0" w:firstLine="894"/>
        <w:spacing w:before="120" w:after="12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w:t>
      </w:r>
      <w:r>
        <w:rPr>
          <w:rFonts w:ascii="Arial" w:hAnsi="Arial" w:eastAsia="Arial" w:cs="Arial"/>
          <w:b/>
          <w:color w:val="000000"/>
          <w:sz w:val="30"/>
        </w:rPr>
        <w:t xml:space="preserve"> </w:t>
      </w:r>
      <w:r>
        <w:rPr>
          <w:rFonts w:ascii="SimSun" w:hAnsi="SimSun" w:eastAsia="SimSun" w:cs="SimSun"/>
          <w:b/>
          <w:color w:val="000000"/>
          <w:sz w:val="30"/>
        </w:rPr>
        <w:t xml:space="preserve">购</w:t>
      </w:r>
      <w:r>
        <w:rPr>
          <w:rFonts w:ascii="Arial" w:hAnsi="Arial" w:eastAsia="Arial" w:cs="Arial"/>
          <w:b/>
          <w:color w:val="000000"/>
          <w:sz w:val="30"/>
        </w:rPr>
        <w:t xml:space="preserve"> </w:t>
      </w:r>
      <w:r>
        <w:rPr>
          <w:rFonts w:ascii="SimSun" w:hAnsi="SimSun" w:eastAsia="SimSun" w:cs="SimSun"/>
          <w:b/>
          <w:color w:val="000000"/>
          <w:sz w:val="30"/>
        </w:rPr>
        <w:t xml:space="preserve">人：盱眙县公安局</w:t>
      </w:r>
      <w:r/>
    </w:p>
    <w:p>
      <w:pPr>
        <w:ind w:left="0" w:right="0" w:firstLine="894"/>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代理单位：中企华建友工程管理有限公司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16"/>
          <w:highlight w:val="whit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2024</w:t>
      </w:r>
      <w:r>
        <w:rPr>
          <w:rFonts w:ascii="SimSun" w:hAnsi="SimSun" w:eastAsia="SimSun" w:cs="SimSun"/>
          <w:b/>
          <w:color w:val="000000"/>
          <w:sz w:val="32"/>
        </w:rPr>
        <w:t xml:space="preserve">年</w:t>
      </w:r>
      <w:r>
        <w:rPr>
          <w:rFonts w:ascii="Arial" w:hAnsi="Arial" w:eastAsia="Arial" w:cs="Arial"/>
          <w:b/>
          <w:color w:val="000000"/>
          <w:sz w:val="32"/>
        </w:rPr>
        <w:t xml:space="preserve">9</w:t>
      </w:r>
      <w:r>
        <w:rPr>
          <w:rFonts w:ascii="SimSun" w:hAnsi="SimSun" w:eastAsia="SimSun" w:cs="SimSun"/>
          <w:b/>
          <w:color w:val="000000"/>
          <w:sz w:val="32"/>
        </w:rPr>
        <w:t xml:space="preserve">月</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Hei" w:hAnsi="SimHei" w:eastAsia="SimHei" w:cs="SimHei"/>
          <w:b/>
          <w:color w:val="000000"/>
          <w:sz w:val="44"/>
        </w:rPr>
        <w:t xml:space="preserve">总  目  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27"/>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w:t>
      </w:r>
      <w:r/>
    </w:p>
    <w:p>
      <w:pPr>
        <w:numPr>
          <w:ilvl w:val="0"/>
          <w:numId w:val="27"/>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w:t>
      </w:r>
      <w:r/>
    </w:p>
    <w:p>
      <w:pPr>
        <w:numPr>
          <w:ilvl w:val="0"/>
          <w:numId w:val="27"/>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27"/>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27"/>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numPr>
          <w:ilvl w:val="0"/>
          <w:numId w:val="27"/>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
        <w:rPr>
          <w:rFonts w:ascii="Times New Roman" w:hAnsi="Times New Roman" w:eastAsia="Times New Roman" w:cs="Times New Roman"/>
          <w:color w:val="000000"/>
          <w:sz w:val="21"/>
        </w:rPr>
      </w:r>
      <w:r/>
      <w:r>
        <w:rPr>
          <w:rFonts w:ascii="Calibri" w:hAnsi="Calibri" w:eastAsia="Calibri" w:cs="Calibri"/>
          <w:sz w:val="21"/>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  投标邀请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项目概况：盱眙县公安局食堂食材采购项目JSZC-320830-ZQHJ-G2024-0073招标项目的潜在投标人应在江苏政府采购网或淮安市政府采购网苏采云系统获取招标文件，并于2024-10-16 09:00（北京时间）前递交投标文件。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1.项目编号：JSZC-320830-ZQHJ-G2024-0073</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2.项目名称：盱眙县公安局食堂食材采购项目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3.预算金额：270万元</w:t>
      </w:r>
      <w:r/>
    </w:p>
    <w:p>
      <w:pPr>
        <w:pStyle w:val="723"/>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w:t>
      </w:r>
      <w:r>
        <w:rPr>
          <w:rFonts w:ascii="SimSun" w:hAnsi="SimSun" w:eastAsia="SimSun" w:cs="SimSun"/>
          <w:color w:val="000000"/>
          <w:sz w:val="24"/>
          <w:u w:val="none"/>
        </w:rPr>
        <w:t xml:space="preserve">243</w:t>
      </w:r>
      <w:r>
        <w:rPr>
          <w:rFonts w:ascii="SimSun" w:hAnsi="SimSun" w:eastAsia="SimSun" w:cs="SimSun"/>
          <w:color w:val="000000"/>
          <w:sz w:val="24"/>
        </w:rPr>
        <w:t xml:space="preserve">万元，综合优惠折扣率</w:t>
      </w:r>
      <w:r>
        <w:rPr>
          <w:rFonts w:ascii="SimSun" w:hAnsi="SimSun" w:eastAsia="SimSun" w:cs="SimSun"/>
          <w:color w:val="000000"/>
          <w:sz w:val="24"/>
          <w:u w:val="none"/>
        </w:rPr>
        <w:t xml:space="preserve">100%</w:t>
      </w:r>
      <w:r>
        <w:rPr>
          <w:rFonts w:ascii="SimSun" w:hAnsi="SimSun" w:eastAsia="SimSun" w:cs="SimSun"/>
          <w:color w:val="000000"/>
          <w:sz w:val="24"/>
        </w:rPr>
        <w:t xml:space="preserve">（报价高于限价的，视为重大偏差，作废标处理）</w:t>
      </w:r>
      <w:r/>
    </w:p>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w:t>
      </w:r>
      <w:r>
        <w:rPr>
          <w:rFonts w:ascii="SimSun" w:hAnsi="SimSun" w:eastAsia="SimSun" w:cs="SimSun"/>
          <w:color w:val="000000"/>
          <w:sz w:val="24"/>
          <w:u w:val="none"/>
        </w:rPr>
        <w:t xml:space="preserve">盱眙县公安局食堂食材采购项目（详细内容见本招标文件第四章）</w:t>
      </w:r>
      <w:r/>
    </w:p>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6.合同履行期限：1年</w:t>
      </w:r>
      <w:r/>
    </w:p>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7.本项目（是/否）接受联合体投标：否</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1.1供应商可任选其中一项（提供下列任一项材料即可，原件扫描件上传电子标书）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（1）法定代表人资格证明（格式按照示范格式一要求）和法定代表人身份证</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（2）授权委托书（格式按照示范格式二要求）和受托人身份证</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1.2有效的营业执照(原件扫描件上传电子标书)；</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1.3符合《中华人民共和国政府采购法》第二十二条规定及承诺书(格式按照示范格式三要求，原件扫描件上传电子标书)；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1.4供应商信用承诺书（格式按照示范格式四要求，原件扫描件上传电子标书）；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1.5服务承诺（格式自拟，原件扫描件上传电子标书）；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供应商未被“信用中国”网（https：//www.creditchina.gov.cn/）列入失信被执行人、重大税收违法案件当事人名单。供应商未被“中国政府采购网”（http：//www.ccgp.gov.cn/）列入政府采购严重违法失信行为记录名单。由采购单位（采购代理单位）在资格审查时查询，一旦被查询存在上述失信行为记录名单的，将视为资格审查不通过）。</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color w:val="000000"/>
          <w:sz w:val="24"/>
          <w:u w:val="none"/>
        </w:rPr>
        <w:t xml:space="preserve">落实政府采购政策需满足的资格要求</w:t>
      </w:r>
      <w:r>
        <w:rPr>
          <w:rFonts w:ascii="SimSun" w:hAnsi="SimSun" w:eastAsia="SimSun" w:cs="SimSun"/>
          <w:color w:val="000000"/>
          <w:sz w:val="24"/>
        </w:rPr>
        <w:t xml:space="preserve">：</w:t>
      </w:r>
      <w:r/>
    </w:p>
    <w:p>
      <w:pPr>
        <w:ind w:left="0" w:right="0" w:firstLine="48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本项目按照以下第</w:t>
      </w:r>
      <w:r>
        <w:rPr>
          <w:rFonts w:ascii="SimSun" w:hAnsi="SimSun" w:eastAsia="SimSun" w:cs="SimSun"/>
          <w:color w:val="000000"/>
          <w:sz w:val="24"/>
          <w:highlight w:val="white"/>
          <w:u w:val="single"/>
        </w:rPr>
        <w:t xml:space="preserve">3</w:t>
      </w:r>
      <w:r>
        <w:rPr>
          <w:rFonts w:ascii="SimSun" w:hAnsi="SimSun" w:eastAsia="SimSun" w:cs="SimSun"/>
          <w:color w:val="000000"/>
          <w:sz w:val="24"/>
          <w:highlight w:val="white"/>
        </w:rPr>
        <w:t xml:space="preserve">种方式落实政府采购促进中小企业发展的要求：</w:t>
      </w:r>
      <w:r/>
    </w:p>
    <w:p>
      <w:pPr>
        <w:ind w:left="0" w:right="0" w:firstLine="48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1、本项目为专门面向中小企业采购的项目。</w:t>
      </w:r>
      <w:r/>
    </w:p>
    <w:p>
      <w:pPr>
        <w:ind w:left="0" w:right="0" w:firstLine="48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2、本项目通过以下第（ ）种方式预留部分采购份额采购中小企业服务：</w:t>
      </w:r>
      <w:r/>
    </w:p>
    <w:p>
      <w:pPr>
        <w:ind w:left="0" w:right="0" w:firstLine="48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（1）本项目要求供应商以联合体形式参加，中小企业合同金额应当达到的比例为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%，其中小微企业所占比例应为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%（两项比例均应符合《政府采购促进中小企业发展管理办法》第八条规定）。</w:t>
      </w:r>
      <w:r/>
    </w:p>
    <w:p>
      <w:pPr>
        <w:ind w:left="0" w:right="0" w:firstLine="48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（2）本项目要求供应商进行合同分包，中小企业合同金额应当达到的比例为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%，其中小微企业所占比例应为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%（两项比例均应符合《政府采购促进中小企业发展管理办法》第八条规定）。</w:t>
      </w:r>
      <w:r/>
    </w:p>
    <w:p>
      <w:pPr>
        <w:ind w:left="0" w:right="0" w:firstLine="48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rPr>
          <w:rFonts w:ascii="SimSun" w:hAnsi="SimSun" w:eastAsia="SimSun" w:cs="SimSun"/>
          <w:color w:val="000000"/>
          <w:sz w:val="24"/>
          <w:highlight w:val="white"/>
          <w:u w:val="none"/>
        </w:rPr>
        <w:t xml:space="preserve">本项目为非预留份额的采购项目，对小微企业报价给予扣除，用扣除后的价格参加评审，具体详见招标文件第五章</w:t>
      </w:r>
      <w:r>
        <w:rPr>
          <w:rFonts w:ascii="SimSun" w:hAnsi="SimSun" w:eastAsia="SimSun" w:cs="SimSun"/>
          <w:color w:val="000000"/>
          <w:sz w:val="24"/>
          <w:highlight w:val="white"/>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4、本项目采购标的对应的中小企业划分标准所属行业为</w:t>
      </w:r>
      <w:r>
        <w:rPr>
          <w:rFonts w:ascii="SimSun" w:hAnsi="SimSun" w:eastAsia="SimSun" w:cs="SimSun"/>
          <w:color w:val="000000"/>
          <w:sz w:val="24"/>
          <w:u w:val="single"/>
        </w:rPr>
        <w:t xml:space="preserve">批发行业</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监狱企业、残疾人福利性单位、符合中小企业划分标准的个体工商户视同小微企业。提供下列任一项材料即可（扫描件上传至电子投标文件）：中小企业声明函或残疾人福利性单位声明函或由省级以上监狱管理局、戒毒管理局（含新疆生产建设兵团）出具的属于监狱企业的证明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48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时间：2024年09月25日至2024年10月08日，每天上午00:00-12:00，下午12:00-23:59（北京时间，法定节假日除外）</w:t>
      </w:r>
      <w:r/>
    </w:p>
    <w:p>
      <w:pPr>
        <w:ind w:left="0" w:right="0" w:firstLine="48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地点：江苏政府采购网或淮安市政府采购网苏采云系统</w:t>
      </w:r>
      <w:r/>
    </w:p>
    <w:p>
      <w:pPr>
        <w:ind w:left="0" w:right="0" w:firstLine="48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方式：在“江苏政府采购网或淮安市政府采购网苏采云系统”自行免费下载招标文件</w:t>
      </w:r>
      <w:r/>
    </w:p>
    <w:p>
      <w:pPr>
        <w:ind w:left="0" w:right="0" w:firstLine="48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1.2024年10月16日09:00（北京时间）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w:t>
      </w:r>
      <w:r>
        <w:rPr>
          <w:rFonts w:ascii="SimSun" w:hAnsi="SimSun" w:eastAsia="SimSun" w:cs="SimSun"/>
          <w:color w:val="000000"/>
          <w:sz w:val="24"/>
          <w:u w:val="none"/>
        </w:rPr>
        <w:t xml:space="preserve">“苏采云”政府采购交易系统网上开标大厅（江苏省政府采购一体化不见面开标（采购）大厅，网址：</w:t>
      </w:r>
      <w:r>
        <w:rPr>
          <w:rFonts w:ascii="SimSun" w:hAnsi="SimSun" w:eastAsia="SimSun" w:cs="SimSun"/>
          <w:color w:val="000000"/>
          <w:sz w:val="24"/>
        </w:rPr>
        <w:t xml:space="preserve">http://jszfcg.jsczt.cn/</w:t>
      </w:r>
      <w:r>
        <w:rPr>
          <w:rFonts w:ascii="SimSun" w:hAnsi="SimSun" w:eastAsia="SimSun" w:cs="SimSun"/>
          <w:color w:val="000000"/>
          <w:sz w:val="24"/>
          <w:u w:val="none"/>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9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1.本次不收取投标保证金。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3.本项目采用“苏采云全流程不见面交易”模式，通过不见面交易系统及相应的配套硬件设备（摄像头、话筒、麦克风等）完成远程解密、澄清等交互环节。相关要求和说明详见操作手册。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见链接：</w:t>
      </w:r>
      <w:hyperlink r:id="rId12" w:tooltip="http://www.ccgp-jiangsu.gov.cn/jiangsu/zlxz/ee/ee3a4bc5a3454aa2b0d9312230633ce9.html%E3%80%82" w:history="1">
        <w:r>
          <w:rPr>
            <w:rStyle w:val="914"/>
            <w:rFonts w:ascii="SimSun" w:hAnsi="SimSun" w:eastAsia="SimSun" w:cs="SimSun"/>
            <w:color w:val="0000ee"/>
            <w:sz w:val="24"/>
            <w:u w:val="single"/>
          </w:rPr>
          <w:t xml:space="preserve">http://www.ccgp-jiangsu.gov.cn/jiangsu/zlxz/ee/ee3a4bc5a3454aa2b0d9312230633ce9.html。</w:t>
        </w:r>
      </w:hyperlink>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5.有关本次招标的事项若存在变动或修改，敬请及时关注江苏政府采购网或淮安市政府采购网发布的更正公告，否则产生的后果由供应商自行承担。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　盱眙县公安局　　</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pacing w:val="17"/>
          <w:sz w:val="24"/>
          <w:highlight w:val="white"/>
          <w:u w:val="single"/>
        </w:rPr>
        <w:t xml:space="preserve">盱眙县十里营大街110号</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pacing w:val="17"/>
          <w:sz w:val="24"/>
          <w:highlight w:val="white"/>
          <w:u w:val="single"/>
        </w:rPr>
        <w:t xml:space="preserve">吴玉宏</w:t>
      </w:r>
      <w:r>
        <w:rPr>
          <w:rFonts w:ascii="SimSun" w:hAnsi="SimSun" w:eastAsia="SimSun" w:cs="SimSun"/>
          <w:color w:val="000000"/>
          <w:sz w:val="24"/>
          <w:u w:val="single"/>
        </w:rPr>
        <w:t xml:space="preserve">  </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pacing w:val="17"/>
          <w:sz w:val="24"/>
          <w:highlight w:val="white"/>
          <w:u w:val="single"/>
        </w:rPr>
        <w:t xml:space="preserve">1885237345</w:t>
      </w:r>
      <w:r>
        <w:rPr>
          <w:rFonts w:ascii="SimSun" w:hAnsi="SimSun" w:eastAsia="SimSun" w:cs="SimSun"/>
          <w:color w:val="000000"/>
          <w:spacing w:val="17"/>
          <w:sz w:val="24"/>
          <w:highlight w:val="white"/>
        </w:rPr>
        <w:t xml:space="preserve">6</w:t>
      </w:r>
      <w:r>
        <w:rPr>
          <w:rFonts w:ascii="SimSun" w:hAnsi="SimSun" w:eastAsia="SimSun" w:cs="SimSun"/>
          <w:color w:val="000000"/>
          <w:sz w:val="24"/>
          <w:u w:val="single"/>
        </w:rPr>
        <w:t xml:space="preserve"> </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2.代理单位信息</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名称：中企华建友工程管理有限公司</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　淮安市盱眙县金桂大道15号 　</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u w:val="none"/>
        </w:rPr>
        <w:t xml:space="preserve">徐道成</w:t>
      </w:r>
      <w:r>
        <w:rPr>
          <w:rFonts w:ascii="SimSun" w:hAnsi="SimSun" w:eastAsia="SimSun" w:cs="SimSun"/>
          <w:color w:val="000000"/>
          <w:sz w:val="24"/>
          <w:u w:val="single"/>
        </w:rPr>
        <w:t xml:space="preserve">   </w:t>
      </w:r>
      <w:r/>
    </w:p>
    <w:p>
      <w:pPr>
        <w:ind w:left="0" w:right="0" w:firstLine="720"/>
        <w:jc w:val="both"/>
        <w:spacing w:before="0" w:after="0" w:line="85" w:lineRule="atLeast"/>
        <w:rPr>
          <w:rFonts w:ascii="SimSun" w:hAnsi="SimSun" w:eastAsia="SimSun" w:cs="SimSun"/>
          <w:color w:val="000000"/>
          <w:sz w:val="24"/>
          <w:szCs w:val="24"/>
          <w:highlight w:val="none"/>
          <w:u w:val="singl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13770467039</w:t>
      </w:r>
      <w:r/>
    </w:p>
    <w:p>
      <w:pPr>
        <w:ind w:left="0" w:right="0" w:firstLine="720"/>
        <w:jc w:val="both"/>
        <w:spacing w:before="0" w:after="0" w:line="85"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u w:val="single"/>
        </w:rPr>
      </w:r>
      <w:r>
        <w:rPr>
          <w:rFonts w:ascii="SimSun" w:hAnsi="SimSun" w:eastAsia="SimSun" w:cs="SimSun"/>
          <w:color w:val="000000"/>
          <w:sz w:val="24"/>
          <w:highlight w:val="none"/>
          <w:u w:val="single"/>
        </w:rPr>
      </w:r>
    </w:p>
    <w:p>
      <w:pPr>
        <w:ind w:left="0" w:right="0" w:firstLine="2429"/>
        <w:jc w:val="both"/>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  投标人须知</w:t>
      </w:r>
      <w:r/>
    </w:p>
    <w:p>
      <w:pPr>
        <w:ind w:left="0" w:right="0" w:firstLine="498"/>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、招标方式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1.1本次招标采取公开招标方式，本招标文件仅适用于招标公告中所述项目。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、合格的投标人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3.1本次招标及由此产生的合同受中华人民共和国有关的法律法规制约和保护。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投标人应自行承担所有与参加投标有关的费用，无论投标过程中的做法和结果如何，采购人或采购代理单位在任何情况下均无义务和责任承担这些费用。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4.2本次招标采购人不收取标书工本费与中标服务费。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项目代理服务费参照江苏省招标投标协会苏招协[2002]002关于印发《江苏省招标代理服务收费的指导意见》的通知优惠收取壹万元以及其他费用均由成交供应商领取中标（成交）通知书时缴纳，不单独立项，投标单位充分考虑风险计入总价。</w:t>
      </w:r>
      <w:r/>
    </w:p>
    <w:p>
      <w:pPr>
        <w:ind w:left="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招标文件的约束力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321"/>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、招标文件构成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请仔细检查招标文件是否齐全，如有缺漏请立即与采购中心联系解决。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、招标文件的澄清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前按招标公告中的通讯地址，以书面形式通知采购人（采购代理机构）。</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、招标文件的修改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在投标截止时间前，采购人或采购代理机构可以对招标文件进行修改。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采购人或采购代理机构有权按照法定的要求推迟投标截止日期和开标日期。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招标文件的修改将在江苏政府采购网或淮安市政府采购网公布，补充文件将作为招标文件的组成部分，并对投标人具有约束力。</w:t>
      </w:r>
      <w:r/>
    </w:p>
    <w:p>
      <w:pPr>
        <w:ind w:left="0" w:right="0" w:firstLine="482"/>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、投标文件的语言及度量衡单位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投标人提交的投标文件以及投标人与采购人或采购代理机构就有关投标的所有来往通知、函件和文件均应使用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、投标文件构成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投标人编写的投标文件应包括资格证明文件、符合性证明文件、投标分项报价表（本次不需要提供）、技术要求响应及偏离表、商务要求响应及偏离表、其他证明文件、投标函、开标一览表等部分。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10.2如标书制作工具中格式和内容与“江苏政府采购网”发布的招标文件不一致，请以“江苏政府采购网”发布的招标文件为准。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 投标人应按照招标文件要求提交证明文件，证明其及投标标的符合招标文件规定。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、投标分项报价表</w:t>
      </w:r>
      <w:r>
        <w:rPr>
          <w:rFonts w:ascii="SimSun" w:hAnsi="SimSun" w:eastAsia="SimSun" w:cs="SimSun"/>
          <w:b/>
          <w:color w:val="000000"/>
          <w:sz w:val="24"/>
        </w:rPr>
        <w:t xml:space="preserve">（本次投标采用综合优惠折扣率报价，不需要提供投标分项报价表）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、服务承诺、人员安排及其他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投标人需根据招标文件要求提供培训计划（本次不需要提供）。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投标人需根据招标文件要求提供所投标的的主要组成部分、功能设计、实现思路及关键技术等。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、投标函和开标一览表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（本次投标采用综合优惠折扣率报价）</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、投标有效期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16.1投标有效期为采购中心规定的开标之日后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、投标有效期的延长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ind w:left="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、电子投标文件的递交</w:t>
      </w:r>
      <w:r/>
    </w:p>
    <w:p>
      <w:pPr>
        <w:ind w:left="525"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18.1投标人应当按照《操作手册》规定，在投标截止时间前制作并上传电子投标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w:t>
      </w:r>
      <w:r/>
    </w:p>
    <w:p>
      <w:pPr>
        <w:ind w:left="0" w:right="0" w:firstLine="420"/>
        <w:jc w:val="both"/>
        <w:spacing w:before="280" w:after="290" w:line="8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、投标截止日期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 投标人上传电子投标文件的时间不得迟于招标公告中规定的投标截止时间。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采购人可以按照规定，通过修改招标文件酌情延长投标截止日期，在此情况下，投标人的所有权利和义务以及投标人受制的截止日期均应以延长后新的截止日期为准。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、投标文件的拒收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采购人或采购代理机构拒绝接收在其规定的投标截止时间后上传的任何投标文件。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、投标文件的撤回和修改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21.1.1电子投标文件的撤回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21.2.1投标人可在投标截止时间前，对其电子投标文件进行修改，具体操作方法见《操作手册》。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482"/>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、开标</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采购人或采购代理机构将在招标公告中规定的时间和地点组织公开开标。投标人应当按照《操作手册》规定，参加开标活动和在苏采云系统规定的时间内对投标文件进行解密。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22.2开标仪式由采购人或采购代理机构组织。苏采云系统将自动对项目进行开标，并宣布各投标人名称和投标价格。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22.3投标人在开标过程中涉及到的投标文件解密、开标结果确认等工作，应按照《操作手册》规定执行。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22.4投标人如果对开标过程和开标记录有疑义，应当根据《操作手册》规定提出，如 苏采云系统中《开标记录表》宣布后5分钟内未提出的，视同认可开标结果。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23</w:t>
      </w:r>
      <w:r>
        <w:rPr>
          <w:rFonts w:ascii="SimHei" w:hAnsi="SimHei" w:eastAsia="SimHei" w:cs="SimHei"/>
          <w:color w:val="000000"/>
          <w:sz w:val="28"/>
        </w:rPr>
        <w:t xml:space="preserve">、评标委员会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23.1开标后，采购人将立即组织评标委员会（以下简称评委会）进行评标。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23.2 评委会由采购人代表和有关技术、经济等方面的专家组成，且人员构成符合政府采购有关规定。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23.3评委会独立工作，负责评审所有投标文件并确定中标侯选人。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24．评标过程的保密与公正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24.1凡是与审查、澄清、评价和比较投标的有关资料以及授标建议等，采购人、评委、代理机构均不得向投标人或与评标无关的其他人员透露。</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24.2在评标过程中，投标人不得以任何行为影响评标过程，否则其投标文件将被作为无效投标文件。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采购人和评标委员会不向未中标的投标人解释未中标原因，也不公布评标过程中的相关细节。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．投标文件的澄清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、对投标文件的初审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26.1投标文件初审分为资格审查和符合性审查。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26.5评委会将按上述修正错误的方法调整投标文件中的投标报价，并通过</w:t>
      </w:r>
      <w:r>
        <w:rPr>
          <w:rFonts w:ascii="SimSun" w:hAnsi="SimSun" w:eastAsia="SimSun" w:cs="SimSun"/>
          <w:color w:val="ff0000"/>
          <w:sz w:val="24"/>
        </w:rPr>
        <w:t xml:space="preserve">苏采云系统</w:t>
      </w:r>
      <w:r>
        <w:rPr>
          <w:rFonts w:ascii="SimSun" w:hAnsi="SimSun" w:eastAsia="SimSun" w:cs="SimSun"/>
          <w:color w:val="000000"/>
          <w:sz w:val="24"/>
        </w:rPr>
        <w:t xml:space="preserve">告知投标人，调整后的价格应对投标人具有约束力。如果投标人不接受修正后的价格，则其投标将被拒绝。</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26.7投标人在开、评标全过程中应保持通讯畅通，及时登录</w:t>
      </w:r>
      <w:r>
        <w:rPr>
          <w:rFonts w:ascii="SimSun" w:hAnsi="SimSun" w:eastAsia="SimSun" w:cs="SimSun"/>
          <w:color w:val="ff0000"/>
          <w:sz w:val="24"/>
        </w:rPr>
        <w:t xml:space="preserve">苏采云系统</w:t>
      </w:r>
      <w:r>
        <w:rPr>
          <w:rFonts w:ascii="SimSun" w:hAnsi="SimSun" w:eastAsia="SimSun" w:cs="SimSun"/>
          <w:color w:val="000000"/>
          <w:sz w:val="24"/>
        </w:rPr>
        <w:t xml:space="preserve">查阅、答复相关信息，并安排专人与采购人或采购代理机构及评标委员会联系。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27</w:t>
      </w:r>
      <w:r>
        <w:rPr>
          <w:rFonts w:ascii="SimHei" w:hAnsi="SimHei" w:eastAsia="SimHei" w:cs="SimHei"/>
          <w:color w:val="000000"/>
          <w:sz w:val="28"/>
        </w:rPr>
        <w:t xml:space="preserve">、无效投标条款和废标条款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27.1无效投标条款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w:t>
      </w:r>
      <w:r>
        <w:rPr>
          <w:rFonts w:ascii="SimSun" w:hAnsi="SimSun" w:eastAsia="SimSun" w:cs="SimSun"/>
          <w:color w:val="ff0000"/>
          <w:sz w:val="24"/>
        </w:rPr>
        <w:t xml:space="preserve">苏采云系统</w:t>
      </w:r>
      <w:r>
        <w:rPr>
          <w:rFonts w:ascii="SimSun" w:hAnsi="SimSun" w:eastAsia="SimSun" w:cs="SimSun"/>
          <w:color w:val="000000"/>
          <w:sz w:val="24"/>
        </w:rPr>
        <w:t xml:space="preserve">规定的时间内未成功解密电子投标文件的。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27.1.3同一投标人提交两个（含两个）以上不同的投标报价的。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27.1.4投标人不具备招标文件中规定资格要求的。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27.1.5投标人的报价超过了采购预算或最高限价的。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27.1.6未通过符合性审查的。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27.1.7不符合招标文件中规定的实质性要求和条件的。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投标文件未按照招标文件要求加盖CA电子公章的。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27.1.12其他法律、法规及本招标文件规定的属无效投标的情形。</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27.2.1符合专业条件的供应商或者对招标文件作实质响应的供应商不足三家的。27.2.2出现影响采购公正的违法、违规行为的。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27.2.3因重大变故，采购任务取消的。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27.2.4评标委员会认定招标文件存在歧义、重大缺陷导致评审工作无法进行。</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因苏采云系统系统故障原因造成开标不成功的。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482"/>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28、确定中标单位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28.1中标候选人的选取原则和数量见招标文件第五章规定。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28.3采购人将在“江苏政府采购网、淮安市政府采购网”发布中标公告，公告期限为1个工作日。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28.4.1提供虚假材料谋取中标的。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28.4.2向采购人或采购代理单位行贿或者提供其他不正当利益的。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28.4.3属于本文件规定的无效条件，但在评标过程中又未被评委会发现的。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28.4.4与采购人或者其他供应商恶意串通的。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28.4.5采取不正当手段诋毁、排挤其他供应商的。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28.5.</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有下列情形之一的，视为投标人串通投标，投标无效：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28.5.1不同投标人的投标文件由同一单位或者个人编制；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28.5.2不同投标人委托同一单位或者个人办理投标事宜；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28.5.4不同投标人的投标文件异常一致或者投标报价呈规律性差异；</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代理单位或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29.2.2对采购过程提出质疑的，为各采购程序环节结束之日；</w:t>
        <w:br/>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29.2.3对中标或者成交结果提出质疑的，为中标或者成交结果公告期限届满之日。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供应商应当在法定质疑期内一次性提出针对同一采购程序环节的质疑。供应商如在法定期限内对同一采购程序环节提出多次质疑的，独来独往、采购人将只对供应商第一次质疑作出答复。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供应商（含潜在供应商）对与本项目有关的所有询问、质疑均请向采购人提出，由采购人负责答复。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采购人及代理单位只接收以纸质原件形式送达的质疑,建议供应商尽量通过邮寄方式提交质疑（采购人和代理单位不接受未填写快递运单的快件）。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代理单位质疑接收地址：江苏省淮安市盱眙县金桂大道15号格林春天9-1.，联系电话：0517-88226767、13770467039。</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29.5.5供应商组成联合体参加投标，联合体中任何一方或多方未按要求签字、盖章、加盖公章的质疑。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人或代理机构有权依据政府采购的有关规定，报请政府采购监管部门对该供应商进行相应的行政处罚和记录该供应商的失信信息。</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结果确定后，采购人或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 签订合同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31.2招标文件、中标人的投标文件及招标过程中有关澄清、承诺文件均应作为合同附件。</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32、货物（包含与货物相关的服务）的追加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33、政府采购履约资金扶持政策</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84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84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84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84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84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84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84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84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84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84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84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176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480"/>
        <w:spacing w:before="0" w:after="0" w:line="49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2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  合同文本</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20"/>
          <w:sz w:val="48"/>
        </w:rPr>
        <w:t xml:space="preserve">政府采购货物买卖合同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合同编号：</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甲</w:t>
      </w:r>
      <w:r>
        <w:rPr>
          <w:rFonts w:ascii="Calibri" w:hAnsi="Calibri" w:eastAsia="Calibri" w:cs="Calibri"/>
          <w:color w:val="000000"/>
          <w:sz w:val="32"/>
        </w:rPr>
        <w:t xml:space="preserve">    </w:t>
      </w:r>
      <w:r>
        <w:rPr>
          <w:rFonts w:ascii="SimSun" w:hAnsi="SimSun" w:eastAsia="SimSun" w:cs="SimSun"/>
          <w:color w:val="000000"/>
          <w:sz w:val="32"/>
        </w:rPr>
        <w:t xml:space="preserve">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乙</w:t>
      </w:r>
      <w:r>
        <w:rPr>
          <w:rFonts w:ascii="Calibri" w:hAnsi="Calibri" w:eastAsia="Calibri" w:cs="Calibri"/>
          <w:color w:val="000000"/>
          <w:sz w:val="32"/>
        </w:rPr>
        <w:t xml:space="preserve">    </w:t>
      </w:r>
      <w:r>
        <w:rPr>
          <w:rFonts w:ascii="SimSun" w:hAnsi="SimSun" w:eastAsia="SimSun" w:cs="SimSun"/>
          <w:color w:val="000000"/>
          <w:sz w:val="32"/>
        </w:rPr>
        <w:t xml:space="preserve">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签订时间：</w:t>
      </w:r>
      <w:r/>
      <w:r/>
      <w:r/>
      <w:r>
        <w:rPr>
          <w:rFonts w:ascii="Microsoft YaHei" w:hAnsi="Microsoft YaHei" w:eastAsia="Microsoft YaHei" w:cs="Microsoft YaHei"/>
          <w:sz w:val="24"/>
        </w:rPr>
      </w:r>
      <w:r>
        <w:rPr>
          <w:rFonts w:ascii="Calibri" w:hAnsi="Calibri" w:eastAsia="Calibri" w:cs="Calibri"/>
          <w:sz w:val="21"/>
        </w:rPr>
      </w:r>
      <w:r>
        <w:rPr>
          <w:rFonts w:ascii="Calibri" w:hAnsi="Calibri" w:eastAsia="Calibri" w:cs="Calibri"/>
          <w:sz w:val="21"/>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使用说明</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1.本合同标准文本适用于购买现成货物的采购项目，不包括需要供应商定制开发、创新研发的货物采购项目。</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2.本合同标准文本为政府采购货物买卖合同编制提供参考，可以结合采购项目具体情况，对文本作必要的调整修订后使用。</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3.本合同标准文本各条款中，如涉及填写多家供应商、制造商，多种采购标的、分包主要内容等信息的，可根据采购项目具体情况添加信息项。</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44"/>
        </w:rPr>
        <w:t xml:space="preserve"> </w:t>
      </w:r>
      <w:r/>
    </w:p>
    <w:p>
      <w:pPr>
        <w:pStyle w:val="723"/>
        <w:ind w:left="0" w:right="0" w:firstLine="0"/>
        <w:jc w:val="center"/>
        <w:spacing w:before="260" w:after="26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723"/>
        <w:ind w:left="0" w:right="0" w:firstLine="0"/>
        <w:jc w:val="center"/>
        <w:spacing w:before="260" w:after="26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第一节 政府采购合同协议书</w:t>
      </w:r>
      <w:r/>
    </w:p>
    <w:p>
      <w:pPr>
        <w:pStyle w:val="723"/>
        <w:ind w:left="0" w:right="0" w:firstLine="0"/>
        <w:jc w:val="center"/>
        <w:spacing w:before="260" w:after="26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甲方（全称）：（采购人）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乙方（全称）：（供应商）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中华人民共和国民法典》、《中华人民共和国政府采购法》等有关的法律法规，以及本采购项目的招标文件等采购文件、乙方的《投标文件》及《中标（成交）通知书》，甲乙双方同意签订本合同。具体情况及要求如下：     </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1.项目信息</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（1）采购项目名称：</w:t>
      </w:r>
      <w:r/>
    </w:p>
    <w:p>
      <w:pPr>
        <w:ind w:left="0" w:right="0" w:firstLine="0"/>
        <w:jc w:val="both"/>
        <w:spacing w:before="0" w:after="0" w:line="400" w:lineRule="atLeast"/>
        <w:tabs>
          <w:tab w:val="left" w:pos="99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采购项目编号：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（2）采购计划编号：</w:t>
      </w:r>
      <w:r>
        <w:rPr>
          <w:rFonts w:ascii="SimSun" w:hAnsi="SimSun" w:eastAsia="SimSun" w:cs="SimSun"/>
          <w:color w:val="000000"/>
          <w:sz w:val="21"/>
          <w:u w:val="single"/>
        </w:rPr>
        <w:t xml:space="preserve">  /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（3）项目内容：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采购标的及数量（台/套/个/架/组等）：盱眙县公安局食堂食材采购项目，1项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品牌：规格型号：见采购需求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（4）政府采购组织形式：分散采购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（5）政府采购方式：公开招标</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2.合同金额</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综合优惠折扣率 ：      </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3.合同履行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（1）供货时间：一年。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（2）履约地点：由采购人指定地点。</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4.付款方式：</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合同签订后，甲方支付合同总价的40%作为预付款，乙方须提供相同金额的预付款保函。付款按实际采购金额每月结算一次，付款期限为付款手续齐备后的2个月内，盱眙县公安局组织人员验收。预付款在付款时冲销。每次支付前，乙方需向甲方提供合法有效的增值税发票。</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5.合同验收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甲方按招标文件相关要求进行。如需委托第三方验收，第三方是指: ，验收费用由甲方承担。因乙方交付的货物不符合标准导致甲方重复支出的验收费用，由乙方承担。</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6.组成合同的文件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本协议书与下列文件一起构成合同文件，如下述文件之间有任何抵触、矛盾或歧义，应按以下顺序解释：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（1）政府采购合同协议书及其变更、补充协议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（2）政府采购合同专用条款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（3）政府采购合同通用条款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（4）中标（成交）通知书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（5）投标（响应）文件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（6）采购文件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（7）有关技术文件，图纸</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（8）国家法律、行政法规和规章制度规定或合同约定的作为合同组成部分的其他文件</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7.合同生效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本合同自甲、乙双方授权代表签字盖章之日起生效。</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8.合同份数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本合同一式六份，甲方、乙方、代理单位各执二份，均具有同等法律效力。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    方:                       乙    方:</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单位盖章:                       单位盖章: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代表签字:                       代表签字:</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签定日期:                       签定日期:</w:t>
      </w:r>
      <w:r/>
    </w:p>
    <w:p>
      <w:pPr>
        <w:pStyle w:val="723"/>
        <w:ind w:left="0" w:right="0" w:firstLine="0"/>
        <w:jc w:val="both"/>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第二节 政府采购合同通用条款</w:t>
      </w:r>
      <w:r/>
    </w:p>
    <w:p>
      <w:pPr>
        <w:ind w:left="0" w:right="0" w:firstLine="0"/>
        <w:spacing w:before="0" w:after="0" w:line="400" w:lineRule="atLeast"/>
        <w:tabs>
          <w:tab w:val="left" w:pos="8820" w:leader="none"/>
          <w:tab w:val="left" w:pos="9345" w:leader="none"/>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1.定义</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1.1合同当事人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（1）采购人（以下称甲方）是指使用财政性资金，通过政府采购方式向供应商购买货物及其相关服务的国家机关、事业单位、团体组织。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（2）供应商（以下称乙方）是指参加政府采购活动并且中标（成交），向采购人提供合同约定的货物及其相关服务的法人、非法人组织或者自然人。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（3）其他合同主体是指除采购人和供应商以外，依法参与合同缔结或履行，享有权利、承担义务的合同当事人。</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1.2本合同下列术语应解释为：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（2）“合同价款”系指根据本合同规定乙方在全面履行合同义务后甲方应支付给乙方的价款。</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（3）“货物”系指乙方根据本合同规定须向甲方提供的各种形态和种类的物品，包括原材料、设备、产品（包括软件）及相关的其备品备件、工具、手册及其他技术资料和材料等。</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（7）其他术语解释，见【</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2.合同标的及金额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合同标的及金额应与中标（成交）结果一致。乙方为履行本合同而发生的所有费用均应包含在合同价款中，甲方不再另行支付其他任何费用。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履行合同的时间、地点和方式</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乙方应当在约定的时间、地点，按照约定方式履行合同。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甲方的权利和义务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4.3甲方有权要求乙方对缺陷部分予以修复，并按合同约定享有货物保修及其他合同约定的权利。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甲方应当按照合同约定及时对交付的货物进行验收，未在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约定的期限内对乙方履约提出任何异议或者向乙方作出任何说明的，视为验收通过。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4.5甲方应当根据合同约定及时向乙方支付合同价款，不得以内部人员变更、履行内部付款流程等为由，拒绝或迟延支付。</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4.6国家法律法规规定及</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约定应由甲方承担的其他义务和责任。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乙方的权利和义务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签署合同后，乙方应确定项目负责人（或项目联系人），负责与本合同有关的事务。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37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5.3乙方有权根据合同约定向甲方收取合同价款。</w:t>
      </w:r>
      <w:r/>
    </w:p>
    <w:p>
      <w:pPr>
        <w:ind w:left="0" w:right="0" w:firstLine="37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5.4国家法律法规规定及</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约定应由乙方承担的其他义务和责任。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6.合同履行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甲乙双方应当按照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约定顺序履行合同义务；如果没有先后顺序的，应当同时履行。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货物包装、运输、保险和交付要求</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本合同涉及商品包装、快递包装的，除</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另有约定外，包装应适应远距离运输、防潮、防震、防锈和防野蛮装卸等要求，确保货物安全无损地运抵</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约定的指定现场。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除</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另有约定外，乙方负责办理将货物运抵本合同规定的交货地点，并装卸、交付至甲方的一切运输事项，相关费用应包含在合同价款中。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货物保险要求按</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乙方在运输到达之前应提前通知甲方，并提示货物运输装卸的注意事项，甲方配合乙方做好货物的接收工作。</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如因包装、运输问题导致货物损毁、丢失或者品质下降，甲方有权要求降价、换货、拒收部分或整批货物，由此产生的费用和损失，均由乙方承担。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质量标准和保证</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8.1 质量标准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（2）采用中华人民共和国法定计量单位。</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（3）乙方所提供的货物应符合国家有关安全、环保、卫生的规定。</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保证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规定或乙方书面承诺（两者以较长的为准）的质量保证期内，本保证保持有效。</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（2）在质量保证期内所发现的缺陷，甲方应尽快以书面形式通知乙方。</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（3）乙方收到通知后，应在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规定的响应时间内以合理的速度免费维修或更换有缺陷的货物或部件。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（5）乙方在约定的时间内未能弥补缺陷，甲方可采取必要的补救措施，但其风险和费用将由乙方承担，甲方根据合同约定对乙方行使的其他权利不受影响。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9.权利瑕疵担保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乙方保证对其出售的货物享有合法的权利。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乙方保证在交付的货物上不存在抵押权等担保物权。</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如甲方使用上述货物构成对第三人侵权的，则由乙方承担全部责任。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10.知识产权保护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11.保密义务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12.合同价款支付</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12.1合同价款支付按照国库集中支付制度及财政管理相关规定执行。</w:t>
      </w:r>
      <w:r/>
    </w:p>
    <w:p>
      <w:pPr>
        <w:pStyle w:val="723"/>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对于满足合同约定支付条件的，甲方原则上应当自收到发票后10个工作日内将资金支付到合同约定的</w:t>
      </w:r>
      <w:r>
        <w:rPr>
          <w:rFonts w:ascii="YouYuan" w:hAnsi="YouYuan" w:eastAsia="YouYuan" w:cs="YouYuan"/>
          <w:color w:val="000000"/>
          <w:sz w:val="21"/>
        </w:rPr>
        <w:t xml:space="preserve">乙方</w:t>
      </w:r>
      <w:r>
        <w:rPr>
          <w:rFonts w:ascii="SimSun" w:hAnsi="SimSun" w:eastAsia="SimSun" w:cs="SimSun"/>
          <w:color w:val="000000"/>
          <w:sz w:val="21"/>
        </w:rPr>
        <w:t xml:space="preserve">账户，不得以机构变动、人员更替、政策调整等为由迟延付款，不得将采购文件和合同中未规定的义务作为向乙方付款的条件。具体合同价款支付时间在【</w:t>
      </w:r>
      <w:r>
        <w:rPr>
          <w:rFonts w:ascii="SimSun" w:hAnsi="SimSun" w:eastAsia="SimSun" w:cs="SimSun"/>
          <w:b/>
          <w:color w:val="000000"/>
          <w:sz w:val="21"/>
        </w:rPr>
        <w:t xml:space="preserve">政府采购合同专用</w:t>
      </w:r>
      <w:r/>
    </w:p>
    <w:p>
      <w:pPr>
        <w:pStyle w:val="723"/>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w:t>
      </w:r>
      <w:r>
        <w:rPr>
          <w:rFonts w:ascii="SimSun" w:hAnsi="SimSun" w:eastAsia="SimSun" w:cs="SimSun"/>
          <w:color w:val="000000"/>
          <w:sz w:val="21"/>
        </w:rPr>
        <w:t xml:space="preserve">】中</w:t>
      </w:r>
      <w:r>
        <w:rPr>
          <w:rFonts w:ascii="YouYuan" w:hAnsi="YouYuan" w:eastAsia="YouYuan" w:cs="YouYuan"/>
          <w:color w:val="000000"/>
          <w:sz w:val="21"/>
        </w:rPr>
        <w:t xml:space="preserve">约</w:t>
      </w:r>
      <w:r>
        <w:rPr>
          <w:rFonts w:ascii="SimSun" w:hAnsi="SimSun" w:eastAsia="SimSun" w:cs="SimSun"/>
          <w:color w:val="000000"/>
          <w:sz w:val="21"/>
        </w:rPr>
        <w:t xml:space="preserve">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13.履约保证金</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13.1乙方应当以支票、汇票、本票或者金融机构、担保机构出具的保函等非现金形式提交。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13.2如果乙方出现</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甲方在项目通过验收后按照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规定的时间内将履约保证金退还乙方；逾期退还的，乙方可要求甲方支付违约金，违约金按照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14.售后服务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除项目不涉及或采购活动中明确约定无须承担外，乙方还应提供下列服务：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（1）货物的现场移动、安装、调试、启动监督及技术支持；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（2）提供货物组装和维修所需的专用工具和辅助材料；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约定的期限内对所有的货物实施运行监督、维修，但前提条件是该服务并不能免除乙方在质量保证期内所承担的义务；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（4）在制造商所在地或指定现场就货物的安装、启动、运营、维护、废弃处置等对甲方操作人员进行培训；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（5）依照法律、行政法规的规定或者按照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约定，货物在有效使用年限届满后应予回收的，乙方负有自行或者委托第三人对货物予以回收的义务；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规定由乙方提供的其他服务。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乙方提供的售后服务的费用已包含在合同价款中，甲方不再另行支付。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15.1质量瑕疵的违约责任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乙方提供的产品不符合合同约定的质量标准或存在产品质量缺陷，甲方有权要求乙方根据</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要求及时修理、重作、更换，并承担由此给甲方造成的损失。</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迟延交货的违约责任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（2）如果乙方没有按照合同规定的时间交货和提供相关服务，甲方有权从货款中扣除误期赔偿费而不影响合同项下的其他补救方法，赔偿费按</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规定执行。如果涉及公共利益，且赔偿金额无法弥补公共利益损失，甲方可要求继续履行或者采取其他补救措施。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迟延支付的违约责任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甲方存在迟延支付乙方合同款项的，应当承担</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规定的逾期付款利息。</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15.4其他违约责任根据项目实际需要按</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规定执行。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16.合同变更、中止与终止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16.1合同的变更</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政府采购合同履行中，在不改变合同其他条款的前提下，甲方可以在合同价款10%的范围内追加与合同标的相同的货物，并就此与乙方协商一致后签订补充协议。</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16.2合同的中止</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（1）合同履行过程中因供应商就采购文件、采购过程或结果提起投诉的，甲方认为有必要的，可以中止合同的履行。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（4）甲方不得以行政区划调整、政府换届、机构或者职能调整以及相关责任人更替为由中止合同。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16.3合同的终止</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（1）合同因有效期限届满而终止；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（2）乙方未按合同约定履行，构成根本性违约的，甲方有权终止合同，并追究乙方的违约责任。</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16.4 </w:t>
      </w:r>
      <w:r>
        <w:rPr>
          <w:rFonts w:ascii="SimSun" w:hAnsi="SimSun" w:eastAsia="SimSun" w:cs="SimSun"/>
          <w:color w:val="000000"/>
          <w:sz w:val="21"/>
        </w:rPr>
        <w:t xml:space="preserve">涉及国家利益、社会公共利益的情形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17.合同分包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乙方不得将合同转包给其他供应商。涉及合同分包的，乙方应根据采购文件和投标（响应）文件规定进行合同分包。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乙方执行政府采购政策向中小企业依法分包的，乙方应当按采购文件和投标（响应）文件签订分包意向协议，分包意向协议属于本合同组成部分。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18.不可抗力</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不可抗力是指合同双方不能预见、不能避免且不能克服的客观情况。</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任何一方对由于不可抗力造成的部分或全部不能履行合同不承担违约责任。但迟延履行后发生不可抗力的，不能免除责任。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19.解决争议的方法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19.2选择仲裁的，应在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中明确仲裁机构及仲裁地；通过诉讼方式解决的，可以在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中进一步约定选择与争议有实际联系的地点的人民法院管辖，但管辖法院的约定不得违反级别管辖和专属管辖的规定。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19.3如甲乙双方有争议的事项不影响合同其他部分的履行，在争议解决期间，合同其他部分应当继续履行。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20.政府采购政策</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本合同应当按照规定执行政府采购政策。</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21.法律适用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21.1本合同的订立、生效、解释、履行及与本合同有关的争议解决，均适用法律、行政法规。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21.2本合同条款与法律、行政法规的强制性规定不一致的，双方当事人应按照法律、行政法规的强制性规定修改本合同的相关条款。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通知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22.1本合同任何一方向对方发出的通知、信件、数据电文等，应当发送至本合同第一部分《政府采购合同协议书》所约定的通讯地址、联系人、联系电话或电子邮箱。</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22.2一方当事人变更名称、住所、联系人、联系电话或电子邮箱等信息的，应当在变更后3日内及时书面通知对方，对方实际收到变更通知前的送达仍为有效送达。</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22.3本合同一方给另一方的通知均应采用书面形式，传真或快递送到本合同中规定的对方的地址和办理签收手续。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22.4通知以送达之日或通知书中规定的生效之日起生效，两者中以较迟之日为准。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23.合同未尽事项</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23.1合同未尽事项见</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23.2 合同附件与合同正文具有同等的法律效力。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pStyle w:val="723"/>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第三节 政府采购合同专用条款</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7"/>
        <w:gridCol w:w="1742"/>
        <w:gridCol w:w="5170"/>
      </w:tblGrid>
      <w:tr>
        <w:trPr>
          <w:trHeight w:val="736"/>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第1.2（6）项</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联合体具体要求</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60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第1.2（7）项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其他术语解释</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按通用条款执行</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第4.4款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履约验收中甲方提出异议或作出说明的期限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按通用条款执行</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第4.6款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约定甲方承担的其他义务和责任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约定乙方承担的其他义务和责任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第6.1款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履行合同义务的顺序</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按通用条款执行</w:t>
            </w:r>
            <w:r/>
          </w:p>
        </w:tc>
      </w:tr>
      <w:tr>
        <w:trPr>
          <w:trHeight w:val="66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0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包装特殊要求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按通用条款执行</w:t>
            </w:r>
            <w:r/>
          </w:p>
        </w:tc>
      </w:tr>
      <w:tr>
        <w:trPr>
          <w:trHeight w:val="66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指定现场</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由甲方确定</w:t>
            </w:r>
            <w:r/>
          </w:p>
        </w:tc>
      </w:tr>
      <w:tr>
        <w:trPr>
          <w:trHeight w:val="77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运输特殊要求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按通用条款执行</w:t>
            </w:r>
            <w:r/>
          </w:p>
        </w:tc>
      </w:tr>
      <w:tr>
        <w:trPr>
          <w:trHeight w:val="66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按通用条款执行</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第8.2（1）项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质量保证期</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按通用条款执行</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第8.2（3）项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货物质量缺陷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按通用条款执行</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第11.1款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其他应当保密的信息</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按通用条款执行</w:t>
            </w:r>
            <w:r/>
          </w:p>
        </w:tc>
      </w:tr>
      <w:tr>
        <w:trPr>
          <w:trHeight w:val="6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合同价款支付时间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合同签订后，甲方支付合同总价的40%作为预付款，乙方须提供相同金额的预付款保函。付款按实际采购金额每月结算一次，付款期限为付款手续齐备后的2个月内，盱眙县公安局组织人员验收。预付款在付款时冲销。每次支付前，乙方需向甲方提供合法有效的增值税发票。</w:t>
            </w:r>
            <w:r/>
          </w:p>
        </w:tc>
      </w:tr>
      <w:tr>
        <w:trPr>
          <w:trHeight w:val="6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第13.2款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履约保证金不予退还的情形</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第13.3款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履约保证金退还时间及逾期退还的违约金</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78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第14.1（3）项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运行监督、维修期限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按通用条款执行</w:t>
            </w:r>
            <w:r/>
          </w:p>
        </w:tc>
      </w:tr>
      <w:tr>
        <w:trPr>
          <w:trHeight w:val="78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第14.1（5）项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货物回收的约定</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第14.1（6）项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乙方提供的其他服务</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按通用条款执行</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修理、重作、更换相关具体规定</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按通用条款执行</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第15.2（2）项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迟延交货赔偿费</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按通用条款执行</w:t>
            </w:r>
            <w:r/>
          </w:p>
        </w:tc>
      </w:tr>
      <w:tr>
        <w:trP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逾期付款利息</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按通用条款执行</w:t>
            </w:r>
            <w:r/>
          </w:p>
        </w:tc>
      </w:tr>
      <w:tr>
        <w:trPr>
          <w:trHeight w:val="87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其他违约责任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按通用条款执行</w:t>
            </w:r>
            <w:r/>
          </w:p>
        </w:tc>
      </w:tr>
      <w:tr>
        <w:trPr>
          <w:trHeight w:val="9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解决争议的方法</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17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因本合同及合同有关事项发生的争议，按下列第</w:t>
            </w:r>
            <w:r>
              <w:rPr>
                <w:rFonts w:ascii="SimSun" w:hAnsi="SimSun" w:eastAsia="SimSun" w:cs="SimSun"/>
                <w:b/>
                <w:color w:val="000000"/>
                <w:sz w:val="21"/>
                <w:u w:val="single"/>
              </w:rPr>
              <w:t xml:space="preserve">2</w:t>
            </w:r>
            <w:r>
              <w:rPr>
                <w:rFonts w:ascii="SimSun" w:hAnsi="SimSun" w:eastAsia="SimSun" w:cs="SimSun"/>
                <w:color w:val="000000"/>
                <w:sz w:val="21"/>
              </w:rPr>
              <w:t xml:space="preserve">种方式解决：</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（1）向仲裁委员会申请仲裁，仲裁地点为；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（2）向甲方所在地人民法院起诉。</w:t>
            </w:r>
            <w:r/>
          </w:p>
        </w:tc>
      </w:tr>
      <w:tr>
        <w:trPr>
          <w:trHeight w:val="770"/>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第23.1款</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其他专用条款</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按通用条款执行</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line="142" w:lineRule="atLeast"/>
        <w:pBdr>
          <w:top w:val="none" w:color="000000" w:sz="4" w:space="0"/>
          <w:left w:val="none" w:color="000000" w:sz="4" w:space="0"/>
          <w:bottom w:val="none" w:color="000000" w:sz="4" w:space="0"/>
          <w:right w:val="none" w:color="000000" w:sz="4" w:space="0"/>
        </w:pBdr>
      </w:pPr>
      <w:r>
        <w:br w:type="page" w:clear="all"/>
      </w:r>
      <w:r/>
      <w:r>
        <w:rPr>
          <w:rFonts w:ascii="SimHei" w:hAnsi="SimHei" w:eastAsia="SimHei" w:cs="SimHei"/>
          <w:color w:val="000000"/>
          <w:sz w:val="44"/>
        </w:rPr>
      </w:r>
      <w:r/>
      <w:r>
        <w:rPr>
          <w:rFonts w:ascii="SimHei" w:hAnsi="SimHei" w:eastAsia="SimHei" w:cs="SimHei"/>
          <w:sz w:val="44"/>
        </w:rPr>
      </w:r>
    </w:p>
    <w:p>
      <w:pPr>
        <w:ind w:left="0" w:right="0" w:firstLine="0"/>
        <w:jc w:val="center"/>
        <w:spacing w:before="0" w:after="0" w:line="142"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第四部分：</w:t>
      </w:r>
      <w:r>
        <w:rPr>
          <w:rFonts w:ascii="SimSun" w:hAnsi="SimSun" w:eastAsia="SimSun" w:cs="SimSun"/>
          <w:b/>
          <w:color w:val="000000"/>
          <w:sz w:val="32"/>
        </w:rPr>
        <w:t xml:space="preserve">项目采购需求</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1、项目概况：盱眙县公安局本部食堂。中午就餐人数为300人左右，早、晚就餐人数为200人左右。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2、采购货物品种：包括肉禽类、蔬菜类、干货、调料品、水产品、冻品、面粉、大米、食用油等主副食品货物，详见具体要求。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3、本项目食材价格以采购当日市场价为准，结算价格为食材价格乘以中标人投标综合优惠折扣率，折扣率保留小数点后两位，结算价格不得高于当日市场价。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每月随机对中标人采购的食材进行价格抽查，如采购价格高于当日市场价，按高出的百分比在当月结算总价中相应扣除。例如：某日抽查的商品为精品五花肉，当日精品五花肉市场价为18元/斤，供应商报价为20元/斤，则高出市场价（20-18）÷18×100%=11.11%，假如供应商当月供应结算总价为30万元，则在30万元中扣除11.11%，则当月最终结算价为：（30万元-30万元×11.11%）×中标综合优惠折扣率。</w:t>
      </w:r>
      <w:r/>
    </w:p>
    <w:p>
      <w:pPr>
        <w:pStyle w:val="723"/>
        <w:ind w:left="0" w:right="0" w:firstLine="48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5、价格抽查以山城市场、东方市场当日同类同质商品低价为准（抽查的商品只有</w:t>
      </w:r>
      <w:r/>
    </w:p>
    <w:p>
      <w:pPr>
        <w:pStyle w:val="723"/>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其中1家市场满足，则以该市场价格为准）。</w:t>
      </w:r>
      <w:r/>
    </w:p>
    <w:p>
      <w:pPr>
        <w:pStyle w:val="723"/>
        <w:ind w:left="0" w:right="0" w:firstLine="48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6、盱眙县公安局组织价格抽查小组抽查采购的食材价格，价格抽查小组由采购</w:t>
      </w:r>
      <w:r/>
    </w:p>
    <w:p>
      <w:pPr>
        <w:pStyle w:val="723"/>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人代表2人和供应商代表1人组成，询价结果由抽查小组人员共同签字确认。</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二、食材配送具体要求：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（一）产品质量要求</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0"/>
        <w:gridCol w:w="2119"/>
        <w:gridCol w:w="5279"/>
        <w:gridCol w:w="9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1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7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肉禽类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9"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肉身必须盖有卫生检疫章。肉品须表皮洁净、膘厚适中、色泽鲜亮、纹理清晰、肉质细腻、无异味、去骨、无毛、按压无水迹。禽类须为活禽现杀，无病死禽类。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公斤</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蔬菜类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9"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原菜需保证菜面干净、无明显泥土、码放整齐、无破损、大小基本统一、不得过熟或欠熟；净菜须保证菜面完全干净、无泥土、按统一标准加工、码放整齐、无须二次处理可以直接进行熟加工。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公斤</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干货、调味品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9"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原材料不含非食品用化学物质、不掺假、不过期、不变质、不变味、无杂质、无毒害，符合国家食品行业的标准。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公斤</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9" w:type="dxa"/>
            <w:vAlign w:val="top"/>
            <w:textDirection w:val="lrTb"/>
            <w:noWrap w:val="false"/>
          </w:tcPr>
          <w:p>
            <w:pPr>
              <w:ind w:left="0" w:right="0" w:firstLine="2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水产品、冻品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9"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色泽光滑、保证新鲜、不过期、不变质、不变味。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公斤</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面粉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9"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面粉必须符合GB1355标准，并拥有“QS”食品质量安全认证；非转基因，纯小麦粉，无任何添加剂。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公斤</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9" w:type="dxa"/>
            <w:vAlign w:val="top"/>
            <w:textDirection w:val="lrTb"/>
            <w:noWrap w:val="false"/>
          </w:tcPr>
          <w:p>
            <w:pPr>
              <w:numPr>
                <w:ilvl w:val="0"/>
                <w:numId w:val="27"/>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省级及以上品牌产品，非转基因。</w:t>
            </w:r>
            <w:r/>
          </w:p>
          <w:p>
            <w:pPr>
              <w:ind w:left="420" w:right="0" w:firstLine="0"/>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2、必须符合国标标准（GB1354-2009)优质大米质量标准，包装上印有“SC”或“QS”食品生产许可证标志。</w:t>
            </w:r>
            <w:r/>
          </w:p>
          <w:p>
            <w:pPr>
              <w:ind w:left="420" w:right="0" w:firstLine="0"/>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国家标准GB/T17109-1997《粮食销售包装》规定：大米外包装标识应标注：净含量，品名、执行标准号、质量等级；生产者（或销售者）名称、地址、商标；生产日期、质保期；存放注意事项及专用大米的食用方法说明；特殊说明、条形码及必要的防伪标识。另外，大米外包装的图案、文字的印刷应清晰、端正、不褪色。有关认证标志（有机食品、绿色食品、无公害食品、SC等）和商标等的印刷、加贴应符合有关法规及标准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公斤</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食用油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9" w:type="dxa"/>
            <w:vAlign w:val="top"/>
            <w:textDirection w:val="lrTb"/>
            <w:noWrap w:val="false"/>
          </w:tcPr>
          <w:p>
            <w:pPr>
              <w:numPr>
                <w:ilvl w:val="0"/>
                <w:numId w:val="2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为非转基因。</w:t>
            </w:r>
            <w:r/>
          </w:p>
          <w:p>
            <w:pPr>
              <w:numPr>
                <w:ilvl w:val="0"/>
                <w:numId w:val="2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执行标准：国家最新标准，各级产品为原包装且包</w:t>
            </w:r>
            <w:r/>
          </w:p>
          <w:p>
            <w:pPr>
              <w:ind w:left="420" w:right="0" w:firstLine="0"/>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装上印有“SC”或“QS”食品生产许可证标志（塑料桶或铁桶包装，规格**L)。</w:t>
            </w:r>
            <w:r/>
          </w:p>
          <w:p>
            <w:pPr>
              <w:numPr>
                <w:ilvl w:val="0"/>
                <w:numId w:val="2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本次采购食用油为预包装食用油，要求符合国家关</w:t>
            </w:r>
            <w:r/>
          </w:p>
          <w:p>
            <w:pPr>
              <w:ind w:left="420" w:right="0" w:firstLine="0"/>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于食用油预包装的相关规定，标签标示应包括食品名称、配料表、净含量和规格（统一用“L”表示）、生产者和（或）经销者的名称、地址和联系方式、生产日期和保质期、储存条件、食品生产许可证编码、产品标准代码及其他需要标示的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其他副食品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9"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符合食品相关要求。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numPr>
          <w:ilvl w:val="0"/>
          <w:numId w:val="29"/>
        </w:numPr>
        <w:jc w:val="both"/>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食材配送相关要求</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4"/>
        <w:gridCol w:w="7794"/>
        <w:gridCol w:w="876"/>
      </w:tblGrid>
      <w:tr>
        <w:trPr>
          <w:trHeight w:val="6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94"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招标服务要求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4" w:type="dxa"/>
            <w:vAlign w:val="center"/>
            <w:textDirection w:val="lrTb"/>
            <w:noWrap w:val="false"/>
          </w:tcPr>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运输要求：</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根据各类食品运输条件选择合适运输车辆，运输用的车辆、工具、铺垫物、防雨设施必须清洁、干燥，车厢消毒，运输中严禁日晒雨淋。不得与有毒、有异味、有害的物品混装、混运。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4" w:type="dxa"/>
            <w:vAlign w:val="center"/>
            <w:textDirection w:val="lrTb"/>
            <w:noWrap w:val="false"/>
          </w:tcPr>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订购与配送：（1）应急保障。如遇采购人临时通知配送任务的突发情况，投标人必须在接到通知后的1小时内配送完成。投标人可针对采购人采购清单需求，自行制定各个季节段的食品应急保障预案，一旦突发紧急情况，立即启动应急保障预案。</w:t>
            </w:r>
            <w:r/>
          </w:p>
          <w:p>
            <w:pPr>
              <w:numPr>
                <w:ilvl w:val="0"/>
                <w:numId w:val="30"/>
              </w:numPr>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专项保障。采购人以书面形式向投标人下达食品订购计划，并明确配送时限，投标人必须做到全域全天候配送服务响应，并及时向采购人反馈食品筹措及配送情况。</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（3）投标人应指定专人或专门机构负责受理采购人食品订购、计划调整、退货更换、储备轮换等事宜，保持全年24小时通信畅通，计划顺畅，处置及时，收到采购人食品需求配送计划后应及时予以确认。</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（4）投标人应严格按订购计划明确的食品类别、数量、规格、包装、配送时间和地点进行供货，对配送供应的食品应进行准确分类、包装、标识，并按照约定时间和采购人指定的各配送地点完成配送服务。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4" w:type="dxa"/>
            <w:vAlign w:val="center"/>
            <w:textDirection w:val="lrTb"/>
            <w:noWrap w:val="false"/>
          </w:tcPr>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配送要求：</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（1）食用油、调味品、南北干货、大米、面粉按照采购人通知送货，其它食材具体根据采购人需求每天送货。</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（2）采购人于每天下午18：00点前，将确定的第二天采购清单内容发给投标人，并以此作为配送依据。采购清单以上述食材配送清单为基本依据，如有补充，由采购人及时通知。</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保证每天上午08：20分前（早餐类产品在6:30分前）将采购人所订的货物送到采购人所在地；如没有按时运输到位（无特殊原因逾期送货超过半小时以上），影响采购人员工正常开餐的，采购人结算时将扣除当日总菜款的5%。累计发生迟送情况2次或2次以上的，采购人结算时将扣除当月总菜款的5%。</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在配送过程中，菜品或食品质量严重不符合招标文件要求，影响采购人员工正常开餐的，采购人结算时将扣除当日总菜款的5%。累计发生类似情况2次或2次以上的，采购人结算时将扣除当月总菜款的5%。</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供应的食材必须符合《中华人民共和国食品安全法》标准；每日的配送清单须是打印稿，并仔细核对采购清单，确保采购人食堂所需的食品原材料品种、品牌、规格、数量、质量等准确无误，并在规定时间内及时送达；供应商向采购人提供商品的品牌、规格必须与合同规定一致，严禁擅自更换商品品牌、规格，如发现食材卫生质量问题或者以次充好，供应商应无条件退货或换货，并根据合同规定进行处理。</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（6）供应商严禁提供以下食品：</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1）无品名、产地、厂名、生产日期、保质期及中文标识及原料说明的定型包装食品（除蔬菜、鲜活水产等非定型包装食品）；</w:t>
            </w:r>
            <w:r/>
          </w:p>
          <w:p>
            <w:pPr>
              <w:ind w:left="0" w:right="0" w:firstLine="2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2）超过保质期限或不符合食品标签规定的定型包装食品；</w:t>
            </w:r>
            <w:r/>
          </w:p>
          <w:p>
            <w:pPr>
              <w:ind w:left="0" w:right="0" w:firstLine="2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3）腐败变质、油脂酸败、霉变、生虫、污秽不洁、混有异物或者其它感官性状异常，含有毒、有害物质或者被有毒、有害物质污染，可能对人体健康有害的食品；</w:t>
            </w:r>
            <w:r/>
          </w:p>
          <w:p>
            <w:pPr>
              <w:ind w:left="0" w:right="0" w:firstLine="2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4）病死、死因不明或从疫区采购的水产品、畜、禽及其制品，不合格调味品，工业用盐，非碘盐或非食品原料和滥用食品添加剂，农药残留超标的蔬菜等；</w:t>
            </w:r>
            <w:r/>
          </w:p>
          <w:p>
            <w:pPr>
              <w:ind w:left="0" w:right="0" w:firstLine="2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5）其它不符合食品卫生标准和要求的食品。</w:t>
            </w:r>
            <w:r/>
          </w:p>
          <w:p>
            <w:pPr>
              <w:ind w:left="0" w:right="0" w:firstLine="2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6）每次配送食材的检测报告、食材检验合格证等合格证明材料需留存备查。</w:t>
            </w:r>
            <w:r/>
          </w:p>
          <w:p>
            <w:pPr>
              <w:ind w:left="0" w:right="0" w:firstLine="2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7）供应商必须具有冷藏或冷冻的设施。</w:t>
            </w:r>
            <w:r/>
          </w:p>
          <w:p>
            <w:pPr>
              <w:ind w:left="0" w:right="0" w:firstLine="2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8）供应的产品，数量超出规定的部分由供应商带回，不纳入结算，短缺的部份由供应商补足。</w:t>
            </w:r>
            <w:r/>
          </w:p>
          <w:p>
            <w:pPr>
              <w:ind w:left="0" w:right="0" w:firstLine="2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9）所有品种按除箱净重过磅，最终交易重量以双方核准确认的过磅数为准，双方签字确认作为结算凭证。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4" w:type="dxa"/>
            <w:vAlign w:val="center"/>
            <w:textDirection w:val="lrTb"/>
            <w:noWrap w:val="false"/>
          </w:tcPr>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重量计算说明</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（1）蔬菜：送至单位食堂后，经采购人称重无黄叶、叶面干净无明显泥土的蔬菜。</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（2）水产品类：送至单位食堂后，经采购人鲜活称重，去除鳞片的鱼虾。</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（3）肉禽类：送至单位食堂后，经采购人称重去内脏、表皮无毛，无血迹、无污物、无注水、无冷冻的禽类。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4" w:type="dxa"/>
            <w:vAlign w:val="center"/>
            <w:textDirection w:val="lrTb"/>
            <w:noWrap w:val="false"/>
          </w:tcPr>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质量标准与验收</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（1）投标人必须确保供应的副食品符合国家食品质量和卫生标准，蔬菜类应保持良好的色泽和新鲜度，冷冻类及干货类应保持良好的外观和等级，鲜肉类保证每日新鲜。</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（2）投标人所供副食品有效期不得超过整个质量有效期的1/2，否则视为不合格产品。</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以采购人伙食单位验收为准。投标人每次送货时必须按要求填制配送单据，配送单据包括物资品名、规格、计量单位、数量、配送日期、接收单位（人）、验收单位（人）等要素，配送单据由采购人伙食单位签字验收。</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（4）验收时，所供食品数、质量不符合要求的，采购人有权要求投标人进行调换或补充，由此产生的费用由投标人承担。</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人伙食单位、投标人必须严把食品质量关，投标人必须建立食品留样制度，供应商必须每日对蔬菜类、肉类、水产品、冻品等副食品进行留样，每种品名留样时间不少于48小时，在冷链条件下存放，做好登记。采购人将对投标人食品留样情况进行抽查，投标人应当无条件配合采购人的抽查，投标人未按要求落实食品留样制度，未留样或留样不符合要求的，采购人结算时将扣除当日总菜款的5%。累计发生类似情况2次或2次以上的，采购人结算时将扣除当月总菜款的5%。由此产生的一切损失和后果由投标人承担。</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（6）采购人根据需要，对投标人提供的产品进行通报。采购人将不定期对投标人提供的食品内容按照本招标文件的各项要求进行检查，双方对配送过程中所发生的问题或情况进行简要说明。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241"/>
        <w:jc w:val="both"/>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三、其他要求</w:t>
      </w:r>
      <w:r/>
    </w:p>
    <w:p>
      <w:pPr>
        <w:ind w:left="0" w:right="0" w:firstLine="720"/>
        <w:jc w:val="both"/>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3.1原材料验收由采购人、投标人，双方现场检验，对供应产品的质量无异议数量准确无误后，双方签字，各自留存。</w:t>
      </w:r>
      <w:r/>
    </w:p>
    <w:p>
      <w:pPr>
        <w:ind w:left="0" w:right="0" w:firstLine="241"/>
        <w:jc w:val="both"/>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四、违约责任</w:t>
      </w:r>
      <w:r/>
    </w:p>
    <w:p>
      <w:pPr>
        <w:ind w:left="0" w:right="0" w:firstLine="480"/>
        <w:jc w:val="both"/>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无正当理由不能按约定时间保障供应的，或者未能按约定的品种、数量和加工、包装要求供货的，对采购人饮食供应保障造成一定影响，每次没收履约保证金金额的10%，类似情形超过2次的，取消投标人供应资格并没收其全部履约保证金；对采购人执行重大紧急任务的供应保障造成严重后果，取消投标人供应资格并没收其全部履约保证金。</w:t>
      </w:r>
      <w:r/>
    </w:p>
    <w:p>
      <w:pPr>
        <w:ind w:left="0" w:right="0" w:firstLine="480"/>
        <w:jc w:val="both"/>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2、投标人进行商业贿赂、欺骗、欺诈，提供虚假发票的，发现一次即取消投标人供应资格并没收其全部履约保证金。</w:t>
      </w:r>
      <w:r/>
    </w:p>
    <w:p>
      <w:pPr>
        <w:ind w:left="0" w:right="0" w:firstLine="480"/>
        <w:jc w:val="both"/>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供货过程中出现数量问题时，且不能证明以上行为的偶然性或非故意性，对采购人饮食供应保障造成一定影响，每次没收履约保证金金额的10%，类似情形超过2次的，取消投标人供应资格并没收其全部履约保证金。</w:t>
      </w:r>
      <w:r/>
    </w:p>
    <w:p>
      <w:pPr>
        <w:ind w:left="0" w:right="0" w:firstLine="480"/>
        <w:jc w:val="both"/>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4、对因投标人供应主副食品质量问题造成食品中毒或其他事故的，取消投标人供应资格，没收其全部履约保证金并追究投标人相应法律和经济责任。</w:t>
      </w:r>
      <w:r/>
    </w:p>
    <w:p>
      <w:pPr>
        <w:ind w:left="0" w:right="0" w:firstLine="480"/>
        <w:jc w:val="both"/>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5、采购人因特殊原因未能及时结算货款的，投标人不得单方面停止供货，应先向相关职能部门投诉解决。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6、采购人没有尽到主副食品需求调整告知义务，造成投标人重复配送的，由此产生的一切损失由采购人承担。</w:t>
      </w:r>
      <w:r/>
    </w:p>
    <w:p>
      <w:pPr>
        <w:pStyle w:val="725"/>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五、服务期限： 一年。</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六、质量要求：合格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  </w:t>
      </w:r>
      <w:r>
        <w:rPr>
          <w:rFonts w:ascii="SimHei" w:hAnsi="SimHei" w:eastAsia="SimHei" w:cs="SimHei"/>
          <w:b/>
          <w:color w:val="000000"/>
          <w:sz w:val="44"/>
        </w:rPr>
        <w:t xml:space="preserve">评标方法与评标标准</w:t>
      </w:r>
      <w:r/>
    </w:p>
    <w:p>
      <w:pPr>
        <w:ind w:left="0" w:right="0" w:firstLine="439"/>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当总分相同时，按报价得分排名，如报价得分再相同，按技术、商务得分依次排名。投标文件满足招标文件全部实质性要求，按照招标文件中规定的各项因素进行综合评审后，按得分由高到低次序推荐</w:t>
      </w:r>
      <w:r>
        <w:rPr>
          <w:rFonts w:ascii="SimSun" w:hAnsi="SimSun" w:eastAsia="SimSun" w:cs="SimSun"/>
          <w:color w:val="ff0000"/>
          <w:sz w:val="24"/>
        </w:rPr>
        <w:t xml:space="preserve">3</w:t>
      </w:r>
      <w:r>
        <w:rPr>
          <w:rFonts w:ascii="SimSun" w:hAnsi="SimSun" w:eastAsia="SimSun" w:cs="SimSun"/>
          <w:color w:val="000000"/>
          <w:sz w:val="24"/>
        </w:rPr>
        <w:t xml:space="preserve">名中标候选人，得分排名第一为第一中标候选人，以此类推。</w:t>
      </w:r>
      <w:r/>
    </w:p>
    <w:p>
      <w:pPr>
        <w:ind w:left="0" w:right="0" w:firstLine="441"/>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359"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color w:val="000000"/>
          <w:sz w:val="24"/>
          <w:u w:val="single"/>
        </w:rPr>
        <w:t xml:space="preserve"> 20%  </w:t>
      </w:r>
      <w:r>
        <w:rPr>
          <w:rFonts w:ascii="SimSun" w:hAnsi="SimSun" w:eastAsia="SimSun" w:cs="SimSun"/>
          <w:color w:val="000000"/>
          <w:sz w:val="24"/>
        </w:rPr>
        <w:t xml:space="preserve">的扣除价格，用扣除后的价格参与评审。</w:t>
      </w:r>
      <w:r/>
    </w:p>
    <w:p>
      <w:pPr>
        <w:ind w:left="359"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（2）供应商需按照采购文件的要求提供相应的《小微企业声明函》。</w:t>
      </w:r>
      <w:r/>
    </w:p>
    <w:p>
      <w:pPr>
        <w:ind w:left="0" w:right="0" w:firstLine="3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120" w:right="0" w:firstLine="3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120" w:right="0" w:firstLine="3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120" w:right="0" w:firstLine="3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 20% </w:t>
      </w:r>
      <w:r>
        <w:rPr>
          <w:rFonts w:ascii="SimSun" w:hAnsi="SimSun" w:eastAsia="SimSun" w:cs="SimSun"/>
          <w:color w:val="000000"/>
          <w:sz w:val="24"/>
        </w:rPr>
        <w:t xml:space="preserve">的价格扣除，用扣除后的价格参与评审。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供应商要加强绿色低碳管理，公共部位的水、电应节约使用，不得有长明灯、长流水等浪费现象及违章使用未经许可的电器，对施工场地内外垃圾要及时清运，对商品的包装应按照“财办库〔2020〕123号《关于印发《商品包装政府采购需求标准（试行）》、《快递包装政府采购需求标准（试行）》的通知》”执行。涉及设备运维参考《绿色数据中心政府采购需求标准（试行）》（财库【2023】7号文）执行。成交供应商在供货、产品加工过程中能到做到低碳物流、环保节约、提高资源利用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（六）节能环保（2分资料上传电子标书）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2.投标产品属于财政部、生态环境部公布的“环境标志产品品目清单”范围内的，投标人提供国家确定的认证机构出具的、处于有效期内的该环保产品认证证书复印件的，有1个得0.5分，最多得1分。</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16"/>
        <w:gridCol w:w="685"/>
        <w:gridCol w:w="7554"/>
      </w:tblGrid>
      <w:tr>
        <w:trPr>
          <w:trHeight w:val="319"/>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16"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85"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554" w:type="dxa"/>
            <w:vAlign w:val="bottom"/>
            <w:textDirection w:val="lrTb"/>
            <w:noWrap w:val="false"/>
          </w:tcPr>
          <w:p>
            <w:pPr>
              <w:ind w:left="64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综合评审因素和评分标准评分办法</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3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一、投标报价（35分）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投标采用综合优惠折扣率报价方式，投标综合优惠折扣率不得超过最高限价100%，否则其投标作无效投标处理。（综合优惠折扣率=折扣价/原价*100%，比如原价100元，让利10元，折扣价就是90元，综合优惠折扣率就是90%；比如原价100元，让利20元，折扣价就是80元，综合优惠折扣率就是80%、...）。</w:t>
              <w:br/>
              <w:t xml:space="preserve">   在所有有效投标人中，投标最低的综合优惠折扣率为评标基准综合优惠折扣率，其投标报价得分为35分；其他投标人的投标报价得分按下列公式计算：投标报价得分=（评标基准综合优惠折扣率／投标综合优惠折扣率）×3</w:t>
            </w:r>
            <w:r>
              <w:rPr>
                <w:rFonts w:ascii="SimSun" w:hAnsi="SimSun" w:eastAsia="SimSun" w:cs="SimSun"/>
                <w:color w:val="000000"/>
                <w:sz w:val="21"/>
              </w:rPr>
              <w:t xml:space="preserve">5分。</w:t>
            </w:r>
            <w:r/>
          </w:p>
        </w:tc>
      </w:tr>
      <w:tr>
        <w:trPr>
          <w:trHeight w:val="2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二、政策导向（2分）</w:t>
            </w:r>
            <w:r/>
          </w:p>
        </w:tc>
      </w:tr>
      <w:tr>
        <w:trPr>
          <w:trHeight w:val="2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三、服务方案：40分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评委会根据投标人提供的方案酌情评分，分项方案未提供的或者经三分之二评委认定分项方案存在重大偏差的，该分项不得分。</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1、根据投标人所提供的技术方案（品质管理、数量及食材种类管理、计划及时间管理、安全管理、人员配备、其他承诺等）进行比较，酌情评分。（10分）</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2、食品保障：根据投标人提供的提供主要货物（生鲜、肉类、蔬菜）的进货渠道等证明情况。（10分）</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3、根据投标人所提供的应急方案（如采购人发生应急采购时、如何响应）进行比较，酌情评分。（10分）</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4、针对人员食物中毒等预备方案与采购人的配合措施等。（10分）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四、商务部分（23分）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、人员配备：投入服务人员具有健康证的，每提供一人的得</w:t>
            </w:r>
            <w:r>
              <w:rPr>
                <w:rFonts w:ascii="Calibri" w:hAnsi="Calibri" w:eastAsia="Calibri" w:cs="Calibri"/>
                <w:color w:val="000000"/>
                <w:sz w:val="21"/>
              </w:rPr>
              <w:t xml:space="preserve">5</w:t>
            </w:r>
            <w:r>
              <w:rPr>
                <w:rFonts w:ascii="SimSun" w:hAnsi="SimSun" w:eastAsia="SimSun" w:cs="SimSun"/>
                <w:color w:val="000000"/>
                <w:sz w:val="21"/>
              </w:rPr>
              <w:t xml:space="preserve">分，最高得</w:t>
            </w:r>
            <w:r>
              <w:rPr>
                <w:rFonts w:ascii="Calibri" w:hAnsi="Calibri" w:eastAsia="Calibri" w:cs="Calibri"/>
                <w:color w:val="000000"/>
                <w:sz w:val="21"/>
              </w:rPr>
              <w:t xml:space="preserve">10</w:t>
            </w:r>
            <w:r>
              <w:rPr>
                <w:rFonts w:ascii="SimSun" w:hAnsi="SimSun" w:eastAsia="SimSun" w:cs="SimSun"/>
                <w:color w:val="000000"/>
                <w:sz w:val="21"/>
              </w:rPr>
              <w:t xml:space="preserve">分。</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注：提供人员证书及本单位</w:t>
            </w:r>
            <w:r>
              <w:rPr>
                <w:rFonts w:ascii="Calibri" w:hAnsi="Calibri" w:eastAsia="Calibri" w:cs="Calibri"/>
                <w:color w:val="000000"/>
                <w:sz w:val="21"/>
              </w:rPr>
              <w:t xml:space="preserve">2024</w:t>
            </w:r>
            <w:r>
              <w:rPr>
                <w:rFonts w:ascii="SimSun" w:hAnsi="SimSun" w:eastAsia="SimSun" w:cs="SimSun"/>
                <w:color w:val="000000"/>
                <w:sz w:val="21"/>
              </w:rPr>
              <w:t xml:space="preserve">年</w:t>
            </w:r>
            <w:r>
              <w:rPr>
                <w:rFonts w:ascii="Calibri" w:hAnsi="Calibri" w:eastAsia="Calibri" w:cs="Calibri"/>
                <w:color w:val="000000"/>
                <w:sz w:val="21"/>
              </w:rPr>
              <w:t xml:space="preserve">1</w:t>
            </w:r>
            <w:r>
              <w:rPr>
                <w:rFonts w:ascii="SimSun" w:hAnsi="SimSun" w:eastAsia="SimSun" w:cs="SimSun"/>
                <w:color w:val="000000"/>
                <w:sz w:val="21"/>
              </w:rPr>
              <w:t xml:space="preserve">月以来任意</w:t>
            </w:r>
            <w:r>
              <w:rPr>
                <w:rFonts w:ascii="Calibri" w:hAnsi="Calibri" w:eastAsia="Calibri" w:cs="Calibri"/>
                <w:color w:val="000000"/>
                <w:sz w:val="21"/>
              </w:rPr>
              <w:t xml:space="preserve">1</w:t>
            </w:r>
            <w:r>
              <w:rPr>
                <w:rFonts w:ascii="SimSun" w:hAnsi="SimSun" w:eastAsia="SimSun" w:cs="SimSun"/>
                <w:color w:val="000000"/>
                <w:sz w:val="21"/>
              </w:rPr>
              <w:t xml:space="preserve">个月为其缴纳的社会保障资金证明</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、具有食材冷藏、冷冻的场所和设备，场所需提供房屋产权证书或租赁合同，设备需提供图片及发票，同时具备得</w:t>
            </w:r>
            <w:r>
              <w:rPr>
                <w:rFonts w:ascii="Calibri" w:hAnsi="Calibri" w:eastAsia="Calibri" w:cs="Calibri"/>
                <w:color w:val="000000"/>
                <w:sz w:val="21"/>
              </w:rPr>
              <w:t xml:space="preserve">8</w:t>
            </w:r>
            <w:r>
              <w:rPr>
                <w:rFonts w:ascii="SimSun" w:hAnsi="SimSun" w:eastAsia="SimSun" w:cs="SimSun"/>
                <w:color w:val="000000"/>
                <w:sz w:val="21"/>
              </w:rPr>
              <w:t xml:space="preserve">分。</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、投标人自</w:t>
            </w:r>
            <w:r>
              <w:rPr>
                <w:rFonts w:ascii="Calibri" w:hAnsi="Calibri" w:eastAsia="Calibri" w:cs="Calibri"/>
                <w:color w:val="000000"/>
                <w:sz w:val="21"/>
              </w:rPr>
              <w:t xml:space="preserve">2021</w:t>
            </w:r>
            <w:r>
              <w:rPr>
                <w:rFonts w:ascii="SimSun" w:hAnsi="SimSun" w:eastAsia="SimSun" w:cs="SimSun"/>
                <w:color w:val="000000"/>
                <w:sz w:val="21"/>
              </w:rPr>
              <w:t xml:space="preserve">年</w:t>
            </w:r>
            <w:r>
              <w:rPr>
                <w:rFonts w:ascii="Calibri" w:hAnsi="Calibri" w:eastAsia="Calibri" w:cs="Calibri"/>
                <w:color w:val="000000"/>
                <w:sz w:val="21"/>
              </w:rPr>
              <w:t xml:space="preserve">9</w:t>
            </w:r>
            <w:r>
              <w:rPr>
                <w:rFonts w:ascii="SimSun" w:hAnsi="SimSun" w:eastAsia="SimSun" w:cs="SimSun"/>
                <w:color w:val="000000"/>
                <w:sz w:val="21"/>
              </w:rPr>
              <w:t xml:space="preserve">月</w:t>
            </w:r>
            <w:r>
              <w:rPr>
                <w:rFonts w:ascii="Calibri" w:hAnsi="Calibri" w:eastAsia="Calibri" w:cs="Calibri"/>
                <w:color w:val="000000"/>
                <w:sz w:val="21"/>
              </w:rPr>
              <w:t xml:space="preserve">1</w:t>
            </w:r>
            <w:r>
              <w:rPr>
                <w:rFonts w:ascii="SimSun" w:hAnsi="SimSun" w:eastAsia="SimSun" w:cs="SimSun"/>
                <w:color w:val="000000"/>
                <w:sz w:val="21"/>
              </w:rPr>
              <w:t xml:space="preserve">日起至今（以合同签订日期为准）承接过的公共用餐单位食堂食材供货及配送服务项目的，得</w:t>
            </w:r>
            <w:r>
              <w:rPr>
                <w:rFonts w:ascii="Calibri" w:hAnsi="Calibri" w:eastAsia="Calibri" w:cs="Calibri"/>
                <w:color w:val="000000"/>
                <w:sz w:val="21"/>
              </w:rPr>
              <w:t xml:space="preserve">5</w:t>
            </w:r>
            <w:r>
              <w:rPr>
                <w:rFonts w:ascii="SimSun" w:hAnsi="SimSun" w:eastAsia="SimSun" w:cs="SimSun"/>
                <w:color w:val="000000"/>
                <w:sz w:val="21"/>
              </w:rPr>
              <w:t xml:space="preserve">分。注：提供合同及采购人的好评证明，合同中无具体金额的须提供发票等证明材料。</w:t>
            </w:r>
            <w:r/>
          </w:p>
        </w:tc>
      </w:tr>
    </w:tbl>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注：1、评分标准中要求提供的支持材料、证书证明等材料均以扫描件上传电子投标文件，否则不予得分。</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有权在中标公示期间对中标人提供的与本评分办法相关的材料等评分依据（原件）的真实性进行复查，如发现有通过提供虚假证明文件获得分值，将取消中标资格，并提请监督机构按照政府采购相关法规处理。</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rPr>
          <w:rFonts w:ascii="Times New Roman" w:hAnsi="Times New Roman" w:eastAsia="Times New Roman" w:cs="Times New Roman"/>
          <w:color w:val="000000"/>
          <w:sz w:val="21"/>
          <w:szCs w:val="2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r>
      <w:r>
        <w:rPr>
          <w:rFonts w:ascii="Times New Roman" w:hAnsi="Times New Roman" w:eastAsia="Times New Roman" w:cs="Times New Roman"/>
          <w:color w:val="000000"/>
          <w:sz w:val="21"/>
          <w:highlight w:val="none"/>
        </w:rP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p>
    <w:p>
      <w:pPr>
        <w:ind w:left="0" w:right="0" w:firstLine="0"/>
        <w:jc w:val="center"/>
        <w:spacing w:before="0" w:after="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p>
    <w:p>
      <w:pPr>
        <w:ind w:left="0" w:right="0" w:firstLine="0"/>
        <w:jc w:val="center"/>
        <w:spacing w:before="0" w:after="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  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  标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一、法人或者其他组织的营业执照等证明文件</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723"/>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二、服务承诺</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SimSun" w:hAnsi="SimSun" w:eastAsia="SimSun" w:cs="SimSun"/>
          <w:color w:val="000000"/>
          <w:sz w:val="24"/>
        </w:rPr>
        <w:t xml:space="preserve">格式由供应商自定，并加盖供应商电子签章。</w:t>
      </w:r>
      <w:r>
        <w:rPr>
          <w:rFonts w:ascii="SimSun" w:hAnsi="SimSun" w:eastAsia="SimSun" w:cs="SimSun"/>
          <w:color w:val="000000"/>
          <w:sz w:val="28"/>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w:t>
      </w:r>
      <w:r>
        <w:rPr>
          <w:rFonts w:ascii="SimSun" w:hAnsi="SimSun" w:eastAsia="SimSun" w:cs="SimSun"/>
          <w:color w:val="000000"/>
          <w:sz w:val="28"/>
          <w:u w:val="single"/>
        </w:rPr>
        <w:t xml:space="preserve">     （加盖公章）     </w:t>
      </w:r>
      <w:r/>
    </w:p>
    <w:p>
      <w:pPr>
        <w:ind w:left="0" w:right="0" w:firstLine="0"/>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法定代表人或其委托受托人签字（或盖章）：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pStyle w:val="723"/>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三、资质审查时供应商必须提交的资格证明文件</w:t>
      </w:r>
      <w:r/>
    </w:p>
    <w:p>
      <w:pPr>
        <w:ind w:left="0" w:right="0" w:firstLine="10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投标供应商必须提交的资格证明文件（详见公告要求）</w:t>
      </w:r>
      <w:r/>
    </w:p>
    <w:p>
      <w:pPr>
        <w:ind w:left="0" w:right="0" w:firstLine="71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（1）供应商必须提供的资格证明文件，如供应商未能提供上述资格证明文件以及供应商资质条件不符合文件要求的将取消其继续参加投标的资格。</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（2）供应商所提供的资格证明材料应真实、有效，代理机构及采购人保留对供应商提供的资格证明材料进行核查的权利。如发现供应商提供虚假资格证明材料，政府采购监管部门将对其进行严肃处理。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32"/>
        </w:rPr>
        <w:t xml:space="preserve">备注:本次招标采用资质后审方式，在整个采购过程中，由采购人及招标代理将对投标人的资质进行审查，若发现投标人的资质条件不符合招标文件要求，可随时取消其投标或中标资格。</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723"/>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四、综合评分时供应商需提供的证明文件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供应商根据评审项逐一提供相关评审证明材料。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pStyle w:val="723"/>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五、供应商认为有必要提供并说明的其它资料</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（格式由供应商自定、加盖供应商电子签章。）</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六、示范格式</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示范格式一</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法定代表人资格证明</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2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2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2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姓名：性别：年龄：职务：</w:t>
      </w:r>
      <w:r/>
    </w:p>
    <w:p>
      <w:pPr>
        <w:ind w:left="1" w:right="0" w:firstLine="4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的法定代表人。为参与项目，签署上述项目的投标文件、进行投标、签署合同和处理与之有关的一切事务。</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480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34"/>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（加盖电子签章）  </w:t>
      </w:r>
      <w:r/>
    </w:p>
    <w:p>
      <w:pPr>
        <w:ind w:left="0" w:right="0" w:firstLine="4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注:供应商法定代表人参加的，必须附法定代表人身份证复印件并加盖委托单位电子签章。法定代表人授权其他人参加的，仅需填写“授权委托书”。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rPr>
          <w:rFonts w:ascii="SimSun" w:hAnsi="SimSun" w:eastAsia="SimSun" w:cs="SimSun"/>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sz w:val="20"/>
          <w:szCs w:val="20"/>
        </w:rPr>
      </w:r>
      <w:r>
        <w:rPr>
          <w:rFonts w:ascii="SimSun" w:hAnsi="SimSun" w:eastAsia="SimSun" w:cs="SimSun"/>
          <w:sz w:val="20"/>
          <w:szCs w:val="20"/>
        </w:rPr>
      </w:r>
    </w:p>
    <w:p>
      <w:pPr>
        <w:ind w:left="0" w:right="0" w:firstLine="0"/>
        <w:jc w:val="both"/>
        <w:spacing w:before="0" w:after="0"/>
        <w:rPr>
          <w:rFonts w:ascii="SimSun" w:hAnsi="SimSun" w:eastAsia="SimSun" w:cs="SimSun"/>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sz w:val="20"/>
          <w:szCs w:val="20"/>
        </w:rPr>
      </w:r>
      <w:r>
        <w:rPr>
          <w:rFonts w:ascii="SimSun" w:hAnsi="SimSun" w:eastAsia="SimSun" w:cs="SimSun"/>
          <w:sz w:val="20"/>
          <w:szCs w:val="20"/>
        </w:rPr>
      </w:r>
    </w:p>
    <w:p>
      <w:pPr>
        <w:ind w:left="0" w:right="0" w:firstLine="0"/>
        <w:jc w:val="both"/>
        <w:spacing w:before="0" w:after="0"/>
        <w:rPr>
          <w:rFonts w:ascii="SimSun" w:hAnsi="SimSun" w:eastAsia="SimSun" w:cs="SimSun"/>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示范格式二</w:t>
      </w:r>
      <w:r/>
    </w:p>
    <w:p>
      <w:pPr>
        <w:ind w:left="0" w:right="0" w:firstLine="3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 （政府采购人）：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本授权书宣告：</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委托方： 地址：</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受托人：姓名 性别： 出生日期：年月日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所在单位：职务：</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身份证：联系方式：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兹委托受托人代表我公司参加 （采购人名称）组织的（项目编号:      ）采购项目的政府采购活动，受托人有权在该投标活动中，以我单位的名义签署投标函和投标文件，与采购人或代理机构协商、澄清、解释，签订合同书并执行一切与此有关的事项。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受托人在办理上述事宜过程中以其自己的名义所签署的所有文件我公司均予以承认。受托人无转委托权。</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委托期限：至上述事宜处理完毕止。</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3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委托单位</w:t>
      </w:r>
      <w:r>
        <w:rPr>
          <w:rFonts w:ascii="SimSun" w:hAnsi="SimSun" w:eastAsia="SimSun" w:cs="SimSun"/>
          <w:color w:val="000000"/>
          <w:sz w:val="24"/>
          <w:u w:val="single"/>
        </w:rPr>
        <w:t xml:space="preserve">       （电子签章）    </w:t>
      </w:r>
      <w:r/>
    </w:p>
    <w:p>
      <w:pPr>
        <w:ind w:left="0" w:right="0" w:firstLine="46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注:供应商委托受托人参加的，必须附受托人身份证复印件并加盖委托单位电子签章。法定代表人直接参加的，仅需填写“法定代表人资格证明”。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line="113"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113"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示范格式三</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符合《中华人民共和国政府采购法》第二十二条规定及承诺书</w:t>
      </w:r>
      <w:r/>
    </w:p>
    <w:p>
      <w:pPr>
        <w:ind w:left="0" w:right="0" w:firstLine="1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（采购人）          </w:t>
      </w:r>
      <w:r>
        <w:rPr>
          <w:rFonts w:ascii="SimSun" w:hAnsi="SimSun" w:eastAsia="SimSun" w:cs="SimSun"/>
          <w:color w:val="000000"/>
          <w:sz w:val="24"/>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我方在项目名称：                      （项目编号：       ）的采购过程中，做如下承诺：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一、我方具有独立承担民事责任的能力；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二、我方具有良好的商业信誉和健全的财务会计制度；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三、我方具有履行合同所必须的设备和专业技术能力；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四、我方有依法缴纳税收和社会保障资金的良好记录；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五、我方参加政府采购活动前3年内，在经营活动中没有重大违法记录（因违法经营受到刑事处罚或者责令停产停业、吊销许可证或者执照、较大数额罚款等行政处罚）；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六、我方与参加本次采购活动的其他单位不存在单位负责人为同一人的情况，也不存在控股、管理关系的情况；</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七、我方没有为本采购项目提供整体设计、规范编制或者项目管理、监理、检测等服务；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八、我方未被法院裁定为失信被执行人；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九、我方符合法律、行政法规规定的其他条件；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十、我方保证上述信息的真实和准确，并愿意承担因我方就此弄虚作假所引起的一切法律后果，并自愿接受相关监管部门作出的任何处罚。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42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法定代表人或委托代理人（签字或盖章）：          </w:t>
      </w:r>
      <w:r/>
    </w:p>
    <w:p>
      <w:pPr>
        <w:ind w:left="0" w:right="42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0"/>
        <w:jc w:val="righ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供应商：（盖单位公章）              </w:t>
      </w:r>
      <w:r/>
    </w:p>
    <w:p>
      <w:pPr>
        <w:ind w:left="0" w:right="0" w:firstLine="0"/>
        <w:jc w:val="center"/>
        <w:spacing w:before="0" w:after="0" w:line="79"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w:t>
      </w:r>
      <w:r/>
    </w:p>
    <w:p>
      <w:pPr>
        <w:ind w:left="0" w:right="0" w:firstLine="0"/>
        <w:jc w:val="center"/>
        <w:spacing w:before="0" w:after="0" w:line="79" w:lineRule="atLeast"/>
        <w:rPr>
          <w:rFonts w:ascii="SimSun" w:hAnsi="SimSun" w:eastAsia="SimSun" w:cs="SimSun"/>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示范格式四</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供应商信用承诺书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63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为营造公平竞争、规范有序的政府采购营商环境，树立诚信守法经营者形象，本单位郑重作出如下承诺，如有违背，违诺信息记入信用档案并依法予以公示，依法赔偿采购人因本单位违背承诺造成的经济损失。</w:t>
      </w:r>
      <w:r/>
    </w:p>
    <w:p>
      <w:pPr>
        <w:numPr>
          <w:ilvl w:val="0"/>
          <w:numId w:val="27"/>
        </w:numP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我方本次政府采购活动中申报的所有资料都是真实、准确、有效，如发现提供虚假资料，或与事实不符而导致投标无效，甚至造成任何法律和经济责任，完全由我方负责。</w:t>
      </w:r>
      <w:r/>
    </w:p>
    <w:p>
      <w:pPr>
        <w:numPr>
          <w:ilvl w:val="0"/>
          <w:numId w:val="27"/>
        </w:numP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我方在本次政府采购活动中绝无资质挂靠、串标、围标、中标后违法转包等情形，如有违反，我方自动放弃中标（成交）资格并承担相应的法律责任和后果。 </w:t>
      </w:r>
      <w:r/>
    </w:p>
    <w:p>
      <w:pPr>
        <w:numPr>
          <w:ilvl w:val="0"/>
          <w:numId w:val="27"/>
        </w:numP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我方未被列入失信黑名单；无尚未修复的严重失信行为；在以往的政府采购活动中无重大违法、违规的不良记录，或虽有不良记录， 但已超过处理期限。 </w:t>
      </w:r>
      <w:r/>
    </w:p>
    <w:p>
      <w:pPr>
        <w:numPr>
          <w:ilvl w:val="0"/>
          <w:numId w:val="27"/>
        </w:numP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我方承诺中标（成交）后按规定的时间内领取中标（成交）确认书，按规定及时与采购人签订合同。</w:t>
      </w:r>
      <w:r/>
    </w:p>
    <w:p>
      <w:pPr>
        <w:numPr>
          <w:ilvl w:val="0"/>
          <w:numId w:val="27"/>
        </w:numP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我方严格按照采购公告、采购文件和响应文件承诺履行合同。</w:t>
      </w:r>
      <w:r/>
    </w:p>
    <w:p>
      <w:pPr>
        <w:numPr>
          <w:ilvl w:val="0"/>
          <w:numId w:val="27"/>
        </w:numP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我方自觉接受社会各界的监督，依法接受有关行政机关的事中事后监管和执法检查，并如实提供有关情况和材料。</w:t>
      </w:r>
      <w:r/>
    </w:p>
    <w:p>
      <w:pPr>
        <w:numPr>
          <w:ilvl w:val="0"/>
          <w:numId w:val="27"/>
        </w:numP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严格遵守国家法律、法规、规章和相关政策规定，积极参与社会信用体系建设，倡树以信笃行，以诚兴业的传统美德，争创信用企业。 </w:t>
      </w:r>
      <w:r/>
    </w:p>
    <w:p>
      <w:pPr>
        <w:numPr>
          <w:ilvl w:val="0"/>
          <w:numId w:val="27"/>
        </w:numP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我方同意本《信用承诺书》记入信用档案。 </w:t>
      </w:r>
      <w:r/>
    </w:p>
    <w:p>
      <w:pPr>
        <w:ind w:left="113"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13"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承诺单位名称：                           （盖章）</w:t>
      </w:r>
      <w:r/>
    </w:p>
    <w:p>
      <w:pPr>
        <w:ind w:left="0" w:right="0" w:firstLine="57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center"/>
        <w:spacing w:before="260" w:after="260" w:line="98"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r>
      <w:r>
        <w:rPr>
          <w:rFonts w:ascii="SimSun" w:hAnsi="SimSun" w:eastAsia="SimSun" w:cs="SimSun"/>
          <w:b/>
          <w:color w:val="000000"/>
          <w:sz w:val="32"/>
          <w:highlight w:val="none"/>
          <w:u w:val="none"/>
        </w:rPr>
      </w:r>
    </w:p>
    <w:p>
      <w:pPr>
        <w:ind w:left="0" w:right="0" w:firstLine="0"/>
        <w:jc w:val="center"/>
        <w:spacing w:before="260" w:after="260" w:line="98" w:lineRule="atLeast"/>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r>
      <w:r>
        <w:rPr>
          <w:rFonts w:ascii="SimSun" w:hAnsi="SimSun" w:eastAsia="SimSun" w:cs="SimSun"/>
          <w:b/>
          <w:color w:val="000000"/>
          <w:sz w:val="32"/>
          <w:highlight w:val="none"/>
          <w:u w:val="none"/>
        </w:rPr>
      </w:r>
    </w:p>
    <w:p>
      <w:pPr>
        <w:ind w:left="0" w:right="0" w:firstLine="0"/>
        <w:jc w:val="center"/>
        <w:spacing w:before="260" w:after="260" w:line="98" w:lineRule="atLeast"/>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r>
      <w:r>
        <w:rPr>
          <w:rFonts w:ascii="SimSun" w:hAnsi="SimSun" w:eastAsia="SimSun" w:cs="SimSun"/>
          <w:b/>
          <w:color w:val="000000"/>
          <w:sz w:val="32"/>
          <w:highlight w:val="none"/>
          <w:u w:val="none"/>
        </w:rPr>
      </w:r>
    </w:p>
    <w:p>
      <w:pPr>
        <w:ind w:left="0" w:right="0" w:firstLine="0"/>
        <w:jc w:val="center"/>
        <w:spacing w:before="260" w:after="260" w:line="98" w:lineRule="atLeast"/>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w:t>
      </w:r>
      <w:r>
        <w:rPr>
          <w:rFonts w:ascii="SimSun" w:hAnsi="SimSun" w:eastAsia="SimSun" w:cs="SimSun"/>
          <w:b/>
          <w:color w:val="000000"/>
          <w:sz w:val="32"/>
          <w:u w:val="none"/>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致：盱眙县公安局</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根据贵方的（项目编号）</w:t>
      </w:r>
      <w:r>
        <w:rPr>
          <w:rFonts w:ascii="SimSun" w:hAnsi="SimSun" w:eastAsia="SimSun" w:cs="SimSun"/>
          <w:b/>
          <w:color w:val="000000"/>
          <w:sz w:val="36"/>
          <w:u w:val="single"/>
        </w:rPr>
        <w:t xml:space="preserve">     </w:t>
      </w:r>
      <w:r>
        <w:rPr>
          <w:rFonts w:ascii="SimSun" w:hAnsi="SimSun" w:eastAsia="SimSun" w:cs="SimSun"/>
          <w:color w:val="000000"/>
          <w:sz w:val="24"/>
        </w:rPr>
        <w:t xml:space="preserve">（项目名称） </w:t>
      </w:r>
      <w:r>
        <w:rPr>
          <w:rFonts w:ascii="SimSun" w:hAnsi="SimSun" w:eastAsia="SimSun" w:cs="SimSun"/>
          <w:b/>
          <w:color w:val="000000"/>
          <w:sz w:val="36"/>
          <w:u w:val="single"/>
        </w:rPr>
        <w:t xml:space="preserve">      </w:t>
      </w:r>
      <w:r>
        <w:rPr>
          <w:rFonts w:ascii="SimSun" w:hAnsi="SimSun" w:eastAsia="SimSun" w:cs="SimSun"/>
          <w:color w:val="000000"/>
          <w:sz w:val="24"/>
        </w:rPr>
        <w:t xml:space="preserve">招标文件，正式授权下述签字人_________________(姓名)代表我方______________（投标人的名称），全权处理本次项目投标的有关事宜。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1.按招标文件规定的各项要求，我方愿以投标报价：%的优惠率为投标总报价向采购方提供所需货物、服务（包含与货物相关的服务及与服务相关的货物）。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0" w:right="0" w:firstLine="84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（加盖电子签章）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七、小微企业声明函（货物）</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本公司（联合体）郑重声明，根据《政府采购促进中小企业发展管理办法》(财库[2020]46号)的规定，本公司（联合体）参加江苏省政府采购中心组织的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TXinwei" w:hAnsi="STXinwei" w:eastAsia="STXinwei" w:cs="STXinwei"/>
          <w:color w:val="000000"/>
          <w:sz w:val="36"/>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八、残疾人福利性单位声明函</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2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4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w:t>
      </w:r>
      <w:r>
        <w:rPr>
          <w:rFonts w:ascii="SimSun" w:hAnsi="SimSun" w:eastAsia="SimSun" w:cs="SimSun"/>
          <w:b/>
          <w:color w:val="000000"/>
          <w:sz w:val="32"/>
        </w:rPr>
        <w:t xml:space="preserve">监狱单位声明函（格式自拟，资料上传电子文件）</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r>
        <w:rPr>
          <w:rFonts w:ascii="SimHei" w:hAnsi="SimHei" w:eastAsia="SimHei" w:cs="SimHei"/>
          <w:b/>
          <w:color w:val="000000"/>
          <w:sz w:val="32"/>
        </w:rPr>
        <w:t xml:space="preserve"> </w:t>
      </w:r>
      <w:r/>
      <w:r>
        <w:rPr>
          <w:rFonts w:ascii="Calibri" w:hAnsi="Calibri" w:eastAsia="Calibri" w:cs="Calibri"/>
          <w:sz w:val="21"/>
        </w:rP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十、投标分项报价表（本项目不需要填写）</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6"/>
        <w:gridCol w:w="906"/>
        <w:gridCol w:w="845"/>
        <w:gridCol w:w="1237"/>
        <w:gridCol w:w="686"/>
        <w:gridCol w:w="857"/>
        <w:gridCol w:w="636"/>
        <w:gridCol w:w="1200"/>
        <w:gridCol w:w="1090"/>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3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w:t>
      </w:r>
      <w:r>
        <w:rPr>
          <w:rFonts w:ascii="SimSun" w:hAnsi="SimSun" w:eastAsia="SimSun" w:cs="SimSun"/>
          <w:color w:val="000000"/>
          <w:sz w:val="24"/>
        </w:rPr>
        <w:t xml:space="preserve">投标分项报价表</w:t>
      </w:r>
      <w:r>
        <w:rPr>
          <w:rFonts w:ascii="SimSun" w:hAnsi="SimSun" w:eastAsia="SimSun" w:cs="SimSun"/>
          <w:color w:val="000000"/>
          <w:sz w:val="21"/>
        </w:rPr>
        <w:t xml:space="preserve">”</w:t>
      </w:r>
      <w:r>
        <w:rPr>
          <w:rFonts w:ascii="SimSun" w:hAnsi="SimSun" w:eastAsia="SimSun" w:cs="SimSun"/>
          <w:color w:val="000000"/>
          <w:sz w:val="24"/>
        </w:rPr>
        <w:t xml:space="preserve">中“投标总报价”数额应当与“开标一览表”中“投标总报价”数额一致。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十一、技术要求响应及偏离表</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见采购需求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响应招标文件要求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十二、商务要求响应及偏离表</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见采购需求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响应招标文件要求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十三、</w:t>
      </w:r>
      <w:r/>
    </w:p>
    <w:p>
      <w:pPr>
        <w:pStyle w:val="721"/>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开标一览表（优惠率）</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投标人全称（CA公章）：供应商名称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项目名称：项目名称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项目编号：项目编号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rPr>
          <w:rFonts w:ascii="SimSun" w:hAnsi="SimSun" w:eastAsia="SimSun" w:cs="SimSun"/>
          <w:color w:val="000000"/>
          <w:sz w:val="24"/>
          <w:highlight w:val="white"/>
        </w:rPr>
        <w:t xml:space="preserve">分包号</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392"/>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投标优惠率（单位：</w:t>
            </w:r>
            <w:r>
              <w:rPr>
                <w:rFonts w:ascii="Calibri" w:hAnsi="Calibri" w:eastAsia="Calibri" w:cs="Calibri"/>
                <w:color w:val="000000"/>
                <w:sz w:val="21"/>
              </w:rPr>
              <w:t xml:space="preserve">%</w:t>
            </w:r>
            <w:r>
              <w:rPr>
                <w:rFonts w:ascii="SimSun" w:hAnsi="SimSun" w:eastAsia="SimSun" w:cs="SimSun"/>
                <w:color w:val="000000"/>
                <w:sz w:val="21"/>
              </w:rPr>
              <w:t xml:space="preserve">）</w:t>
            </w:r>
            <w:r/>
          </w:p>
        </w:tc>
      </w:tr>
      <w:tr>
        <w:trPr>
          <w:trHeight w:val="392"/>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优惠率：</w:t>
            </w:r>
            <w:r>
              <w:rPr>
                <w:rFonts w:ascii="Calibri" w:hAnsi="Calibri" w:eastAsia="Calibri" w:cs="Calibri"/>
                <w:color w:val="000000"/>
                <w:sz w:val="21"/>
              </w:rPr>
              <w:t xml:space="preserve">%</w:t>
            </w:r>
            <w:r/>
          </w:p>
        </w:tc>
      </w:tr>
    </w:tbl>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48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48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48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48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48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48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48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48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48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48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48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48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48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48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48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48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48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48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48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r/>
      <w:r/>
    </w:p>
    <w:sectPr>
      <w:headerReference w:type="default" r:id="rId9"/>
      <w:footerReference w:type="default" r:id="rId10"/>
      <w:footerReference w:type="even" r:id="rId11"/>
      <w:footnotePr/>
      <w:endnotePr/>
      <w:type w:val="nextPage"/>
      <w:pgSz w:w="11906" w:h="16838" w:orient="portrait"/>
      <w:pgMar w:top="1440" w:right="1083" w:bottom="1440" w:left="1083" w:header="851" w:footer="85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Xinwei">
    <w:panose1 w:val="02010800040101010101"/>
  </w:font>
  <w:font w:name="YouYuan">
    <w:panose1 w:val="02010509060101010101"/>
  </w:font>
  <w:font w:name="Segoe UI">
    <w:panose1 w:val="020B0502040204020203"/>
  </w:font>
  <w:font w:name="SimSun">
    <w:panose1 w:val="02010600030101010101"/>
  </w:font>
  <w:font w:name="FangSong">
    <w:panose1 w:val="02010609060101010101"/>
  </w:font>
  <w:font w:name="SimHei">
    <w:panose1 w:val="02010609060101010101"/>
  </w:font>
  <w:font w:name="仿宋">
    <w:panose1 w:val="02010609060101010101"/>
  </w:font>
  <w:font w:name="KaiTi">
    <w:panose1 w:val="02010609060101010101"/>
  </w:font>
  <w:font w:name="Symbol">
    <w:panose1 w:val="05050102010706020507"/>
  </w:font>
  <w:font w:name="Wingdings">
    <w:panose1 w:val="05000000000000000000"/>
  </w:font>
  <w:font w:name="华文楷体">
    <w:panose1 w:val="02010600040101010101"/>
  </w:font>
  <w:font w:name="Tahoma">
    <w:panose1 w:val="020B0604030504040204"/>
  </w:font>
  <w:font w:name="Courier New">
    <w:panose1 w:val="02070309020205020404"/>
  </w:font>
  <w:font w:name="Adobe 仿宋 Std R">
    <w:panose1 w:val="020B0503020202020204"/>
  </w:font>
  <w:font w:name="方正黑体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Microsoft YaHei">
    <w:panose1 w:val="020B0503020204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rPr>
        <w:rFonts w:ascii="仿宋" w:hAnsi="仿宋" w:eastAsia="仿宋"/>
      </w:rPr>
    </w:pPr>
    <w:r>
      <w:rPr>
        <w:rFonts w:ascii="仿宋" w:hAnsi="仿宋" w:eastAsia="仿宋"/>
      </w:rPr>
      <w:fldChar w:fldCharType="begin"/>
    </w:r>
    <w:r>
      <w:rPr>
        <w:rFonts w:ascii="仿宋" w:hAnsi="仿宋" w:eastAsia="仿宋"/>
      </w:rPr>
      <w:instrText xml:space="preserve"> PAGE   \* MERGEFORMAT </w:instrText>
    </w:r>
    <w:r>
      <w:rPr>
        <w:rFonts w:ascii="仿宋" w:hAnsi="仿宋" w:eastAsia="仿宋"/>
      </w:rPr>
      <w:fldChar w:fldCharType="separate"/>
    </w:r>
    <w:r>
      <w:rPr>
        <w:rFonts w:ascii="仿宋" w:hAnsi="仿宋" w:eastAsia="仿宋"/>
        <w:lang w:val="zh-CN"/>
      </w:rPr>
      <w:t xml:space="preserve">１７</w:t>
    </w:r>
    <w:r>
      <w:rPr>
        <w:rFonts w:ascii="仿宋" w:hAnsi="仿宋" w:eastAsia="仿宋"/>
      </w:rPr>
      <w:fldChar w:fldCharType="end"/>
    </w:r>
    <w:r>
      <w:rPr>
        <w:rFonts w:ascii="仿宋" w:hAnsi="仿宋" w:eastAsia="仿宋"/>
      </w:rPr>
    </w:r>
    <w:r/>
  </w:p>
  <w:p>
    <w:pPr>
      <w:pStyle w:val="976"/>
      <w:jc w:val="center"/>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915"/>
      </w:rPr>
      <w:framePr w:wrap="around" w:vAnchor="text" w:hAnchor="margin" w:xAlign="center" w:y="1" w:hRule="atLeast"/>
    </w:pPr>
    <w:r>
      <w:fldChar w:fldCharType="begin"/>
    </w:r>
    <w:r>
      <w:rPr>
        <w:rStyle w:val="915"/>
      </w:rPr>
      <w:instrText xml:space="preserve">PAGE  </w:instrText>
    </w:r>
    <w:r>
      <w:fldChar w:fldCharType="separate"/>
    </w:r>
    <w:r>
      <w:rPr>
        <w:rStyle w:val="915"/>
      </w:rPr>
      <w:t xml:space="preserve">1</w:t>
    </w:r>
    <w:r>
      <w:fldChar w:fldCharType="end"/>
    </w:r>
    <w:r>
      <w:rPr>
        <w:rStyle w:val="915"/>
      </w:rPr>
    </w:r>
    <w:r/>
  </w:p>
  <w:p>
    <w:pPr>
      <w:pStyle w:val="9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5"/>
      <w:isLgl w:val="false"/>
      <w:suff w:val="nothing"/>
      <w:lvlText w:val="%1、"/>
      <w:lvlJc w:val="left"/>
      <w:pPr>
        <w:pStyle w:val="899"/>
      </w:pPr>
    </w:lvl>
    <w:lvl w:ilvl="1">
      <w:start w:val="1"/>
      <w:numFmt w:val="lowerLetter"/>
      <w:isLgl w:val="false"/>
      <w:suff w:val="tab"/>
      <w:lvlText w:val="%2)"/>
      <w:lvlJc w:val="left"/>
      <w:pPr>
        <w:pStyle w:val="899"/>
        <w:ind w:left="840" w:hanging="420"/>
      </w:pPr>
    </w:lvl>
    <w:lvl w:ilvl="2">
      <w:start w:val="1"/>
      <w:numFmt w:val="lowerRoman"/>
      <w:isLgl w:val="false"/>
      <w:suff w:val="tab"/>
      <w:lvlText w:val="%3."/>
      <w:lvlJc w:val="right"/>
      <w:pPr>
        <w:pStyle w:val="899"/>
        <w:ind w:left="1260" w:hanging="420"/>
      </w:pPr>
    </w:lvl>
    <w:lvl w:ilvl="3">
      <w:start w:val="1"/>
      <w:numFmt w:val="decimal"/>
      <w:isLgl w:val="false"/>
      <w:suff w:val="tab"/>
      <w:lvlText w:val="%4."/>
      <w:lvlJc w:val="left"/>
      <w:pPr>
        <w:pStyle w:val="899"/>
        <w:ind w:left="1680" w:hanging="420"/>
      </w:pPr>
    </w:lvl>
    <w:lvl w:ilvl="4">
      <w:start w:val="1"/>
      <w:numFmt w:val="lowerLetter"/>
      <w:isLgl w:val="false"/>
      <w:suff w:val="tab"/>
      <w:lvlText w:val="%5)"/>
      <w:lvlJc w:val="left"/>
      <w:pPr>
        <w:pStyle w:val="899"/>
        <w:ind w:left="2100" w:hanging="420"/>
      </w:pPr>
    </w:lvl>
    <w:lvl w:ilvl="5">
      <w:start w:val="1"/>
      <w:numFmt w:val="lowerRoman"/>
      <w:pStyle w:val="905"/>
      <w:isLgl w:val="false"/>
      <w:suff w:val="tab"/>
      <w:lvlText w:val="%6."/>
      <w:lvlJc w:val="right"/>
      <w:pPr>
        <w:pStyle w:val="899"/>
        <w:ind w:left="2520" w:hanging="420"/>
      </w:pPr>
    </w:lvl>
    <w:lvl w:ilvl="6">
      <w:start w:val="1"/>
      <w:numFmt w:val="decimal"/>
      <w:pStyle w:val="906"/>
      <w:isLgl w:val="false"/>
      <w:suff w:val="tab"/>
      <w:lvlText w:val="%7."/>
      <w:lvlJc w:val="left"/>
      <w:pPr>
        <w:pStyle w:val="899"/>
        <w:ind w:left="2940" w:hanging="420"/>
      </w:pPr>
    </w:lvl>
    <w:lvl w:ilvl="7">
      <w:start w:val="1"/>
      <w:numFmt w:val="lowerLetter"/>
      <w:pStyle w:val="907"/>
      <w:isLgl w:val="false"/>
      <w:suff w:val="tab"/>
      <w:lvlText w:val="%8)"/>
      <w:lvlJc w:val="left"/>
      <w:pPr>
        <w:pStyle w:val="899"/>
        <w:ind w:left="3360" w:hanging="420"/>
      </w:pPr>
    </w:lvl>
    <w:lvl w:ilvl="8">
      <w:start w:val="1"/>
      <w:numFmt w:val="lowerRoman"/>
      <w:pStyle w:val="908"/>
      <w:isLgl w:val="false"/>
      <w:suff w:val="tab"/>
      <w:lvlText w:val="%9."/>
      <w:lvlJc w:val="right"/>
      <w:pPr>
        <w:pStyle w:val="899"/>
        <w:ind w:left="3780" w:hanging="420"/>
      </w:pPr>
    </w:lvl>
  </w:abstractNum>
  <w:abstractNum w:abstractNumId="1">
    <w:multiLevelType w:val="hybridMultilevel"/>
    <w:lvl w:ilvl="0">
      <w:start w:val="2"/>
      <w:numFmt w:val="decimal"/>
      <w:isLgl w:val="false"/>
      <w:suff w:val="nothing"/>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decimal"/>
      <w:isLgl w:val="false"/>
      <w:suff w:val="tab"/>
      <w:lvlText w:val="（%1）"/>
      <w:lvlJc w:val="left"/>
      <w:pPr>
        <w:pStyle w:val="899"/>
        <w:ind w:left="1140" w:hanging="720"/>
      </w:pPr>
    </w:lvl>
    <w:lvl w:ilvl="1">
      <w:start w:val="1"/>
      <w:numFmt w:val="lowerLetter"/>
      <w:isLgl w:val="false"/>
      <w:suff w:val="tab"/>
      <w:lvlText w:val="%2)"/>
      <w:lvlJc w:val="left"/>
      <w:pPr>
        <w:pStyle w:val="899"/>
        <w:ind w:left="1260" w:hanging="420"/>
      </w:pPr>
    </w:lvl>
    <w:lvl w:ilvl="2">
      <w:start w:val="1"/>
      <w:numFmt w:val="lowerRoman"/>
      <w:isLgl w:val="false"/>
      <w:suff w:val="tab"/>
      <w:lvlText w:val="%3."/>
      <w:lvlJc w:val="right"/>
      <w:pPr>
        <w:pStyle w:val="899"/>
        <w:ind w:left="1680" w:hanging="420"/>
      </w:pPr>
    </w:lvl>
    <w:lvl w:ilvl="3">
      <w:start w:val="1"/>
      <w:numFmt w:val="decimal"/>
      <w:isLgl w:val="false"/>
      <w:suff w:val="tab"/>
      <w:lvlText w:val="%4."/>
      <w:lvlJc w:val="left"/>
      <w:pPr>
        <w:pStyle w:val="899"/>
        <w:ind w:left="2100" w:hanging="420"/>
      </w:pPr>
    </w:lvl>
    <w:lvl w:ilvl="4">
      <w:start w:val="1"/>
      <w:numFmt w:val="lowerLetter"/>
      <w:isLgl w:val="false"/>
      <w:suff w:val="tab"/>
      <w:lvlText w:val="%5)"/>
      <w:lvlJc w:val="left"/>
      <w:pPr>
        <w:pStyle w:val="899"/>
        <w:ind w:left="2520" w:hanging="420"/>
      </w:pPr>
    </w:lvl>
    <w:lvl w:ilvl="5">
      <w:start w:val="1"/>
      <w:numFmt w:val="lowerRoman"/>
      <w:isLgl w:val="false"/>
      <w:suff w:val="tab"/>
      <w:lvlText w:val="%6."/>
      <w:lvlJc w:val="right"/>
      <w:pPr>
        <w:pStyle w:val="899"/>
        <w:ind w:left="2940" w:hanging="420"/>
      </w:pPr>
    </w:lvl>
    <w:lvl w:ilvl="6">
      <w:start w:val="1"/>
      <w:numFmt w:val="decimal"/>
      <w:isLgl w:val="false"/>
      <w:suff w:val="tab"/>
      <w:lvlText w:val="%7."/>
      <w:lvlJc w:val="left"/>
      <w:pPr>
        <w:pStyle w:val="899"/>
        <w:ind w:left="3360" w:hanging="420"/>
      </w:pPr>
    </w:lvl>
    <w:lvl w:ilvl="7">
      <w:start w:val="1"/>
      <w:numFmt w:val="lowerLetter"/>
      <w:isLgl w:val="false"/>
      <w:suff w:val="tab"/>
      <w:lvlText w:val="%8)"/>
      <w:lvlJc w:val="left"/>
      <w:pPr>
        <w:pStyle w:val="899"/>
        <w:ind w:left="3780" w:hanging="420"/>
      </w:pPr>
    </w:lvl>
    <w:lvl w:ilvl="8">
      <w:start w:val="1"/>
      <w:numFmt w:val="lowerRoman"/>
      <w:isLgl w:val="false"/>
      <w:suff w:val="tab"/>
      <w:lvlText w:val="%9."/>
      <w:lvlJc w:val="right"/>
      <w:pPr>
        <w:pStyle w:val="899"/>
        <w:ind w:left="4200" w:hanging="420"/>
      </w:pPr>
    </w:lvl>
  </w:abstractNum>
  <w:abstractNum w:abstractNumId="3">
    <w:multiLevelType w:val="hybridMultilevel"/>
    <w:lvl w:ilvl="0">
      <w:start w:val="5"/>
      <w:numFmt w:val="decimal"/>
      <w:isLgl w:val="false"/>
      <w:suff w:val="tab"/>
      <w:lvlText w:val="（%1）"/>
      <w:lvlJc w:val="left"/>
      <w:pPr>
        <w:pStyle w:val="899"/>
        <w:ind w:left="1140" w:hanging="720"/>
      </w:pPr>
      <w:rPr>
        <w:u w:val="none"/>
      </w:rPr>
    </w:lvl>
    <w:lvl w:ilvl="1">
      <w:start w:val="1"/>
      <w:numFmt w:val="lowerLetter"/>
      <w:isLgl w:val="false"/>
      <w:suff w:val="tab"/>
      <w:lvlText w:val="%2)"/>
      <w:lvlJc w:val="left"/>
      <w:pPr>
        <w:pStyle w:val="899"/>
        <w:ind w:left="1260" w:hanging="420"/>
      </w:pPr>
    </w:lvl>
    <w:lvl w:ilvl="2">
      <w:start w:val="1"/>
      <w:numFmt w:val="lowerRoman"/>
      <w:isLgl w:val="false"/>
      <w:suff w:val="tab"/>
      <w:lvlText w:val="%3."/>
      <w:lvlJc w:val="right"/>
      <w:pPr>
        <w:pStyle w:val="899"/>
        <w:ind w:left="1680" w:hanging="420"/>
      </w:pPr>
    </w:lvl>
    <w:lvl w:ilvl="3">
      <w:start w:val="1"/>
      <w:numFmt w:val="decimal"/>
      <w:isLgl w:val="false"/>
      <w:suff w:val="tab"/>
      <w:lvlText w:val="%4."/>
      <w:lvlJc w:val="left"/>
      <w:pPr>
        <w:pStyle w:val="899"/>
        <w:ind w:left="2100" w:hanging="420"/>
      </w:pPr>
    </w:lvl>
    <w:lvl w:ilvl="4">
      <w:start w:val="1"/>
      <w:numFmt w:val="lowerLetter"/>
      <w:isLgl w:val="false"/>
      <w:suff w:val="tab"/>
      <w:lvlText w:val="%5)"/>
      <w:lvlJc w:val="left"/>
      <w:pPr>
        <w:pStyle w:val="899"/>
        <w:ind w:left="2520" w:hanging="420"/>
      </w:pPr>
    </w:lvl>
    <w:lvl w:ilvl="5">
      <w:start w:val="1"/>
      <w:numFmt w:val="lowerRoman"/>
      <w:isLgl w:val="false"/>
      <w:suff w:val="tab"/>
      <w:lvlText w:val="%6."/>
      <w:lvlJc w:val="right"/>
      <w:pPr>
        <w:pStyle w:val="899"/>
        <w:ind w:left="2940" w:hanging="420"/>
      </w:pPr>
    </w:lvl>
    <w:lvl w:ilvl="6">
      <w:start w:val="1"/>
      <w:numFmt w:val="decimal"/>
      <w:isLgl w:val="false"/>
      <w:suff w:val="tab"/>
      <w:lvlText w:val="%7."/>
      <w:lvlJc w:val="left"/>
      <w:pPr>
        <w:pStyle w:val="899"/>
        <w:ind w:left="3360" w:hanging="420"/>
      </w:pPr>
    </w:lvl>
    <w:lvl w:ilvl="7">
      <w:start w:val="1"/>
      <w:numFmt w:val="lowerLetter"/>
      <w:isLgl w:val="false"/>
      <w:suff w:val="tab"/>
      <w:lvlText w:val="%8)"/>
      <w:lvlJc w:val="left"/>
      <w:pPr>
        <w:pStyle w:val="899"/>
        <w:ind w:left="3780" w:hanging="420"/>
      </w:pPr>
    </w:lvl>
    <w:lvl w:ilvl="8">
      <w:start w:val="1"/>
      <w:numFmt w:val="lowerRoman"/>
      <w:isLgl w:val="false"/>
      <w:suff w:val="tab"/>
      <w:lvlText w:val="%9."/>
      <w:lvlJc w:val="right"/>
      <w:pPr>
        <w:pStyle w:val="899"/>
        <w:ind w:left="4200" w:hanging="420"/>
      </w:pPr>
    </w:lvl>
  </w:abstractNum>
  <w:abstractNum w:abstractNumId="4">
    <w:multiLevelType w:val="hybridMultilevel"/>
    <w:lvl w:ilvl="0">
      <w:start w:val="2"/>
      <w:numFmt w:val="decimal"/>
      <w:isLgl w:val="false"/>
      <w:suff w:val="tab"/>
      <w:lvlText w:val="（%1）"/>
      <w:lvlJc w:val="left"/>
      <w:pPr>
        <w:pStyle w:val="899"/>
        <w:ind w:left="1429" w:hanging="720"/>
      </w:pPr>
      <w:rPr>
        <w:u w:val="none"/>
      </w:rPr>
    </w:lvl>
    <w:lvl w:ilvl="1">
      <w:start w:val="1"/>
      <w:numFmt w:val="lowerLetter"/>
      <w:isLgl w:val="false"/>
      <w:suff w:val="tab"/>
      <w:lvlText w:val="%2)"/>
      <w:lvlJc w:val="left"/>
      <w:pPr>
        <w:pStyle w:val="899"/>
        <w:ind w:left="1549" w:hanging="420"/>
      </w:pPr>
    </w:lvl>
    <w:lvl w:ilvl="2">
      <w:start w:val="1"/>
      <w:numFmt w:val="lowerRoman"/>
      <w:isLgl w:val="false"/>
      <w:suff w:val="tab"/>
      <w:lvlText w:val="%3."/>
      <w:lvlJc w:val="right"/>
      <w:pPr>
        <w:pStyle w:val="899"/>
        <w:ind w:left="1969" w:hanging="420"/>
      </w:pPr>
    </w:lvl>
    <w:lvl w:ilvl="3">
      <w:start w:val="1"/>
      <w:numFmt w:val="decimal"/>
      <w:isLgl w:val="false"/>
      <w:suff w:val="tab"/>
      <w:lvlText w:val="%4."/>
      <w:lvlJc w:val="left"/>
      <w:pPr>
        <w:pStyle w:val="899"/>
        <w:ind w:left="2389" w:hanging="420"/>
      </w:pPr>
    </w:lvl>
    <w:lvl w:ilvl="4">
      <w:start w:val="1"/>
      <w:numFmt w:val="lowerLetter"/>
      <w:isLgl w:val="false"/>
      <w:suff w:val="tab"/>
      <w:lvlText w:val="%5)"/>
      <w:lvlJc w:val="left"/>
      <w:pPr>
        <w:pStyle w:val="899"/>
        <w:ind w:left="2809" w:hanging="420"/>
      </w:pPr>
    </w:lvl>
    <w:lvl w:ilvl="5">
      <w:start w:val="1"/>
      <w:numFmt w:val="lowerRoman"/>
      <w:isLgl w:val="false"/>
      <w:suff w:val="tab"/>
      <w:lvlText w:val="%6."/>
      <w:lvlJc w:val="right"/>
      <w:pPr>
        <w:pStyle w:val="899"/>
        <w:ind w:left="3229" w:hanging="420"/>
      </w:pPr>
    </w:lvl>
    <w:lvl w:ilvl="6">
      <w:start w:val="1"/>
      <w:numFmt w:val="decimal"/>
      <w:isLgl w:val="false"/>
      <w:suff w:val="tab"/>
      <w:lvlText w:val="%7."/>
      <w:lvlJc w:val="left"/>
      <w:pPr>
        <w:pStyle w:val="899"/>
        <w:ind w:left="3649" w:hanging="420"/>
      </w:pPr>
    </w:lvl>
    <w:lvl w:ilvl="7">
      <w:start w:val="1"/>
      <w:numFmt w:val="lowerLetter"/>
      <w:isLgl w:val="false"/>
      <w:suff w:val="tab"/>
      <w:lvlText w:val="%8)"/>
      <w:lvlJc w:val="left"/>
      <w:pPr>
        <w:pStyle w:val="899"/>
        <w:ind w:left="4069" w:hanging="420"/>
      </w:pPr>
    </w:lvl>
    <w:lvl w:ilvl="8">
      <w:start w:val="1"/>
      <w:numFmt w:val="lowerRoman"/>
      <w:isLgl w:val="false"/>
      <w:suff w:val="tab"/>
      <w:lvlText w:val="%9."/>
      <w:lvlJc w:val="right"/>
      <w:pPr>
        <w:pStyle w:val="899"/>
        <w:ind w:left="4489" w:hanging="420"/>
      </w:pPr>
    </w:lvl>
  </w:abstractNum>
  <w:abstractNum w:abstractNumId="5">
    <w:multiLevelType w:val="hybridMultilevel"/>
    <w:lvl w:ilvl="0">
      <w:start w:val="1"/>
      <w:numFmt w:val="decimal"/>
      <w:isLgl w:val="false"/>
      <w:suff w:val="tab"/>
      <w:lvlText w:val="%1、"/>
      <w:lvlJc w:val="left"/>
      <w:pPr>
        <w:pStyle w:val="899"/>
        <w:ind w:left="360" w:hanging="360"/>
      </w:pPr>
    </w:lvl>
    <w:lvl w:ilvl="1">
      <w:start w:val="1"/>
      <w:numFmt w:val="lowerLetter"/>
      <w:isLgl w:val="false"/>
      <w:suff w:val="tab"/>
      <w:lvlText w:val="%2)"/>
      <w:lvlJc w:val="left"/>
      <w:pPr>
        <w:pStyle w:val="899"/>
        <w:ind w:left="840" w:hanging="420"/>
      </w:pPr>
    </w:lvl>
    <w:lvl w:ilvl="2">
      <w:start w:val="1"/>
      <w:numFmt w:val="lowerRoman"/>
      <w:isLgl w:val="false"/>
      <w:suff w:val="tab"/>
      <w:lvlText w:val="%3."/>
      <w:lvlJc w:val="right"/>
      <w:pPr>
        <w:pStyle w:val="899"/>
        <w:ind w:left="1260" w:hanging="420"/>
      </w:pPr>
    </w:lvl>
    <w:lvl w:ilvl="3">
      <w:start w:val="1"/>
      <w:numFmt w:val="decimal"/>
      <w:isLgl w:val="false"/>
      <w:suff w:val="tab"/>
      <w:lvlText w:val="%4."/>
      <w:lvlJc w:val="left"/>
      <w:pPr>
        <w:pStyle w:val="899"/>
        <w:ind w:left="1680" w:hanging="420"/>
      </w:pPr>
    </w:lvl>
    <w:lvl w:ilvl="4">
      <w:start w:val="1"/>
      <w:numFmt w:val="lowerLetter"/>
      <w:isLgl w:val="false"/>
      <w:suff w:val="tab"/>
      <w:lvlText w:val="%5)"/>
      <w:lvlJc w:val="left"/>
      <w:pPr>
        <w:pStyle w:val="899"/>
        <w:ind w:left="2100" w:hanging="420"/>
      </w:pPr>
    </w:lvl>
    <w:lvl w:ilvl="5">
      <w:start w:val="1"/>
      <w:numFmt w:val="lowerRoman"/>
      <w:isLgl w:val="false"/>
      <w:suff w:val="tab"/>
      <w:lvlText w:val="%6."/>
      <w:lvlJc w:val="right"/>
      <w:pPr>
        <w:pStyle w:val="899"/>
        <w:ind w:left="2520" w:hanging="420"/>
      </w:pPr>
    </w:lvl>
    <w:lvl w:ilvl="6">
      <w:start w:val="1"/>
      <w:numFmt w:val="decimal"/>
      <w:isLgl w:val="false"/>
      <w:suff w:val="tab"/>
      <w:lvlText w:val="%7."/>
      <w:lvlJc w:val="left"/>
      <w:pPr>
        <w:pStyle w:val="899"/>
        <w:ind w:left="2940" w:hanging="420"/>
      </w:pPr>
    </w:lvl>
    <w:lvl w:ilvl="7">
      <w:start w:val="1"/>
      <w:numFmt w:val="lowerLetter"/>
      <w:isLgl w:val="false"/>
      <w:suff w:val="tab"/>
      <w:lvlText w:val="%8)"/>
      <w:lvlJc w:val="left"/>
      <w:pPr>
        <w:pStyle w:val="899"/>
        <w:ind w:left="3360" w:hanging="420"/>
      </w:pPr>
    </w:lvl>
    <w:lvl w:ilvl="8">
      <w:start w:val="1"/>
      <w:numFmt w:val="lowerRoman"/>
      <w:isLgl w:val="false"/>
      <w:suff w:val="tab"/>
      <w:lvlText w:val="%9."/>
      <w:lvlJc w:val="right"/>
      <w:pPr>
        <w:pStyle w:val="899"/>
        <w:ind w:left="3780" w:hanging="420"/>
      </w:pPr>
    </w:lvl>
  </w:abstractNum>
  <w:abstractNum w:abstractNumId="6">
    <w:multiLevelType w:val="hybridMultilevel"/>
    <w:lvl w:ilvl="0">
      <w:start w:val="2"/>
      <w:numFmt w:val="decimal"/>
      <w:isLgl w:val="false"/>
      <w:suff w:val="tab"/>
      <w:lvlText w:val="（%1）"/>
      <w:lvlJc w:val="left"/>
      <w:pPr>
        <w:pStyle w:val="899"/>
        <w:ind w:left="1140" w:hanging="720"/>
      </w:pPr>
      <w:rPr>
        <w:u w:val="none"/>
      </w:rPr>
    </w:lvl>
    <w:lvl w:ilvl="1">
      <w:start w:val="1"/>
      <w:numFmt w:val="lowerLetter"/>
      <w:isLgl w:val="false"/>
      <w:suff w:val="tab"/>
      <w:lvlText w:val="%2)"/>
      <w:lvlJc w:val="left"/>
      <w:pPr>
        <w:pStyle w:val="899"/>
        <w:ind w:left="1260" w:hanging="420"/>
      </w:pPr>
    </w:lvl>
    <w:lvl w:ilvl="2">
      <w:start w:val="1"/>
      <w:numFmt w:val="lowerRoman"/>
      <w:isLgl w:val="false"/>
      <w:suff w:val="tab"/>
      <w:lvlText w:val="%3."/>
      <w:lvlJc w:val="right"/>
      <w:pPr>
        <w:pStyle w:val="899"/>
        <w:ind w:left="1680" w:hanging="420"/>
      </w:pPr>
    </w:lvl>
    <w:lvl w:ilvl="3">
      <w:start w:val="1"/>
      <w:numFmt w:val="decimal"/>
      <w:isLgl w:val="false"/>
      <w:suff w:val="tab"/>
      <w:lvlText w:val="%4."/>
      <w:lvlJc w:val="left"/>
      <w:pPr>
        <w:pStyle w:val="899"/>
        <w:ind w:left="2100" w:hanging="420"/>
      </w:pPr>
    </w:lvl>
    <w:lvl w:ilvl="4">
      <w:start w:val="1"/>
      <w:numFmt w:val="lowerLetter"/>
      <w:isLgl w:val="false"/>
      <w:suff w:val="tab"/>
      <w:lvlText w:val="%5)"/>
      <w:lvlJc w:val="left"/>
      <w:pPr>
        <w:pStyle w:val="899"/>
        <w:ind w:left="2520" w:hanging="420"/>
      </w:pPr>
    </w:lvl>
    <w:lvl w:ilvl="5">
      <w:start w:val="1"/>
      <w:numFmt w:val="lowerRoman"/>
      <w:isLgl w:val="false"/>
      <w:suff w:val="tab"/>
      <w:lvlText w:val="%6."/>
      <w:lvlJc w:val="right"/>
      <w:pPr>
        <w:pStyle w:val="899"/>
        <w:ind w:left="2940" w:hanging="420"/>
      </w:pPr>
    </w:lvl>
    <w:lvl w:ilvl="6">
      <w:start w:val="1"/>
      <w:numFmt w:val="decimal"/>
      <w:isLgl w:val="false"/>
      <w:suff w:val="tab"/>
      <w:lvlText w:val="%7."/>
      <w:lvlJc w:val="left"/>
      <w:pPr>
        <w:pStyle w:val="899"/>
        <w:ind w:left="3360" w:hanging="420"/>
      </w:pPr>
    </w:lvl>
    <w:lvl w:ilvl="7">
      <w:start w:val="1"/>
      <w:numFmt w:val="lowerLetter"/>
      <w:isLgl w:val="false"/>
      <w:suff w:val="tab"/>
      <w:lvlText w:val="%8)"/>
      <w:lvlJc w:val="left"/>
      <w:pPr>
        <w:pStyle w:val="899"/>
        <w:ind w:left="3780" w:hanging="420"/>
      </w:pPr>
    </w:lvl>
    <w:lvl w:ilvl="8">
      <w:start w:val="1"/>
      <w:numFmt w:val="lowerRoman"/>
      <w:isLgl w:val="false"/>
      <w:suff w:val="tab"/>
      <w:lvlText w:val="%9."/>
      <w:lvlJc w:val="right"/>
      <w:pPr>
        <w:pStyle w:val="899"/>
        <w:ind w:left="4200" w:hanging="420"/>
      </w:pPr>
    </w:lvl>
  </w:abstractNum>
  <w:abstractNum w:abstractNumId="7">
    <w:multiLevelType w:val="hybridMultilevel"/>
    <w:lvl w:ilvl="0">
      <w:start w:val="2"/>
      <w:numFmt w:val="chineseCounting"/>
      <w:isLgl w:val="false"/>
      <w:suff w:val="nothing"/>
      <w:lvlText w:val="（%1）"/>
      <w:lvlJc w:val="left"/>
      <w:pPr>
        <w:pStyle w:val="8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8"/>
      <w:numFmt w:val="decimal"/>
      <w:isLgl w:val="false"/>
      <w:suff w:val="tab"/>
      <w:lvlText w:val="（%1）"/>
      <w:lvlJc w:val="left"/>
      <w:pPr>
        <w:pStyle w:val="899"/>
        <w:ind w:left="1140" w:hanging="720"/>
      </w:pPr>
      <w:rPr>
        <w:u w:val="none"/>
      </w:rPr>
    </w:lvl>
    <w:lvl w:ilvl="1">
      <w:start w:val="1"/>
      <w:numFmt w:val="lowerLetter"/>
      <w:isLgl w:val="false"/>
      <w:suff w:val="tab"/>
      <w:lvlText w:val="%2)"/>
      <w:lvlJc w:val="left"/>
      <w:pPr>
        <w:pStyle w:val="899"/>
        <w:ind w:left="1260" w:hanging="420"/>
      </w:pPr>
    </w:lvl>
    <w:lvl w:ilvl="2">
      <w:start w:val="1"/>
      <w:numFmt w:val="lowerRoman"/>
      <w:isLgl w:val="false"/>
      <w:suff w:val="tab"/>
      <w:lvlText w:val="%3."/>
      <w:lvlJc w:val="right"/>
      <w:pPr>
        <w:pStyle w:val="899"/>
        <w:ind w:left="1680" w:hanging="420"/>
      </w:pPr>
    </w:lvl>
    <w:lvl w:ilvl="3">
      <w:start w:val="1"/>
      <w:numFmt w:val="decimal"/>
      <w:isLgl w:val="false"/>
      <w:suff w:val="tab"/>
      <w:lvlText w:val="%4."/>
      <w:lvlJc w:val="left"/>
      <w:pPr>
        <w:pStyle w:val="899"/>
        <w:ind w:left="2100" w:hanging="420"/>
      </w:pPr>
    </w:lvl>
    <w:lvl w:ilvl="4">
      <w:start w:val="1"/>
      <w:numFmt w:val="lowerLetter"/>
      <w:isLgl w:val="false"/>
      <w:suff w:val="tab"/>
      <w:lvlText w:val="%5)"/>
      <w:lvlJc w:val="left"/>
      <w:pPr>
        <w:pStyle w:val="899"/>
        <w:ind w:left="2520" w:hanging="420"/>
      </w:pPr>
    </w:lvl>
    <w:lvl w:ilvl="5">
      <w:start w:val="1"/>
      <w:numFmt w:val="lowerRoman"/>
      <w:isLgl w:val="false"/>
      <w:suff w:val="tab"/>
      <w:lvlText w:val="%6."/>
      <w:lvlJc w:val="right"/>
      <w:pPr>
        <w:pStyle w:val="899"/>
        <w:ind w:left="2940" w:hanging="420"/>
      </w:pPr>
    </w:lvl>
    <w:lvl w:ilvl="6">
      <w:start w:val="1"/>
      <w:numFmt w:val="decimal"/>
      <w:isLgl w:val="false"/>
      <w:suff w:val="tab"/>
      <w:lvlText w:val="%7."/>
      <w:lvlJc w:val="left"/>
      <w:pPr>
        <w:pStyle w:val="899"/>
        <w:ind w:left="3360" w:hanging="420"/>
      </w:pPr>
    </w:lvl>
    <w:lvl w:ilvl="7">
      <w:start w:val="1"/>
      <w:numFmt w:val="lowerLetter"/>
      <w:isLgl w:val="false"/>
      <w:suff w:val="tab"/>
      <w:lvlText w:val="%8)"/>
      <w:lvlJc w:val="left"/>
      <w:pPr>
        <w:pStyle w:val="899"/>
        <w:ind w:left="3780" w:hanging="420"/>
      </w:pPr>
    </w:lvl>
    <w:lvl w:ilvl="8">
      <w:start w:val="1"/>
      <w:numFmt w:val="lowerRoman"/>
      <w:isLgl w:val="false"/>
      <w:suff w:val="tab"/>
      <w:lvlText w:val="%9."/>
      <w:lvlJc w:val="right"/>
      <w:pPr>
        <w:pStyle w:val="899"/>
        <w:ind w:left="4200" w:hanging="420"/>
      </w:pPr>
    </w:lvl>
  </w:abstractNum>
  <w:abstractNum w:abstractNumId="9">
    <w:multiLevelType w:val="hybridMultilevel"/>
    <w:lvl w:ilvl="0">
      <w:start w:val="1"/>
      <w:numFmt w:val="decimal"/>
      <w:isLgl w:val="false"/>
      <w:suff w:val="tab"/>
      <w:lvlText w:val="%1、"/>
      <w:lvlJc w:val="left"/>
      <w:pPr>
        <w:ind w:left="0" w:firstLine="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 w:numId="15">
    <w:abstractNumId w:val="6"/>
  </w:num>
  <w:num w:numId="16">
    <w:abstractNumId w:val="3"/>
  </w:num>
  <w:num w:numId="17">
    <w:abstractNumId w:val="8"/>
  </w:num>
  <w:num w:numId="18">
    <w:abstractNumId w:val="2"/>
  </w:num>
  <w:num w:numId="19">
    <w:abstractNumId w:val="0"/>
  </w:num>
  <w:num w:numId="20">
    <w:abstractNumId w:val="5"/>
  </w:num>
  <w:num w:numId="21">
    <w:abstractNumId w:val="7"/>
  </w:num>
  <w:num w:numId="22">
    <w:abstractNumId w:val="1"/>
  </w:num>
  <w:num w:numId="23">
    <w:abstractNumId w:val="9"/>
  </w:num>
  <w:num w:numId="24">
    <w:abstractNumId w:val="10"/>
  </w:num>
  <w:num w:numId="25">
    <w:abstractNumId w:val="11"/>
  </w:num>
  <w:num w:numId="26">
    <w:abstractNumId w:val="12"/>
  </w:num>
  <w:num w:numId="27">
    <w:abstractNumId w:val="13"/>
  </w:num>
  <w:num w:numId="28">
    <w:abstractNumId w:val="14"/>
  </w:num>
  <w:num w:numId="29">
    <w:abstractNumId w:val="15"/>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name w:val="Heading 1"/>
    <w:basedOn w:val="899"/>
    <w:next w:val="899"/>
    <w:link w:val="722"/>
    <w:uiPriority w:val="9"/>
    <w:qFormat/>
    <w:pPr>
      <w:keepLines/>
      <w:keepNext/>
      <w:spacing w:before="480" w:after="200"/>
      <w:outlineLvl w:val="0"/>
    </w:pPr>
    <w:rPr>
      <w:rFonts w:ascii="Arial" w:hAnsi="Arial" w:eastAsia="Arial" w:cs="Arial"/>
      <w:sz w:val="40"/>
      <w:szCs w:val="40"/>
    </w:rPr>
  </w:style>
  <w:style w:type="character" w:styleId="722">
    <w:name w:val="Heading 1 Char"/>
    <w:link w:val="721"/>
    <w:uiPriority w:val="9"/>
    <w:rPr>
      <w:rFonts w:ascii="Arial" w:hAnsi="Arial" w:eastAsia="Arial" w:cs="Arial"/>
      <w:sz w:val="40"/>
      <w:szCs w:val="40"/>
    </w:rPr>
  </w:style>
  <w:style w:type="paragraph" w:styleId="723">
    <w:name w:val="Heading 2"/>
    <w:basedOn w:val="899"/>
    <w:next w:val="899"/>
    <w:link w:val="724"/>
    <w:uiPriority w:val="9"/>
    <w:unhideWhenUsed/>
    <w:qFormat/>
    <w:pPr>
      <w:keepLines/>
      <w:keepNext/>
      <w:spacing w:before="360" w:after="200"/>
      <w:outlineLvl w:val="1"/>
    </w:pPr>
    <w:rPr>
      <w:rFonts w:ascii="Arial" w:hAnsi="Arial" w:eastAsia="Arial" w:cs="Arial"/>
      <w:sz w:val="34"/>
    </w:rPr>
  </w:style>
  <w:style w:type="character" w:styleId="724">
    <w:name w:val="Heading 2 Char"/>
    <w:link w:val="723"/>
    <w:uiPriority w:val="9"/>
    <w:rPr>
      <w:rFonts w:ascii="Arial" w:hAnsi="Arial" w:eastAsia="Arial" w:cs="Arial"/>
      <w:sz w:val="34"/>
    </w:rPr>
  </w:style>
  <w:style w:type="paragraph" w:styleId="725">
    <w:name w:val="Heading 3"/>
    <w:basedOn w:val="899"/>
    <w:next w:val="899"/>
    <w:link w:val="726"/>
    <w:uiPriority w:val="9"/>
    <w:unhideWhenUsed/>
    <w:qFormat/>
    <w:pPr>
      <w:keepLines/>
      <w:keepNext/>
      <w:spacing w:before="320" w:after="200"/>
      <w:outlineLvl w:val="2"/>
    </w:pPr>
    <w:rPr>
      <w:rFonts w:ascii="Arial" w:hAnsi="Arial" w:eastAsia="Arial" w:cs="Arial"/>
      <w:sz w:val="30"/>
      <w:szCs w:val="30"/>
    </w:rPr>
  </w:style>
  <w:style w:type="character" w:styleId="726">
    <w:name w:val="Heading 3 Char"/>
    <w:link w:val="725"/>
    <w:uiPriority w:val="9"/>
    <w:rPr>
      <w:rFonts w:ascii="Arial" w:hAnsi="Arial" w:eastAsia="Arial" w:cs="Arial"/>
      <w:sz w:val="30"/>
      <w:szCs w:val="30"/>
    </w:rPr>
  </w:style>
  <w:style w:type="paragraph" w:styleId="727">
    <w:name w:val="Heading 4"/>
    <w:basedOn w:val="899"/>
    <w:next w:val="899"/>
    <w:link w:val="728"/>
    <w:uiPriority w:val="9"/>
    <w:unhideWhenUsed/>
    <w:qFormat/>
    <w:pPr>
      <w:keepLines/>
      <w:keepNext/>
      <w:spacing w:before="320" w:after="200"/>
      <w:outlineLvl w:val="3"/>
    </w:pPr>
    <w:rPr>
      <w:rFonts w:ascii="Arial" w:hAnsi="Arial" w:eastAsia="Arial" w:cs="Arial"/>
      <w:b/>
      <w:bCs/>
      <w:sz w:val="26"/>
      <w:szCs w:val="26"/>
    </w:rPr>
  </w:style>
  <w:style w:type="character" w:styleId="728">
    <w:name w:val="Heading 4 Char"/>
    <w:link w:val="727"/>
    <w:uiPriority w:val="9"/>
    <w:rPr>
      <w:rFonts w:ascii="Arial" w:hAnsi="Arial" w:eastAsia="Arial" w:cs="Arial"/>
      <w:b/>
      <w:bCs/>
      <w:sz w:val="26"/>
      <w:szCs w:val="26"/>
    </w:rPr>
  </w:style>
  <w:style w:type="paragraph" w:styleId="729">
    <w:name w:val="Heading 5"/>
    <w:basedOn w:val="899"/>
    <w:next w:val="899"/>
    <w:link w:val="730"/>
    <w:uiPriority w:val="9"/>
    <w:unhideWhenUsed/>
    <w:qFormat/>
    <w:pPr>
      <w:keepLines/>
      <w:keepNext/>
      <w:spacing w:before="320" w:after="200"/>
      <w:outlineLvl w:val="4"/>
    </w:pPr>
    <w:rPr>
      <w:rFonts w:ascii="Arial" w:hAnsi="Arial" w:eastAsia="Arial" w:cs="Arial"/>
      <w:b/>
      <w:bCs/>
      <w:sz w:val="24"/>
      <w:szCs w:val="24"/>
    </w:rPr>
  </w:style>
  <w:style w:type="character" w:styleId="730">
    <w:name w:val="Heading 5 Char"/>
    <w:link w:val="729"/>
    <w:uiPriority w:val="9"/>
    <w:rPr>
      <w:rFonts w:ascii="Arial" w:hAnsi="Arial" w:eastAsia="Arial" w:cs="Arial"/>
      <w:b/>
      <w:bCs/>
      <w:sz w:val="24"/>
      <w:szCs w:val="24"/>
    </w:rPr>
  </w:style>
  <w:style w:type="paragraph" w:styleId="731">
    <w:name w:val="Heading 6"/>
    <w:basedOn w:val="899"/>
    <w:next w:val="899"/>
    <w:link w:val="732"/>
    <w:uiPriority w:val="9"/>
    <w:unhideWhenUsed/>
    <w:qFormat/>
    <w:pPr>
      <w:keepLines/>
      <w:keepNext/>
      <w:spacing w:before="320" w:after="200"/>
      <w:outlineLvl w:val="5"/>
    </w:pPr>
    <w:rPr>
      <w:rFonts w:ascii="Arial" w:hAnsi="Arial" w:eastAsia="Arial" w:cs="Arial"/>
      <w:b/>
      <w:bCs/>
      <w:sz w:val="22"/>
      <w:szCs w:val="22"/>
    </w:rPr>
  </w:style>
  <w:style w:type="character" w:styleId="732">
    <w:name w:val="Heading 6 Char"/>
    <w:link w:val="731"/>
    <w:uiPriority w:val="9"/>
    <w:rPr>
      <w:rFonts w:ascii="Arial" w:hAnsi="Arial" w:eastAsia="Arial" w:cs="Arial"/>
      <w:b/>
      <w:bCs/>
      <w:sz w:val="22"/>
      <w:szCs w:val="22"/>
    </w:rPr>
  </w:style>
  <w:style w:type="paragraph" w:styleId="733">
    <w:name w:val="Heading 7"/>
    <w:basedOn w:val="899"/>
    <w:next w:val="899"/>
    <w:link w:val="734"/>
    <w:uiPriority w:val="9"/>
    <w:unhideWhenUsed/>
    <w:qFormat/>
    <w:pPr>
      <w:keepLines/>
      <w:keepNext/>
      <w:spacing w:before="320" w:after="200"/>
      <w:outlineLvl w:val="6"/>
    </w:pPr>
    <w:rPr>
      <w:rFonts w:ascii="Arial" w:hAnsi="Arial" w:eastAsia="Arial" w:cs="Arial"/>
      <w:b/>
      <w:bCs/>
      <w:i/>
      <w:iCs/>
      <w:sz w:val="22"/>
      <w:szCs w:val="22"/>
    </w:rPr>
  </w:style>
  <w:style w:type="character" w:styleId="734">
    <w:name w:val="Heading 7 Char"/>
    <w:link w:val="733"/>
    <w:uiPriority w:val="9"/>
    <w:rPr>
      <w:rFonts w:ascii="Arial" w:hAnsi="Arial" w:eastAsia="Arial" w:cs="Arial"/>
      <w:b/>
      <w:bCs/>
      <w:i/>
      <w:iCs/>
      <w:sz w:val="22"/>
      <w:szCs w:val="22"/>
    </w:rPr>
  </w:style>
  <w:style w:type="paragraph" w:styleId="735">
    <w:name w:val="Heading 8"/>
    <w:basedOn w:val="899"/>
    <w:next w:val="899"/>
    <w:link w:val="736"/>
    <w:uiPriority w:val="9"/>
    <w:unhideWhenUsed/>
    <w:qFormat/>
    <w:pPr>
      <w:keepLines/>
      <w:keepNext/>
      <w:spacing w:before="320" w:after="200"/>
      <w:outlineLvl w:val="7"/>
    </w:pPr>
    <w:rPr>
      <w:rFonts w:ascii="Arial" w:hAnsi="Arial" w:eastAsia="Arial" w:cs="Arial"/>
      <w:i/>
      <w:iCs/>
      <w:sz w:val="22"/>
      <w:szCs w:val="22"/>
    </w:rPr>
  </w:style>
  <w:style w:type="character" w:styleId="736">
    <w:name w:val="Heading 8 Char"/>
    <w:link w:val="735"/>
    <w:uiPriority w:val="9"/>
    <w:rPr>
      <w:rFonts w:ascii="Arial" w:hAnsi="Arial" w:eastAsia="Arial" w:cs="Arial"/>
      <w:i/>
      <w:iCs/>
      <w:sz w:val="22"/>
      <w:szCs w:val="22"/>
    </w:rPr>
  </w:style>
  <w:style w:type="paragraph" w:styleId="737">
    <w:name w:val="Heading 9"/>
    <w:basedOn w:val="899"/>
    <w:next w:val="899"/>
    <w:link w:val="738"/>
    <w:uiPriority w:val="9"/>
    <w:unhideWhenUsed/>
    <w:qFormat/>
    <w:pPr>
      <w:keepLines/>
      <w:keepNext/>
      <w:spacing w:before="320" w:after="200"/>
      <w:outlineLvl w:val="8"/>
    </w:pPr>
    <w:rPr>
      <w:rFonts w:ascii="Arial" w:hAnsi="Arial" w:eastAsia="Arial" w:cs="Arial"/>
      <w:i/>
      <w:iCs/>
      <w:sz w:val="21"/>
      <w:szCs w:val="21"/>
    </w:rPr>
  </w:style>
  <w:style w:type="character" w:styleId="738">
    <w:name w:val="Heading 9 Char"/>
    <w:link w:val="737"/>
    <w:uiPriority w:val="9"/>
    <w:rPr>
      <w:rFonts w:ascii="Arial" w:hAnsi="Arial" w:eastAsia="Arial" w:cs="Arial"/>
      <w:i/>
      <w:iCs/>
      <w:sz w:val="21"/>
      <w:szCs w:val="21"/>
    </w:rPr>
  </w:style>
  <w:style w:type="paragraph" w:styleId="739">
    <w:name w:val="List Paragraph"/>
    <w:basedOn w:val="899"/>
    <w:uiPriority w:val="34"/>
    <w:qFormat/>
    <w:pPr>
      <w:contextualSpacing/>
      <w:ind w:left="720"/>
    </w:pPr>
  </w:style>
  <w:style w:type="paragraph" w:styleId="740">
    <w:name w:val="No Spacing"/>
    <w:uiPriority w:val="1"/>
    <w:qFormat/>
    <w:pPr>
      <w:spacing w:before="0" w:after="0" w:line="240" w:lineRule="auto"/>
    </w:pPr>
  </w:style>
  <w:style w:type="paragraph" w:styleId="741">
    <w:name w:val="Title"/>
    <w:basedOn w:val="899"/>
    <w:next w:val="899"/>
    <w:link w:val="742"/>
    <w:uiPriority w:val="10"/>
    <w:qFormat/>
    <w:pPr>
      <w:contextualSpacing/>
      <w:spacing w:before="300" w:after="200"/>
    </w:pPr>
    <w:rPr>
      <w:sz w:val="48"/>
      <w:szCs w:val="48"/>
    </w:rPr>
  </w:style>
  <w:style w:type="character" w:styleId="742">
    <w:name w:val="Title Char"/>
    <w:link w:val="741"/>
    <w:uiPriority w:val="10"/>
    <w:rPr>
      <w:sz w:val="48"/>
      <w:szCs w:val="48"/>
    </w:rPr>
  </w:style>
  <w:style w:type="paragraph" w:styleId="743">
    <w:name w:val="Subtitle"/>
    <w:basedOn w:val="899"/>
    <w:next w:val="899"/>
    <w:link w:val="744"/>
    <w:uiPriority w:val="11"/>
    <w:qFormat/>
    <w:pPr>
      <w:spacing w:before="200" w:after="200"/>
    </w:pPr>
    <w:rPr>
      <w:sz w:val="24"/>
      <w:szCs w:val="24"/>
    </w:rPr>
  </w:style>
  <w:style w:type="character" w:styleId="744">
    <w:name w:val="Subtitle Char"/>
    <w:link w:val="743"/>
    <w:uiPriority w:val="11"/>
    <w:rPr>
      <w:sz w:val="24"/>
      <w:szCs w:val="24"/>
    </w:rPr>
  </w:style>
  <w:style w:type="paragraph" w:styleId="745">
    <w:name w:val="Quote"/>
    <w:basedOn w:val="899"/>
    <w:next w:val="899"/>
    <w:link w:val="746"/>
    <w:uiPriority w:val="29"/>
    <w:qFormat/>
    <w:pPr>
      <w:ind w:left="720" w:right="720"/>
    </w:pPr>
    <w:rPr>
      <w:i/>
    </w:rPr>
  </w:style>
  <w:style w:type="character" w:styleId="746">
    <w:name w:val="Quote Char"/>
    <w:link w:val="745"/>
    <w:uiPriority w:val="29"/>
    <w:rPr>
      <w:i/>
    </w:rPr>
  </w:style>
  <w:style w:type="paragraph" w:styleId="747">
    <w:name w:val="Intense Quote"/>
    <w:basedOn w:val="899"/>
    <w:next w:val="899"/>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paragraph" w:styleId="749">
    <w:name w:val="Header"/>
    <w:basedOn w:val="899"/>
    <w:link w:val="750"/>
    <w:uiPriority w:val="99"/>
    <w:unhideWhenUsed/>
    <w:pPr>
      <w:spacing w:after="0" w:line="240" w:lineRule="auto"/>
      <w:tabs>
        <w:tab w:val="center" w:pos="7143" w:leader="none"/>
        <w:tab w:val="right" w:pos="14287" w:leader="none"/>
      </w:tabs>
    </w:pPr>
  </w:style>
  <w:style w:type="character" w:styleId="750">
    <w:name w:val="Header Char"/>
    <w:link w:val="749"/>
    <w:uiPriority w:val="99"/>
  </w:style>
  <w:style w:type="paragraph" w:styleId="751">
    <w:name w:val="Footer"/>
    <w:basedOn w:val="899"/>
    <w:link w:val="754"/>
    <w:uiPriority w:val="99"/>
    <w:unhideWhenUsed/>
    <w:pPr>
      <w:spacing w:after="0" w:line="240" w:lineRule="auto"/>
      <w:tabs>
        <w:tab w:val="center" w:pos="7143" w:leader="none"/>
        <w:tab w:val="right" w:pos="14287" w:leader="none"/>
      </w:tabs>
    </w:pPr>
  </w:style>
  <w:style w:type="character" w:styleId="752">
    <w:name w:val="Footer Char"/>
    <w:link w:val="751"/>
    <w:uiPriority w:val="99"/>
  </w:style>
  <w:style w:type="paragraph" w:styleId="753">
    <w:name w:val="Caption"/>
    <w:basedOn w:val="899"/>
    <w:next w:val="899"/>
    <w:uiPriority w:val="35"/>
    <w:semiHidden/>
    <w:unhideWhenUsed/>
    <w:qFormat/>
    <w:pPr>
      <w:spacing w:line="276" w:lineRule="auto"/>
    </w:pPr>
    <w:rPr>
      <w:b/>
      <w:bCs/>
      <w:color w:val="4f81bd" w:themeColor="accent1"/>
      <w:sz w:val="18"/>
      <w:szCs w:val="18"/>
    </w:rPr>
  </w:style>
  <w:style w:type="character" w:styleId="754">
    <w:name w:val="Caption Char"/>
    <w:basedOn w:val="753"/>
    <w:link w:val="751"/>
    <w:uiPriority w:val="99"/>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1">
    <w:name w:val="Hyperlink"/>
    <w:uiPriority w:val="99"/>
    <w:unhideWhenUsed/>
    <w:rPr>
      <w:color w:val="0000ff" w:themeColor="hyperlink"/>
      <w:u w:val="single"/>
    </w:rPr>
  </w:style>
  <w:style w:type="paragraph" w:styleId="882">
    <w:name w:val="footnote text"/>
    <w:basedOn w:val="899"/>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uiPriority w:val="99"/>
    <w:unhideWhenUsed/>
    <w:rPr>
      <w:vertAlign w:val="superscript"/>
    </w:rPr>
  </w:style>
  <w:style w:type="paragraph" w:styleId="885">
    <w:name w:val="endnote text"/>
    <w:basedOn w:val="899"/>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uiPriority w:val="99"/>
    <w:semiHidden/>
    <w:unhideWhenUsed/>
    <w:rPr>
      <w:vertAlign w:val="superscript"/>
    </w:rPr>
  </w:style>
  <w:style w:type="paragraph" w:styleId="888">
    <w:name w:val="toc 1"/>
    <w:basedOn w:val="899"/>
    <w:next w:val="899"/>
    <w:uiPriority w:val="39"/>
    <w:unhideWhenUsed/>
    <w:pPr>
      <w:ind w:left="0" w:right="0" w:firstLine="0"/>
      <w:spacing w:after="57"/>
    </w:pPr>
  </w:style>
  <w:style w:type="paragraph" w:styleId="889">
    <w:name w:val="toc 2"/>
    <w:basedOn w:val="899"/>
    <w:next w:val="899"/>
    <w:uiPriority w:val="39"/>
    <w:unhideWhenUsed/>
    <w:pPr>
      <w:ind w:left="283" w:right="0" w:firstLine="0"/>
      <w:spacing w:after="57"/>
    </w:p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next w:val="899"/>
    <w:link w:val="899"/>
    <w:qFormat/>
    <w:pPr>
      <w:jc w:val="both"/>
      <w:widowControl w:val="off"/>
    </w:pPr>
    <w:rPr>
      <w:sz w:val="21"/>
      <w:szCs w:val="22"/>
      <w:lang w:val="en-US" w:eastAsia="zh-CN" w:bidi="ar-SA"/>
    </w:rPr>
  </w:style>
  <w:style w:type="paragraph" w:styleId="900">
    <w:name w:val="标题 1"/>
    <w:basedOn w:val="899"/>
    <w:next w:val="899"/>
    <w:link w:val="937"/>
    <w:qFormat/>
    <w:pPr>
      <w:jc w:val="center"/>
      <w:keepNext/>
      <w:outlineLvl w:val="0"/>
    </w:pPr>
    <w:rPr>
      <w:rFonts w:ascii="楷体_GB2312" w:hAnsi="Times New Roman" w:eastAsia="楷体_GB2312"/>
      <w:sz w:val="28"/>
      <w:szCs w:val="28"/>
      <w:lang w:val="en-US" w:eastAsia="en-US"/>
    </w:rPr>
  </w:style>
  <w:style w:type="paragraph" w:styleId="901">
    <w:name w:val="标题 2"/>
    <w:basedOn w:val="899"/>
    <w:next w:val="956"/>
    <w:link w:val="935"/>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02">
    <w:name w:val="标题 3"/>
    <w:basedOn w:val="899"/>
    <w:next w:val="956"/>
    <w:link w:val="944"/>
    <w:qFormat/>
    <w:pPr>
      <w:keepLines/>
      <w:keepNext/>
      <w:spacing w:before="260" w:after="260" w:line="416" w:lineRule="auto"/>
      <w:outlineLvl w:val="2"/>
    </w:pPr>
    <w:rPr>
      <w:rFonts w:ascii="Times New Roman" w:hAnsi="Times New Roman"/>
      <w:b/>
      <w:bCs/>
      <w:sz w:val="32"/>
      <w:szCs w:val="32"/>
      <w:lang w:val="en-US" w:eastAsia="en-US"/>
    </w:rPr>
  </w:style>
  <w:style w:type="paragraph" w:styleId="903">
    <w:name w:val="标题 4"/>
    <w:basedOn w:val="899"/>
    <w:next w:val="956"/>
    <w:link w:val="928"/>
    <w:qFormat/>
    <w:pPr>
      <w:keepLines/>
      <w:keepNext/>
      <w:spacing w:before="280" w:after="290" w:line="376" w:lineRule="auto"/>
      <w:outlineLvl w:val="3"/>
    </w:pPr>
    <w:rPr>
      <w:rFonts w:ascii="Arial" w:hAnsi="Arial" w:eastAsia="黑体"/>
      <w:b/>
      <w:bCs/>
      <w:sz w:val="28"/>
      <w:szCs w:val="28"/>
      <w:lang w:val="en-US" w:eastAsia="en-US"/>
    </w:rPr>
  </w:style>
  <w:style w:type="paragraph" w:styleId="904">
    <w:name w:val="标题 5"/>
    <w:basedOn w:val="899"/>
    <w:next w:val="956"/>
    <w:link w:val="936"/>
    <w:qFormat/>
    <w:pPr>
      <w:keepNext/>
      <w:outlineLvl w:val="4"/>
    </w:pPr>
    <w:rPr>
      <w:rFonts w:ascii="宋体" w:hAnsi="Times New Roman"/>
      <w:color w:val="000000"/>
      <w:sz w:val="28"/>
      <w:szCs w:val="28"/>
      <w:lang w:val="en-US" w:eastAsia="en-US"/>
    </w:rPr>
  </w:style>
  <w:style w:type="paragraph" w:styleId="905">
    <w:name w:val="标题 6"/>
    <w:basedOn w:val="899"/>
    <w:next w:val="899"/>
    <w:link w:val="92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06">
    <w:name w:val="标题 7"/>
    <w:basedOn w:val="899"/>
    <w:next w:val="899"/>
    <w:link w:val="934"/>
    <w:qFormat/>
    <w:pPr>
      <w:numPr>
        <w:ilvl w:val="6"/>
        <w:numId w:val="1"/>
      </w:numPr>
      <w:keepLines/>
      <w:keepNext/>
      <w:spacing w:before="240" w:after="64" w:line="320" w:lineRule="auto"/>
      <w:outlineLvl w:val="6"/>
    </w:pPr>
    <w:rPr>
      <w:rFonts w:ascii="Times New Roman" w:hAnsi="Times New Roman"/>
      <w:b/>
      <w:bCs/>
      <w:sz w:val="24"/>
      <w:szCs w:val="24"/>
      <w:lang w:val="en-US" w:eastAsia="en-US"/>
    </w:rPr>
  </w:style>
  <w:style w:type="paragraph" w:styleId="907">
    <w:name w:val="标题 8"/>
    <w:basedOn w:val="899"/>
    <w:next w:val="899"/>
    <w:link w:val="931"/>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08">
    <w:name w:val="标题 9"/>
    <w:basedOn w:val="899"/>
    <w:next w:val="899"/>
    <w:link w:val="939"/>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909">
    <w:name w:val="默认段落字体"/>
    <w:next w:val="909"/>
    <w:link w:val="899"/>
    <w:uiPriority w:val="1"/>
    <w:unhideWhenUsed/>
  </w:style>
  <w:style w:type="table" w:styleId="910">
    <w:name w:val="普通表格"/>
    <w:next w:val="910"/>
    <w:link w:val="899"/>
    <w:uiPriority w:val="99"/>
    <w:semiHidden/>
    <w:unhideWhenUsed/>
    <w:tblPr/>
  </w:style>
  <w:style w:type="numbering" w:styleId="911">
    <w:name w:val="无列表"/>
    <w:next w:val="911"/>
    <w:link w:val="899"/>
    <w:uiPriority w:val="99"/>
    <w:semiHidden/>
    <w:unhideWhenUsed/>
  </w:style>
  <w:style w:type="character" w:styleId="912">
    <w:name w:val="已访问的超链接"/>
    <w:next w:val="912"/>
    <w:link w:val="899"/>
    <w:rPr>
      <w:color w:val="800080"/>
      <w:u w:val="single"/>
    </w:rPr>
  </w:style>
  <w:style w:type="character" w:styleId="913">
    <w:name w:val="要点"/>
    <w:next w:val="913"/>
    <w:link w:val="899"/>
    <w:qFormat/>
    <w:rPr>
      <w:b/>
      <w:bCs/>
    </w:rPr>
  </w:style>
  <w:style w:type="character" w:styleId="914">
    <w:name w:val="超链接"/>
    <w:next w:val="914"/>
    <w:link w:val="899"/>
    <w:rPr>
      <w:color w:val="0000ff"/>
      <w:u w:val="single"/>
    </w:rPr>
  </w:style>
  <w:style w:type="character" w:styleId="915">
    <w:name w:val="页码"/>
    <w:next w:val="915"/>
    <w:link w:val="899"/>
  </w:style>
  <w:style w:type="character" w:styleId="916">
    <w:name w:val="批注引用"/>
    <w:next w:val="916"/>
    <w:link w:val="899"/>
    <w:qFormat/>
    <w:rPr>
      <w:sz w:val="21"/>
      <w:szCs w:val="21"/>
    </w:rPr>
  </w:style>
  <w:style w:type="character" w:styleId="917">
    <w:name w:val="align-middle"/>
    <w:basedOn w:val="909"/>
    <w:next w:val="917"/>
    <w:link w:val="899"/>
  </w:style>
  <w:style w:type="character" w:styleId="918">
    <w:name w:val="批注框文本 Char"/>
    <w:next w:val="918"/>
    <w:link w:val="967"/>
    <w:semiHidden/>
    <w:rPr>
      <w:rFonts w:ascii="Times New Roman" w:hAnsi="Times New Roman" w:eastAsia="宋体" w:cs="Times New Roman"/>
      <w:sz w:val="18"/>
      <w:szCs w:val="18"/>
    </w:rPr>
  </w:style>
  <w:style w:type="character" w:styleId="919">
    <w:name w:val="正文首行缩进 2 Char"/>
    <w:next w:val="919"/>
    <w:link w:val="980"/>
    <w:rPr>
      <w:rFonts w:ascii="宋体" w:hAnsi="宋体" w:eastAsia="宋体" w:cs="Times New Roman"/>
      <w:szCs w:val="20"/>
    </w:rPr>
  </w:style>
  <w:style w:type="character" w:styleId="920">
    <w:name w:val="标题 6 Char"/>
    <w:next w:val="920"/>
    <w:link w:val="905"/>
    <w:rPr>
      <w:rFonts w:ascii="Arial" w:hAnsi="Arial" w:eastAsia="黑体" w:cs="Times New Roman"/>
      <w:b/>
      <w:bCs/>
      <w:sz w:val="24"/>
      <w:szCs w:val="24"/>
    </w:rPr>
  </w:style>
  <w:style w:type="character" w:styleId="921">
    <w:name w:val="页眉 Char"/>
    <w:next w:val="921"/>
    <w:link w:val="972"/>
    <w:rPr>
      <w:rFonts w:ascii="Times New Roman" w:hAnsi="Times New Roman" w:eastAsia="宋体" w:cs="Times New Roman"/>
      <w:sz w:val="18"/>
      <w:szCs w:val="18"/>
    </w:rPr>
  </w:style>
  <w:style w:type="character" w:styleId="922">
    <w:name w:val="日期 Char"/>
    <w:next w:val="922"/>
    <w:link w:val="949"/>
    <w:rPr>
      <w:rFonts w:ascii="Times New Roman" w:hAnsi="Times New Roman" w:eastAsia="宋体" w:cs="Times New Roman"/>
      <w:sz w:val="24"/>
      <w:szCs w:val="24"/>
    </w:rPr>
  </w:style>
  <w:style w:type="character" w:styleId="923">
    <w:name w:val="正文文本 Char"/>
    <w:next w:val="923"/>
    <w:link w:val="950"/>
    <w:rPr>
      <w:rFonts w:ascii="楷体_GB2312" w:hAnsi="Arial" w:eastAsia="楷体_GB2312" w:cs="Times New Roman"/>
      <w:sz w:val="28"/>
      <w:szCs w:val="28"/>
    </w:rPr>
  </w:style>
  <w:style w:type="character" w:styleId="924">
    <w:name w:val="列出段落 Char,Bullet List Char,numbered Char,FooterText Char,List Paragraph1 Char,Paragraphe de liste1 Char"/>
    <w:next w:val="924"/>
    <w:link w:val="988"/>
    <w:qFormat/>
    <w:rPr>
      <w:rFonts w:ascii="Calibri" w:hAnsi="Calibri"/>
      <w:sz w:val="24"/>
      <w:szCs w:val="24"/>
      <w:lang w:eastAsia="en-US" w:bidi="en-US"/>
    </w:rPr>
  </w:style>
  <w:style w:type="character" w:styleId="925">
    <w:name w:val="正文文本缩进 3 Char"/>
    <w:next w:val="925"/>
    <w:link w:val="969"/>
    <w:rPr>
      <w:rFonts w:ascii="Arial" w:hAnsi="Arial" w:eastAsia="仿宋_GB2312" w:cs="Arial"/>
      <w:color w:val="ffff00"/>
      <w:sz w:val="32"/>
      <w:szCs w:val="32"/>
    </w:rPr>
  </w:style>
  <w:style w:type="character" w:styleId="926">
    <w:name w:val="正文1 字符"/>
    <w:next w:val="926"/>
    <w:link w:val="1009"/>
    <w:qFormat/>
    <w:rPr>
      <w:rFonts w:eastAsia="Adobe 仿宋 Std R"/>
      <w:sz w:val="21"/>
      <w:szCs w:val="21"/>
      <w:lang w:val="en-US" w:eastAsia="zh-CN" w:bidi="ar-SA"/>
    </w:rPr>
  </w:style>
  <w:style w:type="character" w:styleId="927">
    <w:name w:val="正文文本 2 Char"/>
    <w:next w:val="927"/>
    <w:link w:val="981"/>
    <w:rPr>
      <w:rFonts w:ascii="楷体_GB2312" w:hAnsi="Times New Roman" w:eastAsia="楷体_GB2312" w:cs="Times New Roman"/>
      <w:sz w:val="28"/>
      <w:szCs w:val="28"/>
    </w:rPr>
  </w:style>
  <w:style w:type="character" w:styleId="928">
    <w:name w:val="标题 4 Char"/>
    <w:next w:val="928"/>
    <w:link w:val="903"/>
    <w:qFormat/>
    <w:rPr>
      <w:rFonts w:ascii="Arial" w:hAnsi="Arial" w:eastAsia="黑体" w:cs="Arial"/>
      <w:b/>
      <w:bCs/>
      <w:sz w:val="28"/>
      <w:szCs w:val="28"/>
    </w:rPr>
  </w:style>
  <w:style w:type="character" w:styleId="929">
    <w:name w:val="font5 Char"/>
    <w:next w:val="929"/>
    <w:link w:val="899"/>
    <w:rPr>
      <w:rFonts w:ascii="宋体" w:hAnsi="宋体" w:eastAsia="宋体"/>
      <w:sz w:val="28"/>
      <w:szCs w:val="28"/>
      <w:lang w:val="en-US" w:eastAsia="zh-CN" w:bidi="ar-SA"/>
    </w:rPr>
  </w:style>
  <w:style w:type="character" w:styleId="930">
    <w:name w:val="正文缩进 Char"/>
    <w:next w:val="930"/>
    <w:link w:val="956"/>
    <w:qFormat/>
    <w:rPr>
      <w:szCs w:val="21"/>
    </w:rPr>
  </w:style>
  <w:style w:type="character" w:styleId="931">
    <w:name w:val="标题 8 Char"/>
    <w:next w:val="931"/>
    <w:link w:val="907"/>
    <w:rPr>
      <w:rFonts w:ascii="Arial" w:hAnsi="Arial" w:eastAsia="黑体" w:cs="Times New Roman"/>
      <w:sz w:val="24"/>
      <w:szCs w:val="24"/>
    </w:rPr>
  </w:style>
  <w:style w:type="character" w:styleId="932">
    <w:name w:val="正文首行缩进 Char"/>
    <w:next w:val="932"/>
    <w:link w:val="963"/>
    <w:rPr>
      <w:rFonts w:ascii="仿宋_GB2312" w:hAnsi="Times New Roman" w:eastAsia="仿宋_GB2312" w:cs="Times New Roman"/>
      <w:sz w:val="30"/>
      <w:szCs w:val="30"/>
    </w:rPr>
  </w:style>
  <w:style w:type="character" w:styleId="933">
    <w:name w:val="批注文字 Char"/>
    <w:next w:val="933"/>
    <w:link w:val="965"/>
    <w:uiPriority w:val="99"/>
    <w:semiHidden/>
  </w:style>
  <w:style w:type="character" w:styleId="934">
    <w:name w:val="标题 7 Char"/>
    <w:next w:val="934"/>
    <w:link w:val="906"/>
    <w:rPr>
      <w:rFonts w:ascii="Times New Roman" w:hAnsi="Times New Roman" w:eastAsia="宋体" w:cs="Times New Roman"/>
      <w:b/>
      <w:bCs/>
      <w:sz w:val="24"/>
      <w:szCs w:val="24"/>
    </w:rPr>
  </w:style>
  <w:style w:type="character" w:styleId="935">
    <w:name w:val="标题 2 Char"/>
    <w:next w:val="935"/>
    <w:link w:val="901"/>
    <w:rPr>
      <w:rFonts w:ascii="Arial" w:hAnsi="Arial" w:eastAsia="幼圆" w:cs="Arial"/>
      <w:b/>
      <w:bCs/>
      <w:sz w:val="44"/>
      <w:szCs w:val="44"/>
    </w:rPr>
  </w:style>
  <w:style w:type="character" w:styleId="936">
    <w:name w:val="标题 5 Char"/>
    <w:next w:val="936"/>
    <w:link w:val="904"/>
    <w:rPr>
      <w:rFonts w:ascii="宋体" w:hAnsi="Times New Roman" w:eastAsia="宋体" w:cs="Times New Roman"/>
      <w:color w:val="000000"/>
      <w:sz w:val="28"/>
      <w:szCs w:val="28"/>
    </w:rPr>
  </w:style>
  <w:style w:type="character" w:styleId="937">
    <w:name w:val="标题 1 Char"/>
    <w:next w:val="937"/>
    <w:link w:val="900"/>
    <w:rPr>
      <w:rFonts w:ascii="楷体_GB2312" w:hAnsi="Times New Roman" w:eastAsia="楷体_GB2312" w:cs="Times New Roman"/>
      <w:sz w:val="28"/>
      <w:szCs w:val="28"/>
    </w:rPr>
  </w:style>
  <w:style w:type="character" w:styleId="938">
    <w:name w:val="正文文本 3 Char"/>
    <w:next w:val="938"/>
    <w:link w:val="961"/>
    <w:rPr>
      <w:rFonts w:ascii="仿宋_GB2312" w:hAnsi="Arial" w:eastAsia="仿宋_GB2312" w:cs="Times New Roman"/>
      <w:sz w:val="32"/>
      <w:szCs w:val="32"/>
    </w:rPr>
  </w:style>
  <w:style w:type="character" w:styleId="939">
    <w:name w:val="标题 9 Char"/>
    <w:next w:val="939"/>
    <w:link w:val="908"/>
    <w:rPr>
      <w:rFonts w:ascii="Arial" w:hAnsi="Arial" w:eastAsia="黑体" w:cs="Times New Roman"/>
      <w:szCs w:val="21"/>
    </w:rPr>
  </w:style>
  <w:style w:type="character" w:styleId="940">
    <w:name w:val="正文文本缩进 2 Char"/>
    <w:next w:val="940"/>
    <w:link w:val="957"/>
    <w:rPr>
      <w:rFonts w:ascii="Arial" w:hAnsi="Arial" w:eastAsia="仿宋_GB2312" w:cs="Arial"/>
      <w:sz w:val="32"/>
      <w:szCs w:val="32"/>
    </w:rPr>
  </w:style>
  <w:style w:type="character" w:styleId="941">
    <w:name w:val="纯文本 Char"/>
    <w:next w:val="941"/>
    <w:link w:val="953"/>
    <w:qFormat/>
    <w:rPr>
      <w:rFonts w:ascii="宋体" w:hAnsi="Courier New" w:eastAsia="宋体" w:cs="Courier New"/>
      <w:szCs w:val="21"/>
    </w:rPr>
  </w:style>
  <w:style w:type="character" w:styleId="942">
    <w:name w:val="二级目录 Char"/>
    <w:next w:val="942"/>
    <w:link w:val="985"/>
    <w:rPr>
      <w:b/>
      <w:sz w:val="30"/>
      <w:szCs w:val="28"/>
      <w:lang w:val="en-US" w:eastAsia="zh-CN" w:bidi="ar-SA"/>
    </w:rPr>
  </w:style>
  <w:style w:type="character" w:styleId="943">
    <w:name w:val="正文文本缩进 Char"/>
    <w:next w:val="943"/>
    <w:link w:val="960"/>
    <w:uiPriority w:val="99"/>
    <w:semiHidden/>
  </w:style>
  <w:style w:type="character" w:styleId="944">
    <w:name w:val="标题 3 Char"/>
    <w:next w:val="944"/>
    <w:link w:val="902"/>
    <w:rPr>
      <w:rFonts w:ascii="Times New Roman" w:hAnsi="Times New Roman" w:eastAsia="宋体" w:cs="Times New Roman"/>
      <w:b/>
      <w:bCs/>
      <w:sz w:val="32"/>
      <w:szCs w:val="32"/>
    </w:rPr>
  </w:style>
  <w:style w:type="character" w:styleId="945">
    <w:name w:val="文档结构图 Char"/>
    <w:next w:val="945"/>
    <w:link w:val="951"/>
    <w:semiHidden/>
    <w:rPr>
      <w:rFonts w:ascii="Times New Roman" w:hAnsi="Times New Roman" w:eastAsia="宋体" w:cs="Times New Roman"/>
      <w:szCs w:val="21"/>
      <w:shd w:val="clear" w:color="auto" w:fill="000080"/>
    </w:rPr>
  </w:style>
  <w:style w:type="character" w:styleId="946">
    <w:name w:val="批注主题 Char"/>
    <w:next w:val="946"/>
    <w:link w:val="952"/>
    <w:semiHidden/>
    <w:rPr>
      <w:rFonts w:ascii="Times New Roman" w:hAnsi="Times New Roman" w:eastAsia="宋体" w:cs="Times New Roman"/>
      <w:b/>
      <w:bCs/>
      <w:szCs w:val="21"/>
    </w:rPr>
  </w:style>
  <w:style w:type="character" w:styleId="947">
    <w:name w:val="页脚 Char"/>
    <w:next w:val="947"/>
    <w:link w:val="976"/>
    <w:uiPriority w:val="99"/>
    <w:rPr>
      <w:rFonts w:ascii="Times New Roman" w:hAnsi="Times New Roman" w:eastAsia="宋体" w:cs="Times New Roman"/>
      <w:sz w:val="18"/>
      <w:szCs w:val="18"/>
    </w:rPr>
  </w:style>
  <w:style w:type="character" w:styleId="948">
    <w:name w:val="custom-tag-placeholder-class"/>
    <w:basedOn w:val="909"/>
    <w:next w:val="948"/>
    <w:link w:val="899"/>
  </w:style>
  <w:style w:type="paragraph" w:styleId="949">
    <w:name w:val="日期"/>
    <w:basedOn w:val="899"/>
    <w:next w:val="899"/>
    <w:link w:val="922"/>
    <w:rPr>
      <w:rFonts w:ascii="Times New Roman" w:hAnsi="Times New Roman"/>
      <w:sz w:val="24"/>
      <w:szCs w:val="24"/>
      <w:lang w:val="en-US" w:eastAsia="en-US"/>
    </w:rPr>
  </w:style>
  <w:style w:type="paragraph" w:styleId="950">
    <w:name w:val="正文文本"/>
    <w:basedOn w:val="899"/>
    <w:next w:val="950"/>
    <w:link w:val="923"/>
    <w:qFormat/>
    <w:rPr>
      <w:rFonts w:ascii="楷体_GB2312" w:hAnsi="Arial" w:eastAsia="楷体_GB2312"/>
      <w:sz w:val="28"/>
      <w:szCs w:val="28"/>
      <w:lang w:val="en-US" w:eastAsia="en-US"/>
    </w:rPr>
  </w:style>
  <w:style w:type="paragraph" w:styleId="951">
    <w:name w:val="文档结构图"/>
    <w:basedOn w:val="899"/>
    <w:next w:val="951"/>
    <w:link w:val="945"/>
    <w:semiHidden/>
    <w:pPr>
      <w:shd w:val="clear" w:color="auto" w:fill="000080"/>
    </w:pPr>
    <w:rPr>
      <w:rFonts w:ascii="Times New Roman" w:hAnsi="Times New Roman"/>
      <w:sz w:val="20"/>
      <w:szCs w:val="21"/>
      <w:lang w:val="en-US" w:eastAsia="en-US"/>
    </w:rPr>
  </w:style>
  <w:style w:type="paragraph" w:styleId="952">
    <w:name w:val="批注主题"/>
    <w:basedOn w:val="965"/>
    <w:next w:val="965"/>
    <w:link w:val="946"/>
    <w:semiHidden/>
    <w:rPr>
      <w:rFonts w:ascii="Times New Roman" w:hAnsi="Times New Roman"/>
      <w:b/>
      <w:bCs/>
      <w:sz w:val="20"/>
      <w:szCs w:val="21"/>
      <w:lang w:val="en-US" w:eastAsia="en-US"/>
    </w:rPr>
  </w:style>
  <w:style w:type="paragraph" w:styleId="953">
    <w:name w:val="纯文本"/>
    <w:basedOn w:val="899"/>
    <w:next w:val="953"/>
    <w:link w:val="941"/>
    <w:qFormat/>
    <w:rPr>
      <w:rFonts w:ascii="宋体" w:hAnsi="Courier New"/>
      <w:sz w:val="20"/>
      <w:szCs w:val="21"/>
      <w:lang w:val="en-US" w:eastAsia="en-US"/>
    </w:rPr>
  </w:style>
  <w:style w:type="paragraph" w:styleId="954">
    <w:name w:val="列表 2"/>
    <w:basedOn w:val="899"/>
    <w:next w:val="954"/>
    <w:link w:val="899"/>
    <w:pPr>
      <w:ind w:left="100" w:hanging="200"/>
    </w:pPr>
    <w:rPr>
      <w:rFonts w:ascii="Times New Roman" w:hAnsi="Times New Roman" w:eastAsia="宋体" w:cs="Times New Roman"/>
      <w:szCs w:val="21"/>
    </w:rPr>
  </w:style>
  <w:style w:type="paragraph" w:styleId="955">
    <w:name w:val="列表 3"/>
    <w:basedOn w:val="899"/>
    <w:next w:val="955"/>
    <w:link w:val="899"/>
    <w:pPr>
      <w:ind w:left="100" w:hanging="200"/>
    </w:pPr>
    <w:rPr>
      <w:rFonts w:ascii="Times New Roman" w:hAnsi="Times New Roman" w:eastAsia="宋体" w:cs="Times New Roman"/>
      <w:szCs w:val="21"/>
    </w:rPr>
  </w:style>
  <w:style w:type="paragraph" w:styleId="956">
    <w:name w:val="正文缩进"/>
    <w:basedOn w:val="899"/>
    <w:next w:val="956"/>
    <w:link w:val="930"/>
    <w:qFormat/>
    <w:pPr>
      <w:ind w:firstLine="420"/>
    </w:pPr>
    <w:rPr>
      <w:sz w:val="20"/>
      <w:szCs w:val="21"/>
      <w:lang w:val="en-US" w:eastAsia="en-US"/>
    </w:rPr>
  </w:style>
  <w:style w:type="paragraph" w:styleId="957">
    <w:name w:val="正文文本缩进 2"/>
    <w:basedOn w:val="899"/>
    <w:next w:val="957"/>
    <w:link w:val="940"/>
    <w:pPr>
      <w:ind w:left="630" w:firstLine="645"/>
    </w:pPr>
    <w:rPr>
      <w:rFonts w:ascii="Arial" w:hAnsi="Arial" w:eastAsia="仿宋_GB2312"/>
      <w:sz w:val="32"/>
      <w:szCs w:val="32"/>
      <w:lang w:val="en-US" w:eastAsia="en-US"/>
    </w:rPr>
  </w:style>
  <w:style w:type="paragraph" w:styleId="958">
    <w:name w:val="目录 7"/>
    <w:basedOn w:val="899"/>
    <w:next w:val="899"/>
    <w:link w:val="899"/>
    <w:semiHidden/>
    <w:pPr>
      <w:ind w:left="1260"/>
      <w:jc w:val="left"/>
    </w:pPr>
    <w:rPr>
      <w:rFonts w:ascii="Times New Roman" w:hAnsi="Times New Roman" w:eastAsia="宋体" w:cs="Times New Roman"/>
      <w:szCs w:val="21"/>
    </w:rPr>
  </w:style>
  <w:style w:type="paragraph" w:styleId="959">
    <w:name w:val="目录 5"/>
    <w:basedOn w:val="899"/>
    <w:next w:val="899"/>
    <w:link w:val="899"/>
    <w:semiHidden/>
    <w:pPr>
      <w:ind w:left="840"/>
      <w:jc w:val="left"/>
    </w:pPr>
    <w:rPr>
      <w:rFonts w:ascii="Times New Roman" w:hAnsi="Times New Roman" w:eastAsia="宋体" w:cs="Times New Roman"/>
      <w:szCs w:val="21"/>
    </w:rPr>
  </w:style>
  <w:style w:type="paragraph" w:styleId="960">
    <w:name w:val="正文文本缩进"/>
    <w:basedOn w:val="899"/>
    <w:next w:val="960"/>
    <w:link w:val="943"/>
    <w:uiPriority w:val="99"/>
    <w:unhideWhenUsed/>
    <w:qFormat/>
    <w:pPr>
      <w:ind w:left="420"/>
      <w:spacing w:after="120"/>
    </w:pPr>
  </w:style>
  <w:style w:type="paragraph" w:styleId="961">
    <w:name w:val="正文文本 3"/>
    <w:basedOn w:val="899"/>
    <w:next w:val="961"/>
    <w:link w:val="938"/>
    <w:rPr>
      <w:rFonts w:ascii="仿宋_GB2312" w:hAnsi="Arial" w:eastAsia="仿宋_GB2312"/>
      <w:sz w:val="32"/>
      <w:szCs w:val="32"/>
      <w:lang w:val="en-US" w:eastAsia="en-US"/>
    </w:rPr>
  </w:style>
  <w:style w:type="paragraph" w:styleId="962">
    <w:name w:val="目录 8"/>
    <w:basedOn w:val="899"/>
    <w:next w:val="899"/>
    <w:link w:val="899"/>
    <w:semiHidden/>
    <w:pPr>
      <w:ind w:left="1470"/>
      <w:jc w:val="left"/>
    </w:pPr>
    <w:rPr>
      <w:rFonts w:ascii="Times New Roman" w:hAnsi="Times New Roman" w:eastAsia="宋体" w:cs="Times New Roman"/>
      <w:szCs w:val="21"/>
    </w:rPr>
  </w:style>
  <w:style w:type="paragraph" w:styleId="963">
    <w:name w:val="正文首行缩进"/>
    <w:basedOn w:val="899"/>
    <w:next w:val="963"/>
    <w:link w:val="932"/>
    <w:pPr>
      <w:ind w:firstLine="200"/>
      <w:spacing w:line="360" w:lineRule="auto"/>
    </w:pPr>
    <w:rPr>
      <w:rFonts w:ascii="仿宋_GB2312" w:hAnsi="Times New Roman" w:eastAsia="仿宋_GB2312"/>
      <w:sz w:val="30"/>
      <w:szCs w:val="30"/>
      <w:lang w:val="en-US" w:eastAsia="en-US"/>
    </w:rPr>
  </w:style>
  <w:style w:type="paragraph" w:styleId="964">
    <w:name w:val="目录 3"/>
    <w:basedOn w:val="899"/>
    <w:next w:val="899"/>
    <w:link w:val="899"/>
    <w:semiHidden/>
    <w:pPr>
      <w:ind w:left="420"/>
      <w:jc w:val="left"/>
    </w:pPr>
    <w:rPr>
      <w:rFonts w:ascii="Times New Roman" w:hAnsi="Times New Roman" w:eastAsia="宋体" w:cs="Times New Roman"/>
      <w:i/>
      <w:iCs/>
      <w:szCs w:val="24"/>
    </w:rPr>
  </w:style>
  <w:style w:type="paragraph" w:styleId="965">
    <w:name w:val="批注文字"/>
    <w:basedOn w:val="899"/>
    <w:next w:val="965"/>
    <w:link w:val="933"/>
    <w:uiPriority w:val="99"/>
    <w:unhideWhenUsed/>
    <w:qFormat/>
    <w:pPr>
      <w:jc w:val="left"/>
    </w:pPr>
  </w:style>
  <w:style w:type="paragraph" w:styleId="966">
    <w:name w:val="修订"/>
    <w:next w:val="966"/>
    <w:link w:val="899"/>
    <w:uiPriority w:val="99"/>
    <w:semiHidden/>
    <w:rPr>
      <w:rFonts w:ascii="Times New Roman" w:hAnsi="Times New Roman"/>
      <w:sz w:val="21"/>
      <w:szCs w:val="21"/>
      <w:lang w:val="en-US" w:eastAsia="zh-CN" w:bidi="ar-SA"/>
    </w:rPr>
  </w:style>
  <w:style w:type="paragraph" w:styleId="967">
    <w:name w:val="批注框文本"/>
    <w:basedOn w:val="899"/>
    <w:next w:val="967"/>
    <w:link w:val="918"/>
    <w:semiHidden/>
    <w:rPr>
      <w:rFonts w:ascii="Times New Roman" w:hAnsi="Times New Roman"/>
      <w:sz w:val="18"/>
      <w:szCs w:val="18"/>
      <w:lang w:val="en-US" w:eastAsia="en-US"/>
    </w:rPr>
  </w:style>
  <w:style w:type="paragraph" w:styleId="968">
    <w:name w:val="目录 2"/>
    <w:basedOn w:val="899"/>
    <w:next w:val="899"/>
    <w:link w:val="899"/>
    <w:semiHidden/>
    <w:pPr>
      <w:ind w:left="210"/>
      <w:jc w:val="left"/>
    </w:pPr>
    <w:rPr>
      <w:rFonts w:ascii="Times New Roman" w:hAnsi="Times New Roman" w:eastAsia="宋体" w:cs="Times New Roman"/>
      <w:smallCaps/>
      <w:szCs w:val="24"/>
    </w:rPr>
  </w:style>
  <w:style w:type="paragraph" w:styleId="969">
    <w:name w:val="正文文本缩进 3"/>
    <w:basedOn w:val="899"/>
    <w:next w:val="969"/>
    <w:link w:val="925"/>
    <w:pPr>
      <w:ind w:left="645" w:firstLine="645"/>
    </w:pPr>
    <w:rPr>
      <w:rFonts w:ascii="Arial" w:hAnsi="Arial" w:eastAsia="仿宋_GB2312"/>
      <w:color w:val="ffff00"/>
      <w:sz w:val="32"/>
      <w:szCs w:val="32"/>
      <w:lang w:val="en-US" w:eastAsia="en-US"/>
    </w:rPr>
  </w:style>
  <w:style w:type="paragraph" w:styleId="970">
    <w:name w:val="列表"/>
    <w:basedOn w:val="899"/>
    <w:next w:val="970"/>
    <w:link w:val="899"/>
    <w:pPr>
      <w:ind w:left="200" w:hanging="200"/>
    </w:pPr>
    <w:rPr>
      <w:rFonts w:ascii="Times New Roman" w:hAnsi="Times New Roman" w:eastAsia="宋体" w:cs="Times New Roman"/>
      <w:szCs w:val="21"/>
    </w:rPr>
  </w:style>
  <w:style w:type="paragraph" w:styleId="971">
    <w:name w:val="目录 4"/>
    <w:basedOn w:val="899"/>
    <w:next w:val="899"/>
    <w:link w:val="899"/>
    <w:semiHidden/>
    <w:pPr>
      <w:ind w:left="630"/>
      <w:jc w:val="left"/>
    </w:pPr>
    <w:rPr>
      <w:rFonts w:ascii="Times New Roman" w:hAnsi="Times New Roman" w:eastAsia="宋体" w:cs="Times New Roman"/>
      <w:szCs w:val="21"/>
    </w:rPr>
  </w:style>
  <w:style w:type="paragraph" w:styleId="972">
    <w:name w:val="页眉"/>
    <w:basedOn w:val="899"/>
    <w:next w:val="972"/>
    <w:link w:val="921"/>
    <w:qFormat/>
    <w:pPr>
      <w:jc w:val="center"/>
      <w:tabs>
        <w:tab w:val="center" w:pos="4153" w:leader="none"/>
        <w:tab w:val="right" w:pos="8306" w:leader="none"/>
      </w:tabs>
      <w:pBdr>
        <w:bottom w:val="single" w:color="000000" w:sz="6" w:space="1"/>
      </w:pBdr>
    </w:pPr>
    <w:rPr>
      <w:rFonts w:ascii="Times New Roman" w:hAnsi="Times New Roman"/>
      <w:sz w:val="18"/>
      <w:szCs w:val="18"/>
      <w:lang w:val="en-US" w:eastAsia="en-US"/>
    </w:rPr>
  </w:style>
  <w:style w:type="paragraph" w:styleId="973">
    <w:name w:val="xl26"/>
    <w:basedOn w:val="899"/>
    <w:next w:val="973"/>
    <w:link w:val="8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name w:val="索引 1"/>
    <w:basedOn w:val="899"/>
    <w:next w:val="899"/>
    <w:link w:val="899"/>
    <w:semiHidden/>
    <w:pPr>
      <w:spacing w:line="240" w:lineRule="atLeast"/>
    </w:pPr>
    <w:rPr>
      <w:rFonts w:ascii="Times New Roman" w:hAnsi="Times New Roman" w:eastAsia="宋体" w:cs="Times New Roman"/>
      <w:b/>
      <w:bCs/>
      <w:szCs w:val="21"/>
    </w:rPr>
  </w:style>
  <w:style w:type="paragraph" w:styleId="975">
    <w:name w:val="目录 9"/>
    <w:basedOn w:val="899"/>
    <w:next w:val="899"/>
    <w:link w:val="899"/>
    <w:semiHidden/>
    <w:pPr>
      <w:ind w:left="1680"/>
      <w:jc w:val="left"/>
    </w:pPr>
    <w:rPr>
      <w:rFonts w:ascii="Times New Roman" w:hAnsi="Times New Roman" w:eastAsia="宋体" w:cs="Times New Roman"/>
      <w:szCs w:val="21"/>
    </w:rPr>
  </w:style>
  <w:style w:type="paragraph" w:styleId="976">
    <w:name w:val="页脚"/>
    <w:basedOn w:val="899"/>
    <w:next w:val="976"/>
    <w:link w:val="947"/>
    <w:uiPriority w:val="99"/>
    <w:qFormat/>
    <w:pPr>
      <w:jc w:val="left"/>
      <w:tabs>
        <w:tab w:val="center" w:pos="4153" w:leader="none"/>
        <w:tab w:val="right" w:pos="8306" w:leader="none"/>
      </w:tabs>
    </w:pPr>
    <w:rPr>
      <w:rFonts w:ascii="Times New Roman" w:hAnsi="Times New Roman"/>
      <w:sz w:val="18"/>
      <w:szCs w:val="18"/>
      <w:lang w:val="en-US" w:eastAsia="en-US"/>
    </w:rPr>
  </w:style>
  <w:style w:type="paragraph" w:styleId="977">
    <w:name w:val=" Char"/>
    <w:basedOn w:val="951"/>
    <w:next w:val="977"/>
    <w:link w:val="899"/>
    <w:rPr>
      <w:rFonts w:ascii="Tahoma" w:hAnsi="Tahoma"/>
      <w:sz w:val="24"/>
      <w:szCs w:val="24"/>
    </w:rPr>
  </w:style>
  <w:style w:type="paragraph" w:styleId="978">
    <w:name w:val="普通(网站)"/>
    <w:basedOn w:val="899"/>
    <w:next w:val="978"/>
    <w:link w:val="899"/>
    <w:qFormat/>
    <w:pPr>
      <w:jc w:val="left"/>
      <w:spacing w:before="100" w:beforeAutospacing="1" w:after="100" w:afterAutospacing="1"/>
      <w:widowControl/>
    </w:pPr>
    <w:rPr>
      <w:rFonts w:ascii="宋体" w:hAnsi="宋体" w:eastAsia="宋体" w:cs="宋体"/>
      <w:sz w:val="24"/>
      <w:szCs w:val="24"/>
    </w:rPr>
  </w:style>
  <w:style w:type="paragraph" w:styleId="979">
    <w:name w:val="图表目录"/>
    <w:basedOn w:val="899"/>
    <w:next w:val="899"/>
    <w:link w:val="899"/>
    <w:semiHidden/>
    <w:pPr>
      <w:ind w:left="840" w:hanging="420"/>
    </w:pPr>
    <w:rPr>
      <w:rFonts w:ascii="Times New Roman" w:hAnsi="Times New Roman" w:eastAsia="宋体" w:cs="Times New Roman"/>
      <w:szCs w:val="21"/>
    </w:rPr>
  </w:style>
  <w:style w:type="paragraph" w:styleId="980">
    <w:name w:val="正文首行缩进 2"/>
    <w:basedOn w:val="960"/>
    <w:next w:val="980"/>
    <w:link w:val="919"/>
    <w:pPr>
      <w:ind w:left="0" w:firstLine="420"/>
      <w:spacing w:after="0" w:line="360" w:lineRule="auto"/>
    </w:pPr>
    <w:rPr>
      <w:rFonts w:ascii="宋体" w:hAnsi="宋体"/>
      <w:sz w:val="20"/>
      <w:szCs w:val="20"/>
      <w:lang w:val="en-US" w:eastAsia="en-US"/>
    </w:rPr>
  </w:style>
  <w:style w:type="paragraph" w:styleId="981">
    <w:name w:val="正文文本 2"/>
    <w:basedOn w:val="899"/>
    <w:next w:val="981"/>
    <w:link w:val="927"/>
    <w:pPr>
      <w:jc w:val="center"/>
      <w:widowControl/>
    </w:pPr>
    <w:rPr>
      <w:rFonts w:ascii="楷体_GB2312" w:hAnsi="Times New Roman" w:eastAsia="楷体_GB2312"/>
      <w:sz w:val="28"/>
      <w:szCs w:val="28"/>
      <w:lang w:val="en-US" w:eastAsia="en-US"/>
    </w:rPr>
  </w:style>
  <w:style w:type="paragraph" w:styleId="982">
    <w:name w:val="目录 6"/>
    <w:basedOn w:val="899"/>
    <w:next w:val="899"/>
    <w:link w:val="899"/>
    <w:semiHidden/>
    <w:pPr>
      <w:ind w:left="1050"/>
      <w:jc w:val="left"/>
    </w:pPr>
    <w:rPr>
      <w:rFonts w:ascii="Times New Roman" w:hAnsi="Times New Roman" w:eastAsia="宋体" w:cs="Times New Roman"/>
      <w:szCs w:val="21"/>
    </w:rPr>
  </w:style>
  <w:style w:type="paragraph" w:styleId="983">
    <w:name w:val="目录 1"/>
    <w:basedOn w:val="899"/>
    <w:next w:val="899"/>
    <w:link w:val="89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4">
    <w:name w:val="目录 53"/>
    <w:next w:val="899"/>
    <w:link w:val="899"/>
    <w:qFormat/>
    <w:pPr>
      <w:ind w:left="1275"/>
      <w:jc w:val="both"/>
    </w:pPr>
    <w:rPr>
      <w:rFonts w:ascii="Times New Roman" w:hAnsi="Times New Roman"/>
      <w:sz w:val="21"/>
      <w:lang w:val="en-US" w:eastAsia="zh-CN" w:bidi="ar-SA"/>
    </w:rPr>
  </w:style>
  <w:style w:type="paragraph" w:styleId="985">
    <w:name w:val="二级目录"/>
    <w:next w:val="899"/>
    <w:link w:val="942"/>
    <w:pPr>
      <w:numPr>
        <w:ilvl w:val="0"/>
        <w:numId w:val="2"/>
      </w:numPr>
      <w:tabs>
        <w:tab w:val="left" w:pos="1145" w:leader="none"/>
      </w:tabs>
      <w:outlineLvl w:val="1"/>
    </w:pPr>
    <w:rPr>
      <w:b/>
      <w:sz w:val="30"/>
      <w:szCs w:val="28"/>
      <w:lang w:val="en-US" w:eastAsia="zh-CN" w:bidi="ar-SA"/>
    </w:rPr>
  </w:style>
  <w:style w:type="paragraph" w:styleId="986">
    <w:name w:val="font7"/>
    <w:basedOn w:val="899"/>
    <w:next w:val="986"/>
    <w:link w:val="899"/>
    <w:pPr>
      <w:jc w:val="left"/>
      <w:spacing w:before="100" w:beforeAutospacing="1" w:after="100" w:afterAutospacing="1"/>
      <w:widowControl/>
    </w:pPr>
    <w:rPr>
      <w:rFonts w:hint="eastAsia" w:ascii="宋体" w:hAnsi="宋体" w:eastAsia="宋体" w:cs="Times New Roman"/>
      <w:sz w:val="18"/>
      <w:szCs w:val="18"/>
    </w:rPr>
  </w:style>
  <w:style w:type="paragraph" w:styleId="987">
    <w:name w:val="图标"/>
    <w:basedOn w:val="899"/>
    <w:next w:val="899"/>
    <w:link w:val="89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8">
    <w:name w:val="列出段落1"/>
    <w:basedOn w:val="899"/>
    <w:next w:val="988"/>
    <w:link w:val="924"/>
    <w:qFormat/>
    <w:pPr>
      <w:contextualSpacing/>
      <w:ind w:left="720"/>
      <w:jc w:val="left"/>
      <w:widowControl/>
    </w:pPr>
    <w:rPr>
      <w:sz w:val="24"/>
      <w:szCs w:val="24"/>
      <w:lang w:val="en-US" w:eastAsia="en-US" w:bidi="en-US"/>
    </w:rPr>
  </w:style>
  <w:style w:type="paragraph" w:styleId="989">
    <w:name w:val="我的样式"/>
    <w:basedOn w:val="900"/>
    <w:next w:val="899"/>
    <w:link w:val="899"/>
    <w:qFormat/>
    <w:pPr>
      <w:numPr>
        <w:ilvl w:val="0"/>
        <w:numId w:val="3"/>
      </w:numPr>
      <w:jc w:val="both"/>
      <w:keepLines/>
      <w:spacing w:before="340" w:after="330" w:line="360" w:lineRule="auto"/>
    </w:pPr>
    <w:rPr>
      <w:rFonts w:ascii="仿宋_GB2312" w:eastAsia="仿宋_GB2312"/>
      <w:b/>
      <w:bCs/>
      <w:sz w:val="32"/>
      <w:szCs w:val="30"/>
    </w:rPr>
  </w:style>
  <w:style w:type="paragraph" w:styleId="990">
    <w:name w:val="AONormal"/>
    <w:next w:val="990"/>
    <w:link w:val="899"/>
    <w:qFormat/>
    <w:pPr>
      <w:ind w:firstLine="440"/>
      <w:spacing w:line="400" w:lineRule="exact"/>
    </w:pPr>
    <w:rPr>
      <w:rFonts w:ascii="华文楷体" w:hAnsi="华文楷体" w:eastAsia="华文楷体" w:cs="华文楷体"/>
      <w:sz w:val="22"/>
      <w:szCs w:val="21"/>
      <w:lang w:val="en-US" w:eastAsia="zh-CN" w:bidi="ar-SA"/>
    </w:rPr>
  </w:style>
  <w:style w:type="paragraph" w:styleId="991">
    <w:name w:val="附录1"/>
    <w:next w:val="991"/>
    <w:link w:val="89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2">
    <w:name w:val="标题1"/>
    <w:basedOn w:val="899"/>
    <w:next w:val="899"/>
    <w:link w:val="89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3">
    <w:name w:val="xl30"/>
    <w:basedOn w:val="899"/>
    <w:next w:val="993"/>
    <w:link w:val="899"/>
    <w:pPr>
      <w:jc w:val="center"/>
      <w:spacing w:before="100" w:beforeAutospacing="1" w:after="100" w:afterAutospacing="1"/>
      <w:widowControl/>
    </w:pPr>
    <w:rPr>
      <w:rFonts w:ascii="宋体" w:hAnsi="宋体" w:eastAsia="宋体" w:cs="Times New Roman"/>
      <w:b/>
      <w:bCs/>
      <w:sz w:val="36"/>
      <w:szCs w:val="36"/>
    </w:rPr>
  </w:style>
  <w:style w:type="paragraph" w:styleId="994">
    <w:name w:val="普通正文"/>
    <w:basedOn w:val="899"/>
    <w:next w:val="994"/>
    <w:link w:val="899"/>
    <w:pPr>
      <w:ind w:firstLine="480"/>
      <w:jc w:val="left"/>
      <w:spacing w:before="120" w:after="120" w:line="360" w:lineRule="auto"/>
    </w:pPr>
    <w:rPr>
      <w:rFonts w:ascii="Arial" w:hAnsi="Arial" w:eastAsia="宋体" w:cs="Times New Roman"/>
      <w:sz w:val="24"/>
      <w:szCs w:val="24"/>
    </w:rPr>
  </w:style>
  <w:style w:type="paragraph" w:styleId="995">
    <w:name w:val="font5"/>
    <w:basedOn w:val="899"/>
    <w:next w:val="995"/>
    <w:link w:val="899"/>
    <w:pPr>
      <w:jc w:val="left"/>
      <w:spacing w:before="100" w:beforeAutospacing="1" w:after="100" w:afterAutospacing="1"/>
      <w:widowControl/>
    </w:pPr>
    <w:rPr>
      <w:rFonts w:hint="eastAsia" w:ascii="宋体" w:hAnsi="宋体" w:eastAsia="宋体" w:cs="Times New Roman"/>
      <w:sz w:val="28"/>
      <w:szCs w:val="28"/>
    </w:rPr>
  </w:style>
  <w:style w:type="paragraph" w:styleId="996">
    <w:name w:val=" Char Char Char Char"/>
    <w:basedOn w:val="951"/>
    <w:next w:val="996"/>
    <w:link w:val="899"/>
    <w:pPr>
      <w:spacing w:line="360" w:lineRule="auto"/>
    </w:pPr>
    <w:rPr>
      <w:rFonts w:ascii="Tahoma" w:hAnsi="Tahoma"/>
      <w:sz w:val="24"/>
      <w:szCs w:val="24"/>
    </w:rPr>
  </w:style>
  <w:style w:type="paragraph" w:styleId="997">
    <w:name w:val="table_1stline"/>
    <w:basedOn w:val="899"/>
    <w:next w:val="997"/>
    <w:link w:val="899"/>
    <w:pPr>
      <w:jc w:val="left"/>
      <w:spacing w:before="120"/>
      <w:widowControl/>
    </w:pPr>
    <w:rPr>
      <w:rFonts w:ascii="Times New Roman" w:hAnsi="Times New Roman" w:eastAsia="宋体" w:cs="Times New Roman"/>
      <w:bCs/>
      <w:sz w:val="20"/>
      <w:szCs w:val="20"/>
      <w:lang w:val="de-DE" w:eastAsia="de-DE"/>
    </w:rPr>
  </w:style>
  <w:style w:type="paragraph" w:styleId="998">
    <w:name w:val="table_lines"/>
    <w:basedOn w:val="899"/>
    <w:next w:val="998"/>
    <w:link w:val="899"/>
    <w:pPr>
      <w:jc w:val="left"/>
      <w:widowControl/>
    </w:pPr>
    <w:rPr>
      <w:rFonts w:ascii="Times New Roman" w:hAnsi="Times New Roman" w:eastAsia="宋体" w:cs="Times New Roman"/>
      <w:sz w:val="20"/>
      <w:szCs w:val="20"/>
      <w:lang w:val="de-DE" w:eastAsia="de-DE"/>
    </w:rPr>
  </w:style>
  <w:style w:type="paragraph" w:styleId="999">
    <w:name w:val="4"/>
    <w:basedOn w:val="899"/>
    <w:next w:val="969"/>
    <w:link w:val="899"/>
    <w:pPr>
      <w:ind w:firstLine="420"/>
      <w:spacing w:line="360" w:lineRule="auto"/>
    </w:pPr>
    <w:rPr>
      <w:rFonts w:ascii="Times New Roman" w:hAnsi="Times New Roman" w:eastAsia="宋体" w:cs="Times New Roman"/>
      <w:color w:val="ff0000"/>
      <w:sz w:val="24"/>
      <w:szCs w:val="24"/>
    </w:rPr>
  </w:style>
  <w:style w:type="paragraph" w:styleId="1000">
    <w:name w:val="无间隔"/>
    <w:next w:val="1000"/>
    <w:link w:val="899"/>
    <w:uiPriority w:val="99"/>
    <w:qFormat/>
    <w:pPr>
      <w:jc w:val="both"/>
      <w:widowControl w:val="off"/>
    </w:pPr>
    <w:rPr>
      <w:rFonts w:ascii="Times New Roman" w:hAnsi="Times New Roman"/>
      <w:sz w:val="21"/>
      <w:szCs w:val="21"/>
      <w:lang w:val="en-US" w:eastAsia="zh-CN" w:bidi="ar-SA"/>
    </w:rPr>
  </w:style>
  <w:style w:type="paragraph" w:styleId="1001">
    <w:name w:val=" Char Char Char Char Char Char Char Char"/>
    <w:basedOn w:val="899"/>
    <w:next w:val="1001"/>
    <w:link w:val="899"/>
    <w:pPr>
      <w:jc w:val="left"/>
      <w:spacing w:after="160" w:line="240" w:lineRule="exact"/>
      <w:widowControl/>
    </w:pPr>
    <w:rPr>
      <w:rFonts w:ascii="Verdana" w:hAnsi="Verdana" w:eastAsia="宋体" w:cs="Times New Roman"/>
      <w:sz w:val="20"/>
      <w:szCs w:val="20"/>
      <w:lang w:eastAsia="en-US"/>
    </w:rPr>
  </w:style>
  <w:style w:type="paragraph" w:styleId="1002">
    <w:name w:val="Body Text(ch)"/>
    <w:basedOn w:val="899"/>
    <w:next w:val="950"/>
    <w:link w:val="899"/>
    <w:pPr>
      <w:spacing w:after="120"/>
    </w:pPr>
    <w:rPr>
      <w:rFonts w:ascii="宋体" w:hAnsi="Arial" w:eastAsia="宋体" w:cs="Times New Roman"/>
      <w:bCs/>
      <w:iCs/>
      <w:szCs w:val="24"/>
    </w:rPr>
  </w:style>
  <w:style w:type="paragraph" w:styleId="1003">
    <w:name w:val="列出段落"/>
    <w:basedOn w:val="899"/>
    <w:next w:val="1003"/>
    <w:link w:val="899"/>
    <w:qFormat/>
    <w:pPr>
      <w:contextualSpacing/>
      <w:ind w:left="720"/>
      <w:jc w:val="left"/>
      <w:widowControl/>
    </w:pPr>
    <w:rPr>
      <w:rFonts w:ascii="Calibri" w:hAnsi="Calibri" w:eastAsia="宋体" w:cs="Times New Roman"/>
      <w:sz w:val="24"/>
      <w:szCs w:val="24"/>
      <w:lang w:eastAsia="en-US" w:bidi="en-US"/>
    </w:rPr>
  </w:style>
  <w:style w:type="paragraph" w:styleId="1004">
    <w:name w:val="正文首行缩进1"/>
    <w:basedOn w:val="899"/>
    <w:next w:val="899"/>
    <w:link w:val="899"/>
    <w:qFormat/>
    <w:pPr>
      <w:ind w:firstLine="420"/>
      <w:spacing w:after="120"/>
      <w:tabs>
        <w:tab w:val="left" w:pos="2020" w:leader="none"/>
        <w:tab w:val="center" w:pos="4535" w:leader="none"/>
      </w:tabs>
    </w:pPr>
    <w:rPr>
      <w:rFonts w:ascii="Times New Roman" w:hAnsi="Times New Roman" w:cs="黑体"/>
      <w:color w:val="000000"/>
    </w:rPr>
  </w:style>
  <w:style w:type="paragraph" w:styleId="1005">
    <w:name w:val="标题3"/>
    <w:basedOn w:val="899"/>
    <w:next w:val="899"/>
    <w:link w:val="899"/>
    <w:pPr>
      <w:ind w:firstLine="624"/>
      <w:spacing w:line="590" w:lineRule="atLeast"/>
    </w:pPr>
    <w:rPr>
      <w:rFonts w:ascii="方正黑体_GBK" w:hAnsi="Times New Roman" w:eastAsia="方正黑体_GBK" w:cs="Times New Roman"/>
      <w:sz w:val="32"/>
      <w:szCs w:val="32"/>
    </w:rPr>
  </w:style>
  <w:style w:type="paragraph" w:styleId="1006">
    <w:name w:val="普通 (Web)"/>
    <w:basedOn w:val="899"/>
    <w:next w:val="1006"/>
    <w:link w:val="899"/>
    <w:pPr>
      <w:jc w:val="left"/>
      <w:spacing w:before="100" w:beforeAutospacing="1" w:after="100" w:afterAutospacing="1"/>
      <w:widowControl/>
    </w:pPr>
    <w:rPr>
      <w:rFonts w:ascii="宋体" w:hAnsi="宋体" w:eastAsia="宋体" w:cs="Times New Roman"/>
      <w:sz w:val="24"/>
      <w:szCs w:val="24"/>
    </w:rPr>
  </w:style>
  <w:style w:type="paragraph" w:styleId="1007">
    <w:name w:val="Char"/>
    <w:basedOn w:val="899"/>
    <w:next w:val="1007"/>
    <w:link w:val="899"/>
    <w:pPr>
      <w:ind w:firstLine="200"/>
      <w:tabs>
        <w:tab w:val="left" w:pos="360" w:leader="none"/>
      </w:tabs>
    </w:pPr>
    <w:rPr>
      <w:rFonts w:ascii="Times New Roman" w:hAnsi="Times New Roman" w:eastAsia="宋体" w:cs="Times New Roman"/>
      <w:sz w:val="28"/>
      <w:szCs w:val="30"/>
    </w:rPr>
  </w:style>
  <w:style w:type="paragraph" w:styleId="1008">
    <w:name w:val="样式1"/>
    <w:basedOn w:val="899"/>
    <w:next w:val="1008"/>
    <w:link w:val="899"/>
    <w:pPr>
      <w:numPr>
        <w:ilvl w:val="0"/>
        <w:numId w:val="4"/>
      </w:numPr>
      <w:tabs>
        <w:tab w:val="left" w:pos="709" w:leader="none"/>
      </w:tabs>
    </w:pPr>
    <w:rPr>
      <w:rFonts w:ascii="宋体" w:hAnsi="宋体" w:eastAsia="宋体" w:cs="Times New Roman"/>
      <w:szCs w:val="21"/>
    </w:rPr>
  </w:style>
  <w:style w:type="paragraph" w:styleId="1009">
    <w:name w:val="正文1"/>
    <w:next w:val="1009"/>
    <w:link w:val="926"/>
    <w:qFormat/>
    <w:pPr>
      <w:contextualSpacing/>
      <w:ind w:firstLine="200"/>
      <w:spacing w:before="120" w:after="120" w:line="180" w:lineRule="auto"/>
    </w:pPr>
    <w:rPr>
      <w:rFonts w:eastAsia="Adobe 仿宋 Std R"/>
      <w:sz w:val="21"/>
      <w:szCs w:val="21"/>
      <w:lang w:val="en-US" w:eastAsia="zh-CN" w:bidi="ar-SA"/>
    </w:rPr>
  </w:style>
  <w:style w:type="paragraph" w:styleId="1010">
    <w:name w:val="xl27"/>
    <w:basedOn w:val="899"/>
    <w:next w:val="1010"/>
    <w:link w:val="8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1">
    <w:name w:val=" Char Char Char Char Char Char Char Char Char Char"/>
    <w:basedOn w:val="899"/>
    <w:next w:val="1011"/>
    <w:link w:val="899"/>
    <w:pPr>
      <w:spacing w:line="360" w:lineRule="auto"/>
    </w:pPr>
    <w:rPr>
      <w:rFonts w:ascii="Times New Roman" w:hAnsi="Times New Roman" w:eastAsia="宋体" w:cs="Times New Roman"/>
      <w:sz w:val="24"/>
      <w:szCs w:val="20"/>
    </w:rPr>
  </w:style>
  <w:style w:type="paragraph" w:styleId="1012">
    <w:name w:val="font6"/>
    <w:basedOn w:val="899"/>
    <w:next w:val="1012"/>
    <w:link w:val="899"/>
    <w:pPr>
      <w:jc w:val="left"/>
      <w:spacing w:before="100" w:beforeAutospacing="1" w:after="100" w:afterAutospacing="1"/>
      <w:widowControl/>
    </w:pPr>
    <w:rPr>
      <w:rFonts w:hint="eastAsia" w:ascii="宋体" w:hAnsi="宋体" w:eastAsia="宋体" w:cs="Times New Roman"/>
      <w:sz w:val="28"/>
      <w:szCs w:val="28"/>
      <w:u w:val="single"/>
    </w:rPr>
  </w:style>
  <w:style w:type="paragraph" w:styleId="1013">
    <w:name w:val="xl25"/>
    <w:basedOn w:val="899"/>
    <w:next w:val="1013"/>
    <w:link w:val="89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4">
    <w:name w:val="xl24"/>
    <w:basedOn w:val="899"/>
    <w:next w:val="1014"/>
    <w:link w:val="8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5">
    <w:name w:val="xl29"/>
    <w:basedOn w:val="899"/>
    <w:next w:val="1015"/>
    <w:link w:val="89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6">
    <w:name w:val="Char Char Char Char Char Char Char Char"/>
    <w:basedOn w:val="899"/>
    <w:next w:val="1016"/>
    <w:link w:val="899"/>
    <w:pPr>
      <w:jc w:val="left"/>
      <w:spacing w:after="160" w:line="240" w:lineRule="exact"/>
      <w:widowControl/>
    </w:pPr>
    <w:rPr>
      <w:rFonts w:ascii="Verdana" w:hAnsi="Verdana" w:eastAsia="宋体" w:cs="Times New Roman"/>
      <w:sz w:val="20"/>
      <w:szCs w:val="20"/>
      <w:lang w:eastAsia="en-US"/>
    </w:rPr>
  </w:style>
  <w:style w:type="paragraph" w:styleId="1017">
    <w:name w:val="xl28"/>
    <w:basedOn w:val="899"/>
    <w:next w:val="1017"/>
    <w:link w:val="89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8">
    <w:name w:val="Char Char Char Char"/>
    <w:basedOn w:val="951"/>
    <w:next w:val="1018"/>
    <w:link w:val="899"/>
    <w:pPr>
      <w:spacing w:line="360" w:lineRule="auto"/>
    </w:pPr>
    <w:rPr>
      <w:rFonts w:ascii="Tahoma" w:hAnsi="Tahoma"/>
      <w:sz w:val="24"/>
      <w:szCs w:val="24"/>
    </w:rPr>
  </w:style>
  <w:style w:type="character" w:styleId="1019" w:default="1">
    <w:name w:val="Default Paragraph Font"/>
    <w:uiPriority w:val="1"/>
    <w:semiHidden/>
    <w:unhideWhenUsed/>
  </w:style>
  <w:style w:type="numbering" w:styleId="1020" w:default="1">
    <w:name w:val="No List"/>
    <w:uiPriority w:val="99"/>
    <w:semiHidden/>
    <w:unhideWhenUsed/>
  </w:style>
  <w:style w:type="table" w:styleId="10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www.ccgp-jiangsu.gov.cn/jiangsu/zlxz/ee/ee3a4bc5a3454aa2b0d9312230633ce9.html%E3%80%82"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cp:lastModifiedBy>杨林（盱眙）</cp:lastModifiedBy>
  <cp:revision>112</cp:revision>
  <dcterms:created xsi:type="dcterms:W3CDTF">2023-03-16T02:13:00Z</dcterms:created>
  <dcterms:modified xsi:type="dcterms:W3CDTF">2024-09-25T02:14:06Z</dcterms:modified>
  <cp:version>786432</cp:version>
</cp:coreProperties>
</file>