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B1A3">
      <w:pPr>
        <w:jc w:val="center"/>
        <w:rPr>
          <w:rFonts w:hint="eastAsia"/>
          <w:lang w:val="en-US" w:eastAsia="zh-CN"/>
        </w:rPr>
      </w:pPr>
      <w:r>
        <w:rPr>
          <w:rFonts w:hint="eastAsia"/>
          <w:b/>
          <w:bCs/>
          <w:sz w:val="36"/>
          <w:szCs w:val="44"/>
        </w:rPr>
        <w:t>睢宁县公安局指掌纹采集设备采购项目</w:t>
      </w:r>
      <w:r>
        <w:rPr>
          <w:rFonts w:hint="eastAsia"/>
          <w:b/>
          <w:bCs/>
          <w:sz w:val="36"/>
          <w:szCs w:val="44"/>
          <w:lang w:val="en-US" w:eastAsia="zh-CN"/>
        </w:rPr>
        <w:t>更正内容</w:t>
      </w:r>
    </w:p>
    <w:p w14:paraId="0F0C011A">
      <w:pPr>
        <w:rPr>
          <w:rFonts w:hint="eastAsia"/>
          <w:b/>
          <w:bCs/>
          <w:sz w:val="28"/>
          <w:szCs w:val="36"/>
          <w:lang w:val="en-US" w:eastAsia="zh-CN"/>
        </w:rPr>
      </w:pPr>
      <w:r>
        <w:rPr>
          <w:rFonts w:hint="eastAsia"/>
          <w:b/>
          <w:bCs/>
          <w:sz w:val="28"/>
          <w:szCs w:val="36"/>
          <w:lang w:val="en-US" w:eastAsia="zh-CN"/>
        </w:rPr>
        <w:t>1、第四章评分标准</w:t>
      </w:r>
    </w:p>
    <w:tbl>
      <w:tblPr>
        <w:tblStyle w:val="2"/>
        <w:tblW w:w="92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39"/>
        <w:gridCol w:w="1293"/>
        <w:gridCol w:w="982"/>
        <w:gridCol w:w="5531"/>
      </w:tblGrid>
      <w:tr w14:paraId="0901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5" w:hRule="atLeast"/>
          <w:jc w:val="center"/>
        </w:trPr>
        <w:tc>
          <w:tcPr>
            <w:tcW w:w="1439" w:type="dxa"/>
            <w:vAlign w:val="center"/>
          </w:tcPr>
          <w:p w14:paraId="3151AA77">
            <w:pPr>
              <w:widowControl/>
              <w:tabs>
                <w:tab w:val="left" w:pos="0"/>
              </w:tabs>
              <w:spacing w:after="0" w:line="360" w:lineRule="auto"/>
              <w:ind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评分项目</w:t>
            </w:r>
          </w:p>
        </w:tc>
        <w:tc>
          <w:tcPr>
            <w:tcW w:w="1293" w:type="dxa"/>
            <w:vAlign w:val="center"/>
          </w:tcPr>
          <w:p w14:paraId="5D994CEB">
            <w:pPr>
              <w:widowControl/>
              <w:tabs>
                <w:tab w:val="left" w:pos="0"/>
              </w:tabs>
              <w:spacing w:after="0" w:line="360" w:lineRule="auto"/>
              <w:ind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评审内容</w:t>
            </w:r>
          </w:p>
        </w:tc>
        <w:tc>
          <w:tcPr>
            <w:tcW w:w="982" w:type="dxa"/>
            <w:vAlign w:val="center"/>
          </w:tcPr>
          <w:p w14:paraId="06857A70">
            <w:pPr>
              <w:widowControl/>
              <w:tabs>
                <w:tab w:val="left" w:pos="0"/>
              </w:tabs>
              <w:spacing w:after="0" w:line="360" w:lineRule="auto"/>
              <w:ind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分值（分）</w:t>
            </w:r>
          </w:p>
        </w:tc>
        <w:tc>
          <w:tcPr>
            <w:tcW w:w="5531" w:type="dxa"/>
            <w:vAlign w:val="center"/>
          </w:tcPr>
          <w:p w14:paraId="6C9A6DC4">
            <w:pPr>
              <w:widowControl/>
              <w:tabs>
                <w:tab w:val="left" w:pos="0"/>
              </w:tabs>
              <w:spacing w:after="0" w:line="360" w:lineRule="auto"/>
              <w:ind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评分细则</w:t>
            </w:r>
          </w:p>
        </w:tc>
      </w:tr>
      <w:tr w14:paraId="082B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5" w:hRule="atLeast"/>
          <w:jc w:val="center"/>
        </w:trPr>
        <w:tc>
          <w:tcPr>
            <w:tcW w:w="1439" w:type="dxa"/>
            <w:vAlign w:val="center"/>
          </w:tcPr>
          <w:p w14:paraId="4DD2C559">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价格部分（50分）</w:t>
            </w:r>
          </w:p>
        </w:tc>
        <w:tc>
          <w:tcPr>
            <w:tcW w:w="1293" w:type="dxa"/>
            <w:vAlign w:val="center"/>
          </w:tcPr>
          <w:p w14:paraId="5EE4F099">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项目报价</w:t>
            </w:r>
          </w:p>
        </w:tc>
        <w:tc>
          <w:tcPr>
            <w:tcW w:w="982" w:type="dxa"/>
            <w:vAlign w:val="center"/>
          </w:tcPr>
          <w:p w14:paraId="251C52E6">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50</w:t>
            </w:r>
          </w:p>
        </w:tc>
        <w:tc>
          <w:tcPr>
            <w:tcW w:w="5531" w:type="dxa"/>
            <w:vAlign w:val="center"/>
          </w:tcPr>
          <w:p w14:paraId="71BCC616">
            <w:pPr>
              <w:widowControl/>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按满足招标文件要求且有效投标价格最低的投标报价作为评审基准价，其价格分为满分；其他投标人的价格分按以下公式计算：</w:t>
            </w:r>
          </w:p>
          <w:p w14:paraId="645FBB0E">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其他投标人价格得分＝（评标基准价/投标报价）×</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eastAsia="zh-CN"/>
              </w:rPr>
              <w:t>分（按四舍五入取至小数点后两位）</w:t>
            </w:r>
          </w:p>
        </w:tc>
      </w:tr>
      <w:tr w14:paraId="1914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57" w:hRule="atLeast"/>
          <w:jc w:val="center"/>
        </w:trPr>
        <w:tc>
          <w:tcPr>
            <w:tcW w:w="1439" w:type="dxa"/>
            <w:vMerge w:val="restart"/>
            <w:vAlign w:val="center"/>
          </w:tcPr>
          <w:p w14:paraId="5CB7EAFE">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商务部分（12分）</w:t>
            </w:r>
          </w:p>
        </w:tc>
        <w:tc>
          <w:tcPr>
            <w:tcW w:w="1293" w:type="dxa"/>
            <w:vAlign w:val="center"/>
          </w:tcPr>
          <w:p w14:paraId="4FCC9DD3">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投标人评价</w:t>
            </w:r>
          </w:p>
        </w:tc>
        <w:tc>
          <w:tcPr>
            <w:tcW w:w="982" w:type="dxa"/>
            <w:vAlign w:val="center"/>
          </w:tcPr>
          <w:p w14:paraId="368EFE18">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531" w:type="dxa"/>
            <w:vAlign w:val="center"/>
          </w:tcPr>
          <w:p w14:paraId="061E3A90">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1、为避免项目建设风险，保证系统产品质量，投标人提供软件制造厂家软件成熟度等级3(CMMI3)</w:t>
            </w:r>
            <w:r>
              <w:rPr>
                <w:rFonts w:hint="eastAsia" w:ascii="宋体" w:hAnsi="宋体" w:eastAsia="宋体" w:cs="宋体"/>
                <w:color w:val="auto"/>
                <w:kern w:val="0"/>
                <w:sz w:val="24"/>
                <w:szCs w:val="24"/>
                <w:highlight w:val="none"/>
                <w:lang w:val="en-US" w:eastAsia="zh-CN"/>
              </w:rPr>
              <w:t>及以上</w:t>
            </w:r>
            <w:r>
              <w:rPr>
                <w:rFonts w:hint="eastAsia" w:ascii="宋体" w:hAnsi="宋体" w:eastAsia="宋体" w:cs="宋体"/>
                <w:color w:val="auto"/>
                <w:kern w:val="0"/>
                <w:sz w:val="24"/>
                <w:szCs w:val="24"/>
                <w:highlight w:val="none"/>
                <w:lang w:eastAsia="zh-CN"/>
              </w:rPr>
              <w:t>证书得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分，不提供不得分。(投标人须提供证书扫描件加盖投标人公章)</w:t>
            </w:r>
          </w:p>
          <w:p w14:paraId="44BE9FEC">
            <w:pPr>
              <w:widowControl/>
              <w:wordWrap/>
              <w:adjustRightInd/>
              <w:snapToGrid/>
              <w:spacing w:after="0" w:line="360" w:lineRule="auto"/>
              <w:ind w:firstLine="240" w:firstLineChars="100"/>
              <w:jc w:val="left"/>
              <w:textAlignment w:val="auto"/>
              <w:rPr>
                <w:rFonts w:hint="eastAsia" w:ascii="宋体" w:hAnsi="宋体" w:eastAsia="宋体" w:cs="宋体"/>
                <w:b/>
                <w:color w:val="auto"/>
                <w:spacing w:val="-8"/>
                <w:sz w:val="24"/>
                <w:szCs w:val="24"/>
                <w:highlight w:val="none"/>
                <w:lang w:val="en-US" w:eastAsia="zh-CN" w:bidi="ar-SA"/>
              </w:rPr>
            </w:pPr>
            <w:r>
              <w:rPr>
                <w:rFonts w:hint="eastAsia" w:ascii="宋体" w:hAnsi="宋体" w:eastAsia="宋体" w:cs="宋体"/>
                <w:b w:val="0"/>
                <w:color w:val="auto"/>
                <w:spacing w:val="0"/>
                <w:sz w:val="24"/>
                <w:szCs w:val="24"/>
                <w:highlight w:val="none"/>
                <w:lang w:val="en-US" w:eastAsia="zh-CN" w:bidi="ar-SA"/>
              </w:rPr>
              <w:t>2、投标人所投的“人员信息一体化采集系统”类型软件具有软件著作权证书的，得2分，不提供不得分(提供证书扫描件并加盖投标人公章)。</w:t>
            </w:r>
          </w:p>
        </w:tc>
      </w:tr>
      <w:tr w14:paraId="0BA4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78" w:hRule="atLeast"/>
          <w:jc w:val="center"/>
        </w:trPr>
        <w:tc>
          <w:tcPr>
            <w:tcW w:w="1439" w:type="dxa"/>
            <w:vMerge w:val="continue"/>
            <w:vAlign w:val="center"/>
          </w:tcPr>
          <w:p w14:paraId="3C16B058">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p>
        </w:tc>
        <w:tc>
          <w:tcPr>
            <w:tcW w:w="1293" w:type="dxa"/>
            <w:vAlign w:val="center"/>
          </w:tcPr>
          <w:p w14:paraId="55F44730">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项目人员配备</w:t>
            </w:r>
          </w:p>
        </w:tc>
        <w:tc>
          <w:tcPr>
            <w:tcW w:w="982" w:type="dxa"/>
            <w:vAlign w:val="center"/>
          </w:tcPr>
          <w:p w14:paraId="631DB253">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5531" w:type="dxa"/>
            <w:vAlign w:val="center"/>
          </w:tcPr>
          <w:p w14:paraId="33735E39">
            <w:pPr>
              <w:widowControl/>
              <w:wordWrap/>
              <w:adjustRightInd/>
              <w:snapToGrid/>
              <w:spacing w:after="0" w:line="360" w:lineRule="auto"/>
              <w:ind w:firstLine="240" w:firstLineChars="100"/>
              <w:jc w:val="left"/>
              <w:textAlignment w:val="auto"/>
              <w:rPr>
                <w:rFonts w:hint="eastAsia" w:ascii="宋体" w:hAnsi="宋体" w:eastAsia="宋体" w:cs="宋体"/>
                <w:b w:val="0"/>
                <w:color w:val="auto"/>
                <w:spacing w:val="0"/>
                <w:sz w:val="24"/>
                <w:szCs w:val="24"/>
                <w:highlight w:val="none"/>
                <w:lang w:val="en-US" w:eastAsia="zh-CN" w:bidi="ar-SA"/>
              </w:rPr>
            </w:pPr>
            <w:r>
              <w:rPr>
                <w:rFonts w:hint="eastAsia" w:ascii="宋体" w:hAnsi="宋体" w:eastAsia="宋体" w:cs="宋体"/>
                <w:b w:val="0"/>
                <w:color w:val="auto"/>
                <w:spacing w:val="0"/>
                <w:sz w:val="24"/>
                <w:szCs w:val="24"/>
                <w:highlight w:val="none"/>
                <w:lang w:val="en-US" w:eastAsia="zh-CN" w:bidi="ar-SA"/>
              </w:rPr>
              <w:t>根据项目建设及运维需要，投标人拟派一名信息系统项目管理师，具有信息系统项目管理师(高级)证书的得3分，(中级)证书的得1分，(初级及以下)证书不得分(提供所在投标单位近半年缴纳社保证明，加盖投标人公章)</w:t>
            </w:r>
          </w:p>
        </w:tc>
      </w:tr>
      <w:tr w14:paraId="3458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439" w:type="dxa"/>
            <w:vMerge w:val="continue"/>
            <w:vAlign w:val="center"/>
          </w:tcPr>
          <w:p w14:paraId="1A24DC64">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p>
        </w:tc>
        <w:tc>
          <w:tcPr>
            <w:tcW w:w="1293" w:type="dxa"/>
            <w:vAlign w:val="center"/>
          </w:tcPr>
          <w:p w14:paraId="198AAEFA">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业绩</w:t>
            </w:r>
          </w:p>
        </w:tc>
        <w:tc>
          <w:tcPr>
            <w:tcW w:w="982" w:type="dxa"/>
            <w:vAlign w:val="center"/>
          </w:tcPr>
          <w:p w14:paraId="4DC38A59">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5531" w:type="dxa"/>
            <w:vAlign w:val="center"/>
          </w:tcPr>
          <w:p w14:paraId="02D3F9ED">
            <w:pPr>
              <w:widowControl/>
              <w:wordWrap/>
              <w:adjustRightInd/>
              <w:snapToGrid/>
              <w:spacing w:after="0" w:line="360" w:lineRule="auto"/>
              <w:ind w:firstLine="240" w:firstLineChars="100"/>
              <w:contextualSpacing/>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投标人自2021年1月1日以来承担过类似的项目（以签订合同时间为准），每提供一个项目得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分，本项最高得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分。</w:t>
            </w:r>
          </w:p>
          <w:p w14:paraId="164B4918">
            <w:pPr>
              <w:widowControl/>
              <w:wordWrap/>
              <w:adjustRightInd/>
              <w:snapToGrid/>
              <w:spacing w:after="0" w:line="360" w:lineRule="auto"/>
              <w:ind w:firstLine="240" w:firstLineChars="1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注：投标文件中同时提供中标（成交）通知书原件扫描件、合同原件扫描件加盖电子签章，业绩合同中主要内容等清晰可见，缺一或提供内容模糊不清的不得分。</w:t>
            </w:r>
          </w:p>
        </w:tc>
      </w:tr>
      <w:tr w14:paraId="3367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23" w:hRule="atLeast"/>
          <w:jc w:val="center"/>
        </w:trPr>
        <w:tc>
          <w:tcPr>
            <w:tcW w:w="1439" w:type="dxa"/>
            <w:vMerge w:val="restart"/>
            <w:vAlign w:val="center"/>
          </w:tcPr>
          <w:p w14:paraId="2DA7D1FC">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技术部分</w:t>
            </w:r>
          </w:p>
          <w:p w14:paraId="6506190D">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38</w:t>
            </w:r>
            <w:r>
              <w:rPr>
                <w:rFonts w:hint="eastAsia" w:ascii="宋体" w:hAnsi="宋体" w:eastAsia="宋体" w:cs="宋体"/>
                <w:color w:val="auto"/>
                <w:kern w:val="0"/>
                <w:sz w:val="24"/>
                <w:szCs w:val="24"/>
                <w:highlight w:val="none"/>
                <w:lang w:eastAsia="zh-CN"/>
              </w:rPr>
              <w:t>分）</w:t>
            </w:r>
          </w:p>
        </w:tc>
        <w:tc>
          <w:tcPr>
            <w:tcW w:w="1293" w:type="dxa"/>
            <w:vAlign w:val="center"/>
          </w:tcPr>
          <w:p w14:paraId="0E798E3A">
            <w:pPr>
              <w:widowControl/>
              <w:tabs>
                <w:tab w:val="left" w:pos="0"/>
              </w:tabs>
              <w:spacing w:after="0" w:line="360" w:lineRule="auto"/>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技术参数</w:t>
            </w:r>
          </w:p>
        </w:tc>
        <w:tc>
          <w:tcPr>
            <w:tcW w:w="982" w:type="dxa"/>
            <w:vAlign w:val="center"/>
          </w:tcPr>
          <w:p w14:paraId="284469DD">
            <w:pPr>
              <w:widowControl/>
              <w:tabs>
                <w:tab w:val="left" w:pos="0"/>
              </w:tabs>
              <w:spacing w:after="0"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5531" w:type="dxa"/>
            <w:vAlign w:val="center"/>
          </w:tcPr>
          <w:p w14:paraId="31187CC5">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投标人全部响应招标文件主要的技术指标、参数、服务要求等的得</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eastAsia="zh-CN"/>
              </w:rPr>
              <w:t>分。一般指标有负偏离每项扣</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分，扣完为止。</w:t>
            </w:r>
          </w:p>
        </w:tc>
      </w:tr>
      <w:tr w14:paraId="2937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6" w:hRule="atLeast"/>
          <w:jc w:val="center"/>
        </w:trPr>
        <w:tc>
          <w:tcPr>
            <w:tcW w:w="1439" w:type="dxa"/>
            <w:vMerge w:val="continue"/>
            <w:vAlign w:val="center"/>
          </w:tcPr>
          <w:p w14:paraId="13145A24">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p>
        </w:tc>
        <w:tc>
          <w:tcPr>
            <w:tcW w:w="1293" w:type="dxa"/>
            <w:vAlign w:val="center"/>
          </w:tcPr>
          <w:p w14:paraId="6E279208">
            <w:pPr>
              <w:widowControl/>
              <w:tabs>
                <w:tab w:val="left" w:pos="0"/>
              </w:tabs>
              <w:spacing w:after="0" w:line="360" w:lineRule="auto"/>
              <w:ind w:firstLine="0"/>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bidi="zh-CN"/>
              </w:rPr>
              <w:t>项目实施方案</w:t>
            </w:r>
          </w:p>
        </w:tc>
        <w:tc>
          <w:tcPr>
            <w:tcW w:w="982" w:type="dxa"/>
            <w:vAlign w:val="center"/>
          </w:tcPr>
          <w:p w14:paraId="4D9E06A6">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5531" w:type="dxa"/>
            <w:vAlign w:val="center"/>
          </w:tcPr>
          <w:p w14:paraId="2DFB6AEB">
            <w:pPr>
              <w:keepNext/>
              <w:widowControl/>
              <w:numPr>
                <w:ilvl w:val="1"/>
                <w:numId w:val="0"/>
              </w:numPr>
              <w:wordWrap/>
              <w:adjustRightInd/>
              <w:snapToGrid/>
              <w:spacing w:after="200" w:line="360" w:lineRule="auto"/>
              <w:ind w:firstLine="240" w:firstLineChars="100"/>
              <w:jc w:val="left"/>
              <w:textAlignment w:val="auto"/>
              <w:outlineLvl w:val="1"/>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根据供应商提供的项目技术实施方案，包含供货、运输方案、验收方案、现场装配方案等，重点考虑供应商如何在中标后有效地组织安排供货,确保按时保质地完成货物的运输、装卸直至验收等工作，由评委综合打分;</w:t>
            </w:r>
          </w:p>
          <w:p w14:paraId="4CE0B405">
            <w:pPr>
              <w:widowControl/>
              <w:pBdr>
                <w:top w:val="none" w:color="000000" w:sz="0" w:space="0"/>
                <w:left w:val="none" w:color="000000" w:sz="0" w:space="0"/>
                <w:bottom w:val="none" w:color="000000" w:sz="0" w:space="0"/>
                <w:right w:val="none" w:color="000000" w:sz="0" w:space="0"/>
              </w:pBdr>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优：方案非常详细，实施方案的科学性、合理性、规范性和可操作性非常完善可行，得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分；</w:t>
            </w:r>
          </w:p>
          <w:p w14:paraId="3447784A">
            <w:pPr>
              <w:widowControl/>
              <w:pBdr>
                <w:top w:val="none" w:color="000000" w:sz="0" w:space="0"/>
                <w:left w:val="none" w:color="000000" w:sz="0" w:space="0"/>
                <w:bottom w:val="none" w:color="000000" w:sz="0" w:space="0"/>
                <w:right w:val="none" w:color="000000" w:sz="0" w:space="0"/>
              </w:pBdr>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良：方案比较详细，实施方案的科学性、合理性、规范性和可操作性比较完善可行，能满足招标文件要求，得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分；</w:t>
            </w:r>
          </w:p>
          <w:p w14:paraId="0D876060">
            <w:pPr>
              <w:widowControl/>
              <w:pBdr>
                <w:top w:val="none" w:color="000000" w:sz="0" w:space="0"/>
                <w:left w:val="none" w:color="000000" w:sz="0" w:space="0"/>
                <w:bottom w:val="none" w:color="000000" w:sz="0" w:space="0"/>
                <w:right w:val="none" w:color="000000" w:sz="0" w:space="0"/>
              </w:pBdr>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一般：方案细致程度一般，实施方案的科学性、合理性、规范性和可操作性一般，得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分。</w:t>
            </w:r>
          </w:p>
          <w:p w14:paraId="7D9D0B61">
            <w:pPr>
              <w:widowControl/>
              <w:pBdr>
                <w:top w:val="none" w:color="000000" w:sz="0" w:space="0"/>
                <w:left w:val="none" w:color="000000" w:sz="0" w:space="0"/>
                <w:bottom w:val="none" w:color="000000" w:sz="0" w:space="0"/>
                <w:right w:val="none" w:color="000000" w:sz="0" w:space="0"/>
              </w:pBdr>
              <w:wordWrap/>
              <w:adjustRightInd/>
              <w:snapToGrid/>
              <w:spacing w:after="0" w:line="360" w:lineRule="auto"/>
              <w:ind w:firstLine="240" w:firstLineChars="100"/>
              <w:jc w:val="left"/>
              <w:textAlignment w:val="auto"/>
              <w:rPr>
                <w:rFonts w:hint="eastAsia" w:ascii="宋体" w:hAnsi="宋体" w:eastAsia="宋体" w:cs="宋体"/>
                <w:b w:val="0"/>
                <w:color w:val="auto"/>
                <w:kern w:val="0"/>
                <w:sz w:val="24"/>
                <w:szCs w:val="24"/>
                <w:highlight w:val="none"/>
                <w:lang w:eastAsia="zh-CN"/>
              </w:rPr>
            </w:pPr>
            <w:r>
              <w:rPr>
                <w:rFonts w:hint="eastAsia" w:ascii="宋体" w:hAnsi="宋体" w:eastAsia="宋体" w:cs="宋体"/>
                <w:b w:val="0"/>
                <w:color w:val="auto"/>
                <w:kern w:val="0"/>
                <w:sz w:val="24"/>
                <w:szCs w:val="24"/>
                <w:highlight w:val="none"/>
                <w:lang w:eastAsia="zh-CN"/>
              </w:rPr>
              <w:t>无具体实施方案不得分。</w:t>
            </w:r>
          </w:p>
        </w:tc>
      </w:tr>
      <w:tr w14:paraId="46AD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1439" w:type="dxa"/>
            <w:vMerge w:val="continue"/>
            <w:vAlign w:val="center"/>
          </w:tcPr>
          <w:p w14:paraId="51617EC4">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p>
        </w:tc>
        <w:tc>
          <w:tcPr>
            <w:tcW w:w="1293" w:type="dxa"/>
            <w:vAlign w:val="center"/>
          </w:tcPr>
          <w:p w14:paraId="020EE5ED">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售后服务及保障</w:t>
            </w:r>
          </w:p>
        </w:tc>
        <w:tc>
          <w:tcPr>
            <w:tcW w:w="982" w:type="dxa"/>
            <w:vAlign w:val="center"/>
          </w:tcPr>
          <w:p w14:paraId="4F5BBA0C">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10</w:t>
            </w:r>
          </w:p>
        </w:tc>
        <w:tc>
          <w:tcPr>
            <w:tcW w:w="5531" w:type="dxa"/>
            <w:vAlign w:val="center"/>
          </w:tcPr>
          <w:p w14:paraId="25C5DA0B">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售后服务方案。制定完善的售后服务体系与维保方案，售后服务计划以及服务承诺、服务队伍建设规范性。</w:t>
            </w:r>
          </w:p>
          <w:p w14:paraId="5E9FBB43">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优：方案非常详细，售后服务计划非常完善可行，服务承诺、服务队伍建设非常规范，得</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分；</w:t>
            </w:r>
          </w:p>
          <w:p w14:paraId="4A68953A">
            <w:pPr>
              <w:keepNext/>
              <w:widowControl/>
              <w:numPr>
                <w:ilvl w:val="1"/>
                <w:numId w:val="0"/>
              </w:numPr>
              <w:wordWrap/>
              <w:adjustRightInd/>
              <w:snapToGrid/>
              <w:spacing w:after="200" w:line="360" w:lineRule="auto"/>
              <w:ind w:firstLine="240" w:firstLineChars="100"/>
              <w:jc w:val="left"/>
              <w:textAlignment w:val="auto"/>
              <w:outlineLvl w:val="1"/>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良：方案比较详细，售后服务计划比较完善可行，服务承诺、服务队伍建设比较规范，能满足招标文件要求，得8分；</w:t>
            </w:r>
          </w:p>
          <w:p w14:paraId="3EAFAB81">
            <w:pPr>
              <w:widowControl/>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一般：方案细致程度一般，售后服务计划可行性一般，服务承诺、服务队伍建设规范性一般，得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p w14:paraId="36FBC7D3">
            <w:pPr>
              <w:widowControl/>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color w:val="auto"/>
                <w:kern w:val="0"/>
                <w:sz w:val="24"/>
                <w:szCs w:val="24"/>
                <w:highlight w:val="none"/>
                <w:lang w:eastAsia="zh-CN"/>
              </w:rPr>
              <w:t>无具体实施方案不得分。</w:t>
            </w:r>
          </w:p>
        </w:tc>
      </w:tr>
      <w:tr w14:paraId="467C7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0" w:hRule="atLeast"/>
          <w:jc w:val="center"/>
        </w:trPr>
        <w:tc>
          <w:tcPr>
            <w:tcW w:w="1439" w:type="dxa"/>
            <w:vMerge w:val="continue"/>
            <w:vAlign w:val="center"/>
          </w:tcPr>
          <w:p w14:paraId="14C4DA80">
            <w:pPr>
              <w:widowControl/>
              <w:tabs>
                <w:tab w:val="left" w:pos="0"/>
              </w:tabs>
              <w:spacing w:after="0" w:line="360" w:lineRule="auto"/>
              <w:jc w:val="center"/>
              <w:rPr>
                <w:rFonts w:hint="eastAsia" w:ascii="宋体" w:hAnsi="宋体" w:eastAsia="宋体" w:cs="宋体"/>
                <w:color w:val="auto"/>
                <w:kern w:val="0"/>
                <w:sz w:val="24"/>
                <w:szCs w:val="24"/>
                <w:highlight w:val="none"/>
                <w:lang w:eastAsia="zh-CN"/>
              </w:rPr>
            </w:pPr>
          </w:p>
        </w:tc>
        <w:tc>
          <w:tcPr>
            <w:tcW w:w="1293" w:type="dxa"/>
            <w:vAlign w:val="center"/>
          </w:tcPr>
          <w:p w14:paraId="73E72094">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应急措施</w:t>
            </w:r>
          </w:p>
        </w:tc>
        <w:tc>
          <w:tcPr>
            <w:tcW w:w="982" w:type="dxa"/>
            <w:vAlign w:val="center"/>
          </w:tcPr>
          <w:p w14:paraId="4243CD63">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5531" w:type="dxa"/>
            <w:vAlign w:val="center"/>
          </w:tcPr>
          <w:p w14:paraId="21A68253">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设备在遇到紧急情况的应急方案（合理性、完善性及快速响应等）</w:t>
            </w:r>
          </w:p>
          <w:p w14:paraId="556B79EB">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优：内容全面、切实可行、服务明晰的得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分；</w:t>
            </w:r>
          </w:p>
          <w:p w14:paraId="48A4C86C">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良：内容较全面、基本可行、针对性一般的得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分；</w:t>
            </w:r>
          </w:p>
          <w:p w14:paraId="08F0CFA7">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无具体实施方案不得分。</w:t>
            </w:r>
          </w:p>
        </w:tc>
      </w:tr>
      <w:tr w14:paraId="60B9B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3" w:hRule="atLeast"/>
          <w:jc w:val="center"/>
        </w:trPr>
        <w:tc>
          <w:tcPr>
            <w:tcW w:w="1439" w:type="dxa"/>
            <w:vMerge w:val="continue"/>
            <w:vAlign w:val="center"/>
          </w:tcPr>
          <w:p w14:paraId="0C289410">
            <w:pPr>
              <w:widowControl/>
              <w:tabs>
                <w:tab w:val="left" w:pos="0"/>
              </w:tabs>
              <w:spacing w:after="0" w:line="360" w:lineRule="auto"/>
              <w:jc w:val="center"/>
              <w:rPr>
                <w:rFonts w:hint="eastAsia" w:ascii="宋体" w:hAnsi="宋体" w:eastAsia="宋体" w:cs="宋体"/>
                <w:color w:val="auto"/>
                <w:kern w:val="0"/>
                <w:sz w:val="24"/>
                <w:szCs w:val="24"/>
                <w:highlight w:val="none"/>
                <w:lang w:eastAsia="zh-CN"/>
              </w:rPr>
            </w:pPr>
          </w:p>
        </w:tc>
        <w:tc>
          <w:tcPr>
            <w:tcW w:w="1293" w:type="dxa"/>
            <w:vAlign w:val="center"/>
          </w:tcPr>
          <w:p w14:paraId="6D2A5194">
            <w:pPr>
              <w:widowControl/>
              <w:tabs>
                <w:tab w:val="left" w:pos="0"/>
              </w:tabs>
              <w:spacing w:after="0"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培训方案</w:t>
            </w:r>
          </w:p>
        </w:tc>
        <w:tc>
          <w:tcPr>
            <w:tcW w:w="982" w:type="dxa"/>
            <w:vAlign w:val="center"/>
          </w:tcPr>
          <w:p w14:paraId="4448EE0C">
            <w:pPr>
              <w:widowControl/>
              <w:tabs>
                <w:tab w:val="left" w:pos="0"/>
              </w:tabs>
              <w:wordWrap/>
              <w:adjustRightInd/>
              <w:snapToGrid/>
              <w:spacing w:after="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5531" w:type="dxa"/>
            <w:vAlign w:val="center"/>
          </w:tcPr>
          <w:p w14:paraId="5C94A82C">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设备在遇到紧急情况的应急方案（合理性、完善性及快速响应等）</w:t>
            </w:r>
          </w:p>
          <w:p w14:paraId="2C744DFF">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优：内容全面、切实可行、服务明晰的得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分；</w:t>
            </w:r>
          </w:p>
          <w:p w14:paraId="04DA41DE">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良：内容较全面、基本可行、针对性一般的得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分；</w:t>
            </w:r>
          </w:p>
          <w:p w14:paraId="32B542F3">
            <w:pPr>
              <w:widowControl/>
              <w:tabs>
                <w:tab w:val="left" w:pos="0"/>
              </w:tabs>
              <w:wordWrap/>
              <w:adjustRightInd/>
              <w:snapToGrid/>
              <w:spacing w:after="0"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不提供不得分。</w:t>
            </w:r>
          </w:p>
        </w:tc>
      </w:tr>
    </w:tbl>
    <w:p w14:paraId="61563D88">
      <w:pPr>
        <w:rPr>
          <w:rFonts w:hint="default"/>
          <w:lang w:val="en-US" w:eastAsia="zh-CN"/>
        </w:rPr>
      </w:pPr>
      <w:r>
        <w:rPr>
          <w:rFonts w:hint="default"/>
          <w:lang w:val="en-US" w:eastAsia="zh-CN"/>
        </w:rPr>
        <w:br w:type="page"/>
      </w:r>
    </w:p>
    <w:p w14:paraId="2B823D57">
      <w:pPr>
        <w:rPr>
          <w:rFonts w:hint="eastAsia"/>
          <w:b/>
          <w:bCs/>
          <w:sz w:val="28"/>
          <w:szCs w:val="36"/>
          <w:lang w:val="en-US" w:eastAsia="zh-CN"/>
        </w:rPr>
      </w:pPr>
      <w:r>
        <w:rPr>
          <w:rFonts w:hint="eastAsia"/>
          <w:b/>
          <w:bCs/>
          <w:sz w:val="28"/>
          <w:szCs w:val="36"/>
          <w:lang w:val="en-US" w:eastAsia="zh-CN"/>
        </w:rPr>
        <w:t>更正为：</w:t>
      </w:r>
    </w:p>
    <w:tbl>
      <w:tblPr>
        <w:tblStyle w:val="2"/>
        <w:tblW w:w="92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39"/>
        <w:gridCol w:w="1293"/>
        <w:gridCol w:w="982"/>
        <w:gridCol w:w="5531"/>
      </w:tblGrid>
      <w:tr w14:paraId="7911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5" w:hRule="atLeast"/>
          <w:jc w:val="center"/>
        </w:trPr>
        <w:tc>
          <w:tcPr>
            <w:tcW w:w="1439" w:type="dxa"/>
            <w:noWrap w:val="0"/>
            <w:vAlign w:val="center"/>
          </w:tcPr>
          <w:p w14:paraId="23DB802E">
            <w:pPr>
              <w:widowControl/>
              <w:tabs>
                <w:tab w:val="left" w:pos="0"/>
              </w:tabs>
              <w:spacing w:line="360" w:lineRule="auto"/>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评分项目</w:t>
            </w:r>
          </w:p>
        </w:tc>
        <w:tc>
          <w:tcPr>
            <w:tcW w:w="1293" w:type="dxa"/>
            <w:noWrap w:val="0"/>
            <w:vAlign w:val="center"/>
          </w:tcPr>
          <w:p w14:paraId="3E18331E">
            <w:pPr>
              <w:widowControl/>
              <w:tabs>
                <w:tab w:val="left" w:pos="0"/>
              </w:tabs>
              <w:spacing w:line="360" w:lineRule="auto"/>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w:t>
            </w:r>
          </w:p>
        </w:tc>
        <w:tc>
          <w:tcPr>
            <w:tcW w:w="982" w:type="dxa"/>
            <w:noWrap w:val="0"/>
            <w:vAlign w:val="center"/>
          </w:tcPr>
          <w:p w14:paraId="189C2E16">
            <w:pPr>
              <w:widowControl/>
              <w:tabs>
                <w:tab w:val="left" w:pos="0"/>
              </w:tabs>
              <w:spacing w:line="360" w:lineRule="auto"/>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分值（分）</w:t>
            </w:r>
          </w:p>
        </w:tc>
        <w:tc>
          <w:tcPr>
            <w:tcW w:w="5531" w:type="dxa"/>
            <w:noWrap w:val="0"/>
            <w:vAlign w:val="center"/>
          </w:tcPr>
          <w:p w14:paraId="72022BEC">
            <w:pPr>
              <w:widowControl/>
              <w:tabs>
                <w:tab w:val="left" w:pos="0"/>
              </w:tabs>
              <w:spacing w:line="360" w:lineRule="auto"/>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评分细则</w:t>
            </w:r>
          </w:p>
        </w:tc>
      </w:tr>
      <w:tr w14:paraId="6938E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5" w:hRule="atLeast"/>
          <w:jc w:val="center"/>
        </w:trPr>
        <w:tc>
          <w:tcPr>
            <w:tcW w:w="1439" w:type="dxa"/>
            <w:noWrap w:val="0"/>
            <w:vAlign w:val="center"/>
          </w:tcPr>
          <w:p w14:paraId="559D00AD">
            <w:pPr>
              <w:widowControl/>
              <w:tabs>
                <w:tab w:val="left" w:pos="0"/>
              </w:tabs>
              <w:spacing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价格部分（40分）</w:t>
            </w:r>
          </w:p>
        </w:tc>
        <w:tc>
          <w:tcPr>
            <w:tcW w:w="1293" w:type="dxa"/>
            <w:noWrap w:val="0"/>
            <w:vAlign w:val="center"/>
          </w:tcPr>
          <w:p w14:paraId="7C20688D">
            <w:pPr>
              <w:widowControl/>
              <w:tabs>
                <w:tab w:val="left" w:pos="0"/>
              </w:tabs>
              <w:spacing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项目报价</w:t>
            </w:r>
          </w:p>
        </w:tc>
        <w:tc>
          <w:tcPr>
            <w:tcW w:w="982" w:type="dxa"/>
            <w:noWrap w:val="0"/>
            <w:vAlign w:val="center"/>
          </w:tcPr>
          <w:p w14:paraId="33AC2DB9">
            <w:pPr>
              <w:widowControl/>
              <w:tabs>
                <w:tab w:val="left" w:pos="0"/>
              </w:tabs>
              <w:spacing w:line="360" w:lineRule="auto"/>
              <w:ind w:firstLine="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40</w:t>
            </w:r>
          </w:p>
        </w:tc>
        <w:tc>
          <w:tcPr>
            <w:tcW w:w="5531" w:type="dxa"/>
            <w:noWrap w:val="0"/>
            <w:vAlign w:val="center"/>
          </w:tcPr>
          <w:p w14:paraId="1788BF08">
            <w:pPr>
              <w:widowControl/>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按满足招标文件要求且有效投标价格最低的投标报价作为评审基准价，其价格分为满分；其他投标人的价格分按以下公式计算：</w:t>
            </w:r>
          </w:p>
          <w:p w14:paraId="1E95DFB7">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其他投标人价格得分＝（评标基准价/投标报价）×</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分（按四舍五入取至小数点后两位）</w:t>
            </w:r>
          </w:p>
        </w:tc>
      </w:tr>
      <w:tr w14:paraId="4843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57" w:hRule="atLeast"/>
          <w:jc w:val="center"/>
        </w:trPr>
        <w:tc>
          <w:tcPr>
            <w:tcW w:w="1439" w:type="dxa"/>
            <w:vMerge w:val="restart"/>
            <w:noWrap w:val="0"/>
            <w:vAlign w:val="center"/>
          </w:tcPr>
          <w:p w14:paraId="250A378C">
            <w:pPr>
              <w:widowControl/>
              <w:tabs>
                <w:tab w:val="left" w:pos="0"/>
              </w:tabs>
              <w:spacing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商务部分（5分）</w:t>
            </w:r>
          </w:p>
        </w:tc>
        <w:tc>
          <w:tcPr>
            <w:tcW w:w="1293" w:type="dxa"/>
            <w:noWrap w:val="0"/>
            <w:vAlign w:val="center"/>
          </w:tcPr>
          <w:p w14:paraId="7C16DEF8">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投标人评价</w:t>
            </w:r>
          </w:p>
        </w:tc>
        <w:tc>
          <w:tcPr>
            <w:tcW w:w="982" w:type="dxa"/>
            <w:noWrap w:val="0"/>
            <w:vAlign w:val="center"/>
          </w:tcPr>
          <w:p w14:paraId="116C96DC">
            <w:pPr>
              <w:widowControl/>
              <w:tabs>
                <w:tab w:val="left" w:pos="0"/>
              </w:tabs>
              <w:spacing w:line="360" w:lineRule="auto"/>
              <w:ind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531" w:type="dxa"/>
            <w:noWrap w:val="0"/>
            <w:vAlign w:val="center"/>
          </w:tcPr>
          <w:p w14:paraId="3308AC19">
            <w:pPr>
              <w:pStyle w:val="4"/>
              <w:widowControl/>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color w:val="auto"/>
                <w:spacing w:val="0"/>
                <w:kern w:val="0"/>
                <w:sz w:val="24"/>
                <w:szCs w:val="24"/>
                <w:highlight w:val="none"/>
              </w:rPr>
              <w:t>投标人所投的“人员信息一体化采集系统”</w:t>
            </w:r>
            <w:r>
              <w:rPr>
                <w:rFonts w:hint="eastAsia" w:ascii="宋体" w:hAnsi="宋体" w:eastAsia="宋体" w:cs="宋体"/>
                <w:b w:val="0"/>
                <w:color w:val="auto"/>
                <w:spacing w:val="0"/>
                <w:kern w:val="0"/>
                <w:sz w:val="24"/>
                <w:szCs w:val="24"/>
                <w:highlight w:val="none"/>
                <w:lang w:val="en-US" w:eastAsia="zh-CN"/>
              </w:rPr>
              <w:t>类型软件</w:t>
            </w:r>
            <w:r>
              <w:rPr>
                <w:rFonts w:hint="eastAsia" w:ascii="宋体" w:hAnsi="宋体" w:eastAsia="宋体" w:cs="宋体"/>
                <w:b w:val="0"/>
                <w:color w:val="auto"/>
                <w:spacing w:val="0"/>
                <w:kern w:val="0"/>
                <w:sz w:val="24"/>
                <w:szCs w:val="24"/>
                <w:highlight w:val="none"/>
              </w:rPr>
              <w:t>具有软件著作权证书的，得</w:t>
            </w:r>
            <w:r>
              <w:rPr>
                <w:rFonts w:hint="eastAsia" w:ascii="宋体" w:hAnsi="宋体" w:eastAsia="宋体" w:cs="宋体"/>
                <w:b w:val="0"/>
                <w:color w:val="auto"/>
                <w:spacing w:val="0"/>
                <w:kern w:val="0"/>
                <w:sz w:val="24"/>
                <w:szCs w:val="24"/>
                <w:highlight w:val="none"/>
                <w:lang w:val="en-US" w:eastAsia="zh-CN"/>
              </w:rPr>
              <w:t>2</w:t>
            </w:r>
            <w:r>
              <w:rPr>
                <w:rFonts w:hint="eastAsia" w:ascii="宋体" w:hAnsi="宋体" w:eastAsia="宋体" w:cs="宋体"/>
                <w:b w:val="0"/>
                <w:color w:val="auto"/>
                <w:spacing w:val="0"/>
                <w:kern w:val="0"/>
                <w:sz w:val="24"/>
                <w:szCs w:val="24"/>
                <w:highlight w:val="none"/>
              </w:rPr>
              <w:t>分，不提供不得分(提供证书扫描件并加盖投标人公章)。</w:t>
            </w:r>
          </w:p>
        </w:tc>
      </w:tr>
      <w:tr w14:paraId="169B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439" w:type="dxa"/>
            <w:vMerge w:val="continue"/>
            <w:noWrap w:val="0"/>
            <w:vAlign w:val="center"/>
          </w:tcPr>
          <w:p w14:paraId="33457628">
            <w:pPr>
              <w:widowControl/>
              <w:tabs>
                <w:tab w:val="left" w:pos="0"/>
              </w:tabs>
              <w:spacing w:line="360" w:lineRule="auto"/>
              <w:ind w:firstLine="0"/>
              <w:jc w:val="center"/>
              <w:rPr>
                <w:rFonts w:hint="eastAsia" w:ascii="宋体" w:hAnsi="宋体" w:eastAsia="宋体" w:cs="宋体"/>
                <w:color w:val="auto"/>
                <w:kern w:val="0"/>
                <w:sz w:val="24"/>
                <w:szCs w:val="24"/>
                <w:highlight w:val="none"/>
              </w:rPr>
            </w:pPr>
          </w:p>
        </w:tc>
        <w:tc>
          <w:tcPr>
            <w:tcW w:w="1293" w:type="dxa"/>
            <w:noWrap w:val="0"/>
            <w:vAlign w:val="center"/>
          </w:tcPr>
          <w:p w14:paraId="6E5DE03E">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w:t>
            </w:r>
          </w:p>
        </w:tc>
        <w:tc>
          <w:tcPr>
            <w:tcW w:w="982" w:type="dxa"/>
            <w:noWrap w:val="0"/>
            <w:vAlign w:val="center"/>
          </w:tcPr>
          <w:p w14:paraId="4E9A3D6C">
            <w:pPr>
              <w:widowControl/>
              <w:tabs>
                <w:tab w:val="left" w:pos="0"/>
              </w:tabs>
              <w:spacing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5531" w:type="dxa"/>
            <w:noWrap w:val="0"/>
            <w:vAlign w:val="center"/>
          </w:tcPr>
          <w:p w14:paraId="45C04746">
            <w:pPr>
              <w:widowControl/>
              <w:wordWrap/>
              <w:adjustRightInd/>
              <w:snapToGrid/>
              <w:spacing w:line="360" w:lineRule="auto"/>
              <w:ind w:firstLine="240" w:firstLineChars="1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投标人自2021年1月1日以来承担过类似的项目（以签订合同时间为准），每提供一个项目得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分，本项最高得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72A6DEE8">
            <w:pPr>
              <w:pStyle w:val="5"/>
              <w:widowControl/>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注：投标文件中同时提供中标（成交）通知书原件扫描件、合同原件扫描件加盖电子签章，业绩合同中主要内容等清晰可见，缺一或提供内容模糊不清的不得分。</w:t>
            </w:r>
          </w:p>
        </w:tc>
      </w:tr>
      <w:tr w14:paraId="5486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23" w:hRule="atLeast"/>
          <w:jc w:val="center"/>
        </w:trPr>
        <w:tc>
          <w:tcPr>
            <w:tcW w:w="1439" w:type="dxa"/>
            <w:vMerge w:val="restart"/>
            <w:noWrap w:val="0"/>
            <w:vAlign w:val="center"/>
          </w:tcPr>
          <w:p w14:paraId="6C0B6D16">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w:t>
            </w:r>
          </w:p>
          <w:p w14:paraId="6803CA2E">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55</w:t>
            </w:r>
            <w:r>
              <w:rPr>
                <w:rFonts w:hint="eastAsia" w:ascii="宋体" w:hAnsi="宋体" w:eastAsia="宋体" w:cs="宋体"/>
                <w:color w:val="auto"/>
                <w:kern w:val="0"/>
                <w:sz w:val="24"/>
                <w:szCs w:val="24"/>
                <w:highlight w:val="none"/>
              </w:rPr>
              <w:t>分）</w:t>
            </w:r>
          </w:p>
        </w:tc>
        <w:tc>
          <w:tcPr>
            <w:tcW w:w="1293" w:type="dxa"/>
            <w:noWrap w:val="0"/>
            <w:vAlign w:val="center"/>
          </w:tcPr>
          <w:p w14:paraId="2602B58A">
            <w:pPr>
              <w:widowControl/>
              <w:tabs>
                <w:tab w:val="left" w:pos="0"/>
              </w:tabs>
              <w:spacing w:line="36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w:t>
            </w:r>
          </w:p>
        </w:tc>
        <w:tc>
          <w:tcPr>
            <w:tcW w:w="982" w:type="dxa"/>
            <w:noWrap w:val="0"/>
            <w:vAlign w:val="center"/>
          </w:tcPr>
          <w:p w14:paraId="3FA77C22">
            <w:pPr>
              <w:widowControl/>
              <w:tabs>
                <w:tab w:val="left" w:pos="0"/>
              </w:tabs>
              <w:spacing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5531" w:type="dxa"/>
            <w:noWrap w:val="0"/>
            <w:vAlign w:val="center"/>
          </w:tcPr>
          <w:p w14:paraId="21FCB0DF">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投标人全部响应招标文件主要的技术指标、参数、服务要求等的得</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分。一般指标有负偏离每项扣</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分，扣完为止。</w:t>
            </w:r>
          </w:p>
        </w:tc>
      </w:tr>
      <w:tr w14:paraId="5615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6" w:hRule="atLeast"/>
          <w:jc w:val="center"/>
        </w:trPr>
        <w:tc>
          <w:tcPr>
            <w:tcW w:w="1439" w:type="dxa"/>
            <w:vMerge w:val="continue"/>
            <w:noWrap w:val="0"/>
            <w:vAlign w:val="center"/>
          </w:tcPr>
          <w:p w14:paraId="2ABD71E9">
            <w:pPr>
              <w:widowControl/>
              <w:tabs>
                <w:tab w:val="left" w:pos="0"/>
              </w:tabs>
              <w:spacing w:line="360" w:lineRule="auto"/>
              <w:ind w:firstLine="0"/>
              <w:jc w:val="center"/>
              <w:rPr>
                <w:rFonts w:hint="eastAsia" w:ascii="宋体" w:hAnsi="宋体" w:eastAsia="宋体" w:cs="宋体"/>
                <w:color w:val="auto"/>
                <w:kern w:val="0"/>
                <w:sz w:val="24"/>
                <w:szCs w:val="24"/>
                <w:highlight w:val="none"/>
              </w:rPr>
            </w:pPr>
          </w:p>
        </w:tc>
        <w:tc>
          <w:tcPr>
            <w:tcW w:w="1293" w:type="dxa"/>
            <w:noWrap w:val="0"/>
            <w:vAlign w:val="center"/>
          </w:tcPr>
          <w:p w14:paraId="6EDB7F42">
            <w:pPr>
              <w:widowControl/>
              <w:tabs>
                <w:tab w:val="left" w:pos="0"/>
              </w:tabs>
              <w:spacing w:line="360" w:lineRule="auto"/>
              <w:ind w:firstLine="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zh-CN"/>
              </w:rPr>
              <w:t>项目实施方案</w:t>
            </w:r>
          </w:p>
        </w:tc>
        <w:tc>
          <w:tcPr>
            <w:tcW w:w="982" w:type="dxa"/>
            <w:noWrap w:val="0"/>
            <w:vAlign w:val="center"/>
          </w:tcPr>
          <w:p w14:paraId="4DFC8731">
            <w:pPr>
              <w:widowControl/>
              <w:tabs>
                <w:tab w:val="left" w:pos="0"/>
              </w:tabs>
              <w:spacing w:line="360" w:lineRule="auto"/>
              <w:ind w:firstLine="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5531" w:type="dxa"/>
            <w:noWrap w:val="0"/>
            <w:vAlign w:val="center"/>
          </w:tcPr>
          <w:p w14:paraId="0FB71B9E">
            <w:pPr>
              <w:pStyle w:val="6"/>
              <w:widowControl/>
              <w:numPr>
                <w:ilvl w:val="1"/>
                <w:numId w:val="0"/>
              </w:numPr>
              <w:tabs>
                <w:tab w:val="left" w:pos="1021"/>
              </w:tabs>
              <w:wordWrap/>
              <w:adjustRightInd/>
              <w:snapToGrid/>
              <w:spacing w:line="360" w:lineRule="auto"/>
              <w:ind w:firstLine="240" w:firstLineChars="1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根据供应商提供的项目技术实施方案，包含供货、运输方案、验收方案、现场装配方案等，重点考虑供应商如何在中标后有效地组织安排供货,确保按时保质地完成货物的运输、装卸直至验收等工作，由评委综合打分;</w:t>
            </w:r>
          </w:p>
          <w:p w14:paraId="028BF4FD">
            <w:pPr>
              <w:widowControl/>
              <w:pBdr>
                <w:top w:val="none" w:color="000000" w:sz="0" w:space="0"/>
                <w:left w:val="none" w:color="000000" w:sz="0" w:space="0"/>
                <w:bottom w:val="none" w:color="000000" w:sz="0" w:space="0"/>
                <w:right w:val="none" w:color="000000" w:sz="0" w:space="0"/>
              </w:pBdr>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优：方案非常详细，实施方案的科学性、合理性、规范性和可操作性非常完善可行，得</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5EB36340">
            <w:pPr>
              <w:widowControl/>
              <w:pBdr>
                <w:top w:val="none" w:color="000000" w:sz="0" w:space="0"/>
                <w:left w:val="none" w:color="000000" w:sz="0" w:space="0"/>
                <w:bottom w:val="none" w:color="000000" w:sz="0" w:space="0"/>
                <w:right w:val="none" w:color="000000" w:sz="0" w:space="0"/>
              </w:pBdr>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良：方案比较详细，实施方案的科学性、合理性、规范性和可操作性比较完善可行，能满足招标文件要求，得</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5828E1D0">
            <w:pPr>
              <w:widowControl/>
              <w:pBdr>
                <w:top w:val="none" w:color="000000" w:sz="0" w:space="0"/>
                <w:left w:val="none" w:color="000000" w:sz="0" w:space="0"/>
                <w:bottom w:val="none" w:color="000000" w:sz="0" w:space="0"/>
                <w:right w:val="none" w:color="000000" w:sz="0" w:space="0"/>
              </w:pBdr>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一般：方案细致程度一般，实施方案的科学性、合理性、规范性和可操作性一般，得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38D343CA">
            <w:pPr>
              <w:widowControl/>
              <w:pBdr>
                <w:top w:val="none" w:color="000000" w:sz="0" w:space="0"/>
                <w:left w:val="none" w:color="000000" w:sz="0" w:space="0"/>
                <w:bottom w:val="none" w:color="000000" w:sz="0" w:space="0"/>
                <w:right w:val="none" w:color="000000" w:sz="0" w:space="0"/>
              </w:pBdr>
              <w:wordWrap/>
              <w:adjustRightInd/>
              <w:snapToGrid/>
              <w:spacing w:line="360" w:lineRule="auto"/>
              <w:ind w:firstLine="240" w:firstLineChars="1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无具体实施方案不得分。</w:t>
            </w:r>
          </w:p>
        </w:tc>
      </w:tr>
      <w:tr w14:paraId="4A25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1439" w:type="dxa"/>
            <w:vMerge w:val="continue"/>
            <w:noWrap w:val="0"/>
            <w:vAlign w:val="center"/>
          </w:tcPr>
          <w:p w14:paraId="34038B3D">
            <w:pPr>
              <w:widowControl/>
              <w:tabs>
                <w:tab w:val="left" w:pos="0"/>
              </w:tabs>
              <w:spacing w:line="360" w:lineRule="auto"/>
              <w:ind w:firstLine="0"/>
              <w:jc w:val="center"/>
              <w:rPr>
                <w:rFonts w:hint="eastAsia" w:ascii="宋体" w:hAnsi="宋体" w:eastAsia="宋体" w:cs="宋体"/>
                <w:color w:val="auto"/>
                <w:kern w:val="0"/>
                <w:sz w:val="24"/>
                <w:szCs w:val="24"/>
                <w:highlight w:val="none"/>
              </w:rPr>
            </w:pPr>
          </w:p>
        </w:tc>
        <w:tc>
          <w:tcPr>
            <w:tcW w:w="1293" w:type="dxa"/>
            <w:noWrap w:val="0"/>
            <w:vAlign w:val="center"/>
          </w:tcPr>
          <w:p w14:paraId="2633363E">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售后服务及保障</w:t>
            </w:r>
          </w:p>
        </w:tc>
        <w:tc>
          <w:tcPr>
            <w:tcW w:w="982" w:type="dxa"/>
            <w:noWrap w:val="0"/>
            <w:vAlign w:val="center"/>
          </w:tcPr>
          <w:p w14:paraId="54C29C54">
            <w:pPr>
              <w:widowControl/>
              <w:tabs>
                <w:tab w:val="left" w:pos="0"/>
              </w:tabs>
              <w:spacing w:line="360" w:lineRule="auto"/>
              <w:ind w:firstLine="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531" w:type="dxa"/>
            <w:noWrap w:val="0"/>
            <w:vAlign w:val="center"/>
          </w:tcPr>
          <w:p w14:paraId="4C348CD7">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售后服务方案。制定完善的售后服务体系与维保方案，售后服务计划以及服务承诺、服务队伍建设规范性。</w:t>
            </w:r>
          </w:p>
          <w:p w14:paraId="62D91D11">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优：方案非常详细，售后服务计划非常完善可行，服务承诺、服务队伍建设非常规范，得</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7F410D9E">
            <w:pPr>
              <w:pStyle w:val="6"/>
              <w:widowControl/>
              <w:numPr>
                <w:ilvl w:val="1"/>
                <w:numId w:val="0"/>
              </w:numPr>
              <w:tabs>
                <w:tab w:val="left" w:pos="1021"/>
              </w:tabs>
              <w:wordWrap/>
              <w:adjustRightInd/>
              <w:snapToGrid/>
              <w:spacing w:line="360" w:lineRule="auto"/>
              <w:ind w:firstLine="240" w:firstLineChars="100"/>
              <w:jc w:val="left"/>
              <w:textAlignment w:val="auto"/>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良：方案比较详细，售后服务计划比较完善可行，服务承诺、服务队伍建设比较规范，能满足招标文件要求，得</w:t>
            </w:r>
            <w:r>
              <w:rPr>
                <w:rFonts w:hint="eastAsia" w:ascii="宋体" w:hAnsi="宋体" w:eastAsia="宋体" w:cs="宋体"/>
                <w:b w:val="0"/>
                <w:color w:val="auto"/>
                <w:kern w:val="0"/>
                <w:sz w:val="24"/>
                <w:szCs w:val="24"/>
                <w:highlight w:val="none"/>
                <w:lang w:val="en-US" w:eastAsia="zh-CN"/>
              </w:rPr>
              <w:t>5</w:t>
            </w:r>
            <w:r>
              <w:rPr>
                <w:rFonts w:hint="eastAsia" w:ascii="宋体" w:hAnsi="宋体" w:eastAsia="宋体" w:cs="宋体"/>
                <w:b w:val="0"/>
                <w:color w:val="auto"/>
                <w:kern w:val="0"/>
                <w:sz w:val="24"/>
                <w:szCs w:val="24"/>
                <w:highlight w:val="none"/>
              </w:rPr>
              <w:t>分；</w:t>
            </w:r>
          </w:p>
          <w:p w14:paraId="1C3FBA3C">
            <w:pPr>
              <w:widowControl/>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一般：方案细致程度一般，售后服务计划可行性一般，服务承诺、服务队伍建设规范性一般，得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667A48A4">
            <w:pPr>
              <w:widowControl/>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color w:val="auto"/>
                <w:kern w:val="0"/>
                <w:sz w:val="24"/>
                <w:szCs w:val="24"/>
                <w:highlight w:val="none"/>
              </w:rPr>
              <w:t>无具体实施方案不得分。</w:t>
            </w:r>
          </w:p>
        </w:tc>
      </w:tr>
      <w:tr w14:paraId="0BEE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0" w:hRule="atLeast"/>
          <w:jc w:val="center"/>
        </w:trPr>
        <w:tc>
          <w:tcPr>
            <w:tcW w:w="1439" w:type="dxa"/>
            <w:vMerge w:val="continue"/>
            <w:noWrap w:val="0"/>
            <w:vAlign w:val="center"/>
          </w:tcPr>
          <w:p w14:paraId="1FF019C3">
            <w:pPr>
              <w:widowControl/>
              <w:tabs>
                <w:tab w:val="left" w:pos="0"/>
              </w:tabs>
              <w:spacing w:line="360" w:lineRule="auto"/>
              <w:jc w:val="center"/>
              <w:rPr>
                <w:rFonts w:hint="eastAsia" w:ascii="宋体" w:hAnsi="宋体" w:eastAsia="宋体" w:cs="宋体"/>
                <w:color w:val="auto"/>
                <w:kern w:val="0"/>
                <w:sz w:val="24"/>
                <w:szCs w:val="24"/>
                <w:highlight w:val="none"/>
              </w:rPr>
            </w:pPr>
          </w:p>
        </w:tc>
        <w:tc>
          <w:tcPr>
            <w:tcW w:w="1293" w:type="dxa"/>
            <w:noWrap w:val="0"/>
            <w:vAlign w:val="center"/>
          </w:tcPr>
          <w:p w14:paraId="09704A0F">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应急措施</w:t>
            </w:r>
          </w:p>
        </w:tc>
        <w:tc>
          <w:tcPr>
            <w:tcW w:w="982" w:type="dxa"/>
            <w:noWrap w:val="0"/>
            <w:vAlign w:val="center"/>
          </w:tcPr>
          <w:p w14:paraId="046692F1">
            <w:pPr>
              <w:widowControl/>
              <w:tabs>
                <w:tab w:val="left" w:pos="0"/>
              </w:tabs>
              <w:spacing w:line="360" w:lineRule="auto"/>
              <w:ind w:firstLine="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5531" w:type="dxa"/>
            <w:noWrap w:val="0"/>
            <w:vAlign w:val="center"/>
          </w:tcPr>
          <w:p w14:paraId="062C1311">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设备在遇到紧急情况的应急方案（合理性、完善性及快速响应等）</w:t>
            </w:r>
          </w:p>
          <w:p w14:paraId="747F573F">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优：内容全面、切实可行、服务明晰的得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23B7D617">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良：内容较全面、基本可行、针对性一般的得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225AE415">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无具体实施方案不得分。</w:t>
            </w:r>
          </w:p>
        </w:tc>
      </w:tr>
      <w:tr w14:paraId="6E1A0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3" w:hRule="atLeast"/>
          <w:jc w:val="center"/>
        </w:trPr>
        <w:tc>
          <w:tcPr>
            <w:tcW w:w="1439" w:type="dxa"/>
            <w:vMerge w:val="continue"/>
            <w:noWrap w:val="0"/>
            <w:vAlign w:val="center"/>
          </w:tcPr>
          <w:p w14:paraId="08083AED">
            <w:pPr>
              <w:widowControl/>
              <w:tabs>
                <w:tab w:val="left" w:pos="0"/>
              </w:tabs>
              <w:spacing w:line="360" w:lineRule="auto"/>
              <w:jc w:val="center"/>
              <w:rPr>
                <w:rFonts w:hint="eastAsia" w:ascii="宋体" w:hAnsi="宋体" w:eastAsia="宋体" w:cs="宋体"/>
                <w:color w:val="auto"/>
                <w:kern w:val="0"/>
                <w:sz w:val="24"/>
                <w:szCs w:val="24"/>
                <w:highlight w:val="none"/>
              </w:rPr>
            </w:pPr>
          </w:p>
        </w:tc>
        <w:tc>
          <w:tcPr>
            <w:tcW w:w="1293" w:type="dxa"/>
            <w:noWrap w:val="0"/>
            <w:vAlign w:val="center"/>
          </w:tcPr>
          <w:p w14:paraId="0352CCE2">
            <w:pPr>
              <w:widowControl/>
              <w:tabs>
                <w:tab w:val="left" w:pos="0"/>
              </w:tabs>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培训方案</w:t>
            </w:r>
          </w:p>
        </w:tc>
        <w:tc>
          <w:tcPr>
            <w:tcW w:w="982" w:type="dxa"/>
            <w:noWrap w:val="0"/>
            <w:vAlign w:val="center"/>
          </w:tcPr>
          <w:p w14:paraId="4F2A8E66">
            <w:pPr>
              <w:widowControl/>
              <w:tabs>
                <w:tab w:val="left" w:pos="0"/>
              </w:tabs>
              <w:wordWrap/>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5531" w:type="dxa"/>
            <w:noWrap w:val="0"/>
            <w:vAlign w:val="center"/>
          </w:tcPr>
          <w:p w14:paraId="610F17FF">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设备在遇到紧急情况的应急方案（合理性、完善性及快速响应等）</w:t>
            </w:r>
          </w:p>
          <w:p w14:paraId="16F5C985">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优：内容全面、切实可行、服务明晰的得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2D93E5EC">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良：内容较全面、基本可行、针对性一般的得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4B1A2B01">
            <w:pPr>
              <w:widowControl/>
              <w:tabs>
                <w:tab w:val="left" w:pos="0"/>
              </w:tabs>
              <w:wordWrap/>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不提供不得分。</w:t>
            </w:r>
          </w:p>
        </w:tc>
      </w:tr>
    </w:tbl>
    <w:p w14:paraId="0FEF9153">
      <w:pPr>
        <w:rPr>
          <w:rFonts w:hint="eastAsia"/>
          <w:b/>
          <w:bCs/>
          <w:sz w:val="28"/>
          <w:szCs w:val="36"/>
          <w:lang w:val="en-US" w:eastAsia="zh-CN"/>
        </w:rPr>
      </w:pPr>
    </w:p>
    <w:p w14:paraId="2A420267">
      <w:pPr>
        <w:rPr>
          <w:rFonts w:hint="default"/>
          <w:b/>
          <w:bCs/>
          <w:sz w:val="28"/>
          <w:szCs w:val="36"/>
          <w:lang w:val="en-US" w:eastAsia="zh-CN"/>
        </w:rPr>
      </w:pPr>
      <w:r>
        <w:rPr>
          <w:rFonts w:hint="eastAsia"/>
          <w:b/>
          <w:bCs/>
          <w:sz w:val="28"/>
          <w:szCs w:val="36"/>
          <w:lang w:val="en-US" w:eastAsia="zh-CN"/>
        </w:rPr>
        <w:t>2、投标截止时间及开</w:t>
      </w:r>
      <w:bookmarkStart w:id="0" w:name="_GoBack"/>
      <w:bookmarkEnd w:id="0"/>
      <w:r>
        <w:rPr>
          <w:rFonts w:hint="eastAsia"/>
          <w:b/>
          <w:bCs/>
          <w:sz w:val="28"/>
          <w:szCs w:val="36"/>
          <w:lang w:val="en-US" w:eastAsia="zh-CN"/>
        </w:rPr>
        <w:t>标时间更正为：2025年12月26日9时00分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auto"/>
    <w:pitch w:val="default"/>
    <w:sig w:usb0="A00002BF" w:usb1="68C7FCFB" w:usb2="00000010" w:usb3="00000000" w:csb0="4002009F" w:csb1="DFD70000"/>
  </w:font>
  <w:font w:name="金山简黑体">
    <w:altName w:val="黑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tabs>
          <w:tab w:val="left" w:pos="360"/>
        </w:tabs>
        <w:ind w:left="284" w:hanging="284"/>
      </w:pPr>
      <w:rPr>
        <w:rFonts w:ascii="Times New Roman" w:hAnsi="Times New Roman"/>
        <w:b/>
        <w:i w:val="0"/>
        <w:sz w:val="28"/>
      </w:rPr>
    </w:lvl>
    <w:lvl w:ilvl="1" w:tentative="0">
      <w:start w:val="1"/>
      <w:numFmt w:val="decimal"/>
      <w:pStyle w:val="6"/>
      <w:lvlText w:val="%1.%2"/>
      <w:lvlJc w:val="left"/>
      <w:pPr>
        <w:tabs>
          <w:tab w:val="left" w:pos="1021"/>
        </w:tabs>
        <w:ind w:left="1021" w:hanging="596"/>
      </w:pPr>
      <w:rPr>
        <w:rFonts w:ascii="Times New Roman" w:hAnsi="Times New Roman"/>
        <w:b/>
        <w:i w:val="0"/>
        <w:sz w:val="28"/>
      </w:rPr>
    </w:lvl>
    <w:lvl w:ilvl="2" w:tentative="0">
      <w:start w:val="1"/>
      <w:numFmt w:val="decimal"/>
      <w:lvlText w:val="%1.%2.%3"/>
      <w:lvlJc w:val="left"/>
      <w:pPr>
        <w:tabs>
          <w:tab w:val="left" w:pos="1588"/>
        </w:tabs>
        <w:ind w:left="1588" w:hanging="737"/>
      </w:pPr>
      <w:rPr>
        <w:rFonts w:ascii="Times New Roman" w:hAnsi="Times New Roman"/>
        <w:b/>
        <w:i w:val="0"/>
        <w:sz w:val="24"/>
      </w:rPr>
    </w:lvl>
    <w:lvl w:ilvl="3" w:tentative="0">
      <w:start w:val="1"/>
      <w:numFmt w:val="decimal"/>
      <w:lvlText w:val="%1.%2.%3.%4"/>
      <w:lvlJc w:val="left"/>
      <w:pPr>
        <w:tabs>
          <w:tab w:val="left" w:pos="2155"/>
        </w:tabs>
        <w:ind w:left="2155" w:hanging="1078"/>
      </w:pPr>
      <w:rPr>
        <w:rFonts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34E9"/>
    <w:rsid w:val="01962655"/>
    <w:rsid w:val="07930321"/>
    <w:rsid w:val="079E324A"/>
    <w:rsid w:val="07FE6094"/>
    <w:rsid w:val="08900C7C"/>
    <w:rsid w:val="099E608F"/>
    <w:rsid w:val="0CAD32E7"/>
    <w:rsid w:val="0F590615"/>
    <w:rsid w:val="164042D9"/>
    <w:rsid w:val="169D46E8"/>
    <w:rsid w:val="1988552E"/>
    <w:rsid w:val="1D247252"/>
    <w:rsid w:val="207D3D26"/>
    <w:rsid w:val="2C77090C"/>
    <w:rsid w:val="2E5C2477"/>
    <w:rsid w:val="31530A90"/>
    <w:rsid w:val="376A0672"/>
    <w:rsid w:val="3A3E27D3"/>
    <w:rsid w:val="3A6B689B"/>
    <w:rsid w:val="3DAD129C"/>
    <w:rsid w:val="3EA61FF7"/>
    <w:rsid w:val="41072D4A"/>
    <w:rsid w:val="463A0534"/>
    <w:rsid w:val="479901C4"/>
    <w:rsid w:val="47A92828"/>
    <w:rsid w:val="48611F77"/>
    <w:rsid w:val="4C06407F"/>
    <w:rsid w:val="53344453"/>
    <w:rsid w:val="5709135E"/>
    <w:rsid w:val="57107101"/>
    <w:rsid w:val="5B946CE7"/>
    <w:rsid w:val="5D334389"/>
    <w:rsid w:val="5F4444C8"/>
    <w:rsid w:val="601E3979"/>
    <w:rsid w:val="65DC62FA"/>
    <w:rsid w:val="67C4205C"/>
    <w:rsid w:val="67D20E23"/>
    <w:rsid w:val="697451F7"/>
    <w:rsid w:val="6E0576A7"/>
    <w:rsid w:val="6EE75391"/>
    <w:rsid w:val="724B721B"/>
    <w:rsid w:val="72B75A30"/>
    <w:rsid w:val="73317BE5"/>
    <w:rsid w:val="74E73B06"/>
    <w:rsid w:val="79613856"/>
    <w:rsid w:val="7A444922"/>
    <w:rsid w:val="7A4936C1"/>
    <w:rsid w:val="7B1F4E3C"/>
    <w:rsid w:val="7C217531"/>
    <w:rsid w:val="7F0F6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文本1"/>
    <w:next w:val="1"/>
    <w:qFormat/>
    <w:uiPriority w:val="0"/>
    <w:rPr>
      <w:rFonts w:hint="default" w:ascii="金山简黑体" w:hAnsi="Courier New" w:eastAsia="金山简黑体" w:cs="Times New Roman"/>
      <w:b/>
      <w:spacing w:val="-8"/>
      <w:sz w:val="44"/>
      <w:szCs w:val="20"/>
      <w:lang w:val="en-US" w:eastAsia="zh-CN" w:bidi="ar-SA"/>
    </w:rPr>
  </w:style>
  <w:style w:type="paragraph" w:customStyle="1" w:styleId="5">
    <w:name w:val="Default"/>
    <w:qFormat/>
    <w:uiPriority w:val="99"/>
    <w:rPr>
      <w:rFonts w:hint="default" w:ascii="MS Mincho" w:hAnsi="Times New Roman" w:eastAsia="宋体" w:cs="Times New Roman"/>
      <w:color w:val="000000"/>
      <w:sz w:val="21"/>
      <w:szCs w:val="22"/>
      <w:lang w:val="en-US" w:eastAsia="zh-CN" w:bidi="ar-SA"/>
    </w:rPr>
  </w:style>
  <w:style w:type="paragraph" w:customStyle="1" w:styleId="6">
    <w:name w:val="标题 211"/>
    <w:next w:val="1"/>
    <w:qFormat/>
    <w:uiPriority w:val="0"/>
    <w:pPr>
      <w:keepNext/>
      <w:numPr>
        <w:ilvl w:val="1"/>
        <w:numId w:val="1"/>
      </w:numPr>
      <w:tabs>
        <w:tab w:val="left" w:pos="360"/>
        <w:tab w:val="clear" w:pos="1021"/>
      </w:tabs>
      <w:outlineLvl w:val="1"/>
    </w:pPr>
    <w:rPr>
      <w:rFonts w:hint="default" w:ascii="Times New Roman" w:hAnsi="Times New Roman" w:eastAsia="黑体" w:cs="Times New Roman"/>
      <w:b/>
      <w:sz w:val="28"/>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2022-03-04T06:33:00Z</dcterms:created>
  <dc:creator>朱轩億</dc:creator>
  <cp:lastModifiedBy>朱轩億</cp:lastModifiedBy>
  <dcterms:modified xsi:type="dcterms:W3CDTF">2025-12-09T03:01:03Z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63CCBBA8A8104E0AA588222589253718</vt:lpwstr>
  </property>
  <property fmtid="{D5CDD505-2E9C-101B-9397-08002B2CF9AE}" pid="4" name="KSOTemplateDocerSaveRecord">
    <vt:lpwstr>eyJoZGlkIjoiNTA0Njg3OTVkNmFjMTBlMDQzYTkwZjIyODk0ZjlhYjQiLCJ1c2VySWQiOiIyMzY1MTQ2MzAifQ==</vt:lpwstr>
  </property>
</Properties>
</file>