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jc w:val="righ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JSZC-321012-GCZX-G2024-0030</w:t>
      </w:r>
      <w:r/>
    </w:p>
    <w:p>
      <w:pPr>
        <w:jc w:val="cente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jc w:val="center"/>
        <w:spacing w:line="360" w:lineRule="auto"/>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2024年中央粮油生产保障专项资金和2024年中央农业防灾减灾资金(第三批)</w:t>
      </w:r>
      <w:r/>
    </w:p>
    <w:p>
      <w:pPr>
        <w:jc w:val="center"/>
        <w:spacing w:line="360" w:lineRule="auto"/>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公开招标文件</w:t>
      </w:r>
      <w:r/>
    </w:p>
    <w:p>
      <w:pPr>
        <w:jc w:val="cente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jc w:val="center"/>
        <w:spacing w:line="360" w:lineRule="auto"/>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mc:AlternateContent>
          <mc:Choice Requires="wpg">
            <w:drawing>
              <wp:inline xmlns:wp="http://schemas.openxmlformats.org/drawingml/2006/wordprocessingDrawing" distT="0" distB="0" distL="0" distR="0">
                <wp:extent cx="2065655" cy="2065655"/>
                <wp:effectExtent l="0" t="0" r="4445" b="4445"/>
                <wp:docPr id="3"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苏合图标"/>
                        <pic:cNvPicPr>
                          <a:picLocks noChangeAspect="1"/>
                        </pic:cNvPicPr>
                        <pic:nvPr/>
                      </pic:nvPicPr>
                      <pic:blipFill>
                        <a:blip r:embed="rId15"/>
                        <a:stretch/>
                      </pic:blipFill>
                      <pic:spPr bwMode="auto">
                        <a:xfrm>
                          <a:off x="0" y="0"/>
                          <a:ext cx="2065655" cy="206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7pt;height:162.7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jc w:val="cente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pStyle w:val="766"/>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6"/>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934" w:firstLine="320"/>
        <w:jc w:val="center"/>
        <w:rPr>
          <w:rFonts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t xml:space="preserve">       采 购 人：扬州市江都区农业技术综合服务中心</w:t>
      </w:r>
      <w:r/>
    </w:p>
    <w:p>
      <w:pPr>
        <w:ind w:right="934"/>
        <w:jc w:val="center"/>
        <w:rPr>
          <w:rFonts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t xml:space="preserve">         代理机构：苏合邦筑工程咨询集团股份有限公司</w:t>
      </w:r>
      <w:r/>
    </w:p>
    <w:p>
      <w:pPr>
        <w:jc w:val="center"/>
        <w:spacing w:line="360" w:lineRule="auto"/>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二〇二四年十一</w:t>
      </w:r>
      <w:r>
        <w:rPr>
          <w:rFonts w:ascii="宋体" w:hAnsi="宋体"/>
          <w:color w:val="000000" w:themeColor="text1"/>
          <w:sz w:val="36"/>
          <w:szCs w:val="36"/>
          <w:highlight w:val="none"/>
          <w14:textFill>
            <w14:solidFill>
              <w14:schemeClr w14:val="tx1"/>
            </w14:solidFill>
          </w14:textFill>
        </w:rPr>
        <w:t xml:space="preserve">月</w:t>
      </w:r>
      <w:r/>
    </w:p>
    <w:p>
      <w:pPr>
        <w:jc w:val="center"/>
        <w:spacing w:line="360" w:lineRule="auto"/>
        <w:rPr>
          <w:rFonts w:ascii="宋体" w:hAnsi="宋体"/>
          <w:color w:val="000000" w:themeColor="text1"/>
          <w:sz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134" w:right="1134" w:bottom="1134" w:left="1134" w:header="1134" w:footer="1134" w:gutter="0"/>
          <w:cols w:num="1" w:sep="0" w:space="0" w:equalWidth="1"/>
          <w:docGrid w:linePitch="360"/>
        </w:sectPr>
      </w:pPr>
      <w:r>
        <w:rPr>
          <w:rFonts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目 录</w:t>
      </w:r>
      <w:r/>
    </w:p>
    <w:p>
      <w:pPr>
        <w:pStyle w:val="790"/>
        <w:spacing w:line="360" w:lineRule="auto"/>
        <w:tabs>
          <w:tab w:val="right" w:pos="9638" w:leader="dot"/>
        </w:tabs>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TOC \o "1-3" \f </w:instrText>
      </w:r>
      <w:r>
        <w:rPr>
          <w:rFonts w:hint="eastAsia"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第一章 2024年中央粮油生产保障专项资金和2024年中央农业防灾减灾资金(第三批)的招标公告</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_Toc4075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fldChar w:fldCharType="end"/>
      </w:r>
      <w:r/>
    </w:p>
    <w:p>
      <w:pPr>
        <w:pStyle w:val="790"/>
        <w:spacing w:line="360" w:lineRule="auto"/>
        <w:tabs>
          <w:tab w:val="right" w:pos="9638" w:leader="dot"/>
        </w:tabs>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第二章 投标人须知</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_Toc8169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5</w:t>
      </w:r>
      <w:r>
        <w:rPr>
          <w:color w:val="000000" w:themeColor="text1"/>
          <w:sz w:val="24"/>
          <w:szCs w:val="24"/>
          <w:highlight w:val="none"/>
          <w14:textFill>
            <w14:solidFill>
              <w14:schemeClr w14:val="tx1"/>
            </w14:solidFill>
          </w14:textFill>
        </w:rPr>
        <w:fldChar w:fldCharType="end"/>
      </w:r>
      <w:r/>
    </w:p>
    <w:p>
      <w:pPr>
        <w:pStyle w:val="790"/>
        <w:spacing w:line="360" w:lineRule="auto"/>
        <w:tabs>
          <w:tab w:val="right" w:pos="9638" w:leader="dot"/>
        </w:tabs>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第三章 合同条款及格式</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_Toc2608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15</w:t>
      </w:r>
      <w:r>
        <w:rPr>
          <w:color w:val="000000" w:themeColor="text1"/>
          <w:sz w:val="24"/>
          <w:szCs w:val="24"/>
          <w:highlight w:val="none"/>
          <w14:textFill>
            <w14:solidFill>
              <w14:schemeClr w14:val="tx1"/>
            </w14:solidFill>
          </w14:textFill>
        </w:rPr>
        <w:fldChar w:fldCharType="end"/>
      </w:r>
      <w:r/>
    </w:p>
    <w:p>
      <w:pPr>
        <w:pStyle w:val="790"/>
        <w:spacing w:line="360" w:lineRule="auto"/>
        <w:tabs>
          <w:tab w:val="right" w:pos="9638" w:leader="dot"/>
        </w:tabs>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第四章 项目需求</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_Toc32584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20</w:t>
      </w:r>
      <w:r>
        <w:rPr>
          <w:color w:val="000000" w:themeColor="text1"/>
          <w:sz w:val="24"/>
          <w:szCs w:val="24"/>
          <w:highlight w:val="none"/>
          <w14:textFill>
            <w14:solidFill>
              <w14:schemeClr w14:val="tx1"/>
            </w14:solidFill>
          </w14:textFill>
        </w:rPr>
        <w:fldChar w:fldCharType="end"/>
      </w:r>
      <w:r/>
    </w:p>
    <w:p>
      <w:pPr>
        <w:pStyle w:val="790"/>
        <w:spacing w:line="360" w:lineRule="auto"/>
        <w:tabs>
          <w:tab w:val="right" w:pos="9638" w:leader="dot"/>
        </w:tabs>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第五章 评标方法及评标标准</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_Toc15401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22</w:t>
      </w:r>
      <w:r>
        <w:rPr>
          <w:color w:val="000000" w:themeColor="text1"/>
          <w:sz w:val="24"/>
          <w:szCs w:val="24"/>
          <w:highlight w:val="none"/>
          <w14:textFill>
            <w14:solidFill>
              <w14:schemeClr w14:val="tx1"/>
            </w14:solidFill>
          </w14:textFill>
        </w:rPr>
        <w:fldChar w:fldCharType="end"/>
      </w:r>
      <w:r/>
    </w:p>
    <w:p>
      <w:pPr>
        <w:pStyle w:val="790"/>
        <w:spacing w:line="360" w:lineRule="auto"/>
        <w:tabs>
          <w:tab w:val="right" w:pos="9638" w:leader="dot"/>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第六章 投标文件格式</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_Toc18747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26</w:t>
      </w:r>
      <w:r>
        <w:rPr>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fldChar w:fldCharType="end"/>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pStyle w:val="764"/>
        <w:jc w:val="center"/>
        <w:spacing w:line="360" w:lineRule="auto"/>
        <w:rPr>
          <w:rFonts w:ascii="宋体" w:hAnsi="宋体"/>
          <w:color w:val="000000" w:themeColor="text1"/>
          <w:szCs w:val="36"/>
          <w:highlight w:val="none"/>
          <w14:textFill>
            <w14:solidFill>
              <w14:schemeClr w14:val="tx1"/>
            </w14:solidFill>
          </w14:textFill>
        </w:rPr>
      </w:pPr>
      <w:r/>
      <w:bookmarkStart w:id="0" w:name="_Toc55204177"/>
      <w:r/>
      <w:bookmarkStart w:id="1" w:name="_Toc4075"/>
      <w:r>
        <w:rPr>
          <w:rFonts w:hint="eastAsia" w:ascii="宋体" w:hAnsi="宋体"/>
          <w:color w:val="000000" w:themeColor="text1"/>
          <w:szCs w:val="36"/>
          <w:highlight w:val="none"/>
          <w14:textFill>
            <w14:solidFill>
              <w14:schemeClr w14:val="tx1"/>
            </w14:solidFill>
          </w14:textFill>
        </w:rPr>
        <w:t xml:space="preserve">第一章2024年中央粮油生产保障专项资金和2024年中央农业防灾减灾资金(第三批)的招标公告</w:t>
      </w:r>
      <w:bookmarkEnd w:id="0"/>
      <w:r/>
      <w:bookmarkEnd w:id="1"/>
      <w:r/>
      <w:r/>
    </w:p>
    <w:p>
      <w:pPr>
        <w:ind w:firstLine="420"/>
        <w:spacing w:line="360" w:lineRule="auto"/>
        <w:tabs>
          <w:tab w:val="left" w:pos="26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受扬州市江都区农业技术综合服务中心的委托，苏合邦筑工程咨询集团股份有限公司就2024年中央粮油生产保障专项资金和2024年中央农业防灾减灾资金(第三批)进行公开招标采购，欢迎符合条件的供应商投标。</w:t>
      </w:r>
      <w:r/>
    </w:p>
    <w:p>
      <w:pPr>
        <w:ind w:firstLine="422"/>
        <w:spacing w:line="360" w:lineRule="auto"/>
        <w:rPr>
          <w:rFonts w:ascii="宋体" w:hAnsi="宋体" w:cs="宋体"/>
          <w:b/>
          <w:bCs/>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highlight w:val="none"/>
          <w14:textFill>
            <w14:solidFill>
              <w14:schemeClr w14:val="tx1"/>
            </w14:solidFill>
          </w14:textFill>
        </w:rPr>
        <w:t xml:space="preserve">项目概况：本项目共分四个包，</w:t>
      </w:r>
      <w:r>
        <w:rPr>
          <w:rFonts w:hint="eastAsia" w:ascii="宋体" w:hAnsi="宋体" w:cs="宋体"/>
          <w:color w:val="000000" w:themeColor="text1"/>
          <w:highlight w:val="none"/>
          <w:lang w:eastAsia="zh-CN"/>
          <w14:textFill>
            <w14:solidFill>
              <w14:schemeClr w14:val="tx1"/>
            </w14:solidFill>
          </w14:textFill>
        </w:rPr>
        <w:t xml:space="preserve">采购包1：40%丙硫菌唑·戊唑醇；采购包2：200克/升氟唑菌酰羟胺；采购包3：40%稻瘟酰胺；采购包4：40%烯啶·吡蚜酮。</w:t>
      </w:r>
      <w:r>
        <w:rPr>
          <w:rFonts w:hint="eastAsia" w:ascii="宋体" w:hAnsi="宋体" w:cs="宋体"/>
          <w:color w:val="000000" w:themeColor="text1"/>
          <w:highlight w:val="none"/>
          <w14:textFill>
            <w14:solidFill>
              <w14:schemeClr w14:val="tx1"/>
            </w14:solidFill>
          </w14:textFill>
        </w:rPr>
        <w:t xml:space="preserve">产品生产日期2024年7月1日以后。本项目分4个采购包，按1-4顺序依次开标。</w:t>
      </w:r>
      <w:r/>
    </w:p>
    <w:p>
      <w:pPr>
        <w:ind w:firstLine="420"/>
        <w:spacing w:line="360" w:lineRule="auto"/>
        <w:rPr>
          <w:rFonts w:ascii="宋体" w:hAnsi="宋体" w:cs="宋体"/>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highlight w:val="none"/>
          <w:u w:val="single"/>
          <w14:textFill>
            <w14:solidFill>
              <w14:schemeClr w14:val="tx1"/>
            </w14:solidFill>
          </w14:textFill>
        </w:rPr>
        <w:t xml:space="preserve">2024年中央粮油生产保障专项资金和2024年中央农业防灾减灾资金(第三批)</w:t>
      </w:r>
      <w:r>
        <w:rPr>
          <w:rFonts w:hint="eastAsia" w:ascii="宋体" w:hAnsi="宋体" w:cs="宋体"/>
          <w:color w:val="000000" w:themeColor="text1"/>
          <w:highlight w:val="none"/>
          <w14:textFill>
            <w14:solidFill>
              <w14:schemeClr w14:val="tx1"/>
            </w14:solidFill>
          </w14:textFill>
        </w:rPr>
        <w:t xml:space="preserve">的潜在投标人可在</w:t>
      </w:r>
      <w:r>
        <w:rPr>
          <w:rFonts w:hint="eastAsia" w:ascii="宋体" w:hAnsi="宋体" w:cs="宋体"/>
          <w:color w:val="000000" w:themeColor="text1"/>
          <w:highlight w:val="none"/>
          <w:u w:val="single"/>
          <w14:textFill>
            <w14:solidFill>
              <w14:schemeClr w14:val="tx1"/>
            </w14:solidFill>
          </w14:textFill>
        </w:rPr>
        <w:t xml:space="preserve"> “扬州市政府采购网”、“江苏省政府采购网”自行免费下载</w:t>
      </w:r>
      <w:r>
        <w:rPr>
          <w:rFonts w:hint="eastAsia" w:ascii="宋体" w:hAnsi="宋体" w:cs="宋体"/>
          <w:color w:val="000000" w:themeColor="text1"/>
          <w:highlight w:val="none"/>
          <w14:textFill>
            <w14:solidFill>
              <w14:schemeClr w14:val="tx1"/>
            </w14:solidFill>
          </w14:textFill>
        </w:rPr>
        <w:t xml:space="preserve">招标文件，并于</w:t>
      </w:r>
      <w:r>
        <w:rPr>
          <w:rFonts w:hint="eastAsia" w:ascii="宋体" w:hAnsi="宋体" w:cs="宋体"/>
          <w:bCs/>
          <w:color w:val="000000" w:themeColor="text1"/>
          <w:highlight w:val="none"/>
          <w:u w:val="single"/>
          <w14:textFill>
            <w14:solidFill>
              <w14:schemeClr w14:val="tx1"/>
            </w14:solidFill>
          </w14:textFill>
        </w:rPr>
        <w:t xml:space="preserve">2024年12月05日9点30分（</w:t>
      </w:r>
      <w:r>
        <w:rPr>
          <w:rFonts w:hint="eastAsia" w:ascii="宋体" w:hAnsi="宋体" w:cs="宋体"/>
          <w:bCs/>
          <w:color w:val="000000" w:themeColor="text1"/>
          <w:highlight w:val="none"/>
          <w14:textFill>
            <w14:solidFill>
              <w14:schemeClr w14:val="tx1"/>
            </w14:solidFill>
          </w14:textFill>
        </w:rPr>
        <w:t xml:space="preserve">北京时间）前递交投标文件</w:t>
      </w:r>
      <w:r>
        <w:rPr>
          <w:rFonts w:hint="eastAsia" w:ascii="宋体" w:hAnsi="宋体" w:cs="宋体"/>
          <w:color w:val="000000" w:themeColor="text1"/>
          <w:highlight w:val="none"/>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2" w:name="_Toc28359002"/>
      <w:r/>
      <w:bookmarkStart w:id="3" w:name="_Toc35393790"/>
      <w:r/>
      <w:bookmarkStart w:id="4" w:name="_Toc28359079"/>
      <w:r/>
      <w:bookmarkStart w:id="5" w:name="_Toc35393621"/>
      <w:r/>
      <w:bookmarkStart w:id="6" w:name="_Toc38985263"/>
      <w:r/>
      <w:bookmarkStart w:id="7" w:name="_Hlk24379207"/>
      <w:r>
        <w:rPr>
          <w:rFonts w:hint="eastAsia" w:ascii="宋体" w:hAnsi="宋体" w:cs="宋体"/>
          <w:b/>
          <w:bCs/>
          <w:color w:val="000000" w:themeColor="text1"/>
          <w:highlight w:val="none"/>
          <w14:textFill>
            <w14:solidFill>
              <w14:schemeClr w14:val="tx1"/>
            </w14:solidFill>
          </w14:textFill>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JSZC-321012-GCZX-G2024-0030</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bookmarkEnd w:id="7"/>
      <w:r>
        <w:rPr>
          <w:rFonts w:hint="eastAsia" w:ascii="宋体" w:hAnsi="宋体" w:cs="宋体"/>
          <w:color w:val="000000" w:themeColor="text1"/>
          <w:highlight w:val="none"/>
          <w14:textFill>
            <w14:solidFill>
              <w14:schemeClr w14:val="tx1"/>
            </w14:solidFill>
          </w14:textFill>
        </w:rPr>
        <w:t xml:space="preserve">2024年中央粮油生产保障专项资金和2024年中央农业防灾减灾资金(第三批)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3.预算金额：采购包1：170万元；采购包2：350万元；采购包3：100万元；采购包4：30万元。</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4.本项目设置最高限价：采购包1：6.5万元/吨；采购包2：50万元/吨；采购包3：9.6万元/吨；采购包4：17.8万元/吨。</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5.采购需求：见招标文件第四章。</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6.合同履行期限：接到采购人供货通知后5个工作日内将采购的货物送到甲方指定地点</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7.本项目不接受联合体投标。</w:t>
      </w:r>
      <w:r/>
    </w:p>
    <w:p>
      <w:pPr>
        <w:ind w:firstLine="420"/>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8.本项目不接受进口产品投标。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8" w:name="_Toc28359003"/>
      <w:r/>
      <w:bookmarkStart w:id="9" w:name="_Toc35393622"/>
      <w:r/>
      <w:bookmarkStart w:id="10" w:name="_Toc28359080"/>
      <w:r/>
      <w:bookmarkStart w:id="11" w:name="_Toc35393791"/>
      <w:r/>
      <w:bookmarkStart w:id="12" w:name="_Toc38985264"/>
      <w:r>
        <w:rPr>
          <w:rFonts w:hint="eastAsia" w:ascii="宋体" w:hAnsi="宋体" w:cs="宋体"/>
          <w:b/>
          <w:bCs/>
          <w:color w:val="000000" w:themeColor="text1"/>
          <w:highlight w:val="none"/>
          <w14:textFill>
            <w14:solidFill>
              <w14:schemeClr w14:val="tx1"/>
            </w14:solidFill>
          </w14:textFill>
        </w:rPr>
        <w:t xml:space="preserve">二、申请人的资格要求：</w:t>
      </w:r>
      <w:bookmarkEnd w:id="8"/>
      <w:r/>
      <w:bookmarkEnd w:id="9"/>
      <w:r/>
      <w:bookmarkEnd w:id="10"/>
      <w:r/>
      <w:bookmarkEnd w:id="11"/>
      <w:r/>
      <w:bookmarkEnd w:id="12"/>
      <w:r/>
      <w:r/>
    </w:p>
    <w:p>
      <w:pPr>
        <w:spacing w:line="360" w:lineRule="auto"/>
        <w:tabs>
          <w:tab w:val="left" w:pos="266" w:leader="none"/>
        </w:tabs>
        <w:rPr>
          <w:rFonts w:ascii="宋体" w:hAnsi="宋体" w:cs="宋体"/>
          <w:color w:val="000000" w:themeColor="text1"/>
          <w:szCs w:val="21"/>
          <w:highlight w:val="none"/>
          <w14:textFill>
            <w14:solidFill>
              <w14:schemeClr w14:val="tx1"/>
            </w14:solidFill>
          </w14:textFill>
        </w:rPr>
      </w:pPr>
      <w:r/>
      <w:bookmarkStart w:id="13" w:name="_Toc35393792"/>
      <w:r/>
      <w:bookmarkStart w:id="14" w:name="_Toc38985265"/>
      <w:r/>
      <w:bookmarkStart w:id="15" w:name="_Toc35393623"/>
      <w:r/>
      <w:bookmarkStart w:id="16" w:name="_Toc28359004"/>
      <w:r/>
      <w:bookmarkStart w:id="17" w:name="_Toc28359081"/>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1.满足《中华人民共和国政府采购法》第二十二条规定，并提供下列材料：</w:t>
      </w:r>
      <w:r/>
    </w:p>
    <w:p>
      <w:pPr>
        <w:spacing w:line="360" w:lineRule="auto"/>
        <w:tabs>
          <w:tab w:val="left" w:pos="266" w:leader="none"/>
        </w:tabs>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1.1法人或者其他组织的营业执照等证明文件，自然人的身份证明（身份证为正、反面）</w:t>
      </w:r>
      <w:r/>
    </w:p>
    <w:p>
      <w:pPr>
        <w:spacing w:line="360" w:lineRule="auto"/>
        <w:tabs>
          <w:tab w:val="left" w:pos="266" w:leader="none"/>
        </w:tabs>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spacing w:line="360" w:lineRule="auto"/>
        <w:tabs>
          <w:tab w:val="left" w:pos="266" w:leader="none"/>
        </w:tabs>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1.3 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spacing w:line="360" w:lineRule="auto"/>
        <w:tabs>
          <w:tab w:val="left" w:pos="266" w:leader="none"/>
        </w:tabs>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1.4 具有良好的商业信誉和健全的财务会计制度</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spacing w:line="360" w:lineRule="auto"/>
        <w:tabs>
          <w:tab w:val="left" w:pos="266" w:leader="none"/>
        </w:tabs>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1.5  具备履行合同所必需的设备和专业技术能力</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spacing w:line="360" w:lineRule="auto"/>
        <w:tabs>
          <w:tab w:val="left" w:pos="266" w:leader="none"/>
        </w:tabs>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1.6 参加本次政府采购活动前3年内在经营活动中没有重大违法记录的书面声明</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spacing w:line="360" w:lineRule="auto"/>
        <w:tabs>
          <w:tab w:val="left" w:pos="266" w:leader="none"/>
        </w:tabs>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spacing w:line="360" w:lineRule="auto"/>
        <w:tabs>
          <w:tab w:val="left" w:pos="266" w:leader="none"/>
        </w:tabs>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1.8供应商信用承诺函</w:t>
      </w:r>
      <w:r/>
    </w:p>
    <w:p>
      <w:pPr>
        <w:spacing w:line="360" w:lineRule="auto"/>
        <w:tabs>
          <w:tab w:val="left" w:pos="266" w:leader="none"/>
        </w:tabs>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2.0落实政府采购政策需满足的资格要求：</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Cs w:val="21"/>
          <w:highlight w:val="none"/>
          <w:u w:val="single"/>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w:t>
      </w:r>
      <w:r/>
    </w:p>
    <w:p>
      <w:pPr>
        <w:numPr>
          <w:ilvl w:val="0"/>
          <w:numId w:val="1"/>
        </w:numPr>
        <w:spacing w:line="360" w:lineRule="auto"/>
        <w:tabs>
          <w:tab w:val="left" w:pos="266" w:leader="none"/>
          <w:tab w:val="clear" w:pos="31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本项目的特定资格要求：须是产品的生产商或经销商。生产商须具有本次采购项目内容中的所</w:t>
      </w:r>
      <w:r>
        <w:rPr>
          <w:rFonts w:hint="eastAsia" w:ascii="宋体" w:hAnsi="宋体" w:cs="宋体"/>
          <w:color w:val="000000" w:themeColor="text1"/>
          <w:szCs w:val="21"/>
          <w:highlight w:val="none"/>
          <w:lang w:val="en-US" w:eastAsia="zh-CN"/>
          <w14:textFill>
            <w14:solidFill>
              <w14:schemeClr w14:val="tx1"/>
            </w14:solidFill>
          </w14:textFill>
        </w:rPr>
        <w:t xml:space="preserve">投</w:t>
      </w:r>
      <w:r>
        <w:rPr>
          <w:rFonts w:hint="eastAsia" w:ascii="宋体" w:hAnsi="宋体" w:cs="宋体"/>
          <w:color w:val="000000" w:themeColor="text1"/>
          <w:szCs w:val="21"/>
          <w:highlight w:val="none"/>
          <w14:textFill>
            <w14:solidFill>
              <w14:schemeClr w14:val="tx1"/>
            </w14:solidFill>
          </w14:textFill>
        </w:rPr>
        <w:t xml:space="preserve">农药产品相应的行政管理部门或行政机构颁发的“农药三证”和农药经营许可证(农药三证:农药生产许可证或者农药生产批准文件、农药标准和农药登记证)</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经销商需提供有效的经销商的农药经营许可证、生产厂家的农药三证。(</w:t>
      </w:r>
      <w:r>
        <w:rPr>
          <w:rFonts w:hint="eastAsia" w:ascii="宋体" w:hAnsi="宋体" w:cs="宋体"/>
          <w:color w:val="000000" w:themeColor="text1"/>
          <w:szCs w:val="21"/>
          <w:highlight w:val="none"/>
          <w:lang w:val="en-US" w:eastAsia="zh-CN"/>
          <w14:textFill>
            <w14:solidFill>
              <w14:schemeClr w14:val="tx1"/>
            </w14:solidFill>
          </w14:textFill>
        </w:rPr>
        <w:t xml:space="preserve">原件扫描上传</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000000" w:themeColor="text1"/>
          <w:highlight w:val="none"/>
          <w14:textFill>
            <w14:solidFill>
              <w14:schemeClr w14:val="tx1"/>
            </w14:solidFill>
          </w14:textFill>
        </w:rPr>
      </w:pPr>
      <w:r/>
      <w:bookmarkStart w:id="18" w:name="_Toc28359082"/>
      <w:r/>
      <w:bookmarkStart w:id="19" w:name="_Toc28359005"/>
      <w:r/>
      <w:bookmarkStart w:id="20" w:name="_Toc38985266"/>
      <w:r/>
      <w:bookmarkStart w:id="21" w:name="_Toc35393624"/>
      <w:r/>
      <w:bookmarkStart w:id="22" w:name="_Toc35393793"/>
      <w:r>
        <w:rPr>
          <w:rFonts w:hint="eastAsia" w:ascii="宋体" w:hAnsi="宋体" w:cs="宋体"/>
          <w:color w:val="000000" w:themeColor="text1"/>
          <w:highlight w:val="none"/>
          <w14:textFill>
            <w14:solidFill>
              <w14:schemeClr w14:val="tx1"/>
            </w14:solidFill>
          </w14:textFill>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2.获取方式：</w:t>
      </w:r>
      <w:r>
        <w:rPr>
          <w:rFonts w:hint="eastAsia" w:ascii="宋体" w:hAnsi="宋体"/>
          <w:b/>
          <w:bCs/>
          <w:color w:val="000000" w:themeColor="text1"/>
          <w:szCs w:val="21"/>
          <w:highlight w:val="none"/>
          <w14:textFill>
            <w14:solidFill>
              <w14:schemeClr w14:val="tx1"/>
            </w14:solidFill>
          </w14:textFill>
        </w:rPr>
        <w:t xml:space="preserve">本项目采用网上注册登记方式。</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3.潜在投标人访问</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cs="宋体"/>
          <w:b/>
          <w:bCs/>
          <w:color w:val="000000" w:themeColor="text1"/>
          <w:highlight w:val="none"/>
          <w14:textFill>
            <w14:solidFill>
              <w14:schemeClr w14:val="tx1"/>
            </w14:solidFill>
          </w14:textFill>
        </w:rPr>
        <w:t xml:space="preserve">的网络地址和方法：</w:t>
      </w:r>
      <w:r/>
    </w:p>
    <w:p>
      <w:pPr>
        <w:ind w:firstLine="600"/>
        <w:jc w:val="both"/>
        <w:spacing w:line="360" w:lineRule="auto"/>
        <w:rPr>
          <w:rFonts w:ascii="宋体" w:hAnsi="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highlight w:val="none"/>
          <w14:textFill>
            <w14:solidFill>
              <w14:schemeClr w14:val="tx1"/>
            </w14:solidFill>
          </w14:textFill>
        </w:rPr>
        <w:t xml:space="preserve">（1）潜在投标人访问政府采购管理交易系统（苏采云）的网络地址和</w:t>
      </w:r>
      <w:r>
        <w:rPr>
          <w:rFonts w:hint="eastAsia" w:ascii="宋体" w:hAnsi="宋体"/>
          <w:b/>
          <w:bCs/>
          <w:color w:val="000000" w:themeColor="text1"/>
          <w:szCs w:val="21"/>
          <w:highlight w:val="none"/>
          <w14:textFill>
            <w14:solidFill>
              <w14:schemeClr w14:val="tx1"/>
            </w14:solidFill>
          </w14:textFill>
        </w:rPr>
        <w:t xml:space="preserve">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http://zfcg.yangzhou.gov.cn/zfcg/xzzx/202210/12fa914cfdb7460f9f0de813012e6af7.shtml。</w:t>
      </w:r>
      <w:r/>
    </w:p>
    <w:p>
      <w:pPr>
        <w:ind w:firstLine="600"/>
        <w:spacing w:line="360" w:lineRule="auto"/>
        <w:rPr>
          <w:rFonts w:ascii="宋体" w:hAnsi="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highlight w:val="none"/>
          <w14:textFill>
            <w14:solidFill>
              <w14:schemeClr w14:val="tx1"/>
            </w14:solidFill>
          </w14:textFill>
        </w:rPr>
        <w:t xml:space="preserve">（2）潜在投标人访问“苏采云”系统的网络地址和方法：“苏采云”系统的网址：http://jszfcg.jsczt.cn/。</w:t>
      </w:r>
      <w:r/>
    </w:p>
    <w:p>
      <w:pPr>
        <w:ind w:firstLine="600"/>
        <w:spacing w:line="360" w:lineRule="auto"/>
        <w:rPr>
          <w:rFonts w:ascii="宋体" w:hAnsi="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highlight w:val="none"/>
          <w14:textFill>
            <w14:solidFill>
              <w14:schemeClr w14:val="tx1"/>
            </w14:solidFill>
          </w14:textFill>
        </w:rPr>
        <w:t xml:space="preserve">（3）“CA数字证书”的获取：供应商需办理CA锁，“苏采云”系统目前仅支持“苏采云”系统下的国信CA，省内各地区办理的“苏采云”系统下的国信CA全省通用。“CA数字证书”的办理方法详见</w:t>
      </w:r>
      <w:r>
        <w:rPr>
          <w:rFonts w:ascii="宋体" w:hAnsi="宋体"/>
          <w:b/>
          <w:bCs/>
          <w:color w:val="000000" w:themeColor="text1"/>
          <w:szCs w:val="21"/>
          <w:highlight w:val="none"/>
          <w14:textFill>
            <w14:solidFill>
              <w14:schemeClr w14:val="tx1"/>
            </w14:solidFill>
          </w14:textFill>
        </w:rPr>
        <w:t xml:space="preserve">http://www.jsgxca.com/ManagementGuide46.html</w:t>
      </w:r>
      <w:r>
        <w:rPr>
          <w:rFonts w:hint="eastAsia" w:ascii="宋体" w:hAnsi="宋体"/>
          <w:b/>
          <w:bCs/>
          <w:color w:val="000000" w:themeColor="text1"/>
          <w:szCs w:val="21"/>
          <w:highlight w:val="none"/>
          <w14:textFill>
            <w14:solidFill>
              <w14:schemeClr w14:val="tx1"/>
            </w14:solidFill>
          </w14:textFill>
        </w:rPr>
        <w:t xml:space="preserve">。</w:t>
      </w:r>
      <w:r/>
    </w:p>
    <w:p>
      <w:pPr>
        <w:ind w:firstLine="600"/>
        <w:spacing w:line="360" w:lineRule="auto"/>
        <w:rPr>
          <w:rFonts w:ascii="宋体" w:hAnsi="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600"/>
        <w:spacing w:line="360" w:lineRule="auto"/>
        <w:rPr>
          <w:rFonts w:ascii="宋体" w:hAnsi="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highlight w:val="none"/>
          <w14:textFill>
            <w14:solidFill>
              <w14:schemeClr w14:val="tx1"/>
            </w14:solidFill>
          </w14:textFill>
        </w:rPr>
        <w:t xml:space="preserve">（5）招标代理机构（采购代理机构）将数据电文形式的招标文件加载至“苏采云”系统，供潜在投标人下载或者查阅。     </w:t>
      </w:r>
      <w:r/>
    </w:p>
    <w:p>
      <w:pPr>
        <w:ind w:firstLine="600"/>
        <w:spacing w:line="360" w:lineRule="auto"/>
        <w:rPr>
          <w:rFonts w:ascii="宋体" w:hAnsi="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highlight w:val="none"/>
          <w14:textFill>
            <w14:solidFill>
              <w14:schemeClr w14:val="tx1"/>
            </w14:solidFill>
          </w14:textFill>
        </w:rPr>
        <w:t xml:space="preserve">（6）苏采云系统使用谷歌浏览器参与不见面开标。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四、提交投标文件</w:t>
      </w:r>
      <w:bookmarkEnd w:id="18"/>
      <w:r/>
      <w:bookmarkEnd w:id="19"/>
      <w:r>
        <w:rPr>
          <w:rFonts w:hint="eastAsia" w:ascii="宋体" w:hAnsi="宋体" w:cs="宋体"/>
          <w:b/>
          <w:bCs/>
          <w:color w:val="000000" w:themeColor="text1"/>
          <w:highlight w:val="none"/>
          <w14:textFill>
            <w14:solidFill>
              <w14:schemeClr w14:val="tx1"/>
            </w14:solidFill>
          </w14:textFill>
        </w:rPr>
        <w:t xml:space="preserve">截止时间、开标时间和地点</w:t>
      </w:r>
      <w:bookmarkEnd w:id="20"/>
      <w:r/>
      <w:bookmarkEnd w:id="21"/>
      <w:r/>
      <w:bookmarkEnd w:id="22"/>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1.时间：</w:t>
      </w:r>
      <w:r>
        <w:rPr>
          <w:rFonts w:hint="eastAsia" w:ascii="宋体" w:hAnsi="宋体" w:cs="宋体"/>
          <w:bCs/>
          <w:color w:val="000000" w:themeColor="text1"/>
          <w:highlight w:val="none"/>
          <w:u w:val="single"/>
          <w14:textFill>
            <w14:solidFill>
              <w14:schemeClr w14:val="tx1"/>
            </w14:solidFill>
          </w14:textFill>
        </w:rPr>
        <w:t xml:space="preserve">2024年12月05日9点30分</w:t>
      </w:r>
      <w:r>
        <w:rPr>
          <w:rFonts w:hint="eastAsia" w:ascii="宋体" w:hAnsi="宋体" w:cs="宋体"/>
          <w:bCs/>
          <w:color w:val="000000" w:themeColor="text1"/>
          <w:highlight w:val="none"/>
          <w14:textFill>
            <w14:solidFill>
              <w14:schemeClr w14:val="tx1"/>
            </w14:solidFill>
          </w14:textFill>
        </w:rPr>
        <w:t xml:space="preserve">（北京时间）</w:t>
      </w:r>
      <w:r/>
    </w:p>
    <w:p>
      <w:pPr>
        <w:ind w:firstLine="420"/>
        <w:spacing w:line="360" w:lineRule="auto"/>
        <w:rPr>
          <w:rFonts w:ascii="宋体" w:hAnsi="宋体" w:cs="宋体"/>
          <w:bCs/>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2.开标地点：</w:t>
      </w:r>
      <w:r>
        <w:rPr>
          <w:rFonts w:hint="eastAsia" w:ascii="宋体" w:hAnsi="宋体"/>
          <w:b/>
          <w:color w:val="000000" w:themeColor="text1"/>
          <w:szCs w:val="21"/>
          <w:highlight w:val="none"/>
          <w14:textFill>
            <w14:solidFill>
              <w14:schemeClr w14:val="tx1"/>
            </w14:solidFill>
          </w14:textFill>
        </w:rPr>
        <w:t xml:space="preserve">“苏采云”系统（网址：http://jszfcg.jsczt.cn/）“开标大厅”</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23" w:name="_Toc35393625"/>
      <w:r/>
      <w:bookmarkStart w:id="24" w:name="_Toc38985267"/>
      <w:r/>
      <w:bookmarkStart w:id="25" w:name="_Toc35393794"/>
      <w:r/>
      <w:bookmarkStart w:id="26" w:name="_Toc28359084"/>
      <w:r/>
      <w:bookmarkStart w:id="27" w:name="_Toc28359007"/>
      <w:r>
        <w:rPr>
          <w:rFonts w:hint="eastAsia" w:ascii="宋体" w:hAnsi="宋体" w:cs="宋体"/>
          <w:b/>
          <w:bCs/>
          <w:color w:val="000000" w:themeColor="text1"/>
          <w:highlight w:val="none"/>
          <w14:textFill>
            <w14:solidFill>
              <w14:schemeClr w14:val="tx1"/>
            </w14:solidFill>
          </w14:textFill>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000000" w:themeColor="text1"/>
          <w:highlight w:val="none"/>
          <w14:textFill>
            <w14:solidFill>
              <w14:schemeClr w14:val="tx1"/>
            </w14:solidFill>
          </w14:textFill>
        </w:rPr>
      </w:pPr>
      <w:r/>
      <w:bookmarkStart w:id="28" w:name="_Toc35393626"/>
      <w:r/>
      <w:bookmarkStart w:id="29" w:name="_Toc35393795"/>
      <w:r/>
      <w:bookmarkStart w:id="30" w:name="_Toc38985268"/>
      <w:r>
        <w:rPr>
          <w:rFonts w:hint="eastAsia" w:ascii="宋体" w:hAnsi="宋体" w:cs="宋体"/>
          <w:color w:val="000000" w:themeColor="text1"/>
          <w:highlight w:val="none"/>
          <w14:textFill>
            <w14:solidFill>
              <w14:schemeClr w14:val="tx1"/>
            </w14:solidFill>
          </w14:textFill>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六、其他补充事宜</w:t>
      </w:r>
      <w:bookmarkEnd w:id="28"/>
      <w:r/>
      <w:bookmarkEnd w:id="29"/>
      <w:r/>
      <w:bookmarkEnd w:id="30"/>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31" w:name="_Toc35393796"/>
      <w:r/>
      <w:bookmarkStart w:id="32" w:name="_Toc28359085"/>
      <w:r/>
      <w:bookmarkStart w:id="33" w:name="_Toc28359008"/>
      <w:r/>
      <w:bookmarkStart w:id="34" w:name="_Toc35393627"/>
      <w:r/>
      <w:bookmarkStart w:id="35" w:name="_Toc38985269"/>
      <w:r>
        <w:rPr>
          <w:rFonts w:hint="eastAsia" w:ascii="宋体" w:hAnsi="宋体" w:cs="宋体"/>
          <w:b/>
          <w:bCs/>
          <w:color w:val="000000" w:themeColor="text1"/>
          <w:highlight w:val="none"/>
          <w14:textFill>
            <w14:solidFill>
              <w14:schemeClr w14:val="tx1"/>
            </w14:solidFill>
          </w14:textFill>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1.采购人信息</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 称：</w:t>
      </w:r>
      <w:r>
        <w:rPr>
          <w:rFonts w:hint="eastAsia" w:ascii="宋体" w:hAnsi="宋体" w:cs="宋体"/>
          <w:color w:val="000000" w:themeColor="text1"/>
          <w:highlight w:val="none"/>
          <w:u w:val="single"/>
          <w14:textFill>
            <w14:solidFill>
              <w14:schemeClr w14:val="tx1"/>
            </w14:solidFill>
          </w14:textFill>
        </w:rPr>
        <w:t xml:space="preserve">扬州市江都区农业技术综合服务中心</w:t>
      </w:r>
      <w:r/>
    </w:p>
    <w:p>
      <w:pPr>
        <w:ind w:firstLine="420"/>
        <w:jc w:val="left"/>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w:t>
      </w:r>
      <w:r>
        <w:rPr>
          <w:rFonts w:hint="eastAsia" w:ascii="宋体" w:hAnsi="宋体" w:cs="宋体"/>
          <w:color w:val="000000" w:themeColor="text1"/>
          <w:highlight w:val="none"/>
          <w:u w:val="single"/>
          <w14:textFill>
            <w14:solidFill>
              <w14:schemeClr w14:val="tx1"/>
            </w14:solidFill>
          </w14:textFill>
        </w:rPr>
        <w:t xml:space="preserve">江苏省扬州市江都区东方红路48号</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史晓利</w:t>
      </w:r>
      <w:r/>
    </w:p>
    <w:p>
      <w:pPr>
        <w:ind w:firstLine="420"/>
        <w:jc w:val="left"/>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bookmarkStart w:id="36" w:name="_Toc28359086"/>
      <w:r/>
      <w:bookmarkStart w:id="37" w:name="_Toc28359009"/>
      <w:r>
        <w:rPr>
          <w:rFonts w:hint="eastAsia" w:ascii="宋体" w:hAnsi="宋体" w:cs="宋体"/>
          <w:color w:val="000000" w:themeColor="text1"/>
          <w:highlight w:val="none"/>
          <w:u w:val="single"/>
          <w14:textFill>
            <w14:solidFill>
              <w14:schemeClr w14:val="tx1"/>
            </w14:solidFill>
          </w14:textFill>
        </w:rPr>
        <w:t xml:space="preserve">（0514-86292673）</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bookmarkEnd w:id="36"/>
      <w:r/>
      <w:bookmarkEnd w:id="37"/>
      <w:r/>
      <w:bookmarkStart w:id="38" w:name="_Toc28359010"/>
      <w:r/>
      <w:bookmarkStart w:id="39" w:name="_Toc28359087"/>
      <w:r>
        <w:rPr>
          <w:rFonts w:hint="eastAsia" w:ascii="宋体" w:hAnsi="宋体" w:cs="宋体"/>
          <w:color w:val="000000" w:themeColor="text1"/>
          <w:highlight w:val="none"/>
          <w14:textFill>
            <w14:solidFill>
              <w14:schemeClr w14:val="tx1"/>
            </w14:solidFill>
          </w14:textFill>
        </w:rPr>
        <w:t xml:space="preserve">采购代理机构信息</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    称：苏合邦筑工程咨询集团股份有限公司</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址：浦江路439号园林大厦5楼</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联系人：吴宇</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联系方式：0514-80335676</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    箱：</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"mailto:531356327@qq.com" </w:instrText>
      </w:r>
      <w:r>
        <w:rPr>
          <w:color w:val="000000" w:themeColor="text1"/>
          <w:highlight w:val="none"/>
          <w14:textFill>
            <w14:solidFill>
              <w14:schemeClr w14:val="tx1"/>
            </w14:solidFill>
          </w14:textFill>
        </w:rPr>
        <w:fldChar w:fldCharType="separate"/>
      </w:r>
      <w:r>
        <w:rPr>
          <w:rStyle w:val="804"/>
          <w:rFonts w:hint="eastAsia" w:ascii="宋体" w:hAnsi="宋体" w:cs="宋体"/>
          <w:color w:val="000000" w:themeColor="text1"/>
          <w:highlight w:val="none"/>
          <w14:textFill>
            <w14:solidFill>
              <w14:schemeClr w14:val="tx1"/>
            </w14:solidFill>
          </w14:textFill>
        </w:rPr>
        <w:t xml:space="preserve">531356327@qq.com</w:t>
      </w:r>
      <w:r>
        <w:rPr>
          <w:rStyle w:val="804"/>
          <w:rFonts w:hint="eastAsia" w:ascii="宋体" w:hAnsi="宋体" w:cs="宋体"/>
          <w:color w:val="000000" w:themeColor="text1"/>
          <w:highlight w:val="none"/>
          <w14:textFill>
            <w14:solidFill>
              <w14:schemeClr w14:val="tx1"/>
            </w14:solidFill>
          </w14:textFill>
        </w:rPr>
        <w:fldChar w:fldCharType="end"/>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8"/>
      <w:r/>
      <w:bookmarkEnd w:id="39"/>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九、其他</w:t>
      </w:r>
      <w:r/>
    </w:p>
    <w:p>
      <w:pPr>
        <w:ind w:firstLine="422"/>
        <w:spacing w:line="360" w:lineRule="auto"/>
        <w:shd w:val="clear" w:color="auto" w:fill="ffffff" w:themeFill="background1"/>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themeColor="text1"/>
          <w:highlight w:val="none"/>
          <w14:textFill>
            <w14:solidFill>
              <w14:schemeClr w14:val="tx1"/>
            </w14:solidFill>
          </w14:textFill>
        </w:rPr>
        <w:t xml:space="preserve">《政府采购管理交易系统（苏采云）供应商操作手册》</w:t>
      </w:r>
      <w:r>
        <w:rPr>
          <w:rFonts w:hint="eastAsia" w:ascii="宋体" w:hAnsi="宋体"/>
          <w:b/>
          <w:bCs/>
          <w:color w:val="000000" w:themeColor="text1"/>
          <w:szCs w:val="21"/>
          <w:highlight w:val="none"/>
          <w14:textFill>
            <w14:solidFill>
              <w14:schemeClr w14:val="tx1"/>
            </w14:solidFill>
          </w14:textFill>
        </w:rPr>
        <w:t xml:space="preserve">参加投标活动。</w:t>
      </w:r>
      <w:r>
        <w:rPr>
          <w:rFonts w:hint="eastAsia" w:ascii="宋体" w:hAnsi="宋体"/>
          <w:b/>
          <w:bCs/>
          <w:color w:val="000000" w:themeColor="text1"/>
          <w:highlight w:val="none"/>
          <w14:textFill>
            <w14:solidFill>
              <w14:schemeClr w14:val="tx1"/>
            </w14:solidFill>
          </w14:textFill>
        </w:rPr>
        <w:t xml:space="preserve">如投标人未按要求操作，由此所产生的风险由投标人自行承担。</w:t>
      </w:r>
      <w:r/>
    </w:p>
    <w:p>
      <w:pPr>
        <w:ind w:firstLine="422"/>
        <w:spacing w:line="360" w:lineRule="auto"/>
        <w:shd w:val="clear" w:color="auto" w:fill="ffffff" w:themeFill="background1"/>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供应商如确定参加投标，可自行下载招标文件及有关资料，按照《操作手册》进行注</w:t>
      </w:r>
      <w:r>
        <w:rPr>
          <w:rFonts w:hint="eastAsia" w:ascii="宋体" w:hAnsi="宋体"/>
          <w:b/>
          <w:bCs/>
          <w:color w:val="000000" w:themeColor="text1"/>
          <w:szCs w:val="21"/>
          <w:highlight w:val="none"/>
          <w14:textFill>
            <w14:solidFill>
              <w14:schemeClr w14:val="tx1"/>
            </w14:solidFill>
          </w14:textFill>
        </w:rPr>
        <w:t xml:space="preserve">册，领取CA和办理电子签章，并按《操作手册》要求制作、上传电子投标文件，技术支持联系方式：</w:t>
      </w:r>
      <w:r>
        <w:rPr>
          <w:rFonts w:hint="eastAsia" w:ascii="宋体" w:hAnsi="宋体" w:cs="宋体"/>
          <w:b/>
          <w:bCs/>
          <w:color w:val="000000" w:themeColor="text1"/>
          <w:szCs w:val="21"/>
          <w:highlight w:val="none"/>
          <w14:textFill>
            <w14:solidFill>
              <w14:schemeClr w14:val="tx1"/>
            </w14:solidFill>
          </w14:textFill>
        </w:rPr>
        <w:t xml:space="preserve">13813140731</w:t>
      </w:r>
      <w:r>
        <w:rPr>
          <w:rFonts w:hint="eastAsia" w:ascii="宋体" w:hAnsi="宋体"/>
          <w:b/>
          <w:bCs/>
          <w:color w:val="000000" w:themeColor="text1"/>
          <w:szCs w:val="21"/>
          <w:highlight w:val="none"/>
          <w14:textFill>
            <w14:solidFill>
              <w14:schemeClr w14:val="tx1"/>
            </w14:solidFill>
          </w14:textFill>
        </w:rPr>
        <w:t xml:space="preserve">。</w:t>
      </w:r>
      <w:r/>
    </w:p>
    <w:p>
      <w:pPr>
        <w:ind w:firstLine="422"/>
        <w:jc w:val="left"/>
        <w:spacing w:line="360" w:lineRule="auto"/>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3.潜在投标人对招标文件项目需求部分的询问、质疑请向采购人提出，由采购人负责答复。</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本次招标不收取投标保证金。</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highlight w:val="none"/>
          <w14:textFill>
            <w14:solidFill>
              <w14:schemeClr w14:val="tx1"/>
            </w14:solidFill>
          </w14:textFill>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000000" w:themeColor="text1"/>
          <w:highlight w:val="none"/>
          <w:u w:val="single"/>
          <w14:textFill>
            <w14:solidFill>
              <w14:schemeClr w14:val="tx1"/>
            </w14:solidFill>
          </w14:textFill>
        </w:rPr>
      </w:pPr>
      <w:r>
        <w:rPr>
          <w:rFonts w:hint="eastAsia" w:ascii="宋体" w:hAnsi="宋体" w:cs="宋体"/>
          <w:b/>
          <w:i/>
          <w:iCs/>
          <w:color w:val="000000" w:themeColor="text1"/>
          <w:highlight w:val="none"/>
          <w:u w:val="single"/>
          <w14:textFill>
            <w14:solidFill>
              <w14:schemeClr w14:val="tx1"/>
            </w14:solidFill>
          </w14:textFill>
        </w:rPr>
        <w:t xml:space="preserve">6.本项目招标文件中所有斜体下划线部分为实质性条款，如不满足，则为无效投标。</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64"/>
        <w:jc w:val="center"/>
        <w:spacing w:line="360" w:lineRule="auto"/>
        <w:rPr>
          <w:rFonts w:ascii="宋体" w:hAnsi="宋体"/>
          <w:color w:val="000000" w:themeColor="text1"/>
          <w:szCs w:val="36"/>
          <w:highlight w:val="none"/>
          <w14:textFill>
            <w14:solidFill>
              <w14:schemeClr w14:val="tx1"/>
            </w14:solidFill>
          </w14:textFill>
        </w:rPr>
      </w:pPr>
      <w:r/>
      <w:bookmarkStart w:id="40" w:name="_Toc55204178"/>
      <w:r/>
      <w:bookmarkStart w:id="41" w:name="_Toc8169"/>
      <w:r>
        <w:rPr>
          <w:rFonts w:hint="eastAsia" w:ascii="宋体" w:hAnsi="宋体"/>
          <w:color w:val="000000" w:themeColor="text1"/>
          <w:szCs w:val="36"/>
          <w:highlight w:val="none"/>
          <w14:textFill>
            <w14:solidFill>
              <w14:schemeClr w14:val="tx1"/>
            </w14:solidFill>
          </w14:textFill>
        </w:rPr>
        <w:t xml:space="preserve">第二章 投标人须知</w:t>
      </w:r>
      <w:bookmarkEnd w:id="40"/>
      <w:r/>
      <w:bookmarkEnd w:id="41"/>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1、招标方式</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 本次招标采取公开招标方式，本招标文件仅适用于</w:t>
      </w:r>
      <w:r>
        <w:rPr>
          <w:rFonts w:hint="eastAsia" w:ascii="宋体" w:hAnsi="宋体"/>
          <w:bCs/>
          <w:color w:val="000000" w:themeColor="text1"/>
          <w:szCs w:val="21"/>
          <w:highlight w:val="none"/>
          <w:lang w:eastAsia="zh-CN"/>
          <w14:textFill>
            <w14:solidFill>
              <w14:schemeClr w14:val="tx1"/>
            </w14:solidFill>
          </w14:textFill>
        </w:rPr>
        <w:t xml:space="preserve">JSZC-321012-GCZX-G2024-0030</w:t>
      </w:r>
      <w:r>
        <w:rPr>
          <w:rFonts w:hint="eastAsia" w:ascii="宋体" w:hAnsi="宋体"/>
          <w:bCs/>
          <w:color w:val="000000" w:themeColor="text1"/>
          <w:szCs w:val="21"/>
          <w:highlight w:val="none"/>
          <w14:textFill>
            <w14:solidFill>
              <w14:schemeClr w14:val="tx1"/>
            </w14:solidFill>
          </w14:textFill>
        </w:rPr>
        <w:t xml:space="preserve">项目。</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2、投标人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2.2合格的投标人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2.2.1 满足招标公告中供应商的资格条件要求的规定。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2.2.2 满足本文件实质性条款的规定。</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3、适用法律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3.1 本次招标及由此产生的合同受中华人民共和国有关的法律法规制约和保护。</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4、投标费用</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2本次采购由成交单位于领取中标通知书前按照苏招协【2022】002号文货物类的标准一次性支付给招标代理机构代理服务费。</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（1）代理服务费以人民币支付； </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（2）代理服务费一次性以电汇、转账等非现金形式支付； </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（3）招标代理服务费不在投标报价中单列，包含在投标总价中，由中标单位支付给代理机构。 </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代理单位名称：苏合邦筑工程咨询集团股份有限公司江都分公司</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税        号：91321012MA21U2RM24</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   户   行：中国银行股份有限公司扬州新都路支行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行        号：104312501045</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账        号：549575531937</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专家评审费按扬财购【2020】40 号文《关于</w:t>
      </w:r>
      <w:r>
        <w:rPr>
          <w:rFonts w:hint="eastAsia"/>
          <w:color w:val="000000" w:themeColor="text1"/>
          <w:highlight w:val="none"/>
          <w14:textFill>
            <w14:solidFill>
              <w14:schemeClr w14:val="tx1"/>
            </w14:solidFill>
          </w14:textFill>
        </w:rPr>
        <w:t xml:space="preserve">进一步</w:t>
      </w:r>
      <w:r>
        <w:rPr>
          <w:color w:val="000000" w:themeColor="text1"/>
          <w:highlight w:val="none"/>
          <w14:textFill>
            <w14:solidFill>
              <w14:schemeClr w14:val="tx1"/>
            </w14:solidFill>
          </w14:textFill>
        </w:rPr>
        <w:t xml:space="preserve">规范扬州市政府采购专家评审费标准的通知》执行。</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5、招标文件的约束力</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5.1 投标人一旦参加本项目采购活动，即被认为接受了本招标文件的规定和约束。</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 招标文件有以下部分组成：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（1）招标公告</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（2）投标人须知</w:t>
      </w:r>
      <w:r>
        <w:rPr>
          <w:rFonts w:hint="eastAsia" w:ascii="宋体" w:hAnsi="宋体"/>
          <w:bCs/>
          <w:color w:val="000000" w:themeColor="text1"/>
          <w:szCs w:val="21"/>
          <w:highlight w:val="none"/>
          <w14:textFill>
            <w14:solidFill>
              <w14:schemeClr w14:val="tx1"/>
            </w14:solidFill>
          </w14:textFill>
        </w:rPr>
        <w:tab/>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（3）合同条款及格式</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（4）项目需求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（5）评标方法与评标标准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（6）投标文件格式</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7、招标文件的澄清</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8、招标文件的修改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 在投标截止时间前，代理机构可以对招标文件进行修改。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9、投标文件的语言、度量衡单位、货币</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 除技术性能另有规定外，投标文件所使用的度量衡单位，均须采用国家法定计量单位。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9.3投标人应使用人民币报价。</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10、投标文件构成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10.1投标文件由以下部分组成</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（1）资格审查响应对照表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（2）符合性审查响应对照表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（3）非实质性响应对照表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（4）开标一览表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（5）分项报价表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（6）技术参数响应及偏离表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（7）商务条款响应及偏离表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（8）其他（投标人认为有必要提供的声明和文件，如有自拟并自行添加）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11、证明投标人资格及符合招标文件规定的文件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11.3投标人除必须具有履行合同所需提供的产品或服务的能力外，还必须具备相应的财务、技术方面的能力。</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11.4投标人应提交根据合同要求提供的证明服务质量合格以及符合招标文件规定的证明文件。</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11.5证明投标人所提供服务与招标文件的要求相一致的文件可以是手册、图纸、文字资料和数据。</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12、投标配置与分项报价表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12.2 标的物</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12.3有关费用处理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12.4其它费用处理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招标文件未列明，而投标人认为必需的费用也需列入报价。</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12.5投标货币</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12.6 投标配置与分项报价表上的价格应按下列方式分开填写：</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2、项目单价按投标配置及分项报价表中要求填报。</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13、技术参数响应及偏离表、商务条款响应及偏离表及投标货物说明</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13.1 对招标文件中的技术与商务条款要求逐项作出响应或偏离，并说明原因；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13.2 提供参加本项目类似案例简介；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13.3 培训计划；</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13.4 详细阐述所投货物的主要组成部分、功能设计、实现思路及关键技术；</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13.5 投标人认为需要的其他技术文件或说明。</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14、服务承诺及售后服务机构、人员的情况介绍</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14.1投标人的服务承诺应按不低于招标文件中商务要求的标准。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15、投标函和开标一览表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 投标人应按照招标文件中提供的格式完整、正确填写投标函、开标一览表。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42" w:name="_Toc513029225"/>
      <w:r/>
      <w:bookmarkStart w:id="43" w:name="_Toc462564084"/>
      <w:r/>
      <w:bookmarkStart w:id="44" w:name="_Toc16938541"/>
      <w:r/>
      <w:bookmarkStart w:id="45" w:name="_Toc20823297"/>
      <w:r>
        <w:rPr>
          <w:rFonts w:hint="eastAsia" w:ascii="宋体" w:hAnsi="宋体"/>
          <w:b/>
          <w:color w:val="000000" w:themeColor="text1"/>
          <w:szCs w:val="21"/>
          <w:highlight w:val="none"/>
          <w14:textFill>
            <w14:solidFill>
              <w14:schemeClr w14:val="tx1"/>
            </w14:solidFill>
          </w14:textFill>
        </w:rPr>
        <w:t xml:space="preserve">17、投标文件</w:t>
      </w:r>
      <w:bookmarkEnd w:id="42"/>
      <w:r/>
      <w:bookmarkEnd w:id="43"/>
      <w:r/>
      <w:bookmarkEnd w:id="44"/>
      <w:r/>
      <w:bookmarkEnd w:id="45"/>
      <w:r>
        <w:rPr>
          <w:rFonts w:hint="eastAsia" w:ascii="宋体" w:hAnsi="宋体"/>
          <w:b/>
          <w:color w:val="000000" w:themeColor="text1"/>
          <w:szCs w:val="21"/>
          <w:highlight w:val="none"/>
          <w14:textFill>
            <w14:solidFill>
              <w14:schemeClr w14:val="tx1"/>
            </w14:solidFill>
          </w14:textFill>
        </w:rPr>
        <w:t xml:space="preserve">的递交</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17.1 电子投标文件的递交投标人应当按照《操作手册》规定，在投标截止时间前制作并上传电子投标文件。</w:t>
      </w:r>
      <w:bookmarkStart w:id="46" w:name="_Toc16938542"/>
      <w:r/>
      <w:bookmarkStart w:id="47" w:name="_Toc513029226"/>
      <w:r/>
      <w:bookmarkStart w:id="48" w:name="_Toc20823298"/>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17.2</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b/>
          <w:color w:val="000000" w:themeColor="text1"/>
          <w:szCs w:val="21"/>
          <w:highlight w:val="none"/>
          <w14:textFill>
            <w14:solidFill>
              <w14:schemeClr w14:val="tx1"/>
            </w14:solidFill>
          </w14:textFill>
        </w:rPr>
        <w:t xml:space="preserve">相关要求是本招标文件的组成部分。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17.3投标人应对 CA 证书妥善保管，如被他人盗用投标，因此带来的结果均由投标人自行承担。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17.4投标人应当对招标文件提出的要求和条件作出实质性响应，并在电子投标系统逐条应答。</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17.7各投标人应在规定时间内凭CA证书进行网上解密。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18、投标截止日期</w:t>
      </w:r>
      <w:bookmarkEnd w:id="46"/>
      <w:r/>
      <w:bookmarkEnd w:id="47"/>
      <w:r/>
      <w:bookmarkEnd w:id="48"/>
      <w:r/>
      <w:r/>
    </w:p>
    <w:p>
      <w:pPr>
        <w:ind w:firstLine="420"/>
        <w:spacing w:line="360" w:lineRule="auto"/>
        <w:rPr>
          <w:rFonts w:ascii="宋体" w:hAnsi="宋体"/>
          <w:bCs/>
          <w:i/>
          <w:iCs/>
          <w:color w:val="000000" w:themeColor="text1"/>
          <w:szCs w:val="21"/>
          <w:highlight w:val="none"/>
          <w:u w:val="single"/>
          <w14:textFill>
            <w14:solidFill>
              <w14:schemeClr w14:val="tx1"/>
            </w14:solidFill>
          </w14:textFill>
        </w:rPr>
      </w:pPr>
      <w:r>
        <w:rPr>
          <w:rFonts w:hint="eastAsia" w:ascii="宋体" w:hAnsi="宋体"/>
          <w:bCs/>
          <w:i/>
          <w:iCs/>
          <w:color w:val="000000" w:themeColor="text1"/>
          <w:szCs w:val="21"/>
          <w:highlight w:val="none"/>
          <w:u w:val="single"/>
          <w14:textFill>
            <w14:solidFill>
              <w14:schemeClr w14:val="tx1"/>
            </w14:solidFill>
          </w14:textFill>
        </w:rPr>
        <w:t xml:space="preserve">18.1 投标人上传电子投标文件的时间不得迟于招标公告中规定的投标截止时间。</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49" w:name="_Toc513029227"/>
      <w:r/>
      <w:bookmarkStart w:id="50" w:name="_Toc20823299"/>
      <w:r/>
      <w:bookmarkStart w:id="51" w:name="_Toc16938543"/>
      <w:r>
        <w:rPr>
          <w:rFonts w:hint="eastAsia" w:ascii="宋体" w:hAnsi="宋体"/>
          <w:b/>
          <w:color w:val="000000" w:themeColor="text1"/>
          <w:szCs w:val="21"/>
          <w:highlight w:val="none"/>
          <w14:textFill>
            <w14:solidFill>
              <w14:schemeClr w14:val="tx1"/>
            </w14:solidFill>
          </w14:textFill>
        </w:rPr>
        <w:t xml:space="preserve">19、投标文件</w:t>
      </w:r>
      <w:bookmarkEnd w:id="49"/>
      <w:r/>
      <w:bookmarkEnd w:id="50"/>
      <w:r/>
      <w:bookmarkEnd w:id="51"/>
      <w:r>
        <w:rPr>
          <w:rFonts w:hint="eastAsia" w:ascii="宋体" w:hAnsi="宋体"/>
          <w:b/>
          <w:color w:val="000000" w:themeColor="text1"/>
          <w:szCs w:val="21"/>
          <w:highlight w:val="none"/>
          <w14:textFill>
            <w14:solidFill>
              <w14:schemeClr w14:val="tx1"/>
            </w14:solidFill>
          </w14:textFill>
        </w:rPr>
        <w:t xml:space="preserve">的拒收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52" w:name="_Toc16938544"/>
      <w:r/>
      <w:bookmarkStart w:id="53" w:name="_Toc513029228"/>
      <w:r/>
      <w:bookmarkStart w:id="54" w:name="_Toc20823300"/>
      <w:r>
        <w:rPr>
          <w:rFonts w:hint="eastAsia" w:ascii="宋体" w:hAnsi="宋体"/>
          <w:b/>
          <w:color w:val="000000" w:themeColor="text1"/>
          <w:szCs w:val="21"/>
          <w:highlight w:val="none"/>
          <w14:textFill>
            <w14:solidFill>
              <w14:schemeClr w14:val="tx1"/>
            </w14:solidFill>
          </w14:textFill>
        </w:rPr>
        <w:t xml:space="preserve">20、投标文件的撤回和修改</w:t>
      </w:r>
      <w:bookmarkEnd w:id="52"/>
      <w:r/>
      <w:bookmarkEnd w:id="53"/>
      <w:r/>
      <w:bookmarkEnd w:id="54"/>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 投标文件的撤回</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20.1.1 电子投标文件的撤回</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20.1.2 投标人撤回电子投标文件，则认为其不再参与本项目投标活动。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 投标文件的修改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20.3 在投标截止时间之后，投标人不得对其电子投标文件作任何修改。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21、开标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22、评标委员会</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22.1 开标后，代理机构将立即组织评标委员会（以下简称评委会）进行评标。</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22.2 评委会由有关技术、经济等方面的专家组成，且人员构成符合政府采购有关规定。</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22.3评委会独立工作，负责评审所有投标文件并确定中标候选人。</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23、评标过程的保密与公正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23.3 在评标期间，代理机构将设专门工作人员与投标人联系。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23.4 代理机构和评委会不向未中标的投标人解释未中标原因，也不公布评标过程中的相关细节。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24、投标的澄清</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24.2接到评委会澄清要求的投标人应派人按评委会规定的时间和格式在</w:t>
      </w:r>
      <w:r>
        <w:rPr>
          <w:rFonts w:hint="eastAsia" w:ascii="宋体" w:hAnsi="宋体"/>
          <w:b/>
          <w:color w:val="000000" w:themeColor="text1"/>
          <w:szCs w:val="21"/>
          <w:highlight w:val="none"/>
          <w14:textFill>
            <w14:solidFill>
              <w14:schemeClr w14:val="tx1"/>
            </w14:solidFill>
          </w14:textFill>
        </w:rPr>
        <w:t xml:space="preserve">“政府采购管理交易系统（苏采云）”</w:t>
      </w:r>
      <w:r>
        <w:rPr>
          <w:rFonts w:hint="eastAsia" w:ascii="宋体" w:hAnsi="宋体"/>
          <w:bCs/>
          <w:color w:val="000000" w:themeColor="text1"/>
          <w:szCs w:val="21"/>
          <w:highlight w:val="none"/>
          <w14:textFill>
            <w14:solidFill>
              <w14:schemeClr w14:val="tx1"/>
            </w14:solidFill>
          </w14:textFill>
        </w:rPr>
        <w:t xml:space="preserve">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24.3 接到评委会澄清要求的投标人如未按规定做出澄清，其风险由投标人自行承担。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25、对投标文件的初审</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25.1投标文件初审分为资格审查和符合性审查。</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25.1.1资格审查：依据法律法规和招标文件的规定，由5个专家评委共同对投标文件中的资格证明文件进行审查。并将审查结论以书面形式向采购人反馈。</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（2）大写金额与小写金额不一致的，以大写金额为准。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25.8 投标人在开、评标全过程中应保持通讯畅通，并安排专人与代理机构及评委会联系。</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26、无效投标、废标及投标人不足三家的处理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26.1无效投标条款</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 投标人未成功解密电子投标文件的。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26.1.2 投标人未按照招标文件要求上传电子投标文件的。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26.1.3投标人在报价时采用选择性报价的。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26.1.4投标人不具备招标文件中规定资格要求的。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26.1.5投标人的报价超过了采购预算或最高限价的。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26.1.6未通过符合性审查的。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宋体" w:hAnsi="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26.1.9  投标文件含有采购人不能接受的附加条件的。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26.1.12 投标文件未按照招标文件要求加盖电子签章。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26.1.13其他法律、法规及本招标文件规定的属无效投标的情形。</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26.2废标条款：</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26.2.3因重大变故，采购任务取消的。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26.3 投标截止时间结束后参加投标的供应商不足三家的处理：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27、确定中标单位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27.1评委会根据本招标文件规定评标方法与评标标准向采购人推荐出中标候选人。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27.2 采购人应根据评委会推荐的中标候选人确定中标人。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27.3代理机构将在“扬州市政府采购网”、“江苏省政府采购网”发布中标公告，公告期限为1个工作日。</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27.4若有充分证据证明，中标人出现下列情况之一的，一经查实，将被取消中标资格：</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27.4.1提供虚假材料谋取中标的；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27.4.3恶意竞争，投标总报价明显低于其自身合理成本且又无法提供证明的；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27.4.4属于本文件规定的无效条件，但在评标过程中又未被评委会发现的；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27.4.5与采购人或者其他投标人恶意串通的；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27.4.6采取不正当手段诋毁、排挤其他供应商的；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27.4.7不符合法律、法规的规定的。</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 有下列情形之一的，视为投标人串通投标，投标无效：</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27.5.1不同投标人的投标文件由同一单位或者个人编制。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27.5.3 不同投标人的投标文件载明的项目管理成员或者联系人员为同一人。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27.5.5不同投标人的投标文件相互混装。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28、质疑处理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28.2.2对采购过程提出质疑的，为各采购程序环节结束之日起7个工作日内提出。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28.2.3对中标结果提出质疑的，为中标结果公告期限届满之日起7个工作日内提出。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28.5 代理机构及采购人只接收以纸质原件形式送达的质疑。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 以下情形的质疑不予受理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28.8.1 内容不符合《政府采购质疑和投诉办法》第十二条规定的质疑。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28.8.2 超出政府采购法定期限的质疑。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28.8.3 以传真、电子邮件等方式递交的非原件形式的质疑。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28.8.4 未参加投标活动的供应商或在投标活动中自身权益未受到损害的供应商所提出的质疑。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29、中标通知书</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29.l 中标结果确定后，代理机构将向中标人发出中标通知书。</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29.2 中标人可在“政府采购管理交易系统（苏采云）”中标通知书下载模块中自行下载中标通知书。</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30、 签订合同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30.2 招标文件、中标人的投标文件及招标过程中有关澄清、承诺文件均应作为合同附件。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30.3 合同在“政府采购管理交易系统（苏采云）”中签订，签订合同后，</w:t>
      </w:r>
      <w:r>
        <w:rPr>
          <w:rFonts w:hint="eastAsia" w:ascii="宋体" w:hAnsi="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宋体" w:hAnsi="宋体"/>
          <w:bCs/>
          <w:i/>
          <w:iCs/>
          <w:color w:val="000000" w:themeColor="text1"/>
          <w:szCs w:val="21"/>
          <w:highlight w:val="none"/>
          <w:u w:val="single"/>
          <w:lang w:eastAsia="zh-CN"/>
          <w14:textFill>
            <w14:solidFill>
              <w14:schemeClr w14:val="tx1"/>
            </w14:solidFill>
          </w14:textFill>
        </w:rPr>
        <w:t xml:space="preserve">（</w:t>
      </w:r>
      <w:r>
        <w:rPr>
          <w:rFonts w:hint="eastAsia" w:ascii="宋体" w:hAnsi="宋体"/>
          <w:bCs/>
          <w:i/>
          <w:iCs/>
          <w:color w:val="000000" w:themeColor="text1"/>
          <w:szCs w:val="21"/>
          <w:highlight w:val="none"/>
          <w:u w:val="single"/>
          <w:lang w:val="en-US" w:eastAsia="zh-CN"/>
          <w14:textFill>
            <w14:solidFill>
              <w14:schemeClr w14:val="tx1"/>
            </w14:solidFill>
          </w14:textFill>
        </w:rPr>
        <w:t xml:space="preserve">提供承诺书，格式自拟）</w:t>
      </w:r>
      <w:r>
        <w:rPr>
          <w:rFonts w:hint="eastAsia" w:ascii="宋体" w:hAnsi="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31、电子投标文件要求</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31.1</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b/>
          <w:color w:val="000000" w:themeColor="text1"/>
          <w:szCs w:val="21"/>
          <w:highlight w:val="none"/>
          <w14:textFill>
            <w14:solidFill>
              <w14:schemeClr w14:val="tx1"/>
            </w14:solidFill>
          </w14:textFill>
        </w:rPr>
        <w:t xml:space="preserve">相关要求是本招标文件的组成部分。</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31.2投标人应对 CA 证书妥善保管，如被他人盗用投标，因此带来的结果均由投标人自行承担。</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31.3投标人应当对招标文件提出的要求和条件作出实质性响应，并在电子投标系统逐条应答。</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31.4投标人应对要求提供的资格证明文件（如资质证书、资格证书）、技术资料（如白皮书、彩页、手册、检测报告等）扫描上传至投标系统。</w:t>
      </w:r>
      <w:r/>
    </w:p>
    <w:p>
      <w:pPr>
        <w:numPr>
          <w:ilvl w:val="0"/>
          <w:numId w:val="2"/>
        </w:num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提交投标文件的截止时间（投标截止时间）</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32.1投标人应当在招标文件要求提交投标文件的截止时间前，将投标文件提交至“苏采云”系统，逾期提交的投标文件，“苏采云”系统将自动拒收。</w:t>
      </w:r>
      <w:r/>
    </w:p>
    <w:p>
      <w:pPr>
        <w:ind w:firstLine="422"/>
        <w:spacing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32.2各投标人应在规定时间内凭CA证书进行网上解密。</w:t>
      </w:r>
      <w:r/>
    </w:p>
    <w:p>
      <w:pPr>
        <w:ind w:firstLine="422"/>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3、其他</w:t>
      </w:r>
      <w:r/>
    </w:p>
    <w:p>
      <w:pPr>
        <w:ind w:firstLine="420"/>
        <w:spacing w:line="360" w:lineRule="auto"/>
        <w:rPr>
          <w:rFonts w:ascii="宋体" w:hAnsi="宋体"/>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    3</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.1 </w:t>
      </w:r>
      <w:r>
        <w:rPr>
          <w:rFonts w:hint="eastAsia"/>
          <w:color w:val="000000" w:themeColor="text1"/>
          <w:highlight w:val="none"/>
          <w14:textFill>
            <w14:solidFill>
              <w14:schemeClr w14:val="tx1"/>
            </w14:solidFill>
          </w14:textFill>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p>
    <w:p>
      <w:pPr>
        <w:pStyle w:val="764"/>
        <w:numPr>
          <w:ilvl w:val="0"/>
          <w:numId w:val="3"/>
        </w:numPr>
        <w:jc w:val="center"/>
        <w:spacing w:line="360" w:lineRule="auto"/>
        <w:rPr>
          <w:rFonts w:ascii="宋体" w:hAnsi="宋体"/>
          <w:color w:val="000000" w:themeColor="text1"/>
          <w:szCs w:val="36"/>
          <w:highlight w:val="none"/>
          <w14:textFill>
            <w14:solidFill>
              <w14:schemeClr w14:val="tx1"/>
            </w14:solidFill>
          </w14:textFill>
        </w:rPr>
      </w:pPr>
      <w:r/>
      <w:bookmarkStart w:id="55" w:name="_Toc55204179"/>
      <w:r/>
      <w:bookmarkStart w:id="56" w:name="_Toc2608"/>
      <w:r/>
      <w:bookmarkStart w:id="57" w:name="_Hlk69392822"/>
      <w:r>
        <w:rPr>
          <w:rFonts w:hint="eastAsia" w:ascii="宋体" w:hAnsi="宋体"/>
          <w:color w:val="000000" w:themeColor="text1"/>
          <w:szCs w:val="36"/>
          <w:highlight w:val="none"/>
          <w14:textFill>
            <w14:solidFill>
              <w14:schemeClr w14:val="tx1"/>
            </w14:solidFill>
          </w14:textFill>
        </w:rPr>
        <w:t xml:space="preserve">合同条款及格式</w:t>
      </w:r>
      <w:bookmarkEnd w:id="55"/>
      <w:r/>
      <w:bookmarkEnd w:id="56"/>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pStyle w:val="784"/>
        <w:ind w:firstLine="422"/>
        <w:jc w:val="center"/>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扬州市政府采购合同（货物)（合同编号）</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项目名称：                      项目编号：</w:t>
      </w:r>
      <w:r/>
    </w:p>
    <w:p>
      <w:pPr>
        <w:pStyle w:val="784"/>
        <w:ind w:firstLine="420"/>
        <w:spacing w:before="120" w:after="120" w:line="360" w:lineRule="auto"/>
        <w:rPr>
          <w:rFonts w:hAnsi="宋体"/>
          <w:color w:val="000000" w:themeColor="text1"/>
          <w:sz w:val="21"/>
          <w:highlight w:val="none"/>
          <w:u w:val="singl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甲方：（买方）</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乙方：（卖方）_________</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见证方：</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甲、乙双方根据苏合邦筑工程咨询集团股份有限公司项目公开招标的结果，签署本合同。</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一、货物及伴随服务</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1.1 货物及服务名称：</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t xml:space="preserve">1.2 型号规格：</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t xml:space="preserve">1.3 数量（单位）</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二、合同金额</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2.1 本合同金额为（大写）：____________________________________圆（_______________元）人民币。</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三、技术资料</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3.1乙方应按招标文件规定的时间向甲方提供使用货物及服务的有关技术资料。</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四、知识产权</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五、产权担保</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5.1 乙方保证所交付的货物及服务的所有权完全属于乙方且无任何抵押、查封等产权瑕疵。</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六、履约保证金</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t xml:space="preserve">6.1 收取履约保证金的，</w:t>
      </w:r>
      <w:r>
        <w:rPr>
          <w:rFonts w:hint="eastAsia" w:hAnsi="宋体"/>
          <w:color w:val="000000" w:themeColor="text1"/>
          <w:sz w:val="21"/>
          <w:highlight w:val="none"/>
          <w14:textFill>
            <w14:solidFill>
              <w14:schemeClr w14:val="tx1"/>
            </w14:solidFill>
          </w14:textFill>
        </w:rPr>
        <w:t xml:space="preserve">允许中标人自主选择支票、汇票、本票、保函等非现金形式缴纳或提交，</w:t>
      </w:r>
      <w:r>
        <w:rPr>
          <w:rFonts w:hAnsi="宋体"/>
          <w:color w:val="000000" w:themeColor="text1"/>
          <w:sz w:val="21"/>
          <w:highlight w:val="none"/>
          <w14:textFill>
            <w14:solidFill>
              <w14:schemeClr w14:val="tx1"/>
            </w14:solidFill>
          </w14:textFill>
        </w:rPr>
        <w:t xml:space="preserve">应当在采购合同中约定履约保证金退还的方式、时间、条件和不予退还的情形，明确逾期退还履约保证金的违约责任。</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84"/>
        <w:ind w:firstLine="420"/>
        <w:spacing w:before="120" w:after="120"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6.4 </w:t>
      </w:r>
      <w:r>
        <w:rPr>
          <w:rFonts w:hint="eastAsia" w:ascii="宋体" w:hAnsi="宋体" w:cs="宋体"/>
          <w:color w:val="000000" w:themeColor="text1"/>
          <w:sz w:val="21"/>
          <w:szCs w:val="21"/>
          <w:highlight w:val="none"/>
          <w14:textFill>
            <w14:solidFill>
              <w14:schemeClr w14:val="tx1"/>
            </w14:solidFill>
          </w14:textFill>
        </w:rPr>
        <w:t xml:space="preserve">承包人是否提供履约担保：</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否</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七、转包或分包</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7.1本合同范围的货物及服务，应由乙方直接供应，不得转让他人供应；</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7.2 除非得到甲方的书面同意，乙方不得部分分包给他人供应。</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7.3如有转让和未经甲方同意的分包行为，甲方有权给予终止合同。</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八、质保期</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8.1 质保期</w:t>
      </w:r>
      <w:r>
        <w:rPr>
          <w:rFonts w:hint="eastAsia" w:hAnsi="宋体"/>
          <w:color w:val="000000" w:themeColor="text1"/>
          <w:sz w:val="21"/>
          <w:highlight w:val="none"/>
          <w:u w:val="single"/>
          <w14:textFill>
            <w14:solidFill>
              <w14:schemeClr w14:val="tx1"/>
            </w14:solidFill>
          </w14:textFill>
        </w:rPr>
        <w:t xml:space="preserve">18个月</w:t>
      </w:r>
      <w:r>
        <w:rPr>
          <w:rFonts w:hint="eastAsia" w:hAnsi="宋体"/>
          <w:color w:val="000000" w:themeColor="text1"/>
          <w:sz w:val="21"/>
          <w:highlight w:val="none"/>
          <w14:textFill>
            <w14:solidFill>
              <w14:schemeClr w14:val="tx1"/>
            </w14:solidFill>
          </w14:textFill>
        </w:rPr>
        <w:t xml:space="preserve">。（自交货验收合格之日起计）</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九、交付期、交付方式及交付地点</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9.1 交付期：_________</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9.2 交付方式：_________</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9.3 交付地点：_________</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十、货款支付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本合同项下所有款项均以人民币支付。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本合同项下的采购资金由甲方支付，付款前乙方向甲方开具发票。</w:t>
      </w:r>
      <w:r/>
    </w:p>
    <w:p>
      <w:pPr>
        <w:pStyle w:val="970"/>
        <w:ind w:firstLine="420"/>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10.3 甲方付款方式：合同签订后，甲方通知乙方开票，甲方自收到乙方发票之日起10个工作日内支付合同总价的30%的预付款，货物送达采购人指定地点，经第三方检测机构抽样检测合格且发放到位后且财政资金拨付到位后，甲方通知乙方开票，甲方自收到乙方发票之日起10个工作日内按财政资金到付金额支付剩余货款。</w:t>
      </w:r>
      <w:r>
        <w:rPr>
          <w:rFonts w:hint="eastAsia" w:ascii="宋体" w:hAnsi="宋体" w:cs="宋体"/>
          <w:b/>
          <w:bCs/>
          <w:color w:val="000000" w:themeColor="text1"/>
          <w:sz w:val="21"/>
          <w:szCs w:val="21"/>
          <w:highlight w:val="none"/>
          <w14:textFill>
            <w14:solidFill>
              <w14:schemeClr w14:val="tx1"/>
            </w14:solidFill>
          </w14:textFill>
        </w:rPr>
        <w:t xml:space="preserve">所有工程款支付均需提供正式税票，甲方自收到发票之日起10工作日内付款。</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十一、税费</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11.1本合同执行中相关的一切税费均由乙方负担。</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十二、质量保证及售后服务</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12.1 乙方应按招标文件规定的货物及服务性能、技术要求、质量标准向甲方提供。</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12.2 乙方提供的货物及服务在质量期内因服务及产品本身的质量问题发生故障，乙方应负责免费更换。对达不到技术要求者，根据实际情况，经双方协商，可按以下办法处理：</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⑴更换：由乙方承担所发生的全部费用。</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⑵贬值处理：由甲乙双方合议定价。</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⑶退还处理：乙方应退还甲方支付的合同款，同时应承担该货物及服务的直接费用（运输、保险、检验、款项利息及银行手续费等）。</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12.3 如在使用过程中发生质量问题，乙方在接到甲方通知后在______小时内到达甲方现场。</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12.4 在质保期内，乙方应对货物及服务出现的质量及安全问题负责处理解决并承担一切费用。</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12.5上述的货物及服务免费保修期为 年，因人为因素出现的故障不在免费保修范围内。超过保修期的机器设备，终生维修，维修时只收部件成本费。</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十三、调试和验收</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outlineLvl w:val="1"/>
      </w:pPr>
      <w:r>
        <w:rPr>
          <w:rFonts w:hint="eastAsia" w:hAnsi="宋体"/>
          <w:b/>
          <w:bCs/>
          <w:color w:val="000000" w:themeColor="text1"/>
          <w:sz w:val="21"/>
          <w:highlight w:val="none"/>
          <w14:textFill>
            <w14:solidFill>
              <w14:schemeClr w14:val="tx1"/>
            </w14:solidFill>
          </w14:textFill>
        </w:rPr>
        <w:t xml:space="preserve">13.1 甲方对乙方提交的货物及服务依据采购文件上的技术规格要求和国家有关质量标准进行现场检查并抽样，抽样时乙方必须在现场；外观、说明书符合采购文件技术要求，发放数量与甲方分配表一致的，由送至指定地点的乡镇农业农村局负责同志给予签收，检查不合格的不予签收。交付后，甲方需在五个工作日内抽样。</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outlineLvl w:val="1"/>
      </w:pPr>
      <w:r>
        <w:rPr>
          <w:rFonts w:hint="eastAsia" w:hAnsi="宋体"/>
          <w:b/>
          <w:bCs/>
          <w:color w:val="000000" w:themeColor="text1"/>
          <w:sz w:val="21"/>
          <w:highlight w:val="none"/>
          <w14:textFill>
            <w14:solidFill>
              <w14:schemeClr w14:val="tx1"/>
            </w14:solidFill>
          </w14:textFill>
        </w:rPr>
        <w:t xml:space="preserve">13.2 乙方交付前应对货物及服务作出全面检查，并列出清单交于甲方。</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outlineLvl w:val="1"/>
      </w:pPr>
      <w:r>
        <w:rPr>
          <w:rFonts w:hint="eastAsia" w:hAnsi="宋体"/>
          <w:b/>
          <w:bCs/>
          <w:color w:val="000000" w:themeColor="text1"/>
          <w:sz w:val="21"/>
          <w:highlight w:val="none"/>
          <w14:textFill>
            <w14:solidFill>
              <w14:schemeClr w14:val="tx1"/>
            </w14:solidFill>
          </w14:textFill>
        </w:rPr>
        <w:t xml:space="preserve">13.3 甲方对乙方提供的货物及服务在使用前进行调试时，乙方需负责安装并培训甲方的使用操作人员，并协助甲方一起调试，直到符合技术要求。</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13.4 对技术复杂的货物及服务，甲方可请国家认可的专业检测机构进行检测，并由其出具质量检测报告，检测费用由乙方支付。</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十四、货物及服务包装、发运及运输</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14.1 乙方应在货物及服务发运前对其进行满足运输距离、防潮、防震、防锈和防破损装卸等要求包装，以保证货物及服务安全运达甲方指定地点。</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14.2 使用说明书、质量检验证明书、随配附件和工具以及清单一并交付甲方。</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14.3 乙方在货物及服务发运手续办理完毕后24小时内或交付到甲方48小时前通知甲方，以准备接受交付。</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14.4 货物在交付甲方前发生的风险均由乙方负责。</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14.5 货物及服务在规定的交付期限内由乙方送达甲方指定的地点视为交付，乙方同时需通知甲方货物及服务已送达。</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十五、违约责任</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15.1 甲方无正当理由拒收货物及服务的，甲方向乙方偿付拒收款项总值的百分之五违约金。</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15.2 甲方无故逾期验收和办理款项支付手续的,甲方应按逾期付款总额每日万分之五向乙方支付违约金。</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十六、不可抗力事件处理</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16.1 在合同有效期内，任何一方因不可抗力事件导致不能履行合同，则合同履行期可延长，其延长期与不可抗力影响期相同。</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16.2 不可抗力事件发生后，应立即通知对方，并寄送有关权威机构出具的证明。</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16.3 不可抗力事件延续120天以上，双方应通过友好协商，确定是否继续履行合同。</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十七、诉讼</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十八、</w:t>
      </w:r>
      <w:r>
        <w:rPr>
          <w:rFonts w:hint="eastAsia" w:ascii="宋体" w:hAnsi="宋体"/>
          <w:color w:val="000000" w:themeColor="text1"/>
          <w:szCs w:val="21"/>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84"/>
        <w:ind w:firstLine="422"/>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十九、合同生效及其它</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19.1 合同经双方法定代表人签章并加盖单位公章，并经苏合邦筑工程咨询集团股份有限公司见证盖章后生效。</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19.2本合同未尽事宜，遵照《</w:t>
      </w:r>
      <w:r>
        <w:rPr>
          <w:rFonts w:hint="eastAsia" w:hAnsi="宋体"/>
          <w:color w:val="000000" w:themeColor="text1"/>
          <w:sz w:val="21"/>
          <w:highlight w:val="none"/>
          <w:lang w:val="en-US" w:eastAsia="zh-CN"/>
          <w14:textFill>
            <w14:solidFill>
              <w14:schemeClr w14:val="tx1"/>
            </w14:solidFill>
          </w14:textFill>
        </w:rPr>
        <w:t xml:space="preserve">中华人民共和国</w:t>
      </w:r>
      <w:r>
        <w:rPr>
          <w:rFonts w:hint="eastAsia" w:hAnsi="宋体"/>
          <w:color w:val="000000" w:themeColor="text1"/>
          <w:sz w:val="21"/>
          <w:highlight w:val="none"/>
          <w14:textFill>
            <w14:solidFill>
              <w14:schemeClr w14:val="tx1"/>
            </w14:solidFill>
          </w14:textFill>
        </w:rPr>
        <w:t xml:space="preserve">民法典》有关条文执行。</w:t>
      </w:r>
      <w:r/>
    </w:p>
    <w:p>
      <w:pPr>
        <w:pStyle w:val="784"/>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19.3 本合同正本一式捌份，具有同等法律效力，甲方执叁份，乙方执叁份、见证方执贰份。  </w:t>
      </w:r>
      <w:r/>
    </w:p>
    <w:tbl>
      <w:tblPr>
        <w:tblStyle w:val="774"/>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日期：      年    月    日</w:t>
            </w:r>
            <w:r/>
          </w:p>
        </w:tc>
      </w:tr>
    </w:tbl>
    <w:p>
      <w:pPr>
        <w:pStyle w:val="784"/>
        <w:spacing w:before="120" w:after="120" w:line="360" w:lineRule="auto"/>
        <w:rPr>
          <w:rFonts w:hAnsi="宋体"/>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r>
      <w:r/>
    </w:p>
    <w:p>
      <w:pPr>
        <w:pStyle w:val="784"/>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  见证方：苏合邦筑工程咨询集团股份有限公司</w:t>
      </w:r>
      <w:r/>
    </w:p>
    <w:p>
      <w:pPr>
        <w:pStyle w:val="784"/>
        <w:ind w:firstLine="21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项目经办人：</w:t>
      </w:r>
      <w:r/>
    </w:p>
    <w:p>
      <w:pPr>
        <w:ind w:firstLine="21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日期：     年   月   日</w:t>
      </w:r>
      <w:r/>
    </w:p>
    <w:p>
      <w:pPr>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br w:type="page" w:clear="all"/>
      </w:r>
      <w:bookmarkEnd w:id="57"/>
      <w:r/>
      <w:r/>
    </w:p>
    <w:p>
      <w:pPr>
        <w:pStyle w:val="764"/>
        <w:numPr>
          <w:ilvl w:val="0"/>
          <w:numId w:val="4"/>
        </w:numPr>
        <w:jc w:val="center"/>
        <w:spacing w:line="360" w:lineRule="auto"/>
        <w:rPr>
          <w:rFonts w:ascii="宋体" w:hAnsi="宋体"/>
          <w:color w:val="000000" w:themeColor="text1"/>
          <w:highlight w:val="none"/>
          <w14:textFill>
            <w14:solidFill>
              <w14:schemeClr w14:val="tx1"/>
            </w14:solidFill>
          </w14:textFill>
        </w:rPr>
      </w:pPr>
      <w:r/>
      <w:bookmarkStart w:id="58" w:name="_Toc32584"/>
      <w:r>
        <w:rPr>
          <w:rFonts w:hint="eastAsia" w:ascii="宋体" w:hAnsi="宋体"/>
          <w:color w:val="000000" w:themeColor="text1"/>
          <w:highlight w:val="none"/>
          <w14:textFill>
            <w14:solidFill>
              <w14:schemeClr w14:val="tx1"/>
            </w14:solidFill>
          </w14:textFill>
        </w:rPr>
        <w:t xml:space="preserve">项目需求</w:t>
      </w:r>
      <w:bookmarkEnd w:id="58"/>
      <w:r/>
      <w:r/>
    </w:p>
    <w:p>
      <w:pPr>
        <w:rPr>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所属行业：</w:t>
      </w:r>
      <w:r>
        <w:rPr>
          <w:rStyle w:val="802"/>
          <w:rFonts w:hint="eastAsia" w:ascii="宋体" w:hAnsi="宋体" w:cs="仿宋"/>
          <w:color w:val="000000" w:themeColor="text1"/>
          <w:sz w:val="28"/>
          <w:szCs w:val="28"/>
          <w:highlight w:val="none"/>
          <w14:textFill>
            <w14:solidFill>
              <w14:schemeClr w14:val="tx1"/>
            </w14:solidFill>
          </w14:textFill>
        </w:rPr>
        <w:t xml:space="preserve">工业</w:t>
      </w:r>
      <w:r/>
    </w:p>
    <w:p>
      <w:pPr>
        <w:pStyle w:val="964"/>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一、工程概况</w:t>
      </w:r>
      <w:r/>
    </w:p>
    <w:p>
      <w:pPr>
        <w:pStyle w:val="964"/>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（一）项目名称：2024年中央粮油生产保障专项资金和2024年中央农业防灾减灾资金(第三批)</w:t>
      </w:r>
      <w:r/>
    </w:p>
    <w:p>
      <w:pPr>
        <w:pStyle w:val="964"/>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（二）供货期：接到采购人供货通知后5个工作日内将采购的货物送到甲方指定地点。</w:t>
      </w:r>
      <w:r/>
    </w:p>
    <w:p>
      <w:pPr>
        <w:pStyle w:val="964"/>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（三）最高限价：采购包1：6.5万元/吨；采购包2：50万元/吨；采购包3：9.6万元/吨；采购包4：17.8万元/吨，报价超过最高限价的为无效报价，按照无效响应处理。</w:t>
      </w:r>
      <w:r/>
    </w:p>
    <w:p>
      <w:pPr>
        <w:pStyle w:val="964"/>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（四）采购需求：</w:t>
      </w:r>
      <w:r/>
    </w:p>
    <w:p>
      <w:pPr>
        <w:pStyle w:val="964"/>
        <w:ind w:firstLine="44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项目总预算650万元，分为4个采购包</w:t>
      </w:r>
      <w:r/>
    </w:p>
    <w:p>
      <w:pPr>
        <w:pStyle w:val="964"/>
        <w:ind w:firstLine="440"/>
        <w:spacing w:line="360" w:lineRule="auto"/>
        <w:rPr>
          <w:rFonts w:hint="eastAsia" w:ascii="宋体" w:hAnsi="宋体" w:eastAsia="宋体" w:cs="宋体"/>
          <w:i w:val="0"/>
          <w:iCs/>
          <w:color w:val="000000" w:themeColor="text1"/>
          <w:szCs w:val="21"/>
          <w:highlight w:val="none"/>
          <w:u w:val="none"/>
          <w:lang w:eastAsia="zh-CN"/>
          <w14:textFill>
            <w14:solidFill>
              <w14:schemeClr w14:val="tx1"/>
            </w14:solidFill>
          </w14:textFill>
        </w:rPr>
      </w:pPr>
      <w:r>
        <w:rPr>
          <w:rFonts w:hint="eastAsia" w:ascii="宋体" w:hAnsi="宋体" w:cs="宋体"/>
          <w:i w:val="0"/>
          <w:iCs/>
          <w:color w:val="000000" w:themeColor="text1"/>
          <w:szCs w:val="21"/>
          <w:highlight w:val="none"/>
          <w:u w:val="none"/>
          <w14:textFill>
            <w14:solidFill>
              <w14:schemeClr w14:val="tx1"/>
            </w14:solidFill>
          </w14:textFill>
        </w:rPr>
        <w:t xml:space="preserve">采购包1</w:t>
      </w:r>
      <w:r>
        <w:rPr>
          <w:rFonts w:hint="eastAsia" w:ascii="宋体" w:hAnsi="宋体" w:cs="宋体"/>
          <w:bCs/>
          <w:i w:val="0"/>
          <w:iCs/>
          <w:color w:val="000000" w:themeColor="text1"/>
          <w:szCs w:val="21"/>
          <w:highlight w:val="none"/>
          <w:u w:val="none"/>
          <w14:textFill>
            <w14:solidFill>
              <w14:schemeClr w14:val="tx1"/>
            </w14:solidFill>
          </w14:textFill>
        </w:rPr>
        <w:t xml:space="preserve">：</w:t>
      </w:r>
      <w:r>
        <w:rPr>
          <w:rFonts w:hint="eastAsia" w:ascii="宋体" w:hAnsi="宋体" w:cs="宋体"/>
          <w:i w:val="0"/>
          <w:iCs/>
          <w:color w:val="000000" w:themeColor="text1"/>
          <w:szCs w:val="21"/>
          <w:highlight w:val="none"/>
          <w:u w:val="none"/>
          <w14:textFill>
            <w14:solidFill>
              <w14:schemeClr w14:val="tx1"/>
            </w14:solidFill>
          </w14:textFill>
        </w:rPr>
        <w:t xml:space="preserve">40%丙硫菌唑·戊唑醇，规格400克/瓶、40克/瓶，登记对象包含小麦赤霉病，低毒，最高限价6.5万元/吨；</w:t>
      </w:r>
      <w:r/>
    </w:p>
    <w:p>
      <w:pPr>
        <w:pStyle w:val="964"/>
        <w:ind w:firstLine="440"/>
        <w:spacing w:line="360" w:lineRule="auto"/>
        <w:rPr>
          <w:rFonts w:ascii="宋体" w:hAnsi="宋体" w:cs="宋体"/>
          <w:i w:val="0"/>
          <w:iCs/>
          <w:color w:val="000000" w:themeColor="text1"/>
          <w:szCs w:val="21"/>
          <w:highlight w:val="none"/>
          <w:u w:val="none"/>
          <w14:textFill>
            <w14:solidFill>
              <w14:schemeClr w14:val="tx1"/>
            </w14:solidFill>
          </w14:textFill>
        </w:rPr>
      </w:pPr>
      <w:r>
        <w:rPr>
          <w:rFonts w:hint="eastAsia" w:ascii="宋体" w:hAnsi="宋体" w:cs="宋体"/>
          <w:i w:val="0"/>
          <w:iCs/>
          <w:color w:val="000000" w:themeColor="text1"/>
          <w:szCs w:val="21"/>
          <w:highlight w:val="none"/>
          <w:u w:val="none"/>
          <w14:textFill>
            <w14:solidFill>
              <w14:schemeClr w14:val="tx1"/>
            </w14:solidFill>
          </w14:textFill>
        </w:rPr>
        <w:t xml:space="preserve">采购包2：200克/升氟唑菌酰羟胺，规格1000毫升/瓶、600毫升/瓶，登记对象包含小麦赤霉病，低毒，最高限价50万元/吨；</w:t>
      </w:r>
      <w:r/>
    </w:p>
    <w:p>
      <w:pPr>
        <w:pStyle w:val="964"/>
        <w:ind w:firstLine="440"/>
        <w:spacing w:line="360" w:lineRule="auto"/>
        <w:rPr>
          <w:rFonts w:ascii="宋体" w:hAnsi="宋体" w:cs="宋体"/>
          <w:i w:val="0"/>
          <w:iCs/>
          <w:color w:val="000000" w:themeColor="text1"/>
          <w:szCs w:val="21"/>
          <w:highlight w:val="none"/>
          <w:u w:val="none"/>
          <w14:textFill>
            <w14:solidFill>
              <w14:schemeClr w14:val="tx1"/>
            </w14:solidFill>
          </w14:textFill>
        </w:rPr>
      </w:pPr>
      <w:r>
        <w:rPr>
          <w:rFonts w:hint="eastAsia" w:ascii="宋体" w:hAnsi="宋体" w:cs="宋体"/>
          <w:i w:val="0"/>
          <w:iCs/>
          <w:color w:val="000000" w:themeColor="text1"/>
          <w:szCs w:val="21"/>
          <w:highlight w:val="none"/>
          <w:u w:val="none"/>
          <w14:textFill>
            <w14:solidFill>
              <w14:schemeClr w14:val="tx1"/>
            </w14:solidFill>
          </w14:textFill>
        </w:rPr>
        <w:t xml:space="preserve">采购包3：40%稻瘟酰胺，规格1000克/瓶、50克/瓶，登记对象包含水稻稻瘟病，低毒，最高限价9.6万元/吨；</w:t>
      </w:r>
      <w:r/>
    </w:p>
    <w:p>
      <w:pPr>
        <w:pStyle w:val="964"/>
        <w:ind w:firstLine="440"/>
        <w:spacing w:line="360" w:lineRule="auto"/>
        <w:rPr>
          <w:rFonts w:ascii="宋体" w:hAnsi="宋体" w:cs="宋体"/>
          <w:i w:val="0"/>
          <w:iCs/>
          <w:color w:val="000000" w:themeColor="text1"/>
          <w:szCs w:val="21"/>
          <w:highlight w:val="none"/>
          <w:u w:val="none"/>
          <w14:textFill>
            <w14:solidFill>
              <w14:schemeClr w14:val="tx1"/>
            </w14:solidFill>
          </w14:textFill>
        </w:rPr>
      </w:pPr>
      <w:r>
        <w:rPr>
          <w:rFonts w:hint="eastAsia" w:ascii="宋体" w:hAnsi="宋体" w:cs="宋体"/>
          <w:i w:val="0"/>
          <w:iCs/>
          <w:color w:val="000000" w:themeColor="text1"/>
          <w:szCs w:val="21"/>
          <w:highlight w:val="none"/>
          <w:u w:val="none"/>
          <w14:textFill>
            <w14:solidFill>
              <w14:schemeClr w14:val="tx1"/>
            </w14:solidFill>
          </w14:textFill>
        </w:rPr>
        <w:t xml:space="preserve">采购包4：40%烯啶·吡蚜酮，规格100克/袋、10克/袋，登记对象包含水稻稻飞虱，低毒，最高限价17.8万元/吨。</w:t>
      </w:r>
      <w:r/>
    </w:p>
    <w:p>
      <w:pPr>
        <w:pStyle w:val="964"/>
        <w:ind w:firstLine="440"/>
        <w:spacing w:line="360" w:lineRule="auto"/>
        <w:rPr>
          <w:rFonts w:ascii="宋体" w:hAnsi="宋体" w:cs="宋体"/>
          <w:i/>
          <w:color w:val="000000" w:themeColor="text1"/>
          <w:szCs w:val="21"/>
          <w:highlight w:val="none"/>
          <w:u w:val="singl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具体规格数量在签订合同时提供给供货商，不同规格数量根据采购方的要求进行提供。</w:t>
      </w:r>
      <w:r>
        <w:rPr>
          <w:rFonts w:hint="eastAsia" w:ascii="宋体" w:hAnsi="宋体" w:cs="宋体"/>
          <w:i/>
          <w:color w:val="000000" w:themeColor="text1"/>
          <w:szCs w:val="21"/>
          <w:highlight w:val="none"/>
          <w:u w:val="single"/>
          <w:lang w:eastAsia="zh-CN"/>
          <w14:textFill>
            <w14:solidFill>
              <w14:schemeClr w14:val="tx1"/>
            </w14:solidFill>
          </w14:textFill>
        </w:rPr>
        <w:t xml:space="preserve">（</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提供承诺书扫描上传</w:t>
      </w:r>
      <w:r>
        <w:rPr>
          <w:rFonts w:hint="eastAsia" w:ascii="宋体" w:hAnsi="宋体" w:cs="宋体"/>
          <w:i/>
          <w:color w:val="000000" w:themeColor="text1"/>
          <w:szCs w:val="21"/>
          <w:highlight w:val="none"/>
          <w:u w:val="single"/>
          <w:lang w:eastAsia="zh-CN"/>
          <w14:textFill>
            <w14:solidFill>
              <w14:schemeClr w14:val="tx1"/>
            </w14:solidFill>
          </w14:textFill>
        </w:rPr>
        <w:t xml:space="preserve">）</w:t>
      </w:r>
      <w:r/>
    </w:p>
    <w:p>
      <w:pPr>
        <w:pStyle w:val="964"/>
        <w:ind w:firstLine="440"/>
        <w:spacing w:line="360" w:lineRule="auto"/>
        <w:rPr>
          <w:rFonts w:ascii="宋体" w:hAnsi="宋体" w:cs="宋体"/>
          <w:i w:val="0"/>
          <w:iCs/>
          <w:color w:val="000000" w:themeColor="text1"/>
          <w:szCs w:val="21"/>
          <w:highlight w:val="none"/>
          <w:u w:val="none"/>
          <w14:textFill>
            <w14:solidFill>
              <w14:schemeClr w14:val="tx1"/>
            </w14:solidFill>
          </w14:textFill>
        </w:rPr>
      </w:pPr>
      <w:r>
        <w:rPr>
          <w:rFonts w:hint="eastAsia" w:ascii="宋体" w:hAnsi="宋体" w:cs="宋体"/>
          <w:i w:val="0"/>
          <w:iCs/>
          <w:color w:val="000000" w:themeColor="text1"/>
          <w:szCs w:val="21"/>
          <w:highlight w:val="none"/>
          <w:u w:val="none"/>
          <w14:textFill>
            <w14:solidFill>
              <w14:schemeClr w14:val="tx1"/>
            </w14:solidFill>
          </w14:textFill>
        </w:rPr>
        <w:t xml:space="preserve">本项目开标一览表填报内容为所投产品投标单价，报价超过最高限价的为无效报价，按照无效响应处理。</w:t>
      </w:r>
      <w:r/>
    </w:p>
    <w:p>
      <w:pPr>
        <w:pStyle w:val="964"/>
        <w:ind w:firstLine="440"/>
        <w:spacing w:line="360" w:lineRule="auto"/>
        <w:rPr>
          <w:rFonts w:ascii="宋体" w:hAnsi="宋体" w:cs="宋体"/>
          <w:i w:val="0"/>
          <w:iCs/>
          <w:color w:val="000000" w:themeColor="text1"/>
          <w:szCs w:val="21"/>
          <w:highlight w:val="none"/>
          <w:u w:val="none"/>
          <w14:textFill>
            <w14:solidFill>
              <w14:schemeClr w14:val="tx1"/>
            </w14:solidFill>
          </w14:textFill>
        </w:rPr>
      </w:pPr>
      <w:r>
        <w:rPr>
          <w:rFonts w:hint="eastAsia" w:ascii="宋体" w:hAnsi="宋体" w:cs="宋体"/>
          <w:i w:val="0"/>
          <w:iCs/>
          <w:color w:val="000000" w:themeColor="text1"/>
          <w:szCs w:val="21"/>
          <w:highlight w:val="none"/>
          <w:u w:val="none"/>
          <w14:textFill>
            <w14:solidFill>
              <w14:schemeClr w14:val="tx1"/>
            </w14:solidFill>
          </w14:textFill>
        </w:rPr>
        <w:t xml:space="preserve">本项目分4个采购包，按1-4顺序依次开标。</w:t>
      </w:r>
      <w:r/>
    </w:p>
    <w:p>
      <w:pPr>
        <w:pStyle w:val="964"/>
        <w:numPr>
          <w:ilvl w:val="0"/>
          <w:numId w:val="5"/>
        </w:numPr>
        <w:ind w:firstLine="4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其他要求</w:t>
      </w:r>
      <w:r/>
    </w:p>
    <w:p>
      <w:pPr>
        <w:ind w:firstLine="420"/>
        <w:spacing w:line="360" w:lineRule="auto"/>
        <w:rPr>
          <w:rFonts w:ascii="宋体" w:hAnsi="宋体" w:cs="宋体"/>
          <w:b w:val="0"/>
          <w:bCs w:val="0"/>
          <w:i/>
          <w:iCs/>
          <w:color w:val="000000" w:themeColor="text1"/>
          <w:szCs w:val="21"/>
          <w:highlight w:val="none"/>
          <w:u w:val="single"/>
          <w14:textFill>
            <w14:solidFill>
              <w14:schemeClr w14:val="tx1"/>
            </w14:solidFill>
          </w14:textFill>
        </w:rPr>
      </w:pPr>
      <w:r>
        <w:rPr>
          <w:rFonts w:hint="eastAsia" w:ascii="宋体" w:hAnsi="宋体" w:cs="宋体"/>
          <w:b w:val="0"/>
          <w:bCs w:val="0"/>
          <w:i/>
          <w:iCs/>
          <w:color w:val="000000" w:themeColor="text1"/>
          <w:szCs w:val="21"/>
          <w:highlight w:val="none"/>
          <w:u w:val="single"/>
          <w14:textFill>
            <w14:solidFill>
              <w14:schemeClr w14:val="tx1"/>
            </w14:solidFill>
          </w14:textFill>
        </w:rPr>
        <w:t xml:space="preserve">1、投标供应商能按采购人要求将农药及时供应到指定乡镇，并完成卸货。供应商如提供假、冒、伪、劣商品，将按政府采购法的有关规定处罚。</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提供承诺书扫描上传，承诺书格式自拟</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p>
    <w:p>
      <w:pPr>
        <w:ind w:firstLine="420"/>
        <w:spacing w:line="360" w:lineRule="auto"/>
        <w:rPr>
          <w:rFonts w:ascii="宋体" w:hAnsi="宋体" w:cs="宋体"/>
          <w:b w:val="0"/>
          <w:bCs w:val="0"/>
          <w:i/>
          <w:iCs/>
          <w:color w:val="000000" w:themeColor="text1"/>
          <w:szCs w:val="21"/>
          <w:highlight w:val="none"/>
          <w:u w:val="single"/>
          <w14:textFill>
            <w14:solidFill>
              <w14:schemeClr w14:val="tx1"/>
            </w14:solidFill>
          </w14:textFill>
        </w:rPr>
      </w:pPr>
      <w:r>
        <w:rPr>
          <w:rFonts w:hint="eastAsia" w:ascii="宋体" w:hAnsi="宋体" w:cs="宋体"/>
          <w:b w:val="0"/>
          <w:bCs w:val="0"/>
          <w:i/>
          <w:iCs/>
          <w:color w:val="000000" w:themeColor="text1"/>
          <w:szCs w:val="21"/>
          <w:highlight w:val="none"/>
          <w:u w:val="single"/>
          <w14:textFill>
            <w14:solidFill>
              <w14:schemeClr w14:val="tx1"/>
            </w14:solidFill>
          </w14:textFill>
        </w:rPr>
        <w:t xml:space="preserve">2、本次采购中标后不允许转包、分包。</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提供承诺书扫描上传，承诺书格式自拟</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p>
    <w:p>
      <w:pPr>
        <w:ind w:firstLine="420"/>
        <w:spacing w:line="360" w:lineRule="auto"/>
        <w:rPr>
          <w:rFonts w:ascii="宋体" w:hAnsi="宋体" w:cs="宋体"/>
          <w:b w:val="0"/>
          <w:bCs w:val="0"/>
          <w:i/>
          <w:iCs/>
          <w:color w:val="000000" w:themeColor="text1"/>
          <w:szCs w:val="21"/>
          <w:highlight w:val="none"/>
          <w:u w:val="single"/>
          <w14:textFill>
            <w14:solidFill>
              <w14:schemeClr w14:val="tx1"/>
            </w14:solidFill>
          </w14:textFill>
        </w:rPr>
      </w:pPr>
      <w:r>
        <w:rPr>
          <w:rFonts w:hint="eastAsia" w:ascii="宋体" w:hAnsi="宋体" w:cs="宋体"/>
          <w:b w:val="0"/>
          <w:bCs w:val="0"/>
          <w:i/>
          <w:iCs/>
          <w:color w:val="000000" w:themeColor="text1"/>
          <w:szCs w:val="21"/>
          <w:highlight w:val="none"/>
          <w:u w:val="single"/>
          <w14:textFill>
            <w14:solidFill>
              <w14:schemeClr w14:val="tx1"/>
            </w14:solidFill>
          </w14:textFill>
        </w:rPr>
        <w:t xml:space="preserve">3、投标报价应为完成本次采购所需的全部费用，包括产品生产、运输、配送、卸货、售后服务、税金、抽样检测以及供货全部工作需支付的一切费用和拟获得的利润，并考虑应承担的风险。</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提供承诺书扫描上传，承诺书格式自拟</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p>
    <w:p>
      <w:pPr>
        <w:ind w:firstLine="420"/>
        <w:spacing w:line="360" w:lineRule="auto"/>
        <w:rPr>
          <w:rFonts w:ascii="宋体" w:hAnsi="宋体" w:cs="宋体"/>
          <w:b w:val="0"/>
          <w:bCs w:val="0"/>
          <w:i/>
          <w:iCs/>
          <w:color w:val="000000" w:themeColor="text1"/>
          <w:szCs w:val="21"/>
          <w:highlight w:val="none"/>
          <w:u w:val="single"/>
          <w14:textFill>
            <w14:solidFill>
              <w14:schemeClr w14:val="tx1"/>
            </w14:solidFill>
          </w14:textFill>
        </w:rPr>
      </w:pPr>
      <w:r>
        <w:rPr>
          <w:rFonts w:hint="eastAsia" w:ascii="宋体" w:hAnsi="宋体" w:cs="宋体"/>
          <w:b w:val="0"/>
          <w:bCs w:val="0"/>
          <w:i/>
          <w:iCs/>
          <w:color w:val="000000" w:themeColor="text1"/>
          <w:szCs w:val="21"/>
          <w:highlight w:val="none"/>
          <w:u w:val="single"/>
          <w14:textFill>
            <w14:solidFill>
              <w14:schemeClr w14:val="tx1"/>
            </w14:solidFill>
          </w14:textFill>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提供承诺书扫描上传，承诺书格式自拟</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p>
    <w:p>
      <w:pPr>
        <w:pStyle w:val="790"/>
        <w:ind w:firstLine="422"/>
        <w:spacing w:line="360" w:lineRule="auto"/>
        <w:rPr>
          <w:rFonts w:ascii="宋体" w:hAnsi="宋体" w:cs="宋体"/>
          <w:b/>
          <w:bCs/>
          <w:i/>
          <w:color w:val="000000" w:themeColor="text1"/>
          <w:szCs w:val="21"/>
          <w:highlight w:val="none"/>
          <w14:textFill>
            <w14:solidFill>
              <w14:schemeClr w14:val="tx1"/>
            </w14:solidFill>
          </w14:textFill>
        </w:rPr>
      </w:pPr>
      <w:r>
        <w:rPr>
          <w:rFonts w:hint="eastAsia" w:ascii="宋体" w:hAnsi="宋体" w:cs="宋体"/>
          <w:b/>
          <w:bCs/>
          <w:i/>
          <w:iCs/>
          <w:color w:val="000000" w:themeColor="text1"/>
          <w:szCs w:val="21"/>
          <w:highlight w:val="none"/>
          <w:u w:val="single"/>
          <w14:textFill>
            <w14:solidFill>
              <w14:schemeClr w14:val="tx1"/>
            </w14:solidFill>
          </w14:textFill>
        </w:rPr>
        <w:t xml:space="preserve">5、货物生产日期：2024年7月1日以后。</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提供承诺书扫描上传，承诺书格式自拟</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p>
    <w:p>
      <w:pPr>
        <w:pStyle w:val="800"/>
        <w:ind w:firstLine="422"/>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b/>
          <w:bCs/>
          <w:i/>
          <w:iCs/>
          <w:color w:val="000000" w:themeColor="text1"/>
          <w:szCs w:val="21"/>
          <w:highlight w:val="none"/>
          <w:u w:val="single"/>
          <w14:textFill>
            <w14:solidFill>
              <w14:schemeClr w14:val="tx1"/>
            </w14:solidFill>
          </w14:textFill>
        </w:rPr>
        <w:t xml:space="preserve">6、如为经销商投标，须提供农药经营许可证和营业执照，并承诺在中标后、合同签订前提供所投产品生产厂家授权证书。（</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提供承诺书扫描上传，承诺书格式自拟</w:t>
      </w:r>
      <w:r>
        <w:rPr>
          <w:rFonts w:hint="eastAsia" w:ascii="宋体" w:hAnsi="宋体" w:cs="宋体"/>
          <w:b/>
          <w:bCs/>
          <w:i/>
          <w:iCs/>
          <w:color w:val="000000" w:themeColor="text1"/>
          <w:szCs w:val="21"/>
          <w:highlight w:val="none"/>
          <w:u w:val="single"/>
          <w14:textFill>
            <w14:solidFill>
              <w14:schemeClr w14:val="tx1"/>
            </w14:solidFill>
          </w14:textFill>
        </w:rPr>
        <w:t xml:space="preserve">）</w:t>
      </w:r>
      <w:r/>
    </w:p>
    <w:p>
      <w:pPr>
        <w:pStyle w:val="800"/>
        <w:ind w:firstLine="422"/>
        <w:spacing w:line="360" w:lineRule="auto"/>
        <w:rPr>
          <w:rFonts w:ascii="宋体" w:hAnsi="宋体" w:cs="宋体"/>
          <w:b/>
          <w:bCs/>
          <w:iCs/>
          <w:color w:val="000000" w:themeColor="text1"/>
          <w:szCs w:val="21"/>
          <w:highlight w:val="none"/>
          <w:u w:val="single"/>
          <w14:textFill>
            <w14:solidFill>
              <w14:schemeClr w14:val="tx1"/>
            </w14:solidFill>
          </w14:textFill>
        </w:rPr>
      </w:pPr>
      <w:r>
        <w:rPr>
          <w:rFonts w:hint="eastAsia" w:ascii="宋体" w:hAnsi="宋体" w:cs="宋体"/>
          <w:b/>
          <w:bCs/>
          <w:i/>
          <w:iCs/>
          <w:color w:val="000000" w:themeColor="text1"/>
          <w:szCs w:val="21"/>
          <w:highlight w:val="none"/>
          <w:u w:val="single"/>
          <w14:textFill>
            <w14:solidFill>
              <w14:schemeClr w14:val="tx1"/>
            </w14:solidFill>
          </w14:textFill>
        </w:rPr>
        <w:t xml:space="preserve">7、所投产品质量符合相关标准，投标企业应提供具备法定检测资质的第三方省级或省级以上检测机构2022年以来出具的质量检测报告。（提供原件扫描上传）</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 </w:t>
      </w:r>
      <w:r/>
    </w:p>
    <w:p>
      <w:pP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1、本采购文件中斜体且有下划线部分须提供承诺书扫描上传。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764"/>
        <w:jc w:val="center"/>
        <w:spacing w:line="360" w:lineRule="auto"/>
        <w:rPr>
          <w:rFonts w:ascii="宋体" w:hAnsi="宋体"/>
          <w:color w:val="000000" w:themeColor="text1"/>
          <w:highlight w:val="none"/>
          <w14:textFill>
            <w14:solidFill>
              <w14:schemeClr w14:val="tx1"/>
            </w14:solidFill>
          </w14:textFill>
        </w:rPr>
      </w:pPr>
      <w:r/>
      <w:bookmarkStart w:id="59" w:name="_Toc15401"/>
      <w:r/>
      <w:bookmarkStart w:id="60" w:name="_Toc55204181"/>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pStyle w:val="764"/>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评标方法及评标标准</w:t>
      </w:r>
      <w:bookmarkEnd w:id="59"/>
      <w:r/>
      <w:bookmarkEnd w:id="60"/>
      <w:r/>
      <w:r/>
    </w:p>
    <w:p>
      <w:pPr>
        <w:pStyle w:val="961"/>
        <w:ind w:firstLine="422"/>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一、评标方法</w:t>
      </w:r>
      <w:r/>
    </w:p>
    <w:p>
      <w:pPr>
        <w:pStyle w:val="961"/>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61" w:name="_Toc449017024"/>
      <w:r/>
      <w:bookmarkStart w:id="62" w:name="_Toc449016388"/>
      <w:r>
        <w:rPr>
          <w:rFonts w:ascii="宋体" w:hAnsi="宋体"/>
          <w:b/>
          <w:color w:val="000000" w:themeColor="text1"/>
          <w:szCs w:val="21"/>
          <w:highlight w:val="none"/>
          <w14:textFill>
            <w14:solidFill>
              <w14:schemeClr w14:val="tx1"/>
            </w14:solidFill>
          </w14:textFill>
        </w:rPr>
        <w:t xml:space="preserve">二、</w:t>
      </w:r>
      <w:r>
        <w:rPr>
          <w:rFonts w:hint="eastAsia" w:ascii="宋体" w:hAnsi="宋体"/>
          <w:b/>
          <w:color w:val="000000" w:themeColor="text1"/>
          <w:szCs w:val="21"/>
          <w:highlight w:val="none"/>
          <w14:textFill>
            <w14:solidFill>
              <w14:schemeClr w14:val="tx1"/>
            </w14:solidFill>
          </w14:textFill>
        </w:rPr>
        <w:t xml:space="preserve">政府采购政策功能落实</w:t>
      </w:r>
      <w:bookmarkEnd w:id="61"/>
      <w:r/>
      <w:bookmarkEnd w:id="62"/>
      <w:r/>
      <w:r/>
    </w:p>
    <w:p>
      <w:pPr>
        <w:ind w:firstLine="420"/>
        <w:spacing w:line="360" w:lineRule="auto"/>
        <w:rPr>
          <w:rFonts w:ascii="宋体" w:hAnsi="宋体"/>
          <w:b/>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1"/>
        <w:ind w:left="315" w:firstLine="105"/>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1、小微型企业价格扣除</w:t>
      </w:r>
      <w:r/>
    </w:p>
    <w:p>
      <w:pPr>
        <w:pStyle w:val="961"/>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（1）本项目对小型和微型企业产品给予</w:t>
      </w:r>
      <w:r>
        <w:rPr>
          <w:rFonts w:hint="eastAsia" w:ascii="宋体" w:hAnsi="宋体"/>
          <w:color w:val="000000" w:themeColor="text1"/>
          <w:sz w:val="21"/>
          <w:szCs w:val="21"/>
          <w:highlight w:val="none"/>
          <w14:textFill>
            <w14:solidFill>
              <w14:schemeClr w14:val="tx1"/>
            </w14:solidFill>
          </w14:textFill>
        </w:rPr>
        <w:t xml:space="preserve">20</w:t>
      </w:r>
      <w:r>
        <w:rPr>
          <w:rFonts w:ascii="宋体" w:hAnsi="宋体"/>
          <w:color w:val="000000" w:themeColor="text1"/>
          <w:sz w:val="21"/>
          <w:szCs w:val="21"/>
          <w:highlight w:val="none"/>
          <w14:textFill>
            <w14:solidFill>
              <w14:schemeClr w14:val="tx1"/>
            </w14:solidFill>
          </w14:textFill>
        </w:rPr>
        <w:t xml:space="preserve">%的扣除价格，用扣除后的价格参与评审。</w:t>
      </w:r>
      <w:r/>
    </w:p>
    <w:p>
      <w:pPr>
        <w:pStyle w:val="961"/>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（2）供应商需按照采购文件的要求提供相应的《企业声明函》。</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2、残疾人福利单位价格扣除</w:t>
      </w:r>
      <w:r/>
    </w:p>
    <w:p>
      <w:pPr>
        <w:pStyle w:val="961"/>
        <w:ind w:left="315" w:firstLine="105"/>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 w:val="21"/>
          <w:szCs w:val="21"/>
          <w:highlight w:val="none"/>
          <w14:textFill>
            <w14:solidFill>
              <w14:schemeClr w14:val="tx1"/>
            </w14:solidFill>
          </w14:textFill>
        </w:rPr>
        <w:t xml:space="preserve">20</w:t>
      </w:r>
      <w:r>
        <w:rPr>
          <w:rFonts w:ascii="宋体" w:hAnsi="宋体"/>
          <w:color w:val="000000" w:themeColor="text1"/>
          <w:sz w:val="21"/>
          <w:szCs w:val="21"/>
          <w:highlight w:val="none"/>
          <w14:textFill>
            <w14:solidFill>
              <w14:schemeClr w14:val="tx1"/>
            </w14:solidFill>
          </w14:textFill>
        </w:rPr>
        <w:t xml:space="preserve">%的价格扣除，用扣除</w:t>
      </w:r>
      <w:r/>
    </w:p>
    <w:p>
      <w:pPr>
        <w:pStyle w:val="961"/>
        <w:ind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后的价格参与评审。</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〔2017〕141号）。</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3、监狱和戒毒企业价格扣除</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1"/>
          <w:szCs w:val="21"/>
          <w:highlight w:val="none"/>
          <w14:textFill>
            <w14:solidFill>
              <w14:schemeClr w14:val="tx1"/>
            </w14:solidFill>
          </w14:textFill>
        </w:rPr>
        <w:t xml:space="preserve">20</w:t>
      </w:r>
      <w:r>
        <w:rPr>
          <w:rFonts w:ascii="宋体" w:hAnsi="宋体"/>
          <w:color w:val="000000" w:themeColor="text1"/>
          <w:sz w:val="21"/>
          <w:szCs w:val="21"/>
          <w:highlight w:val="none"/>
          <w14:textFill>
            <w14:solidFill>
              <w14:schemeClr w14:val="tx1"/>
            </w14:solidFill>
          </w14:textFill>
        </w:rPr>
        <w:t xml:space="preserve">%的价</w:t>
      </w:r>
      <w:r/>
    </w:p>
    <w:p>
      <w:pPr>
        <w:pStyle w:val="961"/>
        <w:ind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格扣除，用扣除后的价格参与评审。</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疆生产建设兵团)出具的属于监狱企业的证明文件。供应商如不提供上述证明文件，价格将</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不做相应扣除。</w:t>
      </w:r>
      <w:r/>
    </w:p>
    <w:p>
      <w:pPr>
        <w:pStyle w:val="961"/>
        <w:ind w:left="420" w:firstLine="21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[2014]68号）。</w:t>
      </w:r>
      <w:r/>
    </w:p>
    <w:p>
      <w:pPr>
        <w:pStyle w:val="961"/>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5、大中型企业和其他自然人、法人或者其他组织并与小型、微型企业（残疾人福利单</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位、监狱企业）组成联合体共同参加政府采购活动。联合协议中约定，小型、微型企业（残</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疾人福利单位、监狱企业）的协议合同金额占到联合体协议合同总金额30%以上的，给予联</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合体</w:t>
      </w:r>
      <w:r>
        <w:rPr>
          <w:rFonts w:hint="eastAsia" w:ascii="宋体" w:hAnsi="宋体"/>
          <w:color w:val="000000" w:themeColor="text1"/>
          <w:sz w:val="21"/>
          <w:szCs w:val="21"/>
          <w:highlight w:val="none"/>
          <w14:textFill>
            <w14:solidFill>
              <w14:schemeClr w14:val="tx1"/>
            </w14:solidFill>
          </w14:textFill>
        </w:rPr>
        <w:t xml:space="preserve">6</w:t>
      </w:r>
      <w:r>
        <w:rPr>
          <w:rFonts w:ascii="宋体" w:hAnsi="宋体"/>
          <w:color w:val="000000" w:themeColor="text1"/>
          <w:sz w:val="21"/>
          <w:szCs w:val="21"/>
          <w:highlight w:val="none"/>
          <w14:textFill>
            <w14:solidFill>
              <w14:schemeClr w14:val="tx1"/>
            </w14:solidFill>
          </w14:textFill>
        </w:rPr>
        <w:t xml:space="preserve">%的价格扣除，用扣除后的价格参与评审。</w:t>
      </w:r>
      <w:r/>
    </w:p>
    <w:p>
      <w:pPr>
        <w:pStyle w:val="961"/>
        <w:ind w:left="420" w:firstLine="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1"/>
          <w:szCs w:val="21"/>
          <w:highlight w:val="none"/>
          <w14:textFill>
            <w14:solidFill>
              <w14:schemeClr w14:val="tx1"/>
            </w14:solidFill>
          </w14:textFill>
        </w:rPr>
        <w:t xml:space="preserve">20</w:t>
      </w:r>
      <w:r>
        <w:rPr>
          <w:rFonts w:ascii="宋体" w:hAnsi="宋体"/>
          <w:color w:val="000000" w:themeColor="text1"/>
          <w:sz w:val="21"/>
          <w:szCs w:val="21"/>
          <w:highlight w:val="none"/>
          <w14:textFill>
            <w14:solidFill>
              <w14:schemeClr w14:val="tx1"/>
            </w14:solidFill>
          </w14:textFill>
        </w:rPr>
        <w:t xml:space="preserve">%</w:t>
      </w:r>
      <w:r/>
    </w:p>
    <w:p>
      <w:pPr>
        <w:pStyle w:val="961"/>
        <w:ind w:left="420" w:hanging="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价格扣除，用扣除后的价格参与评审。</w:t>
      </w:r>
      <w:r/>
    </w:p>
    <w:p>
      <w:pPr>
        <w:pStyle w:val="961"/>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7、大中型企业向小型、微型企业分包的，分包意向协议约定小型、微型企业合同份额占到合同总金额30%以上的，给予6%的价格扣除，用扣除后的价格参与评审。</w:t>
      </w:r>
      <w:r/>
    </w:p>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br w:type="page" w:clear="all"/>
      </w:r>
      <w:r/>
    </w:p>
    <w:p>
      <w:pPr>
        <w:pStyle w:val="961"/>
        <w:ind w:firstLine="422"/>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三、评标标准</w:t>
      </w:r>
      <w:r/>
    </w:p>
    <w:tbl>
      <w:tblPr>
        <w:tblStyle w:val="774"/>
        <w:tblpPr w:horzAnchor="margin" w:tblpXSpec="center" w:vertAnchor="text" w:tblpY="635" w:leftFromText="180" w:topFromText="0" w:rightFromText="180" w:bottomFromText="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1066"/>
        <w:gridCol w:w="5756"/>
        <w:gridCol w:w="690"/>
      </w:tblGrid>
      <w:tr>
        <w:trPr>
          <w:jc w:val="center"/>
          <w:trHeight w:val="454"/>
        </w:trPr>
        <w:tc>
          <w:tcPr>
            <w:gridSpan w:val="2"/>
            <w:tcW w:w="2076" w:type="dxa"/>
            <w:vAlign w:val="center"/>
            <w:textDirection w:val="lrTb"/>
            <w:noWrap w:val="false"/>
          </w:tcPr>
          <w:p>
            <w:pPr>
              <w:pStyle w:val="968"/>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评分项目</w:t>
            </w:r>
            <w:r/>
          </w:p>
        </w:tc>
        <w:tc>
          <w:tcPr>
            <w:tcW w:w="5756" w:type="dxa"/>
            <w:vAlign w:val="center"/>
            <w:textDirection w:val="lrTb"/>
            <w:noWrap w:val="false"/>
          </w:tcPr>
          <w:p>
            <w:pPr>
              <w:pStyle w:val="968"/>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评分细则</w:t>
            </w:r>
            <w:r/>
          </w:p>
        </w:tc>
        <w:tc>
          <w:tcPr>
            <w:tcW w:w="690" w:type="dxa"/>
            <w:vAlign w:val="center"/>
            <w:textDirection w:val="lrTb"/>
            <w:noWrap w:val="false"/>
          </w:tcPr>
          <w:p>
            <w:pPr>
              <w:pStyle w:val="968"/>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分数</w:t>
            </w:r>
            <w:r/>
          </w:p>
        </w:tc>
      </w:tr>
      <w:tr>
        <w:trPr>
          <w:jc w:val="center"/>
          <w:trHeight w:val="1558"/>
        </w:trPr>
        <w:tc>
          <w:tcPr>
            <w:gridSpan w:val="2"/>
            <w:tcW w:w="2076" w:type="dxa"/>
            <w:vAlign w:val="center"/>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投标价格</w:t>
            </w:r>
            <w:r/>
          </w:p>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30</w:t>
            </w:r>
            <w:r>
              <w:rPr>
                <w:rFonts w:ascii="宋体" w:hAnsi="宋体"/>
                <w:color w:val="000000" w:themeColor="text1"/>
                <w:szCs w:val="21"/>
                <w:highlight w:val="none"/>
                <w14:textFill>
                  <w14:solidFill>
                    <w14:schemeClr w14:val="tx1"/>
                  </w14:solidFill>
                </w14:textFill>
              </w:rPr>
              <w:t xml:space="preserve">分）</w:t>
            </w:r>
            <w:r/>
          </w:p>
        </w:tc>
        <w:tc>
          <w:tcPr>
            <w:tcW w:w="5756" w:type="dxa"/>
            <w:vAlign w:val="center"/>
            <w:textDirection w:val="lrTb"/>
            <w:noWrap w:val="false"/>
          </w:tcPr>
          <w:p>
            <w:pPr>
              <w:pStyle w:val="968"/>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pacing w:val="-4"/>
                <w:szCs w:val="21"/>
                <w:highlight w:val="none"/>
                <w14:textFill>
                  <w14:solidFill>
                    <w14:schemeClr w14:val="tx1"/>
                  </w14:solidFill>
                </w14:textFill>
              </w:rPr>
              <w:t xml:space="preserve">以满足招标文件要求且投标价格低的投标报价为评标基准价，其价格分为满分。其他投标人的价格分按照下列公式计算（小数点保留二位）：投标报价得分=（评标基准价/投标报价）*30</w:t>
            </w:r>
            <w:r/>
          </w:p>
        </w:tc>
        <w:tc>
          <w:tcPr>
            <w:tcW w:w="690" w:type="dxa"/>
            <w:vAlign w:val="center"/>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30</w:t>
            </w:r>
            <w:r/>
          </w:p>
        </w:tc>
      </w:tr>
      <w:tr>
        <w:trPr>
          <w:jc w:val="center"/>
          <w:trHeight w:val="709"/>
        </w:trPr>
        <w:tc>
          <w:tcPr>
            <w:tcW w:w="1010" w:type="dxa"/>
            <w:vAlign w:val="center"/>
            <w:vMerge w:val="restart"/>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企业综合性能</w:t>
            </w:r>
            <w:r/>
          </w:p>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32</w:t>
            </w:r>
            <w:r>
              <w:rPr>
                <w:rFonts w:ascii="宋体" w:hAnsi="宋体"/>
                <w:color w:val="000000" w:themeColor="text1"/>
                <w:szCs w:val="21"/>
                <w:highlight w:val="none"/>
                <w14:textFill>
                  <w14:solidFill>
                    <w14:schemeClr w14:val="tx1"/>
                  </w14:solidFill>
                </w14:textFill>
              </w:rPr>
              <w:t xml:space="preserve">分)</w:t>
            </w:r>
            <w:r/>
          </w:p>
        </w:tc>
        <w:tc>
          <w:tcPr>
            <w:tcW w:w="1066" w:type="dxa"/>
            <w:vAlign w:val="center"/>
            <w:textDirection w:val="lrTb"/>
            <w:noWrap w:val="false"/>
          </w:tcPr>
          <w:p>
            <w:pPr>
              <w:pStyle w:val="969"/>
              <w:ind w:left="-106" w:hanging="1"/>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业绩</w:t>
            </w:r>
            <w:r/>
          </w:p>
          <w:p>
            <w:pPr>
              <w:pStyle w:val="969"/>
              <w:ind w:left="-106" w:hanging="1"/>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（10分）</w:t>
            </w:r>
            <w:r/>
          </w:p>
        </w:tc>
        <w:tc>
          <w:tcPr>
            <w:tcW w:w="5756" w:type="dxa"/>
            <w:vAlign w:val="center"/>
            <w:textDirection w:val="lrTb"/>
            <w:noWrap w:val="false"/>
          </w:tcPr>
          <w:p>
            <w:pPr>
              <w:pStyle w:val="969"/>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2021年11月以来（以合同签订时间为准），投标人承担过类似农药供货项目的，每提供一份合同得2分，最高得10分。（提供合同原件扫描上传）</w:t>
            </w:r>
            <w:r/>
          </w:p>
        </w:tc>
        <w:tc>
          <w:tcPr>
            <w:tcW w:w="690" w:type="dxa"/>
            <w:vAlign w:val="center"/>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r>
      <w:tr>
        <w:trPr>
          <w:jc w:val="center"/>
          <w:trHeight w:val="709"/>
        </w:trPr>
        <w:tc>
          <w:tcPr>
            <w:tcW w:w="1010" w:type="dxa"/>
            <w:vAlign w:val="center"/>
            <w:vMerge w:val="continue"/>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66" w:type="dxa"/>
            <w:vAlign w:val="center"/>
            <w:textDirection w:val="lrTb"/>
            <w:noWrap w:val="false"/>
          </w:tcPr>
          <w:p>
            <w:pPr>
              <w:pStyle w:val="969"/>
              <w:ind w:left="-106" w:hanging="1"/>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体系认证</w:t>
            </w:r>
            <w:r/>
          </w:p>
          <w:p>
            <w:pPr>
              <w:pStyle w:val="969"/>
              <w:ind w:left="-106" w:hanging="1"/>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（3分）</w:t>
            </w:r>
            <w:r/>
          </w:p>
        </w:tc>
        <w:tc>
          <w:tcPr>
            <w:tcW w:w="5756" w:type="dxa"/>
            <w:vAlign w:val="center"/>
            <w:textDirection w:val="lrTb"/>
            <w:noWrap w:val="false"/>
          </w:tcPr>
          <w:p>
            <w:pPr>
              <w:pStyle w:val="969"/>
              <w:jc w:val="left"/>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投标人或所投产品制造商具有有效期内的质量管理体系认证证书得1分；具有有效期内的环境管理体系认证证书的得1分；具有有效期内的职业健康管理体系认证证书得1分；满分3分。</w:t>
            </w:r>
            <w:r/>
          </w:p>
        </w:tc>
        <w:tc>
          <w:tcPr>
            <w:tcW w:w="690" w:type="dxa"/>
            <w:vAlign w:val="center"/>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r>
      <w:tr>
        <w:trPr>
          <w:jc w:val="center"/>
          <w:trHeight w:val="1261"/>
        </w:trPr>
        <w:tc>
          <w:tcPr>
            <w:tcW w:w="1010" w:type="dxa"/>
            <w:vAlign w:val="center"/>
            <w:vMerge w:val="continue"/>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66" w:type="dxa"/>
            <w:vAlign w:val="center"/>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产品相关证书</w:t>
            </w:r>
            <w:r/>
          </w:p>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8</w:t>
            </w:r>
            <w:r>
              <w:rPr>
                <w:rFonts w:ascii="宋体" w:hAnsi="宋体"/>
                <w:color w:val="000000" w:themeColor="text1"/>
                <w:szCs w:val="21"/>
                <w:highlight w:val="none"/>
                <w14:textFill>
                  <w14:solidFill>
                    <w14:schemeClr w14:val="tx1"/>
                  </w14:solidFill>
                </w14:textFill>
              </w:rPr>
              <w:t xml:space="preserve">分）</w:t>
            </w:r>
            <w:r/>
          </w:p>
        </w:tc>
        <w:tc>
          <w:tcPr>
            <w:tcW w:w="5756" w:type="dxa"/>
            <w:vAlign w:val="center"/>
            <w:textDirection w:val="lrTb"/>
            <w:noWrap w:val="false"/>
          </w:tcPr>
          <w:p>
            <w:pPr>
              <w:pStyle w:val="969"/>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所投产品制造商</w:t>
            </w:r>
            <w:r>
              <w:rPr>
                <w:rFonts w:hint="eastAsia" w:ascii="宋体" w:hAnsi="宋体"/>
                <w:bCs/>
                <w:color w:val="000000" w:themeColor="text1"/>
                <w:szCs w:val="21"/>
                <w:highlight w:val="none"/>
                <w14:textFill>
                  <w14:solidFill>
                    <w14:schemeClr w14:val="tx1"/>
                  </w14:solidFill>
                </w14:textFill>
              </w:rPr>
              <w:t xml:space="preserve">具有成果鉴定书、试验示范报告、环保产品证明的，每有1项得2分，最高得8分。（提供证明材料原件扫描上传）</w:t>
            </w:r>
            <w:r/>
          </w:p>
        </w:tc>
        <w:tc>
          <w:tcPr>
            <w:tcW w:w="690" w:type="dxa"/>
            <w:vAlign w:val="center"/>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r>
      <w:tr>
        <w:trPr>
          <w:jc w:val="center"/>
          <w:trHeight w:val="1261"/>
        </w:trPr>
        <w:tc>
          <w:tcPr>
            <w:tcW w:w="1010" w:type="dxa"/>
            <w:vAlign w:val="center"/>
            <w:vMerge w:val="continue"/>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shd w:val="clear" w:color="auto"/>
            <w:tcW w:w="1066" w:type="dxa"/>
            <w:vAlign w:val="center"/>
            <w:textDirection w:val="lrTb"/>
            <w:noWrap w:val="false"/>
          </w:tcPr>
          <w:p>
            <w:pPr>
              <w:pStyle w:val="969"/>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产品自检能力及制度（6分）</w:t>
            </w:r>
            <w:r/>
          </w:p>
        </w:tc>
        <w:tc>
          <w:tcPr>
            <w:shd w:val="clear" w:color="auto"/>
            <w:tcW w:w="5756" w:type="dxa"/>
            <w:vAlign w:val="center"/>
            <w:textDirection w:val="lrTb"/>
            <w:noWrap w:val="false"/>
          </w:tcPr>
          <w:p>
            <w:pPr>
              <w:pStyle w:val="968"/>
              <w:rPr>
                <w:rFonts w:hint="eastAsia" w:ascii="Times New Roman" w:hAnsi="Times New Roman" w:eastAsia="宋体" w:cs="Times New Roman"/>
                <w:bCs/>
                <w:color w:val="000000" w:themeColor="text1"/>
                <w:sz w:val="21"/>
                <w:szCs w:val="24"/>
                <w:highlight w:val="none"/>
                <w:lang w:val="en-US" w:eastAsia="zh-CN" w:bidi="ar-SA"/>
                <w14:textFill>
                  <w14:solidFill>
                    <w14:schemeClr w14:val="tx1"/>
                  </w14:solidFill>
                </w14:textFill>
              </w:rPr>
            </w:pPr>
            <w:r>
              <w:rPr>
                <w:rFonts w:hint="eastAsia"/>
                <w:bCs/>
                <w:color w:val="000000" w:themeColor="text1"/>
                <w:highlight w:val="none"/>
                <w14:textFill>
                  <w14:solidFill>
                    <w14:schemeClr w14:val="tx1"/>
                  </w14:solidFill>
                </w14:textFill>
              </w:rPr>
              <w:t xml:space="preserve">具有正规的化验室以及完备的检测设备和人员，并能按规定标准和方法实施正常检测，能够提供本企业的检测设备清单和主要检测设备实景照片，以及本企业自检质量检测报告，得6分；委托正规检测机构检验（提供委托合同或协议扫描上传）得3分；其他不得分。</w:t>
            </w:r>
            <w:r/>
          </w:p>
        </w:tc>
        <w:tc>
          <w:tcPr>
            <w:shd w:val="clear" w:color="auto"/>
            <w:tcW w:w="690" w:type="dxa"/>
            <w:vAlign w:val="center"/>
            <w:textDirection w:val="lrTb"/>
            <w:noWrap w:val="false"/>
          </w:tcPr>
          <w:p>
            <w:pPr>
              <w:pStyle w:val="969"/>
              <w:jc w:val="cente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r>
      <w:tr>
        <w:trPr>
          <w:jc w:val="center"/>
          <w:trHeight w:val="1261"/>
        </w:trPr>
        <w:tc>
          <w:tcPr>
            <w:tcW w:w="1010" w:type="dxa"/>
            <w:vAlign w:val="center"/>
            <w:vMerge w:val="continue"/>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shd w:val="clear" w:color="auto" w:fill="auto"/>
            <w:tcW w:w="1066" w:type="dxa"/>
            <w:vAlign w:val="center"/>
            <w:textDirection w:val="lrTb"/>
            <w:noWrap w:val="false"/>
          </w:tcPr>
          <w:p>
            <w:pPr>
              <w:pStyle w:val="968"/>
              <w:ind w:left="-106" w:hanging="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产品检测报告</w:t>
            </w:r>
            <w:r/>
          </w:p>
          <w:p>
            <w:pPr>
              <w:pStyle w:val="968"/>
              <w:ind w:left="-106" w:hanging="1"/>
              <w:jc w:val="center"/>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5</w:t>
            </w:r>
            <w:r>
              <w:rPr>
                <w:rFonts w:ascii="宋体" w:hAnsi="宋体"/>
                <w:color w:val="000000" w:themeColor="text1"/>
                <w:highlight w:val="none"/>
                <w14:textFill>
                  <w14:solidFill>
                    <w14:schemeClr w14:val="tx1"/>
                  </w14:solidFill>
                </w14:textFill>
              </w:rPr>
              <w:t xml:space="preserve">分）</w:t>
            </w:r>
            <w:r/>
          </w:p>
        </w:tc>
        <w:tc>
          <w:tcPr>
            <w:shd w:val="clear" w:color="auto" w:fill="auto"/>
            <w:tcW w:w="5756" w:type="dxa"/>
            <w:vAlign w:val="center"/>
            <w:textDirection w:val="lrTb"/>
            <w:noWrap w:val="false"/>
          </w:tcPr>
          <w:p>
            <w:pPr>
              <w:pStyle w:val="968"/>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所投产品具备法定检测资质的检测机构出具的质量检测报告的得5分。（提供检测报告原件扫描上传）</w:t>
            </w:r>
            <w:r/>
          </w:p>
        </w:tc>
        <w:tc>
          <w:tcPr>
            <w:shd w:val="clear" w:color="auto" w:fill="auto"/>
            <w:tcW w:w="690" w:type="dxa"/>
            <w:vAlign w:val="center"/>
            <w:textDirection w:val="lrTb"/>
            <w:noWrap w:val="false"/>
          </w:tcPr>
          <w:p>
            <w:pPr>
              <w:pStyle w:val="969"/>
              <w:jc w:val="cente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r>
      <w:tr>
        <w:trPr>
          <w:jc w:val="center"/>
          <w:trHeight w:val="90"/>
        </w:trPr>
        <w:tc>
          <w:tcPr>
            <w:tcBorders>
              <w:right w:val="single" w:color="auto" w:sz="4" w:space="0"/>
            </w:tcBorders>
            <w:tcW w:w="1010" w:type="dxa"/>
            <w:vAlign w:val="center"/>
            <w:vMerge w:val="restart"/>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技术方案</w:t>
            </w:r>
            <w:r/>
          </w:p>
          <w:p>
            <w:pPr>
              <w:pStyle w:val="969"/>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分）</w:t>
            </w:r>
            <w:r/>
          </w:p>
        </w:tc>
        <w:tc>
          <w:tcPr>
            <w:tcBorders>
              <w:left w:val="single" w:color="auto" w:sz="4" w:space="0"/>
              <w:bottom w:val="single" w:color="auto" w:sz="4" w:space="0"/>
            </w:tcBorders>
            <w:tcW w:w="1066" w:type="dxa"/>
            <w:vAlign w:val="center"/>
            <w:textDirection w:val="lrTb"/>
            <w:noWrap w:val="false"/>
          </w:tcPr>
          <w:p>
            <w:pPr>
              <w:pStyle w:val="96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实施方案（6分）</w:t>
            </w:r>
            <w:r/>
          </w:p>
        </w:tc>
        <w:tc>
          <w:tcPr>
            <w:tcW w:w="5756"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各投标人应按照招标文件要求制定详细的项目实施方案，内容包括涉及产品供货安排、节点控制、人员配备、现场管理等。方案科学合理，可行性强的得6分；方案较合理，可行性较强的得3分；方案基本合理，可行性一般的得1分；</w:t>
            </w:r>
            <w:r>
              <w:rPr>
                <w:rFonts w:hint="eastAsia"/>
                <w:bCs/>
                <w:color w:val="000000" w:themeColor="text1"/>
                <w:highlight w:val="none"/>
                <w14:textFill>
                  <w14:solidFill>
                    <w14:schemeClr w14:val="tx1"/>
                  </w14:solidFill>
                </w14:textFill>
              </w:rPr>
              <w:t xml:space="preserve">未提供的</w:t>
            </w:r>
            <w:r>
              <w:rPr>
                <w:bCs/>
                <w:color w:val="000000" w:themeColor="text1"/>
                <w:highlight w:val="none"/>
                <w14:textFill>
                  <w14:solidFill>
                    <w14:schemeClr w14:val="tx1"/>
                  </w14:solidFill>
                </w14:textFill>
              </w:rPr>
              <w:t xml:space="preserve">不得分</w:t>
            </w:r>
            <w:r>
              <w:rPr>
                <w:rFonts w:hint="eastAsia"/>
                <w:bCs/>
                <w:color w:val="000000" w:themeColor="text1"/>
                <w:highlight w:val="none"/>
                <w14:textFill>
                  <w14:solidFill>
                    <w14:schemeClr w14:val="tx1"/>
                  </w14:solidFill>
                </w14:textFill>
              </w:rPr>
              <w:t xml:space="preserve">。</w:t>
            </w:r>
            <w:r/>
          </w:p>
        </w:tc>
        <w:tc>
          <w:tcPr>
            <w:tcW w:w="690" w:type="dxa"/>
            <w:vAlign w:val="center"/>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r>
      <w:tr>
        <w:trPr>
          <w:jc w:val="center"/>
          <w:trHeight w:val="1769"/>
        </w:trPr>
        <w:tc>
          <w:tcPr>
            <w:tcBorders>
              <w:right w:val="single" w:color="auto" w:sz="4" w:space="0"/>
            </w:tcBorders>
            <w:tcW w:w="1010" w:type="dxa"/>
            <w:vAlign w:val="center"/>
            <w:vMerge w:val="continue"/>
            <w:textDirection w:val="lrTb"/>
            <w:noWrap w:val="false"/>
          </w:tcPr>
          <w:p>
            <w:pPr>
              <w:pStyle w:val="96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tcBorders>
            <w:tcW w:w="1066" w:type="dxa"/>
            <w:vAlign w:val="center"/>
            <w:textDirection w:val="lrTb"/>
            <w:noWrap w:val="false"/>
          </w:tcPr>
          <w:p>
            <w:pPr>
              <w:pStyle w:val="968"/>
              <w:ind w:left="-106" w:hanging="1"/>
              <w:jc w:val="center"/>
              <w:rPr>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w:t>
            </w:r>
            <w:r>
              <w:rPr>
                <w:bCs/>
                <w:color w:val="000000" w:themeColor="text1"/>
                <w:highlight w:val="none"/>
                <w14:textFill>
                  <w14:solidFill>
                    <w14:schemeClr w14:val="tx1"/>
                  </w14:solidFill>
                </w14:textFill>
              </w:rPr>
              <w:t xml:space="preserve">包装标识、使用说明书</w:t>
            </w:r>
            <w:r/>
          </w:p>
          <w:p>
            <w:pPr>
              <w:pStyle w:val="968"/>
              <w:ind w:left="-106" w:hanging="1"/>
              <w:jc w:val="center"/>
              <w:rPr>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分）</w:t>
            </w:r>
            <w:r/>
          </w:p>
        </w:tc>
        <w:tc>
          <w:tcPr>
            <w:tcBorders>
              <w:bottom w:val="single" w:color="auto" w:sz="4" w:space="0"/>
            </w:tcBorders>
            <w:tcW w:w="5756" w:type="dxa"/>
            <w:vAlign w:val="center"/>
            <w:textDirection w:val="lrTb"/>
            <w:noWrap w:val="false"/>
          </w:tcPr>
          <w:p>
            <w:pPr>
              <w:pStyle w:val="968"/>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使用说明书应包括亩用量、用法、使用条件。根据</w:t>
            </w:r>
            <w:r>
              <w:rPr>
                <w:bCs/>
                <w:color w:val="000000" w:themeColor="text1"/>
                <w:highlight w:val="none"/>
                <w14:textFill>
                  <w14:solidFill>
                    <w14:schemeClr w14:val="tx1"/>
                  </w14:solidFill>
                </w14:textFill>
              </w:rPr>
              <w:t xml:space="preserve">包装标识是否符合国家标准、包装性能</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使用说明书</w:t>
            </w:r>
            <w:r>
              <w:rPr>
                <w:rFonts w:hint="eastAsia"/>
                <w:bCs/>
                <w:color w:val="000000" w:themeColor="text1"/>
                <w:highlight w:val="none"/>
                <w14:textFill>
                  <w14:solidFill>
                    <w14:schemeClr w14:val="tx1"/>
                  </w14:solidFill>
                </w14:textFill>
              </w:rPr>
              <w:t xml:space="preserve">完整及合理</w:t>
            </w:r>
            <w:r>
              <w:rPr>
                <w:bCs/>
                <w:color w:val="000000" w:themeColor="text1"/>
                <w:highlight w:val="none"/>
                <w14:textFill>
                  <w14:solidFill>
                    <w14:schemeClr w14:val="tx1"/>
                  </w14:solidFill>
                </w14:textFill>
              </w:rPr>
              <w:t xml:space="preserve">性方面进行评价。产品标签、标识完好、齐全、规范</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使用说明书</w:t>
            </w:r>
            <w:r>
              <w:rPr>
                <w:rFonts w:hint="eastAsia"/>
                <w:bCs/>
                <w:color w:val="000000" w:themeColor="text1"/>
                <w:highlight w:val="none"/>
                <w14:textFill>
                  <w14:solidFill>
                    <w14:schemeClr w14:val="tx1"/>
                  </w14:solidFill>
                </w14:textFill>
              </w:rPr>
              <w:t xml:space="preserve">完整合理</w:t>
            </w:r>
            <w:r>
              <w:rPr>
                <w:bCs/>
                <w:color w:val="000000" w:themeColor="text1"/>
                <w:highlight w:val="none"/>
                <w14:textFill>
                  <w14:solidFill>
                    <w14:schemeClr w14:val="tx1"/>
                  </w14:solidFill>
                </w14:textFill>
              </w:rPr>
              <w:t xml:space="preserve">的得</w:t>
            </w:r>
            <w:r>
              <w:rPr>
                <w:rFonts w:hint="eastAsia"/>
                <w:bCs/>
                <w:color w:val="000000" w:themeColor="text1"/>
                <w:highlight w:val="none"/>
                <w14:textFill>
                  <w14:solidFill>
                    <w14:schemeClr w14:val="tx1"/>
                  </w14:solidFill>
                </w14:textFill>
              </w:rPr>
              <w:t xml:space="preserve">6</w:t>
            </w:r>
            <w:r>
              <w:rPr>
                <w:bCs/>
                <w:color w:val="000000" w:themeColor="text1"/>
                <w:highlight w:val="none"/>
                <w14:textFill>
                  <w14:solidFill>
                    <w14:schemeClr w14:val="tx1"/>
                  </w14:solidFill>
                </w14:textFill>
              </w:rPr>
              <w:t xml:space="preserve">分；产品标签、标识</w:t>
            </w:r>
            <w:r>
              <w:rPr>
                <w:rFonts w:hint="eastAsia"/>
                <w:bCs/>
                <w:color w:val="000000" w:themeColor="text1"/>
                <w:highlight w:val="none"/>
                <w14:textFill>
                  <w14:solidFill>
                    <w14:schemeClr w14:val="tx1"/>
                  </w14:solidFill>
                </w14:textFill>
              </w:rPr>
              <w:t xml:space="preserve">较</w:t>
            </w:r>
            <w:r>
              <w:rPr>
                <w:bCs/>
                <w:color w:val="000000" w:themeColor="text1"/>
                <w:highlight w:val="none"/>
                <w14:textFill>
                  <w14:solidFill>
                    <w14:schemeClr w14:val="tx1"/>
                  </w14:solidFill>
                </w14:textFill>
              </w:rPr>
              <w:t xml:space="preserve">完好、齐全、规范</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使用说明书</w:t>
            </w:r>
            <w:r>
              <w:rPr>
                <w:rFonts w:hint="eastAsia"/>
                <w:bCs/>
                <w:color w:val="000000" w:themeColor="text1"/>
                <w:highlight w:val="none"/>
                <w14:textFill>
                  <w14:solidFill>
                    <w14:schemeClr w14:val="tx1"/>
                  </w14:solidFill>
                </w14:textFill>
              </w:rPr>
              <w:t xml:space="preserve">较完整合理</w:t>
            </w:r>
            <w:r>
              <w:rPr>
                <w:bCs/>
                <w:color w:val="000000" w:themeColor="text1"/>
                <w:highlight w:val="none"/>
                <w14:textFill>
                  <w14:solidFill>
                    <w14:schemeClr w14:val="tx1"/>
                  </w14:solidFill>
                </w14:textFill>
              </w:rPr>
              <w:t xml:space="preserve">的得</w:t>
            </w:r>
            <w:r>
              <w:rPr>
                <w:rFonts w:hint="eastAsia"/>
                <w:bCs/>
                <w:color w:val="000000" w:themeColor="text1"/>
                <w:highlight w:val="none"/>
                <w14:textFill>
                  <w14:solidFill>
                    <w14:schemeClr w14:val="tx1"/>
                  </w14:solidFill>
                </w14:textFill>
              </w:rPr>
              <w:t xml:space="preserve">3</w:t>
            </w:r>
            <w:r>
              <w:rPr>
                <w:bCs/>
                <w:color w:val="000000" w:themeColor="text1"/>
                <w:highlight w:val="none"/>
                <w14:textFill>
                  <w14:solidFill>
                    <w14:schemeClr w14:val="tx1"/>
                  </w14:solidFill>
                </w14:textFill>
              </w:rPr>
              <w:t xml:space="preserve">分；产品标签、标识</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使用说明书</w:t>
            </w:r>
            <w:r>
              <w:rPr>
                <w:rFonts w:hint="eastAsia"/>
                <w:bCs/>
                <w:color w:val="000000" w:themeColor="text1"/>
                <w:highlight w:val="none"/>
                <w14:textFill>
                  <w14:solidFill>
                    <w14:schemeClr w14:val="tx1"/>
                  </w14:solidFill>
                </w14:textFill>
              </w:rPr>
              <w:t xml:space="preserve">有所缺失</w:t>
            </w:r>
            <w:r>
              <w:rPr>
                <w:bCs/>
                <w:color w:val="000000" w:themeColor="text1"/>
                <w:highlight w:val="none"/>
                <w14:textFill>
                  <w14:solidFill>
                    <w14:schemeClr w14:val="tx1"/>
                  </w14:solidFill>
                </w14:textFill>
              </w:rPr>
              <w:t xml:space="preserve">的得1分</w:t>
            </w:r>
            <w:r>
              <w:rPr>
                <w:rFonts w:hint="eastAsia"/>
                <w:bCs/>
                <w:color w:val="000000" w:themeColor="text1"/>
                <w:highlight w:val="none"/>
                <w14:textFill>
                  <w14:solidFill>
                    <w14:schemeClr w14:val="tx1"/>
                  </w14:solidFill>
                </w14:textFill>
              </w:rPr>
              <w:t xml:space="preserve">；未提供的</w:t>
            </w:r>
            <w:r>
              <w:rPr>
                <w:bCs/>
                <w:color w:val="000000" w:themeColor="text1"/>
                <w:highlight w:val="none"/>
                <w14:textFill>
                  <w14:solidFill>
                    <w14:schemeClr w14:val="tx1"/>
                  </w14:solidFill>
                </w14:textFill>
              </w:rPr>
              <w:t xml:space="preserve">不得分</w:t>
            </w:r>
            <w:bookmarkStart w:id="82" w:name="_GoBack"/>
            <w:r/>
            <w:bookmarkEnd w:id="82"/>
            <w:r>
              <w:rPr>
                <w:rFonts w:hint="eastAsia"/>
                <w:bCs/>
                <w:color w:val="000000" w:themeColor="text1"/>
                <w:highlight w:val="none"/>
                <w14:textFill>
                  <w14:solidFill>
                    <w14:schemeClr w14:val="tx1"/>
                  </w14:solidFill>
                </w14:textFill>
              </w:rPr>
              <w:t xml:space="preserve">。（投标</w:t>
            </w:r>
            <w:r>
              <w:rPr>
                <w:bCs/>
                <w:color w:val="000000" w:themeColor="text1"/>
                <w:highlight w:val="none"/>
                <w14:textFill>
                  <w14:solidFill>
                    <w14:schemeClr w14:val="tx1"/>
                  </w14:solidFill>
                </w14:textFill>
              </w:rPr>
              <w:t xml:space="preserve">文件中提供包装标识、使用说明书</w:t>
            </w:r>
            <w:r>
              <w:rPr>
                <w:rFonts w:hint="eastAsia"/>
                <w:bCs/>
                <w:color w:val="000000" w:themeColor="text1"/>
                <w:highlight w:val="none"/>
                <w14:textFill>
                  <w14:solidFill>
                    <w14:schemeClr w14:val="tx1"/>
                  </w14:solidFill>
                </w14:textFill>
              </w:rPr>
              <w:t xml:space="preserve">扫描上传</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w:t>
            </w:r>
            <w:r/>
          </w:p>
        </w:tc>
        <w:tc>
          <w:tcPr>
            <w:tcBorders>
              <w:bottom w:val="single" w:color="auto" w:sz="4" w:space="0"/>
            </w:tcBorders>
            <w:tcW w:w="690" w:type="dxa"/>
            <w:vAlign w:val="center"/>
            <w:textDirection w:val="lrTb"/>
            <w:noWrap w:val="false"/>
          </w:tcPr>
          <w:p>
            <w:pPr>
              <w:pStyle w:val="968"/>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r>
      <w:tr>
        <w:trPr>
          <w:jc w:val="center"/>
          <w:trHeight w:val="1769"/>
        </w:trPr>
        <w:tc>
          <w:tcPr>
            <w:tcBorders>
              <w:right w:val="single" w:color="auto" w:sz="4" w:space="0"/>
            </w:tcBorders>
            <w:tcW w:w="1010" w:type="dxa"/>
            <w:vAlign w:val="center"/>
            <w:vMerge w:val="continue"/>
            <w:textDirection w:val="lrTb"/>
            <w:noWrap w:val="false"/>
          </w:tcPr>
          <w:p>
            <w:pPr>
              <w:pStyle w:val="96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tcBorders>
            <w:tcW w:w="1066" w:type="dxa"/>
            <w:vAlign w:val="center"/>
            <w:textDirection w:val="lrTb"/>
            <w:noWrap w:val="false"/>
          </w:tcPr>
          <w:p>
            <w:pPr>
              <w:pStyle w:val="968"/>
              <w:ind w:left="-106" w:hanging="1"/>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生产工序及质量控制</w:t>
            </w:r>
            <w:r/>
          </w:p>
          <w:p>
            <w:pPr>
              <w:pStyle w:val="969"/>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（6分）</w:t>
            </w:r>
            <w:r/>
          </w:p>
        </w:tc>
        <w:tc>
          <w:tcPr>
            <w:tcBorders>
              <w:bottom w:val="single" w:color="auto" w:sz="4" w:space="0"/>
            </w:tcBorders>
            <w:tcW w:w="5756" w:type="dxa"/>
            <w:vAlign w:val="center"/>
            <w:textDirection w:val="lrTb"/>
            <w:noWrap w:val="false"/>
          </w:tcPr>
          <w:p>
            <w:pPr>
              <w:pStyle w:val="968"/>
              <w:rPr>
                <w:rFonts w:ascii="宋体" w:hAnsi="宋体"/>
                <w:color w:val="000000" w:themeColor="text1"/>
                <w:szCs w:val="2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生产设备齐全，与生产能力匹配，工艺先进等。各类生产设备齐全与生产能力匹配、机械化程度高，工艺先进、合理的，得6分；生产设备基本齐全且与生产能力基本匹配、工艺一般的，得3分；生产设备较为简单、工艺一般的，得1分；未提供的</w:t>
            </w:r>
            <w:r>
              <w:rPr>
                <w:bCs/>
                <w:color w:val="000000" w:themeColor="text1"/>
                <w:highlight w:val="none"/>
                <w14:textFill>
                  <w14:solidFill>
                    <w14:schemeClr w14:val="tx1"/>
                  </w14:solidFill>
                </w14:textFill>
              </w:rPr>
              <w:t xml:space="preserve">不得分</w:t>
            </w:r>
            <w:r>
              <w:rPr>
                <w:rFonts w:hint="eastAsia"/>
                <w:bCs/>
                <w:color w:val="000000" w:themeColor="text1"/>
                <w:highlight w:val="none"/>
                <w14:textFill>
                  <w14:solidFill>
                    <w14:schemeClr w14:val="tx1"/>
                  </w14:solidFill>
                </w14:textFill>
              </w:rPr>
              <w:t xml:space="preserve">。（注：投标文件中须提供主要设备清单、工艺流程图、照片等相关证明材料扫描上传。）</w:t>
            </w:r>
            <w:r/>
          </w:p>
        </w:tc>
        <w:tc>
          <w:tcPr>
            <w:tcBorders>
              <w:bottom w:val="single" w:color="auto" w:sz="4" w:space="0"/>
            </w:tcBorders>
            <w:tcW w:w="690" w:type="dxa"/>
            <w:vAlign w:val="center"/>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r>
      <w:tr>
        <w:trPr>
          <w:jc w:val="center"/>
          <w:trHeight w:val="1332"/>
        </w:trPr>
        <w:tc>
          <w:tcPr>
            <w:tcBorders>
              <w:right w:val="single" w:color="auto" w:sz="4" w:space="0"/>
            </w:tcBorders>
            <w:tcW w:w="1010" w:type="dxa"/>
            <w:vAlign w:val="center"/>
            <w:vMerge w:val="continue"/>
            <w:textDirection w:val="lrTb"/>
            <w:noWrap w:val="false"/>
          </w:tcPr>
          <w:p>
            <w:pPr>
              <w:pStyle w:val="96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tcBorders>
            <w:tcW w:w="1066" w:type="dxa"/>
            <w:vAlign w:val="center"/>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供货进度计划</w:t>
            </w:r>
            <w:r/>
          </w:p>
          <w:p>
            <w:pPr>
              <w:pStyle w:val="96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（6分）</w:t>
            </w:r>
            <w:r/>
          </w:p>
        </w:tc>
        <w:tc>
          <w:tcPr>
            <w:tcBorders>
              <w:bottom w:val="single" w:color="auto" w:sz="4" w:space="0"/>
            </w:tcBorders>
            <w:tcW w:w="5756" w:type="dxa"/>
            <w:vAlign w:val="center"/>
            <w:textDirection w:val="lrTb"/>
            <w:noWrap w:val="false"/>
          </w:tcPr>
          <w:p>
            <w:pPr>
              <w:pStyle w:val="968"/>
              <w:rPr>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供货进度计划方案科学、合理，描述详细且具有针对性的得 6分；供货进度计划方案较合理、描述较为详细，不存在实施难度的得 3分；供货进度计划方案基本合理、描述一般得 1 分；</w:t>
            </w:r>
            <w:r>
              <w:rPr>
                <w:rFonts w:hint="eastAsia"/>
                <w:bCs/>
                <w:color w:val="000000" w:themeColor="text1"/>
                <w:highlight w:val="none"/>
                <w14:textFill>
                  <w14:solidFill>
                    <w14:schemeClr w14:val="tx1"/>
                  </w14:solidFill>
                </w14:textFill>
              </w:rPr>
              <w:t xml:space="preserve">未提供的</w:t>
            </w:r>
            <w:r>
              <w:rPr>
                <w:bCs/>
                <w:color w:val="000000" w:themeColor="text1"/>
                <w:highlight w:val="none"/>
                <w14:textFill>
                  <w14:solidFill>
                    <w14:schemeClr w14:val="tx1"/>
                  </w14:solidFill>
                </w14:textFill>
              </w:rPr>
              <w:t xml:space="preserve">不得分</w:t>
            </w:r>
            <w:r>
              <w:rPr>
                <w:rFonts w:hint="eastAsia"/>
                <w:bCs/>
                <w:color w:val="000000" w:themeColor="text1"/>
                <w:highlight w:val="none"/>
                <w14:textFill>
                  <w14:solidFill>
                    <w14:schemeClr w14:val="tx1"/>
                  </w14:solidFill>
                </w14:textFill>
              </w:rPr>
              <w:t xml:space="preserve">。</w:t>
            </w:r>
            <w:r/>
          </w:p>
        </w:tc>
        <w:tc>
          <w:tcPr>
            <w:tcBorders>
              <w:bottom w:val="single" w:color="auto" w:sz="4" w:space="0"/>
            </w:tcBorders>
            <w:tcW w:w="690" w:type="dxa"/>
            <w:vAlign w:val="center"/>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r>
      <w:tr>
        <w:trPr>
          <w:jc w:val="center"/>
          <w:trHeight w:val="460"/>
        </w:trPr>
        <w:tc>
          <w:tcPr>
            <w:tcBorders>
              <w:top w:val="single" w:color="auto" w:sz="4" w:space="0"/>
              <w:right w:val="single" w:color="auto" w:sz="4" w:space="0"/>
            </w:tcBorders>
            <w:tcW w:w="1010" w:type="dxa"/>
            <w:vAlign w:val="center"/>
            <w:vMerge w:val="restart"/>
            <w:textDirection w:val="lrTb"/>
            <w:noWrap w:val="false"/>
          </w:tcPr>
          <w:p>
            <w:pPr>
              <w:pStyle w:val="969"/>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售后服务</w:t>
            </w:r>
            <w:r/>
          </w:p>
          <w:p>
            <w:pPr>
              <w:pStyle w:val="96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（14</w:t>
            </w:r>
            <w:r>
              <w:rPr>
                <w:rFonts w:hint="eastAsia"/>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tcBorders>
            <w:tcW w:w="1066" w:type="dxa"/>
            <w:vAlign w:val="center"/>
            <w:textDirection w:val="lrTb"/>
            <w:noWrap w:val="false"/>
          </w:tcPr>
          <w:p>
            <w:pPr>
              <w:pStyle w:val="969"/>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售后服务方案</w:t>
            </w:r>
            <w:r/>
          </w:p>
          <w:p>
            <w:pPr>
              <w:pStyle w:val="969"/>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（7分）</w:t>
            </w:r>
            <w:r/>
          </w:p>
        </w:tc>
        <w:tc>
          <w:tcPr>
            <w:tcBorders>
              <w:top w:val="single" w:color="auto" w:sz="4" w:space="0"/>
              <w:bottom w:val="single" w:color="auto" w:sz="4" w:space="0"/>
            </w:tcBorders>
            <w:tcW w:w="5756" w:type="dxa"/>
            <w:vAlign w:val="center"/>
            <w:textDirection w:val="lrTb"/>
            <w:noWrap w:val="false"/>
          </w:tcPr>
          <w:p>
            <w:pPr>
              <w:pStyle w:val="969"/>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有完善的售后服务保障体系，能提供快捷上门服务和应急处理能力得7分；有详细的售后方案，方案基本可行的得4分，售后方案一般的得2分，不提供不得分。</w:t>
            </w:r>
            <w:r/>
          </w:p>
        </w:tc>
        <w:tc>
          <w:tcPr>
            <w:tcBorders>
              <w:top w:val="single" w:color="auto" w:sz="4" w:space="0"/>
              <w:bottom w:val="single" w:color="auto" w:sz="4" w:space="0"/>
            </w:tcBorders>
            <w:tcW w:w="690" w:type="dxa"/>
            <w:vAlign w:val="center"/>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r>
      <w:tr>
        <w:trPr>
          <w:jc w:val="center"/>
          <w:trHeight w:val="460"/>
        </w:trPr>
        <w:tc>
          <w:tcPr>
            <w:tcBorders>
              <w:right w:val="single" w:color="auto" w:sz="4" w:space="0"/>
            </w:tcBorders>
            <w:tcW w:w="1010" w:type="dxa"/>
            <w:vAlign w:val="center"/>
            <w:vMerge w:val="continue"/>
            <w:textDirection w:val="lrTb"/>
            <w:noWrap w:val="false"/>
          </w:tcPr>
          <w:p>
            <w:pPr>
              <w:pStyle w:val="96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tcBorders>
            <w:tcW w:w="1066" w:type="dxa"/>
            <w:vAlign w:val="center"/>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技术指导、培训方案</w:t>
            </w:r>
            <w:r/>
          </w:p>
          <w:p>
            <w:pPr>
              <w:pStyle w:val="96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（7分）</w:t>
            </w:r>
            <w:r/>
          </w:p>
        </w:tc>
        <w:tc>
          <w:tcPr>
            <w:tcBorders>
              <w:top w:val="single" w:color="auto" w:sz="4" w:space="0"/>
              <w:bottom w:val="single" w:color="auto" w:sz="4" w:space="0"/>
            </w:tcBorders>
            <w:tcW w:w="5756" w:type="dxa"/>
            <w:vAlign w:val="center"/>
            <w:textDirection w:val="lrTb"/>
            <w:noWrap w:val="false"/>
          </w:tcPr>
          <w:p>
            <w:pPr>
              <w:pStyle w:val="96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具有完善、科学的技术指导、培训方案，并能按照方案有效组织实施。方案可行的得7分；可行性较强的得4分；可行性一般的得2分，不提供不得分。</w:t>
            </w:r>
            <w:r/>
          </w:p>
        </w:tc>
        <w:tc>
          <w:tcPr>
            <w:tcBorders>
              <w:top w:val="single" w:color="auto" w:sz="4" w:space="0"/>
              <w:bottom w:val="single" w:color="auto" w:sz="4" w:space="0"/>
            </w:tcBorders>
            <w:tcW w:w="690" w:type="dxa"/>
            <w:vAlign w:val="center"/>
            <w:textDirection w:val="lrTb"/>
            <w:noWrap w:val="false"/>
          </w:tcPr>
          <w:p>
            <w:pPr>
              <w:pStyle w:val="969"/>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pStyle w:val="764"/>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pStyle w:val="764"/>
        <w:jc w:val="center"/>
        <w:spacing w:line="360" w:lineRule="auto"/>
        <w:rPr>
          <w:rFonts w:ascii="宋体" w:hAnsi="宋体"/>
          <w:color w:val="000000" w:themeColor="text1"/>
          <w:highlight w:val="none"/>
          <w14:textFill>
            <w14:solidFill>
              <w14:schemeClr w14:val="tx1"/>
            </w14:solidFill>
          </w14:textFill>
        </w:rPr>
      </w:pPr>
      <w:r/>
      <w:bookmarkStart w:id="63" w:name="_Toc18747"/>
      <w:r>
        <w:rPr>
          <w:rFonts w:hint="eastAsia" w:ascii="宋体" w:hAnsi="宋体"/>
          <w:color w:val="000000" w:themeColor="text1"/>
          <w:highlight w:val="none"/>
          <w14:textFill>
            <w14:solidFill>
              <w14:schemeClr w14:val="tx1"/>
            </w14:solidFill>
          </w14:textFill>
        </w:rPr>
        <w:t xml:space="preserve">第六章 </w:t>
      </w:r>
      <w:bookmarkEnd w:id="63"/>
      <w:r>
        <w:rPr>
          <w:rFonts w:hint="eastAsia" w:ascii="宋体" w:hAnsi="宋体"/>
          <w:color w:val="000000" w:themeColor="text1"/>
          <w:highlight w:val="none"/>
          <w14:textFill>
            <w14:solidFill>
              <w14:schemeClr w14:val="tx1"/>
            </w14:solidFill>
          </w14:textFill>
        </w:rPr>
        <w:t xml:space="preserve">投标文件格式 </w:t>
      </w:r>
      <w:r/>
    </w:p>
    <w:p>
      <w:pPr>
        <w:spacing w:line="360" w:lineRule="auto"/>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jc w:val="center"/>
        <w:spacing w:line="360" w:lineRule="auto"/>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招 标 编 号：</w:t>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p>
    <w:p>
      <w:pPr>
        <w:ind w:firstLine="1084"/>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投  标  人：（电子签章）</w:t>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left"/>
        <w:spacing w:line="360" w:lineRule="atLeast"/>
        <w:rPr>
          <w:rFonts w:ascii="宋体" w:hAnsiTheme="minorHAnsi" w:eastAsiaTheme="minorEastAsia" w:cstheme="minorBidi"/>
          <w:color w:val="000000" w:themeColor="text1"/>
          <w:sz w:val="24"/>
          <w:szCs w:val="20"/>
          <w:highlight w:val="none"/>
          <w14:textFill>
            <w14:solidFill>
              <w14:schemeClr w14:val="tx1"/>
            </w14:solidFill>
          </w14:textFill>
        </w:rPr>
      </w:pPr>
      <w:r>
        <w:rPr>
          <w:rFonts w:ascii="宋体" w:hAnsiTheme="minorHAnsi" w:eastAsiaTheme="minorEastAsia" w:cstheme="minorBidi"/>
          <w:color w:val="000000" w:themeColor="text1"/>
          <w:sz w:val="24"/>
          <w:szCs w:val="20"/>
          <w:highlight w:val="none"/>
          <w14:textFill>
            <w14:solidFill>
              <w14:schemeClr w14:val="tx1"/>
            </w14:solidFill>
          </w14:textFill>
        </w:rPr>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投标主要文件目录</w:t>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i/>
          <w:color w:val="000000" w:themeColor="text1"/>
          <w:sz w:val="24"/>
          <w:highlight w:val="none"/>
          <w:u w:val="single"/>
          <w14:textFill>
            <w14:solidFill>
              <w14:schemeClr w14:val="tx1"/>
            </w14:solidFill>
          </w14:textFill>
        </w:rPr>
        <w:t xml:space="preserve">开标一览表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五、投标配置与分项报价表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七、商务条款响应及偏离表</w:t>
      </w:r>
      <w:r/>
    </w:p>
    <w:p>
      <w:pPr>
        <w:ind w:firstLine="480"/>
        <w:spacing w:line="360" w:lineRule="auto"/>
        <w:rPr>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八、其他 （投标人认为有必要提供的声明和文件，如有自拟并自行添加）</w:t>
      </w:r>
      <w:r/>
    </w:p>
    <w:p>
      <w:pPr>
        <w:contextualSpacing/>
        <w:jc w:val="center"/>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360" w:lineRule="auto"/>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keepLines/>
        <w:keepNext/>
        <w:spacing w:before="260" w:after="260" w:line="360" w:lineRule="auto"/>
        <w:rPr>
          <w:rFonts w:cs="Arial" w:asciiTheme="minorEastAsia" w:hAnsiTheme="minorEastAsia" w:eastAsiaTheme="minorEastAsia"/>
          <w:bCs/>
          <w:color w:val="000000" w:themeColor="text1"/>
          <w:sz w:val="32"/>
          <w:szCs w:val="32"/>
          <w:highlight w:val="none"/>
          <w14:textFill>
            <w14:solidFill>
              <w14:schemeClr w14:val="tx1"/>
            </w14:solidFill>
          </w14:textFill>
        </w:rPr>
        <w:outlineLvl w:val="1"/>
      </w:pPr>
      <w:r/>
      <w:bookmarkStart w:id="64" w:name="_Toc32302"/>
      <w:r>
        <w:rPr>
          <w:rFonts w:hint="eastAsia" w:cs="Arial" w:asciiTheme="minorEastAsia" w:hAnsiTheme="minorEastAsia" w:eastAsiaTheme="minorEastAsia"/>
          <w:b/>
          <w:bCs/>
          <w:color w:val="000000" w:themeColor="text1"/>
          <w:sz w:val="32"/>
          <w:szCs w:val="44"/>
          <w:highlight w:val="none"/>
          <w14:textFill>
            <w14:solidFill>
              <w14:schemeClr w14:val="tx1"/>
            </w14:solidFill>
          </w14:textFill>
        </w:rPr>
        <w:t xml:space="preserve">一、资格审查响应对照表</w:t>
      </w:r>
      <w:bookmarkEnd w:id="64"/>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jc w:val="center"/>
          <w:trHeight w:val="597"/>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52"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160"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jc w:val="center"/>
          <w:trHeight w:val="345"/>
        </w:trPr>
        <w:tc>
          <w:tcPr>
            <w:gridSpan w:val="3"/>
            <w:tcW w:w="825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jc w:val="center"/>
          <w:trHeight w:val="683"/>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5452"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宋体" w:hAnsi="宋体"/>
                <w:color w:val="000000" w:themeColor="text1"/>
                <w:szCs w:val="21"/>
                <w:highlight w:val="none"/>
                <w14:textFill>
                  <w14:solidFill>
                    <w14:schemeClr w14:val="tx1"/>
                  </w14:solidFill>
                </w14:textFill>
              </w:rPr>
              <w:t xml:space="preserve">（身份证为正、反面）</w:t>
            </w:r>
            <w:r/>
          </w:p>
        </w:tc>
        <w:tc>
          <w:tcPr>
            <w:tcW w:w="2160"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1358"/>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52"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cs="宋体"/>
                <w:b/>
                <w:bCs/>
                <w:color w:val="000000" w:themeColor="text1"/>
                <w:szCs w:val="21"/>
                <w:highlight w:val="none"/>
                <w14:textFill>
                  <w14:solidFill>
                    <w14:schemeClr w14:val="tx1"/>
                  </w14:solidFill>
                </w14:textFill>
              </w:rPr>
              <w:t xml:space="preserve">(税务、银行或社会保险基金管理部门出具的近一个月缴纳职工社会保障资金的缴款凭证或缴款证明)（可提供“基本资格条件承诺函”）</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83"/>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52"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供应商近三个月内任意一份依法纳税的缴款凭证（可提供“基本资格条件承诺函”）</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83"/>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52"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上一年度的财务状况情况</w:t>
            </w:r>
            <w:r>
              <w:rPr>
                <w:rFonts w:hint="eastAsia" w:ascii="宋体" w:hAnsi="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7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52"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83"/>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5452"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参加本次政府采购活动前3年内在经营活动中没有重大违法记录的书面声明（可提供“基本资格条件承诺函”）</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1358"/>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5452"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378"/>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5452"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供应商信用承诺函</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345"/>
        </w:trPr>
        <w:tc>
          <w:tcPr>
            <w:gridSpan w:val="3"/>
            <w:tcW w:w="82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jc w:val="center"/>
          <w:trHeight w:val="34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5452"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详见公告</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345"/>
        </w:trPr>
        <w:tc>
          <w:tcPr>
            <w:gridSpan w:val="3"/>
            <w:tcW w:w="82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特定资格条件</w:t>
            </w:r>
            <w:r/>
          </w:p>
        </w:tc>
      </w:tr>
      <w:tr>
        <w:trPr>
          <w:jc w:val="center"/>
          <w:trHeight w:val="34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5452"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详见公告</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345"/>
        </w:trPr>
        <w:tc>
          <w:tcPr>
            <w:gridSpan w:val="3"/>
            <w:tcW w:w="82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jc w:val="center"/>
          <w:trHeight w:val="34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5452" w:type="dxa"/>
            <w:vAlign w:val="center"/>
            <w:textDirection w:val="lrTb"/>
            <w:noWrap w:val="false"/>
          </w:tcPr>
          <w:p>
            <w:pPr>
              <w:jc w:val="left"/>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投标函</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352"/>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p>
        </w:tc>
        <w:tc>
          <w:tcPr>
            <w:tcW w:w="5452" w:type="dxa"/>
            <w:vAlign w:val="center"/>
            <w:textDirection w:val="lrTb"/>
            <w:noWrap w:val="false"/>
          </w:tcPr>
          <w:p>
            <w:pPr>
              <w:jc w:val="left"/>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1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476"/>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ind w:firstLine="1476"/>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ind w:firstLine="1476"/>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具备履行合同所必需的设备和专业技术能力的书面声明</w:t>
      </w:r>
      <w:r/>
    </w:p>
    <w:p>
      <w:pPr>
        <w:ind w:firstLine="492"/>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主要设备有：。</w:t>
      </w:r>
      <w:r/>
    </w:p>
    <w:p>
      <w:pPr>
        <w:ind w:firstLine="492"/>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主要专业技术能力有：。</w:t>
      </w:r>
      <w:r/>
    </w:p>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134" w:right="1134" w:bottom="1134" w:left="1134" w:header="1134" w:footer="1134" w:gutter="0"/>
          <w:pgNumType w:start="1"/>
          <w:cols w:num="1" w:sep="0" w:space="0" w:equalWidth="1"/>
          <w:docGrid w:linePitch="360"/>
        </w:sectPr>
      </w:pPr>
      <w:r>
        <w:rPr>
          <w:rFonts w:ascii="宋体" w:hAnsi="宋体"/>
          <w:b/>
          <w:color w:val="000000" w:themeColor="text1"/>
          <w:szCs w:val="2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致                   （采购代理机构名称）：</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我公司自愿参加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w:t>
      </w:r>
      <w:r>
        <w:rPr>
          <w:rFonts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14:textFill>
            <w14:solidFill>
              <w14:schemeClr w14:val="tx1"/>
            </w14:solidFill>
          </w14:textFill>
        </w:rPr>
        <w:t xml:space="preserve">政府采购活动，并</w:t>
      </w:r>
      <w:r>
        <w:rPr>
          <w:rFonts w:ascii="宋体" w:hAnsi="宋体"/>
          <w:color w:val="000000" w:themeColor="text1"/>
          <w:szCs w:val="21"/>
          <w:highlight w:val="none"/>
          <w14:textFill>
            <w14:solidFill>
              <w14:schemeClr w14:val="tx1"/>
            </w14:solidFill>
          </w14:textFill>
        </w:rPr>
        <w:t xml:space="preserve">郑重承诺：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ascii="宋体" w:hAnsi="宋体"/>
          <w:color w:val="000000" w:themeColor="text1"/>
          <w:szCs w:val="21"/>
          <w:highlight w:val="none"/>
          <w:lang w:val="zh-CN"/>
          <w14:textFill>
            <w14:solidFill>
              <w14:schemeClr w14:val="tx1"/>
            </w14:solidFill>
          </w14:textFill>
        </w:rPr>
        <w:t xml:space="preserve">有依法缴纳税收和社会保障金的良好记录</w:t>
      </w:r>
      <w:r>
        <w:rPr>
          <w:rFonts w:ascii="宋体" w:hAnsi="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特此承诺。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年   月   日</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contextualSpacing/>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b/>
          <w:color w:val="000000" w:themeColor="text1"/>
          <w:szCs w:val="2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500" w:lineRule="exact"/>
        <w:rPr>
          <w:rFonts w:ascii="方正仿宋_GBK"/>
          <w:color w:val="000000" w:themeColor="text1"/>
          <w:szCs w:val="32"/>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供应商信用承诺书</w:t>
      </w:r>
      <w:r/>
    </w:p>
    <w:p>
      <w:pPr>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八、在“信用中国”和“中国政府采购网”网站中无重大违法违规、较重或严重失信记录；</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承诺单位（签章）：           </w:t>
      </w:r>
      <w:r/>
    </w:p>
    <w:p>
      <w:pPr>
        <w:jc w:val="center"/>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法定代表人（负责人）：</w:t>
      </w:r>
      <w:r/>
    </w:p>
    <w:p>
      <w:pPr>
        <w:ind w:firstLine="547"/>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年    月    日</w:t>
      </w:r>
      <w:r/>
    </w:p>
    <w:p>
      <w:pPr>
        <w:spacing w:before="312" w:after="312" w:line="360" w:lineRule="auto"/>
        <w:rPr>
          <w:b/>
          <w:bCs/>
          <w:color w:val="000000" w:themeColor="text1"/>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b/>
          <w:bCs/>
          <w:color w:val="000000" w:themeColor="text1"/>
          <w:highlight w:val="none"/>
          <w14:textFill>
            <w14:solidFill>
              <w14:schemeClr w14:val="tx1"/>
            </w14:solidFill>
          </w14:textFill>
        </w:rPr>
      </w:r>
      <w:r/>
    </w:p>
    <w:p>
      <w:pPr>
        <w:pStyle w:val="7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投标函</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根据贵方的________________ 号招标文件，正式授权下述签字人_________________(姓名)代表我方______________（投标人的名称），全权处理本次项目投标的有关事宜。</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1.按招标文件规定的各项要求，向买方提供所需货物与服务。</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firstLine="105"/>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7.与本投标有关的正式通讯地址为：</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 </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 </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行 号：</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法定代表人或授权代表（签字）： </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投标人名称（公章）： </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478"/>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p>
    <w:p>
      <w:pPr>
        <w:ind w:firstLine="422"/>
        <w:jc w:val="center"/>
        <w:spacing w:after="312"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jc w:val="center"/>
        <w:spacing w:after="312"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法人授权书</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本授权书声明：________________（投标人名称）授权________________（被授权人的姓名）为我方就</w:t>
      </w:r>
      <w:r>
        <w:rPr>
          <w:rFonts w:hint="eastAsia" w:ascii="宋体" w:hAnsi="宋体"/>
          <w:color w:val="000000" w:themeColor="text1"/>
          <w:szCs w:val="21"/>
          <w:highlight w:val="none"/>
          <w:u w:val="single"/>
          <w14:textFill>
            <w14:solidFill>
              <w14:schemeClr w14:val="tx1"/>
            </w14:solidFill>
          </w14:textFill>
        </w:rPr>
        <w:t xml:space="preserve">（项目编号）</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（项目名称）</w:t>
      </w:r>
      <w:r>
        <w:rPr>
          <w:rFonts w:hint="eastAsia" w:ascii="宋体" w:hAnsi="宋体"/>
          <w:color w:val="000000" w:themeColor="text1"/>
          <w:szCs w:val="21"/>
          <w:highlight w:val="none"/>
          <w14:textFill>
            <w14:solidFill>
              <w14:schemeClr w14:val="tx1"/>
            </w14:solidFill>
          </w14:textFill>
        </w:rPr>
        <w:t xml:space="preserve">项目采购活动的合法代理人，以本公司名义全权处理一切与该项目采购有关的事务。</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本授权书于______年____月____日起生效，特此声明。</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被授权人姓名：</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联系电话（手机）：</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单位名称：______________________________</w:t>
      </w:r>
      <w:r/>
    </w:p>
    <w:p>
      <w:pPr>
        <w:ind w:firstLine="420"/>
        <w:spacing w:line="360" w:lineRule="auto"/>
        <w:rPr>
          <w:rFonts w:ascii="Times New Roman" w:hAnsi="Times New Roman"/>
          <w:color w:val="000000" w:themeColor="text1"/>
          <w:szCs w:val="21"/>
          <w:highlight w:val="none"/>
          <w:u w:val="singl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单位地址：</w:t>
      </w:r>
      <w:r/>
    </w:p>
    <w:p>
      <w:pPr>
        <w:ind w:firstLine="420"/>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日期：</w:t>
      </w:r>
      <w:r/>
    </w:p>
    <w:p>
      <w:pPr>
        <w:spacing w:line="46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20"/>
        <w:spacing w:line="460" w:lineRule="exact"/>
        <w:rPr>
          <w:rFonts w:ascii="宋体" w:hAnsi="宋体"/>
          <w:bCs/>
          <w:color w:val="000000" w:themeColor="text1"/>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000000" w:themeColor="text1"/>
          <w:highlight w:val="none"/>
          <w14:textFill>
            <w14:solidFill>
              <w14:schemeClr w14:val="tx1"/>
            </w14:solidFill>
          </w14:textFill>
        </w:rPr>
        <w:t xml:space="preserve">被授权人身份证复印</w:t>
      </w:r>
      <w:r/>
    </w:p>
    <w:p>
      <w:pPr>
        <w:jc w:val="center"/>
        <w:keepLines/>
        <w:keepNext/>
        <w:spacing w:before="260" w:after="260" w:line="360" w:lineRule="auto"/>
        <w:rPr>
          <w:rFonts w:cs="Arial" w:asciiTheme="minorEastAsia" w:hAnsiTheme="minorEastAsia" w:eastAsiaTheme="minorEastAsia"/>
          <w:b/>
          <w:bCs/>
          <w:color w:val="000000" w:themeColor="text1"/>
          <w:sz w:val="32"/>
          <w:szCs w:val="44"/>
          <w:highlight w:val="none"/>
          <w14:textFill>
            <w14:solidFill>
              <w14:schemeClr w14:val="tx1"/>
            </w14:solidFill>
          </w14:textFill>
        </w:rPr>
        <w:outlineLvl w:val="1"/>
      </w:pPr>
      <w:r/>
      <w:bookmarkStart w:id="65" w:name="_Toc27409"/>
      <w:r>
        <w:rPr>
          <w:rFonts w:hint="eastAsia" w:cs="Arial" w:asciiTheme="minorEastAsia" w:hAnsiTheme="minorEastAsia" w:eastAsiaTheme="minorEastAsia"/>
          <w:b/>
          <w:bCs/>
          <w:color w:val="000000" w:themeColor="text1"/>
          <w:sz w:val="32"/>
          <w:szCs w:val="44"/>
          <w:highlight w:val="none"/>
          <w14:textFill>
            <w14:solidFill>
              <w14:schemeClr w14:val="tx1"/>
            </w14:solidFill>
          </w14:textFill>
        </w:rPr>
        <w:t xml:space="preserve">二、符合性审查响应对照表</w:t>
      </w:r>
      <w:bookmarkEnd w:id="65"/>
      <w:r/>
      <w:r/>
    </w:p>
    <w:p>
      <w:pP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tbl>
      <w:tblPr>
        <w:tblStyle w:val="774"/>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color w:val="000000" w:themeColor="text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7"/>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left"/>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643"/>
        <w:spacing w:before="156" w:after="156"/>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643"/>
        <w:spacing w:before="156" w:after="156"/>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before="312" w:after="312" w:line="360" w:lineRule="auto"/>
        <w:rPr>
          <w:b/>
          <w:bCs/>
          <w:color w:val="000000" w:themeColor="text1"/>
          <w:highlight w:val="none"/>
          <w14:textFill>
            <w14:solidFill>
              <w14:schemeClr w14:val="tx1"/>
            </w14:solidFill>
          </w14:textFill>
        </w:rPr>
      </w:pPr>
      <w:r/>
      <w:bookmarkStart w:id="66" w:name="_Toc2641"/>
      <w:r/>
      <w:r/>
    </w:p>
    <w:p>
      <w:pP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jc w:val="center"/>
        <w:keepLines/>
        <w:keepNext/>
        <w:spacing w:before="260" w:after="260" w:line="360" w:lineRule="auto"/>
        <w:rPr>
          <w:rFonts w:cs="Arial" w:asciiTheme="minorEastAsia" w:hAnsiTheme="minorEastAsia" w:eastAsiaTheme="minorEastAsia"/>
          <w:b/>
          <w:bCs/>
          <w:color w:val="000000" w:themeColor="text1"/>
          <w:sz w:val="32"/>
          <w:szCs w:val="44"/>
          <w:highlight w:val="none"/>
          <w14:textFill>
            <w14:solidFill>
              <w14:schemeClr w14:val="tx1"/>
            </w14:solidFill>
          </w14:textFill>
        </w:rPr>
        <w:outlineLvl w:val="1"/>
      </w:pPr>
      <w:r>
        <w:rPr>
          <w:rFonts w:hint="eastAsia" w:cs="Arial" w:asciiTheme="minorEastAsia" w:hAnsiTheme="minorEastAsia" w:eastAsiaTheme="minorEastAsia"/>
          <w:b/>
          <w:bCs/>
          <w:color w:val="000000" w:themeColor="text1"/>
          <w:sz w:val="32"/>
          <w:szCs w:val="44"/>
          <w:highlight w:val="none"/>
          <w14:textFill>
            <w14:solidFill>
              <w14:schemeClr w14:val="tx1"/>
            </w14:solidFill>
          </w14:textFill>
        </w:rPr>
        <w:t xml:space="preserve">三、非实质性响应对照表</w:t>
      </w:r>
      <w:bookmarkEnd w:id="66"/>
      <w:r/>
      <w:r/>
    </w:p>
    <w:p>
      <w:pP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tbl>
      <w:tblPr>
        <w:tblStyle w:val="774"/>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《企业声明函》</w:t>
            </w:r>
            <w:r/>
          </w:p>
        </w:tc>
        <w:tc>
          <w:tcPr>
            <w:tcW w:w="1680"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《残疾人福利性单位声明函》</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before="156"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中小企业声明函（货物）</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（采购文件中明确的所属行业）行业</w:t>
      </w:r>
      <w:r>
        <w:rPr>
          <w:rFonts w:hint="eastAsia"/>
          <w:color w:val="000000" w:themeColor="text1"/>
          <w:highlight w:val="none"/>
          <w14:textFill>
            <w14:solidFill>
              <w14:schemeClr w14:val="tx1"/>
            </w14:solidFill>
          </w14:textFill>
        </w:rPr>
        <w:t xml:space="preserve">；制造商为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"br1" </w:instrText>
      </w:r>
      <w:r>
        <w:rPr>
          <w:color w:val="000000" w:themeColor="text1"/>
          <w:highlight w:val="none"/>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rFonts w:ascii="仿宋" w:eastAsia="Times New Roman"/>
          <w:color w:val="000000" w:themeColor="text1"/>
          <w:spacing w:val="-1"/>
          <w:highlight w:val="none"/>
          <w:vertAlign w:val="superscript"/>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（采购文件中明确的所属行业）行业（不得对行业类别修改）；</w:t>
      </w:r>
      <w:r>
        <w:rPr>
          <w:rFonts w:hint="eastAsia"/>
          <w:color w:val="000000" w:themeColor="text1"/>
          <w:highlight w:val="none"/>
          <w14:textFill>
            <w14:solidFill>
              <w14:schemeClr w14:val="tx1"/>
            </w14:solidFill>
          </w14:textFill>
        </w:rPr>
        <w:t xml:space="preserve">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 1、</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2、供应商如不提供此声明函，价格将不做相应扣除。</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3、企业声明函请完整填写，中标后将公示。</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、声明函应涵盖本项目(分包)所有货物，否则价格不作扣除。</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hint="eastAsia" w:ascii="宋体" w:hAnsi="宋体" w:cs="Arial"/>
          <w:bCs/>
          <w:color w:val="000000" w:themeColor="text1"/>
          <w:szCs w:val="21"/>
          <w:highlight w:val="none"/>
          <w:shd w:val="clear" w:color="auto" w:fill="ffffff"/>
          <w14:textFill>
            <w14:solidFill>
              <w14:schemeClr w14:val="tx1"/>
            </w14:solidFill>
          </w14:textFill>
        </w:rPr>
        <w:t xml:space="preserve">《政府采购法》第七十七条第一款：</w:t>
      </w:r>
      <w:r>
        <w:rPr>
          <w:rFonts w:hint="eastAsia" w:ascii="宋体" w:hAnsi="宋体"/>
          <w:bCs/>
          <w:color w:val="000000" w:themeColor="text1"/>
          <w:szCs w:val="21"/>
          <w:highlight w:val="none"/>
          <w:shd w:val="clear" w:color="auto" w:fill="ffffff"/>
          <w14:textFill>
            <w14:solidFill>
              <w14:schemeClr w14:val="tx1"/>
            </w14:solidFill>
          </w14:textFill>
        </w:rPr>
        <w:t xml:space="preserve">提供虚假材料谋取中标、成交的</w:t>
      </w:r>
      <w:r>
        <w:rPr>
          <w:rFonts w:hint="eastAsia" w:ascii="宋体" w:hAnsi="宋体" w:cs="Arial"/>
          <w:bCs/>
          <w:color w:val="000000" w:themeColor="text1"/>
          <w:szCs w:val="21"/>
          <w:highlight w:val="none"/>
          <w:shd w:val="clear" w:color="auto" w:fill="ffffff"/>
          <w14:textFill>
            <w14:solidFill>
              <w14:schemeClr w14:val="tx1"/>
            </w14:solidFill>
          </w14:textFill>
        </w:rPr>
        <w:t xml:space="preserve">，</w:t>
      </w:r>
      <w:r>
        <w:rPr>
          <w:rFonts w:hint="eastAsia" w:ascii="宋体" w:hAnsi="宋体"/>
          <w:bCs/>
          <w:color w:val="000000" w:themeColor="text1"/>
          <w:szCs w:val="21"/>
          <w:highlight w:val="none"/>
          <w:shd w:val="clear" w:color="auto" w:fill="ffffff"/>
          <w14:textFill>
            <w14:solidFill>
              <w14:schemeClr w14:val="tx1"/>
            </w14:solidFill>
          </w14:textFill>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 期：</w:t>
      </w:r>
      <w:r/>
    </w:p>
    <w:p>
      <w:pPr>
        <w:jc w:val="center"/>
        <w:spacing w:line="360" w:lineRule="auto"/>
        <w:rPr>
          <w:rStyle w:val="802"/>
          <w:rFonts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r>
      <w:r/>
    </w:p>
    <w:p>
      <w:pPr>
        <w:jc w:val="center"/>
        <w:spacing w:line="360" w:lineRule="auto"/>
        <w:rPr>
          <w:rStyle w:val="802"/>
          <w:rFonts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r>
      <w:r/>
    </w:p>
    <w:p>
      <w:pPr>
        <w:jc w:val="center"/>
        <w:spacing w:line="360" w:lineRule="auto"/>
        <w:rPr>
          <w:rStyle w:val="802"/>
          <w:rFonts w:ascii="宋体" w:hAnsi="宋体" w:cs="仿宋"/>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中小微企业划型标准</w:t>
      </w:r>
      <w:r/>
    </w:p>
    <w:p>
      <w:pPr>
        <w:ind w:firstLine="420"/>
        <w:spacing w:before="300" w:after="452"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    </w:t>
      </w:r>
      <w:r>
        <w:rPr>
          <w:rStyle w:val="802"/>
          <w:rFonts w:hint="eastAsia" w:ascii="宋体" w:hAnsi="宋体" w:cs="仿宋"/>
          <w:color w:val="000000" w:themeColor="text1"/>
          <w:szCs w:val="21"/>
          <w:highlight w:val="none"/>
          <w14:textFill>
            <w14:solidFill>
              <w14:schemeClr w14:val="tx1"/>
            </w14:solidFill>
          </w14:textFill>
        </w:rPr>
        <w:t xml:space="preserve">中小微企业划型标准如下：</w:t>
      </w:r>
      <w:r/>
    </w:p>
    <w:tbl>
      <w:tblPr>
        <w:tblStyle w:val="774"/>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X＜10</w:t>
            </w:r>
            <w:r/>
          </w:p>
        </w:tc>
      </w:tr>
    </w:tbl>
    <w:p>
      <w:pPr>
        <w:ind w:firstLine="810"/>
        <w:spacing w:before="300" w:after="452" w:line="360" w:lineRule="auto"/>
        <w:widowControl/>
        <w:rPr>
          <w:rStyle w:val="802"/>
          <w:rFonts w:ascii="宋体" w:hAnsi="宋体" w:cs="仿宋"/>
          <w:color w:val="000000" w:themeColor="text1"/>
          <w:szCs w:val="21"/>
          <w:highlight w:val="none"/>
          <w14:textFill>
            <w14:solidFill>
              <w14:schemeClr w14:val="tx1"/>
            </w14:solidFill>
          </w14:textFill>
        </w:rPr>
      </w:pPr>
      <w:r>
        <w:rPr>
          <w:rStyle w:val="802"/>
          <w:rFonts w:hint="eastAsia" w:ascii="宋体" w:hAnsi="宋体" w:cs="仿宋"/>
          <w:color w:val="000000" w:themeColor="text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keepLines/>
        <w:keepNext/>
        <w:spacing w:before="260" w:after="260" w:line="360" w:lineRule="auto"/>
        <w:rPr>
          <w:rStyle w:val="802"/>
          <w:rFonts w:cs="仿宋"/>
          <w:b w:val="0"/>
          <w:bCs/>
          <w:color w:val="000000" w:themeColor="text1"/>
          <w:szCs w:val="21"/>
          <w:highlight w:val="none"/>
          <w14:textFill>
            <w14:solidFill>
              <w14:schemeClr w14:val="tx1"/>
            </w14:solidFill>
          </w14:textFill>
        </w:rPr>
        <w:outlineLvl w:val="2"/>
      </w:pPr>
      <w:r>
        <w:rPr>
          <w:rStyle w:val="802"/>
          <w:rFonts w:ascii="宋体" w:hAnsi="宋体" w:cs="仿宋"/>
          <w:b w:val="0"/>
          <w:bCs/>
          <w:color w:val="000000" w:themeColor="text1"/>
          <w:szCs w:val="21"/>
          <w:highlight w:val="none"/>
          <w14:textFill>
            <w14:solidFill>
              <w14:schemeClr w14:val="tx1"/>
            </w14:solidFill>
          </w14:textFill>
        </w:rPr>
        <w:br w:type="page" w:clear="all"/>
      </w:r>
      <w:r/>
    </w:p>
    <w:p>
      <w:pPr>
        <w:ind w:firstLine="3367"/>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残疾人福利性单位声明函</w:t>
      </w:r>
      <w:r/>
    </w:p>
    <w:p>
      <w:pPr>
        <w:ind w:firstLine="624"/>
        <w:spacing w:line="360" w:lineRule="auto"/>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本单位在本次政府采购活动中提供的残疾人福利单位产品报价合计为人民币（大写）圆整（￥：）。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rPr>
          <w:rFonts w:asciiTheme="minorEastAsia" w:hAnsiTheme="minorEastAsia" w:eastAsiaTheme="minorEastAsia"/>
          <w:color w:val="000000" w:themeColor="text1"/>
          <w:sz w:val="32"/>
          <w:highlight w:val="none"/>
          <w14:textFill>
            <w14:solidFill>
              <w14:schemeClr w14:val="tx1"/>
            </w14:solidFill>
          </w14:textFill>
        </w:rPr>
      </w:pPr>
      <w:r/>
      <w:bookmarkStart w:id="67" w:name="_Toc30541"/>
      <w:r>
        <w:rPr>
          <w:rFonts w:hint="eastAsia" w:asciiTheme="minorEastAsia" w:hAnsiTheme="minorEastAsia" w:eastAsiaTheme="minorEastAsia"/>
          <w:color w:val="000000" w:themeColor="text1"/>
          <w:sz w:val="32"/>
          <w:highlight w:val="none"/>
          <w14:textFill>
            <w14:solidFill>
              <w14:schemeClr w14:val="tx1"/>
            </w14:solidFill>
          </w14:textFill>
        </w:rPr>
        <w:br w:type="page" w:clear="all"/>
      </w:r>
      <w:r/>
    </w:p>
    <w:p>
      <w:pPr>
        <w:pStyle w:val="765"/>
        <w:spacing w:line="360" w:lineRule="auto"/>
        <w:rPr>
          <w:rFonts w:asciiTheme="minorEastAsia" w:hAnsiTheme="minorEastAsia" w:eastAsiaTheme="minorEastAsia"/>
          <w:color w:val="000000" w:themeColor="text1"/>
          <w:sz w:val="32"/>
          <w:highlight w:val="none"/>
          <w14:textFill>
            <w14:solidFill>
              <w14:schemeClr w14:val="tx1"/>
            </w14:solidFill>
          </w14:textFill>
        </w:rPr>
      </w:pPr>
      <w:r>
        <w:rPr>
          <w:rFonts w:hint="eastAsia" w:asciiTheme="minorEastAsia" w:hAnsiTheme="minorEastAsia" w:eastAsiaTheme="minorEastAsia"/>
          <w:color w:val="000000" w:themeColor="text1"/>
          <w:sz w:val="32"/>
          <w:highlight w:val="none"/>
          <w14:textFill>
            <w14:solidFill>
              <w14:schemeClr w14:val="tx1"/>
            </w14:solidFill>
          </w14:textFill>
        </w:rPr>
        <w:t xml:space="preserve">四、开标一览表</w:t>
      </w:r>
      <w:r/>
    </w:p>
    <w:p>
      <w:pPr>
        <w:ind w:firstLine="480"/>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w:t>
      </w:r>
      <w:r/>
    </w:p>
    <w:p>
      <w:pPr>
        <w:ind w:firstLine="480"/>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分包号：</w:t>
      </w:r>
      <w:r>
        <w:rPr>
          <w:rFonts w:hint="eastAsia" w:ascii="宋体" w:hAnsi="宋体"/>
          <w:color w:val="000000" w:themeColor="text1"/>
          <w:szCs w:val="21"/>
          <w:highlight w:val="none"/>
          <w:lang w:val="en-US" w:eastAsia="zh-CN"/>
          <w14:textFill>
            <w14:solidFill>
              <w14:schemeClr w14:val="tx1"/>
            </w14:solidFill>
          </w14:textFill>
        </w:rPr>
        <w:t xml:space="preserve">采购包1</w:t>
      </w:r>
      <w:r>
        <w:rPr>
          <w:rFonts w:hint="eastAsia" w:ascii="宋体" w:hAnsi="宋体"/>
          <w:color w:val="000000" w:themeColor="text1"/>
          <w:szCs w:val="21"/>
          <w:highlight w:val="none"/>
          <w14:textFill>
            <w14:solidFill>
              <w14:schemeClr w14:val="tx1"/>
            </w14:solidFill>
          </w14:textFill>
        </w:rPr>
        <w:t xml:space="preserve"> </w:t>
      </w:r>
      <w:r/>
    </w:p>
    <w:tbl>
      <w:tblPr>
        <w:tblStyle w:val="774"/>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pStyle w:val="78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投标货物及服务名称</w:t>
            </w:r>
            <w:r/>
          </w:p>
        </w:tc>
        <w:tc>
          <w:tcPr>
            <w:tcW w:w="6405"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w:t>
            </w:r>
            <w:r/>
          </w:p>
        </w:tc>
      </w:tr>
      <w:tr>
        <w:trPr>
          <w:cantSplit/>
          <w:jc w:val="center"/>
          <w:trHeight w:val="1697"/>
        </w:trPr>
        <w:tc>
          <w:tcPr>
            <w:tcW w:w="2481" w:type="dxa"/>
            <w:vAlign w:val="center"/>
            <w:textDirection w:val="lrTb"/>
            <w:noWrap w:val="false"/>
          </w:tcPr>
          <w:p>
            <w:pPr>
              <w:pStyle w:val="78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40%丙硫菌唑·戊唑醇</w:t>
            </w:r>
            <w:r/>
          </w:p>
        </w:tc>
        <w:tc>
          <w:tcPr>
            <w:tcW w:w="6405" w:type="dxa"/>
            <w:vAlign w:val="center"/>
            <w:textDirection w:val="lrTb"/>
            <w:noWrap w:val="false"/>
          </w:tcPr>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大写：</w:t>
            </w:r>
            <w:r/>
          </w:p>
          <w:p>
            <w:pPr>
              <w:pStyle w:val="961"/>
              <w:ind w:firstLine="0"/>
              <w:spacing w:before="0" w:after="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小写：                             元</w:t>
            </w:r>
            <w:r>
              <w:rPr>
                <w:rFonts w:hint="eastAsia" w:ascii="宋体" w:hAnsi="宋体" w:cs="宋体"/>
                <w:color w:val="000000" w:themeColor="text1"/>
                <w:sz w:val="21"/>
                <w:szCs w:val="21"/>
                <w:highlight w:val="none"/>
                <w:lang w:val="en-US" w:eastAsia="zh-CN"/>
                <w14:textFill>
                  <w14:solidFill>
                    <w14:schemeClr w14:val="tx1"/>
                  </w14:solidFill>
                </w14:textFill>
              </w:rPr>
              <w:t xml:space="preserve">/吨</w:t>
            </w:r>
            <w:r/>
          </w:p>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注：开标一览表报价方式为按单价报价，即所投产品</w:t>
      </w:r>
      <w:r>
        <w:rPr>
          <w:rFonts w:hint="eastAsia" w:ascii="宋体" w:hAnsi="宋体" w:cs="宋体"/>
          <w:b/>
          <w:bCs/>
          <w:color w:val="000000" w:themeColor="text1"/>
          <w:szCs w:val="21"/>
          <w:highlight w:val="none"/>
          <w14:textFill>
            <w14:solidFill>
              <w14:schemeClr w14:val="tx1"/>
            </w14:solidFill>
          </w14:textFill>
        </w:rPr>
        <w:t xml:space="preserve">每吨价格</w:t>
      </w:r>
      <w:r/>
    </w:p>
    <w:p>
      <w:pPr>
        <w:ind w:firstLine="480"/>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日期：  年</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80"/>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分包号：</w:t>
      </w:r>
      <w:r>
        <w:rPr>
          <w:rFonts w:hint="eastAsia" w:ascii="宋体" w:hAnsi="宋体"/>
          <w:color w:val="000000" w:themeColor="text1"/>
          <w:szCs w:val="21"/>
          <w:highlight w:val="none"/>
          <w:lang w:val="en-US" w:eastAsia="zh-CN"/>
          <w14:textFill>
            <w14:solidFill>
              <w14:schemeClr w14:val="tx1"/>
            </w14:solidFill>
          </w14:textFill>
        </w:rPr>
        <w:t xml:space="preserve">采购包2</w:t>
      </w:r>
      <w:r/>
    </w:p>
    <w:tbl>
      <w:tblPr>
        <w:tblStyle w:val="774"/>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pStyle w:val="78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投标货物及服务名称</w:t>
            </w:r>
            <w:r/>
          </w:p>
        </w:tc>
        <w:tc>
          <w:tcPr>
            <w:tcW w:w="6405"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w:t>
            </w:r>
            <w:r/>
          </w:p>
        </w:tc>
      </w:tr>
      <w:tr>
        <w:trPr>
          <w:cantSplit/>
          <w:jc w:val="center"/>
          <w:trHeight w:val="1697"/>
        </w:trPr>
        <w:tc>
          <w:tcPr>
            <w:tcW w:w="2481" w:type="dxa"/>
            <w:vAlign w:val="center"/>
            <w:textDirection w:val="lrTb"/>
            <w:noWrap w:val="false"/>
          </w:tcPr>
          <w:p>
            <w:pPr>
              <w:pStyle w:val="78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200克/升氟唑菌酰羟胺</w:t>
            </w:r>
            <w:r/>
          </w:p>
        </w:tc>
        <w:tc>
          <w:tcPr>
            <w:tcW w:w="6405" w:type="dxa"/>
            <w:vAlign w:val="center"/>
            <w:textDirection w:val="lrTb"/>
            <w:noWrap w:val="false"/>
          </w:tcPr>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大写：</w:t>
            </w:r>
            <w:r/>
          </w:p>
          <w:p>
            <w:pPr>
              <w:pStyle w:val="961"/>
              <w:ind w:firstLine="0"/>
              <w:spacing w:before="0" w:after="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小写：                             元</w:t>
            </w:r>
            <w:r>
              <w:rPr>
                <w:rFonts w:hint="eastAsia" w:ascii="宋体" w:hAnsi="宋体" w:cs="宋体"/>
                <w:color w:val="000000" w:themeColor="text1"/>
                <w:sz w:val="21"/>
                <w:szCs w:val="21"/>
                <w:highlight w:val="none"/>
                <w:lang w:val="en-US" w:eastAsia="zh-CN"/>
                <w14:textFill>
                  <w14:solidFill>
                    <w14:schemeClr w14:val="tx1"/>
                  </w14:solidFill>
                </w14:textFill>
              </w:rPr>
              <w:t xml:space="preserve">/吨</w:t>
            </w:r>
            <w:r/>
          </w:p>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注：开标一览表报价方式为按单价报价，即所投产品</w:t>
      </w:r>
      <w:r>
        <w:rPr>
          <w:rFonts w:hint="eastAsia" w:ascii="宋体" w:hAnsi="宋体" w:cs="宋体"/>
          <w:b/>
          <w:bCs/>
          <w:color w:val="000000" w:themeColor="text1"/>
          <w:szCs w:val="21"/>
          <w:highlight w:val="none"/>
          <w14:textFill>
            <w14:solidFill>
              <w14:schemeClr w14:val="tx1"/>
            </w14:solidFill>
          </w14:textFill>
        </w:rPr>
        <w:t xml:space="preserve">每吨价格</w:t>
      </w:r>
      <w:r>
        <w:rPr>
          <w:rFonts w:hint="eastAsia" w:ascii="宋体" w:hAnsi="宋体" w:cs="宋体"/>
          <w:b/>
          <w:bCs/>
          <w:color w:val="000000" w:themeColor="text1"/>
          <w:szCs w:val="21"/>
          <w:highlight w:val="none"/>
          <w:lang w:val="en-US" w:eastAsia="zh-CN"/>
          <w14:textFill>
            <w14:solidFill>
              <w14:schemeClr w14:val="tx1"/>
            </w14:solidFill>
          </w14:textFill>
        </w:rPr>
        <w:t xml:space="preserve"> </w:t>
      </w:r>
      <w:r/>
    </w:p>
    <w:p>
      <w:pPr>
        <w:pStyle w:val="776"/>
        <w:ind w:firstLine="640"/>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日期：  年</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分包号：</w:t>
      </w:r>
      <w:r>
        <w:rPr>
          <w:rFonts w:hint="eastAsia" w:ascii="宋体" w:hAnsi="宋体"/>
          <w:color w:val="000000" w:themeColor="text1"/>
          <w:szCs w:val="21"/>
          <w:highlight w:val="none"/>
          <w:lang w:val="en-US" w:eastAsia="zh-CN"/>
          <w14:textFill>
            <w14:solidFill>
              <w14:schemeClr w14:val="tx1"/>
            </w14:solidFill>
          </w14:textFill>
        </w:rPr>
        <w:t xml:space="preserve">采购包3</w:t>
      </w:r>
      <w:r>
        <w:rPr>
          <w:rFonts w:hint="eastAsia" w:ascii="宋体" w:hAnsi="宋体"/>
          <w:color w:val="000000" w:themeColor="text1"/>
          <w:szCs w:val="21"/>
          <w:highlight w:val="none"/>
          <w14:textFill>
            <w14:solidFill>
              <w14:schemeClr w14:val="tx1"/>
            </w14:solidFill>
          </w14:textFill>
        </w:rPr>
        <w:t xml:space="preserve"> </w:t>
      </w:r>
      <w:r/>
    </w:p>
    <w:tbl>
      <w:tblPr>
        <w:tblStyle w:val="774"/>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pStyle w:val="78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投标货物及服务名称</w:t>
            </w:r>
            <w:r/>
          </w:p>
        </w:tc>
        <w:tc>
          <w:tcPr>
            <w:tcW w:w="6405"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w:t>
            </w:r>
            <w:r/>
          </w:p>
        </w:tc>
      </w:tr>
      <w:tr>
        <w:trPr>
          <w:cantSplit/>
          <w:jc w:val="center"/>
          <w:trHeight w:val="1697"/>
        </w:trPr>
        <w:tc>
          <w:tcPr>
            <w:tcW w:w="2481" w:type="dxa"/>
            <w:vAlign w:val="center"/>
            <w:textDirection w:val="lrTb"/>
            <w:noWrap w:val="false"/>
          </w:tcPr>
          <w:p>
            <w:pPr>
              <w:pStyle w:val="78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40%稻瘟酰胺</w:t>
            </w:r>
            <w:r/>
          </w:p>
        </w:tc>
        <w:tc>
          <w:tcPr>
            <w:tcW w:w="6405" w:type="dxa"/>
            <w:vAlign w:val="center"/>
            <w:textDirection w:val="lrTb"/>
            <w:noWrap w:val="false"/>
          </w:tcPr>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大写：</w:t>
            </w:r>
            <w:r/>
          </w:p>
          <w:p>
            <w:pPr>
              <w:pStyle w:val="961"/>
              <w:ind w:firstLine="0"/>
              <w:spacing w:before="0" w:after="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小写：                             元</w:t>
            </w:r>
            <w:r>
              <w:rPr>
                <w:rFonts w:hint="eastAsia" w:ascii="宋体" w:hAnsi="宋体" w:cs="宋体"/>
                <w:color w:val="000000" w:themeColor="text1"/>
                <w:sz w:val="21"/>
                <w:szCs w:val="21"/>
                <w:highlight w:val="none"/>
                <w:lang w:val="en-US" w:eastAsia="zh-CN"/>
                <w14:textFill>
                  <w14:solidFill>
                    <w14:schemeClr w14:val="tx1"/>
                  </w14:solidFill>
                </w14:textFill>
              </w:rPr>
              <w:t xml:space="preserve">/吨</w:t>
            </w:r>
            <w:r/>
          </w:p>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注：开标一览表报价方式为按单价报价，即所投产品</w:t>
      </w:r>
      <w:r>
        <w:rPr>
          <w:rFonts w:hint="eastAsia" w:ascii="宋体" w:hAnsi="宋体" w:cs="宋体"/>
          <w:b/>
          <w:bCs/>
          <w:color w:val="000000" w:themeColor="text1"/>
          <w:szCs w:val="21"/>
          <w:highlight w:val="none"/>
          <w14:textFill>
            <w14:solidFill>
              <w14:schemeClr w14:val="tx1"/>
            </w14:solidFill>
          </w14:textFill>
        </w:rPr>
        <w:t xml:space="preserve">每吨价格</w:t>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日期：  年</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分包号：</w:t>
      </w:r>
      <w:r>
        <w:rPr>
          <w:rFonts w:hint="eastAsia" w:ascii="宋体" w:hAnsi="宋体"/>
          <w:color w:val="000000" w:themeColor="text1"/>
          <w:szCs w:val="21"/>
          <w:highlight w:val="none"/>
          <w:lang w:val="en-US" w:eastAsia="zh-CN"/>
          <w14:textFill>
            <w14:solidFill>
              <w14:schemeClr w14:val="tx1"/>
            </w14:solidFill>
          </w14:textFill>
        </w:rPr>
        <w:t xml:space="preserve">采购包4</w:t>
      </w:r>
      <w:r>
        <w:rPr>
          <w:rFonts w:hint="eastAsia" w:ascii="宋体" w:hAnsi="宋体"/>
          <w:color w:val="000000" w:themeColor="text1"/>
          <w:szCs w:val="21"/>
          <w:highlight w:val="none"/>
          <w14:textFill>
            <w14:solidFill>
              <w14:schemeClr w14:val="tx1"/>
            </w14:solidFill>
          </w14:textFill>
        </w:rPr>
        <w:t xml:space="preserve"> </w:t>
      </w:r>
      <w:r/>
    </w:p>
    <w:tbl>
      <w:tblPr>
        <w:tblStyle w:val="774"/>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pStyle w:val="78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投标货物及服务名称</w:t>
            </w:r>
            <w:r/>
          </w:p>
        </w:tc>
        <w:tc>
          <w:tcPr>
            <w:tcW w:w="6405"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w:t>
            </w:r>
            <w:r/>
          </w:p>
        </w:tc>
      </w:tr>
      <w:tr>
        <w:trPr>
          <w:cantSplit/>
          <w:jc w:val="center"/>
          <w:trHeight w:val="1697"/>
        </w:trPr>
        <w:tc>
          <w:tcPr>
            <w:tcW w:w="2481" w:type="dxa"/>
            <w:vAlign w:val="center"/>
            <w:textDirection w:val="lrTb"/>
            <w:noWrap w:val="false"/>
          </w:tcPr>
          <w:p>
            <w:pPr>
              <w:pStyle w:val="78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40%烯啶·吡蚜酮</w:t>
            </w:r>
            <w:r/>
          </w:p>
        </w:tc>
        <w:tc>
          <w:tcPr>
            <w:tcW w:w="6405" w:type="dxa"/>
            <w:vAlign w:val="center"/>
            <w:textDirection w:val="lrTb"/>
            <w:noWrap w:val="false"/>
          </w:tcPr>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大写：</w:t>
            </w:r>
            <w:r/>
          </w:p>
          <w:p>
            <w:pPr>
              <w:pStyle w:val="961"/>
              <w:ind w:firstLine="0"/>
              <w:spacing w:before="0" w:after="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小写：                             元</w:t>
            </w:r>
            <w:r>
              <w:rPr>
                <w:rFonts w:hint="eastAsia" w:ascii="宋体" w:hAnsi="宋体" w:cs="宋体"/>
                <w:color w:val="000000" w:themeColor="text1"/>
                <w:sz w:val="21"/>
                <w:szCs w:val="21"/>
                <w:highlight w:val="none"/>
                <w:lang w:val="en-US" w:eastAsia="zh-CN"/>
                <w14:textFill>
                  <w14:solidFill>
                    <w14:schemeClr w14:val="tx1"/>
                  </w14:solidFill>
                </w14:textFill>
              </w:rPr>
              <w:t xml:space="preserve">/吨</w:t>
            </w:r>
            <w:r/>
          </w:p>
          <w:p>
            <w:pPr>
              <w:pStyle w:val="961"/>
              <w:ind w:firstLine="0"/>
              <w:spacing w:before="0" w:after="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注：开标一览表报价方式为按单价报价，即所投产品</w:t>
      </w:r>
      <w:r>
        <w:rPr>
          <w:rFonts w:hint="eastAsia" w:ascii="宋体" w:hAnsi="宋体" w:cs="宋体"/>
          <w:b/>
          <w:bCs/>
          <w:color w:val="000000" w:themeColor="text1"/>
          <w:szCs w:val="21"/>
          <w:highlight w:val="none"/>
          <w14:textFill>
            <w14:solidFill>
              <w14:schemeClr w14:val="tx1"/>
            </w14:solidFill>
          </w14:textFill>
        </w:rPr>
        <w:t xml:space="preserve">每吨价格</w:t>
      </w:r>
      <w:r/>
    </w:p>
    <w:p>
      <w:pPr>
        <w:pStyle w:val="775"/>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日期：  年</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rPr>
          <w:rFonts w:cs="Arial" w:asciiTheme="minorEastAsia" w:hAnsiTheme="minorEastAsia" w:eastAsiaTheme="minorEastAsia"/>
          <w:b/>
          <w:bCs/>
          <w:color w:val="000000" w:themeColor="text1"/>
          <w:sz w:val="32"/>
          <w:szCs w:val="4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cs="Arial" w:asciiTheme="minorEastAsia" w:hAnsiTheme="minorEastAsia" w:eastAsiaTheme="minorEastAsia"/>
          <w:b/>
          <w:bCs/>
          <w:color w:val="000000" w:themeColor="text1"/>
          <w:sz w:val="32"/>
          <w:szCs w:val="44"/>
          <w:highlight w:val="none"/>
          <w14:textFill>
            <w14:solidFill>
              <w14:schemeClr w14:val="tx1"/>
            </w14:solidFill>
          </w14:textFill>
        </w:rPr>
        <w:br w:type="page" w:clear="all"/>
      </w:r>
      <w:r/>
    </w:p>
    <w:p>
      <w:pPr>
        <w:pStyle w:val="765"/>
        <w:numPr>
          <w:ilvl w:val="0"/>
          <w:numId w:val="6"/>
        </w:numPr>
        <w:ind w:left="2520"/>
        <w:jc w:val="left"/>
        <w:spacing w:line="360" w:lineRule="auto"/>
        <w:rPr>
          <w:rFonts w:asciiTheme="minorEastAsia" w:hAnsiTheme="minorEastAsia" w:eastAsiaTheme="minorEastAsia"/>
          <w:color w:val="000000" w:themeColor="text1"/>
          <w:sz w:val="32"/>
          <w:highlight w:val="none"/>
          <w14:textFill>
            <w14:solidFill>
              <w14:schemeClr w14:val="tx1"/>
            </w14:solidFill>
          </w14:textFill>
        </w:rPr>
      </w:pPr>
      <w:r>
        <w:rPr>
          <w:rFonts w:hint="eastAsia" w:asciiTheme="minorEastAsia" w:hAnsiTheme="minorEastAsia" w:eastAsiaTheme="minorEastAsia"/>
          <w:color w:val="000000" w:themeColor="text1"/>
          <w:sz w:val="32"/>
          <w:highlight w:val="none"/>
          <w14:textFill>
            <w14:solidFill>
              <w14:schemeClr w14:val="tx1"/>
            </w14:solidFill>
          </w14:textFill>
        </w:rPr>
        <w:t xml:space="preserve">投标产品配置及分项报价表</w:t>
      </w:r>
      <w:r/>
    </w:p>
    <w:p>
      <w:pPr>
        <w:pStyle w:val="765"/>
        <w:numPr>
          <w:ilvl w:val="0"/>
          <w:numId w:val="0"/>
        </w:numPr>
        <w:ind w:left="2520"/>
        <w:jc w:val="left"/>
        <w:spacing w:line="360" w:lineRule="auto"/>
        <w:rPr>
          <w:rFonts w:asciiTheme="minorEastAsia" w:hAnsiTheme="minorEastAsia" w:eastAsiaTheme="minorEastAsia"/>
          <w:color w:val="000000" w:themeColor="text1"/>
          <w:sz w:val="32"/>
          <w:highlight w:val="none"/>
          <w14:textFill>
            <w14:solidFill>
              <w14:schemeClr w14:val="tx1"/>
            </w14:solidFill>
          </w14:textFill>
        </w:rPr>
      </w:pPr>
      <w:r>
        <w:rPr>
          <w:rFonts w:hint="eastAsia" w:asciiTheme="minorEastAsia" w:hAnsiTheme="minorEastAsia" w:eastAsiaTheme="minorEastAsia"/>
          <w:color w:val="000000" w:themeColor="text1"/>
          <w:sz w:val="32"/>
          <w:highlight w:val="none"/>
          <w:lang w:val="en-US" w:eastAsia="zh-CN"/>
          <w14:textFill>
            <w14:solidFill>
              <w14:schemeClr w14:val="tx1"/>
            </w14:solidFill>
          </w14:textFill>
        </w:rPr>
        <w:t xml:space="preserve">采购包1</w:t>
      </w:r>
      <w:r>
        <w:rPr>
          <w:rFonts w:hint="eastAsia" w:asciiTheme="minorEastAsia" w:hAnsiTheme="minorEastAsia" w:eastAsiaTheme="minorEastAsia"/>
          <w:color w:val="000000" w:themeColor="text1"/>
          <w:sz w:val="32"/>
          <w:highlight w:val="none"/>
          <w14:textFill>
            <w14:solidFill>
              <w14:schemeClr w14:val="tx1"/>
            </w14:solidFill>
          </w14:textFill>
        </w:rPr>
        <w:t xml:space="preserve">投标产品配置及分项报价表</w:t>
      </w:r>
      <w:r/>
    </w:p>
    <w:tbl>
      <w:tblPr>
        <w:tblStyle w:val="774"/>
        <w:tblW w:w="9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2"/>
        <w:gridCol w:w="1017"/>
        <w:gridCol w:w="1017"/>
        <w:gridCol w:w="983"/>
        <w:gridCol w:w="1117"/>
        <w:gridCol w:w="1833"/>
        <w:gridCol w:w="1284"/>
      </w:tblGrid>
      <w:tr>
        <w:trPr>
          <w:cantSplit/>
          <w:jc w:val="center"/>
          <w:trHeight w:val="567"/>
        </w:trPr>
        <w:tc>
          <w:tcPr>
            <w:tcW w:w="264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1017" w:type="dxa"/>
            <w:vAlign w:val="center"/>
            <w:textDirection w:val="lrTb"/>
            <w:noWrap w:val="false"/>
          </w:tcPr>
          <w:p>
            <w:pPr>
              <w:jc w:val="center"/>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W w:w="1017" w:type="dxa"/>
            <w:vAlign w:val="center"/>
            <w:textDirection w:val="lrTb"/>
            <w:noWrap w:val="false"/>
          </w:tcPr>
          <w:p>
            <w:pPr>
              <w:jc w:val="cente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983" w:type="dxa"/>
            <w:vAlign w:val="center"/>
            <w:textDirection w:val="lrTb"/>
            <w:noWrap w:val="false"/>
          </w:tcPr>
          <w:p>
            <w:pPr>
              <w:jc w:val="cente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w:t>
            </w:r>
            <w:r/>
          </w:p>
        </w:tc>
        <w:tc>
          <w:tcPr>
            <w:tcW w:w="1117" w:type="dxa"/>
            <w:vAlign w:val="center"/>
            <w:textDirection w:val="lrTb"/>
            <w:noWrap w:val="false"/>
          </w:tcPr>
          <w:p>
            <w:pPr>
              <w:jc w:val="cente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p>
        </w:tc>
        <w:tc>
          <w:tcPr>
            <w:tcW w:w="1833" w:type="dxa"/>
            <w:vAlign w:val="center"/>
            <w:textDirection w:val="lrTb"/>
            <w:noWrap w:val="false"/>
          </w:tcPr>
          <w:p>
            <w:pPr>
              <w:jc w:val="cente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p>
        </w:tc>
        <w:tc>
          <w:tcPr>
            <w:tcW w:w="1283" w:type="dxa"/>
            <w:vAlign w:val="center"/>
            <w:textDirection w:val="lrTb"/>
            <w:noWrap w:val="false"/>
          </w:tcPr>
          <w:p>
            <w:pPr>
              <w:jc w:val="cente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w:t>
            </w:r>
            <w:r/>
          </w:p>
        </w:tc>
      </w:tr>
      <w:tr>
        <w:trPr>
          <w:cantSplit/>
          <w:jc w:val="center"/>
          <w:trHeight w:val="567"/>
        </w:trPr>
        <w:tc>
          <w:tcPr>
            <w:tcW w:w="2641" w:type="dxa"/>
            <w:vAlign w:val="center"/>
            <w:textDirection w:val="lrTb"/>
            <w:noWrap w:val="false"/>
          </w:tcPr>
          <w:p>
            <w:pPr>
              <w:jc w:val="cente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产品名称及规格、型号</w:t>
            </w:r>
            <w:r/>
          </w:p>
        </w:tc>
        <w:tc>
          <w:tcPr>
            <w:tcW w:w="1017" w:type="dxa"/>
            <w:vAlign w:val="center"/>
            <w:textDirection w:val="lrTb"/>
            <w:noWrap w:val="false"/>
          </w:tcPr>
          <w:p>
            <w:pPr>
              <w:jc w:val="center"/>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制造商</w:t>
            </w:r>
            <w:r/>
          </w:p>
        </w:tc>
        <w:tc>
          <w:tcPr>
            <w:tcW w:w="10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W w:w="983"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产地</w:t>
            </w:r>
            <w:r/>
          </w:p>
        </w:tc>
        <w:tc>
          <w:tcPr>
            <w:tcW w:w="11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交付期</w:t>
            </w:r>
            <w:r/>
          </w:p>
        </w:tc>
        <w:tc>
          <w:tcPr>
            <w:tcW w:w="1833"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单价（元/吨）</w:t>
            </w:r>
            <w:r/>
          </w:p>
        </w:tc>
        <w:tc>
          <w:tcPr>
            <w:tcW w:w="1283"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总价（元）</w:t>
            </w:r>
            <w:r/>
          </w:p>
        </w:tc>
      </w:tr>
      <w:tr>
        <w:trPr>
          <w:cantSplit/>
          <w:jc w:val="center"/>
          <w:trHeight w:val="567"/>
        </w:trPr>
        <w:tc>
          <w:tcPr>
            <w:tcW w:w="2641" w:type="dxa"/>
            <w:vAlign w:val="center"/>
            <w:textDirection w:val="lrTb"/>
            <w:noWrap w:val="false"/>
          </w:tcPr>
          <w:p>
            <w:pPr>
              <w:jc w:val="center"/>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40%丙硫菌唑·戊唑醇</w:t>
            </w:r>
            <w:r/>
          </w:p>
        </w:tc>
        <w:tc>
          <w:tcPr>
            <w:tcW w:w="1017"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7"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83"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17"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833"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83" w:type="dxa"/>
            <w:vAlign w:val="center"/>
            <w:textDirection w:val="lrTb"/>
            <w:noWrap w:val="false"/>
          </w:tcPr>
          <w:p>
            <w:pPr>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1700000.00</w:t>
            </w:r>
            <w:r/>
          </w:p>
        </w:tc>
      </w:tr>
    </w:tbl>
    <w:p>
      <w:pPr>
        <w:ind w:firstLine="420"/>
        <w:spacing w:line="360" w:lineRule="auto"/>
        <w:rPr>
          <w:rFonts w:ascii="宋体" w:hAnsi="宋体" w:cs="Calibri"/>
          <w:color w:val="000000" w:themeColor="text1"/>
          <w:szCs w:val="21"/>
          <w:highlight w:val="none"/>
          <w14:textFill>
            <w14:solidFill>
              <w14:schemeClr w14:val="tx1"/>
            </w14:solidFill>
          </w14:textFill>
        </w:rPr>
      </w:pPr>
      <w:r>
        <w:rPr>
          <w:rFonts w:ascii="宋体" w:hAnsi="宋体" w:cs="Calibri"/>
          <w:color w:val="000000" w:themeColor="text1"/>
          <w:szCs w:val="21"/>
          <w:highlight w:val="none"/>
          <w14:textFill>
            <w14:solidFill>
              <w14:schemeClr w14:val="tx1"/>
            </w14:solidFill>
          </w14:textFill>
        </w:rPr>
      </w:r>
      <w:r/>
    </w:p>
    <w:p>
      <w:pPr>
        <w:pStyle w:val="765"/>
        <w:numPr>
          <w:ilvl w:val="0"/>
          <w:numId w:val="0"/>
        </w:numPr>
        <w:ind w:firstLine="321"/>
        <w:jc w:val="center"/>
        <w:spacing w:line="360" w:lineRule="auto"/>
        <w:rPr>
          <w:rFonts w:asciiTheme="minorEastAsia" w:hAnsiTheme="minorEastAsia" w:eastAsiaTheme="minorEastAsia"/>
          <w:color w:val="000000" w:themeColor="text1"/>
          <w:sz w:val="32"/>
          <w:highlight w:val="none"/>
          <w14:textFill>
            <w14:solidFill>
              <w14:schemeClr w14:val="tx1"/>
            </w14:solidFill>
          </w14:textFill>
        </w:rPr>
      </w:pPr>
      <w:r>
        <w:rPr>
          <w:rFonts w:hint="eastAsia" w:asciiTheme="minorEastAsia" w:hAnsiTheme="minorEastAsia" w:eastAsiaTheme="minorEastAsia"/>
          <w:color w:val="000000" w:themeColor="text1"/>
          <w:sz w:val="32"/>
          <w:highlight w:val="none"/>
          <w:lang w:val="en-US" w:eastAsia="zh-CN"/>
          <w14:textFill>
            <w14:solidFill>
              <w14:schemeClr w14:val="tx1"/>
            </w14:solidFill>
          </w14:textFill>
        </w:rPr>
        <w:t xml:space="preserve">采购包2</w:t>
      </w:r>
      <w:r>
        <w:rPr>
          <w:rFonts w:hint="eastAsia" w:asciiTheme="minorEastAsia" w:hAnsiTheme="minorEastAsia" w:eastAsiaTheme="minorEastAsia"/>
          <w:color w:val="000000" w:themeColor="text1"/>
          <w:sz w:val="32"/>
          <w:highlight w:val="none"/>
          <w14:textFill>
            <w14:solidFill>
              <w14:schemeClr w14:val="tx1"/>
            </w14:solidFill>
          </w14:textFill>
        </w:rPr>
        <w:t xml:space="preserve">投标产品配置及分项报价表</w:t>
      </w:r>
      <w:r/>
    </w:p>
    <w:tbl>
      <w:tblPr>
        <w:tblStyle w:val="774"/>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1"/>
        <w:gridCol w:w="1017"/>
        <w:gridCol w:w="1017"/>
        <w:gridCol w:w="983"/>
        <w:gridCol w:w="1117"/>
        <w:gridCol w:w="1833"/>
        <w:gridCol w:w="1283"/>
      </w:tblGrid>
      <w:tr>
        <w:trPr>
          <w:cantSplit/>
          <w:jc w:val="center"/>
          <w:trHeight w:val="544"/>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w:t>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p>
        </w:tc>
        <w:tc>
          <w:tcPr>
            <w:tcW w:w="128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w:t>
            </w:r>
            <w:r/>
          </w:p>
        </w:tc>
      </w:tr>
      <w:tr>
        <w:trPr>
          <w:cantSplit/>
          <w:jc w:val="center"/>
          <w:trHeight w:val="536"/>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产品名称及规格、型号</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制造商</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产地</w:t>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交付期</w:t>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单价（元/吨）</w:t>
            </w:r>
            <w:r/>
          </w:p>
        </w:tc>
        <w:tc>
          <w:tcPr>
            <w:tcW w:w="12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总价（元）</w:t>
            </w:r>
            <w:r/>
          </w:p>
        </w:tc>
      </w:tr>
      <w:tr>
        <w:trPr>
          <w:cantSplit/>
          <w:jc w:val="center"/>
          <w:trHeight w:val="538"/>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200克/升氟唑菌酰羟胺</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83" w:type="dxa"/>
            <w:vAlign w:val="center"/>
            <w:textDirection w:val="lrTb"/>
            <w:noWrap w:val="false"/>
          </w:tcPr>
          <w:p>
            <w:pPr>
              <w:jc w:val="center"/>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3500000.00</w:t>
            </w:r>
            <w:r/>
          </w:p>
        </w:tc>
      </w:tr>
    </w:tbl>
    <w:p>
      <w:pPr>
        <w:pStyle w:val="77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numPr>
          <w:ilvl w:val="0"/>
          <w:numId w:val="0"/>
        </w:numPr>
        <w:ind w:left="2520"/>
        <w:jc w:val="both"/>
        <w:spacing w:line="360" w:lineRule="auto"/>
        <w:rPr>
          <w:rFonts w:asciiTheme="minorEastAsia" w:hAnsiTheme="minorEastAsia" w:eastAsiaTheme="minorEastAsia"/>
          <w:color w:val="000000" w:themeColor="text1"/>
          <w:sz w:val="32"/>
          <w:highlight w:val="none"/>
          <w14:textFill>
            <w14:solidFill>
              <w14:schemeClr w14:val="tx1"/>
            </w14:solidFill>
          </w14:textFill>
        </w:rPr>
      </w:pPr>
      <w:r>
        <w:rPr>
          <w:rFonts w:hint="eastAsia" w:asciiTheme="minorEastAsia" w:hAnsiTheme="minorEastAsia" w:eastAsiaTheme="minorEastAsia"/>
          <w:color w:val="000000" w:themeColor="text1"/>
          <w:sz w:val="32"/>
          <w:highlight w:val="none"/>
          <w:lang w:val="en-US" w:eastAsia="zh-CN"/>
          <w14:textFill>
            <w14:solidFill>
              <w14:schemeClr w14:val="tx1"/>
            </w14:solidFill>
          </w14:textFill>
        </w:rPr>
        <w:t xml:space="preserve">采购包3</w:t>
      </w:r>
      <w:r>
        <w:rPr>
          <w:rFonts w:hint="eastAsia" w:asciiTheme="minorEastAsia" w:hAnsiTheme="minorEastAsia" w:eastAsiaTheme="minorEastAsia"/>
          <w:color w:val="000000" w:themeColor="text1"/>
          <w:sz w:val="32"/>
          <w:highlight w:val="none"/>
          <w14:textFill>
            <w14:solidFill>
              <w14:schemeClr w14:val="tx1"/>
            </w14:solidFill>
          </w14:textFill>
        </w:rPr>
        <w:t xml:space="preserve">投标产品配置及分项报价表</w:t>
      </w:r>
      <w:r/>
    </w:p>
    <w:tbl>
      <w:tblPr>
        <w:tblStyle w:val="774"/>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1"/>
        <w:gridCol w:w="1017"/>
        <w:gridCol w:w="1017"/>
        <w:gridCol w:w="983"/>
        <w:gridCol w:w="1117"/>
        <w:gridCol w:w="1833"/>
        <w:gridCol w:w="1283"/>
      </w:tblGrid>
      <w:tr>
        <w:trPr>
          <w:cantSplit/>
          <w:jc w:val="center"/>
          <w:trHeight w:val="567"/>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w:t>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p>
        </w:tc>
        <w:tc>
          <w:tcPr>
            <w:tcW w:w="128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w:t>
            </w:r>
            <w:r/>
          </w:p>
        </w:tc>
      </w:tr>
      <w:tr>
        <w:trPr>
          <w:cantSplit/>
          <w:jc w:val="center"/>
          <w:trHeight w:val="567"/>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产品名称及规格、型号</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制造商</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产地</w:t>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交付期</w:t>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单价（元/吨）</w:t>
            </w:r>
            <w:r/>
          </w:p>
        </w:tc>
        <w:tc>
          <w:tcPr>
            <w:tcW w:w="12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总价（元）</w:t>
            </w:r>
            <w:r/>
          </w:p>
        </w:tc>
      </w:tr>
      <w:tr>
        <w:trPr>
          <w:cantSplit/>
          <w:jc w:val="center"/>
          <w:trHeight w:val="567"/>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40%稻瘟酰胺</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83" w:type="dxa"/>
            <w:vAlign w:val="center"/>
            <w:textDirection w:val="lrTb"/>
            <w:noWrap w:val="false"/>
          </w:tcPr>
          <w:p>
            <w:pPr>
              <w:jc w:val="center"/>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1000000.00</w:t>
            </w:r>
            <w:r/>
          </w:p>
        </w:tc>
      </w:tr>
    </w:tbl>
    <w:p>
      <w:pPr>
        <w:rPr>
          <w:rFonts w:cs="Arial" w:asciiTheme="minorEastAsia" w:hAnsiTheme="minorEastAsia" w:eastAsiaTheme="minorEastAsia"/>
          <w:b/>
          <w:bCs/>
          <w:color w:val="000000" w:themeColor="text1"/>
          <w:sz w:val="32"/>
          <w:szCs w:val="44"/>
          <w:highlight w:val="none"/>
          <w14:textFill>
            <w14:solidFill>
              <w14:schemeClr w14:val="tx1"/>
            </w14:solidFill>
          </w14:textFill>
        </w:rPr>
      </w:pPr>
      <w:r>
        <w:rPr>
          <w:rFonts w:cs="Arial" w:asciiTheme="minorEastAsia" w:hAnsiTheme="minorEastAsia" w:eastAsiaTheme="minorEastAsia"/>
          <w:b/>
          <w:bCs/>
          <w:color w:val="000000" w:themeColor="text1"/>
          <w:sz w:val="32"/>
          <w:szCs w:val="44"/>
          <w:highlight w:val="none"/>
          <w14:textFill>
            <w14:solidFill>
              <w14:schemeClr w14:val="tx1"/>
            </w14:solidFill>
          </w14:textFill>
        </w:rPr>
      </w:r>
      <w:r/>
    </w:p>
    <w:p>
      <w:pPr>
        <w:pStyle w:val="765"/>
        <w:numPr>
          <w:ilvl w:val="0"/>
          <w:numId w:val="0"/>
        </w:numPr>
        <w:jc w:val="center"/>
        <w:spacing w:line="360" w:lineRule="auto"/>
        <w:rPr>
          <w:rFonts w:asciiTheme="minorEastAsia" w:hAnsiTheme="minorEastAsia" w:eastAsiaTheme="minorEastAsia"/>
          <w:color w:val="000000" w:themeColor="text1"/>
          <w:sz w:val="32"/>
          <w:highlight w:val="none"/>
          <w14:textFill>
            <w14:solidFill>
              <w14:schemeClr w14:val="tx1"/>
            </w14:solidFill>
          </w14:textFill>
        </w:rPr>
      </w:pPr>
      <w:r>
        <w:rPr>
          <w:rFonts w:hint="eastAsia" w:asciiTheme="minorEastAsia" w:hAnsiTheme="minorEastAsia" w:eastAsiaTheme="minorEastAsia"/>
          <w:color w:val="000000" w:themeColor="text1"/>
          <w:sz w:val="32"/>
          <w:highlight w:val="none"/>
          <w:lang w:val="en-US" w:eastAsia="zh-CN"/>
          <w14:textFill>
            <w14:solidFill>
              <w14:schemeClr w14:val="tx1"/>
            </w14:solidFill>
          </w14:textFill>
        </w:rPr>
        <w:t xml:space="preserve">采购包4</w:t>
      </w:r>
      <w:r>
        <w:rPr>
          <w:rFonts w:hint="eastAsia" w:asciiTheme="minorEastAsia" w:hAnsiTheme="minorEastAsia" w:eastAsiaTheme="minorEastAsia"/>
          <w:color w:val="000000" w:themeColor="text1"/>
          <w:sz w:val="32"/>
          <w:highlight w:val="none"/>
          <w14:textFill>
            <w14:solidFill>
              <w14:schemeClr w14:val="tx1"/>
            </w14:solidFill>
          </w14:textFill>
        </w:rPr>
        <w:t xml:space="preserve">投标产品配置及分项报价表</w:t>
      </w:r>
      <w:r/>
    </w:p>
    <w:tbl>
      <w:tblPr>
        <w:tblStyle w:val="774"/>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1"/>
        <w:gridCol w:w="1017"/>
        <w:gridCol w:w="1017"/>
        <w:gridCol w:w="983"/>
        <w:gridCol w:w="1117"/>
        <w:gridCol w:w="1833"/>
        <w:gridCol w:w="1283"/>
      </w:tblGrid>
      <w:tr>
        <w:trPr>
          <w:cantSplit/>
          <w:jc w:val="center"/>
          <w:trHeight w:val="567"/>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w:t>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p>
        </w:tc>
        <w:tc>
          <w:tcPr>
            <w:tcW w:w="1283"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w:t>
            </w:r>
            <w:r/>
          </w:p>
        </w:tc>
      </w:tr>
      <w:tr>
        <w:trPr>
          <w:cantSplit/>
          <w:jc w:val="center"/>
          <w:trHeight w:val="567"/>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产品名称及规格、型号</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制造商</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产地</w:t>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交付期</w:t>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单价（元/吨）</w:t>
            </w:r>
            <w:r/>
          </w:p>
        </w:tc>
        <w:tc>
          <w:tcPr>
            <w:tcW w:w="12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总价（元）</w:t>
            </w:r>
            <w:r/>
          </w:p>
        </w:tc>
      </w:tr>
      <w:tr>
        <w:trPr>
          <w:cantSplit/>
          <w:jc w:val="center"/>
          <w:trHeight w:val="567"/>
        </w:trPr>
        <w:tc>
          <w:tcPr>
            <w:tcW w:w="2641" w:type="dxa"/>
            <w:vAlign w:val="center"/>
            <w:textDirection w:val="lrTb"/>
            <w:noWrap w:val="false"/>
          </w:tcPr>
          <w:p>
            <w:pPr>
              <w:jc w:val="center"/>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40%烯啶·吡蚜酮</w:t>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8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7"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3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83" w:type="dxa"/>
            <w:vAlign w:val="center"/>
            <w:textDirection w:val="lrTb"/>
            <w:noWrap w:val="false"/>
          </w:tcPr>
          <w:p>
            <w:pPr>
              <w:jc w:val="center"/>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300000.00</w:t>
            </w:r>
            <w:r/>
          </w:p>
        </w:tc>
      </w:tr>
    </w:tbl>
    <w:p>
      <w:pPr>
        <w:jc w:val="center"/>
        <w:keepLines/>
        <w:keepNext/>
        <w:spacing w:before="260" w:after="260" w:line="360" w:lineRule="auto"/>
        <w:rPr>
          <w:rFonts w:hint="eastAsia" w:cs="Arial" w:asciiTheme="minorEastAsia" w:hAnsiTheme="minorEastAsia"/>
          <w:b/>
          <w:bCs/>
          <w:color w:val="000000" w:themeColor="text1"/>
          <w:sz w:val="32"/>
          <w:szCs w:val="44"/>
          <w:highlight w:val="none"/>
          <w14:textFill>
            <w14:solidFill>
              <w14:schemeClr w14:val="tx1"/>
            </w14:solidFill>
          </w14:textFill>
        </w:rPr>
        <w:outlineLvl w:val="1"/>
      </w:pPr>
      <w:r>
        <w:rPr>
          <w:rFonts w:hint="eastAsia" w:cs="Arial" w:asciiTheme="minorEastAsia" w:hAnsiTheme="minorEastAsia"/>
          <w:b/>
          <w:bCs/>
          <w:color w:val="000000" w:themeColor="text1"/>
          <w:sz w:val="32"/>
          <w:szCs w:val="44"/>
          <w:highlight w:val="none"/>
          <w14:textFill>
            <w14:solidFill>
              <w14:schemeClr w14:val="tx1"/>
            </w14:solidFill>
          </w14:textFill>
        </w:rPr>
      </w:r>
      <w:r/>
    </w:p>
    <w:p>
      <w:pPr>
        <w:rPr>
          <w:rFonts w:hint="eastAsia" w:cs="Arial" w:asciiTheme="minorEastAsia" w:hAnsiTheme="minorEastAsia"/>
          <w:b/>
          <w:bCs/>
          <w:color w:val="000000" w:themeColor="text1"/>
          <w:sz w:val="32"/>
          <w:szCs w:val="44"/>
          <w:highlight w:val="none"/>
          <w14:textFill>
            <w14:solidFill>
              <w14:schemeClr w14:val="tx1"/>
            </w14:solidFill>
          </w14:textFill>
        </w:rPr>
      </w:pPr>
      <w:r>
        <w:rPr>
          <w:rFonts w:hint="eastAsia" w:cs="Arial" w:asciiTheme="minorEastAsia" w:hAnsiTheme="minorEastAsia"/>
          <w:b/>
          <w:bCs/>
          <w:color w:val="000000" w:themeColor="text1"/>
          <w:sz w:val="32"/>
          <w:szCs w:val="44"/>
          <w:highlight w:val="none"/>
          <w14:textFill>
            <w14:solidFill>
              <w14:schemeClr w14:val="tx1"/>
            </w14:solidFill>
          </w14:textFill>
        </w:rPr>
        <w:br w:type="page" w:clear="all"/>
      </w:r>
      <w:r/>
    </w:p>
    <w:p>
      <w:pPr>
        <w:jc w:val="center"/>
        <w:keepLines/>
        <w:keepNext/>
        <w:spacing w:before="260" w:after="260" w:line="360" w:lineRule="auto"/>
        <w:rPr>
          <w:rFonts w:cs="Arial" w:asciiTheme="minorEastAsia" w:hAnsiTheme="minorEastAsia" w:eastAsiaTheme="minorEastAsia"/>
          <w:b/>
          <w:bCs/>
          <w:color w:val="000000" w:themeColor="text1"/>
          <w:sz w:val="32"/>
          <w:szCs w:val="44"/>
          <w:highlight w:val="none"/>
          <w14:textFill>
            <w14:solidFill>
              <w14:schemeClr w14:val="tx1"/>
            </w14:solidFill>
          </w14:textFill>
        </w:rPr>
        <w:outlineLvl w:val="1"/>
      </w:pPr>
      <w:r>
        <w:rPr>
          <w:rFonts w:hint="eastAsia" w:cs="Arial" w:asciiTheme="minorEastAsia" w:hAnsiTheme="minorEastAsia"/>
          <w:b/>
          <w:bCs/>
          <w:color w:val="000000" w:themeColor="text1"/>
          <w:sz w:val="32"/>
          <w:szCs w:val="44"/>
          <w:highlight w:val="none"/>
          <w14:textFill>
            <w14:solidFill>
              <w14:schemeClr w14:val="tx1"/>
            </w14:solidFill>
          </w14:textFill>
        </w:rPr>
        <w:t xml:space="preserve">六、</w:t>
      </w:r>
      <w:r>
        <w:rPr>
          <w:rFonts w:hint="eastAsia" w:cs="Arial" w:asciiTheme="minorEastAsia" w:hAnsiTheme="minorEastAsia" w:eastAsiaTheme="minorEastAsia"/>
          <w:b/>
          <w:bCs/>
          <w:color w:val="000000" w:themeColor="text1"/>
          <w:sz w:val="32"/>
          <w:szCs w:val="44"/>
          <w:highlight w:val="none"/>
          <w14:textFill>
            <w14:solidFill>
              <w14:schemeClr w14:val="tx1"/>
            </w14:solidFill>
          </w14:textFill>
        </w:rPr>
        <w:t xml:space="preserve">技术参数响应及偏离表</w:t>
      </w:r>
      <w:bookmarkEnd w:id="67"/>
      <w:r/>
      <w:r/>
    </w:p>
    <w:tbl>
      <w:tblPr>
        <w:tblStyle w:val="774"/>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55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p>
        </w:tc>
        <w:tc>
          <w:tcPr>
            <w:tcW w:w="270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投标响应</w:t>
            </w:r>
            <w:r/>
          </w:p>
        </w:tc>
        <w:tc>
          <w:tcPr>
            <w:tcW w:w="1458"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超出、符合或偏离</w:t>
            </w:r>
            <w:r/>
          </w:p>
        </w:tc>
        <w:tc>
          <w:tcPr>
            <w:tcW w:w="121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注：1、按照基本技术要求详细填列。</w:t>
      </w:r>
      <w:r/>
    </w:p>
    <w:p>
      <w:pPr>
        <w:ind w:firstLine="787"/>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2、行数不够，可自行添加。</w:t>
      </w:r>
      <w:r/>
    </w:p>
    <w:p>
      <w:pPr>
        <w:jc w:val="center"/>
        <w:spacing w:line="360" w:lineRule="auto"/>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spacing w:line="360" w:lineRule="auto"/>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spacing w:line="360" w:lineRule="auto"/>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spacing w:line="360" w:lineRule="auto"/>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spacing w:line="360" w:lineRule="auto"/>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spacing w:line="360" w:lineRule="auto"/>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spacing w:line="360" w:lineRule="auto"/>
        <w:rPr>
          <w:rFonts w:ascii="黑体" w:hAnsi="Arial" w:eastAsia="黑体"/>
          <w:color w:val="000000" w:themeColor="text1"/>
          <w:sz w:val="32"/>
          <w:highlight w:val="none"/>
          <w14:textFill>
            <w14:solidFill>
              <w14:schemeClr w14:val="tx1"/>
            </w14:solidFill>
          </w14:textFill>
        </w:rPr>
      </w:pPr>
      <w:r>
        <w:rPr>
          <w:rFonts w:hint="eastAsia" w:ascii="黑体" w:hAnsi="Arial" w:eastAsia="黑体"/>
          <w:color w:val="000000" w:themeColor="text1"/>
          <w:sz w:val="32"/>
          <w:highlight w:val="none"/>
          <w14:textFill>
            <w14:solidFill>
              <w14:schemeClr w14:val="tx1"/>
            </w14:solidFill>
          </w14:textFill>
        </w:rPr>
        <w:br w:type="page" w:clear="all"/>
      </w:r>
      <w:r/>
    </w:p>
    <w:p>
      <w:pPr>
        <w:jc w:val="center"/>
        <w:keepLines/>
        <w:keepNext/>
        <w:spacing w:before="260" w:after="260" w:line="360" w:lineRule="auto"/>
        <w:rPr>
          <w:rFonts w:cs="Arial" w:asciiTheme="minorEastAsia" w:hAnsiTheme="minorEastAsia" w:eastAsiaTheme="minorEastAsia"/>
          <w:b/>
          <w:bCs/>
          <w:color w:val="000000" w:themeColor="text1"/>
          <w:sz w:val="32"/>
          <w:szCs w:val="44"/>
          <w:highlight w:val="none"/>
          <w14:textFill>
            <w14:solidFill>
              <w14:schemeClr w14:val="tx1"/>
            </w14:solidFill>
          </w14:textFill>
        </w:rPr>
        <w:outlineLvl w:val="1"/>
      </w:pPr>
      <w:r/>
      <w:bookmarkStart w:id="68" w:name="_Hlt26955054"/>
      <w:r/>
      <w:bookmarkEnd w:id="68"/>
      <w:r/>
      <w:bookmarkStart w:id="69" w:name="_Toc32633"/>
      <w:r>
        <w:rPr>
          <w:rFonts w:hint="eastAsia" w:cs="Arial" w:asciiTheme="minorEastAsia" w:hAnsiTheme="minorEastAsia"/>
          <w:b/>
          <w:bCs/>
          <w:color w:val="000000" w:themeColor="text1"/>
          <w:sz w:val="32"/>
          <w:szCs w:val="44"/>
          <w:highlight w:val="none"/>
          <w14:textFill>
            <w14:solidFill>
              <w14:schemeClr w14:val="tx1"/>
            </w14:solidFill>
          </w14:textFill>
        </w:rPr>
        <w:t xml:space="preserve">七</w:t>
      </w:r>
      <w:r>
        <w:rPr>
          <w:rFonts w:hint="eastAsia" w:cs="Arial" w:asciiTheme="minorEastAsia" w:hAnsiTheme="minorEastAsia" w:eastAsiaTheme="minorEastAsia"/>
          <w:b/>
          <w:bCs/>
          <w:color w:val="000000" w:themeColor="text1"/>
          <w:sz w:val="32"/>
          <w:szCs w:val="44"/>
          <w:highlight w:val="none"/>
          <w14:textFill>
            <w14:solidFill>
              <w14:schemeClr w14:val="tx1"/>
            </w14:solidFill>
          </w14:textFill>
        </w:rPr>
        <w:t xml:space="preserve">、商务条款响应及偏离表</w:t>
      </w:r>
      <w:bookmarkEnd w:id="69"/>
      <w:r/>
      <w:r/>
    </w:p>
    <w:tbl>
      <w:tblPr>
        <w:tblStyle w:val="774"/>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bookmarkStart w:id="70" w:name="_Hlt26955064"/>
            <w:r/>
            <w:bookmarkEnd w:id="70"/>
            <w:r/>
            <w:bookmarkStart w:id="71" w:name="_Hlt26671372"/>
            <w:r/>
            <w:bookmarkEnd w:id="71"/>
            <w:r/>
            <w:bookmarkStart w:id="72" w:name="_Hlt26609391"/>
            <w:r/>
            <w:bookmarkEnd w:id="72"/>
            <w:r/>
            <w:bookmarkStart w:id="73" w:name="_Hlt26580838"/>
            <w:r/>
            <w:bookmarkEnd w:id="73"/>
            <w:r/>
            <w:bookmarkStart w:id="74" w:name="_Hlt26955056"/>
            <w:r/>
            <w:bookmarkEnd w:id="74"/>
            <w:r/>
            <w:bookmarkStart w:id="75" w:name="_Hlt26782999"/>
            <w:r/>
            <w:bookmarkEnd w:id="75"/>
            <w:r/>
            <w:bookmarkStart w:id="76" w:name="_Hlt26671343"/>
            <w:r/>
            <w:bookmarkEnd w:id="76"/>
            <w:r/>
            <w:bookmarkStart w:id="77" w:name="_Hlt24879081"/>
            <w:r/>
            <w:bookmarkEnd w:id="77"/>
            <w:r>
              <w:rPr>
                <w:rFonts w:hint="eastAsia" w:ascii="仿宋_GB2312" w:hAnsi="宋体"/>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000000" w:themeColor="text1"/>
                <w:szCs w:val="21"/>
                <w:highlight w:val="none"/>
                <w14:textFill>
                  <w14:solidFill>
                    <w14:schemeClr w14:val="tx1"/>
                  </w14:solidFill>
                </w14:textFill>
              </w:rPr>
            </w:pPr>
            <w:r>
              <w:rPr>
                <w:rFonts w:ascii="仿宋_GB2312"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000000" w:themeColor="text1"/>
                <w:szCs w:val="21"/>
                <w:highlight w:val="none"/>
                <w14:textFill>
                  <w14:solidFill>
                    <w14:schemeClr w14:val="tx1"/>
                  </w14:solidFill>
                </w14:textFill>
              </w:rPr>
            </w:pPr>
            <w:r>
              <w:rPr>
                <w:rFonts w:ascii="仿宋_GB2312"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仿宋_GB2312" w:hAnsi="Arial"/>
          <w:color w:val="000000" w:themeColor="text1"/>
          <w:sz w:val="30"/>
          <w:highlight w:val="none"/>
          <w14:textFill>
            <w14:solidFill>
              <w14:schemeClr w14:val="tx1"/>
            </w14:solidFill>
          </w14:textFill>
        </w:rPr>
      </w:pPr>
      <w:r>
        <w:rPr>
          <w:rFonts w:ascii="仿宋_GB2312" w:hAnsi="Arial"/>
          <w:color w:val="000000" w:themeColor="text1"/>
          <w:sz w:val="30"/>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bookmarkStart w:id="78" w:name="_Hlt26671374"/>
      <w:r/>
      <w:bookmarkEnd w:id="78"/>
      <w:r/>
      <w:bookmarkStart w:id="79" w:name="_Hlt26609389"/>
      <w:r/>
      <w:bookmarkEnd w:id="79"/>
      <w:r/>
      <w:bookmarkStart w:id="80" w:name="_Hlt26955066"/>
      <w:r/>
      <w:bookmarkEnd w:id="80"/>
      <w:r/>
      <w:bookmarkStart w:id="81" w:name="_Toc462564146"/>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81"/>
      <w:r/>
      <w:r/>
    </w:p>
    <w:p>
      <w:pPr>
        <w:jc w:val="center"/>
        <w:spacing w:before="312"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主要标的信息（中标后将公示）</w:t>
      </w:r>
      <w:r/>
    </w:p>
    <w:tbl>
      <w:tblPr>
        <w:tblStyle w:val="774"/>
        <w:tblpPr w:horzAnchor="page" w:tblpXSpec="center" w:vertAnchor="text" w:tblpY="1659" w:leftFromText="180" w:topFromText="0" w:rightFromText="180" w:bottomFromText="0"/>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4"/>
      </w:tblGrid>
      <w:tr>
        <w:trPr>
          <w:jc w:val="center"/>
        </w:trPr>
        <w:tc>
          <w:tcPr>
            <w:tcW w:w="7534" w:type="dxa"/>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货物类</w:t>
            </w:r>
            <w:r/>
          </w:p>
        </w:tc>
      </w:tr>
      <w:tr>
        <w:trPr>
          <w:jc w:val="center"/>
          <w:trHeight w:val="3810"/>
        </w:trPr>
        <w:tc>
          <w:tcPr>
            <w:tcW w:w="7534"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品牌（如有）：</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r>
    </w:tbl>
    <w:p>
      <w:pPr>
        <w:jc w:val="left"/>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after="312"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 xml:space="preserve">投标人全称：</w:t>
      </w:r>
      <w:r/>
    </w:p>
    <w:sectPr>
      <w:headerReference w:type="default" r:id="rId10"/>
      <w:footerReference w:type="default" r:id="rId13"/>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283" w:leader="none"/>
      </w:tabs>
      <w:rPr>
        <w:sz w:val="18"/>
        <w:szCs w:val="18"/>
      </w:rPr>
    </w:pPr>
    <w:r>
      <w:rPr>
        <w:rFonts w:hint="eastAsia"/>
        <w:sz w:val="18"/>
        <w:szCs w:val="18"/>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283"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8"/>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rFonts w:hint="eastAsia"/>
        <w:sz w:val="18"/>
        <w:szCs w:val="18"/>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8"/>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p>
    <w:pPr>
      <w:pStyle w:val="7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szCs w:val="18"/>
      </w:rPr>
      <w:pBdr>
        <w:bottom w:val="none" w:color="auto" w:sz="0" w:space="1"/>
      </w:pBd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none" w:color="auto" w:sz="0" w:space="1"/>
      </w:pBdr>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ind w:left="25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4 Char"/>
    <w:basedOn w:val="773"/>
    <w:link w:val="767"/>
    <w:uiPriority w:val="9"/>
    <w:rPr>
      <w:rFonts w:ascii="Arial" w:hAnsi="Arial" w:eastAsia="Arial" w:cs="Arial"/>
      <w:b/>
      <w:bCs/>
      <w:sz w:val="26"/>
      <w:szCs w:val="26"/>
    </w:rPr>
  </w:style>
  <w:style w:type="character" w:styleId="751">
    <w:name w:val="Heading 5 Char"/>
    <w:basedOn w:val="773"/>
    <w:link w:val="768"/>
    <w:uiPriority w:val="9"/>
    <w:rPr>
      <w:rFonts w:ascii="Arial" w:hAnsi="Arial" w:eastAsia="Arial" w:cs="Arial"/>
      <w:b/>
      <w:bCs/>
      <w:sz w:val="24"/>
      <w:szCs w:val="24"/>
    </w:rPr>
  </w:style>
  <w:style w:type="character" w:styleId="752">
    <w:name w:val="Heading 6 Char"/>
    <w:basedOn w:val="773"/>
    <w:link w:val="769"/>
    <w:uiPriority w:val="9"/>
    <w:rPr>
      <w:rFonts w:ascii="Arial" w:hAnsi="Arial" w:eastAsia="Arial" w:cs="Arial"/>
      <w:b/>
      <w:bCs/>
      <w:sz w:val="22"/>
      <w:szCs w:val="22"/>
    </w:rPr>
  </w:style>
  <w:style w:type="character" w:styleId="753">
    <w:name w:val="Heading 7 Char"/>
    <w:basedOn w:val="773"/>
    <w:link w:val="770"/>
    <w:uiPriority w:val="9"/>
    <w:rPr>
      <w:rFonts w:ascii="Arial" w:hAnsi="Arial" w:eastAsia="Arial" w:cs="Arial"/>
      <w:b/>
      <w:bCs/>
      <w:i/>
      <w:iCs/>
      <w:sz w:val="22"/>
      <w:szCs w:val="22"/>
    </w:rPr>
  </w:style>
  <w:style w:type="character" w:styleId="754">
    <w:name w:val="Heading 8 Char"/>
    <w:basedOn w:val="773"/>
    <w:link w:val="771"/>
    <w:uiPriority w:val="9"/>
    <w:rPr>
      <w:rFonts w:ascii="Arial" w:hAnsi="Arial" w:eastAsia="Arial" w:cs="Arial"/>
      <w:i/>
      <w:iCs/>
      <w:sz w:val="22"/>
      <w:szCs w:val="22"/>
    </w:rPr>
  </w:style>
  <w:style w:type="character" w:styleId="755">
    <w:name w:val="Heading 9 Char"/>
    <w:basedOn w:val="773"/>
    <w:link w:val="772"/>
    <w:uiPriority w:val="9"/>
    <w:rPr>
      <w:rFonts w:ascii="Arial" w:hAnsi="Arial" w:eastAsia="Arial" w:cs="Arial"/>
      <w:i/>
      <w:iCs/>
      <w:sz w:val="21"/>
      <w:szCs w:val="21"/>
    </w:rPr>
  </w:style>
  <w:style w:type="character" w:styleId="756">
    <w:name w:val="Title Char"/>
    <w:basedOn w:val="773"/>
    <w:link w:val="799"/>
    <w:uiPriority w:val="10"/>
    <w:rPr>
      <w:sz w:val="48"/>
      <w:szCs w:val="48"/>
    </w:rPr>
  </w:style>
  <w:style w:type="character" w:styleId="757">
    <w:name w:val="Subtitle Char"/>
    <w:basedOn w:val="773"/>
    <w:link w:val="792"/>
    <w:uiPriority w:val="11"/>
    <w:rPr>
      <w:sz w:val="24"/>
      <w:szCs w:val="24"/>
    </w:rPr>
  </w:style>
  <w:style w:type="character" w:styleId="758">
    <w:name w:val="Quote Char"/>
    <w:link w:val="820"/>
    <w:uiPriority w:val="29"/>
    <w:rPr>
      <w:i/>
    </w:rPr>
  </w:style>
  <w:style w:type="character" w:styleId="759">
    <w:name w:val="Intense Quote Char"/>
    <w:link w:val="822"/>
    <w:uiPriority w:val="30"/>
    <w:rPr>
      <w:i/>
    </w:rPr>
  </w:style>
  <w:style w:type="character" w:styleId="760">
    <w:name w:val="Footnote Text Char"/>
    <w:link w:val="793"/>
    <w:uiPriority w:val="99"/>
    <w:rPr>
      <w:sz w:val="18"/>
    </w:rPr>
  </w:style>
  <w:style w:type="character" w:styleId="761">
    <w:name w:val="Endnote Text Char"/>
    <w:link w:val="786"/>
    <w:uiPriority w:val="99"/>
    <w:rPr>
      <w:sz w:val="20"/>
    </w:rPr>
  </w:style>
  <w:style w:type="paragraph" w:styleId="762">
    <w:name w:val="TOC Heading"/>
    <w:uiPriority w:val="39"/>
    <w:unhideWhenUsed/>
  </w:style>
  <w:style w:type="paragraph" w:styleId="763" w:default="1">
    <w:name w:val="Normal"/>
    <w:next w:val="775"/>
    <w:uiPriority w:val="0"/>
    <w:qFormat/>
    <w:pPr>
      <w:jc w:val="both"/>
      <w:widowControl w:val="off"/>
    </w:pPr>
    <w:rPr>
      <w:rFonts w:ascii="Calibri" w:hAnsi="Calibri" w:eastAsia="宋体" w:cs="Times New Roman"/>
      <w:sz w:val="21"/>
      <w:szCs w:val="22"/>
      <w:lang w:val="en-US" w:eastAsia="zh-CN" w:bidi="ar-SA"/>
    </w:rPr>
  </w:style>
  <w:style w:type="paragraph" w:styleId="764">
    <w:name w:val="Heading 1"/>
    <w:basedOn w:val="763"/>
    <w:next w:val="763"/>
    <w:uiPriority w:val="9"/>
    <w:qFormat/>
    <w:pPr>
      <w:keepLines/>
      <w:keepNext/>
      <w:spacing w:before="340" w:after="330" w:line="578" w:lineRule="auto"/>
      <w:outlineLvl w:val="0"/>
    </w:pPr>
    <w:rPr>
      <w:b/>
      <w:bCs/>
      <w:sz w:val="44"/>
      <w:szCs w:val="44"/>
    </w:rPr>
  </w:style>
  <w:style w:type="paragraph" w:styleId="765">
    <w:name w:val="Heading 2"/>
    <w:basedOn w:val="763"/>
    <w:next w:val="7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6">
    <w:name w:val="Heading 3"/>
    <w:basedOn w:val="763"/>
    <w:next w:val="763"/>
    <w:uiPriority w:val="0"/>
    <w:qFormat/>
    <w:pPr>
      <w:keepLines/>
      <w:keepNext/>
      <w:spacing w:before="260" w:after="260" w:line="416" w:lineRule="auto"/>
      <w:outlineLvl w:val="2"/>
    </w:pPr>
    <w:rPr>
      <w:b/>
      <w:bCs/>
      <w:sz w:val="32"/>
      <w:szCs w:val="32"/>
    </w:rPr>
  </w:style>
  <w:style w:type="paragraph" w:styleId="767">
    <w:name w:val="Heading 4"/>
    <w:basedOn w:val="763"/>
    <w:next w:val="763"/>
    <w:link w:val="810"/>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11"/>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12"/>
    <w:uiPriority w:val="9"/>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13"/>
    <w:uiPriority w:val="9"/>
    <w:unhideWhenUsed/>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14"/>
    <w:uiPriority w:val="9"/>
    <w:unhideWhenUsed/>
    <w:qFormat/>
    <w:pPr>
      <w:keepLines/>
      <w:keepNext/>
      <w:spacing w:before="320" w:after="200"/>
      <w:outlineLvl w:val="7"/>
    </w:pPr>
    <w:rPr>
      <w:rFonts w:ascii="Arial" w:hAnsi="Arial" w:eastAsia="Arial" w:cs="Arial"/>
      <w:i/>
      <w:iCs/>
      <w:sz w:val="22"/>
    </w:rPr>
  </w:style>
  <w:style w:type="paragraph" w:styleId="772">
    <w:name w:val="Heading 9"/>
    <w:basedOn w:val="763"/>
    <w:next w:val="763"/>
    <w:link w:val="815"/>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index 4"/>
    <w:basedOn w:val="763"/>
    <w:next w:val="763"/>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76">
    <w:name w:val="Normal Indent"/>
    <w:basedOn w:val="763"/>
    <w:uiPriority w:val="0"/>
    <w:unhideWhenUsed/>
    <w:qFormat/>
    <w:pPr>
      <w:ind w:firstLine="420"/>
    </w:pPr>
  </w:style>
  <w:style w:type="paragraph" w:styleId="777">
    <w:name w:val="toc 7"/>
    <w:basedOn w:val="763"/>
    <w:next w:val="763"/>
    <w:uiPriority w:val="39"/>
    <w:unhideWhenUsed/>
    <w:qFormat/>
    <w:pPr>
      <w:ind w:left="1701"/>
      <w:spacing w:after="57"/>
    </w:pPr>
  </w:style>
  <w:style w:type="paragraph" w:styleId="778">
    <w:name w:val="Caption"/>
    <w:basedOn w:val="763"/>
    <w:next w:val="7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9">
    <w:name w:val="annotation text"/>
    <w:basedOn w:val="763"/>
    <w:uiPriority w:val="0"/>
    <w:qFormat/>
    <w:pPr>
      <w:jc w:val="left"/>
    </w:pPr>
  </w:style>
  <w:style w:type="paragraph" w:styleId="780">
    <w:name w:val="Body Text"/>
    <w:basedOn w:val="763"/>
    <w:uiPriority w:val="0"/>
    <w:qFormat/>
    <w:rPr>
      <w:rFonts w:ascii="楷体_GB2312" w:hAnsi="Arial" w:eastAsia="楷体_GB2312"/>
      <w:sz w:val="28"/>
      <w:szCs w:val="28"/>
    </w:rPr>
  </w:style>
  <w:style w:type="paragraph" w:styleId="781">
    <w:name w:val="Body Text Indent"/>
    <w:basedOn w:val="763"/>
    <w:uiPriority w:val="99"/>
    <w:unhideWhenUsed/>
    <w:qFormat/>
    <w:pPr>
      <w:ind w:left="420"/>
      <w:spacing w:after="120"/>
    </w:pPr>
  </w:style>
  <w:style w:type="paragraph" w:styleId="782">
    <w:name w:val="toc 5"/>
    <w:basedOn w:val="763"/>
    <w:next w:val="763"/>
    <w:uiPriority w:val="39"/>
    <w:unhideWhenUsed/>
    <w:qFormat/>
    <w:pPr>
      <w:ind w:left="1134"/>
      <w:spacing w:after="57"/>
    </w:pPr>
  </w:style>
  <w:style w:type="paragraph" w:styleId="783">
    <w:name w:val="toc 3"/>
    <w:basedOn w:val="763"/>
    <w:next w:val="763"/>
    <w:uiPriority w:val="39"/>
    <w:unhideWhenUsed/>
    <w:qFormat/>
    <w:pPr>
      <w:ind w:left="567"/>
      <w:spacing w:after="57"/>
    </w:pPr>
  </w:style>
  <w:style w:type="paragraph" w:styleId="784">
    <w:name w:val="Plain Text"/>
    <w:basedOn w:val="763"/>
    <w:uiPriority w:val="99"/>
    <w:qFormat/>
    <w:rPr>
      <w:rFonts w:ascii="宋体" w:hAnsi="Courier New"/>
      <w:sz w:val="20"/>
      <w:szCs w:val="21"/>
    </w:rPr>
  </w:style>
  <w:style w:type="paragraph" w:styleId="785">
    <w:name w:val="toc 8"/>
    <w:basedOn w:val="763"/>
    <w:next w:val="763"/>
    <w:uiPriority w:val="39"/>
    <w:unhideWhenUsed/>
    <w:qFormat/>
    <w:pPr>
      <w:ind w:left="1984"/>
      <w:spacing w:after="57"/>
    </w:pPr>
  </w:style>
  <w:style w:type="paragraph" w:styleId="786">
    <w:name w:val="endnote text"/>
    <w:basedOn w:val="763"/>
    <w:link w:val="953"/>
    <w:uiPriority w:val="99"/>
    <w:semiHidden/>
    <w:unhideWhenUsed/>
    <w:qFormat/>
    <w:rPr>
      <w:sz w:val="20"/>
    </w:rPr>
  </w:style>
  <w:style w:type="paragraph" w:styleId="787">
    <w:name w:val="Balloon Text"/>
    <w:basedOn w:val="763"/>
    <w:link w:val="963"/>
    <w:uiPriority w:val="0"/>
    <w:qFormat/>
    <w:rPr>
      <w:sz w:val="18"/>
      <w:szCs w:val="18"/>
    </w:rPr>
  </w:style>
  <w:style w:type="paragraph" w:styleId="788">
    <w:name w:val="Footer"/>
    <w:basedOn w:val="763"/>
    <w:uiPriority w:val="99"/>
    <w:unhideWhenUsed/>
    <w:qFormat/>
    <w:pPr>
      <w:jc w:val="left"/>
      <w:tabs>
        <w:tab w:val="center" w:pos="4153" w:leader="none"/>
        <w:tab w:val="right" w:pos="8306" w:leader="none"/>
      </w:tabs>
    </w:pPr>
    <w:rPr>
      <w:sz w:val="18"/>
      <w:szCs w:val="18"/>
    </w:rPr>
  </w:style>
  <w:style w:type="paragraph" w:styleId="789">
    <w:name w:val="Header"/>
    <w:basedOn w:val="7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63"/>
    <w:next w:val="763"/>
    <w:uiPriority w:val="39"/>
    <w:unhideWhenUsed/>
    <w:qFormat/>
  </w:style>
  <w:style w:type="paragraph" w:styleId="791">
    <w:name w:val="toc 4"/>
    <w:basedOn w:val="763"/>
    <w:next w:val="763"/>
    <w:uiPriority w:val="39"/>
    <w:unhideWhenUsed/>
    <w:qFormat/>
    <w:pPr>
      <w:ind w:left="850"/>
      <w:spacing w:after="57"/>
    </w:pPr>
  </w:style>
  <w:style w:type="paragraph" w:styleId="792">
    <w:name w:val="Subtitle"/>
    <w:basedOn w:val="763"/>
    <w:next w:val="763"/>
    <w:link w:val="819"/>
    <w:uiPriority w:val="11"/>
    <w:qFormat/>
    <w:pPr>
      <w:spacing w:before="200" w:after="200"/>
    </w:pPr>
    <w:rPr>
      <w:sz w:val="24"/>
      <w:szCs w:val="24"/>
    </w:rPr>
  </w:style>
  <w:style w:type="paragraph" w:styleId="793">
    <w:name w:val="footnote text"/>
    <w:basedOn w:val="763"/>
    <w:link w:val="952"/>
    <w:uiPriority w:val="99"/>
    <w:semiHidden/>
    <w:unhideWhenUsed/>
    <w:qFormat/>
    <w:pPr>
      <w:spacing w:after="40"/>
    </w:pPr>
    <w:rPr>
      <w:sz w:val="18"/>
    </w:rPr>
  </w:style>
  <w:style w:type="paragraph" w:styleId="794">
    <w:name w:val="toc 6"/>
    <w:basedOn w:val="763"/>
    <w:next w:val="763"/>
    <w:uiPriority w:val="39"/>
    <w:unhideWhenUsed/>
    <w:qFormat/>
    <w:pPr>
      <w:ind w:left="1417"/>
      <w:spacing w:after="57"/>
    </w:pPr>
  </w:style>
  <w:style w:type="paragraph" w:styleId="795">
    <w:name w:val="table of figures"/>
    <w:basedOn w:val="763"/>
    <w:next w:val="763"/>
    <w:uiPriority w:val="99"/>
    <w:unhideWhenUsed/>
    <w:qFormat/>
  </w:style>
  <w:style w:type="paragraph" w:styleId="796">
    <w:name w:val="toc 2"/>
    <w:basedOn w:val="763"/>
    <w:next w:val="763"/>
    <w:uiPriority w:val="0"/>
    <w:qFormat/>
    <w:pPr>
      <w:ind w:left="420"/>
    </w:pPr>
  </w:style>
  <w:style w:type="paragraph" w:styleId="797">
    <w:name w:val="toc 9"/>
    <w:basedOn w:val="763"/>
    <w:next w:val="763"/>
    <w:uiPriority w:val="39"/>
    <w:unhideWhenUsed/>
    <w:qFormat/>
    <w:pPr>
      <w:ind w:left="2268"/>
      <w:spacing w:after="57"/>
    </w:pPr>
  </w:style>
  <w:style w:type="paragraph" w:styleId="798">
    <w:name w:val="Normal (Web)"/>
    <w:basedOn w:val="763"/>
    <w:uiPriority w:val="0"/>
    <w:qFormat/>
    <w:rPr>
      <w:rFonts w:ascii="Times New Roman" w:hAnsi="Times New Roman"/>
      <w:sz w:val="24"/>
    </w:rPr>
  </w:style>
  <w:style w:type="paragraph" w:styleId="799">
    <w:name w:val="Title"/>
    <w:basedOn w:val="763"/>
    <w:next w:val="763"/>
    <w:link w:val="818"/>
    <w:uiPriority w:val="10"/>
    <w:qFormat/>
    <w:pPr>
      <w:contextualSpacing/>
      <w:spacing w:before="300" w:after="200"/>
    </w:pPr>
    <w:rPr>
      <w:sz w:val="48"/>
      <w:szCs w:val="48"/>
    </w:rPr>
  </w:style>
  <w:style w:type="paragraph" w:styleId="800">
    <w:name w:val="Body Text First Indent 2"/>
    <w:basedOn w:val="781"/>
    <w:uiPriority w:val="0"/>
    <w:qFormat/>
    <w:pPr>
      <w:ind w:left="0" w:firstLine="420"/>
    </w:pPr>
  </w:style>
  <w:style w:type="table" w:styleId="801">
    <w:name w:val="Table Grid"/>
    <w:basedOn w:val="7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uiPriority w:val="0"/>
    <w:qFormat/>
    <w:rPr>
      <w:b/>
    </w:rPr>
  </w:style>
  <w:style w:type="character" w:styleId="803">
    <w:name w:val="endnote reference"/>
    <w:basedOn w:val="773"/>
    <w:uiPriority w:val="99"/>
    <w:semiHidden/>
    <w:unhideWhenUsed/>
    <w:qFormat/>
    <w:rPr>
      <w:vertAlign w:val="superscript"/>
    </w:rPr>
  </w:style>
  <w:style w:type="character" w:styleId="804">
    <w:name w:val="Hyperlink"/>
    <w:basedOn w:val="773"/>
    <w:uiPriority w:val="0"/>
    <w:qFormat/>
    <w:rPr>
      <w:color w:val="0000ff"/>
      <w:u w:val="single"/>
    </w:rPr>
  </w:style>
  <w:style w:type="character" w:styleId="805">
    <w:name w:val="annotation reference"/>
    <w:basedOn w:val="773"/>
    <w:uiPriority w:val="0"/>
    <w:qFormat/>
    <w:rPr>
      <w:sz w:val="21"/>
      <w:szCs w:val="21"/>
    </w:rPr>
  </w:style>
  <w:style w:type="character" w:styleId="806">
    <w:name w:val="footnote reference"/>
    <w:basedOn w:val="773"/>
    <w:uiPriority w:val="99"/>
    <w:unhideWhenUsed/>
    <w:qFormat/>
    <w:rPr>
      <w:vertAlign w:val="superscript"/>
    </w:rPr>
  </w:style>
  <w:style w:type="character" w:styleId="807" w:customStyle="1">
    <w:name w:val="Heading 1 Char"/>
    <w:basedOn w:val="773"/>
    <w:uiPriority w:val="9"/>
    <w:qFormat/>
    <w:rPr>
      <w:rFonts w:ascii="Arial" w:hAnsi="Arial" w:eastAsia="Arial" w:cs="Arial"/>
      <w:sz w:val="40"/>
      <w:szCs w:val="40"/>
    </w:rPr>
  </w:style>
  <w:style w:type="character" w:styleId="808" w:customStyle="1">
    <w:name w:val="Heading 2 Char"/>
    <w:basedOn w:val="773"/>
    <w:uiPriority w:val="9"/>
    <w:qFormat/>
    <w:rPr>
      <w:rFonts w:ascii="Arial" w:hAnsi="Arial" w:eastAsia="Arial" w:cs="Arial"/>
      <w:sz w:val="34"/>
    </w:rPr>
  </w:style>
  <w:style w:type="character" w:styleId="809" w:customStyle="1">
    <w:name w:val="Heading 3 Char"/>
    <w:basedOn w:val="773"/>
    <w:uiPriority w:val="9"/>
    <w:qFormat/>
    <w:rPr>
      <w:rFonts w:ascii="Arial" w:hAnsi="Arial" w:eastAsia="Arial" w:cs="Arial"/>
      <w:sz w:val="30"/>
      <w:szCs w:val="30"/>
    </w:rPr>
  </w:style>
  <w:style w:type="character" w:styleId="810" w:customStyle="1">
    <w:name w:val="标题 4 Char"/>
    <w:basedOn w:val="773"/>
    <w:link w:val="767"/>
    <w:uiPriority w:val="9"/>
    <w:qFormat/>
    <w:rPr>
      <w:rFonts w:ascii="Arial" w:hAnsi="Arial" w:eastAsia="Arial" w:cs="Arial"/>
      <w:b/>
      <w:bCs/>
      <w:sz w:val="26"/>
      <w:szCs w:val="26"/>
    </w:rPr>
  </w:style>
  <w:style w:type="character" w:styleId="811" w:customStyle="1">
    <w:name w:val="标题 5 Char"/>
    <w:basedOn w:val="773"/>
    <w:link w:val="768"/>
    <w:uiPriority w:val="9"/>
    <w:qFormat/>
    <w:rPr>
      <w:rFonts w:ascii="Arial" w:hAnsi="Arial" w:eastAsia="Arial" w:cs="Arial"/>
      <w:b/>
      <w:bCs/>
      <w:sz w:val="24"/>
      <w:szCs w:val="24"/>
    </w:rPr>
  </w:style>
  <w:style w:type="character" w:styleId="812" w:customStyle="1">
    <w:name w:val="标题 6 Char"/>
    <w:basedOn w:val="773"/>
    <w:link w:val="769"/>
    <w:uiPriority w:val="9"/>
    <w:qFormat/>
    <w:rPr>
      <w:rFonts w:ascii="Arial" w:hAnsi="Arial" w:eastAsia="Arial" w:cs="Arial"/>
      <w:b/>
      <w:bCs/>
      <w:sz w:val="22"/>
      <w:szCs w:val="22"/>
    </w:rPr>
  </w:style>
  <w:style w:type="character" w:styleId="813" w:customStyle="1">
    <w:name w:val="标题 7 Char"/>
    <w:basedOn w:val="773"/>
    <w:link w:val="770"/>
    <w:uiPriority w:val="9"/>
    <w:qFormat/>
    <w:rPr>
      <w:rFonts w:ascii="Arial" w:hAnsi="Arial" w:eastAsia="Arial" w:cs="Arial"/>
      <w:b/>
      <w:bCs/>
      <w:i/>
      <w:iCs/>
      <w:sz w:val="22"/>
      <w:szCs w:val="22"/>
    </w:rPr>
  </w:style>
  <w:style w:type="character" w:styleId="814" w:customStyle="1">
    <w:name w:val="标题 8 Char"/>
    <w:basedOn w:val="773"/>
    <w:link w:val="771"/>
    <w:uiPriority w:val="9"/>
    <w:qFormat/>
    <w:rPr>
      <w:rFonts w:ascii="Arial" w:hAnsi="Arial" w:eastAsia="Arial" w:cs="Arial"/>
      <w:i/>
      <w:iCs/>
      <w:sz w:val="22"/>
      <w:szCs w:val="22"/>
    </w:rPr>
  </w:style>
  <w:style w:type="character" w:styleId="815" w:customStyle="1">
    <w:name w:val="标题 9 Char"/>
    <w:basedOn w:val="773"/>
    <w:link w:val="772"/>
    <w:uiPriority w:val="9"/>
    <w:qFormat/>
    <w:rPr>
      <w:rFonts w:ascii="Arial" w:hAnsi="Arial" w:eastAsia="Arial" w:cs="Arial"/>
      <w:i/>
      <w:iCs/>
      <w:sz w:val="21"/>
      <w:szCs w:val="21"/>
    </w:rPr>
  </w:style>
  <w:style w:type="paragraph" w:styleId="816">
    <w:name w:val="List Paragraph"/>
    <w:basedOn w:val="763"/>
    <w:uiPriority w:val="34"/>
    <w:qFormat/>
    <w:pPr>
      <w:contextualSpacing/>
      <w:ind w:left="720"/>
    </w:pPr>
  </w:style>
  <w:style w:type="paragraph" w:styleId="817">
    <w:name w:val="No Spacing"/>
    <w:uiPriority w:val="1"/>
    <w:qFormat/>
    <w:rPr>
      <w:rFonts w:ascii="Times New Roman" w:hAnsi="Times New Roman" w:eastAsia="宋体" w:cs="Times New Roman"/>
      <w:lang w:val="en-US" w:eastAsia="zh-CN" w:bidi="ar-SA"/>
    </w:rPr>
  </w:style>
  <w:style w:type="character" w:styleId="818" w:customStyle="1">
    <w:name w:val="标题 Char"/>
    <w:basedOn w:val="773"/>
    <w:link w:val="799"/>
    <w:uiPriority w:val="10"/>
    <w:qFormat/>
    <w:rPr>
      <w:sz w:val="48"/>
      <w:szCs w:val="48"/>
    </w:rPr>
  </w:style>
  <w:style w:type="character" w:styleId="819" w:customStyle="1">
    <w:name w:val="副标题 Char"/>
    <w:basedOn w:val="773"/>
    <w:link w:val="792"/>
    <w:uiPriority w:val="11"/>
    <w:qFormat/>
    <w:rPr>
      <w:sz w:val="24"/>
      <w:szCs w:val="24"/>
    </w:rPr>
  </w:style>
  <w:style w:type="paragraph" w:styleId="820">
    <w:name w:val="Quote"/>
    <w:basedOn w:val="763"/>
    <w:next w:val="763"/>
    <w:link w:val="821"/>
    <w:uiPriority w:val="29"/>
    <w:qFormat/>
    <w:pPr>
      <w:ind w:left="720" w:right="720"/>
    </w:pPr>
    <w:rPr>
      <w:i/>
    </w:rPr>
  </w:style>
  <w:style w:type="character" w:styleId="821" w:customStyle="1">
    <w:name w:val="引用 Char"/>
    <w:link w:val="820"/>
    <w:uiPriority w:val="29"/>
    <w:qFormat/>
    <w:rPr>
      <w:i/>
    </w:rPr>
  </w:style>
  <w:style w:type="paragraph" w:styleId="822">
    <w:name w:val="Intense Quote"/>
    <w:basedOn w:val="763"/>
    <w:next w:val="763"/>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Char"/>
    <w:link w:val="822"/>
    <w:uiPriority w:val="30"/>
    <w:qFormat/>
    <w:rPr>
      <w:i/>
    </w:rPr>
  </w:style>
  <w:style w:type="character" w:styleId="824" w:customStyle="1">
    <w:name w:val="Header Char"/>
    <w:basedOn w:val="773"/>
    <w:uiPriority w:val="99"/>
    <w:qFormat/>
  </w:style>
  <w:style w:type="character" w:styleId="825" w:customStyle="1">
    <w:name w:val="Footer Char"/>
    <w:basedOn w:val="773"/>
    <w:uiPriority w:val="99"/>
    <w:qFormat/>
  </w:style>
  <w:style w:type="character" w:styleId="826" w:customStyle="1">
    <w:name w:val="Caption Char"/>
    <w:uiPriority w:val="99"/>
    <w:qFormat/>
  </w:style>
  <w:style w:type="table" w:styleId="827" w:customStyle="1">
    <w:name w:val="Table Grid Light"/>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7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7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Grid Table 3"/>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7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7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7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6" w:customStyle="1">
    <w:name w:val="Grid Table 4 - Accent 2"/>
    <w:basedOn w:val="77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7" w:customStyle="1">
    <w:name w:val="Grid Table 4 - Accent 3"/>
    <w:basedOn w:val="77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8" w:customStyle="1">
    <w:name w:val="Grid Table 4 - Accent 4"/>
    <w:basedOn w:val="77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9" w:customStyle="1">
    <w:name w:val="Grid Table 4 - Accent 5"/>
    <w:basedOn w:val="77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0" w:customStyle="1">
    <w:name w:val="Grid Table 4 - Accent 6"/>
    <w:basedOn w:val="77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1" w:customStyle="1">
    <w:name w:val="Grid Table 5 Dark"/>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3" w:customStyle="1">
    <w:name w:val="Grid Table 5 Dark - Accent 2"/>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4" w:customStyle="1">
    <w:name w:val="Grid Table 5 Dark - Accent 3"/>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5" w:customStyle="1">
    <w:name w:val="Grid Table 5 Dark- Accent 4"/>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6" w:customStyle="1">
    <w:name w:val="Grid Table 5 Dark - Accent 5"/>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7" w:customStyle="1">
    <w:name w:val="Grid Table 5 Dark - Accent 6"/>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8" w:customStyle="1">
    <w:name w:val="Grid Table 6 Colorful"/>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7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7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2" w:customStyle="1">
    <w:name w:val="Grid Table 6 Colorful - Accent 4"/>
    <w:basedOn w:val="7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7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Grid Table 6 Colorful - Accent 6"/>
    <w:basedOn w:val="77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7 Colorful"/>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7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7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7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7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7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7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7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7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7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7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7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7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7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List Table 2"/>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7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1" w:customStyle="1">
    <w:name w:val="List Table 2 - Accent 2"/>
    <w:basedOn w:val="77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7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7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7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5" w:customStyle="1">
    <w:name w:val="List Table 2 - Accent 6"/>
    <w:basedOn w:val="77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7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3 - Accent 2"/>
    <w:basedOn w:val="7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7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7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7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3" w:customStyle="1">
    <w:name w:val="List Table 4"/>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7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4 - Accent 2"/>
    <w:basedOn w:val="77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6" w:customStyle="1">
    <w:name w:val="List Table 4 - Accent 3"/>
    <w:basedOn w:val="77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7" w:customStyle="1">
    <w:name w:val="List Table 4 - Accent 4"/>
    <w:basedOn w:val="77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8" w:customStyle="1">
    <w:name w:val="List Table 4 - Accent 5"/>
    <w:basedOn w:val="77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9" w:customStyle="1">
    <w:name w:val="List Table 4 - Accent 6"/>
    <w:basedOn w:val="77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0" w:customStyle="1">
    <w:name w:val="List Table 5 Dark"/>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7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7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7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7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7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7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7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7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9" w:customStyle="1">
    <w:name w:val="List Table 6 Colorful - Accent 2"/>
    <w:basedOn w:val="77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0" w:customStyle="1">
    <w:name w:val="List Table 6 Colorful - Accent 3"/>
    <w:basedOn w:val="77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1" w:customStyle="1">
    <w:name w:val="List Table 6 Colorful - Accent 4"/>
    <w:basedOn w:val="77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2" w:customStyle="1">
    <w:name w:val="List Table 6 Colorful - Accent 5"/>
    <w:basedOn w:val="77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3" w:customStyle="1">
    <w:name w:val="List Table 6 Colorful - Accent 6"/>
    <w:basedOn w:val="77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4" w:customStyle="1">
    <w:name w:val="List Table 7 Colorful"/>
    <w:basedOn w:val="77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7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7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7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7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7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7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Lined - Accent 2"/>
    <w:basedOn w:val="7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Lined - Accent 3"/>
    <w:basedOn w:val="7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Lined - Accent 4"/>
    <w:basedOn w:val="7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Lined - Accent 5"/>
    <w:basedOn w:val="7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Lined - Accent 6"/>
    <w:basedOn w:val="77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amp; Lined - Accent"/>
    <w:basedOn w:val="7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7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Bordered &amp; Lined - Accent 2"/>
    <w:basedOn w:val="77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Bordered &amp; Lined - Accent 3"/>
    <w:basedOn w:val="77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Bordered &amp; Lined - Accent 4"/>
    <w:basedOn w:val="77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Bordered &amp; Lined - Accent 5"/>
    <w:basedOn w:val="77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Bordered &amp; Lined - Accent 6"/>
    <w:basedOn w:val="77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w:basedOn w:val="7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7" w:customStyle="1">
    <w:name w:val="Bordered - Accent 2"/>
    <w:basedOn w:val="7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8" w:customStyle="1">
    <w:name w:val="Bordered - Accent 3"/>
    <w:basedOn w:val="7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9" w:customStyle="1">
    <w:name w:val="Bordered - Accent 4"/>
    <w:basedOn w:val="7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0" w:customStyle="1">
    <w:name w:val="Bordered - Accent 5"/>
    <w:basedOn w:val="7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1" w:customStyle="1">
    <w:name w:val="Bordered - Accent 6"/>
    <w:basedOn w:val="7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2" w:customStyle="1">
    <w:name w:val="脚注文本 Char"/>
    <w:link w:val="793"/>
    <w:uiPriority w:val="99"/>
    <w:qFormat/>
    <w:rPr>
      <w:sz w:val="18"/>
    </w:rPr>
  </w:style>
  <w:style w:type="character" w:styleId="953" w:customStyle="1">
    <w:name w:val="尾注文本 Char"/>
    <w:link w:val="786"/>
    <w:uiPriority w:val="99"/>
    <w:qFormat/>
    <w:rPr>
      <w:sz w:val="20"/>
    </w:r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首行缩进"/>
    <w:basedOn w:val="763"/>
    <w:uiPriority w:val="0"/>
    <w:qFormat/>
    <w:pPr>
      <w:ind w:firstLine="420"/>
      <w:spacing w:line="360" w:lineRule="auto"/>
    </w:pPr>
  </w:style>
  <w:style w:type="paragraph" w:styleId="956" w:customStyle="1">
    <w:name w:val="正文1"/>
    <w:basedOn w:val="763"/>
    <w:next w:val="957"/>
    <w:uiPriority w:val="0"/>
    <w:qFormat/>
    <w:pPr>
      <w:jc w:val="left"/>
      <w:spacing w:line="360" w:lineRule="atLeast"/>
    </w:pPr>
    <w:rPr>
      <w:rFonts w:ascii="宋体" w:hAnsiTheme="minorHAnsi" w:eastAsiaTheme="minorEastAsia" w:cstheme="minorBidi"/>
      <w:sz w:val="24"/>
      <w:szCs w:val="20"/>
    </w:rPr>
  </w:style>
  <w:style w:type="paragraph" w:styleId="957" w:customStyle="1">
    <w:name w:val="正文文本1"/>
    <w:basedOn w:val="956"/>
    <w:next w:val="958"/>
    <w:uiPriority w:val="0"/>
    <w:qFormat/>
    <w:pPr>
      <w:spacing w:after="120"/>
    </w:pPr>
    <w:rPr>
      <w:lang w:eastAsia="en-US"/>
    </w:rPr>
  </w:style>
  <w:style w:type="paragraph" w:styleId="958" w:customStyle="1">
    <w:name w:val="一级条标题"/>
    <w:basedOn w:val="959"/>
    <w:next w:val="9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9" w:customStyle="1">
    <w:name w:val="章标题"/>
    <w:next w:val="7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0" w:customStyle="1">
    <w:name w:val="段"/>
    <w:basedOn w:val="956"/>
    <w:next w:val="763"/>
    <w:uiPriority w:val="0"/>
    <w:qFormat/>
    <w:pPr>
      <w:ind w:firstLine="200"/>
      <w:widowControl/>
    </w:pPr>
    <w:rPr>
      <w:sz w:val="20"/>
    </w:rPr>
  </w:style>
  <w:style w:type="paragraph" w:styleId="961" w:customStyle="1">
    <w:name w:val="普通正文"/>
    <w:basedOn w:val="763"/>
    <w:uiPriority w:val="0"/>
    <w:qFormat/>
    <w:pPr>
      <w:ind w:firstLine="480"/>
      <w:jc w:val="left"/>
      <w:spacing w:before="120" w:after="120" w:line="360" w:lineRule="auto"/>
    </w:pPr>
    <w:rPr>
      <w:rFonts w:ascii="Arial" w:hAnsi="Arial"/>
      <w:sz w:val="24"/>
      <w:szCs w:val="24"/>
    </w:rPr>
  </w:style>
  <w:style w:type="paragraph" w:styleId="962" w:customStyle="1">
    <w:name w:val="Char"/>
    <w:basedOn w:val="763"/>
    <w:uiPriority w:val="0"/>
    <w:qFormat/>
    <w:pPr>
      <w:ind w:firstLine="200"/>
      <w:tabs>
        <w:tab w:val="left" w:pos="360" w:leader="none"/>
      </w:tabs>
    </w:pPr>
    <w:rPr>
      <w:rFonts w:ascii="Times New Roman" w:hAnsi="Times New Roman"/>
      <w:sz w:val="28"/>
      <w:szCs w:val="30"/>
    </w:rPr>
  </w:style>
  <w:style w:type="character" w:styleId="963" w:customStyle="1">
    <w:name w:val="批注框文本 Char"/>
    <w:basedOn w:val="773"/>
    <w:link w:val="787"/>
    <w:uiPriority w:val="0"/>
    <w:qFormat/>
    <w:rPr>
      <w:sz w:val="18"/>
      <w:szCs w:val="18"/>
    </w:rPr>
  </w:style>
  <w:style w:type="paragraph" w:styleId="964" w:customStyle="1">
    <w:name w:val="正文（缩进）"/>
    <w:basedOn w:val="763"/>
    <w:uiPriority w:val="0"/>
    <w:qFormat/>
    <w:pPr>
      <w:ind w:firstLine="480"/>
      <w:spacing w:before="156" w:after="156"/>
    </w:pPr>
  </w:style>
  <w:style w:type="character" w:styleId="965" w:customStyle="1">
    <w:name w:val="font11"/>
    <w:basedOn w:val="773"/>
    <w:uiPriority w:val="0"/>
    <w:qFormat/>
    <w:rPr>
      <w:rFonts w:hint="eastAsia" w:ascii="宋体" w:hAnsi="宋体" w:eastAsia="宋体" w:cs="宋体"/>
      <w:color w:val="000000"/>
      <w:sz w:val="24"/>
      <w:szCs w:val="24"/>
      <w:u w:val="none"/>
    </w:rPr>
  </w:style>
  <w:style w:type="paragraph" w:styleId="966" w:customStyle="1">
    <w:name w:val="Table Text"/>
    <w:basedOn w:val="763"/>
    <w:uiPriority w:val="0"/>
    <w:semiHidden/>
    <w:qFormat/>
    <w:rPr>
      <w:rFonts w:ascii="宋体" w:hAnsi="宋体" w:cs="宋体"/>
      <w:sz w:val="44"/>
      <w:szCs w:val="44"/>
      <w:lang w:eastAsia="en-US"/>
    </w:rPr>
  </w:style>
  <w:style w:type="character" w:styleId="967" w:customStyle="1">
    <w:name w:val="font21"/>
    <w:basedOn w:val="773"/>
    <w:uiPriority w:val="0"/>
    <w:qFormat/>
    <w:rPr>
      <w:rFonts w:hint="eastAsia" w:ascii="宋体" w:hAnsi="宋体" w:eastAsia="宋体" w:cs="宋体"/>
      <w:color w:val="000000"/>
      <w:sz w:val="18"/>
      <w:szCs w:val="18"/>
      <w:u w:val="none"/>
      <w:vertAlign w:val="superscript"/>
    </w:rPr>
  </w:style>
  <w:style w:type="paragraph" w:styleId="968" w:customStyle="1">
    <w:name w:val="正文111"/>
    <w:next w:val="763"/>
    <w:uiPriority w:val="0"/>
    <w:qFormat/>
    <w:pPr>
      <w:jc w:val="both"/>
      <w:widowControl w:val="off"/>
    </w:pPr>
    <w:rPr>
      <w:rFonts w:ascii="Times New Roman" w:hAnsi="Times New Roman" w:eastAsia="宋体" w:cs="Times New Roman"/>
      <w:sz w:val="21"/>
      <w:szCs w:val="24"/>
      <w:lang w:val="en-US" w:eastAsia="zh-CN" w:bidi="ar-SA"/>
    </w:rPr>
  </w:style>
  <w:style w:type="paragraph" w:styleId="969" w:customStyle="1">
    <w:name w:val="正文12"/>
    <w:next w:val="763"/>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正文_2"/>
    <w:uiPriority w:val="0"/>
    <w:qFormat/>
    <w:rPr>
      <w:rFonts w:ascii="Times New Roman" w:hAnsi="Times New Roman" w:eastAsia="宋体" w:cs="Times New Roman"/>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37</cp:revision>
  <dcterms:created xsi:type="dcterms:W3CDTF">2014-10-29T12:08:00Z</dcterms:created>
  <dcterms:modified xsi:type="dcterms:W3CDTF">2024-11-14T09:42:18Z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D8830CD7879545669906A5B519EDEF4A_13</vt:lpwstr>
  </property>
</Properties>
</file>